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9D" w:rsidRDefault="00FB259D" w:rsidP="00FB259D">
      <w:pPr>
        <w:pStyle w:val="SubHeading1"/>
        <w:numPr>
          <w:ilvl w:val="0"/>
          <w:numId w:val="0"/>
        </w:numPr>
        <w:tabs>
          <w:tab w:val="left" w:pos="720"/>
        </w:tabs>
        <w:spacing w:before="0" w:after="0"/>
        <w:jc w:val="center"/>
        <w:rPr>
          <w:smallCaps/>
        </w:rPr>
      </w:pPr>
      <w:bookmarkStart w:id="0" w:name="_Toc305068492"/>
      <w:r>
        <w:rPr>
          <w:smallCaps/>
        </w:rPr>
        <w:t>Términos de Referencia</w:t>
      </w:r>
    </w:p>
    <w:p w:rsidR="00FB259D" w:rsidRDefault="00FB259D" w:rsidP="00FB259D">
      <w:pPr>
        <w:pStyle w:val="SubHeading1"/>
        <w:numPr>
          <w:ilvl w:val="0"/>
          <w:numId w:val="0"/>
        </w:numPr>
        <w:tabs>
          <w:tab w:val="left" w:pos="720"/>
        </w:tabs>
        <w:spacing w:before="0" w:after="0"/>
        <w:jc w:val="center"/>
        <w:rPr>
          <w:smallCaps/>
        </w:rPr>
      </w:pPr>
    </w:p>
    <w:p w:rsidR="00FB259D" w:rsidRDefault="006E5B74" w:rsidP="00FB259D">
      <w:pPr>
        <w:pStyle w:val="SubHeading1"/>
        <w:numPr>
          <w:ilvl w:val="0"/>
          <w:numId w:val="0"/>
        </w:numPr>
        <w:tabs>
          <w:tab w:val="left" w:pos="720"/>
        </w:tabs>
        <w:spacing w:before="0" w:after="0"/>
        <w:jc w:val="center"/>
        <w:rPr>
          <w:smallCaps/>
        </w:rPr>
      </w:pPr>
      <w:r>
        <w:rPr>
          <w:smallCaps/>
        </w:rPr>
        <w:t>Colombia</w:t>
      </w:r>
    </w:p>
    <w:p w:rsidR="00A2545C" w:rsidRDefault="006E5B74" w:rsidP="00FB259D">
      <w:pPr>
        <w:pStyle w:val="SubHeading1"/>
        <w:numPr>
          <w:ilvl w:val="0"/>
          <w:numId w:val="0"/>
        </w:numPr>
        <w:tabs>
          <w:tab w:val="left" w:pos="720"/>
        </w:tabs>
        <w:spacing w:before="0" w:after="0"/>
        <w:jc w:val="center"/>
        <w:rPr>
          <w:bCs/>
          <w:i/>
          <w:szCs w:val="24"/>
          <w:lang w:val="es-ES"/>
        </w:rPr>
      </w:pPr>
      <w:r>
        <w:rPr>
          <w:bCs/>
          <w:i/>
          <w:szCs w:val="24"/>
          <w:lang w:val="es-ES"/>
        </w:rPr>
        <w:t>Programa de F</w:t>
      </w:r>
      <w:r w:rsidRPr="006E5B74">
        <w:rPr>
          <w:bCs/>
          <w:i/>
          <w:szCs w:val="24"/>
          <w:lang w:val="es-ES"/>
        </w:rPr>
        <w:t>ortalecimiento Institucional de la Contraloría General de la República</w:t>
      </w:r>
    </w:p>
    <w:p w:rsidR="00FB259D" w:rsidRPr="006E5B74" w:rsidRDefault="006E5B74" w:rsidP="00FB259D">
      <w:pPr>
        <w:pStyle w:val="SubHeading1"/>
        <w:numPr>
          <w:ilvl w:val="0"/>
          <w:numId w:val="0"/>
        </w:numPr>
        <w:tabs>
          <w:tab w:val="left" w:pos="720"/>
        </w:tabs>
        <w:spacing w:before="0" w:after="0"/>
        <w:jc w:val="center"/>
        <w:rPr>
          <w:smallCaps/>
          <w:szCs w:val="24"/>
        </w:rPr>
      </w:pPr>
      <w:r w:rsidRPr="006E5B74">
        <w:rPr>
          <w:bCs/>
          <w:i/>
          <w:szCs w:val="24"/>
          <w:lang w:val="es-ES"/>
        </w:rPr>
        <w:t xml:space="preserve"> </w:t>
      </w:r>
      <w:r w:rsidRPr="006E5B74">
        <w:rPr>
          <w:smallCaps/>
          <w:szCs w:val="24"/>
        </w:rPr>
        <w:t>(</w:t>
      </w:r>
      <w:r w:rsidR="00FB259D" w:rsidRPr="006E5B74">
        <w:rPr>
          <w:smallCaps/>
          <w:szCs w:val="24"/>
        </w:rPr>
        <w:t>C</w:t>
      </w:r>
      <w:r w:rsidRPr="006E5B74">
        <w:rPr>
          <w:smallCaps/>
          <w:szCs w:val="24"/>
        </w:rPr>
        <w:t>O-L1154</w:t>
      </w:r>
      <w:r w:rsidR="00FB259D" w:rsidRPr="006E5B74">
        <w:rPr>
          <w:smallCaps/>
          <w:szCs w:val="24"/>
        </w:rPr>
        <w:t xml:space="preserve">)  </w:t>
      </w:r>
    </w:p>
    <w:p w:rsidR="00FB259D" w:rsidRDefault="00FB259D" w:rsidP="00FB259D">
      <w:pPr>
        <w:pStyle w:val="SubHeading1"/>
        <w:numPr>
          <w:ilvl w:val="0"/>
          <w:numId w:val="0"/>
        </w:numPr>
        <w:tabs>
          <w:tab w:val="left" w:pos="720"/>
        </w:tabs>
        <w:spacing w:before="0" w:after="0"/>
        <w:jc w:val="center"/>
        <w:rPr>
          <w:smallCaps/>
        </w:rPr>
      </w:pPr>
    </w:p>
    <w:p w:rsidR="00FB259D" w:rsidRDefault="00FB259D" w:rsidP="00FB259D">
      <w:pPr>
        <w:pStyle w:val="SubHeading1"/>
        <w:numPr>
          <w:ilvl w:val="0"/>
          <w:numId w:val="0"/>
        </w:numPr>
        <w:tabs>
          <w:tab w:val="left" w:pos="720"/>
        </w:tabs>
        <w:spacing w:before="0" w:after="0"/>
        <w:jc w:val="center"/>
        <w:rPr>
          <w:smallCaps/>
        </w:rPr>
      </w:pPr>
      <w:r>
        <w:rPr>
          <w:smallCaps/>
        </w:rPr>
        <w:t xml:space="preserve">Consultoría para </w:t>
      </w:r>
      <w:r w:rsidR="00374663">
        <w:rPr>
          <w:smallCaps/>
        </w:rPr>
        <w:t>E</w:t>
      </w:r>
      <w:r>
        <w:rPr>
          <w:smallCaps/>
        </w:rPr>
        <w:t xml:space="preserve">valuación </w:t>
      </w:r>
      <w:r w:rsidR="00374663">
        <w:rPr>
          <w:smallCaps/>
        </w:rPr>
        <w:t>de Impacto</w:t>
      </w:r>
      <w:r w:rsidR="001925B5">
        <w:rPr>
          <w:smallCaps/>
        </w:rPr>
        <w:t xml:space="preserve"> </w:t>
      </w:r>
      <w:r w:rsidR="006506B8">
        <w:rPr>
          <w:smallCaps/>
        </w:rPr>
        <w:t xml:space="preserve">y Análisis Costo –Beneficio ex post </w:t>
      </w:r>
      <w:r w:rsidR="00374663">
        <w:rPr>
          <w:smallCaps/>
        </w:rPr>
        <w:t>del P</w:t>
      </w:r>
      <w:r>
        <w:rPr>
          <w:smallCaps/>
        </w:rPr>
        <w:t>rograma</w:t>
      </w:r>
    </w:p>
    <w:p w:rsidR="00FB259D" w:rsidRPr="00FF4C62" w:rsidRDefault="00FB259D" w:rsidP="00FB259D">
      <w:pPr>
        <w:pStyle w:val="SubHeading1"/>
        <w:numPr>
          <w:ilvl w:val="0"/>
          <w:numId w:val="0"/>
        </w:numPr>
        <w:tabs>
          <w:tab w:val="left" w:pos="720"/>
        </w:tabs>
        <w:spacing w:before="0" w:after="0"/>
        <w:jc w:val="center"/>
        <w:rPr>
          <w:smallCaps/>
          <w:szCs w:val="24"/>
        </w:rPr>
      </w:pPr>
    </w:p>
    <w:p w:rsidR="00FB259D" w:rsidRPr="00FF4C62" w:rsidRDefault="00FB259D" w:rsidP="00FB259D">
      <w:pPr>
        <w:pStyle w:val="Newpage"/>
        <w:numPr>
          <w:ilvl w:val="0"/>
          <w:numId w:val="14"/>
        </w:numPr>
        <w:tabs>
          <w:tab w:val="left" w:pos="720"/>
        </w:tabs>
        <w:spacing w:before="120" w:after="120" w:line="300" w:lineRule="exact"/>
        <w:rPr>
          <w:szCs w:val="24"/>
        </w:rPr>
      </w:pPr>
      <w:r w:rsidRPr="00FF4C62">
        <w:rPr>
          <w:szCs w:val="24"/>
        </w:rPr>
        <w:t>Antecedentes</w:t>
      </w:r>
    </w:p>
    <w:p w:rsidR="00DE3A0C" w:rsidRPr="00910DA7" w:rsidRDefault="00DE3A0C" w:rsidP="00DE3A0C">
      <w:pPr>
        <w:pStyle w:val="Paragraph"/>
      </w:pPr>
      <w:r w:rsidRPr="00910DA7">
        <w:t>Del 2010 al 2013 el crecimiento promedio de la economía colombiana ha sido cercano al 5%, alcanzando un ingreso por habitante de US$12.000</w:t>
      </w:r>
      <w:r w:rsidRPr="00910DA7">
        <w:rPr>
          <w:rStyle w:val="FootnoteReference"/>
          <w:spacing w:val="-4"/>
        </w:rPr>
        <w:footnoteReference w:id="1"/>
      </w:r>
      <w:r w:rsidRPr="00910DA7">
        <w:t xml:space="preserve"> y situando al país en el rango de las naciones de ingreso medio. Los avances socio económicos fueron acompañados por una serie de reformas institucionales iniciadas durante los años noventa, específicamente a partir de la Constitución Política de 1991, que apuntaron a modernizar el Estado</w:t>
      </w:r>
      <w:r w:rsidRPr="00910DA7">
        <w:rPr>
          <w:rStyle w:val="FootnoteReference"/>
          <w:spacing w:val="-4"/>
        </w:rPr>
        <w:footnoteReference w:id="2"/>
      </w:r>
      <w:r>
        <w:t>.</w:t>
      </w:r>
    </w:p>
    <w:p w:rsidR="00DE3A0C" w:rsidRPr="00910DA7" w:rsidRDefault="00DE3A0C" w:rsidP="00DE3A0C">
      <w:pPr>
        <w:pStyle w:val="Paragraph"/>
      </w:pPr>
      <w:r w:rsidRPr="00910DA7">
        <w:t>En los últimos años se han dado pasos importantes en el fortalecimiento de la gobernanza pública</w:t>
      </w:r>
      <w:r>
        <w:t>,</w:t>
      </w:r>
      <w:r w:rsidRPr="00910DA7">
        <w:t xml:space="preserve"> entre los que se encuentran la creación de nuevas entidades como la Secretaría de Transparencia y la Agencia Colombia Compra Eficiente; la expedición del documento </w:t>
      </w:r>
      <w:r>
        <w:t xml:space="preserve">del </w:t>
      </w:r>
      <w:r w:rsidRPr="007B0490">
        <w:t>Consejo Nacional de Política Económica y Social</w:t>
      </w:r>
      <w:r>
        <w:t xml:space="preserve"> (</w:t>
      </w:r>
      <w:r w:rsidRPr="00910DA7">
        <w:t>CONPES</w:t>
      </w:r>
      <w:r>
        <w:t>)</w:t>
      </w:r>
      <w:r w:rsidRPr="00910DA7">
        <w:t xml:space="preserve"> 167/2013</w:t>
      </w:r>
      <w:r>
        <w:t xml:space="preserve">, </w:t>
      </w:r>
      <w:r w:rsidRPr="00910DA7">
        <w:t xml:space="preserve"> </w:t>
      </w:r>
      <w:r>
        <w:t xml:space="preserve">titulado </w:t>
      </w:r>
      <w:r w:rsidRPr="00910DA7">
        <w:t>Política Pública Anticorrupción, y la sanción de la Ley 1712/20</w:t>
      </w:r>
      <w:bookmarkStart w:id="1" w:name="_GoBack"/>
      <w:bookmarkEnd w:id="1"/>
      <w:r w:rsidRPr="00910DA7">
        <w:t>14 de Acceso a la Informa</w:t>
      </w:r>
      <w:r>
        <w:t>ción P</w:t>
      </w:r>
      <w:r w:rsidRPr="00910DA7">
        <w:t>ública. Igualmente, se asumieron compromisos internacionales destacándose la suscripción a la Alianza para el Gobierno Abierto (OGP), la Iniciativa de Transparencia para las Industrias Extractivas (EITI), y la formalización del interés del país por acceder a la Organización para la Cooperación y el Desarrollo Económicos (O</w:t>
      </w:r>
      <w:r>
        <w:t>CDE</w:t>
      </w:r>
      <w:r w:rsidRPr="00910DA7">
        <w:t>). Este proceso implica un conjunto de compromisos a nivel internacional en diversas áreas, en donde el fortalecimiento de la transparencia</w:t>
      </w:r>
      <w:r>
        <w:t xml:space="preserve">, </w:t>
      </w:r>
      <w:r w:rsidRPr="00910DA7">
        <w:t>los sistemas de control</w:t>
      </w:r>
      <w:r>
        <w:t xml:space="preserve"> y la integridad pública</w:t>
      </w:r>
      <w:r w:rsidRPr="00910DA7">
        <w:t xml:space="preserve"> son destacados c</w:t>
      </w:r>
      <w:r>
        <w:t>omo elementos esenciales para el</w:t>
      </w:r>
      <w:r w:rsidRPr="00910DA7">
        <w:t xml:space="preserve"> desarrollo económico y social</w:t>
      </w:r>
      <w:r w:rsidRPr="00910DA7">
        <w:rPr>
          <w:rStyle w:val="FootnoteReference"/>
          <w:color w:val="000000"/>
          <w:spacing w:val="-4"/>
        </w:rPr>
        <w:footnoteReference w:id="3"/>
      </w:r>
      <w:r>
        <w:t>.</w:t>
      </w:r>
    </w:p>
    <w:p w:rsidR="00DE3A0C" w:rsidRDefault="00DE3A0C" w:rsidP="00DE3A0C">
      <w:pPr>
        <w:pStyle w:val="Paragraph"/>
        <w:spacing w:after="40"/>
      </w:pPr>
      <w:r w:rsidRPr="00910DA7">
        <w:t>A pesar de estos avances, Colombia aún presenta importantes desafíos en materia de transparencia y control de la gestión pública. En 2014 el país obtuvo una calificación promedio de 37 puntos en una escala del 1 al 100, ubic</w:t>
      </w:r>
      <w:r>
        <w:t>ándose</w:t>
      </w:r>
      <w:r w:rsidRPr="00910DA7">
        <w:t xml:space="preserve"> en el puesto 94 entre 175 países evaluados de acuerdo al Índice de Percepción de Corrupción de Transparencia Internacional</w:t>
      </w:r>
      <w:r w:rsidRPr="00910DA7">
        <w:rPr>
          <w:rStyle w:val="FootnoteReference"/>
          <w:spacing w:val="-4"/>
        </w:rPr>
        <w:footnoteReference w:id="4"/>
      </w:r>
      <w:r w:rsidRPr="00910DA7">
        <w:t>. Adicionalmente los indicadores de voz y rendición de cuentas y control de la corrupción se encuentran por debajo del promedio de los países de Latinoamérica y el Caribe</w:t>
      </w:r>
      <w:r>
        <w:t xml:space="preserve"> (LAC)</w:t>
      </w:r>
      <w:r w:rsidRPr="00910DA7">
        <w:t>.</w:t>
      </w:r>
    </w:p>
    <w:p w:rsidR="00DE3A0C" w:rsidRDefault="00DE3A0C" w:rsidP="00DE3A0C">
      <w:pPr>
        <w:pStyle w:val="Paragraph"/>
      </w:pPr>
      <w:r w:rsidRPr="00910DA7">
        <w:t xml:space="preserve">El sistema de control </w:t>
      </w:r>
      <w:r>
        <w:t xml:space="preserve">fiscal en Colombia </w:t>
      </w:r>
      <w:r w:rsidRPr="00910DA7">
        <w:t>tiene</w:t>
      </w:r>
      <w:r>
        <w:t xml:space="preserve"> un rol central como garante del</w:t>
      </w:r>
      <w:r w:rsidRPr="00910DA7">
        <w:t xml:space="preserve"> buen</w:t>
      </w:r>
      <w:r>
        <w:t xml:space="preserve"> manejo de los recursos del Estado</w:t>
      </w:r>
      <w:r w:rsidRPr="00910DA7">
        <w:t xml:space="preserve">. Para ello es imprescindible que la </w:t>
      </w:r>
      <w:r>
        <w:t>CGR ejerza</w:t>
      </w:r>
      <w:r w:rsidRPr="00910DA7">
        <w:t xml:space="preserve"> sus funciones con base en estándares de calidad, eficiencia y transparencia</w:t>
      </w:r>
      <w:r>
        <w:t>.</w:t>
      </w:r>
      <w:r w:rsidRPr="00910DA7">
        <w:t xml:space="preserve"> Para cumplir</w:t>
      </w:r>
      <w:r>
        <w:t xml:space="preserve"> con</w:t>
      </w:r>
      <w:r w:rsidRPr="00910DA7">
        <w:t xml:space="preserve"> </w:t>
      </w:r>
      <w:r>
        <w:t>estos</w:t>
      </w:r>
      <w:r w:rsidRPr="00910DA7">
        <w:t xml:space="preserve"> </w:t>
      </w:r>
      <w:r>
        <w:t xml:space="preserve">estándares, las prácticas internacionales aplicables a las </w:t>
      </w:r>
      <w:r w:rsidRPr="00910DA7">
        <w:t>Entidades de Fiscalización Superior (EFS)</w:t>
      </w:r>
      <w:r>
        <w:t xml:space="preserve">, indican que los órganos de control deben avanzar primordialmente, en </w:t>
      </w:r>
      <w:r>
        <w:lastRenderedPageBreak/>
        <w:t>fortalecer la planificación estratégica de las auditorías. Esto implica desarrollar e implementar</w:t>
      </w:r>
      <w:r w:rsidRPr="00910DA7">
        <w:t xml:space="preserve"> herramientas</w:t>
      </w:r>
      <w:r>
        <w:t xml:space="preserve"> para el análisis predictivo e identificación de riesgos, apoyar la </w:t>
      </w:r>
      <w:r w:rsidRPr="00910DA7">
        <w:t>p</w:t>
      </w:r>
      <w:r>
        <w:t xml:space="preserve">rofesionalización del servicio, </w:t>
      </w:r>
      <w:r w:rsidRPr="00910DA7">
        <w:t xml:space="preserve">y </w:t>
      </w:r>
      <w:r>
        <w:t>promover la</w:t>
      </w:r>
      <w:r w:rsidRPr="00910DA7">
        <w:t xml:space="preserve"> transparencia y </w:t>
      </w:r>
      <w:r>
        <w:t>el control fiscal participativo</w:t>
      </w:r>
      <w:r w:rsidRPr="00910DA7">
        <w:rPr>
          <w:rStyle w:val="FootnoteReference"/>
          <w:spacing w:val="-4"/>
        </w:rPr>
        <w:footnoteReference w:id="5"/>
      </w:r>
      <w:r>
        <w:t xml:space="preserve">. </w:t>
      </w:r>
    </w:p>
    <w:p w:rsidR="00DE3A0C" w:rsidRDefault="00DE3A0C" w:rsidP="00DE3A0C">
      <w:pPr>
        <w:pStyle w:val="Paragraph"/>
      </w:pPr>
      <w:r>
        <w:t>En este sentido, fortalecer institucionalmente</w:t>
      </w:r>
      <w:r w:rsidRPr="00225E2B">
        <w:t xml:space="preserve"> </w:t>
      </w:r>
      <w:r>
        <w:t>a la</w:t>
      </w:r>
      <w:r w:rsidRPr="00225E2B">
        <w:t xml:space="preserve"> CGR</w:t>
      </w:r>
      <w:r>
        <w:t xml:space="preserve"> para que se transforme en una entidad</w:t>
      </w:r>
      <w:r w:rsidRPr="00225E2B">
        <w:t xml:space="preserve"> </w:t>
      </w:r>
      <w:r>
        <w:t xml:space="preserve">actualizada, ágil en el desempeño de sus funciones y abierta a la ciudadanía </w:t>
      </w:r>
      <w:r w:rsidRPr="00225E2B">
        <w:t xml:space="preserve">es un asunto prioritario para el país. Tal como </w:t>
      </w:r>
      <w:r w:rsidRPr="00225E2B">
        <w:rPr>
          <w:lang w:val="es-AR"/>
        </w:rPr>
        <w:t>se señala en las Bases del Plan Nacional de Desarrollo 2014-2018, no hay una preocupación mayor para el ciudadano en los temas de buen gobierno</w:t>
      </w:r>
      <w:r>
        <w:rPr>
          <w:lang w:val="es-AR"/>
        </w:rPr>
        <w:t>,</w:t>
      </w:r>
      <w:r w:rsidRPr="00225E2B">
        <w:rPr>
          <w:lang w:val="es-AR"/>
        </w:rPr>
        <w:t xml:space="preserve"> que la transparencia en la gestión pública</w:t>
      </w:r>
      <w:r>
        <w:rPr>
          <w:lang w:val="es-AR"/>
        </w:rPr>
        <w:t xml:space="preserve"> y el control de la corrupción</w:t>
      </w:r>
      <w:r>
        <w:rPr>
          <w:rStyle w:val="FootnoteReference"/>
          <w:color w:val="000000"/>
          <w:spacing w:val="-4"/>
          <w:lang w:val="es-AR"/>
        </w:rPr>
        <w:footnoteReference w:id="6"/>
      </w:r>
      <w:r>
        <w:rPr>
          <w:lang w:val="es-AR"/>
        </w:rPr>
        <w:t>.</w:t>
      </w:r>
    </w:p>
    <w:p w:rsidR="00ED3D39" w:rsidRPr="00DE3A0C" w:rsidRDefault="00FB259D" w:rsidP="00BE32C2">
      <w:pPr>
        <w:pStyle w:val="Paragraph"/>
      </w:pPr>
      <w:r w:rsidRPr="00DE3A0C">
        <w:rPr>
          <w:szCs w:val="24"/>
        </w:rPr>
        <w:t xml:space="preserve">Como parte del proceso de diseño de la operación se requiere contratar servicios de consultoría para la preparación de su evaluación </w:t>
      </w:r>
      <w:r w:rsidR="003A4802" w:rsidRPr="00DE3A0C">
        <w:rPr>
          <w:szCs w:val="24"/>
        </w:rPr>
        <w:t>económica</w:t>
      </w:r>
      <w:r w:rsidR="00234596" w:rsidRPr="00DE3A0C">
        <w:rPr>
          <w:szCs w:val="24"/>
        </w:rPr>
        <w:t xml:space="preserve"> </w:t>
      </w:r>
      <w:r w:rsidR="00A71A8E" w:rsidRPr="00DE3A0C">
        <w:rPr>
          <w:szCs w:val="24"/>
        </w:rPr>
        <w:t xml:space="preserve">y de la </w:t>
      </w:r>
      <w:r w:rsidR="00234596" w:rsidRPr="00DE3A0C">
        <w:rPr>
          <w:szCs w:val="24"/>
        </w:rPr>
        <w:t xml:space="preserve">metodología para la </w:t>
      </w:r>
      <w:r w:rsidR="00A71A8E" w:rsidRPr="00DE3A0C">
        <w:rPr>
          <w:szCs w:val="24"/>
        </w:rPr>
        <w:t>evaluación de impacto del Programa</w:t>
      </w:r>
      <w:r w:rsidRPr="00DE3A0C">
        <w:rPr>
          <w:szCs w:val="24"/>
        </w:rPr>
        <w:t>, según los objetivos y características que se describen a continuación.</w:t>
      </w:r>
      <w:bookmarkEnd w:id="0"/>
    </w:p>
    <w:p w:rsidR="00E94A29" w:rsidRPr="00FF4C62" w:rsidRDefault="00C12CE3" w:rsidP="00BE32C2">
      <w:pPr>
        <w:pStyle w:val="Chapter"/>
        <w:rPr>
          <w:szCs w:val="24"/>
        </w:rPr>
      </w:pPr>
      <w:r w:rsidRPr="00FF4C62">
        <w:rPr>
          <w:szCs w:val="24"/>
        </w:rPr>
        <w:t>O</w:t>
      </w:r>
      <w:r w:rsidR="00E94A29" w:rsidRPr="00FF4C62">
        <w:rPr>
          <w:szCs w:val="24"/>
        </w:rPr>
        <w:t>bjetivo y Actividades de la Consultoría</w:t>
      </w:r>
    </w:p>
    <w:p w:rsidR="006506B8" w:rsidRPr="00FF4C62" w:rsidRDefault="006506B8" w:rsidP="006506B8">
      <w:pPr>
        <w:pStyle w:val="Paragraph"/>
        <w:rPr>
          <w:lang w:val="es-ES_tradnl"/>
        </w:rPr>
      </w:pPr>
      <w:r>
        <w:t>El consultor</w:t>
      </w:r>
      <w:r w:rsidRPr="00FF4C62">
        <w:t xml:space="preserve"> deberá </w:t>
      </w:r>
      <w:r w:rsidRPr="006506B8">
        <w:rPr>
          <w:b/>
        </w:rPr>
        <w:t>elaborar la evaluación de impacto del programa</w:t>
      </w:r>
      <w:r>
        <w:t xml:space="preserve"> </w:t>
      </w:r>
      <w:r w:rsidRPr="00FF4C62">
        <w:t>para lo cual se deberán plantear metodologías para el dimensionamiento de</w:t>
      </w:r>
      <w:r>
        <w:t xml:space="preserve"> los beneficios atribuibles al mismo. El informe</w:t>
      </w:r>
      <w:r w:rsidRPr="00FF4C62">
        <w:t xml:space="preserve"> deberá reflejar los requerimientos del BID en materia de evaluación de proyectos, definidos en los lineamientos para formulación del plan de monitoreo y</w:t>
      </w:r>
      <w:r>
        <w:t xml:space="preserve"> evaluación</w:t>
      </w:r>
      <w:r w:rsidRPr="00FF4C62">
        <w:t>.</w:t>
      </w:r>
      <w:r w:rsidRPr="00FF4C62">
        <w:rPr>
          <w:b/>
          <w:smallCaps/>
          <w:lang w:val="es-ES_tradnl"/>
        </w:rPr>
        <w:t xml:space="preserve"> </w:t>
      </w:r>
      <w:r w:rsidRPr="00FF4C62">
        <w:rPr>
          <w:lang w:val="es-ES_tradnl"/>
        </w:rPr>
        <w:t xml:space="preserve">El </w:t>
      </w:r>
      <w:r>
        <w:rPr>
          <w:lang w:val="es-ES_tradnl"/>
        </w:rPr>
        <w:t xml:space="preserve">consultor deberá aplicar la propuesta metodológica que se presenta al final de estos TdR. </w:t>
      </w:r>
    </w:p>
    <w:p w:rsidR="00C41360" w:rsidRPr="006506B8" w:rsidRDefault="006506B8" w:rsidP="00C41360">
      <w:pPr>
        <w:pStyle w:val="Paragraph"/>
        <w:numPr>
          <w:ilvl w:val="1"/>
          <w:numId w:val="12"/>
        </w:numPr>
        <w:rPr>
          <w:szCs w:val="24"/>
        </w:rPr>
      </w:pPr>
      <w:r w:rsidRPr="006506B8">
        <w:rPr>
          <w:szCs w:val="24"/>
          <w:lang w:val="es-ES_tradnl"/>
        </w:rPr>
        <w:t>Complementariamente el consultor deberá realizar</w:t>
      </w:r>
      <w:r w:rsidR="00382731" w:rsidRPr="006506B8">
        <w:rPr>
          <w:szCs w:val="24"/>
        </w:rPr>
        <w:t xml:space="preserve"> </w:t>
      </w:r>
      <w:r w:rsidRPr="006506B8">
        <w:rPr>
          <w:szCs w:val="24"/>
        </w:rPr>
        <w:t>el análisis costo-beneficio</w:t>
      </w:r>
      <w:r w:rsidR="002C3A2A" w:rsidRPr="006506B8">
        <w:rPr>
          <w:szCs w:val="24"/>
        </w:rPr>
        <w:t xml:space="preserve"> </w:t>
      </w:r>
      <w:r w:rsidRPr="006506B8">
        <w:rPr>
          <w:szCs w:val="24"/>
        </w:rPr>
        <w:t xml:space="preserve">ex –post del Programa utilizando la misma metodología con la que se formuló su análisis económico </w:t>
      </w:r>
      <w:r w:rsidR="00F10814">
        <w:rPr>
          <w:szCs w:val="24"/>
        </w:rPr>
        <w:t xml:space="preserve">ex </w:t>
      </w:r>
      <w:r w:rsidRPr="006506B8">
        <w:rPr>
          <w:szCs w:val="24"/>
        </w:rPr>
        <w:t xml:space="preserve">ante y que se presenta también al final de estos TdR. </w:t>
      </w:r>
      <w:r w:rsidR="00382731" w:rsidRPr="006506B8">
        <w:rPr>
          <w:szCs w:val="24"/>
        </w:rPr>
        <w:t>E</w:t>
      </w:r>
      <w:r w:rsidRPr="006506B8">
        <w:rPr>
          <w:szCs w:val="24"/>
        </w:rPr>
        <w:t>n este caso e</w:t>
      </w:r>
      <w:r w:rsidR="002C3A2A" w:rsidRPr="006506B8">
        <w:rPr>
          <w:szCs w:val="24"/>
        </w:rPr>
        <w:t>l estudio deber</w:t>
      </w:r>
      <w:r w:rsidR="00C94146" w:rsidRPr="006506B8">
        <w:rPr>
          <w:szCs w:val="24"/>
        </w:rPr>
        <w:t>á</w:t>
      </w:r>
      <w:r w:rsidR="002C3A2A" w:rsidRPr="006506B8">
        <w:rPr>
          <w:szCs w:val="24"/>
        </w:rPr>
        <w:t xml:space="preserve"> </w:t>
      </w:r>
      <w:r w:rsidR="00C94146" w:rsidRPr="006506B8">
        <w:rPr>
          <w:szCs w:val="24"/>
        </w:rPr>
        <w:t xml:space="preserve">identificar </w:t>
      </w:r>
      <w:r w:rsidR="002C3A2A" w:rsidRPr="006506B8">
        <w:rPr>
          <w:szCs w:val="24"/>
        </w:rPr>
        <w:t xml:space="preserve">la tasa interna de retorno </w:t>
      </w:r>
      <w:r w:rsidR="00C94146" w:rsidRPr="006506B8">
        <w:rPr>
          <w:szCs w:val="24"/>
        </w:rPr>
        <w:t xml:space="preserve">y </w:t>
      </w:r>
      <w:r w:rsidR="002C3A2A" w:rsidRPr="006506B8">
        <w:rPr>
          <w:szCs w:val="24"/>
        </w:rPr>
        <w:t xml:space="preserve">realizar el análisis de </w:t>
      </w:r>
      <w:r w:rsidR="00EE0EC6" w:rsidRPr="006506B8">
        <w:rPr>
          <w:szCs w:val="24"/>
        </w:rPr>
        <w:t xml:space="preserve">costo-beneficio </w:t>
      </w:r>
      <w:r w:rsidR="002C3A2A" w:rsidRPr="006506B8">
        <w:rPr>
          <w:szCs w:val="24"/>
        </w:rPr>
        <w:t>por componente</w:t>
      </w:r>
      <w:r w:rsidR="00C94146" w:rsidRPr="006506B8">
        <w:rPr>
          <w:szCs w:val="24"/>
        </w:rPr>
        <w:t xml:space="preserve"> y de la operación como un todo</w:t>
      </w:r>
      <w:r w:rsidR="002C3A2A" w:rsidRPr="006506B8">
        <w:rPr>
          <w:szCs w:val="24"/>
        </w:rPr>
        <w:t xml:space="preserve">. De no ser posible, se deberá justificar por qué. Asimismo, </w:t>
      </w:r>
      <w:r w:rsidR="001925B5" w:rsidRPr="006506B8">
        <w:rPr>
          <w:szCs w:val="24"/>
        </w:rPr>
        <w:t>le corresponderá</w:t>
      </w:r>
      <w:r w:rsidR="00D27AA0" w:rsidRPr="006506B8">
        <w:rPr>
          <w:szCs w:val="24"/>
        </w:rPr>
        <w:t xml:space="preserve"> realizar el análisis de sensibilidad/riesgo del modelo utilizado y </w:t>
      </w:r>
      <w:r w:rsidR="002C3A2A" w:rsidRPr="006506B8">
        <w:rPr>
          <w:szCs w:val="24"/>
        </w:rPr>
        <w:t>se deberá justificar la elección de la me</w:t>
      </w:r>
      <w:r w:rsidR="005762F2" w:rsidRPr="006506B8">
        <w:rPr>
          <w:szCs w:val="24"/>
        </w:rPr>
        <w:t>todología finalmente utilizada.</w:t>
      </w:r>
      <w:r w:rsidR="00C41360" w:rsidRPr="006506B8">
        <w:rPr>
          <w:szCs w:val="24"/>
        </w:rPr>
        <w:t xml:space="preserve"> Para el logro de estos objetivos, el consultor deberá desarrollar al menos las siguientes actividades:</w:t>
      </w:r>
    </w:p>
    <w:p w:rsidR="00C41360" w:rsidRPr="00FF4C62" w:rsidRDefault="00C41360" w:rsidP="00C41360">
      <w:pPr>
        <w:pStyle w:val="subpar"/>
        <w:tabs>
          <w:tab w:val="clear" w:pos="1152"/>
        </w:tabs>
        <w:ind w:left="1170"/>
        <w:rPr>
          <w:szCs w:val="24"/>
        </w:rPr>
      </w:pPr>
      <w:r w:rsidRPr="00FF4C62">
        <w:rPr>
          <w:szCs w:val="24"/>
          <w:lang w:val="es-ES"/>
        </w:rPr>
        <w:t xml:space="preserve">Revisión de los requerimientos del Banco para la evaluación económica </w:t>
      </w:r>
      <w:r w:rsidR="00A71A8E" w:rsidRPr="00FF4C62">
        <w:rPr>
          <w:szCs w:val="24"/>
          <w:lang w:val="es-ES"/>
        </w:rPr>
        <w:t xml:space="preserve">y de impacto </w:t>
      </w:r>
      <w:r w:rsidRPr="00FF4C62">
        <w:rPr>
          <w:szCs w:val="24"/>
          <w:lang w:val="es-ES"/>
        </w:rPr>
        <w:t>de proyectos.</w:t>
      </w:r>
    </w:p>
    <w:p w:rsidR="00C41360" w:rsidRPr="00FF4C62" w:rsidRDefault="00C41360" w:rsidP="00C41360">
      <w:pPr>
        <w:pStyle w:val="subpar"/>
        <w:tabs>
          <w:tab w:val="clear" w:pos="1152"/>
        </w:tabs>
        <w:ind w:left="1170"/>
        <w:rPr>
          <w:szCs w:val="24"/>
          <w:lang w:val="es-ES"/>
        </w:rPr>
      </w:pPr>
      <w:r w:rsidRPr="00FF4C62">
        <w:rPr>
          <w:szCs w:val="24"/>
        </w:rPr>
        <w:t xml:space="preserve">Revisión de </w:t>
      </w:r>
      <w:r w:rsidRPr="00FF4C62">
        <w:rPr>
          <w:szCs w:val="24"/>
          <w:lang w:val="es-ES"/>
        </w:rPr>
        <w:t>los documentos del proyecto.</w:t>
      </w:r>
    </w:p>
    <w:p w:rsidR="00C41360" w:rsidRPr="00FF4C62" w:rsidRDefault="00ED3D39" w:rsidP="00C41360">
      <w:pPr>
        <w:pStyle w:val="subpar"/>
        <w:tabs>
          <w:tab w:val="clear" w:pos="1152"/>
        </w:tabs>
        <w:ind w:left="1170"/>
        <w:rPr>
          <w:szCs w:val="24"/>
          <w:lang w:val="es-ES"/>
        </w:rPr>
      </w:pPr>
      <w:r>
        <w:rPr>
          <w:szCs w:val="24"/>
          <w:lang w:val="es-ES"/>
        </w:rPr>
        <w:t>En el caso de que se considere necesario, r</w:t>
      </w:r>
      <w:r w:rsidR="00DE3A0C">
        <w:rPr>
          <w:szCs w:val="24"/>
          <w:lang w:val="es-ES"/>
        </w:rPr>
        <w:t>euniones con autoridades de la CGR</w:t>
      </w:r>
      <w:r w:rsidR="00C41360" w:rsidRPr="00FF4C62">
        <w:rPr>
          <w:szCs w:val="24"/>
          <w:lang w:val="es-ES"/>
        </w:rPr>
        <w:t xml:space="preserve"> y funcionarios del Banco para consensuar</w:t>
      </w:r>
      <w:r w:rsidR="006506B8">
        <w:rPr>
          <w:szCs w:val="24"/>
          <w:lang w:val="es-ES"/>
        </w:rPr>
        <w:t xml:space="preserve"> cualquier modificación a las</w:t>
      </w:r>
      <w:r w:rsidR="00C41360" w:rsidRPr="00FF4C62">
        <w:rPr>
          <w:szCs w:val="24"/>
          <w:lang w:val="es-ES"/>
        </w:rPr>
        <w:t xml:space="preserve"> metod</w:t>
      </w:r>
      <w:r w:rsidR="006506B8">
        <w:rPr>
          <w:szCs w:val="24"/>
          <w:lang w:val="es-ES"/>
        </w:rPr>
        <w:t>ologías propuestas</w:t>
      </w:r>
      <w:r w:rsidR="00C41360" w:rsidRPr="00FF4C62">
        <w:rPr>
          <w:szCs w:val="24"/>
          <w:lang w:val="es-ES"/>
        </w:rPr>
        <w:t xml:space="preserve"> y el cronograma de trabajo.</w:t>
      </w:r>
    </w:p>
    <w:p w:rsidR="00C41360" w:rsidRPr="00FF4C62" w:rsidRDefault="00C41360" w:rsidP="00C41360">
      <w:pPr>
        <w:pStyle w:val="subpar"/>
        <w:tabs>
          <w:tab w:val="clear" w:pos="1152"/>
        </w:tabs>
        <w:ind w:left="1170"/>
        <w:rPr>
          <w:szCs w:val="24"/>
          <w:lang w:val="es-ES"/>
        </w:rPr>
      </w:pPr>
      <w:r w:rsidRPr="00FF4C62">
        <w:rPr>
          <w:szCs w:val="24"/>
          <w:lang w:val="es-ES"/>
        </w:rPr>
        <w:lastRenderedPageBreak/>
        <w:t>Recopilación de material teórico e información estadística que den sustento a su</w:t>
      </w:r>
      <w:r w:rsidR="006506B8">
        <w:rPr>
          <w:szCs w:val="24"/>
          <w:lang w:val="es-ES"/>
        </w:rPr>
        <w:t>s</w:t>
      </w:r>
      <w:r w:rsidRPr="00FF4C62">
        <w:rPr>
          <w:szCs w:val="24"/>
          <w:lang w:val="es-ES"/>
        </w:rPr>
        <w:t xml:space="preserve"> propuesta</w:t>
      </w:r>
      <w:r w:rsidR="006506B8">
        <w:rPr>
          <w:szCs w:val="24"/>
          <w:lang w:val="es-ES"/>
        </w:rPr>
        <w:t>s</w:t>
      </w:r>
      <w:r w:rsidRPr="00FF4C62">
        <w:rPr>
          <w:szCs w:val="24"/>
          <w:lang w:val="es-ES"/>
        </w:rPr>
        <w:t>.</w:t>
      </w:r>
    </w:p>
    <w:p w:rsidR="00C41360" w:rsidRPr="00FF4C62" w:rsidRDefault="00C41360" w:rsidP="00C41360">
      <w:pPr>
        <w:pStyle w:val="subpar"/>
        <w:tabs>
          <w:tab w:val="clear" w:pos="1152"/>
        </w:tabs>
        <w:ind w:left="1170"/>
        <w:rPr>
          <w:szCs w:val="24"/>
          <w:lang w:val="es-ES"/>
        </w:rPr>
      </w:pPr>
      <w:r w:rsidRPr="00FF4C62">
        <w:rPr>
          <w:szCs w:val="24"/>
          <w:lang w:val="es-ES"/>
        </w:rPr>
        <w:t>Presentación de los informes previstos para su aprobación por parte de</w:t>
      </w:r>
      <w:r w:rsidR="006506B8">
        <w:rPr>
          <w:szCs w:val="24"/>
          <w:lang w:val="es-ES"/>
        </w:rPr>
        <w:t xml:space="preserve"> la CGR y de</w:t>
      </w:r>
      <w:r w:rsidRPr="00FF4C62">
        <w:rPr>
          <w:szCs w:val="24"/>
          <w:lang w:val="es-ES"/>
        </w:rPr>
        <w:t>l Banco.</w:t>
      </w:r>
    </w:p>
    <w:p w:rsidR="00C41360" w:rsidRPr="00FF4C62" w:rsidRDefault="00C41360" w:rsidP="00C41360">
      <w:pPr>
        <w:pStyle w:val="subpar"/>
        <w:tabs>
          <w:tab w:val="clear" w:pos="1152"/>
        </w:tabs>
        <w:ind w:left="1170"/>
        <w:rPr>
          <w:szCs w:val="24"/>
        </w:rPr>
      </w:pPr>
      <w:r w:rsidRPr="00FF4C62">
        <w:rPr>
          <w:szCs w:val="24"/>
          <w:lang w:val="es-ES"/>
        </w:rPr>
        <w:t>Incorporación de las observaciones realizadas ta</w:t>
      </w:r>
      <w:r w:rsidR="00DE3A0C">
        <w:rPr>
          <w:szCs w:val="24"/>
          <w:lang w:val="es-ES"/>
        </w:rPr>
        <w:t>nto por el Banco como por la CGR</w:t>
      </w:r>
      <w:r w:rsidRPr="00FF4C62">
        <w:rPr>
          <w:szCs w:val="24"/>
          <w:lang w:val="es-ES"/>
        </w:rPr>
        <w:t xml:space="preserve"> a los informes</w:t>
      </w:r>
      <w:r w:rsidRPr="00FF4C62">
        <w:rPr>
          <w:szCs w:val="24"/>
        </w:rPr>
        <w:t>.</w:t>
      </w:r>
    </w:p>
    <w:p w:rsidR="00E94A29" w:rsidRPr="00FF4C62" w:rsidRDefault="00E94A29" w:rsidP="00BE32C2">
      <w:pPr>
        <w:pStyle w:val="Chapter"/>
        <w:rPr>
          <w:szCs w:val="24"/>
        </w:rPr>
      </w:pPr>
      <w:r w:rsidRPr="00FF4C62">
        <w:rPr>
          <w:szCs w:val="24"/>
        </w:rPr>
        <w:t>Características de la Consultoría</w:t>
      </w:r>
    </w:p>
    <w:p w:rsidR="001B7F62" w:rsidRPr="00FF4C62" w:rsidRDefault="001B7F62" w:rsidP="001B7F62">
      <w:pPr>
        <w:pStyle w:val="Paragraph"/>
        <w:rPr>
          <w:szCs w:val="24"/>
        </w:rPr>
      </w:pPr>
      <w:r w:rsidRPr="00FF4C62">
        <w:rPr>
          <w:szCs w:val="24"/>
        </w:rPr>
        <w:t>Tipo de consultoría: Consultor Individual</w:t>
      </w:r>
    </w:p>
    <w:p w:rsidR="001B7F62" w:rsidRPr="00FF4C62" w:rsidRDefault="001B7F62" w:rsidP="001B7F62">
      <w:pPr>
        <w:pStyle w:val="Paragraph"/>
        <w:rPr>
          <w:szCs w:val="24"/>
        </w:rPr>
      </w:pPr>
      <w:r w:rsidRPr="00FF4C62">
        <w:rPr>
          <w:szCs w:val="24"/>
        </w:rPr>
        <w:t xml:space="preserve">Fecha de inicio y duración. La consultoría tendrá una duración de </w:t>
      </w:r>
      <w:r w:rsidR="00A80704">
        <w:rPr>
          <w:szCs w:val="24"/>
        </w:rPr>
        <w:t>3</w:t>
      </w:r>
      <w:r w:rsidR="00DE3A0C">
        <w:rPr>
          <w:szCs w:val="24"/>
        </w:rPr>
        <w:t xml:space="preserve">0 </w:t>
      </w:r>
      <w:r w:rsidRPr="00FF4C62">
        <w:rPr>
          <w:szCs w:val="24"/>
        </w:rPr>
        <w:t>días hábiles contados a partir de la firma del contrato, con un plazo máximo de</w:t>
      </w:r>
      <w:r w:rsidR="00A71A8E" w:rsidRPr="00FF4C62">
        <w:rPr>
          <w:szCs w:val="24"/>
        </w:rPr>
        <w:t xml:space="preserve"> </w:t>
      </w:r>
      <w:r w:rsidR="00DE3A0C">
        <w:rPr>
          <w:szCs w:val="24"/>
        </w:rPr>
        <w:t>2</w:t>
      </w:r>
      <w:r w:rsidRPr="00FF4C62">
        <w:rPr>
          <w:szCs w:val="24"/>
        </w:rPr>
        <w:t xml:space="preserve"> meses calendario</w:t>
      </w:r>
      <w:r w:rsidR="00C04E8B" w:rsidRPr="00FF4C62">
        <w:rPr>
          <w:szCs w:val="24"/>
        </w:rPr>
        <w:t>.</w:t>
      </w:r>
    </w:p>
    <w:p w:rsidR="001B7F62" w:rsidRPr="00FF4C62" w:rsidRDefault="00DE3A0C" w:rsidP="001B7F62">
      <w:pPr>
        <w:pStyle w:val="Paragraph"/>
        <w:rPr>
          <w:szCs w:val="24"/>
        </w:rPr>
      </w:pPr>
      <w:r>
        <w:rPr>
          <w:szCs w:val="24"/>
        </w:rPr>
        <w:t xml:space="preserve">Lugar de Trabajo: </w:t>
      </w:r>
      <w:r w:rsidR="00ED3D39">
        <w:rPr>
          <w:szCs w:val="24"/>
        </w:rPr>
        <w:t>R</w:t>
      </w:r>
      <w:r w:rsidR="001B7F62" w:rsidRPr="00FF4C62">
        <w:rPr>
          <w:szCs w:val="24"/>
        </w:rPr>
        <w:t>esidencia del consultor</w:t>
      </w:r>
      <w:r w:rsidR="00A80704">
        <w:rPr>
          <w:szCs w:val="24"/>
        </w:rPr>
        <w:t xml:space="preserve"> y al menos dos visitas a Bogotá Colombia, siendo una al inicio de los estudios y otra al final para presentar resultados, recibir e incorporar observaciones de la CGR y del Banco y consensuar el informe final</w:t>
      </w:r>
      <w:r w:rsidR="001B7F62" w:rsidRPr="00FF4C62">
        <w:rPr>
          <w:szCs w:val="24"/>
        </w:rPr>
        <w:t>.</w:t>
      </w:r>
    </w:p>
    <w:p w:rsidR="001B7F62" w:rsidRPr="00FF4C62" w:rsidRDefault="001B7F62" w:rsidP="00A71A8E">
      <w:pPr>
        <w:pStyle w:val="Paragraph"/>
        <w:rPr>
          <w:szCs w:val="24"/>
        </w:rPr>
      </w:pPr>
      <w:r w:rsidRPr="00FF4C62">
        <w:rPr>
          <w:szCs w:val="24"/>
        </w:rPr>
        <w:t>Calificaciones:</w:t>
      </w:r>
      <w:r w:rsidR="00A71A8E" w:rsidRPr="00FF4C62">
        <w:rPr>
          <w:szCs w:val="24"/>
        </w:rPr>
        <w:t xml:space="preserve"> Título universitario en las carreras de Economía, Administración de Empresas, Ciencias Sociales e Ingeniería Industrial. Deberá tener estudios de maestría en áreas afines. Experiencia: El Consultor deberá contar al menos con cinco años de experiencia en estudios económicos y sociales y análisis de políticas públicas.</w:t>
      </w:r>
    </w:p>
    <w:p w:rsidR="006F5EC6" w:rsidRPr="00FF4C62" w:rsidRDefault="006F5EC6" w:rsidP="00BE32C2">
      <w:pPr>
        <w:pStyle w:val="Chapter"/>
        <w:spacing w:before="360"/>
        <w:rPr>
          <w:szCs w:val="24"/>
        </w:rPr>
      </w:pPr>
      <w:r w:rsidRPr="00FF4C62">
        <w:rPr>
          <w:szCs w:val="24"/>
        </w:rPr>
        <w:t>forma de Pago</w:t>
      </w:r>
    </w:p>
    <w:p w:rsidR="006F5EC6" w:rsidRPr="00FF4C62" w:rsidRDefault="00C87CCF" w:rsidP="006F5EC6">
      <w:pPr>
        <w:jc w:val="both"/>
        <w:rPr>
          <w:sz w:val="24"/>
          <w:szCs w:val="24"/>
          <w:lang w:val="es-ES"/>
        </w:rPr>
      </w:pPr>
      <w:r w:rsidRPr="00FF4C62">
        <w:rPr>
          <w:sz w:val="24"/>
          <w:szCs w:val="24"/>
          <w:lang w:val="es-ES"/>
        </w:rPr>
        <w:t>4.2</w:t>
      </w:r>
      <w:r w:rsidRPr="00FF4C62">
        <w:rPr>
          <w:sz w:val="24"/>
          <w:szCs w:val="24"/>
          <w:lang w:val="es-ES"/>
        </w:rPr>
        <w:tab/>
      </w:r>
      <w:r w:rsidR="006F5EC6" w:rsidRPr="00FF4C62">
        <w:rPr>
          <w:sz w:val="24"/>
          <w:szCs w:val="24"/>
          <w:lang w:val="es-ES"/>
        </w:rPr>
        <w:t xml:space="preserve">La forma de pago será de: </w:t>
      </w:r>
    </w:p>
    <w:p w:rsidR="006F5EC6" w:rsidRPr="00FF4C62" w:rsidRDefault="006F5EC6" w:rsidP="006F5EC6">
      <w:pPr>
        <w:pStyle w:val="ListParagraph"/>
        <w:numPr>
          <w:ilvl w:val="0"/>
          <w:numId w:val="11"/>
        </w:numPr>
        <w:jc w:val="both"/>
        <w:rPr>
          <w:sz w:val="24"/>
          <w:szCs w:val="24"/>
          <w:lang w:val="es-ES"/>
        </w:rPr>
      </w:pPr>
      <w:r w:rsidRPr="00FF4C62">
        <w:rPr>
          <w:sz w:val="24"/>
          <w:szCs w:val="24"/>
          <w:lang w:val="es-ES"/>
        </w:rPr>
        <w:t xml:space="preserve">20% </w:t>
      </w:r>
      <w:r w:rsidR="00A40769" w:rsidRPr="00FF4C62">
        <w:rPr>
          <w:sz w:val="24"/>
          <w:szCs w:val="24"/>
          <w:lang w:val="es-ES"/>
        </w:rPr>
        <w:t xml:space="preserve">contra la </w:t>
      </w:r>
      <w:r w:rsidR="00ED3D39">
        <w:rPr>
          <w:sz w:val="24"/>
          <w:szCs w:val="24"/>
          <w:lang w:val="es-ES"/>
        </w:rPr>
        <w:t>firma del contrato</w:t>
      </w:r>
      <w:r w:rsidRPr="00FF4C62">
        <w:rPr>
          <w:sz w:val="24"/>
          <w:szCs w:val="24"/>
          <w:lang w:val="es-ES"/>
        </w:rPr>
        <w:t xml:space="preserve">, </w:t>
      </w:r>
    </w:p>
    <w:p w:rsidR="006F5EC6" w:rsidRPr="00FF4C62" w:rsidRDefault="00ED3D39" w:rsidP="006F5EC6">
      <w:pPr>
        <w:pStyle w:val="ListParagraph"/>
        <w:numPr>
          <w:ilvl w:val="0"/>
          <w:numId w:val="11"/>
        </w:numPr>
        <w:jc w:val="both"/>
        <w:rPr>
          <w:sz w:val="24"/>
          <w:szCs w:val="24"/>
          <w:lang w:val="es-ES"/>
        </w:rPr>
      </w:pPr>
      <w:r>
        <w:rPr>
          <w:sz w:val="24"/>
          <w:szCs w:val="24"/>
          <w:lang w:val="es-ES"/>
        </w:rPr>
        <w:t>50</w:t>
      </w:r>
      <w:r w:rsidR="006F5EC6" w:rsidRPr="00FF4C62">
        <w:rPr>
          <w:sz w:val="24"/>
          <w:szCs w:val="24"/>
          <w:lang w:val="es-ES"/>
        </w:rPr>
        <w:t>% contra la entrega de</w:t>
      </w:r>
      <w:r w:rsidR="00A80704">
        <w:rPr>
          <w:sz w:val="24"/>
          <w:szCs w:val="24"/>
          <w:lang w:val="es-ES"/>
        </w:rPr>
        <w:t xml:space="preserve"> </w:t>
      </w:r>
      <w:r w:rsidR="006F5EC6" w:rsidRPr="00FF4C62">
        <w:rPr>
          <w:sz w:val="24"/>
          <w:szCs w:val="24"/>
          <w:lang w:val="es-ES"/>
        </w:rPr>
        <w:t>l</w:t>
      </w:r>
      <w:r w:rsidR="00A80704">
        <w:rPr>
          <w:sz w:val="24"/>
          <w:szCs w:val="24"/>
          <w:lang w:val="es-ES"/>
        </w:rPr>
        <w:t>os</w:t>
      </w:r>
      <w:r w:rsidR="006F5EC6" w:rsidRPr="00FF4C62">
        <w:rPr>
          <w:sz w:val="24"/>
          <w:szCs w:val="24"/>
          <w:lang w:val="es-ES"/>
        </w:rPr>
        <w:t xml:space="preserve"> informe</w:t>
      </w:r>
      <w:r w:rsidR="00A80704">
        <w:rPr>
          <w:sz w:val="24"/>
          <w:szCs w:val="24"/>
          <w:lang w:val="es-ES"/>
        </w:rPr>
        <w:t>s</w:t>
      </w:r>
      <w:r w:rsidR="006F5EC6" w:rsidRPr="00FF4C62">
        <w:rPr>
          <w:sz w:val="24"/>
          <w:szCs w:val="24"/>
          <w:lang w:val="es-ES"/>
        </w:rPr>
        <w:t xml:space="preserve"> preliminar</w:t>
      </w:r>
      <w:r w:rsidR="00A80704">
        <w:rPr>
          <w:sz w:val="24"/>
          <w:szCs w:val="24"/>
          <w:lang w:val="es-ES"/>
        </w:rPr>
        <w:t>es</w:t>
      </w:r>
      <w:r w:rsidR="006F5EC6" w:rsidRPr="00FF4C62">
        <w:rPr>
          <w:sz w:val="24"/>
          <w:szCs w:val="24"/>
          <w:lang w:val="es-ES"/>
        </w:rPr>
        <w:t>,</w:t>
      </w:r>
      <w:r w:rsidR="00EA3AC6" w:rsidRPr="00FF4C62">
        <w:rPr>
          <w:sz w:val="24"/>
          <w:szCs w:val="24"/>
          <w:lang w:val="es-ES"/>
        </w:rPr>
        <w:t xml:space="preserve"> </w:t>
      </w:r>
      <w:r w:rsidR="006F5EC6" w:rsidRPr="00FF4C62">
        <w:rPr>
          <w:sz w:val="24"/>
          <w:szCs w:val="24"/>
          <w:lang w:val="es-ES"/>
        </w:rPr>
        <w:t xml:space="preserve">y </w:t>
      </w:r>
    </w:p>
    <w:p w:rsidR="006F5EC6" w:rsidRPr="00FF4C62" w:rsidRDefault="00ED3D39" w:rsidP="006F5EC6">
      <w:pPr>
        <w:pStyle w:val="ListParagraph"/>
        <w:numPr>
          <w:ilvl w:val="0"/>
          <w:numId w:val="11"/>
        </w:numPr>
        <w:jc w:val="both"/>
        <w:rPr>
          <w:sz w:val="24"/>
          <w:szCs w:val="24"/>
          <w:lang w:val="es-ES"/>
        </w:rPr>
      </w:pPr>
      <w:r>
        <w:rPr>
          <w:sz w:val="24"/>
          <w:szCs w:val="24"/>
          <w:lang w:val="es-ES"/>
        </w:rPr>
        <w:t>30</w:t>
      </w:r>
      <w:r w:rsidR="006F5EC6" w:rsidRPr="00FF4C62">
        <w:rPr>
          <w:sz w:val="24"/>
          <w:szCs w:val="24"/>
          <w:lang w:val="es-ES"/>
        </w:rPr>
        <w:t>% contra la entrega de</w:t>
      </w:r>
      <w:r w:rsidR="00A80704">
        <w:rPr>
          <w:sz w:val="24"/>
          <w:szCs w:val="24"/>
          <w:lang w:val="es-ES"/>
        </w:rPr>
        <w:t xml:space="preserve"> los</w:t>
      </w:r>
      <w:r w:rsidR="006F5EC6" w:rsidRPr="00FF4C62">
        <w:rPr>
          <w:sz w:val="24"/>
          <w:szCs w:val="24"/>
          <w:lang w:val="es-ES"/>
        </w:rPr>
        <w:t xml:space="preserve"> informe</w:t>
      </w:r>
      <w:r w:rsidR="00A80704">
        <w:rPr>
          <w:sz w:val="24"/>
          <w:szCs w:val="24"/>
          <w:lang w:val="es-ES"/>
        </w:rPr>
        <w:t>s</w:t>
      </w:r>
      <w:r w:rsidR="006F5EC6" w:rsidRPr="00FF4C62">
        <w:rPr>
          <w:sz w:val="24"/>
          <w:szCs w:val="24"/>
          <w:lang w:val="es-ES"/>
        </w:rPr>
        <w:t xml:space="preserve"> final</w:t>
      </w:r>
      <w:r w:rsidR="00A80704">
        <w:rPr>
          <w:sz w:val="24"/>
          <w:szCs w:val="24"/>
          <w:lang w:val="es-ES"/>
        </w:rPr>
        <w:t>es</w:t>
      </w:r>
      <w:r w:rsidR="006F5EC6" w:rsidRPr="00FF4C62">
        <w:rPr>
          <w:sz w:val="24"/>
          <w:szCs w:val="24"/>
          <w:lang w:val="es-ES"/>
        </w:rPr>
        <w:t xml:space="preserve"> </w:t>
      </w:r>
      <w:r w:rsidR="00A80704">
        <w:rPr>
          <w:sz w:val="24"/>
          <w:szCs w:val="24"/>
          <w:lang w:val="es-ES"/>
        </w:rPr>
        <w:t>tanto de la Evaluación de Impacto como del Análisis Costo-Beneficio ex-post</w:t>
      </w:r>
      <w:r w:rsidR="00A80704" w:rsidRPr="00FF4C62">
        <w:rPr>
          <w:sz w:val="24"/>
          <w:szCs w:val="24"/>
          <w:lang w:val="es-ES"/>
        </w:rPr>
        <w:t xml:space="preserve"> aprobado</w:t>
      </w:r>
      <w:r w:rsidR="00A80704">
        <w:rPr>
          <w:sz w:val="24"/>
          <w:szCs w:val="24"/>
          <w:lang w:val="es-ES"/>
        </w:rPr>
        <w:t>s</w:t>
      </w:r>
      <w:r w:rsidR="00A80704" w:rsidRPr="00FF4C62">
        <w:rPr>
          <w:sz w:val="24"/>
          <w:szCs w:val="24"/>
          <w:lang w:val="es-ES"/>
        </w:rPr>
        <w:t xml:space="preserve"> por </w:t>
      </w:r>
      <w:r w:rsidR="00A80704">
        <w:rPr>
          <w:sz w:val="24"/>
          <w:szCs w:val="24"/>
          <w:lang w:val="es-ES"/>
        </w:rPr>
        <w:t xml:space="preserve">la CGR y por </w:t>
      </w:r>
      <w:r w:rsidR="00A80704" w:rsidRPr="00FF4C62">
        <w:rPr>
          <w:sz w:val="24"/>
          <w:szCs w:val="24"/>
          <w:lang w:val="es-ES"/>
        </w:rPr>
        <w:t>el Banco</w:t>
      </w:r>
      <w:r w:rsidR="006F5EC6" w:rsidRPr="00FF4C62">
        <w:rPr>
          <w:sz w:val="24"/>
          <w:szCs w:val="24"/>
          <w:lang w:val="es-ES"/>
        </w:rPr>
        <w:t>.</w:t>
      </w:r>
    </w:p>
    <w:p w:rsidR="006F5EC6" w:rsidRPr="00FF4C62" w:rsidRDefault="006F5EC6" w:rsidP="006F5EC6">
      <w:pPr>
        <w:rPr>
          <w:sz w:val="24"/>
          <w:szCs w:val="24"/>
          <w:lang w:val="es-ES"/>
        </w:rPr>
      </w:pPr>
    </w:p>
    <w:p w:rsidR="00E94A29" w:rsidRPr="00FF4C62" w:rsidRDefault="00E94A29" w:rsidP="00BE32C2">
      <w:pPr>
        <w:pStyle w:val="Chapter"/>
        <w:spacing w:before="120"/>
        <w:rPr>
          <w:szCs w:val="24"/>
        </w:rPr>
      </w:pPr>
      <w:r w:rsidRPr="00FF4C62">
        <w:rPr>
          <w:szCs w:val="24"/>
        </w:rPr>
        <w:t>Reportes</w:t>
      </w:r>
    </w:p>
    <w:p w:rsidR="00A40769" w:rsidRPr="00FF4C62" w:rsidRDefault="001B7F62" w:rsidP="001B7F62">
      <w:pPr>
        <w:pStyle w:val="Paragraph"/>
        <w:keepNext/>
        <w:rPr>
          <w:szCs w:val="24"/>
        </w:rPr>
      </w:pPr>
      <w:r w:rsidRPr="00FF4C62">
        <w:rPr>
          <w:szCs w:val="24"/>
        </w:rPr>
        <w:t>El/la consultor/a presentará</w:t>
      </w:r>
      <w:r w:rsidR="00A40769" w:rsidRPr="00FF4C62">
        <w:rPr>
          <w:szCs w:val="24"/>
        </w:rPr>
        <w:t xml:space="preserve"> los siguientes reportes:</w:t>
      </w:r>
    </w:p>
    <w:p w:rsidR="00A40769" w:rsidRPr="00FF4C62" w:rsidRDefault="00A40769" w:rsidP="00FB259D">
      <w:pPr>
        <w:pStyle w:val="subpar"/>
        <w:rPr>
          <w:szCs w:val="24"/>
        </w:rPr>
      </w:pPr>
      <w:r w:rsidRPr="00FF4C62">
        <w:rPr>
          <w:b/>
          <w:szCs w:val="24"/>
        </w:rPr>
        <w:t>Plan de Trabajo</w:t>
      </w:r>
      <w:r w:rsidR="001B7F62" w:rsidRPr="00FF4C62">
        <w:rPr>
          <w:szCs w:val="24"/>
        </w:rPr>
        <w:t xml:space="preserve"> que incluya los parámetros de evaluación y la metodología</w:t>
      </w:r>
      <w:r w:rsidRPr="00FF4C62">
        <w:rPr>
          <w:szCs w:val="24"/>
        </w:rPr>
        <w:t xml:space="preserve"> a ser aplicada</w:t>
      </w:r>
    </w:p>
    <w:p w:rsidR="00A71A8E" w:rsidRPr="00FF4C62" w:rsidRDefault="00A40769" w:rsidP="00A71A8E">
      <w:pPr>
        <w:pStyle w:val="subpar"/>
        <w:keepNext/>
        <w:tabs>
          <w:tab w:val="clear" w:pos="1152"/>
          <w:tab w:val="num" w:pos="1170"/>
        </w:tabs>
        <w:ind w:left="1170"/>
        <w:rPr>
          <w:szCs w:val="24"/>
        </w:rPr>
      </w:pPr>
      <w:r w:rsidRPr="00FF4C62">
        <w:rPr>
          <w:b/>
          <w:szCs w:val="24"/>
        </w:rPr>
        <w:t>I</w:t>
      </w:r>
      <w:r w:rsidR="00CA563A" w:rsidRPr="00FF4C62">
        <w:rPr>
          <w:b/>
          <w:szCs w:val="24"/>
        </w:rPr>
        <w:t>nforme P</w:t>
      </w:r>
      <w:r w:rsidRPr="00FF4C62">
        <w:rPr>
          <w:b/>
          <w:szCs w:val="24"/>
        </w:rPr>
        <w:t>reliminar</w:t>
      </w:r>
      <w:r w:rsidRPr="00FF4C62">
        <w:rPr>
          <w:szCs w:val="24"/>
        </w:rPr>
        <w:t xml:space="preserve"> con </w:t>
      </w:r>
      <w:r w:rsidR="001B7F62" w:rsidRPr="00FF4C62">
        <w:rPr>
          <w:szCs w:val="24"/>
        </w:rPr>
        <w:t xml:space="preserve">la </w:t>
      </w:r>
      <w:r w:rsidRPr="00FF4C62">
        <w:rPr>
          <w:szCs w:val="24"/>
        </w:rPr>
        <w:t xml:space="preserve">propuesta inicial de </w:t>
      </w:r>
      <w:r w:rsidR="00A80704">
        <w:rPr>
          <w:szCs w:val="24"/>
        </w:rPr>
        <w:t xml:space="preserve">la </w:t>
      </w:r>
      <w:r w:rsidR="001B7F62" w:rsidRPr="00FF4C62">
        <w:rPr>
          <w:szCs w:val="24"/>
        </w:rPr>
        <w:t>evaluación</w:t>
      </w:r>
      <w:r w:rsidR="00A80704">
        <w:rPr>
          <w:szCs w:val="24"/>
        </w:rPr>
        <w:t xml:space="preserve"> de impacto y del análisis costo beneficio ex post</w:t>
      </w:r>
      <w:r w:rsidR="001B7F62" w:rsidRPr="00FF4C62">
        <w:rPr>
          <w:szCs w:val="24"/>
        </w:rPr>
        <w:t xml:space="preserve"> </w:t>
      </w:r>
      <w:r w:rsidRPr="00FF4C62">
        <w:rPr>
          <w:szCs w:val="24"/>
        </w:rPr>
        <w:t xml:space="preserve">según lo establecido en la sección II de estos </w:t>
      </w:r>
      <w:r w:rsidR="00F10814" w:rsidRPr="00FF4C62">
        <w:rPr>
          <w:szCs w:val="24"/>
        </w:rPr>
        <w:t>T</w:t>
      </w:r>
      <w:r w:rsidR="00F10814">
        <w:rPr>
          <w:szCs w:val="24"/>
        </w:rPr>
        <w:t>d</w:t>
      </w:r>
      <w:r w:rsidR="00F10814" w:rsidRPr="00FF4C62">
        <w:rPr>
          <w:szCs w:val="24"/>
        </w:rPr>
        <w:t>R</w:t>
      </w:r>
      <w:r w:rsidR="00A71A8E" w:rsidRPr="00FF4C62">
        <w:rPr>
          <w:szCs w:val="24"/>
        </w:rPr>
        <w:t xml:space="preserve">. </w:t>
      </w:r>
    </w:p>
    <w:p w:rsidR="001B7F62" w:rsidRPr="00FF4C62" w:rsidRDefault="00A40769" w:rsidP="00FB259D">
      <w:pPr>
        <w:pStyle w:val="subpar"/>
        <w:rPr>
          <w:szCs w:val="24"/>
        </w:rPr>
      </w:pPr>
      <w:r w:rsidRPr="00FF4C62">
        <w:rPr>
          <w:b/>
          <w:szCs w:val="24"/>
        </w:rPr>
        <w:t>I</w:t>
      </w:r>
      <w:r w:rsidR="001B7F62" w:rsidRPr="00FF4C62">
        <w:rPr>
          <w:b/>
          <w:szCs w:val="24"/>
        </w:rPr>
        <w:t xml:space="preserve">nforme </w:t>
      </w:r>
      <w:r w:rsidRPr="00FF4C62">
        <w:rPr>
          <w:b/>
          <w:szCs w:val="24"/>
        </w:rPr>
        <w:t>F</w:t>
      </w:r>
      <w:r w:rsidR="001B7F62" w:rsidRPr="00FF4C62">
        <w:rPr>
          <w:b/>
          <w:szCs w:val="24"/>
        </w:rPr>
        <w:t>inal</w:t>
      </w:r>
      <w:r w:rsidRPr="00FF4C62">
        <w:rPr>
          <w:szCs w:val="24"/>
        </w:rPr>
        <w:t xml:space="preserve"> que</w:t>
      </w:r>
      <w:r w:rsidR="00B15E85" w:rsidRPr="00FF4C62">
        <w:rPr>
          <w:szCs w:val="24"/>
        </w:rPr>
        <w:t xml:space="preserve"> c</w:t>
      </w:r>
      <w:r w:rsidR="001B7F62" w:rsidRPr="00FF4C62">
        <w:rPr>
          <w:szCs w:val="24"/>
        </w:rPr>
        <w:t>ontenga</w:t>
      </w:r>
      <w:r w:rsidR="00A80704">
        <w:rPr>
          <w:szCs w:val="24"/>
        </w:rPr>
        <w:t xml:space="preserve"> la propuesta final para</w:t>
      </w:r>
      <w:r w:rsidR="001B7F62" w:rsidRPr="00FF4C62">
        <w:rPr>
          <w:szCs w:val="24"/>
        </w:rPr>
        <w:t xml:space="preserve"> </w:t>
      </w:r>
      <w:r w:rsidRPr="00FF4C62">
        <w:rPr>
          <w:szCs w:val="24"/>
        </w:rPr>
        <w:t>la</w:t>
      </w:r>
      <w:r w:rsidR="001B7F62" w:rsidRPr="00FF4C62">
        <w:rPr>
          <w:szCs w:val="24"/>
        </w:rPr>
        <w:t xml:space="preserve"> </w:t>
      </w:r>
      <w:r w:rsidR="00A80704" w:rsidRPr="00FF4C62">
        <w:rPr>
          <w:szCs w:val="24"/>
        </w:rPr>
        <w:t>evaluación</w:t>
      </w:r>
      <w:r w:rsidR="00A80704">
        <w:rPr>
          <w:szCs w:val="24"/>
        </w:rPr>
        <w:t xml:space="preserve"> de impacto y del análisis costo beneficio ex post, aprobados por la CGR y por el Banco</w:t>
      </w:r>
      <w:r w:rsidRPr="00FF4C62">
        <w:rPr>
          <w:szCs w:val="24"/>
        </w:rPr>
        <w:t>.</w:t>
      </w:r>
    </w:p>
    <w:p w:rsidR="00C13779" w:rsidRPr="00FF4C62" w:rsidRDefault="00E94A29" w:rsidP="00BE32C2">
      <w:pPr>
        <w:pStyle w:val="Chapter"/>
        <w:spacing w:before="360"/>
        <w:rPr>
          <w:szCs w:val="24"/>
        </w:rPr>
      </w:pPr>
      <w:r w:rsidRPr="00FF4C62">
        <w:rPr>
          <w:szCs w:val="24"/>
        </w:rPr>
        <w:t>Coordinación</w:t>
      </w:r>
    </w:p>
    <w:p w:rsidR="00E94A29" w:rsidRDefault="00A40769">
      <w:pPr>
        <w:pStyle w:val="Paragraph"/>
        <w:rPr>
          <w:szCs w:val="24"/>
        </w:rPr>
      </w:pPr>
      <w:r w:rsidRPr="00FF4C62">
        <w:rPr>
          <w:szCs w:val="24"/>
        </w:rPr>
        <w:t xml:space="preserve">La </w:t>
      </w:r>
      <w:r w:rsidR="00E94A29" w:rsidRPr="00FF4C62">
        <w:rPr>
          <w:szCs w:val="24"/>
        </w:rPr>
        <w:t xml:space="preserve">coordinación relativa a la realización </w:t>
      </w:r>
      <w:r w:rsidRPr="00FF4C62">
        <w:rPr>
          <w:szCs w:val="24"/>
        </w:rPr>
        <w:t xml:space="preserve">a </w:t>
      </w:r>
      <w:r w:rsidR="00E94A29" w:rsidRPr="00FF4C62">
        <w:rPr>
          <w:szCs w:val="24"/>
        </w:rPr>
        <w:t>esta consultoría se</w:t>
      </w:r>
      <w:r w:rsidRPr="00FF4C62">
        <w:rPr>
          <w:szCs w:val="24"/>
        </w:rPr>
        <w:t>rá rea</w:t>
      </w:r>
      <w:r w:rsidR="00DE3A0C">
        <w:rPr>
          <w:szCs w:val="24"/>
        </w:rPr>
        <w:t xml:space="preserve">lizada por </w:t>
      </w:r>
      <w:r w:rsidR="00A80704">
        <w:rPr>
          <w:szCs w:val="24"/>
        </w:rPr>
        <w:t>el coordinador del Programa por parte de la CGR y por el</w:t>
      </w:r>
      <w:r w:rsidR="006F5EC6" w:rsidRPr="00FF4C62">
        <w:rPr>
          <w:szCs w:val="24"/>
        </w:rPr>
        <w:t xml:space="preserve"> Especialista </w:t>
      </w:r>
      <w:r w:rsidR="00BF1963" w:rsidRPr="00FF4C62">
        <w:rPr>
          <w:szCs w:val="24"/>
        </w:rPr>
        <w:t xml:space="preserve">en </w:t>
      </w:r>
      <w:r w:rsidR="006F5EC6" w:rsidRPr="00FF4C62">
        <w:rPr>
          <w:szCs w:val="24"/>
        </w:rPr>
        <w:t>M</w:t>
      </w:r>
      <w:r w:rsidR="00DE3A0C">
        <w:rPr>
          <w:szCs w:val="24"/>
        </w:rPr>
        <w:t xml:space="preserve">odernización del Estado, </w:t>
      </w:r>
      <w:r w:rsidR="00CC599F">
        <w:rPr>
          <w:szCs w:val="24"/>
        </w:rPr>
        <w:t>de la R</w:t>
      </w:r>
      <w:r w:rsidR="00A80704">
        <w:rPr>
          <w:szCs w:val="24"/>
        </w:rPr>
        <w:t>epresentación del Banco en Colombia.</w:t>
      </w:r>
    </w:p>
    <w:p w:rsidR="00CC599F" w:rsidRDefault="00CC599F">
      <w:pPr>
        <w:rPr>
          <w:b/>
          <w:smallCaps/>
          <w:sz w:val="24"/>
          <w:lang w:val="es-ES"/>
        </w:rPr>
      </w:pPr>
      <w:r w:rsidRPr="00CC599F">
        <w:rPr>
          <w:lang w:val="es-ES"/>
        </w:rPr>
        <w:br w:type="page"/>
      </w:r>
    </w:p>
    <w:p w:rsidR="00772933" w:rsidRDefault="00772933" w:rsidP="00772933">
      <w:pPr>
        <w:pStyle w:val="Chapter"/>
        <w:numPr>
          <w:ilvl w:val="0"/>
          <w:numId w:val="0"/>
        </w:numPr>
        <w:spacing w:line="360" w:lineRule="auto"/>
        <w:ind w:left="288"/>
        <w:jc w:val="right"/>
        <w:rPr>
          <w:szCs w:val="24"/>
          <w:lang w:val="es-ES_tradnl"/>
        </w:rPr>
      </w:pPr>
      <w:r>
        <w:rPr>
          <w:szCs w:val="24"/>
          <w:lang w:val="es-ES_tradnl"/>
        </w:rPr>
        <w:t>Anexo I</w:t>
      </w:r>
    </w:p>
    <w:p w:rsidR="00CC599F" w:rsidRPr="00270B23" w:rsidRDefault="00CC599F" w:rsidP="00CC599F">
      <w:pPr>
        <w:pStyle w:val="Chapter"/>
        <w:numPr>
          <w:ilvl w:val="0"/>
          <w:numId w:val="0"/>
        </w:numPr>
        <w:spacing w:line="360" w:lineRule="auto"/>
        <w:ind w:left="288"/>
        <w:rPr>
          <w:szCs w:val="24"/>
          <w:lang w:val="es-ES_tradnl"/>
        </w:rPr>
      </w:pPr>
      <w:r>
        <w:rPr>
          <w:szCs w:val="24"/>
          <w:lang w:val="es-ES_tradnl"/>
        </w:rPr>
        <w:t xml:space="preserve">Metodología para la </w:t>
      </w:r>
      <w:r w:rsidRPr="00270B23">
        <w:rPr>
          <w:szCs w:val="24"/>
          <w:lang w:val="es-ES_tradnl"/>
        </w:rPr>
        <w:t>Evaluación</w:t>
      </w:r>
      <w:r>
        <w:rPr>
          <w:szCs w:val="24"/>
          <w:lang w:val="es-ES_tradnl"/>
        </w:rPr>
        <w:t xml:space="preserve"> de Impacto del Programa</w:t>
      </w:r>
    </w:p>
    <w:p w:rsidR="00CC599F" w:rsidRPr="00270B23" w:rsidRDefault="00CC599F" w:rsidP="00CC599F">
      <w:pPr>
        <w:pStyle w:val="ListParagraph"/>
        <w:numPr>
          <w:ilvl w:val="0"/>
          <w:numId w:val="17"/>
        </w:numPr>
        <w:spacing w:after="120"/>
        <w:contextualSpacing w:val="0"/>
        <w:jc w:val="both"/>
        <w:outlineLvl w:val="1"/>
        <w:rPr>
          <w:b/>
          <w:vanish/>
          <w:szCs w:val="24"/>
          <w:lang w:val="es-EC"/>
        </w:rPr>
      </w:pPr>
    </w:p>
    <w:p w:rsidR="00CC599F" w:rsidRDefault="00424F78" w:rsidP="00BE32C2">
      <w:pPr>
        <w:pStyle w:val="Style3"/>
        <w:numPr>
          <w:ilvl w:val="0"/>
          <w:numId w:val="0"/>
        </w:numPr>
        <w:spacing w:after="0" w:line="240" w:lineRule="auto"/>
        <w:ind w:left="792"/>
        <w:rPr>
          <w:szCs w:val="24"/>
        </w:rPr>
      </w:pPr>
      <w:r>
        <w:rPr>
          <w:szCs w:val="24"/>
        </w:rPr>
        <w:t>El Cuadro A.1</w:t>
      </w:r>
      <w:r w:rsidR="00CC599F" w:rsidRPr="00270B23">
        <w:rPr>
          <w:szCs w:val="24"/>
        </w:rPr>
        <w:t xml:space="preserve"> muestra los indicadores de la matriz de resultados que serán considerados para evaluar los resultados del programa debido a la disponibilidad de los datos. Para la evaluación se utilizarán diferentes métodos según la disponibilidad de los datos para cada indicador. En la sección F se presentan parte de los datos disponibles con los que se podría ya estimar las tendencias pre-tratamiento.</w:t>
      </w:r>
    </w:p>
    <w:p w:rsidR="00BE32C2" w:rsidRPr="00270B23" w:rsidRDefault="00BE32C2" w:rsidP="00BE32C2">
      <w:pPr>
        <w:pStyle w:val="Style3"/>
        <w:numPr>
          <w:ilvl w:val="0"/>
          <w:numId w:val="0"/>
        </w:numPr>
        <w:spacing w:after="0" w:line="240" w:lineRule="auto"/>
        <w:ind w:left="792"/>
        <w:rPr>
          <w:szCs w:val="24"/>
        </w:rPr>
      </w:pPr>
    </w:p>
    <w:p w:rsidR="00CC599F" w:rsidRPr="00270B23" w:rsidRDefault="00CC599F" w:rsidP="00CC599F">
      <w:pPr>
        <w:pStyle w:val="FirstHeading"/>
        <w:spacing w:line="360" w:lineRule="auto"/>
        <w:rPr>
          <w:szCs w:val="24"/>
          <w:lang w:val="es-ES_tradnl"/>
        </w:rPr>
      </w:pPr>
      <w:r w:rsidRPr="00270B23">
        <w:rPr>
          <w:szCs w:val="24"/>
          <w:lang w:val="es-ES_tradnl"/>
        </w:rPr>
        <w:fldChar w:fldCharType="begin"/>
      </w:r>
      <w:r w:rsidRPr="00270B23">
        <w:rPr>
          <w:szCs w:val="24"/>
          <w:lang w:val="es-ES_tradnl"/>
        </w:rPr>
        <w:instrText xml:space="preserve"> SEQ "</w:instrText>
      </w:r>
      <w:r w:rsidRPr="00270B23">
        <w:rPr>
          <w:szCs w:val="24"/>
          <w:lang w:val="es-ES_tradnl"/>
        </w:rPr>
        <w:fldChar w:fldCharType="begin"/>
      </w:r>
      <w:r w:rsidRPr="00270B23">
        <w:rPr>
          <w:szCs w:val="24"/>
          <w:lang w:val="es-ES_tradnl"/>
        </w:rPr>
        <w:instrText xml:space="preserve"> SECTION  \* MERGEFORMAT </w:instrText>
      </w:r>
      <w:r w:rsidRPr="00270B23">
        <w:rPr>
          <w:szCs w:val="24"/>
          <w:lang w:val="es-ES_tradnl"/>
        </w:rPr>
        <w:fldChar w:fldCharType="separate"/>
      </w:r>
      <w:r w:rsidRPr="00270B23">
        <w:rPr>
          <w:szCs w:val="24"/>
          <w:lang w:val="es-ES_tradnl"/>
        </w:rPr>
        <w:instrText>3</w:instrText>
      </w:r>
      <w:r w:rsidRPr="00270B23">
        <w:rPr>
          <w:szCs w:val="24"/>
          <w:lang w:val="es-ES_tradnl"/>
        </w:rPr>
        <w:fldChar w:fldCharType="end"/>
      </w:r>
      <w:r w:rsidRPr="00270B23">
        <w:rPr>
          <w:szCs w:val="24"/>
          <w:lang w:val="es-ES_tradnl"/>
        </w:rPr>
        <w:instrText xml:space="preserve">#"\* ALPHABETIC \* MERGEFORMAT </w:instrText>
      </w:r>
      <w:r w:rsidRPr="00270B23">
        <w:rPr>
          <w:szCs w:val="24"/>
          <w:lang w:val="es-ES_tradnl"/>
        </w:rPr>
        <w:fldChar w:fldCharType="separate"/>
      </w:r>
      <w:r w:rsidRPr="00270B23">
        <w:rPr>
          <w:noProof/>
          <w:szCs w:val="24"/>
          <w:lang w:val="es-ES_tradnl"/>
        </w:rPr>
        <w:t>A</w:t>
      </w:r>
      <w:r w:rsidRPr="00270B23">
        <w:rPr>
          <w:szCs w:val="24"/>
          <w:lang w:val="es-ES_tradnl"/>
        </w:rPr>
        <w:fldChar w:fldCharType="end"/>
      </w:r>
      <w:r w:rsidRPr="00270B23">
        <w:rPr>
          <w:szCs w:val="24"/>
          <w:lang w:val="es-ES_tradnl"/>
        </w:rPr>
        <w:t>.</w:t>
      </w:r>
      <w:r w:rsidRPr="00270B23">
        <w:rPr>
          <w:szCs w:val="24"/>
          <w:lang w:val="es-ES_tradnl"/>
        </w:rPr>
        <w:tab/>
        <w:t>Indicadores</w:t>
      </w:r>
      <w:r w:rsidRPr="00270B23">
        <w:rPr>
          <w:b w:val="0"/>
          <w:szCs w:val="24"/>
        </w:rPr>
        <w:t xml:space="preserve"> </w:t>
      </w:r>
    </w:p>
    <w:p w:rsidR="00CC599F" w:rsidRPr="00270B23" w:rsidRDefault="00CC599F" w:rsidP="00CC599F">
      <w:pPr>
        <w:pStyle w:val="FirstHeading"/>
        <w:spacing w:before="0" w:after="0"/>
        <w:rPr>
          <w:szCs w:val="24"/>
          <w:lang w:val="es-ES_tradnl"/>
        </w:rPr>
      </w:pPr>
      <w:r w:rsidRPr="00270B23">
        <w:rPr>
          <w:szCs w:val="24"/>
        </w:rPr>
        <w:t>Cuadro A.1: Indicadores</w:t>
      </w:r>
    </w:p>
    <w:tbl>
      <w:tblPr>
        <w:tblW w:w="9379"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603"/>
        <w:gridCol w:w="1440"/>
        <w:gridCol w:w="1620"/>
        <w:gridCol w:w="1269"/>
      </w:tblGrid>
      <w:tr w:rsidR="00CC599F" w:rsidRPr="00BE32C2" w:rsidTr="00BE32C2">
        <w:trPr>
          <w:trHeight w:val="687"/>
          <w:tblHeader/>
          <w:jc w:val="center"/>
        </w:trPr>
        <w:tc>
          <w:tcPr>
            <w:tcW w:w="2447"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rPr>
                <w:b/>
              </w:rPr>
              <w:t>Indicadores</w:t>
            </w:r>
          </w:p>
        </w:tc>
        <w:tc>
          <w:tcPr>
            <w:tcW w:w="2603"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rPr>
                <w:b/>
              </w:rPr>
              <w:t>Fórmula</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rPr>
                <w:b/>
              </w:rPr>
              <w:t>Frecuencia de medición</w:t>
            </w:r>
          </w:p>
        </w:tc>
        <w:tc>
          <w:tcPr>
            <w:tcW w:w="1620"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rPr>
                <w:b/>
              </w:rPr>
              <w:t>Disponibilidad de datos</w:t>
            </w:r>
          </w:p>
        </w:tc>
        <w:tc>
          <w:tcPr>
            <w:tcW w:w="1269"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rPr>
                <w:b/>
              </w:rPr>
              <w:t>Fuente de verificación</w:t>
            </w:r>
          </w:p>
        </w:tc>
      </w:tr>
      <w:tr w:rsidR="00CC599F" w:rsidRPr="00BE32C2" w:rsidTr="00BE32C2">
        <w:trPr>
          <w:trHeight w:val="60"/>
          <w:jc w:val="center"/>
        </w:trPr>
        <w:tc>
          <w:tcPr>
            <w:tcW w:w="2447" w:type="dxa"/>
            <w:shd w:val="clear" w:color="auto" w:fill="auto"/>
            <w:vAlign w:val="center"/>
          </w:tcPr>
          <w:p w:rsidR="00CC599F" w:rsidRPr="00BE32C2" w:rsidRDefault="00CC599F" w:rsidP="00BE32C2">
            <w:pPr>
              <w:ind w:right="-90"/>
              <w:rPr>
                <w:lang w:val="es-ES_tradnl"/>
              </w:rPr>
            </w:pPr>
            <w:r w:rsidRPr="00BE32C2">
              <w:rPr>
                <w:lang w:val="es-ES_tradnl"/>
              </w:rPr>
              <w:t>Productividad de la CGR</w:t>
            </w:r>
          </w:p>
        </w:tc>
        <w:tc>
          <w:tcPr>
            <w:tcW w:w="2603" w:type="dxa"/>
            <w:shd w:val="clear" w:color="auto" w:fill="auto"/>
          </w:tcPr>
          <w:p w:rsidR="00CC599F" w:rsidRPr="00BE32C2" w:rsidRDefault="00CC599F" w:rsidP="00BE32C2">
            <w:pPr>
              <w:ind w:right="-90"/>
              <w:rPr>
                <w:lang w:val="es-ES_tradnl"/>
              </w:rPr>
            </w:pPr>
            <w:r w:rsidRPr="00BE32C2">
              <w:rPr>
                <w:lang w:val="es-ES_tradnl"/>
              </w:rPr>
              <w:t>Relación entre el costo de una auditoría sin proyecto y el costo de una auditoría con proyecto. Se utilizará como proxy el presupuesto de funcionamiento dividido la cantidad de auditorías anuales.</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vAlign w:val="center"/>
          </w:tcPr>
          <w:p w:rsidR="00CC599F" w:rsidRPr="00BE32C2" w:rsidRDefault="00CC599F" w:rsidP="00BE32C2">
            <w:pPr>
              <w:pStyle w:val="Regtable"/>
              <w:keepNext/>
              <w:framePr w:wrap="auto" w:vAnchor="margin" w:yAlign="inline"/>
              <w:spacing w:before="0" w:after="0"/>
              <w:jc w:val="center"/>
            </w:pPr>
            <w:r w:rsidRPr="00BE32C2">
              <w:t>Desde 2009</w:t>
            </w:r>
          </w:p>
        </w:tc>
        <w:tc>
          <w:tcPr>
            <w:tcW w:w="1269" w:type="dxa"/>
            <w:shd w:val="clear" w:color="auto" w:fill="auto"/>
            <w:vAlign w:val="center"/>
          </w:tcPr>
          <w:p w:rsidR="00CC599F" w:rsidRPr="00BE32C2" w:rsidRDefault="00CC599F" w:rsidP="00BE32C2">
            <w:pPr>
              <w:ind w:right="-90"/>
              <w:jc w:val="center"/>
              <w:rPr>
                <w:lang w:val="es-ES_tradnl"/>
              </w:rPr>
            </w:pPr>
            <w:r w:rsidRPr="00BE32C2">
              <w:rPr>
                <w:lang w:val="es-ES_tradnl"/>
              </w:rPr>
              <w:t>Sistema  SIIGEP</w:t>
            </w:r>
          </w:p>
        </w:tc>
      </w:tr>
      <w:tr w:rsidR="00CC599F" w:rsidRPr="00BE32C2" w:rsidTr="00BE32C2">
        <w:trPr>
          <w:trHeight w:val="56"/>
          <w:jc w:val="center"/>
        </w:trPr>
        <w:tc>
          <w:tcPr>
            <w:tcW w:w="2447" w:type="dxa"/>
            <w:shd w:val="clear" w:color="auto" w:fill="auto"/>
            <w:vAlign w:val="center"/>
          </w:tcPr>
          <w:p w:rsidR="00CC599F" w:rsidRPr="00BE32C2" w:rsidRDefault="00CC599F" w:rsidP="00BE32C2">
            <w:pPr>
              <w:ind w:right="-90"/>
              <w:rPr>
                <w:highlight w:val="yellow"/>
                <w:lang w:val="es-ES_tradnl"/>
              </w:rPr>
            </w:pPr>
            <w:r w:rsidRPr="00BE32C2">
              <w:rPr>
                <w:lang w:val="es-ES_tradnl"/>
              </w:rPr>
              <w:t>Cantidad de auditorías en el sector social</w:t>
            </w:r>
          </w:p>
        </w:tc>
        <w:tc>
          <w:tcPr>
            <w:tcW w:w="2603" w:type="dxa"/>
            <w:shd w:val="clear" w:color="auto" w:fill="auto"/>
            <w:vAlign w:val="center"/>
          </w:tcPr>
          <w:p w:rsidR="00CC599F" w:rsidRPr="00BE32C2" w:rsidRDefault="00CC599F" w:rsidP="00BE32C2">
            <w:pPr>
              <w:ind w:right="-90"/>
              <w:rPr>
                <w:highlight w:val="yellow"/>
                <w:lang w:val="es-ES_tradnl"/>
              </w:rPr>
            </w:pPr>
            <w:r w:rsidRPr="00BE32C2">
              <w:rPr>
                <w:lang w:val="es-ES_tradnl"/>
              </w:rPr>
              <w:t>Número</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Desde 2009</w:t>
            </w:r>
          </w:p>
        </w:tc>
        <w:tc>
          <w:tcPr>
            <w:tcW w:w="1269"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Sistema SICA</w:t>
            </w:r>
          </w:p>
        </w:tc>
      </w:tr>
      <w:tr w:rsidR="00CC599F" w:rsidRPr="00BE32C2" w:rsidTr="00BE32C2">
        <w:trPr>
          <w:trHeight w:val="56"/>
          <w:jc w:val="center"/>
        </w:trPr>
        <w:tc>
          <w:tcPr>
            <w:tcW w:w="2447" w:type="dxa"/>
            <w:shd w:val="clear" w:color="auto" w:fill="auto"/>
            <w:vAlign w:val="center"/>
          </w:tcPr>
          <w:p w:rsidR="00CC599F" w:rsidRPr="00BE32C2" w:rsidRDefault="00CC599F" w:rsidP="00BE32C2">
            <w:pPr>
              <w:ind w:right="-90"/>
              <w:rPr>
                <w:highlight w:val="yellow"/>
                <w:lang w:val="es-ES_tradnl"/>
              </w:rPr>
            </w:pPr>
            <w:r w:rsidRPr="00BE32C2">
              <w:rPr>
                <w:lang w:val="es-ES_tradnl"/>
              </w:rPr>
              <w:t>Cantidad de auditorías sector infraestructura</w:t>
            </w:r>
          </w:p>
        </w:tc>
        <w:tc>
          <w:tcPr>
            <w:tcW w:w="2603" w:type="dxa"/>
            <w:shd w:val="clear" w:color="auto" w:fill="auto"/>
            <w:vAlign w:val="center"/>
          </w:tcPr>
          <w:p w:rsidR="00CC599F" w:rsidRPr="00BE32C2" w:rsidRDefault="00CC599F" w:rsidP="00BE32C2">
            <w:pPr>
              <w:ind w:right="-90"/>
              <w:rPr>
                <w:highlight w:val="yellow"/>
                <w:lang w:val="es-ES_tradnl"/>
              </w:rPr>
            </w:pPr>
            <w:r w:rsidRPr="00BE32C2">
              <w:rPr>
                <w:lang w:val="es-ES_tradnl"/>
              </w:rPr>
              <w:t>Número</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Desde 2006</w:t>
            </w:r>
          </w:p>
        </w:tc>
        <w:tc>
          <w:tcPr>
            <w:tcW w:w="1269"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Sistema SICA</w:t>
            </w:r>
          </w:p>
        </w:tc>
      </w:tr>
      <w:tr w:rsidR="00CC599F" w:rsidRPr="00BE32C2" w:rsidTr="00BE32C2">
        <w:trPr>
          <w:trHeight w:val="56"/>
          <w:jc w:val="center"/>
        </w:trPr>
        <w:tc>
          <w:tcPr>
            <w:tcW w:w="2447" w:type="dxa"/>
            <w:shd w:val="clear" w:color="auto" w:fill="auto"/>
            <w:vAlign w:val="center"/>
          </w:tcPr>
          <w:p w:rsidR="00CC599F" w:rsidRPr="00BE32C2" w:rsidRDefault="00CC599F" w:rsidP="00BE32C2">
            <w:pPr>
              <w:ind w:right="-90"/>
              <w:rPr>
                <w:highlight w:val="yellow"/>
                <w:lang w:val="es-ES_tradnl"/>
              </w:rPr>
            </w:pPr>
            <w:r w:rsidRPr="00BE32C2">
              <w:rPr>
                <w:lang w:val="es-ES_tradnl"/>
              </w:rPr>
              <w:t>Cobertura de las acciones de auditoria de control micro a las entidades públicas del sector social</w:t>
            </w:r>
          </w:p>
        </w:tc>
        <w:tc>
          <w:tcPr>
            <w:tcW w:w="2603" w:type="dxa"/>
            <w:shd w:val="clear" w:color="auto" w:fill="auto"/>
            <w:vAlign w:val="center"/>
          </w:tcPr>
          <w:p w:rsidR="00CC599F" w:rsidRPr="00BE32C2" w:rsidRDefault="00CC599F" w:rsidP="00BE32C2">
            <w:pPr>
              <w:ind w:right="-90"/>
              <w:rPr>
                <w:highlight w:val="yellow"/>
                <w:lang w:val="es-ES_tradnl"/>
              </w:rPr>
            </w:pPr>
            <w:r w:rsidRPr="00BE32C2">
              <w:rPr>
                <w:lang w:val="es-ES_tradnl"/>
              </w:rPr>
              <w:t>Número de entidades susceptibles de ser auditadas</w:t>
            </w:r>
            <w:r w:rsidRPr="00BE32C2">
              <w:rPr>
                <w:b/>
                <w:lang w:val="es-ES_tradnl"/>
              </w:rPr>
              <w:t>/</w:t>
            </w:r>
            <w:r w:rsidRPr="00BE32C2">
              <w:rPr>
                <w:lang w:val="es-ES_tradnl"/>
              </w:rPr>
              <w:t xml:space="preserve"> Nº de entidades auditadas</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Desde 2006</w:t>
            </w:r>
          </w:p>
        </w:tc>
        <w:tc>
          <w:tcPr>
            <w:tcW w:w="1269" w:type="dxa"/>
            <w:shd w:val="clear" w:color="auto" w:fill="auto"/>
            <w:vAlign w:val="center"/>
          </w:tcPr>
          <w:p w:rsidR="00CC599F" w:rsidRPr="00BE32C2" w:rsidRDefault="00CC599F" w:rsidP="00BE32C2">
            <w:pPr>
              <w:pStyle w:val="Regtable"/>
              <w:keepNext/>
              <w:framePr w:wrap="auto" w:vAnchor="margin" w:yAlign="inline"/>
              <w:spacing w:before="0" w:after="0"/>
              <w:jc w:val="center"/>
              <w:rPr>
                <w:b/>
              </w:rPr>
            </w:pPr>
            <w:r w:rsidRPr="00BE32C2">
              <w:t>Sistema SICA</w:t>
            </w:r>
          </w:p>
        </w:tc>
      </w:tr>
      <w:tr w:rsidR="00CC599F" w:rsidRPr="00BE32C2" w:rsidTr="00BE32C2">
        <w:trPr>
          <w:trHeight w:val="56"/>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CC599F" w:rsidRPr="00BE32C2" w:rsidRDefault="00CC599F" w:rsidP="00BE32C2">
            <w:pPr>
              <w:ind w:right="-90"/>
              <w:rPr>
                <w:lang w:val="es-ES_tradnl"/>
              </w:rPr>
            </w:pPr>
            <w:r w:rsidRPr="00BE32C2">
              <w:rPr>
                <w:lang w:val="es-ES_tradnl"/>
              </w:rPr>
              <w:t>Cobertura de las acciones de auditoria de control micro a las entidades públicas del sector infraestructura</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CC599F" w:rsidRPr="00BE32C2" w:rsidRDefault="00CC599F" w:rsidP="00BE32C2">
            <w:pPr>
              <w:ind w:right="-90"/>
              <w:rPr>
                <w:lang w:val="es-ES_tradnl"/>
              </w:rPr>
            </w:pPr>
            <w:r w:rsidRPr="00BE32C2">
              <w:rPr>
                <w:lang w:val="es-ES_tradnl"/>
              </w:rPr>
              <w:t xml:space="preserve">Nº de entidades auditadas/Número de entidades susceptibles de ser auditadas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Desde 2009</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Sistema SICA</w:t>
            </w:r>
          </w:p>
        </w:tc>
      </w:tr>
      <w:tr w:rsidR="00CC599F" w:rsidRPr="00BE32C2" w:rsidTr="00BE32C2">
        <w:trPr>
          <w:trHeight w:val="60"/>
          <w:jc w:val="center"/>
        </w:trPr>
        <w:tc>
          <w:tcPr>
            <w:tcW w:w="2447" w:type="dxa"/>
            <w:shd w:val="clear" w:color="auto" w:fill="auto"/>
            <w:vAlign w:val="center"/>
          </w:tcPr>
          <w:p w:rsidR="00CC599F" w:rsidRPr="00BE32C2" w:rsidRDefault="00CC599F" w:rsidP="00BE32C2">
            <w:pPr>
              <w:ind w:right="-90"/>
              <w:rPr>
                <w:lang w:val="es-ES_tradnl"/>
              </w:rPr>
            </w:pPr>
            <w:r w:rsidRPr="00BE32C2">
              <w:rPr>
                <w:lang w:val="es-ES_tradnl"/>
              </w:rPr>
              <w:t>Grado de respuesta a las denuncias, peticiones o quejas ciudadanas</w:t>
            </w:r>
          </w:p>
        </w:tc>
        <w:tc>
          <w:tcPr>
            <w:tcW w:w="2603" w:type="dxa"/>
            <w:shd w:val="clear" w:color="auto" w:fill="auto"/>
            <w:vAlign w:val="center"/>
          </w:tcPr>
          <w:p w:rsidR="00CC599F" w:rsidRPr="00BE32C2" w:rsidRDefault="00CC599F" w:rsidP="00BE32C2">
            <w:pPr>
              <w:ind w:right="-90"/>
              <w:rPr>
                <w:lang w:val="es-ES_tradnl"/>
              </w:rPr>
            </w:pPr>
            <w:r w:rsidRPr="00BE32C2">
              <w:rPr>
                <w:lang w:val="es-ES_tradnl"/>
              </w:rPr>
              <w:t xml:space="preserve">Número de denuncias peticiones o quejas ciudadanas resueltas dentro los plazos establecidos por la norma/ número de denuncias peticiones o quejas ciudadanas totales </w:t>
            </w:r>
          </w:p>
        </w:tc>
        <w:tc>
          <w:tcPr>
            <w:tcW w:w="1440" w:type="dxa"/>
            <w:shd w:val="clear" w:color="auto" w:fill="auto"/>
            <w:vAlign w:val="center"/>
          </w:tcPr>
          <w:p w:rsidR="00CC599F" w:rsidRPr="00BE32C2" w:rsidRDefault="00CC599F" w:rsidP="00BE32C2">
            <w:pPr>
              <w:pStyle w:val="Regtable"/>
              <w:keepNext/>
              <w:framePr w:wrap="auto" w:vAnchor="margin" w:yAlign="inline"/>
              <w:spacing w:before="0" w:after="0"/>
              <w:jc w:val="center"/>
            </w:pPr>
            <w:r w:rsidRPr="00BE32C2">
              <w:t>Anual</w:t>
            </w:r>
          </w:p>
        </w:tc>
        <w:tc>
          <w:tcPr>
            <w:tcW w:w="1620" w:type="dxa"/>
            <w:vAlign w:val="center"/>
          </w:tcPr>
          <w:p w:rsidR="00CC599F" w:rsidRPr="00BE32C2" w:rsidRDefault="00CC599F" w:rsidP="00BE32C2">
            <w:pPr>
              <w:pStyle w:val="Regtable"/>
              <w:keepNext/>
              <w:framePr w:wrap="auto" w:vAnchor="margin" w:yAlign="inline"/>
              <w:spacing w:before="0" w:after="0"/>
              <w:jc w:val="center"/>
            </w:pPr>
            <w:r w:rsidRPr="00BE32C2">
              <w:t>Desde 2010</w:t>
            </w:r>
          </w:p>
        </w:tc>
        <w:tc>
          <w:tcPr>
            <w:tcW w:w="1269" w:type="dxa"/>
            <w:shd w:val="clear" w:color="auto" w:fill="auto"/>
            <w:vAlign w:val="center"/>
          </w:tcPr>
          <w:p w:rsidR="00CC599F" w:rsidRPr="00BE32C2" w:rsidRDefault="00CC599F" w:rsidP="00BE32C2">
            <w:pPr>
              <w:ind w:right="-90"/>
              <w:jc w:val="center"/>
              <w:rPr>
                <w:lang w:val="es-ES_tradnl"/>
              </w:rPr>
            </w:pPr>
            <w:r w:rsidRPr="00BE32C2">
              <w:rPr>
                <w:lang w:val="es-ES_tradnl"/>
              </w:rPr>
              <w:t>Sistema SIPAR</w:t>
            </w:r>
          </w:p>
        </w:tc>
      </w:tr>
    </w:tbl>
    <w:p w:rsidR="00CC599F" w:rsidRPr="00270B23" w:rsidRDefault="00CC599F" w:rsidP="00CC599F">
      <w:pPr>
        <w:pStyle w:val="Style3"/>
        <w:numPr>
          <w:ilvl w:val="0"/>
          <w:numId w:val="0"/>
        </w:numPr>
        <w:ind w:left="792"/>
        <w:rPr>
          <w:noProof/>
          <w:szCs w:val="24"/>
          <w:lang w:eastAsia="es-ES"/>
        </w:rPr>
      </w:pPr>
    </w:p>
    <w:p w:rsidR="00CC599F" w:rsidRDefault="00CC599F" w:rsidP="00BE32C2">
      <w:pPr>
        <w:pStyle w:val="Style3"/>
        <w:numPr>
          <w:ilvl w:val="0"/>
          <w:numId w:val="0"/>
        </w:numPr>
        <w:spacing w:after="0" w:line="240" w:lineRule="auto"/>
        <w:ind w:left="792"/>
        <w:rPr>
          <w:noProof/>
          <w:lang w:eastAsia="es-ES"/>
        </w:rPr>
      </w:pPr>
      <w:r w:rsidRPr="00294384">
        <w:rPr>
          <w:noProof/>
          <w:lang w:eastAsia="es-ES"/>
        </w:rPr>
        <w:t>Pa</w:t>
      </w:r>
      <w:r>
        <w:rPr>
          <w:noProof/>
          <w:lang w:eastAsia="es-ES"/>
        </w:rPr>
        <w:t xml:space="preserve">ra el indicador de productividad, los indicadores de cobertura </w:t>
      </w:r>
      <w:r>
        <w:rPr>
          <w:noProof/>
          <w:lang w:val="es-ES_tradnl" w:eastAsia="es-ES"/>
        </w:rPr>
        <w:t>y el indicador de grado de respuesta a las denuncias</w:t>
      </w:r>
      <w:r w:rsidRPr="00294384">
        <w:rPr>
          <w:noProof/>
          <w:lang w:eastAsia="es-ES"/>
        </w:rPr>
        <w:t xml:space="preserve"> se utilizará la metodología de evaluación antes y después con tendencia.</w:t>
      </w:r>
      <w:r>
        <w:rPr>
          <w:noProof/>
          <w:lang w:eastAsia="es-ES"/>
        </w:rPr>
        <w:t xml:space="preserve"> </w:t>
      </w:r>
      <w:r w:rsidRPr="00294384">
        <w:rPr>
          <w:noProof/>
          <w:lang w:eastAsia="es-ES"/>
        </w:rPr>
        <w:t>Para</w:t>
      </w:r>
      <w:r>
        <w:rPr>
          <w:noProof/>
          <w:lang w:eastAsia="es-ES"/>
        </w:rPr>
        <w:t xml:space="preserve"> los indicadores de</w:t>
      </w:r>
      <w:r w:rsidRPr="00294384">
        <w:rPr>
          <w:noProof/>
          <w:lang w:eastAsia="es-ES"/>
        </w:rPr>
        <w:t xml:space="preserve"> </w:t>
      </w:r>
      <w:r>
        <w:rPr>
          <w:noProof/>
          <w:lang w:eastAsia="es-ES"/>
        </w:rPr>
        <w:t>cantidad de auditorias por sector</w:t>
      </w:r>
      <w:r w:rsidRPr="00294384">
        <w:rPr>
          <w:noProof/>
          <w:lang w:eastAsia="es-ES"/>
        </w:rPr>
        <w:t xml:space="preserve"> se utilizará la metodología de diferen</w:t>
      </w:r>
      <w:r>
        <w:rPr>
          <w:noProof/>
          <w:lang w:eastAsia="es-ES"/>
        </w:rPr>
        <w:t>cia en diferencias ya que el programa se aplicará a ciertos subsectores sectores</w:t>
      </w:r>
      <w:r w:rsidRPr="00294384">
        <w:rPr>
          <w:noProof/>
          <w:lang w:eastAsia="es-ES"/>
        </w:rPr>
        <w:t>.</w:t>
      </w:r>
    </w:p>
    <w:p w:rsidR="00BE32C2" w:rsidRDefault="00BE32C2" w:rsidP="00BE32C2">
      <w:pPr>
        <w:pStyle w:val="Style3"/>
        <w:numPr>
          <w:ilvl w:val="0"/>
          <w:numId w:val="0"/>
        </w:numPr>
        <w:spacing w:after="0" w:line="240" w:lineRule="auto"/>
        <w:ind w:left="792"/>
        <w:rPr>
          <w:noProof/>
          <w:lang w:eastAsia="es-ES"/>
        </w:rPr>
      </w:pPr>
    </w:p>
    <w:p w:rsidR="00BE32C2" w:rsidRDefault="00BE32C2" w:rsidP="00BE32C2">
      <w:pPr>
        <w:pStyle w:val="Style3"/>
        <w:numPr>
          <w:ilvl w:val="0"/>
          <w:numId w:val="0"/>
        </w:numPr>
        <w:spacing w:after="0" w:line="240" w:lineRule="auto"/>
        <w:ind w:left="792"/>
        <w:rPr>
          <w:noProof/>
          <w:lang w:eastAsia="es-ES"/>
        </w:rPr>
      </w:pPr>
    </w:p>
    <w:p w:rsidR="00BE32C2" w:rsidRPr="00294384" w:rsidRDefault="00BE32C2" w:rsidP="00BE32C2">
      <w:pPr>
        <w:pStyle w:val="Style3"/>
        <w:numPr>
          <w:ilvl w:val="0"/>
          <w:numId w:val="0"/>
        </w:numPr>
        <w:spacing w:after="0" w:line="240" w:lineRule="auto"/>
        <w:ind w:left="792"/>
        <w:rPr>
          <w:noProof/>
          <w:lang w:eastAsia="es-ES"/>
        </w:rPr>
      </w:pPr>
    </w:p>
    <w:p w:rsidR="00CC599F" w:rsidRPr="00D83B0D" w:rsidRDefault="00CC599F" w:rsidP="00CC599F">
      <w:pPr>
        <w:pStyle w:val="FirstHeading"/>
        <w:keepNext w:val="0"/>
        <w:spacing w:line="360" w:lineRule="auto"/>
        <w:ind w:left="810"/>
        <w:rPr>
          <w:noProof/>
          <w:szCs w:val="22"/>
          <w:lang w:val="es-ES_tradnl"/>
        </w:rPr>
      </w:pPr>
      <w:r w:rsidRPr="00D83B0D">
        <w:rPr>
          <w:noProof/>
          <w:szCs w:val="22"/>
          <w:lang w:val="es-ES_tradnl"/>
        </w:rPr>
        <w:fldChar w:fldCharType="begin"/>
      </w:r>
      <w:r w:rsidRPr="00D83B0D">
        <w:rPr>
          <w:noProof/>
          <w:szCs w:val="22"/>
          <w:lang w:val="es-ES_tradnl"/>
        </w:rPr>
        <w:instrText xml:space="preserve"> SEQ "</w:instrText>
      </w:r>
      <w:r w:rsidRPr="00D83B0D">
        <w:rPr>
          <w:noProof/>
          <w:szCs w:val="22"/>
          <w:lang w:val="es-ES_tradnl"/>
        </w:rPr>
        <w:fldChar w:fldCharType="begin"/>
      </w:r>
      <w:r w:rsidRPr="00D83B0D">
        <w:rPr>
          <w:noProof/>
          <w:szCs w:val="22"/>
          <w:lang w:val="es-ES_tradnl"/>
        </w:rPr>
        <w:instrText xml:space="preserve"> SECTION  \* MERGEFORMAT </w:instrText>
      </w:r>
      <w:r w:rsidRPr="00D83B0D">
        <w:rPr>
          <w:noProof/>
          <w:szCs w:val="22"/>
          <w:lang w:val="es-ES_tradnl"/>
        </w:rPr>
        <w:fldChar w:fldCharType="separate"/>
      </w:r>
      <w:r w:rsidRPr="00D83B0D">
        <w:rPr>
          <w:noProof/>
          <w:szCs w:val="22"/>
          <w:lang w:val="es-ES_tradnl"/>
        </w:rPr>
        <w:instrText>3</w:instrText>
      </w:r>
      <w:r w:rsidRPr="00D83B0D">
        <w:rPr>
          <w:noProof/>
          <w:szCs w:val="22"/>
          <w:lang w:val="es-ES_tradnl"/>
        </w:rPr>
        <w:fldChar w:fldCharType="end"/>
      </w:r>
      <w:r w:rsidRPr="00D83B0D">
        <w:rPr>
          <w:noProof/>
          <w:szCs w:val="22"/>
          <w:lang w:val="es-ES_tradnl"/>
        </w:rPr>
        <w:instrText xml:space="preserve">#"\* ALPHABETIC \* MERGEFORMAT </w:instrText>
      </w:r>
      <w:r w:rsidRPr="00D83B0D">
        <w:rPr>
          <w:noProof/>
          <w:szCs w:val="22"/>
          <w:lang w:val="es-ES_tradnl"/>
        </w:rPr>
        <w:fldChar w:fldCharType="separate"/>
      </w:r>
      <w:r w:rsidRPr="00D83B0D">
        <w:rPr>
          <w:noProof/>
          <w:szCs w:val="22"/>
          <w:lang w:val="es-ES_tradnl"/>
        </w:rPr>
        <w:t>B</w:t>
      </w:r>
      <w:r w:rsidRPr="00D83B0D">
        <w:rPr>
          <w:noProof/>
          <w:szCs w:val="22"/>
          <w:lang w:val="es-ES_tradnl"/>
        </w:rPr>
        <w:fldChar w:fldCharType="end"/>
      </w:r>
      <w:r w:rsidRPr="00D83B0D">
        <w:rPr>
          <w:noProof/>
          <w:szCs w:val="22"/>
          <w:lang w:val="es-ES_tradnl"/>
        </w:rPr>
        <w:t>.</w:t>
      </w:r>
      <w:r w:rsidRPr="00D83B0D">
        <w:rPr>
          <w:noProof/>
          <w:szCs w:val="22"/>
          <w:lang w:val="es-ES_tradnl"/>
        </w:rPr>
        <w:tab/>
        <w:t>Recopilación de datos e instrumentos</w:t>
      </w:r>
    </w:p>
    <w:p w:rsidR="00CC599F" w:rsidRPr="00341B8A" w:rsidRDefault="00CC599F" w:rsidP="00CC599F">
      <w:pPr>
        <w:pStyle w:val="ListParagraph"/>
        <w:numPr>
          <w:ilvl w:val="0"/>
          <w:numId w:val="17"/>
        </w:numPr>
        <w:spacing w:after="120"/>
        <w:contextualSpacing w:val="0"/>
        <w:jc w:val="both"/>
        <w:outlineLvl w:val="1"/>
        <w:rPr>
          <w:b/>
          <w:vanish/>
          <w:lang w:val="es-EC" w:eastAsia="es-ES"/>
        </w:rPr>
      </w:pPr>
    </w:p>
    <w:p w:rsidR="00CC599F" w:rsidRPr="00294384" w:rsidRDefault="00CC599F" w:rsidP="00BE32C2">
      <w:pPr>
        <w:pStyle w:val="Style3"/>
        <w:numPr>
          <w:ilvl w:val="0"/>
          <w:numId w:val="0"/>
        </w:numPr>
        <w:spacing w:after="0" w:line="240" w:lineRule="auto"/>
        <w:ind w:left="792"/>
        <w:rPr>
          <w:lang w:eastAsia="es-ES"/>
        </w:rPr>
      </w:pPr>
      <w:r w:rsidRPr="00294384">
        <w:rPr>
          <w:lang w:eastAsia="es-ES"/>
        </w:rPr>
        <w:t xml:space="preserve">El presente documento propone y describe exhaustivamente alternativas metodológicas para una evaluación del proyecto, la cual requiere de información detallada de los indicadores mencionados en el Cuadro </w:t>
      </w:r>
      <w:r>
        <w:rPr>
          <w:lang w:eastAsia="es-ES"/>
        </w:rPr>
        <w:t>A.1</w:t>
      </w:r>
      <w:r w:rsidRPr="00294384">
        <w:rPr>
          <w:lang w:eastAsia="es-ES"/>
        </w:rPr>
        <w:t>.</w:t>
      </w:r>
    </w:p>
    <w:p w:rsidR="00CC599F" w:rsidRDefault="00CC599F" w:rsidP="00BE32C2">
      <w:pPr>
        <w:pStyle w:val="Style3"/>
        <w:numPr>
          <w:ilvl w:val="0"/>
          <w:numId w:val="0"/>
        </w:numPr>
        <w:spacing w:after="0" w:line="240" w:lineRule="auto"/>
        <w:ind w:left="792"/>
        <w:rPr>
          <w:lang w:eastAsia="es-ES"/>
        </w:rPr>
      </w:pPr>
      <w:r w:rsidRPr="00E66483">
        <w:rPr>
          <w:lang w:eastAsia="es-ES"/>
        </w:rPr>
        <w:t>La información necesaria se obtendrá principalmente de</w:t>
      </w:r>
      <w:r>
        <w:rPr>
          <w:lang w:eastAsia="es-ES"/>
        </w:rPr>
        <w:t xml:space="preserve"> Sistema</w:t>
      </w:r>
      <w:r w:rsidRPr="00E66483">
        <w:rPr>
          <w:lang w:eastAsia="es-ES"/>
        </w:rPr>
        <w:t xml:space="preserve"> SIIGEP, Evaluación del Equipo SAI-PF</w:t>
      </w:r>
      <w:r>
        <w:rPr>
          <w:lang w:eastAsia="es-ES"/>
        </w:rPr>
        <w:t>M, Sistema SICA y Sistema SIPAR</w:t>
      </w:r>
      <w:r w:rsidRPr="00E66483">
        <w:rPr>
          <w:lang w:eastAsia="es-ES"/>
        </w:rPr>
        <w:t>. LA CGR estará encargada de brindar estos datos para su análisis y asegurarse que se recopilen con la frecuencia pactada.</w:t>
      </w:r>
    </w:p>
    <w:p w:rsidR="00BE32C2" w:rsidRPr="00E66483" w:rsidRDefault="00BE32C2" w:rsidP="00BE32C2">
      <w:pPr>
        <w:pStyle w:val="Style3"/>
        <w:numPr>
          <w:ilvl w:val="0"/>
          <w:numId w:val="0"/>
        </w:numPr>
        <w:spacing w:after="0" w:line="240" w:lineRule="auto"/>
        <w:ind w:left="792"/>
        <w:rPr>
          <w:lang w:eastAsia="es-ES"/>
        </w:rPr>
      </w:pPr>
    </w:p>
    <w:p w:rsidR="00CC599F" w:rsidRPr="00D83B0D" w:rsidRDefault="00CC599F" w:rsidP="00CC599F">
      <w:pPr>
        <w:pStyle w:val="FirstHeading"/>
        <w:keepNext w:val="0"/>
        <w:spacing w:line="360" w:lineRule="auto"/>
        <w:ind w:left="810"/>
        <w:rPr>
          <w:noProof/>
          <w:szCs w:val="22"/>
          <w:lang w:val="es-ES_tradnl"/>
        </w:rPr>
      </w:pPr>
      <w:r w:rsidRPr="00D83B0D">
        <w:rPr>
          <w:noProof/>
          <w:szCs w:val="22"/>
          <w:lang w:val="es-ES_tradnl"/>
        </w:rPr>
        <w:fldChar w:fldCharType="begin"/>
      </w:r>
      <w:r w:rsidRPr="00D83B0D">
        <w:rPr>
          <w:noProof/>
          <w:szCs w:val="22"/>
          <w:lang w:val="es-ES_tradnl"/>
        </w:rPr>
        <w:instrText xml:space="preserve"> SEQ "</w:instrText>
      </w:r>
      <w:r w:rsidRPr="00D83B0D">
        <w:rPr>
          <w:noProof/>
          <w:szCs w:val="22"/>
          <w:lang w:val="es-ES_tradnl"/>
        </w:rPr>
        <w:fldChar w:fldCharType="begin"/>
      </w:r>
      <w:r w:rsidRPr="00D83B0D">
        <w:rPr>
          <w:noProof/>
          <w:szCs w:val="22"/>
          <w:lang w:val="es-ES_tradnl"/>
        </w:rPr>
        <w:instrText xml:space="preserve"> SECTION  \* MERGEFORMAT </w:instrText>
      </w:r>
      <w:r w:rsidRPr="00D83B0D">
        <w:rPr>
          <w:noProof/>
          <w:szCs w:val="22"/>
          <w:lang w:val="es-ES_tradnl"/>
        </w:rPr>
        <w:fldChar w:fldCharType="separate"/>
      </w:r>
      <w:r w:rsidRPr="00D83B0D">
        <w:rPr>
          <w:noProof/>
          <w:szCs w:val="22"/>
          <w:lang w:val="es-ES_tradnl"/>
        </w:rPr>
        <w:instrText>3</w:instrText>
      </w:r>
      <w:r w:rsidRPr="00D83B0D">
        <w:rPr>
          <w:noProof/>
          <w:szCs w:val="22"/>
          <w:lang w:val="es-ES_tradnl"/>
        </w:rPr>
        <w:fldChar w:fldCharType="end"/>
      </w:r>
      <w:r w:rsidRPr="00D83B0D">
        <w:rPr>
          <w:noProof/>
          <w:szCs w:val="22"/>
          <w:lang w:val="es-ES_tradnl"/>
        </w:rPr>
        <w:instrText xml:space="preserve">#"\* ALPHABETIC \* MERGEFORMAT </w:instrText>
      </w:r>
      <w:r w:rsidRPr="00D83B0D">
        <w:rPr>
          <w:noProof/>
          <w:szCs w:val="22"/>
          <w:lang w:val="es-ES_tradnl"/>
        </w:rPr>
        <w:fldChar w:fldCharType="separate"/>
      </w:r>
      <w:r w:rsidRPr="00D83B0D">
        <w:rPr>
          <w:noProof/>
          <w:szCs w:val="22"/>
          <w:lang w:val="es-ES_tradnl"/>
        </w:rPr>
        <w:t>C</w:t>
      </w:r>
      <w:r w:rsidRPr="00D83B0D">
        <w:rPr>
          <w:noProof/>
          <w:szCs w:val="22"/>
          <w:lang w:val="es-ES_tradnl"/>
        </w:rPr>
        <w:fldChar w:fldCharType="end"/>
      </w:r>
      <w:r w:rsidRPr="00D83B0D">
        <w:rPr>
          <w:noProof/>
          <w:szCs w:val="22"/>
          <w:lang w:val="es-ES_tradnl"/>
        </w:rPr>
        <w:t>.</w:t>
      </w:r>
      <w:r w:rsidRPr="00D83B0D">
        <w:rPr>
          <w:noProof/>
          <w:szCs w:val="22"/>
          <w:lang w:val="es-ES_tradnl"/>
        </w:rPr>
        <w:tab/>
        <w:t>Presentación de informes y recopilación de datos</w:t>
      </w:r>
    </w:p>
    <w:p w:rsidR="00CC599F" w:rsidRPr="00341B8A"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341B8A"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341B8A"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341B8A"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341B8A"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294384" w:rsidRDefault="00CC599F" w:rsidP="00BE32C2">
      <w:pPr>
        <w:pStyle w:val="Paragraph"/>
        <w:numPr>
          <w:ilvl w:val="0"/>
          <w:numId w:val="0"/>
        </w:numPr>
        <w:tabs>
          <w:tab w:val="num" w:pos="1080"/>
          <w:tab w:val="num" w:pos="1260"/>
        </w:tabs>
        <w:spacing w:after="0"/>
        <w:ind w:left="720"/>
      </w:pPr>
      <w:r w:rsidRPr="00294384">
        <w:t>La Contraloría General de la Nación será la respon</w:t>
      </w:r>
      <w:r w:rsidR="00424F78">
        <w:t xml:space="preserve">sable de presentar los informes </w:t>
      </w:r>
      <w:r w:rsidRPr="00294384">
        <w:t>con datos sobre los avances en la ejecución, incluyendo los indicadores antes mencionados.</w:t>
      </w:r>
    </w:p>
    <w:p w:rsidR="00CC599F" w:rsidRPr="00D83B0D" w:rsidRDefault="00CC599F" w:rsidP="00BE32C2">
      <w:pPr>
        <w:pStyle w:val="FirstHeading"/>
        <w:keepNext w:val="0"/>
        <w:spacing w:before="240" w:line="360" w:lineRule="auto"/>
        <w:ind w:left="806"/>
        <w:rPr>
          <w:noProof/>
          <w:szCs w:val="22"/>
          <w:lang w:val="es-ES_tradnl"/>
        </w:rPr>
      </w:pPr>
      <w:r w:rsidRPr="00D83B0D">
        <w:rPr>
          <w:noProof/>
          <w:szCs w:val="22"/>
          <w:lang w:val="es-ES_tradnl"/>
        </w:rPr>
        <w:fldChar w:fldCharType="begin"/>
      </w:r>
      <w:r w:rsidRPr="00D83B0D">
        <w:rPr>
          <w:noProof/>
          <w:szCs w:val="22"/>
          <w:lang w:val="es-ES_tradnl"/>
        </w:rPr>
        <w:instrText xml:space="preserve"> SEQ "</w:instrText>
      </w:r>
      <w:r w:rsidRPr="00D83B0D">
        <w:rPr>
          <w:noProof/>
          <w:szCs w:val="22"/>
          <w:lang w:val="es-ES_tradnl"/>
        </w:rPr>
        <w:fldChar w:fldCharType="begin"/>
      </w:r>
      <w:r w:rsidRPr="00D83B0D">
        <w:rPr>
          <w:noProof/>
          <w:szCs w:val="22"/>
          <w:lang w:val="es-ES_tradnl"/>
        </w:rPr>
        <w:instrText xml:space="preserve"> SECTION  \* MERGEFORMAT </w:instrText>
      </w:r>
      <w:r w:rsidRPr="00D83B0D">
        <w:rPr>
          <w:noProof/>
          <w:szCs w:val="22"/>
          <w:lang w:val="es-ES_tradnl"/>
        </w:rPr>
        <w:fldChar w:fldCharType="separate"/>
      </w:r>
      <w:r w:rsidRPr="00D83B0D">
        <w:rPr>
          <w:noProof/>
          <w:szCs w:val="22"/>
          <w:lang w:val="es-ES_tradnl"/>
        </w:rPr>
        <w:instrText>3</w:instrText>
      </w:r>
      <w:r w:rsidRPr="00D83B0D">
        <w:rPr>
          <w:noProof/>
          <w:szCs w:val="22"/>
          <w:lang w:val="es-ES_tradnl"/>
        </w:rPr>
        <w:fldChar w:fldCharType="end"/>
      </w:r>
      <w:r w:rsidRPr="00D83B0D">
        <w:rPr>
          <w:noProof/>
          <w:szCs w:val="22"/>
          <w:lang w:val="es-ES_tradnl"/>
        </w:rPr>
        <w:instrText xml:space="preserve">#"\* ALPHABETIC \* MERGEFORMAT </w:instrText>
      </w:r>
      <w:r w:rsidRPr="00D83B0D">
        <w:rPr>
          <w:noProof/>
          <w:szCs w:val="22"/>
          <w:lang w:val="es-ES_tradnl"/>
        </w:rPr>
        <w:fldChar w:fldCharType="separate"/>
      </w:r>
      <w:r w:rsidRPr="00D83B0D">
        <w:rPr>
          <w:noProof/>
          <w:szCs w:val="22"/>
          <w:lang w:val="es-ES_tradnl"/>
        </w:rPr>
        <w:t>D</w:t>
      </w:r>
      <w:r w:rsidRPr="00D83B0D">
        <w:rPr>
          <w:noProof/>
          <w:szCs w:val="22"/>
          <w:lang w:val="es-ES_tradnl"/>
        </w:rPr>
        <w:fldChar w:fldCharType="end"/>
      </w:r>
      <w:r w:rsidRPr="00D83B0D">
        <w:rPr>
          <w:noProof/>
          <w:szCs w:val="22"/>
          <w:lang w:val="es-ES_tradnl"/>
        </w:rPr>
        <w:t>.</w:t>
      </w:r>
      <w:r w:rsidRPr="00D83B0D">
        <w:rPr>
          <w:noProof/>
          <w:szCs w:val="22"/>
          <w:lang w:val="es-ES_tradnl"/>
        </w:rPr>
        <w:tab/>
        <w:t>Metodología de evaluación</w:t>
      </w:r>
    </w:p>
    <w:p w:rsidR="00CC599F" w:rsidRPr="00E66483"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Pr="00294384" w:rsidRDefault="00CC599F" w:rsidP="00BE32C2">
      <w:pPr>
        <w:pStyle w:val="Paragraph"/>
        <w:numPr>
          <w:ilvl w:val="0"/>
          <w:numId w:val="0"/>
        </w:numPr>
        <w:tabs>
          <w:tab w:val="num" w:pos="1080"/>
          <w:tab w:val="num" w:pos="1260"/>
        </w:tabs>
        <w:ind w:left="810"/>
      </w:pPr>
      <w:r w:rsidRPr="00294384">
        <w:t xml:space="preserve">Idealmente, la evaluación cuantitativa de los efectos de la intervención requiere comparar el cambio en las variables de resultados de ciertas entidades afectadas por el proyecto (denominado grupo de tratamiento) respecto a un grupo de características similares que no se haya visto beneficiado por el programa (denominado grupo de control). El grupo de control provee el escenario contrafáctico, esto es, el escenario al que hubiera estado expuesto el grupo de tratamiento en caso de no haber sido tratado. Debido al gran alcance del programa no siempre es posible identificar un grupo de control. En esos casos, se propondrán formas alternativas de estimar el escenario contrafáctico. </w:t>
      </w:r>
    </w:p>
    <w:p w:rsidR="00BE32C2" w:rsidRDefault="00CC599F" w:rsidP="00BE32C2">
      <w:pPr>
        <w:pStyle w:val="Paragraph"/>
        <w:numPr>
          <w:ilvl w:val="0"/>
          <w:numId w:val="0"/>
        </w:numPr>
        <w:tabs>
          <w:tab w:val="num" w:pos="810"/>
          <w:tab w:val="num" w:pos="1260"/>
        </w:tabs>
        <w:ind w:left="810"/>
      </w:pPr>
      <w:r w:rsidRPr="00822FCB">
        <w:t>Para el indicador de impacto denominado Productividad de la CGR, medido como el costo promedio de una auditoría,</w:t>
      </w:r>
      <w:r>
        <w:rPr>
          <w:noProof/>
          <w:lang w:eastAsia="es-ES"/>
        </w:rPr>
        <w:t xml:space="preserve"> los indicadores de cobertura </w:t>
      </w:r>
      <w:r>
        <w:rPr>
          <w:noProof/>
          <w:lang w:val="es-ES_tradnl" w:eastAsia="es-ES"/>
        </w:rPr>
        <w:t xml:space="preserve">y </w:t>
      </w:r>
      <w:r w:rsidRPr="00935EA2">
        <w:rPr>
          <w:noProof/>
          <w:lang w:val="es-ES_tradnl" w:eastAsia="es-ES"/>
        </w:rPr>
        <w:t>el ind</w:t>
      </w:r>
      <w:r>
        <w:rPr>
          <w:noProof/>
          <w:lang w:val="es-ES_tradnl" w:eastAsia="es-ES"/>
        </w:rPr>
        <w:t>i</w:t>
      </w:r>
      <w:r w:rsidRPr="00935EA2">
        <w:rPr>
          <w:noProof/>
          <w:lang w:val="es-ES_tradnl" w:eastAsia="es-ES"/>
        </w:rPr>
        <w:t>cador de grado de respuesta a las denuncias</w:t>
      </w:r>
      <w:r w:rsidRPr="00294384">
        <w:rPr>
          <w:noProof/>
          <w:lang w:eastAsia="es-ES"/>
        </w:rPr>
        <w:t xml:space="preserve"> </w:t>
      </w:r>
      <w:r w:rsidRPr="00822FCB">
        <w:t>se sugi</w:t>
      </w:r>
      <w:r>
        <w:t>ere utilizar la metodología de A</w:t>
      </w:r>
      <w:r w:rsidRPr="00822FCB">
        <w:t xml:space="preserve">ntes y </w:t>
      </w:r>
      <w:r>
        <w:t>D</w:t>
      </w:r>
      <w:r w:rsidRPr="00822FCB">
        <w:t>espués con tendencia.</w:t>
      </w:r>
      <w:r>
        <w:t xml:space="preserve"> E</w:t>
      </w:r>
      <w:r w:rsidRPr="00822FCB">
        <w:t xml:space="preserve">l método de Diferencias en Diferencias es inaplicable </w:t>
      </w:r>
      <w:r>
        <w:t xml:space="preserve">para evaluar estos indicadores </w:t>
      </w:r>
      <w:r w:rsidRPr="00822FCB">
        <w:t xml:space="preserve">debido a que no </w:t>
      </w:r>
      <w:r>
        <w:t>existe un grupo de control</w:t>
      </w:r>
      <w:r w:rsidRPr="003504B0">
        <w:t xml:space="preserve"> </w:t>
      </w:r>
      <w:r w:rsidRPr="00822FCB">
        <w:t>debido al gran alcance del programa en este indicador</w:t>
      </w:r>
      <w:r>
        <w:t xml:space="preserve">. </w:t>
      </w:r>
      <w:r w:rsidRPr="00822FCB">
        <w:t xml:space="preserve">El supuesto de identificación fundamental del enfoque </w:t>
      </w:r>
      <w:r>
        <w:t>Antes y Después</w:t>
      </w:r>
      <w:r w:rsidRPr="00822FCB">
        <w:t xml:space="preserve"> es que la tendencia del indicador de interés no hubiese cambiado en ausencia del proyecto, y por tanto constituye un buen contrafactual. Al poseer datos </w:t>
      </w:r>
      <w:r>
        <w:t>históricos</w:t>
      </w:r>
      <w:r w:rsidRPr="00822FCB">
        <w:t xml:space="preserve"> es posible estimar una tendencia antes del tratamiento, y proyectar esa tendencia a futura como escenario contrafactual.</w:t>
      </w:r>
      <w:r>
        <w:t xml:space="preserve"> </w:t>
      </w:r>
      <w:r w:rsidRPr="00822FCB">
        <w:t>Sin embargo, esta metodología no permite identificar si el cambio en la tendencia se debe a otros factores externos, por lo que no es posible asegurar una relación causal entre los indicadores estimados con la metodología antes y después y el programa. En este informe proponemos evaluar el impacto en este indicador, pero interpretar los resultados con reservas.</w:t>
      </w:r>
    </w:p>
    <w:p w:rsidR="00CC599F" w:rsidRPr="00822FCB" w:rsidRDefault="00CC599F" w:rsidP="00BE32C2">
      <w:pPr>
        <w:pStyle w:val="Paragraph"/>
        <w:numPr>
          <w:ilvl w:val="0"/>
          <w:numId w:val="0"/>
        </w:numPr>
        <w:tabs>
          <w:tab w:val="num" w:pos="810"/>
          <w:tab w:val="num" w:pos="1260"/>
        </w:tabs>
        <w:ind w:left="810"/>
      </w:pPr>
      <w:r w:rsidRPr="00822FCB">
        <w:t xml:space="preserve">Formalmente, el método </w:t>
      </w:r>
      <w:r w:rsidRPr="00D83B0D">
        <w:t>Antes y Después</w:t>
      </w:r>
      <w:r w:rsidRPr="00822FCB">
        <w:t xml:space="preserve"> (con tendencia) consiste en estimar el siguiente modelo de regresión:</w:t>
      </w:r>
    </w:p>
    <w:p w:rsidR="00CC599F" w:rsidRPr="00A24BBC" w:rsidRDefault="00BE32C2" w:rsidP="00CC599F">
      <w:pPr>
        <w:pStyle w:val="Paragraph"/>
        <w:numPr>
          <w:ilvl w:val="0"/>
          <w:numId w:val="0"/>
        </w:numPr>
        <w:spacing w:line="360" w:lineRule="auto"/>
        <w:ind w:left="810"/>
      </w:pP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r>
          <m:rPr>
            <m:sty m:val="p"/>
          </m:rPr>
          <w:rPr>
            <w:rFonts w:ascii="Cambria Math" w:hAnsi="Cambria Math"/>
          </w:rPr>
          <m:t>+γt+δt*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it</m:t>
            </m:r>
          </m:sub>
        </m:sSub>
        <m:r>
          <m:rPr>
            <m:sty m:val="p"/>
          </m:rPr>
          <w:rPr>
            <w:rFonts w:ascii="Cambria Math" w:hAnsi="Cambria Math"/>
          </w:rPr>
          <m:t>+β</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it</m:t>
            </m:r>
          </m:sub>
        </m:sSub>
      </m:oMath>
      <w:r w:rsidR="00CC599F" w:rsidRPr="00A24BBC">
        <w:t xml:space="preserve"> </w:t>
      </w:r>
    </w:p>
    <w:p w:rsidR="00BE32C2" w:rsidRPr="00822FCB" w:rsidRDefault="00BE32C2" w:rsidP="00F10814">
      <w:pPr>
        <w:pStyle w:val="Paragraph"/>
        <w:numPr>
          <w:ilvl w:val="0"/>
          <w:numId w:val="0"/>
        </w:numPr>
        <w:tabs>
          <w:tab w:val="num" w:pos="1260"/>
        </w:tabs>
        <w:ind w:left="806"/>
      </w:pPr>
      <w:r>
        <w:t>D</w:t>
      </w:r>
      <w:r w:rsidR="00CC599F" w:rsidRPr="00822FCB">
        <w:t>onde Y</w:t>
      </w:r>
      <w:r w:rsidR="00CC599F" w:rsidRPr="00455ADA">
        <w:rPr>
          <w:vertAlign w:val="subscript"/>
        </w:rPr>
        <w:t>it</w:t>
      </w:r>
      <w:r w:rsidR="00CC599F" w:rsidRPr="00822FCB">
        <w:t xml:space="preserve"> es alguna de las variables de impacto a analizar para la entidad i en el momento t, T</w:t>
      </w:r>
      <w:r w:rsidR="00CC599F" w:rsidRPr="00455ADA">
        <w:rPr>
          <w:vertAlign w:val="subscript"/>
        </w:rPr>
        <w:t>it</w:t>
      </w:r>
      <w:r w:rsidR="00CC599F" w:rsidRPr="00822FCB">
        <w:t xml:space="preserve"> es una variable dicotómica que toma valor uno si la entidad i es tratado en el momento t y cero en caso contrario (nótese que todas las entidades son tratadas en el mismo momento), t es una tendencia lineal (sugerimos utilizar una tendencia lineal porque no hay suficientes observaciones antes del tratamiento para poder identificar una tendencia más flexible), αi es un efecto fijo característico de cada entidad, γ es el parámetro que recoge el valor de la tendencia antes del tratamiento, δ es el parámetro que recoge el diferencial de la tendencia posterior al tratamiento, X</w:t>
      </w:r>
      <w:r w:rsidR="00CC599F" w:rsidRPr="00455ADA">
        <w:rPr>
          <w:vertAlign w:val="subscript"/>
        </w:rPr>
        <w:t xml:space="preserve">it </w:t>
      </w:r>
      <w:r w:rsidR="00CC599F" w:rsidRPr="00822FCB">
        <w:t>es una matriz de características de las entidades y ε</w:t>
      </w:r>
      <w:r w:rsidR="00CC599F" w:rsidRPr="00455ADA">
        <w:rPr>
          <w:vertAlign w:val="subscript"/>
        </w:rPr>
        <w:t>it</w:t>
      </w:r>
      <w:r w:rsidR="00CC599F" w:rsidRPr="00822FCB">
        <w:t xml:space="preserve"> es un término de error aleatorio que se supone no está correlacionado ni con X ni con T. </w:t>
      </w:r>
    </w:p>
    <w:p w:rsidR="00CC599F" w:rsidRPr="00365103" w:rsidRDefault="00CC599F" w:rsidP="00BE32C2">
      <w:pPr>
        <w:pStyle w:val="Paragraph"/>
        <w:numPr>
          <w:ilvl w:val="0"/>
          <w:numId w:val="0"/>
        </w:numPr>
        <w:spacing w:line="360" w:lineRule="auto"/>
        <w:ind w:left="540" w:hanging="360"/>
        <w:rPr>
          <w:b/>
          <w:szCs w:val="22"/>
          <w:lang w:val="es-ES_tradnl"/>
        </w:rPr>
      </w:pPr>
      <w:r w:rsidRPr="00365103">
        <w:rPr>
          <w:b/>
          <w:szCs w:val="22"/>
          <w:lang w:val="es-ES_tradnl"/>
        </w:rPr>
        <w:t xml:space="preserve">E. </w:t>
      </w:r>
      <w:r w:rsidR="00BE32C2">
        <w:rPr>
          <w:b/>
          <w:szCs w:val="22"/>
          <w:lang w:val="es-ES_tradnl"/>
        </w:rPr>
        <w:tab/>
      </w:r>
      <w:r w:rsidR="00BE32C2">
        <w:rPr>
          <w:b/>
          <w:szCs w:val="22"/>
          <w:lang w:val="es-ES_tradnl"/>
        </w:rPr>
        <w:tab/>
      </w:r>
      <w:r w:rsidRPr="00365103">
        <w:rPr>
          <w:b/>
          <w:szCs w:val="22"/>
          <w:lang w:val="es-ES_tradnl"/>
        </w:rPr>
        <w:t>Grupos de control y tratamiento</w:t>
      </w:r>
    </w:p>
    <w:p w:rsidR="00CC599F" w:rsidRPr="008236BC" w:rsidRDefault="00CC599F" w:rsidP="00CC599F">
      <w:pPr>
        <w:pStyle w:val="ListParagraph"/>
        <w:numPr>
          <w:ilvl w:val="0"/>
          <w:numId w:val="2"/>
        </w:numPr>
        <w:tabs>
          <w:tab w:val="left" w:pos="1440"/>
        </w:tabs>
        <w:spacing w:after="240"/>
        <w:contextualSpacing w:val="0"/>
        <w:jc w:val="center"/>
        <w:rPr>
          <w:b/>
          <w:smallCaps/>
          <w:vanish/>
          <w:lang w:val="es-ES"/>
        </w:rPr>
      </w:pPr>
    </w:p>
    <w:p w:rsidR="00CC599F" w:rsidRDefault="00CC599F" w:rsidP="00BE32C2">
      <w:pPr>
        <w:pStyle w:val="Paragraph"/>
        <w:numPr>
          <w:ilvl w:val="0"/>
          <w:numId w:val="0"/>
        </w:numPr>
        <w:tabs>
          <w:tab w:val="num" w:pos="1080"/>
          <w:tab w:val="num" w:pos="1260"/>
        </w:tabs>
        <w:ind w:left="806"/>
      </w:pPr>
      <w:r w:rsidRPr="00822FCB">
        <w:t>Para los indicadores</w:t>
      </w:r>
      <w:r>
        <w:t xml:space="preserve"> de cantidad de auditorías que pueden diferenciarse por sector </w:t>
      </w:r>
      <w:r w:rsidRPr="00822FCB">
        <w:t xml:space="preserve">podremos utilizar una metodología </w:t>
      </w:r>
      <w:r>
        <w:t>c</w:t>
      </w:r>
      <w:r w:rsidRPr="00822FCB">
        <w:t>uasi-experimental que permitirá sacar conclusiones más rigurosas respecto a la metodología anterior. Debido a qu</w:t>
      </w:r>
      <w:r>
        <w:t>e el proyecto se implementará inicialmente en los sectores de Infraestructura y Social</w:t>
      </w:r>
      <w:r w:rsidRPr="00822FCB">
        <w:t>, se podrá utilizar como grupo de control a aquellos sectores que todavía no han sido intervenidos como contrafáctico de aquellos sectores intervenidos.</w:t>
      </w:r>
      <w:r>
        <w:t xml:space="preserve"> En el cuadro E.1. a continuación se presenta la división en sectores y subsectores, de los cuales, 22 pertenecerán al grupo de tratados y 28 pertenecerán al grupo de control.</w:t>
      </w:r>
    </w:p>
    <w:p w:rsidR="00BE32C2" w:rsidRPr="00A24BBC" w:rsidRDefault="00BE32C2" w:rsidP="00BE32C2">
      <w:pPr>
        <w:pStyle w:val="Paragraph"/>
        <w:numPr>
          <w:ilvl w:val="0"/>
          <w:numId w:val="0"/>
        </w:numPr>
        <w:tabs>
          <w:tab w:val="num" w:pos="1080"/>
          <w:tab w:val="num" w:pos="1260"/>
        </w:tabs>
        <w:ind w:left="806"/>
      </w:pPr>
    </w:p>
    <w:p w:rsidR="00CC599F" w:rsidRDefault="00CC599F" w:rsidP="00CC599F">
      <w:pPr>
        <w:pStyle w:val="Paragraph"/>
        <w:numPr>
          <w:ilvl w:val="0"/>
          <w:numId w:val="0"/>
        </w:numPr>
        <w:spacing w:before="0" w:after="0"/>
        <w:rPr>
          <w:b/>
        </w:rPr>
      </w:pPr>
      <w:r>
        <w:rPr>
          <w:b/>
        </w:rPr>
        <w:t>Cuadro E.1. Identificación de los subsectores que pertenecen al</w:t>
      </w:r>
      <w:r w:rsidRPr="00664A94">
        <w:rPr>
          <w:b/>
        </w:rPr>
        <w:t xml:space="preserve"> grupo de control y tratamiento</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ook w:val="04A0" w:firstRow="1" w:lastRow="0" w:firstColumn="1" w:lastColumn="0" w:noHBand="0" w:noVBand="1"/>
      </w:tblPr>
      <w:tblGrid>
        <w:gridCol w:w="4734"/>
        <w:gridCol w:w="4735"/>
      </w:tblGrid>
      <w:tr w:rsidR="00CC599F" w:rsidRPr="00BE32C2" w:rsidTr="00BE32C2">
        <w:trPr>
          <w:trHeight w:val="315"/>
          <w:tblHeader/>
        </w:trPr>
        <w:tc>
          <w:tcPr>
            <w:tcW w:w="2500" w:type="pct"/>
            <w:shd w:val="clear" w:color="auto" w:fill="auto"/>
            <w:vAlign w:val="center"/>
          </w:tcPr>
          <w:p w:rsidR="00CC599F" w:rsidRPr="00BE32C2" w:rsidRDefault="00CC599F" w:rsidP="00BE32C2">
            <w:pPr>
              <w:jc w:val="center"/>
              <w:rPr>
                <w:b/>
                <w:bCs/>
                <w:lang w:val="es-ES_tradnl"/>
              </w:rPr>
            </w:pPr>
            <w:r w:rsidRPr="00BE32C2">
              <w:rPr>
                <w:b/>
                <w:bCs/>
                <w:lang w:val="es-ES_tradnl"/>
              </w:rPr>
              <w:t>CONTROLES</w:t>
            </w:r>
          </w:p>
        </w:tc>
        <w:tc>
          <w:tcPr>
            <w:tcW w:w="2500" w:type="pct"/>
            <w:shd w:val="clear" w:color="auto" w:fill="auto"/>
            <w:vAlign w:val="center"/>
          </w:tcPr>
          <w:p w:rsidR="00CC599F" w:rsidRPr="00BE32C2" w:rsidRDefault="00CC599F" w:rsidP="00BE32C2">
            <w:pPr>
              <w:jc w:val="center"/>
              <w:rPr>
                <w:b/>
                <w:bCs/>
                <w:lang w:val="es-ES_tradnl"/>
              </w:rPr>
            </w:pPr>
            <w:r w:rsidRPr="00BE32C2">
              <w:rPr>
                <w:b/>
                <w:bCs/>
                <w:lang w:val="es-ES_tradnl"/>
              </w:rPr>
              <w:t>TRATADOS</w:t>
            </w:r>
          </w:p>
        </w:tc>
      </w:tr>
      <w:tr w:rsidR="00CC599F" w:rsidRPr="00BE32C2" w:rsidTr="00BE32C2">
        <w:trPr>
          <w:trHeight w:val="315"/>
        </w:trPr>
        <w:tc>
          <w:tcPr>
            <w:tcW w:w="2500" w:type="pct"/>
            <w:shd w:val="clear" w:color="000000" w:fill="366092"/>
            <w:vAlign w:val="center"/>
            <w:hideMark/>
          </w:tcPr>
          <w:p w:rsidR="00CC599F" w:rsidRPr="00BE32C2" w:rsidRDefault="00CC599F" w:rsidP="00BE32C2">
            <w:pPr>
              <w:rPr>
                <w:b/>
                <w:bCs/>
                <w:color w:val="FFFFFF"/>
                <w:lang w:val="es-ES_tradnl"/>
              </w:rPr>
            </w:pPr>
            <w:r w:rsidRPr="00BE32C2">
              <w:rPr>
                <w:b/>
                <w:bCs/>
                <w:color w:val="FFFFFF"/>
                <w:lang w:val="es-ES_tradnl"/>
              </w:rPr>
              <w:t>Agropecuario</w:t>
            </w:r>
          </w:p>
        </w:tc>
        <w:tc>
          <w:tcPr>
            <w:tcW w:w="2500" w:type="pct"/>
            <w:shd w:val="clear" w:color="000000" w:fill="366092"/>
            <w:vAlign w:val="center"/>
          </w:tcPr>
          <w:p w:rsidR="00CC599F" w:rsidRPr="00BE32C2" w:rsidRDefault="00CC599F" w:rsidP="00BE32C2">
            <w:pPr>
              <w:rPr>
                <w:b/>
                <w:bCs/>
                <w:color w:val="FFFFFF"/>
              </w:rPr>
            </w:pPr>
            <w:r w:rsidRPr="00BE32C2">
              <w:rPr>
                <w:b/>
                <w:bCs/>
                <w:color w:val="FFFFFF"/>
              </w:rPr>
              <w:t>Social</w:t>
            </w:r>
          </w:p>
        </w:tc>
      </w:tr>
      <w:tr w:rsidR="00CC599F" w:rsidRPr="00BE32C2" w:rsidTr="00BE32C2">
        <w:trPr>
          <w:trHeight w:val="240"/>
        </w:trPr>
        <w:tc>
          <w:tcPr>
            <w:tcW w:w="2500" w:type="pct"/>
            <w:shd w:val="clear" w:color="auto" w:fill="auto"/>
            <w:vAlign w:val="center"/>
            <w:hideMark/>
          </w:tcPr>
          <w:p w:rsidR="00CC599F" w:rsidRPr="00BE32C2" w:rsidRDefault="00CC599F" w:rsidP="00BE32C2">
            <w:r w:rsidRPr="00BE32C2">
              <w:t>Regulador y Política</w:t>
            </w:r>
          </w:p>
        </w:tc>
        <w:tc>
          <w:tcPr>
            <w:tcW w:w="2500" w:type="pct"/>
            <w:vAlign w:val="center"/>
          </w:tcPr>
          <w:p w:rsidR="00CC599F" w:rsidRPr="00BE32C2" w:rsidRDefault="00CC599F" w:rsidP="00BE32C2">
            <w:pPr>
              <w:rPr>
                <w:lang w:val="es-ES_tradnl"/>
              </w:rPr>
            </w:pPr>
            <w:r w:rsidRPr="00BE32C2">
              <w:rPr>
                <w:lang w:val="es-ES_tradnl"/>
              </w:rPr>
              <w:t>Salud y Protección Social - Central</w:t>
            </w:r>
          </w:p>
        </w:tc>
      </w:tr>
      <w:tr w:rsidR="00CC599F" w:rsidRPr="00BE32C2" w:rsidTr="00BE32C2">
        <w:trPr>
          <w:trHeight w:val="259"/>
        </w:trPr>
        <w:tc>
          <w:tcPr>
            <w:tcW w:w="2500" w:type="pct"/>
            <w:shd w:val="clear" w:color="auto" w:fill="auto"/>
            <w:vAlign w:val="center"/>
            <w:hideMark/>
          </w:tcPr>
          <w:p w:rsidR="00CC599F" w:rsidRPr="00BE32C2" w:rsidRDefault="00CC599F" w:rsidP="00BE32C2">
            <w:r w:rsidRPr="00BE32C2">
              <w:t>Agroindustrial y Comercializadoras</w:t>
            </w:r>
          </w:p>
        </w:tc>
        <w:tc>
          <w:tcPr>
            <w:tcW w:w="2500" w:type="pct"/>
            <w:vAlign w:val="center"/>
          </w:tcPr>
          <w:p w:rsidR="00CC599F" w:rsidRPr="00BE32C2" w:rsidRDefault="00CC599F" w:rsidP="00BE32C2">
            <w:pPr>
              <w:rPr>
                <w:lang w:val="es-ES_tradnl"/>
              </w:rPr>
            </w:pPr>
            <w:r w:rsidRPr="00BE32C2">
              <w:rPr>
                <w:lang w:val="es-ES_tradnl"/>
              </w:rPr>
              <w:t>Salud - Empresas Sociales del Estado ESE</w:t>
            </w:r>
          </w:p>
        </w:tc>
      </w:tr>
      <w:tr w:rsidR="00CC599F" w:rsidRPr="00BE32C2" w:rsidTr="00BE32C2">
        <w:trPr>
          <w:trHeight w:val="510"/>
        </w:trPr>
        <w:tc>
          <w:tcPr>
            <w:tcW w:w="2500" w:type="pct"/>
            <w:shd w:val="clear" w:color="auto" w:fill="auto"/>
            <w:vAlign w:val="center"/>
            <w:hideMark/>
          </w:tcPr>
          <w:p w:rsidR="00CC599F" w:rsidRPr="00BE32C2" w:rsidRDefault="00CC599F" w:rsidP="00BE32C2">
            <w:pPr>
              <w:rPr>
                <w:lang w:val="es-ES_tradnl"/>
              </w:rPr>
            </w:pPr>
            <w:r w:rsidRPr="00BE32C2">
              <w:rPr>
                <w:lang w:val="es-ES_tradnl"/>
              </w:rPr>
              <w:t>Investigación, Desarrollo Tecnológico yTransferencia de Tecnología</w:t>
            </w:r>
          </w:p>
        </w:tc>
        <w:tc>
          <w:tcPr>
            <w:tcW w:w="2500" w:type="pct"/>
            <w:vAlign w:val="center"/>
          </w:tcPr>
          <w:p w:rsidR="00CC599F" w:rsidRPr="00BE32C2" w:rsidRDefault="00CC599F" w:rsidP="00BE32C2">
            <w:pPr>
              <w:rPr>
                <w:lang w:val="es-ES_tradnl"/>
              </w:rPr>
            </w:pPr>
            <w:r w:rsidRPr="00BE32C2">
              <w:rPr>
                <w:lang w:val="es-ES_tradnl"/>
              </w:rPr>
              <w:t>Salud - Entidades Promotoras de Salud EPS</w:t>
            </w:r>
          </w:p>
        </w:tc>
      </w:tr>
      <w:tr w:rsidR="00CC599F" w:rsidRPr="00BE32C2" w:rsidTr="00BE32C2">
        <w:trPr>
          <w:trHeight w:val="259"/>
        </w:trPr>
        <w:tc>
          <w:tcPr>
            <w:tcW w:w="2500" w:type="pct"/>
            <w:shd w:val="clear" w:color="auto" w:fill="auto"/>
            <w:vAlign w:val="center"/>
            <w:hideMark/>
          </w:tcPr>
          <w:p w:rsidR="00CC599F" w:rsidRPr="00BE32C2" w:rsidRDefault="00CC599F" w:rsidP="00BE32C2">
            <w:pPr>
              <w:rPr>
                <w:lang w:val="es-ES_tradnl"/>
              </w:rPr>
            </w:pPr>
            <w:r w:rsidRPr="00BE32C2">
              <w:rPr>
                <w:lang w:val="es-ES_tradnl"/>
              </w:rPr>
              <w:t>Fomento y Desarrollo Industrial Agropecuario</w:t>
            </w:r>
          </w:p>
        </w:tc>
        <w:tc>
          <w:tcPr>
            <w:tcW w:w="2500" w:type="pct"/>
            <w:vAlign w:val="center"/>
          </w:tcPr>
          <w:p w:rsidR="00CC599F" w:rsidRPr="00BE32C2" w:rsidRDefault="00CC599F" w:rsidP="00BE32C2">
            <w:pPr>
              <w:rPr>
                <w:lang w:val="es-ES_tradnl"/>
              </w:rPr>
            </w:pPr>
            <w:r w:rsidRPr="00BE32C2">
              <w:rPr>
                <w:lang w:val="es-ES_tradnl"/>
              </w:rPr>
              <w:t>Salud - Entidades Adaptadas al Sistema</w:t>
            </w:r>
          </w:p>
        </w:tc>
      </w:tr>
      <w:tr w:rsidR="00CC599F" w:rsidRPr="00BE32C2" w:rsidTr="00BE32C2">
        <w:trPr>
          <w:trHeight w:val="259"/>
        </w:trPr>
        <w:tc>
          <w:tcPr>
            <w:tcW w:w="2500" w:type="pct"/>
            <w:shd w:val="clear" w:color="auto" w:fill="auto"/>
            <w:vAlign w:val="center"/>
            <w:hideMark/>
          </w:tcPr>
          <w:p w:rsidR="00CC599F" w:rsidRPr="00BE32C2" w:rsidRDefault="00CC599F" w:rsidP="00BE32C2">
            <w:r w:rsidRPr="00BE32C2">
              <w:t>Entidades en Liquidación</w:t>
            </w:r>
          </w:p>
        </w:tc>
        <w:tc>
          <w:tcPr>
            <w:tcW w:w="2500" w:type="pct"/>
            <w:vAlign w:val="center"/>
          </w:tcPr>
          <w:p w:rsidR="00CC599F" w:rsidRPr="00BE32C2" w:rsidRDefault="00CC599F" w:rsidP="00BE32C2">
            <w:r w:rsidRPr="00BE32C2">
              <w:t>Educación – Central</w:t>
            </w:r>
          </w:p>
        </w:tc>
      </w:tr>
      <w:tr w:rsidR="00CC599F" w:rsidRPr="00BE32C2" w:rsidTr="00BE32C2">
        <w:trPr>
          <w:trHeight w:val="315"/>
        </w:trPr>
        <w:tc>
          <w:tcPr>
            <w:tcW w:w="2500" w:type="pct"/>
            <w:shd w:val="clear" w:color="000000" w:fill="366092"/>
            <w:vAlign w:val="center"/>
            <w:hideMark/>
          </w:tcPr>
          <w:p w:rsidR="00CC599F" w:rsidRPr="00BE32C2" w:rsidRDefault="00CC599F" w:rsidP="00BE32C2">
            <w:pPr>
              <w:rPr>
                <w:b/>
                <w:bCs/>
                <w:color w:val="FFFFFF"/>
              </w:rPr>
            </w:pPr>
            <w:r w:rsidRPr="00BE32C2">
              <w:rPr>
                <w:b/>
                <w:bCs/>
                <w:color w:val="FFFFFF"/>
              </w:rPr>
              <w:t>Defensa Justicia y Seguridad</w:t>
            </w:r>
          </w:p>
        </w:tc>
        <w:tc>
          <w:tcPr>
            <w:tcW w:w="2500" w:type="pct"/>
            <w:shd w:val="clear" w:color="auto" w:fill="auto"/>
            <w:vAlign w:val="center"/>
          </w:tcPr>
          <w:p w:rsidR="00CC599F" w:rsidRPr="00BE32C2" w:rsidRDefault="00CC599F" w:rsidP="00BE32C2">
            <w:r w:rsidRPr="00BE32C2">
              <w:t>Educación - Instituciones Educación Superior</w:t>
            </w:r>
          </w:p>
        </w:tc>
      </w:tr>
      <w:tr w:rsidR="00CC599F" w:rsidRPr="00BE32C2" w:rsidTr="00BE32C2">
        <w:trPr>
          <w:trHeight w:val="300"/>
        </w:trPr>
        <w:tc>
          <w:tcPr>
            <w:tcW w:w="2500" w:type="pct"/>
            <w:shd w:val="clear" w:color="auto" w:fill="auto"/>
            <w:vAlign w:val="center"/>
            <w:hideMark/>
          </w:tcPr>
          <w:p w:rsidR="00CC599F" w:rsidRPr="00BE32C2" w:rsidRDefault="00CC599F" w:rsidP="00BE32C2">
            <w:r w:rsidRPr="00BE32C2">
              <w:t>Defensa</w:t>
            </w:r>
          </w:p>
        </w:tc>
        <w:tc>
          <w:tcPr>
            <w:tcW w:w="2500" w:type="pct"/>
            <w:shd w:val="clear" w:color="auto" w:fill="auto"/>
            <w:vAlign w:val="center"/>
          </w:tcPr>
          <w:p w:rsidR="00CC599F" w:rsidRPr="00BE32C2" w:rsidRDefault="00CC599F" w:rsidP="00BE32C2">
            <w:pPr>
              <w:rPr>
                <w:lang w:val="es-ES_tradnl"/>
              </w:rPr>
            </w:pPr>
            <w:r w:rsidRPr="00BE32C2">
              <w:rPr>
                <w:lang w:val="es-ES_tradnl"/>
              </w:rPr>
              <w:t>Educación - Deporte y Aprovechamiento del Tiempo Libre</w:t>
            </w:r>
          </w:p>
        </w:tc>
      </w:tr>
      <w:tr w:rsidR="00CC599F" w:rsidRPr="00BE32C2" w:rsidTr="00BE32C2">
        <w:trPr>
          <w:trHeight w:val="300"/>
        </w:trPr>
        <w:tc>
          <w:tcPr>
            <w:tcW w:w="2500" w:type="pct"/>
            <w:shd w:val="clear" w:color="auto" w:fill="auto"/>
            <w:vAlign w:val="center"/>
            <w:hideMark/>
          </w:tcPr>
          <w:p w:rsidR="00CC599F" w:rsidRPr="00BE32C2" w:rsidRDefault="00CC599F" w:rsidP="00BE32C2">
            <w:pPr>
              <w:rPr>
                <w:lang w:val="es-ES_tradnl"/>
              </w:rPr>
            </w:pPr>
            <w:r w:rsidRPr="00BE32C2">
              <w:rPr>
                <w:lang w:val="es-ES_tradnl"/>
              </w:rPr>
              <w:t>Entes de Control y Administración</w:t>
            </w:r>
          </w:p>
        </w:tc>
        <w:tc>
          <w:tcPr>
            <w:tcW w:w="2500" w:type="pct"/>
            <w:shd w:val="clear" w:color="auto" w:fill="auto"/>
            <w:vAlign w:val="center"/>
          </w:tcPr>
          <w:p w:rsidR="00CC599F" w:rsidRPr="00BE32C2" w:rsidRDefault="00CC599F" w:rsidP="00BE32C2">
            <w:r w:rsidRPr="00BE32C2">
              <w:t>Cultura</w:t>
            </w:r>
          </w:p>
        </w:tc>
      </w:tr>
      <w:tr w:rsidR="00CC599F" w:rsidRPr="00BE32C2" w:rsidTr="00BE32C2">
        <w:trPr>
          <w:trHeight w:val="300"/>
        </w:trPr>
        <w:tc>
          <w:tcPr>
            <w:tcW w:w="2500" w:type="pct"/>
            <w:shd w:val="clear" w:color="auto" w:fill="auto"/>
            <w:vAlign w:val="center"/>
            <w:hideMark/>
          </w:tcPr>
          <w:p w:rsidR="00CC599F" w:rsidRPr="00BE32C2" w:rsidRDefault="00CC599F" w:rsidP="00BE32C2">
            <w:r w:rsidRPr="00BE32C2">
              <w:t>Seguridad</w:t>
            </w:r>
          </w:p>
        </w:tc>
        <w:tc>
          <w:tcPr>
            <w:tcW w:w="2500" w:type="pct"/>
            <w:shd w:val="clear" w:color="auto" w:fill="auto"/>
            <w:vAlign w:val="center"/>
          </w:tcPr>
          <w:p w:rsidR="00CC599F" w:rsidRPr="00BE32C2" w:rsidRDefault="00CC599F" w:rsidP="00BE32C2">
            <w:r w:rsidRPr="00BE32C2">
              <w:t>Trabajo - Central</w:t>
            </w:r>
          </w:p>
        </w:tc>
      </w:tr>
      <w:tr w:rsidR="00CC599F" w:rsidRPr="00BE32C2" w:rsidTr="00BE32C2">
        <w:trPr>
          <w:trHeight w:val="300"/>
        </w:trPr>
        <w:tc>
          <w:tcPr>
            <w:tcW w:w="2500" w:type="pct"/>
            <w:shd w:val="clear" w:color="auto" w:fill="auto"/>
            <w:vAlign w:val="center"/>
            <w:hideMark/>
          </w:tcPr>
          <w:p w:rsidR="00CC599F" w:rsidRPr="00BE32C2" w:rsidRDefault="00CC599F" w:rsidP="00BE32C2">
            <w:pPr>
              <w:rPr>
                <w:bCs/>
              </w:rPr>
            </w:pPr>
            <w:r w:rsidRPr="00BE32C2">
              <w:rPr>
                <w:bCs/>
              </w:rPr>
              <w:t>Justicia</w:t>
            </w:r>
          </w:p>
        </w:tc>
        <w:tc>
          <w:tcPr>
            <w:tcW w:w="2500" w:type="pct"/>
            <w:shd w:val="clear" w:color="auto" w:fill="auto"/>
            <w:vAlign w:val="center"/>
          </w:tcPr>
          <w:p w:rsidR="00CC599F" w:rsidRPr="00BE32C2" w:rsidRDefault="00CC599F" w:rsidP="00BE32C2">
            <w:pPr>
              <w:rPr>
                <w:lang w:val="es-ES_tradnl"/>
              </w:rPr>
            </w:pPr>
            <w:r w:rsidRPr="00BE32C2">
              <w:rPr>
                <w:lang w:val="es-ES_tradnl"/>
              </w:rPr>
              <w:t>Trabajo - Administradoras de Riesgos Laborales ARL</w:t>
            </w:r>
          </w:p>
        </w:tc>
      </w:tr>
      <w:tr w:rsidR="00CC599F" w:rsidRPr="00F10814" w:rsidTr="00BE32C2">
        <w:trPr>
          <w:trHeight w:val="300"/>
        </w:trPr>
        <w:tc>
          <w:tcPr>
            <w:tcW w:w="2500" w:type="pct"/>
            <w:shd w:val="clear" w:color="auto" w:fill="auto"/>
            <w:vAlign w:val="center"/>
            <w:hideMark/>
          </w:tcPr>
          <w:p w:rsidR="00CC599F" w:rsidRPr="00BE32C2" w:rsidRDefault="00CC599F" w:rsidP="00BE32C2">
            <w:r w:rsidRPr="00BE32C2">
              <w:t>Entidades En Liquidación</w:t>
            </w:r>
          </w:p>
        </w:tc>
        <w:tc>
          <w:tcPr>
            <w:tcW w:w="2500" w:type="pct"/>
            <w:shd w:val="clear" w:color="auto" w:fill="auto"/>
            <w:vAlign w:val="center"/>
          </w:tcPr>
          <w:p w:rsidR="00CC599F" w:rsidRPr="00BE32C2" w:rsidRDefault="00CC599F" w:rsidP="00BE32C2">
            <w:pPr>
              <w:rPr>
                <w:lang w:val="es-ES_tradnl"/>
              </w:rPr>
            </w:pPr>
            <w:r w:rsidRPr="00BE32C2">
              <w:rPr>
                <w:lang w:val="es-ES_tradnl"/>
              </w:rPr>
              <w:t>Trabajo - Pensiones Administradoras De Régimenes De Prima Media, Especiales Y Exceptuados</w:t>
            </w:r>
          </w:p>
        </w:tc>
      </w:tr>
      <w:tr w:rsidR="00CC599F" w:rsidRPr="00BE32C2" w:rsidTr="00BE32C2">
        <w:trPr>
          <w:trHeight w:val="510"/>
        </w:trPr>
        <w:tc>
          <w:tcPr>
            <w:tcW w:w="2500" w:type="pct"/>
            <w:shd w:val="clear" w:color="000000" w:fill="366092"/>
            <w:vAlign w:val="center"/>
            <w:hideMark/>
          </w:tcPr>
          <w:p w:rsidR="00CC599F" w:rsidRPr="00F10814" w:rsidRDefault="00F10814" w:rsidP="00BE32C2">
            <w:pPr>
              <w:rPr>
                <w:b/>
                <w:bCs/>
                <w:color w:val="FFFFFF"/>
                <w:lang w:val="es-ES_tradnl"/>
              </w:rPr>
            </w:pPr>
            <w:r w:rsidRPr="00F10814">
              <w:rPr>
                <w:b/>
                <w:bCs/>
                <w:color w:val="FFFFFF"/>
                <w:lang w:val="es-AR"/>
              </w:rPr>
              <w:t>Gestión</w:t>
            </w:r>
            <w:r w:rsidR="00CC599F" w:rsidRPr="00F10814">
              <w:rPr>
                <w:b/>
                <w:bCs/>
                <w:color w:val="FFFFFF"/>
                <w:lang w:val="es-ES_tradnl"/>
              </w:rPr>
              <w:t xml:space="preserve"> Publica e Instituciones Financieras</w:t>
            </w:r>
          </w:p>
        </w:tc>
        <w:tc>
          <w:tcPr>
            <w:tcW w:w="2500" w:type="pct"/>
            <w:shd w:val="clear" w:color="auto" w:fill="auto"/>
            <w:vAlign w:val="center"/>
          </w:tcPr>
          <w:p w:rsidR="00CC599F" w:rsidRPr="00BE32C2" w:rsidRDefault="00CC599F" w:rsidP="00BE32C2">
            <w:pPr>
              <w:rPr>
                <w:lang w:val="es-ES_tradnl"/>
              </w:rPr>
            </w:pPr>
            <w:r w:rsidRPr="00BE32C2">
              <w:rPr>
                <w:lang w:val="es-ES_tradnl"/>
              </w:rPr>
              <w:t>Trabajo - Pensiones Administradoras De Ahorro Individual</w:t>
            </w:r>
          </w:p>
        </w:tc>
      </w:tr>
      <w:tr w:rsidR="00CC599F" w:rsidRPr="00BE32C2" w:rsidTr="00BE32C2">
        <w:trPr>
          <w:trHeight w:val="315"/>
        </w:trPr>
        <w:tc>
          <w:tcPr>
            <w:tcW w:w="2500" w:type="pct"/>
            <w:shd w:val="clear" w:color="auto" w:fill="auto"/>
            <w:vAlign w:val="center"/>
            <w:hideMark/>
          </w:tcPr>
          <w:p w:rsidR="00CC599F" w:rsidRPr="00BE32C2" w:rsidRDefault="00CC599F" w:rsidP="00BE32C2">
            <w:r w:rsidRPr="00BE32C2">
              <w:t>Hacienda</w:t>
            </w:r>
          </w:p>
        </w:tc>
        <w:tc>
          <w:tcPr>
            <w:tcW w:w="2500" w:type="pct"/>
            <w:shd w:val="clear" w:color="auto" w:fill="auto"/>
            <w:vAlign w:val="center"/>
          </w:tcPr>
          <w:p w:rsidR="00CC599F" w:rsidRPr="00BE32C2" w:rsidRDefault="00CC599F" w:rsidP="00BE32C2">
            <w:pPr>
              <w:rPr>
                <w:lang w:val="es-ES_tradnl"/>
              </w:rPr>
            </w:pPr>
            <w:r w:rsidRPr="00BE32C2">
              <w:rPr>
                <w:lang w:val="es-ES_tradnl"/>
              </w:rPr>
              <w:t>Trabajo - Cajas de Compensación Familiar</w:t>
            </w:r>
          </w:p>
        </w:tc>
      </w:tr>
      <w:tr w:rsidR="00CC599F" w:rsidRPr="00BE32C2" w:rsidTr="00BE32C2">
        <w:trPr>
          <w:trHeight w:val="300"/>
        </w:trPr>
        <w:tc>
          <w:tcPr>
            <w:tcW w:w="2500" w:type="pct"/>
            <w:shd w:val="clear" w:color="auto" w:fill="auto"/>
            <w:vAlign w:val="center"/>
            <w:hideMark/>
          </w:tcPr>
          <w:p w:rsidR="00CC599F" w:rsidRPr="00BE32C2" w:rsidRDefault="00CC599F" w:rsidP="00BE32C2">
            <w:r w:rsidRPr="00BE32C2">
              <w:t>Gobierno</w:t>
            </w:r>
          </w:p>
        </w:tc>
        <w:tc>
          <w:tcPr>
            <w:tcW w:w="2500" w:type="pct"/>
            <w:shd w:val="clear" w:color="auto" w:fill="auto"/>
            <w:vAlign w:val="center"/>
          </w:tcPr>
          <w:p w:rsidR="00CC599F" w:rsidRPr="00BE32C2" w:rsidRDefault="00CC599F" w:rsidP="00BE32C2">
            <w:r w:rsidRPr="00BE32C2">
              <w:t>Inclusión Social y Reconciliación</w:t>
            </w:r>
          </w:p>
        </w:tc>
      </w:tr>
      <w:tr w:rsidR="00CC599F" w:rsidRPr="00BE32C2" w:rsidTr="00BE32C2">
        <w:trPr>
          <w:trHeight w:val="300"/>
        </w:trPr>
        <w:tc>
          <w:tcPr>
            <w:tcW w:w="2500" w:type="pct"/>
            <w:shd w:val="clear" w:color="auto" w:fill="auto"/>
            <w:vAlign w:val="center"/>
            <w:hideMark/>
          </w:tcPr>
          <w:p w:rsidR="00CC599F" w:rsidRPr="00BE32C2" w:rsidRDefault="00CC599F" w:rsidP="00BE32C2">
            <w:r w:rsidRPr="00BE32C2">
              <w:t>Financiero</w:t>
            </w:r>
          </w:p>
        </w:tc>
        <w:tc>
          <w:tcPr>
            <w:tcW w:w="2500" w:type="pct"/>
            <w:shd w:val="clear" w:color="auto" w:fill="auto"/>
            <w:vAlign w:val="center"/>
          </w:tcPr>
          <w:p w:rsidR="00CC599F" w:rsidRPr="00BE32C2" w:rsidRDefault="00CC599F" w:rsidP="00BE32C2">
            <w:pPr>
              <w:rPr>
                <w:lang w:val="es-ES_tradnl"/>
              </w:rPr>
            </w:pPr>
            <w:r w:rsidRPr="00BE32C2">
              <w:rPr>
                <w:lang w:val="es-ES_tradnl"/>
              </w:rPr>
              <w:t>Recursos Juntas Calificación De Invalidez (Nacional Y Regional) Ley 1562/12</w:t>
            </w:r>
          </w:p>
        </w:tc>
      </w:tr>
      <w:tr w:rsidR="00CC599F" w:rsidRPr="00BE32C2" w:rsidTr="00BE32C2">
        <w:trPr>
          <w:trHeight w:val="315"/>
        </w:trPr>
        <w:tc>
          <w:tcPr>
            <w:tcW w:w="2500" w:type="pct"/>
            <w:shd w:val="clear" w:color="auto" w:fill="auto"/>
            <w:vAlign w:val="center"/>
            <w:hideMark/>
          </w:tcPr>
          <w:p w:rsidR="00CC599F" w:rsidRPr="00BE32C2" w:rsidRDefault="00CC599F" w:rsidP="00BE32C2">
            <w:r w:rsidRPr="00BE32C2">
              <w:t>Legislativo</w:t>
            </w:r>
          </w:p>
        </w:tc>
        <w:tc>
          <w:tcPr>
            <w:tcW w:w="2500" w:type="pct"/>
            <w:shd w:val="clear" w:color="auto" w:fill="auto"/>
            <w:vAlign w:val="center"/>
          </w:tcPr>
          <w:p w:rsidR="00CC599F" w:rsidRPr="00BE32C2" w:rsidRDefault="00CC599F" w:rsidP="00BE32C2">
            <w:r w:rsidRPr="00BE32C2">
              <w:t>Entidades En Liquidación</w:t>
            </w:r>
          </w:p>
        </w:tc>
      </w:tr>
      <w:tr w:rsidR="00CC599F" w:rsidRPr="00BE32C2" w:rsidTr="00BE32C2">
        <w:trPr>
          <w:trHeight w:val="315"/>
        </w:trPr>
        <w:tc>
          <w:tcPr>
            <w:tcW w:w="2500" w:type="pct"/>
            <w:shd w:val="clear" w:color="auto" w:fill="auto"/>
            <w:vAlign w:val="center"/>
            <w:hideMark/>
          </w:tcPr>
          <w:p w:rsidR="00CC599F" w:rsidRPr="00BE32C2" w:rsidRDefault="00CC599F" w:rsidP="00BE32C2">
            <w:r w:rsidRPr="00BE32C2">
              <w:t>Información, Registro y Estadística</w:t>
            </w:r>
          </w:p>
        </w:tc>
        <w:tc>
          <w:tcPr>
            <w:tcW w:w="2500" w:type="pct"/>
            <w:shd w:val="clear" w:color="auto" w:fill="auto"/>
            <w:vAlign w:val="center"/>
          </w:tcPr>
          <w:p w:rsidR="00CC599F" w:rsidRPr="00BE32C2" w:rsidRDefault="00CC599F" w:rsidP="00BE32C2">
            <w:pPr>
              <w:rPr>
                <w:b/>
                <w:bCs/>
                <w:lang w:val="es-ES_tradnl"/>
              </w:rPr>
            </w:pPr>
            <w:r w:rsidRPr="00BE32C2">
              <w:rPr>
                <w:b/>
                <w:bCs/>
                <w:lang w:val="es-ES_tradnl"/>
              </w:rPr>
              <w:t>Territoriales (Incluye Recursos Del Sistema General De Regalías Y/O Participaciones)</w:t>
            </w:r>
          </w:p>
        </w:tc>
      </w:tr>
      <w:tr w:rsidR="00CC599F" w:rsidRPr="00BE32C2" w:rsidTr="00BE32C2">
        <w:trPr>
          <w:trHeight w:val="315"/>
        </w:trPr>
        <w:tc>
          <w:tcPr>
            <w:tcW w:w="2500" w:type="pct"/>
            <w:shd w:val="clear" w:color="auto" w:fill="auto"/>
            <w:vAlign w:val="center"/>
            <w:hideMark/>
          </w:tcPr>
          <w:p w:rsidR="00CC599F" w:rsidRPr="00BE32C2" w:rsidRDefault="00CC599F" w:rsidP="00BE32C2">
            <w:r w:rsidRPr="00BE32C2">
              <w:t>Solidario</w:t>
            </w:r>
          </w:p>
        </w:tc>
        <w:tc>
          <w:tcPr>
            <w:tcW w:w="2500" w:type="pct"/>
            <w:shd w:val="clear" w:color="000000" w:fill="366092"/>
            <w:vAlign w:val="center"/>
          </w:tcPr>
          <w:p w:rsidR="00CC599F" w:rsidRPr="00BE32C2" w:rsidRDefault="00CC599F" w:rsidP="00BE32C2">
            <w:pPr>
              <w:rPr>
                <w:lang w:val="es-ES_tradnl"/>
              </w:rPr>
            </w:pPr>
            <w:r w:rsidRPr="00BE32C2">
              <w:rPr>
                <w:b/>
                <w:bCs/>
                <w:color w:val="FFFFFF"/>
                <w:lang w:val="es-ES_tradnl"/>
              </w:rPr>
              <w:t>Infraestructura Fisica y Telecomunicaciones Comercio Exterior y Desarrollo Regional</w:t>
            </w:r>
          </w:p>
        </w:tc>
      </w:tr>
      <w:tr w:rsidR="00CC599F" w:rsidRPr="00BE32C2" w:rsidTr="00BE32C2">
        <w:trPr>
          <w:trHeight w:val="510"/>
        </w:trPr>
        <w:tc>
          <w:tcPr>
            <w:tcW w:w="2500" w:type="pct"/>
            <w:shd w:val="clear" w:color="auto" w:fill="auto"/>
            <w:vAlign w:val="center"/>
            <w:hideMark/>
          </w:tcPr>
          <w:p w:rsidR="00CC599F" w:rsidRPr="00BE32C2" w:rsidRDefault="00CC599F" w:rsidP="00BE32C2">
            <w:pPr>
              <w:rPr>
                <w:b/>
                <w:bCs/>
                <w:lang w:val="es-ES_tradnl"/>
              </w:rPr>
            </w:pPr>
            <w:r w:rsidRPr="00BE32C2">
              <w:rPr>
                <w:b/>
                <w:bCs/>
                <w:lang w:val="es-ES_tradnl"/>
              </w:rPr>
              <w:t>Territoriales (Leyes Límite Gasto Público 550/99 Y Sistema General Participaciones)</w:t>
            </w:r>
          </w:p>
        </w:tc>
        <w:tc>
          <w:tcPr>
            <w:tcW w:w="2500" w:type="pct"/>
            <w:vAlign w:val="center"/>
          </w:tcPr>
          <w:p w:rsidR="00CC599F" w:rsidRPr="00BE32C2" w:rsidRDefault="00CC599F" w:rsidP="00BE32C2">
            <w:pPr>
              <w:rPr>
                <w:b/>
                <w:bCs/>
                <w:lang w:val="es-ES_tradnl"/>
              </w:rPr>
            </w:pPr>
            <w:r w:rsidRPr="00BE32C2">
              <w:t>Telecomunicaciones</w:t>
            </w:r>
          </w:p>
        </w:tc>
      </w:tr>
      <w:tr w:rsidR="00CC599F" w:rsidRPr="00BE32C2" w:rsidTr="00BE32C2">
        <w:trPr>
          <w:trHeight w:val="315"/>
        </w:trPr>
        <w:tc>
          <w:tcPr>
            <w:tcW w:w="2500" w:type="pct"/>
            <w:shd w:val="clear" w:color="auto" w:fill="auto"/>
            <w:vAlign w:val="center"/>
            <w:hideMark/>
          </w:tcPr>
          <w:p w:rsidR="00CC599F" w:rsidRPr="00BE32C2" w:rsidRDefault="00CC599F" w:rsidP="00BE32C2">
            <w:r w:rsidRPr="00BE32C2">
              <w:t>Entidades En Liquidación</w:t>
            </w:r>
          </w:p>
        </w:tc>
        <w:tc>
          <w:tcPr>
            <w:tcW w:w="2500" w:type="pct"/>
            <w:vAlign w:val="center"/>
          </w:tcPr>
          <w:p w:rsidR="00CC599F" w:rsidRPr="00BE32C2" w:rsidRDefault="00CC599F" w:rsidP="00BE32C2">
            <w:r w:rsidRPr="00BE32C2">
              <w:t>Transporte</w:t>
            </w:r>
          </w:p>
        </w:tc>
      </w:tr>
      <w:tr w:rsidR="00CC599F" w:rsidRPr="00BE32C2" w:rsidTr="00BE32C2">
        <w:trPr>
          <w:trHeight w:val="395"/>
        </w:trPr>
        <w:tc>
          <w:tcPr>
            <w:tcW w:w="2500" w:type="pct"/>
            <w:shd w:val="clear" w:color="000000" w:fill="366092"/>
            <w:vAlign w:val="center"/>
          </w:tcPr>
          <w:p w:rsidR="00CC599F" w:rsidRPr="00BE32C2" w:rsidRDefault="00CC599F" w:rsidP="00BE32C2">
            <w:pPr>
              <w:rPr>
                <w:b/>
                <w:bCs/>
                <w:color w:val="FFFFFF"/>
                <w:lang w:val="es-ES_tradnl"/>
              </w:rPr>
            </w:pPr>
            <w:r w:rsidRPr="00BE32C2">
              <w:rPr>
                <w:b/>
                <w:bCs/>
                <w:color w:val="FFFFFF"/>
              </w:rPr>
              <w:t>Medio Ambiente</w:t>
            </w:r>
          </w:p>
        </w:tc>
        <w:tc>
          <w:tcPr>
            <w:tcW w:w="2500" w:type="pct"/>
            <w:vAlign w:val="center"/>
          </w:tcPr>
          <w:p w:rsidR="00CC599F" w:rsidRPr="00BE32C2" w:rsidRDefault="00CC599F" w:rsidP="00BE32C2">
            <w:pPr>
              <w:rPr>
                <w:b/>
                <w:bCs/>
                <w:color w:val="FFFFFF"/>
                <w:lang w:val="es-ES_tradnl"/>
              </w:rPr>
            </w:pPr>
            <w:r w:rsidRPr="00BE32C2">
              <w:t>Industria, Comercio y Turismo</w:t>
            </w:r>
          </w:p>
        </w:tc>
      </w:tr>
      <w:tr w:rsidR="00CC599F" w:rsidRPr="00BE32C2" w:rsidTr="00BE32C2">
        <w:trPr>
          <w:trHeight w:val="300"/>
        </w:trPr>
        <w:tc>
          <w:tcPr>
            <w:tcW w:w="2500" w:type="pct"/>
            <w:shd w:val="clear" w:color="auto" w:fill="auto"/>
            <w:vAlign w:val="center"/>
          </w:tcPr>
          <w:p w:rsidR="00CC599F" w:rsidRPr="00BE32C2" w:rsidRDefault="00CC599F" w:rsidP="00BE32C2">
            <w:pPr>
              <w:rPr>
                <w:lang w:val="es-ES_tradnl"/>
              </w:rPr>
            </w:pPr>
            <w:r w:rsidRPr="00BE32C2">
              <w:rPr>
                <w:lang w:val="es-ES_tradnl"/>
              </w:rPr>
              <w:t>Formulador y Regulador De Las Políticas</w:t>
            </w:r>
          </w:p>
        </w:tc>
        <w:tc>
          <w:tcPr>
            <w:tcW w:w="2500" w:type="pct"/>
            <w:vAlign w:val="center"/>
          </w:tcPr>
          <w:p w:rsidR="00CC599F" w:rsidRPr="00BE32C2" w:rsidRDefault="00CC599F" w:rsidP="00BE32C2">
            <w:pPr>
              <w:rPr>
                <w:lang w:val="es-ES_tradnl"/>
              </w:rPr>
            </w:pPr>
            <w:r w:rsidRPr="00BE32C2">
              <w:rPr>
                <w:lang w:val="es-ES_tradnl"/>
              </w:rPr>
              <w:t>Desarrollo Regional (Incluye Recursos Del Sistema General de Regalías y/o Participaciones)</w:t>
            </w:r>
          </w:p>
        </w:tc>
      </w:tr>
      <w:tr w:rsidR="00CC599F" w:rsidRPr="00BE32C2" w:rsidTr="00BE32C2">
        <w:trPr>
          <w:trHeight w:val="300"/>
        </w:trPr>
        <w:tc>
          <w:tcPr>
            <w:tcW w:w="2500" w:type="pct"/>
            <w:tcBorders>
              <w:bottom w:val="single" w:sz="4" w:space="0" w:color="auto"/>
            </w:tcBorders>
            <w:shd w:val="clear" w:color="auto" w:fill="auto"/>
            <w:vAlign w:val="center"/>
          </w:tcPr>
          <w:p w:rsidR="00CC599F" w:rsidRPr="00BE32C2" w:rsidRDefault="00CC599F" w:rsidP="00BE32C2">
            <w:r w:rsidRPr="00BE32C2">
              <w:t>Autoridades Ambientales</w:t>
            </w:r>
          </w:p>
        </w:tc>
        <w:tc>
          <w:tcPr>
            <w:tcW w:w="2500" w:type="pct"/>
            <w:vAlign w:val="center"/>
          </w:tcPr>
          <w:p w:rsidR="00CC599F" w:rsidRPr="00BE32C2" w:rsidRDefault="00CC599F" w:rsidP="00BE32C2">
            <w:r w:rsidRPr="00BE32C2">
              <w:t>Entidades en Liquidación</w:t>
            </w:r>
          </w:p>
        </w:tc>
      </w:tr>
      <w:tr w:rsidR="00CC599F" w:rsidRPr="00BE32C2" w:rsidTr="00BE32C2">
        <w:trPr>
          <w:gridAfter w:val="1"/>
          <w:wAfter w:w="2500" w:type="pct"/>
          <w:trHeight w:val="300"/>
        </w:trPr>
        <w:tc>
          <w:tcPr>
            <w:tcW w:w="2500" w:type="pct"/>
            <w:tcBorders>
              <w:right w:val="single" w:sz="18" w:space="0" w:color="auto"/>
            </w:tcBorders>
            <w:shd w:val="clear" w:color="auto" w:fill="auto"/>
            <w:vAlign w:val="center"/>
          </w:tcPr>
          <w:p w:rsidR="00CC599F" w:rsidRPr="00BE32C2" w:rsidRDefault="00CC599F" w:rsidP="00BE32C2">
            <w:pPr>
              <w:rPr>
                <w:lang w:val="es-ES_tradnl"/>
              </w:rPr>
            </w:pPr>
            <w:r w:rsidRPr="00BE32C2">
              <w:rPr>
                <w:lang w:val="es-ES_tradnl"/>
              </w:rPr>
              <w:t>Investigaciones Científicas Ambientales e Información Ambiental</w:t>
            </w:r>
          </w:p>
        </w:tc>
      </w:tr>
      <w:tr w:rsidR="00CC599F" w:rsidRPr="00BE32C2" w:rsidTr="00BE32C2">
        <w:trPr>
          <w:gridAfter w:val="1"/>
          <w:wAfter w:w="2500" w:type="pct"/>
          <w:trHeight w:val="510"/>
        </w:trPr>
        <w:tc>
          <w:tcPr>
            <w:tcW w:w="2500" w:type="pct"/>
            <w:tcBorders>
              <w:right w:val="single" w:sz="18" w:space="0" w:color="auto"/>
            </w:tcBorders>
            <w:shd w:val="clear" w:color="auto" w:fill="auto"/>
            <w:vAlign w:val="center"/>
          </w:tcPr>
          <w:p w:rsidR="00CC599F" w:rsidRPr="00BE32C2" w:rsidRDefault="00CC599F" w:rsidP="00BE32C2">
            <w:pPr>
              <w:rPr>
                <w:lang w:val="es-ES_tradnl"/>
              </w:rPr>
            </w:pPr>
            <w:r w:rsidRPr="00BE32C2">
              <w:rPr>
                <w:lang w:val="es-ES_tradnl"/>
              </w:rPr>
              <w:t>Asociaciones, Corporaciones Civiles y Patrimonios Naturales Del Sector</w:t>
            </w:r>
          </w:p>
        </w:tc>
      </w:tr>
      <w:tr w:rsidR="00CC599F" w:rsidRPr="00BE32C2" w:rsidTr="00BE32C2">
        <w:trPr>
          <w:gridAfter w:val="1"/>
          <w:wAfter w:w="2500" w:type="pct"/>
          <w:trHeight w:val="300"/>
        </w:trPr>
        <w:tc>
          <w:tcPr>
            <w:tcW w:w="2500" w:type="pct"/>
            <w:tcBorders>
              <w:right w:val="single" w:sz="18" w:space="0" w:color="auto"/>
            </w:tcBorders>
            <w:shd w:val="clear" w:color="auto" w:fill="auto"/>
            <w:vAlign w:val="center"/>
          </w:tcPr>
          <w:p w:rsidR="00CC599F" w:rsidRPr="00BE32C2" w:rsidRDefault="00CC599F" w:rsidP="00BE32C2">
            <w:pPr>
              <w:rPr>
                <w:lang w:val="es-ES_tradnl"/>
              </w:rPr>
            </w:pPr>
            <w:r w:rsidRPr="00BE32C2">
              <w:t>Entidades En Liquidación</w:t>
            </w:r>
          </w:p>
        </w:tc>
      </w:tr>
      <w:tr w:rsidR="00CC599F" w:rsidRPr="00BE32C2" w:rsidTr="00BE32C2">
        <w:trPr>
          <w:gridAfter w:val="1"/>
          <w:wAfter w:w="2500" w:type="pct"/>
          <w:trHeight w:val="315"/>
        </w:trPr>
        <w:tc>
          <w:tcPr>
            <w:tcW w:w="2500" w:type="pct"/>
            <w:tcBorders>
              <w:right w:val="single" w:sz="18" w:space="0" w:color="auto"/>
            </w:tcBorders>
            <w:shd w:val="clear" w:color="auto" w:fill="auto"/>
            <w:vAlign w:val="center"/>
            <w:hideMark/>
          </w:tcPr>
          <w:p w:rsidR="00CC599F" w:rsidRPr="00BE32C2" w:rsidRDefault="00CC599F" w:rsidP="00BE32C2">
            <w:pPr>
              <w:rPr>
                <w:b/>
                <w:bCs/>
                <w:color w:val="FFFFFF"/>
                <w:lang w:val="es-ES_tradnl"/>
              </w:rPr>
            </w:pPr>
            <w:r w:rsidRPr="00BE32C2">
              <w:rPr>
                <w:b/>
                <w:bCs/>
                <w:lang w:val="es-ES_tradnl"/>
              </w:rPr>
              <w:t>Territoriales (Incluye Recursos Del Sistema General De Regalías y/o Participaciones)</w:t>
            </w:r>
          </w:p>
        </w:tc>
      </w:tr>
      <w:tr w:rsidR="00CC599F" w:rsidRPr="00BE32C2" w:rsidTr="00BE32C2">
        <w:trPr>
          <w:gridAfter w:val="1"/>
          <w:wAfter w:w="2500" w:type="pct"/>
          <w:trHeight w:val="315"/>
        </w:trPr>
        <w:tc>
          <w:tcPr>
            <w:tcW w:w="2500" w:type="pct"/>
            <w:tcBorders>
              <w:right w:val="single" w:sz="18" w:space="0" w:color="auto"/>
            </w:tcBorders>
            <w:shd w:val="clear" w:color="000000" w:fill="366092"/>
            <w:vAlign w:val="center"/>
            <w:hideMark/>
          </w:tcPr>
          <w:p w:rsidR="00CC599F" w:rsidRPr="00BE32C2" w:rsidRDefault="00CC599F" w:rsidP="00BE32C2">
            <w:pPr>
              <w:rPr>
                <w:lang w:val="es-ES_tradnl"/>
              </w:rPr>
            </w:pPr>
            <w:r w:rsidRPr="00BE32C2">
              <w:rPr>
                <w:b/>
                <w:bCs/>
                <w:color w:val="FFFFFF"/>
              </w:rPr>
              <w:t>Minas y Energia</w:t>
            </w:r>
          </w:p>
        </w:tc>
      </w:tr>
      <w:tr w:rsidR="00CC599F" w:rsidRPr="00BE32C2" w:rsidTr="00BE32C2">
        <w:trPr>
          <w:gridAfter w:val="1"/>
          <w:wAfter w:w="2500" w:type="pct"/>
          <w:trHeight w:val="240"/>
        </w:trPr>
        <w:tc>
          <w:tcPr>
            <w:tcW w:w="2500" w:type="pct"/>
            <w:tcBorders>
              <w:right w:val="single" w:sz="18" w:space="0" w:color="auto"/>
            </w:tcBorders>
            <w:shd w:val="clear" w:color="auto" w:fill="auto"/>
            <w:vAlign w:val="center"/>
            <w:hideMark/>
          </w:tcPr>
          <w:p w:rsidR="00CC599F" w:rsidRPr="00BE32C2" w:rsidRDefault="00CC599F" w:rsidP="00BE32C2">
            <w:r w:rsidRPr="00BE32C2">
              <w:t>Energía Eléctrica</w:t>
            </w:r>
          </w:p>
        </w:tc>
      </w:tr>
      <w:tr w:rsidR="00CC599F" w:rsidRPr="00BE32C2" w:rsidTr="00BE32C2">
        <w:trPr>
          <w:gridAfter w:val="1"/>
          <w:wAfter w:w="2500" w:type="pct"/>
          <w:trHeight w:val="233"/>
        </w:trPr>
        <w:tc>
          <w:tcPr>
            <w:tcW w:w="2500" w:type="pct"/>
            <w:tcBorders>
              <w:right w:val="single" w:sz="18" w:space="0" w:color="auto"/>
            </w:tcBorders>
            <w:shd w:val="clear" w:color="auto" w:fill="auto"/>
            <w:vAlign w:val="center"/>
            <w:hideMark/>
          </w:tcPr>
          <w:p w:rsidR="00CC599F" w:rsidRPr="00BE32C2" w:rsidRDefault="00CC599F" w:rsidP="00BE32C2">
            <w:pPr>
              <w:rPr>
                <w:lang w:val="es-ES_tradnl"/>
              </w:rPr>
            </w:pPr>
            <w:r w:rsidRPr="00BE32C2">
              <w:t>Hidrocarburos</w:t>
            </w:r>
          </w:p>
        </w:tc>
      </w:tr>
      <w:tr w:rsidR="00CC599F" w:rsidRPr="00BE32C2" w:rsidTr="00BE32C2">
        <w:trPr>
          <w:gridAfter w:val="1"/>
          <w:wAfter w:w="2500" w:type="pct"/>
          <w:trHeight w:val="152"/>
        </w:trPr>
        <w:tc>
          <w:tcPr>
            <w:tcW w:w="2500" w:type="pct"/>
            <w:tcBorders>
              <w:right w:val="single" w:sz="18" w:space="0" w:color="auto"/>
            </w:tcBorders>
            <w:shd w:val="clear" w:color="auto" w:fill="auto"/>
            <w:vAlign w:val="center"/>
            <w:hideMark/>
          </w:tcPr>
          <w:p w:rsidR="00CC599F" w:rsidRPr="00BE32C2" w:rsidRDefault="00CC599F" w:rsidP="00BE32C2">
            <w:pPr>
              <w:rPr>
                <w:lang w:val="es-ES_tradnl"/>
              </w:rPr>
            </w:pPr>
            <w:r w:rsidRPr="00BE32C2">
              <w:t>Minas</w:t>
            </w:r>
          </w:p>
        </w:tc>
      </w:tr>
      <w:tr w:rsidR="00CC599F" w:rsidRPr="00BE32C2" w:rsidTr="00BE32C2">
        <w:trPr>
          <w:gridAfter w:val="1"/>
          <w:wAfter w:w="2500" w:type="pct"/>
          <w:trHeight w:val="170"/>
        </w:trPr>
        <w:tc>
          <w:tcPr>
            <w:tcW w:w="2500" w:type="pct"/>
            <w:tcBorders>
              <w:right w:val="single" w:sz="18" w:space="0" w:color="auto"/>
            </w:tcBorders>
            <w:shd w:val="clear" w:color="auto" w:fill="auto"/>
            <w:vAlign w:val="center"/>
            <w:hideMark/>
          </w:tcPr>
          <w:p w:rsidR="00CC599F" w:rsidRPr="00BE32C2" w:rsidRDefault="00CC599F" w:rsidP="00BE32C2">
            <w:r w:rsidRPr="00BE32C2">
              <w:t>Entidades En Liquidación</w:t>
            </w:r>
          </w:p>
        </w:tc>
      </w:tr>
    </w:tbl>
    <w:p w:rsidR="00CC599F" w:rsidRPr="00A23E68" w:rsidRDefault="00CC599F" w:rsidP="00CC599F">
      <w:pPr>
        <w:pStyle w:val="Paragraph"/>
        <w:numPr>
          <w:ilvl w:val="0"/>
          <w:numId w:val="0"/>
        </w:numPr>
        <w:spacing w:before="0" w:after="0"/>
        <w:ind w:left="1267"/>
        <w:rPr>
          <w:b/>
          <w:lang w:val="es-ES_tradnl"/>
        </w:rPr>
      </w:pPr>
    </w:p>
    <w:p w:rsidR="00CC599F" w:rsidRPr="00822FCB" w:rsidRDefault="00CC599F" w:rsidP="00BE32C2">
      <w:pPr>
        <w:pStyle w:val="Paragraph"/>
        <w:numPr>
          <w:ilvl w:val="0"/>
          <w:numId w:val="0"/>
        </w:numPr>
        <w:tabs>
          <w:tab w:val="num" w:pos="1080"/>
          <w:tab w:val="num" w:pos="1260"/>
        </w:tabs>
        <w:ind w:left="806"/>
      </w:pPr>
      <w:r w:rsidRPr="00822FCB">
        <w:t xml:space="preserve">El supuesto de identificación del método </w:t>
      </w:r>
      <w:r w:rsidRPr="00E66483">
        <w:t>de diferencia</w:t>
      </w:r>
      <w:r w:rsidRPr="00822FCB">
        <w:t xml:space="preserve"> en diferencias es que la tendencia post tratamiento del grupo de control es un buen estimador de lo que hubiera sido la tendencia del grupo tratado en ausencia del tratamiento. Si bien este supuesto no es testeable, para aquellos indicadores para los cuales se tiene varios años de información antes de comenzar el programa es posible testear la similitud de las tendencias previas al tratamiento de ambos grupos.</w:t>
      </w:r>
    </w:p>
    <w:p w:rsidR="00CC599F" w:rsidRPr="00A24BBC" w:rsidRDefault="00CC599F" w:rsidP="00BE32C2">
      <w:pPr>
        <w:pStyle w:val="Paragraph"/>
        <w:numPr>
          <w:ilvl w:val="0"/>
          <w:numId w:val="0"/>
        </w:numPr>
        <w:tabs>
          <w:tab w:val="num" w:pos="1080"/>
          <w:tab w:val="num" w:pos="1260"/>
        </w:tabs>
        <w:ind w:left="806"/>
      </w:pPr>
      <w:r w:rsidRPr="00A24BBC">
        <w:t xml:space="preserve">La estimación del impacto causal del programa sobre las variables de interés se obtendrá comparando los indicadores antes y después de efectuado el proyecto en ambos grupos. </w:t>
      </w:r>
    </w:p>
    <w:p w:rsidR="00CC599F" w:rsidRPr="00A24BBC" w:rsidRDefault="00CC599F" w:rsidP="00BE32C2">
      <w:pPr>
        <w:pStyle w:val="Paragraph"/>
        <w:numPr>
          <w:ilvl w:val="0"/>
          <w:numId w:val="0"/>
        </w:numPr>
        <w:tabs>
          <w:tab w:val="num" w:pos="1080"/>
          <w:tab w:val="num" w:pos="1260"/>
        </w:tabs>
        <w:ind w:left="806"/>
      </w:pPr>
      <w:r w:rsidRPr="00A24BBC">
        <w:t>Formalmente, el método de diferencias en diferencias consiste en estimar el siguiente modelo de regresión:</w:t>
      </w:r>
    </w:p>
    <w:p w:rsidR="00CC599F" w:rsidRPr="00A24BBC" w:rsidRDefault="00CC599F" w:rsidP="00CC599F">
      <w:pPr>
        <w:pStyle w:val="Paragraph"/>
        <w:numPr>
          <w:ilvl w:val="0"/>
          <w:numId w:val="0"/>
        </w:numPr>
        <w:spacing w:line="360" w:lineRule="auto"/>
        <w:ind w:left="810"/>
      </w:pPr>
      <w:r w:rsidRPr="00A24BBC">
        <w:object w:dxaOrig="2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8.75pt" o:ole="">
            <v:imagedata r:id="rId9" o:title=""/>
          </v:shape>
          <o:OLEObject Type="Embed" ProgID="Equation.DSMT4" ShapeID="_x0000_i1025" DrawAspect="Content" ObjectID="_1492271083" r:id="rId10"/>
        </w:object>
      </w:r>
    </w:p>
    <w:p w:rsidR="00CC599F" w:rsidRPr="00A24BBC" w:rsidRDefault="00BE32C2" w:rsidP="00BE32C2">
      <w:pPr>
        <w:pStyle w:val="Paragraph"/>
        <w:numPr>
          <w:ilvl w:val="0"/>
          <w:numId w:val="0"/>
        </w:numPr>
        <w:tabs>
          <w:tab w:val="num" w:pos="1260"/>
        </w:tabs>
        <w:spacing w:before="0" w:after="0"/>
        <w:ind w:left="806"/>
      </w:pPr>
      <w:r>
        <w:t>D</w:t>
      </w:r>
      <w:r w:rsidR="00CC599F" w:rsidRPr="00A24BBC">
        <w:t>onde Y</w:t>
      </w:r>
      <w:r w:rsidR="00CC599F" w:rsidRPr="006E6E5E">
        <w:rPr>
          <w:vertAlign w:val="subscript"/>
        </w:rPr>
        <w:t>it</w:t>
      </w:r>
      <w:r w:rsidR="00CC599F" w:rsidRPr="00A24BBC">
        <w:t xml:space="preserve"> es alguna de las variables de impacto a analizar para el sector i en el momento t, T</w:t>
      </w:r>
      <w:r w:rsidR="00CC599F" w:rsidRPr="006E6E5E">
        <w:rPr>
          <w:vertAlign w:val="subscript"/>
        </w:rPr>
        <w:t>it</w:t>
      </w:r>
      <w:r w:rsidR="00CC599F" w:rsidRPr="00A24BBC">
        <w:t xml:space="preserve"> es una variable dicotómica que toma valor uno si el sector i es tratado en el momento t y cero en caso contrario, γ es el parámetro que recoge el impacto de interés y X</w:t>
      </w:r>
      <w:r w:rsidR="00CC599F" w:rsidRPr="006E6E5E">
        <w:rPr>
          <w:vertAlign w:val="subscript"/>
        </w:rPr>
        <w:t>it</w:t>
      </w:r>
      <w:r w:rsidR="00CC599F" w:rsidRPr="00A24BBC">
        <w:t xml:space="preserve"> es una matriz de características de los sectores. Los últimos tres términos de la ecuación (1) representan los determinantes inobservables que afectan las variables de impacto: αi es un efecto fijo característico de cada sector, μt es un efecto temporal común a todos los sectores en el momento t y εit es un término de error aleatorio que se supone no está correlacionado ni con X ni con T. </w:t>
      </w:r>
    </w:p>
    <w:p w:rsidR="00CC599F" w:rsidRDefault="00CC599F" w:rsidP="00BE32C2">
      <w:pPr>
        <w:pStyle w:val="Paragraph"/>
        <w:numPr>
          <w:ilvl w:val="0"/>
          <w:numId w:val="0"/>
        </w:numPr>
        <w:tabs>
          <w:tab w:val="num" w:pos="1080"/>
          <w:tab w:val="num" w:pos="1260"/>
        </w:tabs>
        <w:spacing w:before="0"/>
        <w:ind w:left="806"/>
      </w:pPr>
      <w:r w:rsidRPr="00A24BBC">
        <w:t xml:space="preserve">Debido a que el número de subsectores con el que trabajamos es pequeño en términos estadísticos como para agrupar los errores al nivel de sector, se sugiere utilizar la metodología de Canay, Romano y Shaikh (2013) para mejorar la inferencia del estimador.  Esta metodología se encuentra especialmente diseñada para casos en los cuales las unidades tratadas son pocas y el ratio entre las tratadas y la cantidad total de unidades es bajo. </w:t>
      </w:r>
    </w:p>
    <w:p w:rsidR="00CC599F" w:rsidRDefault="00CC599F" w:rsidP="00BE32C2">
      <w:pPr>
        <w:pStyle w:val="Paragraph"/>
        <w:numPr>
          <w:ilvl w:val="0"/>
          <w:numId w:val="0"/>
        </w:numPr>
        <w:tabs>
          <w:tab w:val="num" w:pos="1080"/>
          <w:tab w:val="num" w:pos="1260"/>
        </w:tabs>
        <w:spacing w:before="240" w:line="360" w:lineRule="auto"/>
        <w:ind w:left="806"/>
        <w:rPr>
          <w:b/>
        </w:rPr>
      </w:pPr>
      <w:r>
        <w:rPr>
          <w:b/>
        </w:rPr>
        <w:t>C</w:t>
      </w:r>
      <w:r w:rsidRPr="00CE0D3B">
        <w:rPr>
          <w:b/>
        </w:rPr>
        <w:t>álculos de poder estadístico</w:t>
      </w:r>
    </w:p>
    <w:p w:rsidR="00CC599F" w:rsidRDefault="00CC599F" w:rsidP="00BE32C2">
      <w:pPr>
        <w:pStyle w:val="Paragraph"/>
        <w:numPr>
          <w:ilvl w:val="0"/>
          <w:numId w:val="0"/>
        </w:numPr>
        <w:tabs>
          <w:tab w:val="num" w:pos="1260"/>
        </w:tabs>
        <w:ind w:left="806"/>
      </w:pPr>
      <w:r>
        <w:t xml:space="preserve">Teniendo en cuenta que serán 22 unidades tratadas y 28 unidades de control, suponiendo un nivel de significancia del 95% y esperando un nivel de potencia del 80%, es necesario que el programa tenga un efecto mínimo de 0.8 desvíos estándar para que el efecto sea capturado con este tamaño de muestra. </w:t>
      </w:r>
    </w:p>
    <w:p w:rsidR="00BE32C2" w:rsidRPr="00CE0D3B" w:rsidRDefault="00BE32C2" w:rsidP="00BE32C2">
      <w:pPr>
        <w:pStyle w:val="Paragraph"/>
        <w:numPr>
          <w:ilvl w:val="0"/>
          <w:numId w:val="0"/>
        </w:numPr>
        <w:tabs>
          <w:tab w:val="num" w:pos="1260"/>
        </w:tabs>
        <w:ind w:left="806"/>
      </w:pPr>
    </w:p>
    <w:p w:rsidR="00CC599F" w:rsidRPr="00A90075" w:rsidRDefault="00CC599F" w:rsidP="00CC599F">
      <w:pPr>
        <w:pStyle w:val="FirstHeading"/>
        <w:numPr>
          <w:ilvl w:val="0"/>
          <w:numId w:val="0"/>
        </w:numPr>
        <w:spacing w:line="360" w:lineRule="auto"/>
        <w:ind w:left="810" w:hanging="720"/>
        <w:rPr>
          <w:szCs w:val="22"/>
          <w:lang w:val="es-ES_tradnl"/>
        </w:rPr>
      </w:pPr>
      <w:r w:rsidRPr="00A90075">
        <w:rPr>
          <w:szCs w:val="22"/>
          <w:lang w:val="es-ES_tradnl"/>
        </w:rPr>
        <w:t xml:space="preserve">F. </w:t>
      </w:r>
      <w:r w:rsidR="00BE32C2">
        <w:rPr>
          <w:szCs w:val="22"/>
          <w:lang w:val="es-ES_tradnl"/>
        </w:rPr>
        <w:tab/>
      </w:r>
      <w:r w:rsidRPr="00A90075">
        <w:rPr>
          <w:szCs w:val="22"/>
          <w:lang w:val="es-ES_tradnl"/>
        </w:rPr>
        <w:t>Datos previos al programa</w:t>
      </w:r>
    </w:p>
    <w:p w:rsidR="00CC599F" w:rsidRPr="00BE32C2" w:rsidRDefault="00CC599F" w:rsidP="00CC599F">
      <w:pPr>
        <w:pStyle w:val="FirstHeading"/>
        <w:numPr>
          <w:ilvl w:val="0"/>
          <w:numId w:val="0"/>
        </w:numPr>
        <w:spacing w:before="0" w:after="0"/>
        <w:ind w:left="720" w:hanging="720"/>
        <w:jc w:val="center"/>
        <w:rPr>
          <w:sz w:val="20"/>
          <w:lang w:val="es-ES_tradnl"/>
        </w:rPr>
      </w:pPr>
      <w:r w:rsidRPr="00BE32C2">
        <w:rPr>
          <w:sz w:val="20"/>
          <w:lang w:val="es-ES_tradnl"/>
        </w:rPr>
        <w:t>Cuadro F.1. Indicador productividad</w:t>
      </w:r>
    </w:p>
    <w:tbl>
      <w:tblPr>
        <w:tblW w:w="69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37"/>
        <w:gridCol w:w="3137"/>
      </w:tblGrid>
      <w:tr w:rsidR="00CC599F" w:rsidRPr="00BE32C2" w:rsidTr="00BE32C2">
        <w:trPr>
          <w:trHeight w:val="737"/>
          <w:tblHeader/>
          <w:jc w:val="center"/>
        </w:trPr>
        <w:tc>
          <w:tcPr>
            <w:tcW w:w="661" w:type="dxa"/>
            <w:vAlign w:val="center"/>
          </w:tcPr>
          <w:p w:rsidR="00CC599F" w:rsidRPr="00BE32C2" w:rsidRDefault="00CC599F" w:rsidP="00BE32C2">
            <w:pPr>
              <w:jc w:val="center"/>
              <w:rPr>
                <w:b/>
                <w:lang w:val="es-ES_tradnl"/>
              </w:rPr>
            </w:pPr>
          </w:p>
        </w:tc>
        <w:tc>
          <w:tcPr>
            <w:tcW w:w="3137" w:type="dxa"/>
            <w:vAlign w:val="center"/>
          </w:tcPr>
          <w:p w:rsidR="00CC599F" w:rsidRPr="00BE32C2" w:rsidRDefault="00CC599F" w:rsidP="00BE32C2">
            <w:pPr>
              <w:jc w:val="center"/>
              <w:rPr>
                <w:b/>
                <w:lang w:val="es-ES_tradnl"/>
              </w:rPr>
            </w:pPr>
            <w:r w:rsidRPr="00BE32C2">
              <w:rPr>
                <w:b/>
                <w:lang w:val="es-ES_tradnl"/>
              </w:rPr>
              <w:t>Presupuesto de funcionamiento</w:t>
            </w:r>
          </w:p>
          <w:p w:rsidR="00CC599F" w:rsidRPr="00BE32C2" w:rsidRDefault="00CC599F" w:rsidP="00BE32C2">
            <w:pPr>
              <w:jc w:val="center"/>
              <w:rPr>
                <w:b/>
                <w:lang w:val="es-ES_tradnl"/>
              </w:rPr>
            </w:pPr>
            <w:r w:rsidRPr="00BE32C2">
              <w:rPr>
                <w:b/>
                <w:lang w:val="es-ES_tradnl"/>
              </w:rPr>
              <w:t>(USD)</w:t>
            </w:r>
          </w:p>
        </w:tc>
        <w:tc>
          <w:tcPr>
            <w:tcW w:w="3137" w:type="dxa"/>
            <w:vAlign w:val="center"/>
          </w:tcPr>
          <w:p w:rsidR="00CC599F" w:rsidRPr="00BE32C2" w:rsidRDefault="00CC599F" w:rsidP="00BE32C2">
            <w:pPr>
              <w:jc w:val="center"/>
              <w:rPr>
                <w:b/>
                <w:lang w:val="es-ES_tradnl"/>
              </w:rPr>
            </w:pPr>
            <w:r w:rsidRPr="00BE32C2">
              <w:rPr>
                <w:b/>
                <w:lang w:val="es-ES_tradnl"/>
              </w:rPr>
              <w:t>Cantidad de auditorías</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rPr>
                <w:lang w:val="es-ES_tradnl"/>
              </w:rPr>
              <w:t>2</w:t>
            </w:r>
            <w:r w:rsidRPr="00BE32C2">
              <w:t>006</w:t>
            </w:r>
          </w:p>
        </w:tc>
        <w:tc>
          <w:tcPr>
            <w:tcW w:w="3137" w:type="dxa"/>
            <w:vAlign w:val="center"/>
          </w:tcPr>
          <w:p w:rsidR="00CC599F" w:rsidRPr="00BE32C2" w:rsidRDefault="00CC599F" w:rsidP="00BE32C2">
            <w:pPr>
              <w:jc w:val="center"/>
            </w:pPr>
            <w:r w:rsidRPr="00BE32C2">
              <w:t>73106338.74</w:t>
            </w:r>
          </w:p>
        </w:tc>
        <w:tc>
          <w:tcPr>
            <w:tcW w:w="3137" w:type="dxa"/>
            <w:vMerge w:val="restart"/>
            <w:vAlign w:val="center"/>
          </w:tcPr>
          <w:p w:rsidR="00CC599F" w:rsidRPr="00BE32C2" w:rsidRDefault="00CC599F" w:rsidP="00BE32C2">
            <w:pPr>
              <w:jc w:val="center"/>
            </w:pPr>
            <w:r w:rsidRPr="00BE32C2">
              <w:t>939</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2007</w:t>
            </w:r>
          </w:p>
        </w:tc>
        <w:tc>
          <w:tcPr>
            <w:tcW w:w="3137" w:type="dxa"/>
            <w:vAlign w:val="center"/>
          </w:tcPr>
          <w:p w:rsidR="00CC599F" w:rsidRPr="00BE32C2" w:rsidRDefault="00CC599F" w:rsidP="00BE32C2">
            <w:pPr>
              <w:jc w:val="center"/>
            </w:pPr>
            <w:r w:rsidRPr="00BE32C2">
              <w:t>85956445.02</w:t>
            </w:r>
          </w:p>
        </w:tc>
        <w:tc>
          <w:tcPr>
            <w:tcW w:w="3137" w:type="dxa"/>
            <w:vMerge/>
          </w:tcPr>
          <w:p w:rsidR="00CC599F" w:rsidRPr="00BE32C2" w:rsidRDefault="00CC599F" w:rsidP="00BE32C2">
            <w:pPr>
              <w:jc w:val="center"/>
            </w:pP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2008</w:t>
            </w:r>
          </w:p>
        </w:tc>
        <w:tc>
          <w:tcPr>
            <w:tcW w:w="3137" w:type="dxa"/>
            <w:vAlign w:val="center"/>
          </w:tcPr>
          <w:p w:rsidR="00CC599F" w:rsidRPr="00BE32C2" w:rsidRDefault="00CC599F" w:rsidP="00BE32C2">
            <w:pPr>
              <w:jc w:val="center"/>
            </w:pPr>
            <w:r w:rsidRPr="00BE32C2">
              <w:t>107010308.20</w:t>
            </w:r>
          </w:p>
        </w:tc>
        <w:tc>
          <w:tcPr>
            <w:tcW w:w="3137" w:type="dxa"/>
          </w:tcPr>
          <w:p w:rsidR="00CC599F" w:rsidRPr="00BE32C2" w:rsidRDefault="00CC599F" w:rsidP="00BE32C2">
            <w:pPr>
              <w:jc w:val="center"/>
            </w:pPr>
            <w:r w:rsidRPr="00BE32C2">
              <w:t>1300</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2009</w:t>
            </w:r>
          </w:p>
        </w:tc>
        <w:tc>
          <w:tcPr>
            <w:tcW w:w="3137" w:type="dxa"/>
            <w:vAlign w:val="center"/>
          </w:tcPr>
          <w:p w:rsidR="00CC599F" w:rsidRPr="00BE32C2" w:rsidRDefault="00CC599F" w:rsidP="00BE32C2">
            <w:pPr>
              <w:jc w:val="center"/>
            </w:pPr>
            <w:r w:rsidRPr="00BE32C2">
              <w:t>113457709.80</w:t>
            </w:r>
          </w:p>
        </w:tc>
        <w:tc>
          <w:tcPr>
            <w:tcW w:w="3137" w:type="dxa"/>
          </w:tcPr>
          <w:p w:rsidR="00CC599F" w:rsidRPr="00BE32C2" w:rsidRDefault="00CC599F" w:rsidP="00BE32C2">
            <w:pPr>
              <w:jc w:val="center"/>
            </w:pPr>
            <w:r w:rsidRPr="00BE32C2">
              <w:t>1291</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2010</w:t>
            </w:r>
          </w:p>
        </w:tc>
        <w:tc>
          <w:tcPr>
            <w:tcW w:w="3137" w:type="dxa"/>
            <w:vAlign w:val="center"/>
          </w:tcPr>
          <w:p w:rsidR="00CC599F" w:rsidRPr="00BE32C2" w:rsidRDefault="00CC599F" w:rsidP="00BE32C2">
            <w:pPr>
              <w:jc w:val="center"/>
            </w:pPr>
            <w:r w:rsidRPr="00BE32C2">
              <w:t>144236604.50</w:t>
            </w:r>
          </w:p>
        </w:tc>
        <w:tc>
          <w:tcPr>
            <w:tcW w:w="3137" w:type="dxa"/>
          </w:tcPr>
          <w:p w:rsidR="00CC599F" w:rsidRPr="00BE32C2" w:rsidRDefault="00CC599F" w:rsidP="00BE32C2">
            <w:pPr>
              <w:jc w:val="center"/>
            </w:pPr>
            <w:r w:rsidRPr="00BE32C2">
              <w:t>1219</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2011</w:t>
            </w:r>
          </w:p>
        </w:tc>
        <w:tc>
          <w:tcPr>
            <w:tcW w:w="3137" w:type="dxa"/>
            <w:vAlign w:val="center"/>
          </w:tcPr>
          <w:p w:rsidR="00CC599F" w:rsidRPr="00BE32C2" w:rsidRDefault="00CC599F" w:rsidP="00BE32C2">
            <w:pPr>
              <w:jc w:val="center"/>
            </w:pPr>
            <w:r w:rsidRPr="00BE32C2">
              <w:t>148371087.00</w:t>
            </w:r>
          </w:p>
        </w:tc>
        <w:tc>
          <w:tcPr>
            <w:tcW w:w="3137" w:type="dxa"/>
          </w:tcPr>
          <w:p w:rsidR="00CC599F" w:rsidRPr="00BE32C2" w:rsidRDefault="00CC599F" w:rsidP="00BE32C2">
            <w:pPr>
              <w:jc w:val="center"/>
            </w:pPr>
            <w:r w:rsidRPr="00BE32C2">
              <w:t>805</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2012</w:t>
            </w:r>
          </w:p>
        </w:tc>
        <w:tc>
          <w:tcPr>
            <w:tcW w:w="3137" w:type="dxa"/>
            <w:vAlign w:val="center"/>
          </w:tcPr>
          <w:p w:rsidR="00CC599F" w:rsidRPr="00BE32C2" w:rsidRDefault="00CC599F" w:rsidP="00BE32C2">
            <w:pPr>
              <w:jc w:val="center"/>
            </w:pPr>
            <w:r w:rsidRPr="00BE32C2">
              <w:t>189018136.40</w:t>
            </w:r>
          </w:p>
        </w:tc>
        <w:tc>
          <w:tcPr>
            <w:tcW w:w="3137" w:type="dxa"/>
          </w:tcPr>
          <w:p w:rsidR="00CC599F" w:rsidRPr="00BE32C2" w:rsidRDefault="00CC599F" w:rsidP="00BE32C2">
            <w:pPr>
              <w:jc w:val="center"/>
            </w:pPr>
            <w:r w:rsidRPr="00BE32C2">
              <w:t>746</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2013</w:t>
            </w:r>
          </w:p>
        </w:tc>
        <w:tc>
          <w:tcPr>
            <w:tcW w:w="3137" w:type="dxa"/>
            <w:vAlign w:val="center"/>
          </w:tcPr>
          <w:p w:rsidR="00CC599F" w:rsidRPr="00BE32C2" w:rsidRDefault="00CC599F" w:rsidP="00BE32C2">
            <w:pPr>
              <w:jc w:val="center"/>
            </w:pPr>
            <w:r w:rsidRPr="00BE32C2">
              <w:t>244073005.20</w:t>
            </w:r>
          </w:p>
        </w:tc>
        <w:tc>
          <w:tcPr>
            <w:tcW w:w="3137" w:type="dxa"/>
          </w:tcPr>
          <w:p w:rsidR="00CC599F" w:rsidRPr="00BE32C2" w:rsidRDefault="00CC599F" w:rsidP="00BE32C2">
            <w:pPr>
              <w:jc w:val="center"/>
            </w:pPr>
            <w:r w:rsidRPr="00BE32C2">
              <w:t>291</w:t>
            </w:r>
          </w:p>
        </w:tc>
      </w:tr>
      <w:tr w:rsidR="00CC599F" w:rsidRPr="00BE32C2" w:rsidTr="00BE32C2">
        <w:trPr>
          <w:trHeight w:val="300"/>
          <w:jc w:val="center"/>
        </w:trPr>
        <w:tc>
          <w:tcPr>
            <w:tcW w:w="661" w:type="dxa"/>
            <w:vAlign w:val="center"/>
          </w:tcPr>
          <w:p w:rsidR="00CC599F" w:rsidRPr="00BE32C2" w:rsidRDefault="00CC599F" w:rsidP="00BE32C2">
            <w:pPr>
              <w:jc w:val="center"/>
            </w:pPr>
            <w:r w:rsidRPr="00BE32C2">
              <w:t>2014</w:t>
            </w:r>
          </w:p>
        </w:tc>
        <w:tc>
          <w:tcPr>
            <w:tcW w:w="3137" w:type="dxa"/>
            <w:vAlign w:val="center"/>
          </w:tcPr>
          <w:p w:rsidR="00CC599F" w:rsidRPr="00BE32C2" w:rsidRDefault="00CC599F" w:rsidP="00BE32C2">
            <w:pPr>
              <w:jc w:val="center"/>
            </w:pPr>
            <w:r w:rsidRPr="00BE32C2">
              <w:t>232001035.60</w:t>
            </w:r>
          </w:p>
        </w:tc>
        <w:tc>
          <w:tcPr>
            <w:tcW w:w="3137" w:type="dxa"/>
          </w:tcPr>
          <w:p w:rsidR="00CC599F" w:rsidRPr="00BE32C2" w:rsidRDefault="00CC599F" w:rsidP="00BE32C2">
            <w:pPr>
              <w:jc w:val="center"/>
            </w:pPr>
            <w:r w:rsidRPr="00BE32C2">
              <w:t>210</w:t>
            </w:r>
          </w:p>
        </w:tc>
      </w:tr>
    </w:tbl>
    <w:p w:rsidR="00BE32C2" w:rsidRDefault="00BE32C2" w:rsidP="00CC599F">
      <w:pPr>
        <w:shd w:val="clear" w:color="auto" w:fill="FFFFFF"/>
        <w:spacing w:after="200"/>
        <w:ind w:left="1170" w:right="1170"/>
        <w:jc w:val="both"/>
        <w:rPr>
          <w:szCs w:val="22"/>
          <w:lang w:val="es-ES_tradnl"/>
        </w:rPr>
      </w:pPr>
    </w:p>
    <w:p w:rsidR="00CC599F" w:rsidRPr="00A24BBC" w:rsidRDefault="00CC599F" w:rsidP="00CC599F">
      <w:pPr>
        <w:shd w:val="clear" w:color="auto" w:fill="FFFFFF"/>
        <w:spacing w:after="200"/>
        <w:ind w:left="1170" w:right="1170"/>
        <w:jc w:val="both"/>
        <w:rPr>
          <w:szCs w:val="22"/>
          <w:lang w:val="es-ES_tradnl"/>
        </w:rPr>
      </w:pPr>
      <w:r w:rsidRPr="00AF0632">
        <w:rPr>
          <w:szCs w:val="22"/>
          <w:lang w:val="es-ES_tradnl"/>
        </w:rPr>
        <w:t xml:space="preserve">Notas: </w:t>
      </w:r>
      <w:r w:rsidRPr="00A24BBC">
        <w:rPr>
          <w:szCs w:val="22"/>
          <w:lang w:val="es-ES_tradnl"/>
        </w:rPr>
        <w:t>La cantidad de auditorías registradas corresponde a sujetos de control, puntos de control entiéndase estos como las seccionales a nivel territorial que tiene algunas entidades, por desconcentración de funciones</w:t>
      </w:r>
      <w:r w:rsidRPr="00AF0632">
        <w:rPr>
          <w:szCs w:val="22"/>
          <w:lang w:val="es-ES_tradnl"/>
        </w:rPr>
        <w:t xml:space="preserve"> </w:t>
      </w:r>
      <w:r w:rsidRPr="00A24BBC">
        <w:rPr>
          <w:szCs w:val="22"/>
          <w:lang w:val="es-ES_tradnl"/>
        </w:rPr>
        <w:t>(Ej. SENA O ICBF)</w:t>
      </w:r>
      <w:r>
        <w:rPr>
          <w:szCs w:val="22"/>
          <w:lang w:val="es-ES_tradnl"/>
        </w:rPr>
        <w:t xml:space="preserve"> </w:t>
      </w:r>
      <w:r w:rsidRPr="00A24BBC">
        <w:rPr>
          <w:szCs w:val="22"/>
          <w:lang w:val="es-ES_tradnl"/>
        </w:rPr>
        <w:t>y a recursos  del sistema nacional de regalías y a SGP que fueron establecidas en el Plan General de Auditoria  hoy Plan de Vigilancia de Control Fiscal.</w:t>
      </w:r>
      <w:r>
        <w:rPr>
          <w:szCs w:val="22"/>
          <w:lang w:val="es-ES_tradnl"/>
        </w:rPr>
        <w:t xml:space="preserve"> </w:t>
      </w:r>
      <w:r w:rsidRPr="00A24BBC">
        <w:rPr>
          <w:szCs w:val="22"/>
          <w:lang w:val="es-ES_tradnl"/>
        </w:rPr>
        <w:t>Para los años 2006 y 2007 hubo una transición del PGA, la cantidad auditorias registradas en el 2006 corresponde a estos dos años, es decir 2006 y 2007.</w:t>
      </w:r>
    </w:p>
    <w:p w:rsidR="00CC599F" w:rsidRPr="000356F2" w:rsidRDefault="00CC599F" w:rsidP="00CC599F">
      <w:pPr>
        <w:rPr>
          <w:sz w:val="22"/>
          <w:szCs w:val="22"/>
          <w:lang w:val="es-ES_tradnl"/>
        </w:rPr>
        <w:sectPr w:rsidR="00CC599F" w:rsidRPr="000356F2" w:rsidSect="00772933">
          <w:pgSz w:w="12240" w:h="15840" w:code="1"/>
          <w:pgMar w:top="1080" w:right="1440" w:bottom="1440" w:left="1440" w:header="708" w:footer="708" w:gutter="0"/>
          <w:cols w:space="708"/>
          <w:docGrid w:linePitch="360"/>
        </w:sectPr>
      </w:pPr>
    </w:p>
    <w:p w:rsidR="00CC599F" w:rsidRDefault="00CC599F" w:rsidP="00CC599F">
      <w:pPr>
        <w:rPr>
          <w:b/>
          <w:sz w:val="22"/>
          <w:szCs w:val="22"/>
          <w:lang w:val="es-ES_tradnl"/>
        </w:rPr>
      </w:pPr>
      <w:r>
        <w:rPr>
          <w:b/>
          <w:sz w:val="22"/>
          <w:szCs w:val="22"/>
          <w:lang w:val="es-ES_tradnl"/>
        </w:rPr>
        <w:t xml:space="preserve">Cuadro F.3 Número </w:t>
      </w:r>
      <w:r w:rsidRPr="00525599">
        <w:rPr>
          <w:b/>
          <w:sz w:val="22"/>
          <w:szCs w:val="22"/>
          <w:lang w:val="es-ES_tradnl"/>
        </w:rPr>
        <w:t>entidade</w:t>
      </w:r>
      <w:r>
        <w:rPr>
          <w:b/>
          <w:sz w:val="22"/>
          <w:szCs w:val="22"/>
          <w:lang w:val="es-ES_tradnl"/>
        </w:rPr>
        <w:t>s susceptibles de auditoría y número de</w:t>
      </w:r>
      <w:r w:rsidRPr="00525599">
        <w:rPr>
          <w:b/>
          <w:sz w:val="22"/>
          <w:szCs w:val="22"/>
          <w:lang w:val="es-ES_tradnl"/>
        </w:rPr>
        <w:t xml:space="preserve"> entidades auditadas </w:t>
      </w:r>
    </w:p>
    <w:tbl>
      <w:tblPr>
        <w:tblpPr w:leftFromText="180" w:rightFromText="180" w:vertAnchor="text" w:horzAnchor="margin" w:tblpY="154"/>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1027"/>
        <w:gridCol w:w="2033"/>
        <w:gridCol w:w="1260"/>
        <w:gridCol w:w="1080"/>
        <w:gridCol w:w="2070"/>
      </w:tblGrid>
      <w:tr w:rsidR="00CC599F" w:rsidRPr="003D59A4" w:rsidTr="00BE32C2">
        <w:trPr>
          <w:trHeight w:val="315"/>
        </w:trPr>
        <w:tc>
          <w:tcPr>
            <w:tcW w:w="918" w:type="dxa"/>
            <w:shd w:val="clear" w:color="auto" w:fill="auto"/>
            <w:noWrap/>
            <w:vAlign w:val="bottom"/>
            <w:hideMark/>
          </w:tcPr>
          <w:p w:rsidR="00CC599F" w:rsidRPr="00BE32C2" w:rsidRDefault="00CC599F" w:rsidP="00BE32C2">
            <w:pPr>
              <w:rPr>
                <w:color w:val="000000"/>
              </w:rPr>
            </w:pPr>
          </w:p>
        </w:tc>
        <w:tc>
          <w:tcPr>
            <w:tcW w:w="4320" w:type="dxa"/>
            <w:gridSpan w:val="3"/>
            <w:shd w:val="clear" w:color="000000" w:fill="FFFFFF"/>
            <w:noWrap/>
            <w:vAlign w:val="center"/>
            <w:hideMark/>
          </w:tcPr>
          <w:p w:rsidR="00CC599F" w:rsidRPr="00BE32C2" w:rsidRDefault="00CC599F" w:rsidP="00BE32C2">
            <w:pPr>
              <w:jc w:val="center"/>
              <w:rPr>
                <w:bCs/>
                <w:color w:val="000000"/>
              </w:rPr>
            </w:pPr>
            <w:r w:rsidRPr="00BE32C2">
              <w:rPr>
                <w:bCs/>
                <w:color w:val="000000"/>
                <w:lang w:val="es-CO"/>
              </w:rPr>
              <w:t>2013</w:t>
            </w:r>
          </w:p>
        </w:tc>
        <w:tc>
          <w:tcPr>
            <w:tcW w:w="4410" w:type="dxa"/>
            <w:gridSpan w:val="3"/>
            <w:shd w:val="clear" w:color="000000" w:fill="FFFFFF"/>
            <w:noWrap/>
            <w:vAlign w:val="center"/>
            <w:hideMark/>
          </w:tcPr>
          <w:p w:rsidR="00CC599F" w:rsidRPr="00BE32C2" w:rsidRDefault="00CC599F" w:rsidP="00BE32C2">
            <w:pPr>
              <w:jc w:val="center"/>
              <w:rPr>
                <w:color w:val="000000"/>
              </w:rPr>
            </w:pPr>
            <w:r w:rsidRPr="00BE32C2">
              <w:rPr>
                <w:bCs/>
                <w:color w:val="000000"/>
                <w:lang w:val="es-CO"/>
              </w:rPr>
              <w:t>2014</w:t>
            </w:r>
          </w:p>
        </w:tc>
      </w:tr>
      <w:tr w:rsidR="00BE32C2" w:rsidRPr="003D59A4" w:rsidTr="00BE32C2">
        <w:trPr>
          <w:trHeight w:val="1100"/>
        </w:trPr>
        <w:tc>
          <w:tcPr>
            <w:tcW w:w="918" w:type="dxa"/>
            <w:shd w:val="clear" w:color="auto" w:fill="auto"/>
            <w:noWrap/>
            <w:vAlign w:val="bottom"/>
            <w:hideMark/>
          </w:tcPr>
          <w:p w:rsidR="00CC599F" w:rsidRPr="00BE32C2" w:rsidRDefault="00CC599F" w:rsidP="00BE32C2">
            <w:pPr>
              <w:rPr>
                <w:color w:val="000000"/>
              </w:rPr>
            </w:pPr>
          </w:p>
        </w:tc>
        <w:tc>
          <w:tcPr>
            <w:tcW w:w="1260" w:type="dxa"/>
            <w:shd w:val="clear" w:color="000000" w:fill="FFFFFF"/>
            <w:vAlign w:val="center"/>
            <w:hideMark/>
          </w:tcPr>
          <w:p w:rsidR="00CC599F" w:rsidRPr="00BE32C2" w:rsidRDefault="00CC599F" w:rsidP="00BE32C2">
            <w:pPr>
              <w:jc w:val="center"/>
              <w:rPr>
                <w:color w:val="000000"/>
              </w:rPr>
            </w:pPr>
            <w:r w:rsidRPr="00BE32C2">
              <w:rPr>
                <w:color w:val="000000"/>
                <w:lang w:val="es-CO"/>
              </w:rPr>
              <w:t>Inventario</w:t>
            </w:r>
          </w:p>
          <w:p w:rsidR="00CC599F" w:rsidRPr="00BE32C2" w:rsidRDefault="00CC599F" w:rsidP="00BE32C2">
            <w:pPr>
              <w:jc w:val="center"/>
              <w:rPr>
                <w:bCs/>
                <w:color w:val="000000"/>
              </w:rPr>
            </w:pPr>
            <w:r w:rsidRPr="00BE32C2">
              <w:rPr>
                <w:bCs/>
                <w:color w:val="000000"/>
                <w:lang w:val="es-CO"/>
              </w:rPr>
              <w:t>Entidades</w:t>
            </w:r>
          </w:p>
          <w:p w:rsidR="00CC599F" w:rsidRPr="00BE32C2" w:rsidRDefault="00CC599F" w:rsidP="00BE32C2">
            <w:pPr>
              <w:jc w:val="center"/>
              <w:rPr>
                <w:color w:val="000000"/>
              </w:rPr>
            </w:pPr>
            <w:r w:rsidRPr="00BE32C2">
              <w:rPr>
                <w:color w:val="000000"/>
                <w:lang w:val="es-CO"/>
              </w:rPr>
              <w:t>Susceptibles de auditar</w:t>
            </w:r>
          </w:p>
        </w:tc>
        <w:tc>
          <w:tcPr>
            <w:tcW w:w="1027" w:type="dxa"/>
            <w:shd w:val="clear" w:color="000000" w:fill="FFFFFF"/>
            <w:vAlign w:val="center"/>
            <w:hideMark/>
          </w:tcPr>
          <w:p w:rsidR="00CC599F" w:rsidRPr="00BE32C2" w:rsidRDefault="00CC599F" w:rsidP="00BE32C2">
            <w:pPr>
              <w:jc w:val="center"/>
              <w:rPr>
                <w:bCs/>
                <w:color w:val="000000"/>
                <w:lang w:val="es-CO"/>
              </w:rPr>
            </w:pPr>
            <w:r w:rsidRPr="00BE32C2">
              <w:rPr>
                <w:bCs/>
                <w:color w:val="000000"/>
                <w:lang w:val="es-CO"/>
              </w:rPr>
              <w:t>Entidades</w:t>
            </w:r>
          </w:p>
          <w:p w:rsidR="00CC599F" w:rsidRPr="00BE32C2" w:rsidRDefault="00CC599F" w:rsidP="00BE32C2">
            <w:pPr>
              <w:jc w:val="center"/>
              <w:rPr>
                <w:bCs/>
                <w:color w:val="000000"/>
              </w:rPr>
            </w:pPr>
            <w:r w:rsidRPr="00BE32C2">
              <w:rPr>
                <w:color w:val="000000"/>
                <w:lang w:val="es-CO"/>
              </w:rPr>
              <w:t>Auditadas</w:t>
            </w:r>
          </w:p>
        </w:tc>
        <w:tc>
          <w:tcPr>
            <w:tcW w:w="2033" w:type="dxa"/>
            <w:shd w:val="clear" w:color="000000" w:fill="FFFFFF"/>
            <w:vAlign w:val="center"/>
            <w:hideMark/>
          </w:tcPr>
          <w:p w:rsidR="00CC599F" w:rsidRPr="00BE32C2" w:rsidRDefault="00CC599F" w:rsidP="00BE32C2">
            <w:pPr>
              <w:jc w:val="center"/>
              <w:rPr>
                <w:bCs/>
                <w:color w:val="000000"/>
              </w:rPr>
            </w:pPr>
            <w:r w:rsidRPr="00BE32C2">
              <w:rPr>
                <w:bCs/>
                <w:color w:val="000000"/>
              </w:rPr>
              <w:t>Porcentaje de entidades auditadas sobre inventario de entidades suceptibles de auditar</w:t>
            </w:r>
          </w:p>
        </w:tc>
        <w:tc>
          <w:tcPr>
            <w:tcW w:w="1260" w:type="dxa"/>
            <w:shd w:val="clear" w:color="000000" w:fill="FFFFFF"/>
            <w:vAlign w:val="center"/>
            <w:hideMark/>
          </w:tcPr>
          <w:p w:rsidR="00CC599F" w:rsidRPr="00BE32C2" w:rsidRDefault="00CC599F" w:rsidP="00BE32C2">
            <w:pPr>
              <w:jc w:val="center"/>
              <w:rPr>
                <w:color w:val="000000"/>
              </w:rPr>
            </w:pPr>
            <w:r w:rsidRPr="00BE32C2">
              <w:rPr>
                <w:color w:val="000000"/>
                <w:lang w:val="es-CO"/>
              </w:rPr>
              <w:t>Inventario</w:t>
            </w:r>
          </w:p>
          <w:p w:rsidR="00CC599F" w:rsidRPr="00BE32C2" w:rsidRDefault="00CC599F" w:rsidP="00BE32C2">
            <w:pPr>
              <w:jc w:val="center"/>
              <w:rPr>
                <w:bCs/>
                <w:color w:val="000000"/>
              </w:rPr>
            </w:pPr>
            <w:r w:rsidRPr="00BE32C2">
              <w:rPr>
                <w:bCs/>
                <w:color w:val="000000"/>
                <w:lang w:val="es-CO"/>
              </w:rPr>
              <w:t>Entidades</w:t>
            </w:r>
          </w:p>
          <w:p w:rsidR="00CC599F" w:rsidRPr="00BE32C2" w:rsidRDefault="00CC599F" w:rsidP="00BE32C2">
            <w:pPr>
              <w:jc w:val="center"/>
              <w:rPr>
                <w:color w:val="000000"/>
              </w:rPr>
            </w:pPr>
            <w:r w:rsidRPr="00BE32C2">
              <w:rPr>
                <w:color w:val="000000"/>
                <w:lang w:val="es-CO"/>
              </w:rPr>
              <w:t>Susceptibles de auditar</w:t>
            </w:r>
          </w:p>
        </w:tc>
        <w:tc>
          <w:tcPr>
            <w:tcW w:w="1080" w:type="dxa"/>
            <w:shd w:val="clear" w:color="000000" w:fill="FFFFFF"/>
            <w:vAlign w:val="center"/>
            <w:hideMark/>
          </w:tcPr>
          <w:p w:rsidR="00CC599F" w:rsidRPr="00BE32C2" w:rsidRDefault="00CC599F" w:rsidP="00BE32C2">
            <w:pPr>
              <w:jc w:val="center"/>
              <w:rPr>
                <w:bCs/>
                <w:color w:val="000000"/>
                <w:lang w:val="es-CO"/>
              </w:rPr>
            </w:pPr>
            <w:r w:rsidRPr="00BE32C2">
              <w:rPr>
                <w:bCs/>
                <w:color w:val="000000"/>
                <w:lang w:val="es-CO"/>
              </w:rPr>
              <w:t>Entidades</w:t>
            </w:r>
          </w:p>
          <w:p w:rsidR="00CC599F" w:rsidRPr="00BE32C2" w:rsidRDefault="00CC599F" w:rsidP="00BE32C2">
            <w:pPr>
              <w:jc w:val="center"/>
              <w:rPr>
                <w:bCs/>
                <w:color w:val="000000"/>
              </w:rPr>
            </w:pPr>
            <w:r w:rsidRPr="00BE32C2">
              <w:rPr>
                <w:color w:val="000000"/>
                <w:lang w:val="es-CO"/>
              </w:rPr>
              <w:t>Auditadas</w:t>
            </w:r>
          </w:p>
        </w:tc>
        <w:tc>
          <w:tcPr>
            <w:tcW w:w="2070" w:type="dxa"/>
            <w:shd w:val="clear" w:color="auto" w:fill="auto"/>
            <w:noWrap/>
            <w:vAlign w:val="center"/>
            <w:hideMark/>
          </w:tcPr>
          <w:p w:rsidR="00CC599F" w:rsidRPr="00BE32C2" w:rsidRDefault="00CC599F" w:rsidP="00BE32C2">
            <w:pPr>
              <w:jc w:val="center"/>
              <w:rPr>
                <w:color w:val="000000"/>
              </w:rPr>
            </w:pPr>
            <w:r w:rsidRPr="00BE32C2">
              <w:rPr>
                <w:bCs/>
                <w:color w:val="000000"/>
              </w:rPr>
              <w:t>Porcentaje de entidades auditadas sobre inventario de entidades suceptibles de auditar</w:t>
            </w:r>
          </w:p>
        </w:tc>
      </w:tr>
      <w:tr w:rsidR="00CC599F" w:rsidRPr="003D59A4" w:rsidTr="00BE32C2">
        <w:trPr>
          <w:trHeight w:val="300"/>
        </w:trPr>
        <w:tc>
          <w:tcPr>
            <w:tcW w:w="918" w:type="dxa"/>
            <w:shd w:val="clear" w:color="auto" w:fill="auto"/>
            <w:noWrap/>
            <w:vAlign w:val="center"/>
            <w:hideMark/>
          </w:tcPr>
          <w:p w:rsidR="00CC599F" w:rsidRPr="00BE32C2" w:rsidRDefault="00CC599F" w:rsidP="00BE32C2">
            <w:pPr>
              <w:jc w:val="center"/>
              <w:rPr>
                <w:color w:val="000000"/>
              </w:rPr>
            </w:pPr>
            <w:r w:rsidRPr="00BE32C2">
              <w:rPr>
                <w:color w:val="000000"/>
              </w:rPr>
              <w:t>Sectores control</w:t>
            </w:r>
          </w:p>
        </w:tc>
        <w:tc>
          <w:tcPr>
            <w:tcW w:w="1260" w:type="dxa"/>
            <w:shd w:val="clear" w:color="auto" w:fill="auto"/>
            <w:noWrap/>
            <w:vAlign w:val="center"/>
            <w:hideMark/>
          </w:tcPr>
          <w:p w:rsidR="00CC599F" w:rsidRPr="00BE32C2" w:rsidRDefault="00CC599F" w:rsidP="00BE32C2">
            <w:pPr>
              <w:jc w:val="center"/>
              <w:rPr>
                <w:color w:val="000000"/>
              </w:rPr>
            </w:pPr>
            <w:r w:rsidRPr="00BE32C2">
              <w:rPr>
                <w:color w:val="000000"/>
              </w:rPr>
              <w:t>289</w:t>
            </w:r>
          </w:p>
        </w:tc>
        <w:tc>
          <w:tcPr>
            <w:tcW w:w="1027" w:type="dxa"/>
            <w:shd w:val="clear" w:color="auto" w:fill="auto"/>
            <w:noWrap/>
            <w:vAlign w:val="center"/>
            <w:hideMark/>
          </w:tcPr>
          <w:p w:rsidR="00CC599F" w:rsidRPr="00BE32C2" w:rsidRDefault="00CC599F" w:rsidP="00BE32C2">
            <w:pPr>
              <w:jc w:val="center"/>
              <w:rPr>
                <w:color w:val="000000"/>
              </w:rPr>
            </w:pPr>
            <w:r w:rsidRPr="00BE32C2">
              <w:rPr>
                <w:color w:val="000000"/>
              </w:rPr>
              <w:t>188</w:t>
            </w:r>
          </w:p>
        </w:tc>
        <w:tc>
          <w:tcPr>
            <w:tcW w:w="2033" w:type="dxa"/>
            <w:shd w:val="clear" w:color="auto" w:fill="auto"/>
            <w:noWrap/>
            <w:vAlign w:val="center"/>
            <w:hideMark/>
          </w:tcPr>
          <w:p w:rsidR="00CC599F" w:rsidRPr="00BE32C2" w:rsidRDefault="00CC599F" w:rsidP="00BE32C2">
            <w:pPr>
              <w:jc w:val="center"/>
              <w:rPr>
                <w:color w:val="000000"/>
              </w:rPr>
            </w:pPr>
            <w:r w:rsidRPr="00BE32C2">
              <w:rPr>
                <w:color w:val="000000"/>
              </w:rPr>
              <w:t>65%</w:t>
            </w:r>
          </w:p>
        </w:tc>
        <w:tc>
          <w:tcPr>
            <w:tcW w:w="1260" w:type="dxa"/>
            <w:shd w:val="clear" w:color="auto" w:fill="auto"/>
            <w:noWrap/>
            <w:vAlign w:val="center"/>
            <w:hideMark/>
          </w:tcPr>
          <w:p w:rsidR="00CC599F" w:rsidRPr="00BE32C2" w:rsidRDefault="00CC599F" w:rsidP="00BE32C2">
            <w:pPr>
              <w:jc w:val="center"/>
              <w:rPr>
                <w:color w:val="000000"/>
              </w:rPr>
            </w:pPr>
            <w:r w:rsidRPr="00BE32C2">
              <w:rPr>
                <w:color w:val="000000"/>
              </w:rPr>
              <w:t>265</w:t>
            </w:r>
          </w:p>
        </w:tc>
        <w:tc>
          <w:tcPr>
            <w:tcW w:w="1080" w:type="dxa"/>
            <w:shd w:val="clear" w:color="auto" w:fill="auto"/>
            <w:noWrap/>
            <w:vAlign w:val="center"/>
            <w:hideMark/>
          </w:tcPr>
          <w:p w:rsidR="00CC599F" w:rsidRPr="00BE32C2" w:rsidRDefault="00CC599F" w:rsidP="00BE32C2">
            <w:pPr>
              <w:jc w:val="center"/>
              <w:rPr>
                <w:color w:val="000000"/>
              </w:rPr>
            </w:pPr>
            <w:r w:rsidRPr="00BE32C2">
              <w:rPr>
                <w:color w:val="000000"/>
              </w:rPr>
              <w:t>148</w:t>
            </w:r>
          </w:p>
        </w:tc>
        <w:tc>
          <w:tcPr>
            <w:tcW w:w="2070" w:type="dxa"/>
            <w:shd w:val="clear" w:color="auto" w:fill="auto"/>
            <w:noWrap/>
            <w:vAlign w:val="center"/>
            <w:hideMark/>
          </w:tcPr>
          <w:p w:rsidR="00CC599F" w:rsidRPr="00BE32C2" w:rsidRDefault="00CC599F" w:rsidP="00BE32C2">
            <w:pPr>
              <w:jc w:val="center"/>
              <w:rPr>
                <w:color w:val="000000"/>
              </w:rPr>
            </w:pPr>
            <w:r w:rsidRPr="00BE32C2">
              <w:rPr>
                <w:color w:val="000000"/>
              </w:rPr>
              <w:t>56%</w:t>
            </w:r>
          </w:p>
        </w:tc>
      </w:tr>
      <w:tr w:rsidR="00CC599F" w:rsidRPr="003D59A4" w:rsidTr="00BE32C2">
        <w:trPr>
          <w:trHeight w:val="300"/>
        </w:trPr>
        <w:tc>
          <w:tcPr>
            <w:tcW w:w="918" w:type="dxa"/>
            <w:shd w:val="clear" w:color="auto" w:fill="auto"/>
            <w:noWrap/>
            <w:vAlign w:val="center"/>
            <w:hideMark/>
          </w:tcPr>
          <w:p w:rsidR="00CC599F" w:rsidRPr="00BE32C2" w:rsidRDefault="00CC599F" w:rsidP="00BE32C2">
            <w:pPr>
              <w:jc w:val="center"/>
              <w:rPr>
                <w:color w:val="000000"/>
              </w:rPr>
            </w:pPr>
            <w:r w:rsidRPr="00BE32C2">
              <w:rPr>
                <w:color w:val="000000"/>
              </w:rPr>
              <w:t>Sectores tratados</w:t>
            </w:r>
          </w:p>
        </w:tc>
        <w:tc>
          <w:tcPr>
            <w:tcW w:w="1260" w:type="dxa"/>
            <w:shd w:val="clear" w:color="auto" w:fill="auto"/>
            <w:noWrap/>
            <w:vAlign w:val="center"/>
            <w:hideMark/>
          </w:tcPr>
          <w:p w:rsidR="00CC599F" w:rsidRPr="00BE32C2" w:rsidRDefault="00CC599F" w:rsidP="00BE32C2">
            <w:pPr>
              <w:jc w:val="center"/>
              <w:rPr>
                <w:color w:val="000000"/>
              </w:rPr>
            </w:pPr>
            <w:r w:rsidRPr="00BE32C2">
              <w:rPr>
                <w:color w:val="000000"/>
              </w:rPr>
              <w:t>284</w:t>
            </w:r>
          </w:p>
        </w:tc>
        <w:tc>
          <w:tcPr>
            <w:tcW w:w="1027" w:type="dxa"/>
            <w:shd w:val="clear" w:color="auto" w:fill="auto"/>
            <w:noWrap/>
            <w:vAlign w:val="center"/>
            <w:hideMark/>
          </w:tcPr>
          <w:p w:rsidR="00CC599F" w:rsidRPr="00BE32C2" w:rsidRDefault="00CC599F" w:rsidP="00BE32C2">
            <w:pPr>
              <w:jc w:val="center"/>
              <w:rPr>
                <w:color w:val="000000"/>
              </w:rPr>
            </w:pPr>
            <w:r w:rsidRPr="00BE32C2">
              <w:rPr>
                <w:color w:val="000000"/>
              </w:rPr>
              <w:t>103</w:t>
            </w:r>
          </w:p>
        </w:tc>
        <w:tc>
          <w:tcPr>
            <w:tcW w:w="2033" w:type="dxa"/>
            <w:shd w:val="clear" w:color="auto" w:fill="auto"/>
            <w:noWrap/>
            <w:vAlign w:val="center"/>
            <w:hideMark/>
          </w:tcPr>
          <w:p w:rsidR="00CC599F" w:rsidRPr="00BE32C2" w:rsidRDefault="00CC599F" w:rsidP="00BE32C2">
            <w:pPr>
              <w:jc w:val="center"/>
              <w:rPr>
                <w:color w:val="000000"/>
              </w:rPr>
            </w:pPr>
            <w:r w:rsidRPr="00BE32C2">
              <w:rPr>
                <w:color w:val="000000"/>
              </w:rPr>
              <w:t>36%</w:t>
            </w:r>
          </w:p>
        </w:tc>
        <w:tc>
          <w:tcPr>
            <w:tcW w:w="1260" w:type="dxa"/>
            <w:shd w:val="clear" w:color="auto" w:fill="auto"/>
            <w:noWrap/>
            <w:vAlign w:val="center"/>
            <w:hideMark/>
          </w:tcPr>
          <w:p w:rsidR="00CC599F" w:rsidRPr="00BE32C2" w:rsidRDefault="00CC599F" w:rsidP="00BE32C2">
            <w:pPr>
              <w:jc w:val="center"/>
              <w:rPr>
                <w:color w:val="000000"/>
              </w:rPr>
            </w:pPr>
            <w:r w:rsidRPr="00BE32C2">
              <w:rPr>
                <w:color w:val="000000"/>
              </w:rPr>
              <w:t>292</w:t>
            </w:r>
          </w:p>
        </w:tc>
        <w:tc>
          <w:tcPr>
            <w:tcW w:w="1080" w:type="dxa"/>
            <w:shd w:val="clear" w:color="auto" w:fill="auto"/>
            <w:noWrap/>
            <w:vAlign w:val="center"/>
            <w:hideMark/>
          </w:tcPr>
          <w:p w:rsidR="00CC599F" w:rsidRPr="00BE32C2" w:rsidRDefault="00CC599F" w:rsidP="00BE32C2">
            <w:pPr>
              <w:jc w:val="center"/>
              <w:rPr>
                <w:color w:val="000000"/>
              </w:rPr>
            </w:pPr>
            <w:r w:rsidRPr="00BE32C2">
              <w:rPr>
                <w:color w:val="000000"/>
              </w:rPr>
              <w:t>62</w:t>
            </w:r>
          </w:p>
        </w:tc>
        <w:tc>
          <w:tcPr>
            <w:tcW w:w="2070" w:type="dxa"/>
            <w:shd w:val="clear" w:color="auto" w:fill="auto"/>
            <w:noWrap/>
            <w:vAlign w:val="center"/>
            <w:hideMark/>
          </w:tcPr>
          <w:p w:rsidR="00CC599F" w:rsidRPr="00BE32C2" w:rsidRDefault="00CC599F" w:rsidP="00BE32C2">
            <w:pPr>
              <w:jc w:val="center"/>
              <w:rPr>
                <w:color w:val="000000"/>
              </w:rPr>
            </w:pPr>
            <w:r w:rsidRPr="00BE32C2">
              <w:rPr>
                <w:color w:val="000000"/>
              </w:rPr>
              <w:t>21%</w:t>
            </w:r>
          </w:p>
        </w:tc>
      </w:tr>
    </w:tbl>
    <w:p w:rsidR="00CC599F" w:rsidRDefault="00CC599F" w:rsidP="00CC599F">
      <w:pPr>
        <w:spacing w:after="200" w:line="276" w:lineRule="auto"/>
        <w:rPr>
          <w:sz w:val="22"/>
          <w:szCs w:val="22"/>
          <w:lang w:val="es-ES_tradnl"/>
        </w:rPr>
      </w:pPr>
    </w:p>
    <w:tbl>
      <w:tblPr>
        <w:tblpPr w:leftFromText="180" w:rightFromText="180" w:vertAnchor="text" w:horzAnchor="margin" w:tblpXSpec="center" w:tblpY="475"/>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40"/>
        <w:gridCol w:w="1440"/>
        <w:gridCol w:w="1530"/>
        <w:gridCol w:w="1530"/>
        <w:gridCol w:w="1260"/>
        <w:gridCol w:w="1710"/>
      </w:tblGrid>
      <w:tr w:rsidR="00BE32C2" w:rsidRPr="003D59A4" w:rsidTr="00BE32C2">
        <w:trPr>
          <w:trHeight w:val="315"/>
        </w:trPr>
        <w:tc>
          <w:tcPr>
            <w:tcW w:w="5400" w:type="dxa"/>
            <w:gridSpan w:val="4"/>
            <w:shd w:val="clear" w:color="auto" w:fill="auto"/>
            <w:noWrap/>
            <w:vAlign w:val="bottom"/>
            <w:hideMark/>
          </w:tcPr>
          <w:p w:rsidR="00BE32C2" w:rsidRPr="00BE32C2" w:rsidRDefault="00BE32C2" w:rsidP="00BE32C2">
            <w:pPr>
              <w:jc w:val="center"/>
              <w:rPr>
                <w:bCs/>
                <w:color w:val="000000"/>
              </w:rPr>
            </w:pPr>
            <w:r w:rsidRPr="00BE32C2">
              <w:rPr>
                <w:bCs/>
                <w:color w:val="000000"/>
                <w:lang w:val="es-CO"/>
              </w:rPr>
              <w:t>2013</w:t>
            </w:r>
          </w:p>
        </w:tc>
        <w:tc>
          <w:tcPr>
            <w:tcW w:w="4500" w:type="dxa"/>
            <w:gridSpan w:val="3"/>
            <w:shd w:val="clear" w:color="000000" w:fill="FFFFFF"/>
            <w:noWrap/>
            <w:vAlign w:val="center"/>
            <w:hideMark/>
          </w:tcPr>
          <w:p w:rsidR="00BE32C2" w:rsidRPr="00BE32C2" w:rsidRDefault="00BE32C2" w:rsidP="00BE32C2">
            <w:pPr>
              <w:jc w:val="center"/>
              <w:rPr>
                <w:color w:val="000000"/>
              </w:rPr>
            </w:pPr>
            <w:r w:rsidRPr="00BE32C2">
              <w:rPr>
                <w:bCs/>
                <w:color w:val="000000"/>
                <w:lang w:val="es-CO"/>
              </w:rPr>
              <w:t>2014</w:t>
            </w:r>
          </w:p>
        </w:tc>
      </w:tr>
      <w:tr w:rsidR="00CC599F" w:rsidRPr="003D59A4" w:rsidTr="00BE32C2">
        <w:trPr>
          <w:trHeight w:val="743"/>
        </w:trPr>
        <w:tc>
          <w:tcPr>
            <w:tcW w:w="990" w:type="dxa"/>
            <w:shd w:val="clear" w:color="auto" w:fill="auto"/>
            <w:noWrap/>
            <w:vAlign w:val="bottom"/>
            <w:hideMark/>
          </w:tcPr>
          <w:p w:rsidR="00CC599F" w:rsidRPr="00BE32C2" w:rsidRDefault="00CC599F" w:rsidP="00BE32C2">
            <w:pPr>
              <w:rPr>
                <w:color w:val="000000"/>
              </w:rPr>
            </w:pPr>
          </w:p>
        </w:tc>
        <w:tc>
          <w:tcPr>
            <w:tcW w:w="1440" w:type="dxa"/>
            <w:shd w:val="clear" w:color="000000" w:fill="FFFFFF"/>
            <w:vAlign w:val="center"/>
            <w:hideMark/>
          </w:tcPr>
          <w:p w:rsidR="00CC599F" w:rsidRPr="00BE32C2" w:rsidRDefault="00CC599F" w:rsidP="00BE32C2">
            <w:pPr>
              <w:jc w:val="center"/>
              <w:rPr>
                <w:color w:val="000000"/>
              </w:rPr>
            </w:pPr>
            <w:r w:rsidRPr="00BE32C2">
              <w:rPr>
                <w:color w:val="000000"/>
                <w:lang w:val="es-CO"/>
              </w:rPr>
              <w:t>Cantidad de auditores</w:t>
            </w:r>
          </w:p>
        </w:tc>
        <w:tc>
          <w:tcPr>
            <w:tcW w:w="1440" w:type="dxa"/>
            <w:shd w:val="clear" w:color="000000" w:fill="FFFFFF"/>
            <w:vAlign w:val="center"/>
            <w:hideMark/>
          </w:tcPr>
          <w:p w:rsidR="00CC599F" w:rsidRPr="00BE32C2" w:rsidRDefault="00CC599F" w:rsidP="00BE32C2">
            <w:pPr>
              <w:jc w:val="center"/>
              <w:rPr>
                <w:bCs/>
                <w:color w:val="000000"/>
              </w:rPr>
            </w:pPr>
            <w:r w:rsidRPr="00BE32C2">
              <w:rPr>
                <w:bCs/>
                <w:color w:val="000000"/>
                <w:lang w:val="es-CO"/>
              </w:rPr>
              <w:t>Cantidad de auditorías</w:t>
            </w:r>
          </w:p>
        </w:tc>
        <w:tc>
          <w:tcPr>
            <w:tcW w:w="1530" w:type="dxa"/>
            <w:shd w:val="clear" w:color="000000" w:fill="FFFFFF"/>
            <w:vAlign w:val="center"/>
            <w:hideMark/>
          </w:tcPr>
          <w:p w:rsidR="00CC599F" w:rsidRPr="00BE32C2" w:rsidRDefault="00CC599F" w:rsidP="00BE32C2">
            <w:pPr>
              <w:jc w:val="center"/>
              <w:rPr>
                <w:bCs/>
                <w:color w:val="000000"/>
              </w:rPr>
            </w:pPr>
            <w:r w:rsidRPr="00BE32C2">
              <w:rPr>
                <w:bCs/>
                <w:color w:val="000000"/>
              </w:rPr>
              <w:t>Ratio auditores-auditorías</w:t>
            </w:r>
          </w:p>
        </w:tc>
        <w:tc>
          <w:tcPr>
            <w:tcW w:w="1530" w:type="dxa"/>
            <w:shd w:val="clear" w:color="000000" w:fill="FFFFFF"/>
            <w:vAlign w:val="center"/>
            <w:hideMark/>
          </w:tcPr>
          <w:p w:rsidR="00CC599F" w:rsidRPr="00BE32C2" w:rsidRDefault="00CC599F" w:rsidP="00BE32C2">
            <w:pPr>
              <w:jc w:val="center"/>
              <w:rPr>
                <w:color w:val="000000"/>
              </w:rPr>
            </w:pPr>
            <w:r w:rsidRPr="00BE32C2">
              <w:rPr>
                <w:color w:val="000000"/>
                <w:lang w:val="es-CO"/>
              </w:rPr>
              <w:t>Cantidad de auditores</w:t>
            </w:r>
          </w:p>
        </w:tc>
        <w:tc>
          <w:tcPr>
            <w:tcW w:w="1260" w:type="dxa"/>
            <w:shd w:val="clear" w:color="000000" w:fill="FFFFFF"/>
            <w:vAlign w:val="center"/>
            <w:hideMark/>
          </w:tcPr>
          <w:p w:rsidR="00CC599F" w:rsidRPr="00BE32C2" w:rsidRDefault="00CC599F" w:rsidP="00BE32C2">
            <w:pPr>
              <w:jc w:val="center"/>
              <w:rPr>
                <w:bCs/>
                <w:color w:val="000000"/>
              </w:rPr>
            </w:pPr>
            <w:r w:rsidRPr="00BE32C2">
              <w:rPr>
                <w:bCs/>
                <w:color w:val="000000"/>
                <w:lang w:val="es-CO"/>
              </w:rPr>
              <w:t>Cantidad de auditorías</w:t>
            </w:r>
          </w:p>
        </w:tc>
        <w:tc>
          <w:tcPr>
            <w:tcW w:w="1710" w:type="dxa"/>
            <w:shd w:val="clear" w:color="auto" w:fill="auto"/>
            <w:noWrap/>
            <w:vAlign w:val="center"/>
            <w:hideMark/>
          </w:tcPr>
          <w:p w:rsidR="00CC599F" w:rsidRPr="00BE32C2" w:rsidRDefault="00CC599F" w:rsidP="00BE32C2">
            <w:pPr>
              <w:jc w:val="center"/>
              <w:rPr>
                <w:bCs/>
                <w:color w:val="000000"/>
              </w:rPr>
            </w:pPr>
            <w:r w:rsidRPr="00BE32C2">
              <w:rPr>
                <w:bCs/>
                <w:color w:val="000000"/>
              </w:rPr>
              <w:t>Ratio auditores-auditorías</w:t>
            </w:r>
          </w:p>
        </w:tc>
      </w:tr>
      <w:tr w:rsidR="00CC599F" w:rsidRPr="003D59A4" w:rsidTr="00BE32C2">
        <w:trPr>
          <w:trHeight w:val="300"/>
        </w:trPr>
        <w:tc>
          <w:tcPr>
            <w:tcW w:w="990" w:type="dxa"/>
            <w:shd w:val="clear" w:color="auto" w:fill="auto"/>
            <w:noWrap/>
            <w:vAlign w:val="center"/>
            <w:hideMark/>
          </w:tcPr>
          <w:p w:rsidR="00CC599F" w:rsidRPr="00BE32C2" w:rsidRDefault="00CC599F" w:rsidP="00BE32C2">
            <w:pPr>
              <w:jc w:val="center"/>
              <w:rPr>
                <w:color w:val="000000"/>
              </w:rPr>
            </w:pPr>
            <w:r w:rsidRPr="00BE32C2">
              <w:rPr>
                <w:color w:val="000000"/>
              </w:rPr>
              <w:t>Sectores control</w:t>
            </w:r>
          </w:p>
        </w:tc>
        <w:tc>
          <w:tcPr>
            <w:tcW w:w="144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910</w:t>
            </w:r>
          </w:p>
        </w:tc>
        <w:tc>
          <w:tcPr>
            <w:tcW w:w="144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188</w:t>
            </w:r>
          </w:p>
        </w:tc>
        <w:tc>
          <w:tcPr>
            <w:tcW w:w="153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4.84</w:t>
            </w:r>
          </w:p>
        </w:tc>
        <w:tc>
          <w:tcPr>
            <w:tcW w:w="153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1677</w:t>
            </w:r>
          </w:p>
        </w:tc>
        <w:tc>
          <w:tcPr>
            <w:tcW w:w="126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148</w:t>
            </w:r>
          </w:p>
        </w:tc>
        <w:tc>
          <w:tcPr>
            <w:tcW w:w="171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11.33</w:t>
            </w:r>
          </w:p>
        </w:tc>
      </w:tr>
      <w:tr w:rsidR="00CC599F" w:rsidRPr="003D59A4" w:rsidTr="00BE32C2">
        <w:trPr>
          <w:trHeight w:val="300"/>
        </w:trPr>
        <w:tc>
          <w:tcPr>
            <w:tcW w:w="990" w:type="dxa"/>
            <w:shd w:val="clear" w:color="auto" w:fill="auto"/>
            <w:noWrap/>
            <w:vAlign w:val="center"/>
            <w:hideMark/>
          </w:tcPr>
          <w:p w:rsidR="00CC599F" w:rsidRPr="00BE32C2" w:rsidRDefault="00CC599F" w:rsidP="00BE32C2">
            <w:pPr>
              <w:jc w:val="center"/>
              <w:rPr>
                <w:color w:val="000000"/>
              </w:rPr>
            </w:pPr>
            <w:r w:rsidRPr="00BE32C2">
              <w:rPr>
                <w:color w:val="000000"/>
              </w:rPr>
              <w:t>Sectores tratados</w:t>
            </w:r>
          </w:p>
        </w:tc>
        <w:tc>
          <w:tcPr>
            <w:tcW w:w="144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516</w:t>
            </w:r>
          </w:p>
        </w:tc>
        <w:tc>
          <w:tcPr>
            <w:tcW w:w="144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103</w:t>
            </w:r>
          </w:p>
        </w:tc>
        <w:tc>
          <w:tcPr>
            <w:tcW w:w="153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5.01</w:t>
            </w:r>
          </w:p>
        </w:tc>
        <w:tc>
          <w:tcPr>
            <w:tcW w:w="153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1303</w:t>
            </w:r>
          </w:p>
        </w:tc>
        <w:tc>
          <w:tcPr>
            <w:tcW w:w="126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62</w:t>
            </w:r>
          </w:p>
        </w:tc>
        <w:tc>
          <w:tcPr>
            <w:tcW w:w="1710" w:type="dxa"/>
            <w:shd w:val="clear" w:color="auto" w:fill="auto"/>
            <w:noWrap/>
            <w:vAlign w:val="center"/>
            <w:hideMark/>
          </w:tcPr>
          <w:p w:rsidR="00CC599F" w:rsidRPr="00BE32C2" w:rsidRDefault="00CC599F" w:rsidP="00BE32C2">
            <w:pPr>
              <w:jc w:val="center"/>
              <w:rPr>
                <w:color w:val="000000"/>
                <w:lang w:val="es-CO"/>
              </w:rPr>
            </w:pPr>
            <w:r w:rsidRPr="00BE32C2">
              <w:rPr>
                <w:color w:val="000000"/>
                <w:lang w:val="es-CO"/>
              </w:rPr>
              <w:t>21.02</w:t>
            </w:r>
          </w:p>
        </w:tc>
      </w:tr>
    </w:tbl>
    <w:p w:rsidR="00CC599F" w:rsidRDefault="00CC599F" w:rsidP="00CC599F">
      <w:pPr>
        <w:rPr>
          <w:b/>
          <w:sz w:val="22"/>
          <w:szCs w:val="22"/>
          <w:lang w:val="es-ES_tradnl"/>
        </w:rPr>
      </w:pPr>
      <w:r>
        <w:rPr>
          <w:b/>
          <w:sz w:val="22"/>
          <w:szCs w:val="22"/>
          <w:lang w:val="es-ES_tradnl"/>
        </w:rPr>
        <w:t>Cuadro F.4 Número de</w:t>
      </w:r>
      <w:r w:rsidRPr="00D20731">
        <w:rPr>
          <w:b/>
          <w:sz w:val="22"/>
          <w:szCs w:val="22"/>
          <w:lang w:val="es-ES_tradnl"/>
        </w:rPr>
        <w:t xml:space="preserve"> auditorías programadas por sector </w:t>
      </w:r>
      <w:r>
        <w:rPr>
          <w:b/>
          <w:sz w:val="22"/>
          <w:szCs w:val="22"/>
          <w:lang w:val="es-ES_tradnl"/>
        </w:rPr>
        <w:t>y número</w:t>
      </w:r>
      <w:r w:rsidRPr="00D20731">
        <w:rPr>
          <w:b/>
          <w:sz w:val="22"/>
          <w:szCs w:val="22"/>
          <w:lang w:val="es-ES_tradnl"/>
        </w:rPr>
        <w:t xml:space="preserve"> de auditores designados</w:t>
      </w:r>
      <w:r w:rsidRPr="00D20731">
        <w:rPr>
          <w:rFonts w:ascii="Calibri" w:hAnsi="Calibri"/>
          <w:b/>
          <w:bCs/>
          <w:color w:val="212121"/>
          <w:sz w:val="30"/>
          <w:szCs w:val="30"/>
          <w:lang w:val="es-CO"/>
        </w:rPr>
        <w:t xml:space="preserve">   </w:t>
      </w:r>
    </w:p>
    <w:p w:rsidR="00BE32C2" w:rsidRDefault="00CC599F" w:rsidP="00CC599F">
      <w:pPr>
        <w:spacing w:line="276" w:lineRule="auto"/>
        <w:rPr>
          <w:b/>
          <w:sz w:val="22"/>
          <w:szCs w:val="22"/>
          <w:lang w:val="es-ES_tradnl"/>
        </w:rPr>
      </w:pPr>
      <w:r>
        <w:rPr>
          <w:sz w:val="22"/>
          <w:szCs w:val="22"/>
          <w:lang w:val="es-ES_tradnl"/>
        </w:rPr>
        <w:br w:type="textWrapping" w:clear="all"/>
      </w:r>
    </w:p>
    <w:p w:rsidR="00BE32C2" w:rsidRPr="002F3822" w:rsidRDefault="00CC599F" w:rsidP="00BE32C2">
      <w:pPr>
        <w:spacing w:after="120" w:line="276" w:lineRule="auto"/>
        <w:rPr>
          <w:b/>
          <w:sz w:val="22"/>
          <w:szCs w:val="22"/>
          <w:lang w:val="es-ES_tradnl"/>
        </w:rPr>
      </w:pPr>
      <w:r w:rsidRPr="002F3822">
        <w:rPr>
          <w:b/>
          <w:sz w:val="22"/>
          <w:szCs w:val="22"/>
          <w:lang w:val="es-ES_tradnl"/>
        </w:rPr>
        <w:t>Cuadro F.5. Número de denuncias por año</w:t>
      </w:r>
    </w:p>
    <w:tbl>
      <w:tblPr>
        <w:tblStyle w:val="TableGrid"/>
        <w:tblW w:w="5169" w:type="pct"/>
        <w:tblInd w:w="-162" w:type="dxa"/>
        <w:tblLayout w:type="fixed"/>
        <w:tblLook w:val="04A0" w:firstRow="1" w:lastRow="0" w:firstColumn="1" w:lastColumn="0" w:noHBand="0" w:noVBand="1"/>
      </w:tblPr>
      <w:tblGrid>
        <w:gridCol w:w="1710"/>
        <w:gridCol w:w="740"/>
        <w:gridCol w:w="792"/>
        <w:gridCol w:w="911"/>
        <w:gridCol w:w="804"/>
        <w:gridCol w:w="923"/>
        <w:gridCol w:w="810"/>
        <w:gridCol w:w="810"/>
        <w:gridCol w:w="810"/>
        <w:gridCol w:w="804"/>
        <w:gridCol w:w="786"/>
      </w:tblGrid>
      <w:tr w:rsidR="00BE32C2" w:rsidRPr="00BE32C2" w:rsidTr="00BE32C2">
        <w:trPr>
          <w:trHeight w:val="405"/>
        </w:trPr>
        <w:tc>
          <w:tcPr>
            <w:tcW w:w="864" w:type="pct"/>
            <w:vAlign w:val="center"/>
            <w:hideMark/>
          </w:tcPr>
          <w:p w:rsidR="00CC599F" w:rsidRPr="00BE32C2" w:rsidRDefault="00CC599F" w:rsidP="00BE32C2">
            <w:pPr>
              <w:spacing w:after="200" w:line="276" w:lineRule="auto"/>
              <w:jc w:val="center"/>
            </w:pPr>
            <w:r w:rsidRPr="00BE32C2">
              <w:t>DESCRIPCION</w:t>
            </w:r>
          </w:p>
        </w:tc>
        <w:tc>
          <w:tcPr>
            <w:tcW w:w="774" w:type="pct"/>
            <w:gridSpan w:val="2"/>
            <w:vAlign w:val="center"/>
            <w:hideMark/>
          </w:tcPr>
          <w:p w:rsidR="00CC599F" w:rsidRPr="00BE32C2" w:rsidRDefault="00CC599F" w:rsidP="00BE32C2">
            <w:pPr>
              <w:spacing w:after="200" w:line="276" w:lineRule="auto"/>
              <w:jc w:val="center"/>
            </w:pPr>
            <w:r w:rsidRPr="00BE32C2">
              <w:t>2010</w:t>
            </w:r>
          </w:p>
        </w:tc>
        <w:tc>
          <w:tcPr>
            <w:tcW w:w="866" w:type="pct"/>
            <w:gridSpan w:val="2"/>
            <w:vAlign w:val="center"/>
            <w:hideMark/>
          </w:tcPr>
          <w:p w:rsidR="00CC599F" w:rsidRPr="00BE32C2" w:rsidRDefault="00CC599F" w:rsidP="00BE32C2">
            <w:pPr>
              <w:spacing w:after="200" w:line="276" w:lineRule="auto"/>
              <w:jc w:val="center"/>
            </w:pPr>
            <w:r w:rsidRPr="00BE32C2">
              <w:t>2011</w:t>
            </w:r>
          </w:p>
        </w:tc>
        <w:tc>
          <w:tcPr>
            <w:tcW w:w="875" w:type="pct"/>
            <w:gridSpan w:val="2"/>
            <w:vAlign w:val="center"/>
            <w:hideMark/>
          </w:tcPr>
          <w:p w:rsidR="00CC599F" w:rsidRPr="00BE32C2" w:rsidRDefault="00CC599F" w:rsidP="00BE32C2">
            <w:pPr>
              <w:spacing w:after="200" w:line="276" w:lineRule="auto"/>
              <w:jc w:val="center"/>
            </w:pPr>
            <w:r w:rsidRPr="00BE32C2">
              <w:t>2012</w:t>
            </w:r>
          </w:p>
        </w:tc>
        <w:tc>
          <w:tcPr>
            <w:tcW w:w="818" w:type="pct"/>
            <w:gridSpan w:val="2"/>
            <w:vAlign w:val="center"/>
            <w:hideMark/>
          </w:tcPr>
          <w:p w:rsidR="00CC599F" w:rsidRPr="00BE32C2" w:rsidRDefault="00CC599F" w:rsidP="00BE32C2">
            <w:pPr>
              <w:spacing w:after="200" w:line="276" w:lineRule="auto"/>
              <w:jc w:val="center"/>
            </w:pPr>
            <w:r w:rsidRPr="00BE32C2">
              <w:t>2013</w:t>
            </w:r>
          </w:p>
        </w:tc>
        <w:tc>
          <w:tcPr>
            <w:tcW w:w="803" w:type="pct"/>
            <w:gridSpan w:val="2"/>
            <w:vAlign w:val="center"/>
            <w:hideMark/>
          </w:tcPr>
          <w:p w:rsidR="00CC599F" w:rsidRPr="00BE32C2" w:rsidRDefault="00CC599F" w:rsidP="00BE32C2">
            <w:pPr>
              <w:spacing w:after="200" w:line="276" w:lineRule="auto"/>
              <w:jc w:val="center"/>
            </w:pPr>
            <w:r w:rsidRPr="00BE32C2">
              <w:t>2014</w:t>
            </w:r>
          </w:p>
        </w:tc>
      </w:tr>
      <w:tr w:rsidR="00BE32C2" w:rsidRPr="00BE32C2" w:rsidTr="00BE32C2">
        <w:trPr>
          <w:trHeight w:val="330"/>
        </w:trPr>
        <w:tc>
          <w:tcPr>
            <w:tcW w:w="864" w:type="pct"/>
            <w:vAlign w:val="center"/>
            <w:hideMark/>
          </w:tcPr>
          <w:p w:rsidR="00CC599F" w:rsidRPr="00BE32C2" w:rsidRDefault="00CC599F" w:rsidP="00BE32C2">
            <w:pPr>
              <w:spacing w:line="276" w:lineRule="auto"/>
              <w:jc w:val="center"/>
              <w:rPr>
                <w:lang w:val="es-ES_tradnl"/>
              </w:rPr>
            </w:pPr>
            <w:r w:rsidRPr="00BE32C2">
              <w:rPr>
                <w:lang w:val="es-ES_tradnl"/>
              </w:rPr>
              <w:t xml:space="preserve">Nº de denuncias </w:t>
            </w:r>
            <w:r w:rsidRPr="00BE32C2">
              <w:rPr>
                <w:bCs/>
                <w:lang w:val="es-ES_tradnl"/>
              </w:rPr>
              <w:t xml:space="preserve">recibidas </w:t>
            </w:r>
            <w:r w:rsidRPr="00BE32C2">
              <w:rPr>
                <w:lang w:val="es-ES_tradnl"/>
              </w:rPr>
              <w:t>por año</w:t>
            </w:r>
          </w:p>
        </w:tc>
        <w:tc>
          <w:tcPr>
            <w:tcW w:w="774" w:type="pct"/>
            <w:gridSpan w:val="2"/>
            <w:vAlign w:val="center"/>
            <w:hideMark/>
          </w:tcPr>
          <w:p w:rsidR="00CC599F" w:rsidRPr="00BE32C2" w:rsidRDefault="00CC599F" w:rsidP="00BE32C2">
            <w:pPr>
              <w:spacing w:after="200" w:line="276" w:lineRule="auto"/>
              <w:jc w:val="center"/>
            </w:pPr>
            <w:r w:rsidRPr="00BE32C2">
              <w:t>8,753</w:t>
            </w:r>
          </w:p>
        </w:tc>
        <w:tc>
          <w:tcPr>
            <w:tcW w:w="866" w:type="pct"/>
            <w:gridSpan w:val="2"/>
            <w:vAlign w:val="center"/>
            <w:hideMark/>
          </w:tcPr>
          <w:p w:rsidR="00CC599F" w:rsidRPr="00BE32C2" w:rsidRDefault="00CC599F" w:rsidP="00BE32C2">
            <w:pPr>
              <w:spacing w:after="200" w:line="276" w:lineRule="auto"/>
              <w:jc w:val="center"/>
            </w:pPr>
            <w:r w:rsidRPr="00BE32C2">
              <w:t>18,939</w:t>
            </w:r>
          </w:p>
        </w:tc>
        <w:tc>
          <w:tcPr>
            <w:tcW w:w="875" w:type="pct"/>
            <w:gridSpan w:val="2"/>
            <w:noWrap/>
            <w:vAlign w:val="center"/>
            <w:hideMark/>
          </w:tcPr>
          <w:p w:rsidR="00CC599F" w:rsidRPr="00BE32C2" w:rsidRDefault="00CC599F" w:rsidP="00BE32C2">
            <w:pPr>
              <w:spacing w:after="200" w:line="276" w:lineRule="auto"/>
              <w:jc w:val="center"/>
            </w:pPr>
            <w:r w:rsidRPr="00BE32C2">
              <w:t>14,890</w:t>
            </w:r>
          </w:p>
        </w:tc>
        <w:tc>
          <w:tcPr>
            <w:tcW w:w="818" w:type="pct"/>
            <w:gridSpan w:val="2"/>
            <w:noWrap/>
            <w:vAlign w:val="center"/>
            <w:hideMark/>
          </w:tcPr>
          <w:p w:rsidR="00CC599F" w:rsidRPr="00BE32C2" w:rsidRDefault="00CC599F" w:rsidP="00BE32C2">
            <w:pPr>
              <w:spacing w:after="200" w:line="276" w:lineRule="auto"/>
              <w:jc w:val="center"/>
            </w:pPr>
            <w:r w:rsidRPr="00BE32C2">
              <w:t>12,155</w:t>
            </w:r>
          </w:p>
        </w:tc>
        <w:tc>
          <w:tcPr>
            <w:tcW w:w="803" w:type="pct"/>
            <w:gridSpan w:val="2"/>
            <w:noWrap/>
            <w:vAlign w:val="center"/>
            <w:hideMark/>
          </w:tcPr>
          <w:p w:rsidR="00CC599F" w:rsidRPr="00BE32C2" w:rsidRDefault="00CC599F" w:rsidP="00BE32C2">
            <w:pPr>
              <w:spacing w:after="200" w:line="276" w:lineRule="auto"/>
              <w:jc w:val="center"/>
            </w:pPr>
            <w:r w:rsidRPr="00BE32C2">
              <w:t>11,909</w:t>
            </w:r>
          </w:p>
        </w:tc>
      </w:tr>
      <w:tr w:rsidR="00BE32C2" w:rsidRPr="00BE32C2" w:rsidTr="00BE32C2">
        <w:trPr>
          <w:trHeight w:val="1223"/>
        </w:trPr>
        <w:tc>
          <w:tcPr>
            <w:tcW w:w="864" w:type="pct"/>
            <w:vAlign w:val="center"/>
            <w:hideMark/>
          </w:tcPr>
          <w:p w:rsidR="00CC599F" w:rsidRPr="00BE32C2" w:rsidRDefault="00CC599F" w:rsidP="00BE32C2">
            <w:pPr>
              <w:spacing w:line="276" w:lineRule="auto"/>
              <w:jc w:val="center"/>
              <w:rPr>
                <w:lang w:val="es-ES_tradnl"/>
              </w:rPr>
            </w:pPr>
            <w:r w:rsidRPr="00BE32C2">
              <w:rPr>
                <w:lang w:val="es-ES_tradnl"/>
              </w:rPr>
              <w:t>Nº de denuncias recibidas por año / Nº de denuncias resueltas</w:t>
            </w:r>
          </w:p>
        </w:tc>
        <w:tc>
          <w:tcPr>
            <w:tcW w:w="374" w:type="pct"/>
            <w:vAlign w:val="center"/>
            <w:hideMark/>
          </w:tcPr>
          <w:p w:rsidR="00CC599F" w:rsidRPr="00BE32C2" w:rsidRDefault="00CC599F" w:rsidP="00BE32C2">
            <w:pPr>
              <w:spacing w:after="200" w:line="276" w:lineRule="auto"/>
              <w:jc w:val="center"/>
            </w:pPr>
            <w:r w:rsidRPr="00BE32C2">
              <w:t>8,753</w:t>
            </w:r>
          </w:p>
        </w:tc>
        <w:tc>
          <w:tcPr>
            <w:tcW w:w="400" w:type="pct"/>
            <w:vAlign w:val="center"/>
            <w:hideMark/>
          </w:tcPr>
          <w:p w:rsidR="00CC599F" w:rsidRPr="00BE32C2" w:rsidRDefault="00CC599F" w:rsidP="00BE32C2">
            <w:pPr>
              <w:spacing w:after="200" w:line="276" w:lineRule="auto"/>
              <w:jc w:val="center"/>
            </w:pPr>
            <w:r w:rsidRPr="00BE32C2">
              <w:t>8,738</w:t>
            </w:r>
          </w:p>
        </w:tc>
        <w:tc>
          <w:tcPr>
            <w:tcW w:w="460" w:type="pct"/>
            <w:vAlign w:val="center"/>
            <w:hideMark/>
          </w:tcPr>
          <w:p w:rsidR="00CC599F" w:rsidRPr="00BE32C2" w:rsidRDefault="00CC599F" w:rsidP="00BE32C2">
            <w:pPr>
              <w:spacing w:after="200" w:line="276" w:lineRule="auto"/>
              <w:jc w:val="center"/>
            </w:pPr>
            <w:r w:rsidRPr="00BE32C2">
              <w:t>18,939</w:t>
            </w:r>
          </w:p>
        </w:tc>
        <w:tc>
          <w:tcPr>
            <w:tcW w:w="406" w:type="pct"/>
            <w:vAlign w:val="center"/>
            <w:hideMark/>
          </w:tcPr>
          <w:p w:rsidR="00CC599F" w:rsidRPr="00BE32C2" w:rsidRDefault="00CC599F" w:rsidP="00BE32C2">
            <w:pPr>
              <w:spacing w:after="200" w:line="276" w:lineRule="auto"/>
              <w:jc w:val="center"/>
            </w:pPr>
            <w:r w:rsidRPr="00BE32C2">
              <w:t>18,898</w:t>
            </w:r>
          </w:p>
        </w:tc>
        <w:tc>
          <w:tcPr>
            <w:tcW w:w="466" w:type="pct"/>
            <w:vAlign w:val="center"/>
            <w:hideMark/>
          </w:tcPr>
          <w:p w:rsidR="00CC599F" w:rsidRPr="00BE32C2" w:rsidRDefault="00CC599F" w:rsidP="00BE32C2">
            <w:pPr>
              <w:spacing w:after="200" w:line="276" w:lineRule="auto"/>
              <w:jc w:val="center"/>
            </w:pPr>
            <w:r w:rsidRPr="00BE32C2">
              <w:t>14,890</w:t>
            </w:r>
          </w:p>
        </w:tc>
        <w:tc>
          <w:tcPr>
            <w:tcW w:w="409" w:type="pct"/>
            <w:vAlign w:val="center"/>
            <w:hideMark/>
          </w:tcPr>
          <w:p w:rsidR="00CC599F" w:rsidRPr="00BE32C2" w:rsidRDefault="00CC599F" w:rsidP="00BE32C2">
            <w:pPr>
              <w:spacing w:after="200" w:line="276" w:lineRule="auto"/>
              <w:jc w:val="center"/>
            </w:pPr>
            <w:r w:rsidRPr="00BE32C2">
              <w:t>14,789</w:t>
            </w:r>
          </w:p>
        </w:tc>
        <w:tc>
          <w:tcPr>
            <w:tcW w:w="409" w:type="pct"/>
            <w:vAlign w:val="center"/>
            <w:hideMark/>
          </w:tcPr>
          <w:p w:rsidR="00CC599F" w:rsidRPr="00BE32C2" w:rsidRDefault="00CC599F" w:rsidP="00BE32C2">
            <w:pPr>
              <w:spacing w:after="200" w:line="276" w:lineRule="auto"/>
              <w:jc w:val="center"/>
            </w:pPr>
            <w:r w:rsidRPr="00BE32C2">
              <w:t>12,155</w:t>
            </w:r>
          </w:p>
        </w:tc>
        <w:tc>
          <w:tcPr>
            <w:tcW w:w="409" w:type="pct"/>
            <w:vAlign w:val="center"/>
            <w:hideMark/>
          </w:tcPr>
          <w:p w:rsidR="00CC599F" w:rsidRPr="00BE32C2" w:rsidRDefault="00CC599F" w:rsidP="00BE32C2">
            <w:pPr>
              <w:spacing w:after="200" w:line="276" w:lineRule="auto"/>
              <w:jc w:val="center"/>
            </w:pPr>
            <w:r w:rsidRPr="00BE32C2">
              <w:t>11,948</w:t>
            </w:r>
          </w:p>
        </w:tc>
        <w:tc>
          <w:tcPr>
            <w:tcW w:w="406" w:type="pct"/>
            <w:vAlign w:val="center"/>
            <w:hideMark/>
          </w:tcPr>
          <w:p w:rsidR="00CC599F" w:rsidRPr="00BE32C2" w:rsidRDefault="00CC599F" w:rsidP="00BE32C2">
            <w:pPr>
              <w:spacing w:after="200" w:line="276" w:lineRule="auto"/>
              <w:jc w:val="center"/>
            </w:pPr>
            <w:r w:rsidRPr="00BE32C2">
              <w:t>11,909</w:t>
            </w:r>
          </w:p>
        </w:tc>
        <w:tc>
          <w:tcPr>
            <w:tcW w:w="397" w:type="pct"/>
            <w:vAlign w:val="center"/>
            <w:hideMark/>
          </w:tcPr>
          <w:p w:rsidR="00CC599F" w:rsidRPr="00BE32C2" w:rsidRDefault="00CC599F" w:rsidP="00BE32C2">
            <w:pPr>
              <w:spacing w:after="200" w:line="276" w:lineRule="auto"/>
              <w:jc w:val="center"/>
            </w:pPr>
            <w:r w:rsidRPr="00BE32C2">
              <w:t>10,526</w:t>
            </w:r>
          </w:p>
        </w:tc>
      </w:tr>
    </w:tbl>
    <w:p w:rsidR="00CC599F" w:rsidRDefault="00CC599F" w:rsidP="00CC599F">
      <w:pPr>
        <w:spacing w:after="200" w:line="276" w:lineRule="auto"/>
        <w:rPr>
          <w:sz w:val="22"/>
          <w:szCs w:val="22"/>
          <w:lang w:val="es-ES_tradnl"/>
        </w:rPr>
      </w:pPr>
    </w:p>
    <w:p w:rsidR="00CC599F" w:rsidRDefault="00CC599F" w:rsidP="00CC599F">
      <w:pPr>
        <w:spacing w:line="276" w:lineRule="auto"/>
        <w:rPr>
          <w:b/>
          <w:sz w:val="22"/>
          <w:szCs w:val="22"/>
          <w:lang w:val="es-ES_tradnl"/>
        </w:rPr>
        <w:sectPr w:rsidR="00CC599F" w:rsidSect="00BE32C2">
          <w:pgSz w:w="12240" w:h="15840" w:code="1"/>
          <w:pgMar w:top="1440" w:right="1440" w:bottom="1440" w:left="1440" w:header="708" w:footer="708" w:gutter="0"/>
          <w:cols w:space="708"/>
          <w:docGrid w:linePitch="360"/>
        </w:sectPr>
      </w:pPr>
    </w:p>
    <w:p w:rsidR="00CC599F" w:rsidRPr="00B300AC" w:rsidRDefault="00CC599F" w:rsidP="00CC599F">
      <w:pPr>
        <w:spacing w:line="276" w:lineRule="auto"/>
        <w:rPr>
          <w:b/>
          <w:sz w:val="22"/>
          <w:szCs w:val="22"/>
          <w:lang w:val="es-ES_tradnl"/>
        </w:rPr>
      </w:pPr>
      <w:r w:rsidRPr="00B300AC">
        <w:rPr>
          <w:b/>
          <w:sz w:val="22"/>
          <w:szCs w:val="22"/>
          <w:lang w:val="es-ES_tradnl"/>
        </w:rPr>
        <w:t>Cuadro F.6.</w:t>
      </w:r>
      <w:r w:rsidRPr="00B300AC">
        <w:rPr>
          <w:b/>
          <w:bCs/>
        </w:rPr>
        <w:t xml:space="preserve"> Cobertura sectorial del proceso auditor</w:t>
      </w:r>
    </w:p>
    <w:tbl>
      <w:tblPr>
        <w:tblW w:w="5346" w:type="pct"/>
        <w:tblInd w:w="-882" w:type="dxa"/>
        <w:tblLayout w:type="fixed"/>
        <w:tblLook w:val="04A0" w:firstRow="1" w:lastRow="0" w:firstColumn="1" w:lastColumn="0" w:noHBand="0" w:noVBand="1"/>
      </w:tblPr>
      <w:tblGrid>
        <w:gridCol w:w="1172"/>
        <w:gridCol w:w="539"/>
        <w:gridCol w:w="538"/>
        <w:gridCol w:w="590"/>
        <w:gridCol w:w="538"/>
        <w:gridCol w:w="538"/>
        <w:gridCol w:w="629"/>
        <w:gridCol w:w="538"/>
        <w:gridCol w:w="629"/>
        <w:gridCol w:w="538"/>
        <w:gridCol w:w="629"/>
        <w:gridCol w:w="538"/>
        <w:gridCol w:w="626"/>
        <w:gridCol w:w="538"/>
        <w:gridCol w:w="538"/>
        <w:gridCol w:w="535"/>
        <w:gridCol w:w="538"/>
        <w:gridCol w:w="535"/>
        <w:gridCol w:w="535"/>
        <w:gridCol w:w="532"/>
        <w:gridCol w:w="535"/>
        <w:gridCol w:w="542"/>
        <w:gridCol w:w="538"/>
        <w:gridCol w:w="542"/>
        <w:gridCol w:w="542"/>
        <w:gridCol w:w="629"/>
        <w:gridCol w:w="629"/>
        <w:gridCol w:w="464"/>
      </w:tblGrid>
      <w:tr w:rsidR="00772933" w:rsidRPr="00BE32C2" w:rsidTr="00772933">
        <w:trPr>
          <w:trHeight w:val="90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p>
        </w:tc>
        <w:tc>
          <w:tcPr>
            <w:tcW w:w="514" w:type="pct"/>
            <w:gridSpan w:val="3"/>
            <w:tcBorders>
              <w:top w:val="single" w:sz="4" w:space="0" w:color="auto"/>
              <w:left w:val="nil"/>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2006</w:t>
            </w:r>
          </w:p>
        </w:tc>
        <w:tc>
          <w:tcPr>
            <w:tcW w:w="526"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2007</w:t>
            </w:r>
          </w:p>
        </w:tc>
        <w:tc>
          <w:tcPr>
            <w:tcW w:w="526"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2008</w:t>
            </w:r>
          </w:p>
        </w:tc>
        <w:tc>
          <w:tcPr>
            <w:tcW w:w="553"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2009</w:t>
            </w:r>
          </w:p>
        </w:tc>
        <w:tc>
          <w:tcPr>
            <w:tcW w:w="497"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2010</w:t>
            </w:r>
          </w:p>
        </w:tc>
        <w:tc>
          <w:tcPr>
            <w:tcW w:w="496"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2011</w:t>
            </w:r>
          </w:p>
        </w:tc>
        <w:tc>
          <w:tcPr>
            <w:tcW w:w="496" w:type="pct"/>
            <w:gridSpan w:val="3"/>
            <w:tcBorders>
              <w:top w:val="single" w:sz="4" w:space="0" w:color="auto"/>
              <w:left w:val="single" w:sz="4" w:space="0" w:color="auto"/>
              <w:bottom w:val="single" w:sz="4" w:space="0" w:color="auto"/>
              <w:right w:val="nil"/>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2012</w:t>
            </w:r>
          </w:p>
        </w:tc>
        <w:tc>
          <w:tcPr>
            <w:tcW w:w="5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2013</w:t>
            </w:r>
          </w:p>
        </w:tc>
        <w:tc>
          <w:tcPr>
            <w:tcW w:w="531" w:type="pct"/>
            <w:gridSpan w:val="3"/>
            <w:tcBorders>
              <w:top w:val="single" w:sz="4" w:space="0" w:color="auto"/>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2014</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bCs/>
                <w:sz w:val="16"/>
                <w:szCs w:val="16"/>
              </w:rPr>
            </w:pPr>
            <w:r w:rsidRPr="00BE32C2">
              <w:rPr>
                <w:bCs/>
                <w:sz w:val="16"/>
                <w:szCs w:val="16"/>
              </w:rPr>
              <w:t>SECTOR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ESA</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SCA</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Cs/>
                <w:sz w:val="16"/>
                <w:szCs w:val="16"/>
              </w:rPr>
            </w:pPr>
            <w:r w:rsidRPr="00BE32C2">
              <w:rPr>
                <w:bCs/>
                <w:sz w:val="16"/>
                <w:szCs w:val="16"/>
              </w:rPr>
              <w:t>AR</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Agropecuario</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57</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56</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62</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111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76</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31</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73</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77</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19</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72</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82</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25</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74</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74</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17</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Ambiente</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46</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54</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46</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53</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54</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76</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57</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39</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47</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53</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41</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47</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43</w:t>
            </w:r>
          </w:p>
        </w:tc>
      </w:tr>
      <w:tr w:rsidR="00772933" w:rsidRPr="00BE32C2" w:rsidTr="00772933">
        <w:trPr>
          <w:trHeight w:val="510"/>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Defensa, Justicia, Seguridad</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23</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173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34</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33</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24</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79</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38</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29</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36</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39</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36</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21</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Gestión pública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49</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56</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156</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56</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157</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54</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38</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59</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100</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61</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43</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78</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62</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42</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Infraestructura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133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110</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112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127</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115</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45</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119</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88</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100</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135</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129</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127</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135</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131</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27</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Social</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77</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247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178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76</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471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178</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541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173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89</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495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161</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34</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188</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163</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69</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125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165</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157</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71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194</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161</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Minas y Energía</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55</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101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180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162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46</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148</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43</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152</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46</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35</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47</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41</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37</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45</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46</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25</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sz w:val="16"/>
                <w:szCs w:val="16"/>
              </w:rPr>
            </w:pPr>
            <w:r w:rsidRPr="00BE32C2">
              <w:rPr>
                <w:sz w:val="16"/>
                <w:szCs w:val="16"/>
              </w:rPr>
              <w:t>Sin sectorizar / Otros</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14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3</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0</w:t>
            </w:r>
          </w:p>
        </w:tc>
      </w:tr>
      <w:tr w:rsidR="00772933" w:rsidRPr="00BE32C2" w:rsidTr="00772933">
        <w:trPr>
          <w:trHeight w:val="315"/>
        </w:trPr>
        <w:tc>
          <w:tcPr>
            <w:tcW w:w="361" w:type="pct"/>
            <w:tcBorders>
              <w:top w:val="nil"/>
              <w:left w:val="single" w:sz="4" w:space="0" w:color="auto"/>
              <w:bottom w:val="single" w:sz="4" w:space="0" w:color="auto"/>
              <w:right w:val="single" w:sz="4" w:space="0" w:color="auto"/>
            </w:tcBorders>
            <w:shd w:val="clear" w:color="000000" w:fill="FFFFFF"/>
            <w:vAlign w:val="center"/>
            <w:hideMark/>
          </w:tcPr>
          <w:p w:rsidR="00CC599F" w:rsidRPr="00BE32C2" w:rsidRDefault="00CC599F" w:rsidP="00BE32C2">
            <w:pPr>
              <w:rPr>
                <w:b/>
                <w:bCs/>
                <w:sz w:val="16"/>
                <w:szCs w:val="16"/>
              </w:rPr>
            </w:pPr>
            <w:r w:rsidRPr="00BE32C2">
              <w:rPr>
                <w:b/>
                <w:bCs/>
                <w:sz w:val="16"/>
                <w:szCs w:val="16"/>
              </w:rPr>
              <w:t>TOTAL</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449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431</w:t>
            </w:r>
          </w:p>
        </w:tc>
        <w:tc>
          <w:tcPr>
            <w:tcW w:w="182"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939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571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430</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1300</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571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444</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1291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577</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437</w:t>
            </w:r>
          </w:p>
        </w:tc>
        <w:tc>
          <w:tcPr>
            <w:tcW w:w="19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1219</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561</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327</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805</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550</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276</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744</w:t>
            </w:r>
          </w:p>
        </w:tc>
        <w:tc>
          <w:tcPr>
            <w:tcW w:w="16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573</w:t>
            </w:r>
          </w:p>
        </w:tc>
        <w:tc>
          <w:tcPr>
            <w:tcW w:w="165"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268</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432</w:t>
            </w:r>
          </w:p>
        </w:tc>
        <w:tc>
          <w:tcPr>
            <w:tcW w:w="166"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560</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573</w:t>
            </w:r>
          </w:p>
        </w:tc>
        <w:tc>
          <w:tcPr>
            <w:tcW w:w="167"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291</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612</w:t>
            </w:r>
          </w:p>
        </w:tc>
        <w:tc>
          <w:tcPr>
            <w:tcW w:w="194"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sz w:val="16"/>
                <w:szCs w:val="16"/>
              </w:rPr>
            </w:pPr>
            <w:r w:rsidRPr="00BE32C2">
              <w:rPr>
                <w:sz w:val="16"/>
                <w:szCs w:val="16"/>
              </w:rPr>
              <w:t>557</w:t>
            </w:r>
          </w:p>
        </w:tc>
        <w:tc>
          <w:tcPr>
            <w:tcW w:w="143" w:type="pct"/>
            <w:tcBorders>
              <w:top w:val="nil"/>
              <w:left w:val="nil"/>
              <w:bottom w:val="single" w:sz="4" w:space="0" w:color="auto"/>
              <w:right w:val="single" w:sz="4" w:space="0" w:color="auto"/>
            </w:tcBorders>
            <w:shd w:val="clear" w:color="000000" w:fill="FFFFFF"/>
            <w:vAlign w:val="center"/>
            <w:hideMark/>
          </w:tcPr>
          <w:p w:rsidR="00CC599F" w:rsidRPr="00BE32C2" w:rsidRDefault="00CC599F" w:rsidP="00BE32C2">
            <w:pPr>
              <w:jc w:val="center"/>
              <w:rPr>
                <w:b/>
                <w:bCs/>
                <w:sz w:val="16"/>
                <w:szCs w:val="16"/>
              </w:rPr>
            </w:pPr>
            <w:r w:rsidRPr="00BE32C2">
              <w:rPr>
                <w:b/>
                <w:bCs/>
                <w:sz w:val="16"/>
                <w:szCs w:val="16"/>
              </w:rPr>
              <w:t>21</w:t>
            </w:r>
          </w:p>
        </w:tc>
      </w:tr>
    </w:tbl>
    <w:p w:rsidR="00772933" w:rsidRDefault="00772933" w:rsidP="00CC599F">
      <w:pPr>
        <w:spacing w:after="200" w:line="276" w:lineRule="auto"/>
        <w:ind w:left="-810"/>
        <w:jc w:val="both"/>
        <w:rPr>
          <w:lang w:val="es-ES_tradnl"/>
        </w:rPr>
      </w:pPr>
    </w:p>
    <w:p w:rsidR="00CC599F" w:rsidRPr="00772933" w:rsidRDefault="00CC599F" w:rsidP="00CC599F">
      <w:pPr>
        <w:spacing w:after="200" w:line="276" w:lineRule="auto"/>
        <w:ind w:left="-810"/>
        <w:jc w:val="both"/>
        <w:rPr>
          <w:lang w:val="es-ES_tradnl"/>
        </w:rPr>
      </w:pPr>
      <w:r w:rsidRPr="00772933">
        <w:rPr>
          <w:lang w:val="es-ES_tradnl"/>
        </w:rPr>
        <w:t xml:space="preserve">Notas: ESA: No. Entidades Susceptibles de Auditar; SCA: Sujetos de Control Auditados; AR: Auditorías Realizadas. El número de auditorías realizadas se incrementa significativamente ya que incluye procesos auditores a recursos de los Sistemas Generales de Regalías y Participaciones, a entidades del nivel territorial via esquemas desconcentrados o descentralizados, y debido a las actuaciones especiales y/o seguimiento que pueden realizarse sobre un mismo sujeto de control (puntos de control o recursos específicos). En materia de gestión pública, se incluyen recursos del orden territorial por concepto de saneamiento fiscal y financiero </w:t>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r w:rsidRPr="00772933">
        <w:rPr>
          <w:lang w:val="es-ES_tradnl"/>
        </w:rPr>
        <w:tab/>
      </w:r>
    </w:p>
    <w:p w:rsidR="00CC599F" w:rsidRPr="00B300AC" w:rsidRDefault="00CC599F" w:rsidP="00CC599F">
      <w:pPr>
        <w:spacing w:after="200" w:line="276" w:lineRule="auto"/>
        <w:rPr>
          <w:sz w:val="22"/>
          <w:szCs w:val="22"/>
          <w:lang w:val="es-ES_tradnl"/>
        </w:rPr>
      </w:pP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p>
    <w:p w:rsidR="00CC599F" w:rsidRPr="00B300AC" w:rsidRDefault="00CC599F" w:rsidP="00CC599F">
      <w:pPr>
        <w:spacing w:after="200" w:line="276" w:lineRule="auto"/>
        <w:rPr>
          <w:b/>
          <w:sz w:val="22"/>
          <w:szCs w:val="22"/>
          <w:lang w:val="es-ES_tradnl"/>
        </w:rPr>
        <w:sectPr w:rsidR="00CC599F" w:rsidRPr="00B300AC" w:rsidSect="00BE32C2">
          <w:pgSz w:w="16839" w:h="11907" w:orient="landscape" w:code="9"/>
          <w:pgMar w:top="1440" w:right="450" w:bottom="1440" w:left="1440" w:header="708" w:footer="708" w:gutter="0"/>
          <w:cols w:space="708"/>
          <w:docGrid w:linePitch="360"/>
        </w:sectPr>
      </w:pP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r w:rsidRPr="00B300AC">
        <w:rPr>
          <w:sz w:val="22"/>
          <w:szCs w:val="22"/>
          <w:lang w:val="es-ES_tradnl"/>
        </w:rPr>
        <w:tab/>
      </w:r>
    </w:p>
    <w:p w:rsidR="00CC599F" w:rsidRPr="00FC08AC" w:rsidRDefault="00CC599F" w:rsidP="00772933">
      <w:pPr>
        <w:pStyle w:val="FirstHeading"/>
        <w:numPr>
          <w:ilvl w:val="0"/>
          <w:numId w:val="0"/>
        </w:numPr>
        <w:spacing w:line="360" w:lineRule="auto"/>
        <w:ind w:left="720" w:hanging="1350"/>
        <w:rPr>
          <w:sz w:val="22"/>
          <w:szCs w:val="22"/>
        </w:rPr>
      </w:pPr>
      <w:r>
        <w:rPr>
          <w:sz w:val="22"/>
          <w:szCs w:val="22"/>
        </w:rPr>
        <w:t>G</w:t>
      </w:r>
      <w:r w:rsidRPr="00FC08AC">
        <w:rPr>
          <w:sz w:val="22"/>
          <w:szCs w:val="22"/>
        </w:rPr>
        <w:t xml:space="preserve">. </w:t>
      </w:r>
      <w:r w:rsidR="00772933">
        <w:rPr>
          <w:sz w:val="22"/>
          <w:szCs w:val="22"/>
        </w:rPr>
        <w:tab/>
      </w:r>
      <w:r w:rsidRPr="00FC08AC">
        <w:rPr>
          <w:sz w:val="22"/>
          <w:szCs w:val="22"/>
        </w:rPr>
        <w:t xml:space="preserve">Plan de Trabajo, responsables y presupuesto para las evaluaciones del Programa </w:t>
      </w:r>
    </w:p>
    <w:p w:rsidR="00CC599F" w:rsidRDefault="00CC599F" w:rsidP="00CC599F">
      <w:pPr>
        <w:pStyle w:val="Chapter"/>
        <w:numPr>
          <w:ilvl w:val="0"/>
          <w:numId w:val="0"/>
        </w:numPr>
        <w:tabs>
          <w:tab w:val="clear" w:pos="1440"/>
          <w:tab w:val="left" w:pos="709"/>
        </w:tabs>
        <w:spacing w:after="0"/>
        <w:jc w:val="left"/>
        <w:rPr>
          <w:rStyle w:val="longtext"/>
          <w:smallCaps w:val="0"/>
          <w:color w:val="000000"/>
          <w:sz w:val="22"/>
          <w:szCs w:val="22"/>
          <w:shd w:val="clear" w:color="auto" w:fill="FFFFFF"/>
          <w:lang w:val="es-ES_tradnl"/>
        </w:rPr>
      </w:pPr>
      <w:r>
        <w:rPr>
          <w:rStyle w:val="longtext"/>
          <w:smallCaps w:val="0"/>
          <w:color w:val="000000"/>
          <w:sz w:val="22"/>
          <w:szCs w:val="22"/>
          <w:shd w:val="clear" w:color="auto" w:fill="FFFFFF"/>
          <w:lang w:val="es-ES_tradnl"/>
        </w:rPr>
        <w:t>Cuadro G.1</w:t>
      </w:r>
      <w:r w:rsidRPr="00B5389C">
        <w:rPr>
          <w:rStyle w:val="longtext"/>
          <w:smallCaps w:val="0"/>
          <w:color w:val="000000"/>
          <w:sz w:val="22"/>
          <w:szCs w:val="22"/>
          <w:shd w:val="clear" w:color="auto" w:fill="FFFFFF"/>
          <w:lang w:val="es-ES_tradnl"/>
        </w:rPr>
        <w:t>: Plan de Trabajo, res</w:t>
      </w:r>
      <w:r>
        <w:rPr>
          <w:rStyle w:val="longtext"/>
          <w:smallCaps w:val="0"/>
          <w:color w:val="000000"/>
          <w:sz w:val="22"/>
          <w:szCs w:val="22"/>
          <w:shd w:val="clear" w:color="auto" w:fill="FFFFFF"/>
          <w:lang w:val="es-ES_tradnl"/>
        </w:rPr>
        <w:t>ponsables y presupuesto para la evaluación de impacto</w:t>
      </w:r>
      <w:r w:rsidRPr="00B5389C">
        <w:rPr>
          <w:rStyle w:val="longtext"/>
          <w:smallCaps w:val="0"/>
          <w:color w:val="000000"/>
          <w:sz w:val="22"/>
          <w:szCs w:val="22"/>
          <w:shd w:val="clear" w:color="auto" w:fill="FFFFFF"/>
          <w:lang w:val="es-ES_tradnl"/>
        </w:rPr>
        <w:t xml:space="preserve"> del Programa</w:t>
      </w:r>
    </w:p>
    <w:p w:rsidR="00772933" w:rsidRPr="00772933" w:rsidRDefault="00772933" w:rsidP="00772933">
      <w:pPr>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16"/>
        <w:gridCol w:w="316"/>
        <w:gridCol w:w="316"/>
        <w:gridCol w:w="316"/>
        <w:gridCol w:w="316"/>
        <w:gridCol w:w="316"/>
        <w:gridCol w:w="316"/>
        <w:gridCol w:w="316"/>
        <w:gridCol w:w="316"/>
        <w:gridCol w:w="317"/>
        <w:gridCol w:w="1283"/>
        <w:gridCol w:w="1261"/>
        <w:gridCol w:w="1494"/>
      </w:tblGrid>
      <w:tr w:rsidR="00CC599F" w:rsidRPr="00772933" w:rsidTr="00CC599F">
        <w:tc>
          <w:tcPr>
            <w:tcW w:w="936" w:type="pct"/>
            <w:vMerge w:val="restart"/>
            <w:shd w:val="clear" w:color="auto" w:fill="BFBFBF" w:themeFill="background1" w:themeFillShade="BF"/>
          </w:tcPr>
          <w:p w:rsidR="00CC599F" w:rsidRPr="00772933" w:rsidRDefault="00CC599F" w:rsidP="00BE32C2">
            <w:pPr>
              <w:spacing w:before="120"/>
              <w:jc w:val="center"/>
              <w:rPr>
                <w:b/>
                <w:lang w:val="es-ES_tradnl"/>
              </w:rPr>
            </w:pPr>
            <w:r w:rsidRPr="00772933">
              <w:rPr>
                <w:b/>
                <w:lang w:val="es-ES_tradnl"/>
              </w:rPr>
              <w:t>Actividades de Evaluación</w:t>
            </w:r>
          </w:p>
        </w:tc>
        <w:tc>
          <w:tcPr>
            <w:tcW w:w="357" w:type="pct"/>
            <w:gridSpan w:val="2"/>
            <w:shd w:val="clear" w:color="auto" w:fill="BFBFBF" w:themeFill="background1" w:themeFillShade="BF"/>
          </w:tcPr>
          <w:p w:rsidR="00CC599F" w:rsidRPr="00772933" w:rsidRDefault="00CC599F" w:rsidP="00BE32C2">
            <w:pPr>
              <w:jc w:val="center"/>
              <w:rPr>
                <w:b/>
                <w:lang w:val="es-ES_tradnl"/>
              </w:rPr>
            </w:pPr>
            <w:r w:rsidRPr="00772933">
              <w:rPr>
                <w:b/>
                <w:lang w:val="es-ES_tradnl"/>
              </w:rPr>
              <w:t>Año 1</w:t>
            </w:r>
          </w:p>
        </w:tc>
        <w:tc>
          <w:tcPr>
            <w:tcW w:w="357" w:type="pct"/>
            <w:gridSpan w:val="2"/>
            <w:shd w:val="clear" w:color="auto" w:fill="BFBFBF" w:themeFill="background1" w:themeFillShade="BF"/>
          </w:tcPr>
          <w:p w:rsidR="00CC599F" w:rsidRPr="00772933" w:rsidRDefault="00CC599F" w:rsidP="00BE32C2">
            <w:pPr>
              <w:jc w:val="center"/>
              <w:rPr>
                <w:b/>
                <w:lang w:val="es-ES_tradnl"/>
              </w:rPr>
            </w:pPr>
            <w:r w:rsidRPr="00772933">
              <w:rPr>
                <w:b/>
                <w:lang w:val="es-ES_tradnl"/>
              </w:rPr>
              <w:t>Año 2</w:t>
            </w:r>
          </w:p>
        </w:tc>
        <w:tc>
          <w:tcPr>
            <w:tcW w:w="357" w:type="pct"/>
            <w:gridSpan w:val="2"/>
            <w:shd w:val="clear" w:color="auto" w:fill="BFBFBF" w:themeFill="background1" w:themeFillShade="BF"/>
          </w:tcPr>
          <w:p w:rsidR="00CC599F" w:rsidRPr="00772933" w:rsidRDefault="00CC599F" w:rsidP="00BE32C2">
            <w:pPr>
              <w:jc w:val="center"/>
              <w:rPr>
                <w:b/>
                <w:lang w:val="es-ES_tradnl"/>
              </w:rPr>
            </w:pPr>
            <w:r w:rsidRPr="00772933">
              <w:rPr>
                <w:b/>
                <w:lang w:val="es-ES_tradnl"/>
              </w:rPr>
              <w:t>Año 3</w:t>
            </w:r>
          </w:p>
        </w:tc>
        <w:tc>
          <w:tcPr>
            <w:tcW w:w="357" w:type="pct"/>
            <w:gridSpan w:val="2"/>
            <w:shd w:val="clear" w:color="auto" w:fill="BFBFBF" w:themeFill="background1" w:themeFillShade="BF"/>
          </w:tcPr>
          <w:p w:rsidR="00CC599F" w:rsidRPr="00772933" w:rsidRDefault="00CC599F" w:rsidP="00BE32C2">
            <w:pPr>
              <w:jc w:val="center"/>
              <w:rPr>
                <w:b/>
                <w:lang w:val="es-ES_tradnl"/>
              </w:rPr>
            </w:pPr>
            <w:r w:rsidRPr="00772933">
              <w:rPr>
                <w:b/>
                <w:lang w:val="es-ES_tradnl"/>
              </w:rPr>
              <w:t>Año 4</w:t>
            </w:r>
          </w:p>
        </w:tc>
        <w:tc>
          <w:tcPr>
            <w:tcW w:w="357" w:type="pct"/>
            <w:gridSpan w:val="2"/>
            <w:shd w:val="clear" w:color="auto" w:fill="BFBFBF" w:themeFill="background1" w:themeFillShade="BF"/>
          </w:tcPr>
          <w:p w:rsidR="00CC599F" w:rsidRPr="00772933" w:rsidRDefault="00CC599F" w:rsidP="00BE32C2">
            <w:pPr>
              <w:jc w:val="center"/>
              <w:rPr>
                <w:b/>
                <w:lang w:val="es-ES_tradnl"/>
              </w:rPr>
            </w:pPr>
            <w:r w:rsidRPr="00772933">
              <w:rPr>
                <w:b/>
                <w:lang w:val="es-ES_tradnl"/>
              </w:rPr>
              <w:t xml:space="preserve">Año </w:t>
            </w:r>
          </w:p>
          <w:p w:rsidR="00CC599F" w:rsidRPr="00772933" w:rsidRDefault="00CC599F" w:rsidP="00BE32C2">
            <w:pPr>
              <w:jc w:val="center"/>
              <w:rPr>
                <w:b/>
                <w:lang w:val="es-ES_tradnl"/>
              </w:rPr>
            </w:pPr>
            <w:r w:rsidRPr="00772933">
              <w:rPr>
                <w:b/>
                <w:lang w:val="es-ES_tradnl"/>
              </w:rPr>
              <w:t>5</w:t>
            </w:r>
          </w:p>
        </w:tc>
        <w:tc>
          <w:tcPr>
            <w:tcW w:w="724" w:type="pct"/>
            <w:vMerge w:val="restart"/>
            <w:shd w:val="clear" w:color="auto" w:fill="BFBFBF" w:themeFill="background1" w:themeFillShade="BF"/>
          </w:tcPr>
          <w:p w:rsidR="00CC599F" w:rsidRPr="00772933" w:rsidRDefault="00CC599F" w:rsidP="00BE32C2">
            <w:pPr>
              <w:spacing w:before="120"/>
              <w:jc w:val="center"/>
              <w:rPr>
                <w:b/>
                <w:lang w:val="es-ES_tradnl"/>
              </w:rPr>
            </w:pPr>
            <w:r w:rsidRPr="00772933">
              <w:rPr>
                <w:b/>
                <w:lang w:val="es-ES_tradnl"/>
              </w:rPr>
              <w:t>Responsable</w:t>
            </w:r>
          </w:p>
        </w:tc>
        <w:tc>
          <w:tcPr>
            <w:tcW w:w="712" w:type="pct"/>
            <w:vMerge w:val="restart"/>
            <w:shd w:val="clear" w:color="auto" w:fill="BFBFBF" w:themeFill="background1" w:themeFillShade="BF"/>
          </w:tcPr>
          <w:p w:rsidR="00CC599F" w:rsidRPr="00772933" w:rsidRDefault="00CC599F" w:rsidP="00BE32C2">
            <w:pPr>
              <w:spacing w:before="120"/>
              <w:jc w:val="center"/>
              <w:rPr>
                <w:b/>
                <w:lang w:val="es-ES_tradnl"/>
              </w:rPr>
            </w:pPr>
            <w:r w:rsidRPr="00772933">
              <w:rPr>
                <w:b/>
                <w:lang w:val="es-ES_tradnl"/>
              </w:rPr>
              <w:t>Presupuesto (US$)</w:t>
            </w:r>
          </w:p>
        </w:tc>
        <w:tc>
          <w:tcPr>
            <w:tcW w:w="843" w:type="pct"/>
            <w:vMerge w:val="restart"/>
            <w:shd w:val="clear" w:color="auto" w:fill="BFBFBF" w:themeFill="background1" w:themeFillShade="BF"/>
          </w:tcPr>
          <w:p w:rsidR="00CC599F" w:rsidRPr="00772933" w:rsidRDefault="00CC599F" w:rsidP="00BE32C2">
            <w:pPr>
              <w:spacing w:before="120"/>
              <w:jc w:val="center"/>
              <w:rPr>
                <w:b/>
                <w:lang w:val="es-ES_tradnl"/>
              </w:rPr>
            </w:pPr>
            <w:r w:rsidRPr="00772933">
              <w:rPr>
                <w:b/>
                <w:lang w:val="es-ES_tradnl"/>
              </w:rPr>
              <w:t xml:space="preserve">Fuente financiamiento </w:t>
            </w:r>
          </w:p>
        </w:tc>
      </w:tr>
      <w:tr w:rsidR="00CC599F" w:rsidRPr="00772933" w:rsidTr="00CC599F">
        <w:tc>
          <w:tcPr>
            <w:tcW w:w="936" w:type="pct"/>
            <w:vMerge/>
          </w:tcPr>
          <w:p w:rsidR="00CC599F" w:rsidRPr="00772933" w:rsidRDefault="00CC599F" w:rsidP="00BE32C2">
            <w:pPr>
              <w:rPr>
                <w:b/>
                <w:lang w:val="es-ES_tradnl"/>
              </w:rPr>
            </w:pP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1</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2</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1</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2</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1</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2</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1</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2</w:t>
            </w:r>
          </w:p>
        </w:tc>
        <w:tc>
          <w:tcPr>
            <w:tcW w:w="178"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1</w:t>
            </w:r>
          </w:p>
        </w:tc>
        <w:tc>
          <w:tcPr>
            <w:tcW w:w="179" w:type="pct"/>
            <w:shd w:val="clear" w:color="auto" w:fill="BFBFBF" w:themeFill="background1" w:themeFillShade="BF"/>
          </w:tcPr>
          <w:p w:rsidR="00CC599F" w:rsidRPr="00772933" w:rsidRDefault="00CC599F" w:rsidP="00BE32C2">
            <w:pPr>
              <w:jc w:val="center"/>
              <w:rPr>
                <w:b/>
                <w:lang w:val="es-ES_tradnl"/>
              </w:rPr>
            </w:pPr>
            <w:r w:rsidRPr="00772933">
              <w:rPr>
                <w:b/>
                <w:lang w:val="es-ES_tradnl"/>
              </w:rPr>
              <w:t>2</w:t>
            </w:r>
          </w:p>
        </w:tc>
        <w:tc>
          <w:tcPr>
            <w:tcW w:w="724" w:type="pct"/>
            <w:vMerge/>
          </w:tcPr>
          <w:p w:rsidR="00CC599F" w:rsidRPr="00772933" w:rsidRDefault="00CC599F" w:rsidP="00BE32C2">
            <w:pPr>
              <w:rPr>
                <w:b/>
                <w:lang w:val="es-ES_tradnl"/>
              </w:rPr>
            </w:pPr>
          </w:p>
        </w:tc>
        <w:tc>
          <w:tcPr>
            <w:tcW w:w="712" w:type="pct"/>
            <w:vMerge/>
          </w:tcPr>
          <w:p w:rsidR="00CC599F" w:rsidRPr="00772933" w:rsidRDefault="00CC599F" w:rsidP="00BE32C2">
            <w:pPr>
              <w:rPr>
                <w:b/>
                <w:lang w:val="es-ES_tradnl"/>
              </w:rPr>
            </w:pPr>
          </w:p>
        </w:tc>
        <w:tc>
          <w:tcPr>
            <w:tcW w:w="843" w:type="pct"/>
            <w:vMerge/>
          </w:tcPr>
          <w:p w:rsidR="00CC599F" w:rsidRPr="00772933" w:rsidRDefault="00CC599F" w:rsidP="00BE32C2">
            <w:pPr>
              <w:rPr>
                <w:b/>
                <w:lang w:val="es-ES_tradnl"/>
              </w:rPr>
            </w:pPr>
          </w:p>
        </w:tc>
      </w:tr>
      <w:tr w:rsidR="00CC599F" w:rsidRPr="00772933" w:rsidTr="00CC599F">
        <w:tc>
          <w:tcPr>
            <w:tcW w:w="936" w:type="pct"/>
            <w:vAlign w:val="center"/>
          </w:tcPr>
          <w:p w:rsidR="00CC599F" w:rsidRPr="00772933" w:rsidRDefault="00CC599F" w:rsidP="00BE32C2">
            <w:pPr>
              <w:rPr>
                <w:lang w:val="es-ES_tradnl"/>
              </w:rPr>
            </w:pPr>
            <w:r w:rsidRPr="00772933">
              <w:rPr>
                <w:lang w:val="es-ES_tradnl"/>
              </w:rPr>
              <w:t>Levantamiento de datos</w:t>
            </w: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r w:rsidRPr="00772933">
              <w:rPr>
                <w:lang w:val="es-ES_tradnl"/>
              </w:rPr>
              <w:t>x</w:t>
            </w:r>
          </w:p>
        </w:tc>
        <w:tc>
          <w:tcPr>
            <w:tcW w:w="179" w:type="pct"/>
          </w:tcPr>
          <w:p w:rsidR="00CC599F" w:rsidRPr="00772933" w:rsidRDefault="00CC599F" w:rsidP="00BE32C2">
            <w:pPr>
              <w:rPr>
                <w:lang w:val="es-ES_tradnl"/>
              </w:rPr>
            </w:pPr>
          </w:p>
        </w:tc>
        <w:tc>
          <w:tcPr>
            <w:tcW w:w="724" w:type="pct"/>
          </w:tcPr>
          <w:p w:rsidR="00CC599F" w:rsidRPr="00772933" w:rsidRDefault="00CC599F" w:rsidP="00BE32C2">
            <w:pPr>
              <w:rPr>
                <w:lang w:val="es-ES_tradnl"/>
              </w:rPr>
            </w:pPr>
            <w:r w:rsidRPr="00772933">
              <w:rPr>
                <w:lang w:val="es-ES_tradnl"/>
              </w:rPr>
              <w:t>CGR</w:t>
            </w:r>
          </w:p>
        </w:tc>
        <w:tc>
          <w:tcPr>
            <w:tcW w:w="712" w:type="pct"/>
          </w:tcPr>
          <w:p w:rsidR="00CC599F" w:rsidRPr="00772933" w:rsidRDefault="00CC599F" w:rsidP="00772933">
            <w:pPr>
              <w:jc w:val="center"/>
              <w:rPr>
                <w:lang w:val="es-ES_tradnl"/>
              </w:rPr>
            </w:pPr>
            <w:r w:rsidRPr="00772933">
              <w:rPr>
                <w:lang w:val="es-ES_tradnl"/>
              </w:rPr>
              <w:t>NA</w:t>
            </w:r>
          </w:p>
        </w:tc>
        <w:tc>
          <w:tcPr>
            <w:tcW w:w="843" w:type="pct"/>
          </w:tcPr>
          <w:p w:rsidR="00CC599F" w:rsidRPr="00772933" w:rsidRDefault="00CC599F" w:rsidP="00772933">
            <w:pPr>
              <w:jc w:val="center"/>
              <w:rPr>
                <w:lang w:val="es-ES_tradnl"/>
              </w:rPr>
            </w:pPr>
          </w:p>
        </w:tc>
      </w:tr>
      <w:tr w:rsidR="00CC599F" w:rsidRPr="00772933" w:rsidTr="00CC599F">
        <w:trPr>
          <w:trHeight w:val="557"/>
        </w:trPr>
        <w:tc>
          <w:tcPr>
            <w:tcW w:w="936" w:type="pct"/>
            <w:vAlign w:val="center"/>
          </w:tcPr>
          <w:p w:rsidR="00CC599F" w:rsidRPr="00772933" w:rsidRDefault="00CC599F" w:rsidP="00BE32C2">
            <w:pPr>
              <w:rPr>
                <w:lang w:val="es-ES_tradnl"/>
              </w:rPr>
            </w:pPr>
            <w:r w:rsidRPr="00772933">
              <w:rPr>
                <w:lang w:val="es-ES_tradnl"/>
              </w:rPr>
              <w:t>Evaluación de impacto final  del Programa</w:t>
            </w: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p>
        </w:tc>
        <w:tc>
          <w:tcPr>
            <w:tcW w:w="178" w:type="pct"/>
          </w:tcPr>
          <w:p w:rsidR="00CC599F" w:rsidRPr="00772933" w:rsidRDefault="00CC599F" w:rsidP="00BE32C2">
            <w:pPr>
              <w:rPr>
                <w:lang w:val="es-ES_tradnl"/>
              </w:rPr>
            </w:pPr>
            <w:r w:rsidRPr="00772933">
              <w:rPr>
                <w:lang w:val="es-ES_tradnl"/>
              </w:rPr>
              <w:t>x</w:t>
            </w:r>
          </w:p>
        </w:tc>
        <w:tc>
          <w:tcPr>
            <w:tcW w:w="179" w:type="pct"/>
          </w:tcPr>
          <w:p w:rsidR="00CC599F" w:rsidRPr="00772933" w:rsidRDefault="00CC599F" w:rsidP="00BE32C2">
            <w:pPr>
              <w:rPr>
                <w:lang w:val="es-ES_tradnl"/>
              </w:rPr>
            </w:pPr>
          </w:p>
        </w:tc>
        <w:tc>
          <w:tcPr>
            <w:tcW w:w="724" w:type="pct"/>
            <w:vMerge w:val="restart"/>
          </w:tcPr>
          <w:p w:rsidR="00CC599F" w:rsidRPr="00772933" w:rsidRDefault="00CC599F" w:rsidP="00BE32C2">
            <w:pPr>
              <w:rPr>
                <w:rFonts w:ascii="Verdana" w:hAnsi="Verdana"/>
                <w:bCs/>
                <w:kern w:val="28"/>
                <w:lang w:val="es-ES_tradnl"/>
              </w:rPr>
            </w:pPr>
            <w:r w:rsidRPr="00772933">
              <w:rPr>
                <w:lang w:val="es-ES_tradnl"/>
              </w:rPr>
              <w:t>Gerente del Programa, EPM, consultor, BID</w:t>
            </w:r>
          </w:p>
        </w:tc>
        <w:tc>
          <w:tcPr>
            <w:tcW w:w="712" w:type="pct"/>
            <w:vMerge w:val="restart"/>
          </w:tcPr>
          <w:p w:rsidR="00CC599F" w:rsidRPr="00772933" w:rsidRDefault="00CC599F" w:rsidP="00772933">
            <w:pPr>
              <w:jc w:val="center"/>
              <w:rPr>
                <w:lang w:val="es-ES_tradnl"/>
              </w:rPr>
            </w:pPr>
            <w:r w:rsidRPr="00772933">
              <w:rPr>
                <w:lang w:val="es-ES_tradnl"/>
              </w:rPr>
              <w:t>60,000</w:t>
            </w:r>
          </w:p>
        </w:tc>
        <w:tc>
          <w:tcPr>
            <w:tcW w:w="843" w:type="pct"/>
            <w:vMerge w:val="restart"/>
          </w:tcPr>
          <w:p w:rsidR="00CC599F" w:rsidRPr="00772933" w:rsidRDefault="00CC599F" w:rsidP="00772933">
            <w:pPr>
              <w:jc w:val="center"/>
              <w:rPr>
                <w:lang w:val="es-ES_tradnl"/>
              </w:rPr>
            </w:pPr>
            <w:r w:rsidRPr="00772933">
              <w:rPr>
                <w:lang w:val="es-ES_tradnl"/>
              </w:rPr>
              <w:t>CO-L1154</w:t>
            </w:r>
          </w:p>
        </w:tc>
      </w:tr>
      <w:tr w:rsidR="00CC599F" w:rsidRPr="006C1F0F" w:rsidTr="00CC599F">
        <w:tc>
          <w:tcPr>
            <w:tcW w:w="936" w:type="pct"/>
            <w:vAlign w:val="center"/>
          </w:tcPr>
          <w:p w:rsidR="00CC599F" w:rsidRPr="006C1F0F" w:rsidRDefault="00CC599F" w:rsidP="00BE32C2">
            <w:pPr>
              <w:rPr>
                <w:lang w:val="es-ES_tradnl"/>
              </w:rPr>
            </w:pPr>
            <w:r w:rsidRPr="006C1F0F">
              <w:rPr>
                <w:lang w:val="es-ES_tradnl"/>
              </w:rPr>
              <w:t>Reportes</w:t>
            </w: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8" w:type="pct"/>
          </w:tcPr>
          <w:p w:rsidR="00CC599F" w:rsidRPr="006C1F0F" w:rsidRDefault="00CC599F" w:rsidP="00BE32C2">
            <w:pPr>
              <w:rPr>
                <w:lang w:val="es-ES_tradnl"/>
              </w:rPr>
            </w:pPr>
          </w:p>
        </w:tc>
        <w:tc>
          <w:tcPr>
            <w:tcW w:w="179" w:type="pct"/>
          </w:tcPr>
          <w:p w:rsidR="00CC599F" w:rsidRPr="006C1F0F" w:rsidRDefault="00CC599F" w:rsidP="00BE32C2">
            <w:pPr>
              <w:rPr>
                <w:lang w:val="es-ES_tradnl"/>
              </w:rPr>
            </w:pPr>
            <w:r w:rsidRPr="006C1F0F">
              <w:rPr>
                <w:lang w:val="es-ES_tradnl"/>
              </w:rPr>
              <w:t>x</w:t>
            </w:r>
          </w:p>
        </w:tc>
        <w:tc>
          <w:tcPr>
            <w:tcW w:w="724" w:type="pct"/>
            <w:vMerge/>
          </w:tcPr>
          <w:p w:rsidR="00CC599F" w:rsidRPr="006C1F0F" w:rsidRDefault="00CC599F" w:rsidP="00BE32C2">
            <w:pPr>
              <w:rPr>
                <w:lang w:val="es-ES_tradnl"/>
              </w:rPr>
            </w:pPr>
          </w:p>
        </w:tc>
        <w:tc>
          <w:tcPr>
            <w:tcW w:w="712" w:type="pct"/>
            <w:vMerge/>
          </w:tcPr>
          <w:p w:rsidR="00CC599F" w:rsidRPr="006C1F0F" w:rsidRDefault="00CC599F" w:rsidP="00BE32C2">
            <w:pPr>
              <w:jc w:val="right"/>
              <w:rPr>
                <w:lang w:val="es-ES_tradnl"/>
              </w:rPr>
            </w:pPr>
          </w:p>
        </w:tc>
        <w:tc>
          <w:tcPr>
            <w:tcW w:w="843" w:type="pct"/>
            <w:vMerge/>
          </w:tcPr>
          <w:p w:rsidR="00CC599F" w:rsidRPr="006C1F0F" w:rsidRDefault="00CC599F" w:rsidP="00BE32C2">
            <w:pPr>
              <w:rPr>
                <w:lang w:val="es-ES_tradnl"/>
              </w:rPr>
            </w:pPr>
          </w:p>
        </w:tc>
      </w:tr>
    </w:tbl>
    <w:p w:rsidR="000E4CCD" w:rsidRDefault="000E4CCD" w:rsidP="00CC599F">
      <w:pPr>
        <w:rPr>
          <w:lang w:val="es-ES"/>
        </w:rPr>
      </w:pPr>
    </w:p>
    <w:p w:rsidR="00772933" w:rsidRDefault="000E4CCD">
      <w:pPr>
        <w:rPr>
          <w:lang w:val="es-ES"/>
        </w:rPr>
        <w:sectPr w:rsidR="00772933" w:rsidSect="003F59FF">
          <w:footerReference w:type="default" r:id="rId11"/>
          <w:pgSz w:w="12240" w:h="15840"/>
          <w:pgMar w:top="1440" w:right="1800" w:bottom="1440" w:left="1800" w:header="720" w:footer="720" w:gutter="0"/>
          <w:cols w:space="720"/>
        </w:sectPr>
      </w:pPr>
      <w:r>
        <w:rPr>
          <w:lang w:val="es-ES"/>
        </w:rPr>
        <w:br w:type="page"/>
      </w:r>
    </w:p>
    <w:p w:rsidR="00772933" w:rsidRDefault="00772933" w:rsidP="00772933">
      <w:pPr>
        <w:jc w:val="right"/>
        <w:rPr>
          <w:rFonts w:ascii="Times New Roman Bold" w:hAnsi="Times New Roman Bold"/>
          <w:b/>
          <w:smallCaps/>
          <w:sz w:val="24"/>
          <w:szCs w:val="24"/>
          <w:lang w:val="es-ES"/>
        </w:rPr>
      </w:pPr>
      <w:r w:rsidRPr="00772933">
        <w:rPr>
          <w:rFonts w:ascii="Times New Roman Bold" w:hAnsi="Times New Roman Bold"/>
          <w:b/>
          <w:smallCaps/>
          <w:sz w:val="24"/>
          <w:szCs w:val="24"/>
          <w:lang w:val="es-ES"/>
        </w:rPr>
        <w:t>Anexo II</w:t>
      </w:r>
    </w:p>
    <w:p w:rsidR="00772933" w:rsidRPr="00772933" w:rsidRDefault="00772933" w:rsidP="00772933">
      <w:pPr>
        <w:jc w:val="right"/>
        <w:rPr>
          <w:rFonts w:ascii="Times New Roman Bold" w:hAnsi="Times New Roman Bold"/>
          <w:b/>
          <w:smallCaps/>
          <w:sz w:val="24"/>
          <w:szCs w:val="24"/>
          <w:lang w:val="es-ES"/>
        </w:rPr>
      </w:pPr>
    </w:p>
    <w:p w:rsidR="00A02C78" w:rsidRDefault="00A02C78" w:rsidP="00772933">
      <w:pPr>
        <w:jc w:val="center"/>
        <w:rPr>
          <w:b/>
          <w:sz w:val="24"/>
          <w:szCs w:val="24"/>
          <w:lang w:val="es-ES"/>
        </w:rPr>
      </w:pPr>
      <w:r>
        <w:rPr>
          <w:b/>
          <w:sz w:val="24"/>
          <w:szCs w:val="24"/>
          <w:lang w:val="es-ES"/>
        </w:rPr>
        <w:t>Análisis Costo Beneficio</w:t>
      </w:r>
    </w:p>
    <w:p w:rsidR="00A02C78" w:rsidRDefault="00A02C78" w:rsidP="00772933">
      <w:pPr>
        <w:jc w:val="center"/>
        <w:rPr>
          <w:b/>
          <w:sz w:val="24"/>
          <w:szCs w:val="24"/>
          <w:lang w:val="es-ES"/>
        </w:rPr>
      </w:pPr>
      <w:r>
        <w:rPr>
          <w:b/>
          <w:sz w:val="24"/>
          <w:szCs w:val="24"/>
          <w:lang w:val="es-ES"/>
        </w:rPr>
        <w:t xml:space="preserve"> (metodología a ser aplicada en el análisis costo-beneficio ex post)</w:t>
      </w:r>
    </w:p>
    <w:p w:rsidR="00A02C78" w:rsidRDefault="00A02C78" w:rsidP="00A02C78">
      <w:pPr>
        <w:spacing w:line="480" w:lineRule="auto"/>
        <w:jc w:val="both"/>
        <w:rPr>
          <w:b/>
          <w:sz w:val="24"/>
          <w:szCs w:val="24"/>
          <w:lang w:val="es-ES"/>
        </w:rPr>
      </w:pPr>
    </w:p>
    <w:p w:rsidR="00A02C78" w:rsidRPr="00772933" w:rsidRDefault="00A02C78" w:rsidP="00772933">
      <w:pPr>
        <w:pStyle w:val="Chapter"/>
        <w:numPr>
          <w:ilvl w:val="0"/>
          <w:numId w:val="33"/>
        </w:numPr>
        <w:tabs>
          <w:tab w:val="clear" w:pos="1440"/>
          <w:tab w:val="left" w:pos="720"/>
        </w:tabs>
        <w:ind w:hanging="720"/>
      </w:pPr>
      <w:r w:rsidRPr="00A02C78">
        <w:t>Introducción</w:t>
      </w:r>
    </w:p>
    <w:p w:rsidR="00772933" w:rsidRDefault="00A02C78" w:rsidP="00772933">
      <w:pPr>
        <w:pStyle w:val="Paragraph"/>
      </w:pPr>
      <w:r w:rsidRPr="00974805">
        <w:t xml:space="preserve">Este documento presenta el análisis económico ex-ante del </w:t>
      </w:r>
      <w:r w:rsidRPr="002D7156">
        <w:rPr>
          <w:bCs/>
          <w:lang w:val="es-AR"/>
        </w:rPr>
        <w:t xml:space="preserve">Programa de Fortalecimiento </w:t>
      </w:r>
      <w:r>
        <w:rPr>
          <w:bCs/>
          <w:lang w:val="es-AR"/>
        </w:rPr>
        <w:t>Institucional de la Contraloría General de la República</w:t>
      </w:r>
      <w:r w:rsidRPr="00F35EFB">
        <w:rPr>
          <w:bCs/>
          <w:lang w:val="es-AR"/>
        </w:rPr>
        <w:t xml:space="preserve"> </w:t>
      </w:r>
      <w:r w:rsidRPr="00974805">
        <w:t>(</w:t>
      </w:r>
      <w:r>
        <w:t>CO</w:t>
      </w:r>
      <w:r w:rsidRPr="002308DC">
        <w:t>-</w:t>
      </w:r>
      <w:r>
        <w:t>L1154</w:t>
      </w:r>
      <w:r w:rsidRPr="00974805">
        <w:t>), cuya ejecución se tiene prevista para el período 201</w:t>
      </w:r>
      <w:r>
        <w:t>6-2020</w:t>
      </w:r>
      <w:r w:rsidRPr="00974805">
        <w:t>. El análisis se lleva a cabo mediante la metodología de costo-beneficio.</w:t>
      </w:r>
    </w:p>
    <w:p w:rsidR="00A02C78" w:rsidRPr="00772933" w:rsidRDefault="00A02C78" w:rsidP="00772933">
      <w:pPr>
        <w:pStyle w:val="Paragraph"/>
      </w:pPr>
      <w:r w:rsidRPr="00772933">
        <w:rPr>
          <w:kern w:val="28"/>
        </w:rPr>
        <w:t>El Programa de Fortalecimiento Institucional de la Contraloría General de la República (“el Programa”, en adelante) tiene como objetivo general fortalecer la efectividad del sistema de control fiscal a través del mejoramiento de la calidad y eficiencia de las acciones de control, y la promoción de la transparencia y participación ciudadana. Es financiado por el Banco Interamericano de Desarrollo (BID).</w:t>
      </w:r>
    </w:p>
    <w:p w:rsidR="00772933" w:rsidRDefault="00772933" w:rsidP="00772933">
      <w:pPr>
        <w:pStyle w:val="Paragraph"/>
        <w:numPr>
          <w:ilvl w:val="0"/>
          <w:numId w:val="0"/>
        </w:numPr>
        <w:spacing w:before="0" w:after="0"/>
        <w:ind w:left="720" w:hanging="720"/>
        <w:rPr>
          <w:b/>
          <w:szCs w:val="24"/>
        </w:rPr>
      </w:pPr>
    </w:p>
    <w:p w:rsidR="00772933" w:rsidRDefault="00772933" w:rsidP="00772933">
      <w:pPr>
        <w:pStyle w:val="Paragraph"/>
        <w:numPr>
          <w:ilvl w:val="0"/>
          <w:numId w:val="0"/>
        </w:numPr>
        <w:spacing w:before="0" w:after="0"/>
        <w:ind w:left="720" w:hanging="720"/>
        <w:rPr>
          <w:b/>
          <w:szCs w:val="24"/>
        </w:rPr>
        <w:sectPr w:rsidR="00772933" w:rsidSect="00772933">
          <w:type w:val="continuous"/>
          <w:pgSz w:w="12240" w:h="15840"/>
          <w:pgMar w:top="1440" w:right="1800" w:bottom="1440" w:left="1800" w:header="720" w:footer="720" w:gutter="0"/>
          <w:cols w:space="720"/>
        </w:sectPr>
      </w:pPr>
    </w:p>
    <w:p w:rsidR="00A02C78" w:rsidRPr="009C65AC" w:rsidRDefault="00A02C78" w:rsidP="00772933">
      <w:pPr>
        <w:pStyle w:val="Chapter"/>
      </w:pPr>
      <w:r w:rsidRPr="009C65AC">
        <w:t>Metodología</w:t>
      </w:r>
    </w:p>
    <w:p w:rsidR="00A02C78" w:rsidRDefault="00772933" w:rsidP="00772933">
      <w:pPr>
        <w:pStyle w:val="FirstHeading"/>
      </w:pPr>
      <w:r>
        <w:fldChar w:fldCharType="begin"/>
      </w:r>
      <w:r>
        <w:instrText xml:space="preserve"> SEQ "</w:instrText>
      </w:r>
      <w:fldSimple w:instr=" SECTION  \* MERGEFORMAT ">
        <w:r>
          <w:instrText>6</w:instrText>
        </w:r>
      </w:fldSimple>
      <w:r>
        <w:instrText xml:space="preserve">#"\* ALPHABETIC \* MERGEFORMAT </w:instrText>
      </w:r>
      <w:r>
        <w:fldChar w:fldCharType="separate"/>
      </w:r>
      <w:r>
        <w:rPr>
          <w:noProof/>
        </w:rPr>
        <w:t>A</w:t>
      </w:r>
      <w:r>
        <w:fldChar w:fldCharType="end"/>
      </w:r>
      <w:r>
        <w:t>.</w:t>
      </w:r>
      <w:r>
        <w:tab/>
      </w:r>
      <w:r w:rsidR="00A02C78" w:rsidRPr="00974805">
        <w:t>Descripción de la intervención</w:t>
      </w:r>
      <w:r w:rsidR="00A02C78">
        <w:t xml:space="preserve"> </w:t>
      </w:r>
    </w:p>
    <w:p w:rsidR="00772933" w:rsidRDefault="00A02C78" w:rsidP="00772933">
      <w:pPr>
        <w:pStyle w:val="Paragraph"/>
        <w:rPr>
          <w:lang w:val="es-EC"/>
        </w:rPr>
      </w:pPr>
      <w:r w:rsidRPr="00D00D89">
        <w:t xml:space="preserve">El </w:t>
      </w:r>
      <w:r>
        <w:t>Programa</w:t>
      </w:r>
      <w:r w:rsidRPr="00556E87" w:rsidDel="00556E87">
        <w:t xml:space="preserve"> </w:t>
      </w:r>
      <w:r>
        <w:t>puede caracterizarse a través de los 3 componentes que lo conforman. Los mismos tienden a mejorar cada uno de ellos un aspecto particular del sistema de control fiscal.</w:t>
      </w:r>
      <w:r w:rsidRPr="00556E87" w:rsidDel="00556E87">
        <w:t xml:space="preserve"> </w:t>
      </w:r>
      <w:r>
        <w:t xml:space="preserve"> </w:t>
      </w:r>
    </w:p>
    <w:p w:rsidR="00772933" w:rsidRDefault="00A02C78" w:rsidP="00772933">
      <w:pPr>
        <w:pStyle w:val="Paragraph"/>
        <w:rPr>
          <w:lang w:val="es-EC"/>
        </w:rPr>
      </w:pPr>
      <w:r w:rsidRPr="00772933">
        <w:rPr>
          <w:b/>
          <w:kern w:val="28"/>
          <w:u w:val="single"/>
        </w:rPr>
        <w:t>Componente 1</w:t>
      </w:r>
      <w:r w:rsidRPr="00772933">
        <w:rPr>
          <w:kern w:val="28"/>
        </w:rPr>
        <w:t xml:space="preserve">: </w:t>
      </w:r>
      <w:r w:rsidRPr="00772933">
        <w:rPr>
          <w:b/>
          <w:kern w:val="28"/>
        </w:rPr>
        <w:t>Fortalecimiento de la planeación, ejecución y seguimiento de las acciones de control</w:t>
      </w:r>
      <w:r w:rsidRPr="00772933">
        <w:rPr>
          <w:kern w:val="28"/>
        </w:rPr>
        <w:t xml:space="preserve"> (US$8,75 millones). Su objetivo central es mejorar la calidad de las acciones de control de la CGR. Se prevén las siguientes actividades: (i) formular y poner en marcha el Sistema Estratégico de Vigilancia y </w:t>
      </w:r>
      <w:r w:rsidRPr="00772933">
        <w:rPr>
          <w:kern w:val="28"/>
          <w:lang w:val="es-EC"/>
        </w:rPr>
        <w:t>C</w:t>
      </w:r>
      <w:r w:rsidRPr="00772933">
        <w:rPr>
          <w:kern w:val="28"/>
        </w:rPr>
        <w:t xml:space="preserve">ontrol Fiscal de Mediano Plazo; </w:t>
      </w:r>
      <w:r w:rsidRPr="00772933">
        <w:rPr>
          <w:kern w:val="28"/>
          <w:lang w:val="es-EC"/>
        </w:rPr>
        <w:t xml:space="preserve">(ii) </w:t>
      </w:r>
      <w:r w:rsidRPr="00772933">
        <w:rPr>
          <w:kern w:val="28"/>
        </w:rPr>
        <w:t xml:space="preserve">diagnosticar, simplificar o eliminar, según el caso, los actuales procesos misionales y administrativos, especialmente los relacionados con el proceso de responsabilidad fiscal; (iii) articular la estrategia, procesos y sistemas de información de la CGR a partir del diseño e implementación de un modelo estándar (arquitectura empresarial) conforme a las recomendaciones del MINTIC; (iv) apoyar la adopción de estándares internacionales de auditoría y control para las EFS, particularmente en lo referente al control basado en riesgos; (v) </w:t>
      </w:r>
      <w:r w:rsidRPr="00772933">
        <w:rPr>
          <w:kern w:val="28"/>
          <w:lang w:val="es-EC"/>
        </w:rPr>
        <w:t xml:space="preserve">definir el alcance y competencias de la función de control fiscal macro; </w:t>
      </w:r>
      <w:r w:rsidRPr="00772933">
        <w:rPr>
          <w:kern w:val="28"/>
        </w:rPr>
        <w:t>(vi) desarrollar y poner en marcha un</w:t>
      </w:r>
      <w:r w:rsidRPr="00772933">
        <w:rPr>
          <w:kern w:val="28"/>
          <w:lang w:val="es-AR"/>
        </w:rPr>
        <w:t xml:space="preserve"> sistema de control de calidad de auditorías homologable a las NIA e ISSAI; (vii)</w:t>
      </w:r>
      <w:r w:rsidRPr="00772933">
        <w:rPr>
          <w:kern w:val="28"/>
        </w:rPr>
        <w:t xml:space="preserve"> diseñar</w:t>
      </w:r>
      <w:r w:rsidRPr="00772933">
        <w:rPr>
          <w:kern w:val="28"/>
          <w:lang w:val="es-EC"/>
        </w:rPr>
        <w:t xml:space="preserve"> e implementar un Observatorio de Gasto Público</w:t>
      </w:r>
      <w:r w:rsidRPr="00A02C78">
        <w:rPr>
          <w:kern w:val="28"/>
          <w:vertAlign w:val="superscript"/>
          <w:lang w:val="es-EC"/>
        </w:rPr>
        <w:footnoteReference w:id="7"/>
      </w:r>
      <w:r w:rsidRPr="00772933">
        <w:rPr>
          <w:kern w:val="28"/>
          <w:lang w:val="es-EC"/>
        </w:rPr>
        <w:t xml:space="preserve">; (viii) diseñar una estrategia de gestión del cambio y del conocimiento; (ix) </w:t>
      </w:r>
      <w:r w:rsidRPr="00772933">
        <w:rPr>
          <w:kern w:val="28"/>
        </w:rPr>
        <w:t>fortalecer las capacidades de la CGR para auditar programas y proyectos financiados por organismos multilaterales de crédito u otros donantes, y (x) rediseñar y fortalecer el sistema de seguimiento de recomendaciones efectuadas a los entes auditados.</w:t>
      </w:r>
    </w:p>
    <w:p w:rsidR="00772933" w:rsidRDefault="00A02C78" w:rsidP="00772933">
      <w:pPr>
        <w:pStyle w:val="Paragraph"/>
        <w:rPr>
          <w:lang w:val="es-EC"/>
        </w:rPr>
      </w:pPr>
      <w:r w:rsidRPr="00772933">
        <w:rPr>
          <w:b/>
          <w:kern w:val="28"/>
          <w:u w:val="single"/>
          <w:lang w:val="es-EC"/>
        </w:rPr>
        <w:t>Componente 2</w:t>
      </w:r>
      <w:r w:rsidRPr="00772933">
        <w:rPr>
          <w:kern w:val="28"/>
          <w:lang w:val="es-EC"/>
        </w:rPr>
        <w:t xml:space="preserve">: </w:t>
      </w:r>
      <w:r w:rsidRPr="00772933">
        <w:rPr>
          <w:b/>
          <w:kern w:val="28"/>
          <w:lang w:val="es-EC"/>
        </w:rPr>
        <w:t>Mejoramiento de la gestión de información</w:t>
      </w:r>
      <w:r w:rsidRPr="00772933">
        <w:rPr>
          <w:kern w:val="28"/>
          <w:lang w:val="es-EC"/>
        </w:rPr>
        <w:t xml:space="preserve"> (US$14,5 millones). Su objetivo central es apoyar la mejora en la eficiencia de las acciones de control. Se prevén las siguientes actividades: (i) integrar los sistemas de información de la CGR con el fin de soportar los procesos misionales; (ii) definir una estrategia e implementar políticas y controles que permitan mejorar la calidad de la información y la gestión documental para la toma oportuna de decisiones; (iii) diseñar e implementar un tablero de control, un área de inteligencia de negocios y herramientas de análisis predictivo; (iv) implementar un sistema que soporte el control en línea; (v) diseñar e implementar un plan de recuperación de información en caso de desastres; (vi) mejorar las redes, seguridad, y almacenamiento de datos; y (vii) adquirir e implantar el software base y los servicios de infraestructura necesarios.</w:t>
      </w:r>
    </w:p>
    <w:p w:rsidR="00772933" w:rsidRDefault="00A02C78" w:rsidP="00772933">
      <w:pPr>
        <w:pStyle w:val="Paragraph"/>
        <w:rPr>
          <w:lang w:val="es-EC"/>
        </w:rPr>
      </w:pPr>
      <w:r w:rsidRPr="00772933">
        <w:rPr>
          <w:b/>
          <w:kern w:val="28"/>
          <w:u w:val="single"/>
          <w:lang w:val="es-EC"/>
        </w:rPr>
        <w:t>Componente 3</w:t>
      </w:r>
      <w:r w:rsidRPr="00772933">
        <w:rPr>
          <w:kern w:val="28"/>
          <w:lang w:val="es-EC"/>
        </w:rPr>
        <w:t xml:space="preserve">: </w:t>
      </w:r>
      <w:r w:rsidRPr="00772933">
        <w:rPr>
          <w:b/>
          <w:kern w:val="28"/>
          <w:lang w:val="es-EC"/>
        </w:rPr>
        <w:t>Promoción de la transparencia y la participación ciudadana</w:t>
      </w:r>
      <w:r w:rsidRPr="00772933">
        <w:rPr>
          <w:kern w:val="28"/>
          <w:lang w:val="es-EC"/>
        </w:rPr>
        <w:t xml:space="preserve"> (US$5,5 millones). El objetivo es optimizar los mecanismos a través de los cuales la CGR divulga información de interés público e interactúa con la ciudadanía. Se prevén las siguientes actividades: (i) diseñar e implementar un nuevo portal web para la CGR; (ii) elaborar un diagnóstico, definir un plan de mejora para el proceso de gestión de denuncias ciudadanas; (iii) fortalecer el proceso modelo de Gestión de Denuncias  al interior de la CGR y sus herramientas de apoyo que considere la estimación de recursos humanos, financieros y técnicos necesarios, y una metodología de clasificación, priorización y seguimiento; (iv) diseñar e implementar una Estrategia de promoción y fomento del control fiscal participativo que contemple el fortalecimiento de veedurías, talleres de formación, entre otras actividades; (v) revisar y ajustar la estrategia de comunicación de la CGR, tanto a nivel externo como interno; (vi) diseñar e implementar una estrategia de datos abiertos según los criterios definidos por el MINTIC; y (vii) diseñar y aplicar encuestas de percepción tanto a sujetos de control como a la ciudadanía en general, con el objetivo de recabar información que le permita a la CGR tomar decisiones para mejorar sus prácticas operativas y su imagen frente a la sociedad.</w:t>
      </w:r>
    </w:p>
    <w:p w:rsidR="00A02C78" w:rsidRPr="00772933" w:rsidRDefault="00A02C78" w:rsidP="00772933">
      <w:pPr>
        <w:pStyle w:val="Paragraph"/>
        <w:rPr>
          <w:lang w:val="es-EC"/>
        </w:rPr>
      </w:pPr>
      <w:r w:rsidRPr="00772933">
        <w:rPr>
          <w:b/>
        </w:rPr>
        <w:t>Beneficios esperados 1</w:t>
      </w:r>
      <w:r w:rsidR="00772933" w:rsidRPr="00772933">
        <w:rPr>
          <w:b/>
        </w:rPr>
        <w:t>:</w:t>
      </w:r>
    </w:p>
    <w:p w:rsidR="00A02C78" w:rsidRDefault="00A02C78" w:rsidP="00772933">
      <w:pPr>
        <w:pStyle w:val="subpar"/>
      </w:pPr>
      <w:r>
        <w:t>El primer grupo de beneficios se asocia al incremento en las auditorías debido a los componentes 1 y 2 del programa. El primero de ellos directamente y el segundo mejorando la eficiencia en la gestión de la información mediante una renovación de los recursos informáticos. Diversos estudios sugieren que un incremento en las auditorías disminuyes las irregularidades. Olken (2007)</w:t>
      </w:r>
      <w:r>
        <w:rPr>
          <w:rStyle w:val="FootnoteReference"/>
        </w:rPr>
        <w:footnoteReference w:id="8"/>
      </w:r>
      <w:r>
        <w:t xml:space="preserve">  revela que, en Indonesia, al asignar aleatoriamente auditorías a proyectos financiados con fondos estatales, las irregularidades disminuyen un 8% cuando la probabilidad de ser auditado se incrementa de un 4% a un 100%. En Buenos Aires (Argentina), Di Tella y Schargdrodsky (2003)</w:t>
      </w:r>
      <w:r>
        <w:rPr>
          <w:rStyle w:val="FootnoteReference"/>
        </w:rPr>
        <w:footnoteReference w:id="9"/>
      </w:r>
      <w:r>
        <w:t xml:space="preserve"> encuentran que al realizar auditorías en las compras de hospitales públicos, las irregularidades (medidas como diferenciales de precios de bienes homogéneos) caen entre un 10% y un 15%. Mientras que en Brasil, </w:t>
      </w:r>
      <w:r w:rsidRPr="007C7748">
        <w:t>Beylis, Finan y Mazzocco</w:t>
      </w:r>
      <w:r>
        <w:t xml:space="preserve"> (2011)</w:t>
      </w:r>
      <w:r>
        <w:rPr>
          <w:rStyle w:val="FootnoteReference"/>
        </w:rPr>
        <w:footnoteReference w:id="10"/>
      </w:r>
      <w:r>
        <w:t xml:space="preserve"> muestran que al incrementar la misma probabilidad de un 5% a un 17%, las irregularidades de los gobiernos municipales se reducen considerablemente (aproximadamente en 8 veces). Por otra parte Bandeira, Pratt y Valetti (2009)</w:t>
      </w:r>
      <w:r>
        <w:rPr>
          <w:rStyle w:val="FootnoteReference"/>
        </w:rPr>
        <w:footnoteReference w:id="11"/>
      </w:r>
      <w:r>
        <w:t xml:space="preserve"> apuntan a que las pérdidas por irregularidades son pequeñas en comparación con las que se producen debido a una mala administración, por ejemplo, cuando los organismos estatales no declaran los precios que pagan en sus compras, en estos casos, indican, los sobreprecios pueden deberse más bien a ineficiencia (80%). Si bien en esencia todos los resultados apuntan en la misma dirección, el hecho que la magnitud de los resultados sea tan diversa acentúa la necesidad de adoptar un perfil conservador en el análisis económico. Si bien las características socioeconómicas de Brasil pueden tener más en común con Colombia que Indonesia, es posible que no se pueda esperar el mismo resultado sobre las medidas de irregularidades. Velando por un análisis conservador, se asumirá que el incremento de las auditorías provocado por el Programa redundará en una reducción del 2,5% en las irregularidades, supuesto prudente teniendo en cuenta los resultados de los estudios previamente citados.</w:t>
      </w:r>
    </w:p>
    <w:p w:rsidR="00A02C78" w:rsidRDefault="00A02C78" w:rsidP="00772933">
      <w:pPr>
        <w:pStyle w:val="subpar"/>
      </w:pPr>
      <w:r>
        <w:t>La medida de irregularidad utilizada en este análisis viene dada por la “cuantía de fallos” aportados por la CGR para la serie temporal correspondiente al período 2009-2014. Los fallos de responsabilidad fiscal son actos administrativos que tienen como objetivo determinar si un servidor público o particular obró con dolo o culpa en la administración y/o manejo de los recursos públicos, una vez que se produjo un daño al patrimonio del Estado. Este daño es representado monetariamente mediante la “cuantía de fallos”, es decir, que los fallos aquí presentados son cumplen la función de cuantificar los daños al estado producidos por la gestión de servidores públicos o particulares. El fallo establece finalmente si se actuó con culpa o dolo. De este modo, se pueden interpretar aquellos fallos en los cuales ha sido determinado que se actuó con dolo como actos de corrupción, mientras que en los casos de culpa se pueden interpretar como negligencia. Se asume que los efectos del programa sobre corrupción y negligencia son similares, por lo que en adelante simplemente se hablará de “irregularidades”. E</w:t>
      </w:r>
      <w:r w:rsidRPr="005D626A">
        <w:t xml:space="preserve">l efecto sobre </w:t>
      </w:r>
      <w:r>
        <w:t>la cuantía de fallos</w:t>
      </w:r>
      <w:r w:rsidRPr="005D626A">
        <w:t xml:space="preserve"> puede ir en dos direcciones: por un lado, al estar </w:t>
      </w:r>
      <w:r>
        <w:t xml:space="preserve">los auditores </w:t>
      </w:r>
      <w:r w:rsidRPr="005D626A">
        <w:t>más entrenados pueden encontrar más</w:t>
      </w:r>
      <w:r>
        <w:t xml:space="preserve"> casos de irregularidades,</w:t>
      </w:r>
      <w:r w:rsidRPr="005D626A">
        <w:t xml:space="preserve"> </w:t>
      </w:r>
      <w:r w:rsidRPr="00964EA4">
        <w:rPr>
          <w:i/>
        </w:rPr>
        <w:t>ceteris paribus</w:t>
      </w:r>
      <w:r>
        <w:rPr>
          <w:i/>
        </w:rPr>
        <w:t>,</w:t>
      </w:r>
      <w:r w:rsidRPr="005D626A">
        <w:t xml:space="preserve"> el comportamie</w:t>
      </w:r>
      <w:r>
        <w:t>n</w:t>
      </w:r>
      <w:r w:rsidRPr="005D626A">
        <w:t>to de los agentes. Pero por otro, puede haber un efecto sobre el comportamiento de los agentes, quienes anticipando que es más probable que los detecten, deciden cometer menos irregularidades</w:t>
      </w:r>
      <w:r>
        <w:t>. Económicamente, lo relevante es si los agentes cometen o no las irregularidades, y no la cuantía finalmente detectada. Los montos de esta variable pueden observarse en la siguiente tabla.</w:t>
      </w:r>
    </w:p>
    <w:tbl>
      <w:tblPr>
        <w:tblStyle w:val="TableGrid"/>
        <w:tblW w:w="0" w:type="auto"/>
        <w:jc w:val="center"/>
        <w:tblInd w:w="993" w:type="dxa"/>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582"/>
        <w:gridCol w:w="4391"/>
      </w:tblGrid>
      <w:tr w:rsidR="00A02C78" w:rsidRPr="00772933" w:rsidTr="00772933">
        <w:trPr>
          <w:jc w:val="center"/>
        </w:trPr>
        <w:tc>
          <w:tcPr>
            <w:tcW w:w="0" w:type="auto"/>
            <w:gridSpan w:val="2"/>
            <w:vAlign w:val="bottom"/>
          </w:tcPr>
          <w:p w:rsidR="00A02C78" w:rsidRPr="00772933" w:rsidRDefault="00A02C78" w:rsidP="00BE32C2">
            <w:pPr>
              <w:pStyle w:val="Vieta"/>
              <w:numPr>
                <w:ilvl w:val="0"/>
                <w:numId w:val="0"/>
              </w:numPr>
              <w:spacing w:line="276" w:lineRule="auto"/>
              <w:jc w:val="left"/>
              <w:rPr>
                <w:b/>
                <w:sz w:val="20"/>
              </w:rPr>
            </w:pPr>
            <w:r w:rsidRPr="00772933">
              <w:rPr>
                <w:b/>
                <w:sz w:val="20"/>
              </w:rPr>
              <w:t>Tabla 1: Cuantía de fallos período 2009-2014 en pesos colombianos.</w:t>
            </w:r>
          </w:p>
        </w:tc>
      </w:tr>
      <w:tr w:rsidR="00A02C78" w:rsidRPr="00772933" w:rsidTr="00772933">
        <w:trPr>
          <w:jc w:val="center"/>
        </w:trPr>
        <w:tc>
          <w:tcPr>
            <w:tcW w:w="0" w:type="auto"/>
          </w:tcPr>
          <w:p w:rsidR="00A02C78" w:rsidRPr="00772933" w:rsidRDefault="00A02C78" w:rsidP="00BE32C2">
            <w:pPr>
              <w:pStyle w:val="Vieta"/>
              <w:numPr>
                <w:ilvl w:val="0"/>
                <w:numId w:val="0"/>
              </w:numPr>
              <w:spacing w:line="240" w:lineRule="auto"/>
              <w:rPr>
                <w:sz w:val="20"/>
              </w:rPr>
            </w:pPr>
            <w:r w:rsidRPr="00772933">
              <w:rPr>
                <w:sz w:val="20"/>
              </w:rPr>
              <w:t>2009</w:t>
            </w:r>
          </w:p>
        </w:tc>
        <w:tc>
          <w:tcPr>
            <w:tcW w:w="0" w:type="auto"/>
          </w:tcPr>
          <w:p w:rsidR="00A02C78" w:rsidRPr="00772933" w:rsidRDefault="00A02C78" w:rsidP="00BE32C2">
            <w:r w:rsidRPr="00772933">
              <w:t>$ 1.100.000</w:t>
            </w:r>
          </w:p>
        </w:tc>
      </w:tr>
      <w:tr w:rsidR="00A02C78" w:rsidRPr="00772933" w:rsidTr="00772933">
        <w:trPr>
          <w:jc w:val="center"/>
        </w:trPr>
        <w:tc>
          <w:tcPr>
            <w:tcW w:w="0" w:type="auto"/>
          </w:tcPr>
          <w:p w:rsidR="00A02C78" w:rsidRPr="00772933" w:rsidRDefault="00A02C78" w:rsidP="00BE32C2">
            <w:pPr>
              <w:pStyle w:val="Vieta"/>
              <w:numPr>
                <w:ilvl w:val="0"/>
                <w:numId w:val="0"/>
              </w:numPr>
              <w:spacing w:line="240" w:lineRule="auto"/>
              <w:rPr>
                <w:sz w:val="20"/>
              </w:rPr>
            </w:pPr>
            <w:r w:rsidRPr="00772933">
              <w:rPr>
                <w:sz w:val="20"/>
              </w:rPr>
              <w:t>2010</w:t>
            </w:r>
          </w:p>
        </w:tc>
        <w:tc>
          <w:tcPr>
            <w:tcW w:w="0" w:type="auto"/>
          </w:tcPr>
          <w:p w:rsidR="00A02C78" w:rsidRPr="00772933" w:rsidRDefault="00A02C78" w:rsidP="00BE32C2">
            <w:r w:rsidRPr="00772933">
              <w:t>$ 8.428.654.603</w:t>
            </w:r>
          </w:p>
        </w:tc>
      </w:tr>
      <w:tr w:rsidR="00A02C78" w:rsidRPr="00772933" w:rsidTr="00772933">
        <w:trPr>
          <w:jc w:val="center"/>
        </w:trPr>
        <w:tc>
          <w:tcPr>
            <w:tcW w:w="0" w:type="auto"/>
          </w:tcPr>
          <w:p w:rsidR="00A02C78" w:rsidRPr="00772933" w:rsidRDefault="00A02C78" w:rsidP="00BE32C2">
            <w:pPr>
              <w:pStyle w:val="Vieta"/>
              <w:numPr>
                <w:ilvl w:val="0"/>
                <w:numId w:val="0"/>
              </w:numPr>
              <w:spacing w:line="240" w:lineRule="auto"/>
              <w:rPr>
                <w:sz w:val="20"/>
              </w:rPr>
            </w:pPr>
            <w:r w:rsidRPr="00772933">
              <w:rPr>
                <w:sz w:val="20"/>
              </w:rPr>
              <w:t>2011</w:t>
            </w:r>
          </w:p>
        </w:tc>
        <w:tc>
          <w:tcPr>
            <w:tcW w:w="0" w:type="auto"/>
          </w:tcPr>
          <w:p w:rsidR="00A02C78" w:rsidRPr="00772933" w:rsidRDefault="00A02C78" w:rsidP="00BE32C2">
            <w:r w:rsidRPr="00772933">
              <w:t>$ 2.594.110.400</w:t>
            </w:r>
          </w:p>
        </w:tc>
      </w:tr>
      <w:tr w:rsidR="00A02C78" w:rsidRPr="00772933" w:rsidTr="00772933">
        <w:trPr>
          <w:jc w:val="center"/>
        </w:trPr>
        <w:tc>
          <w:tcPr>
            <w:tcW w:w="0" w:type="auto"/>
          </w:tcPr>
          <w:p w:rsidR="00A02C78" w:rsidRPr="00772933" w:rsidRDefault="00A02C78" w:rsidP="00BE32C2">
            <w:pPr>
              <w:pStyle w:val="Vieta"/>
              <w:numPr>
                <w:ilvl w:val="0"/>
                <w:numId w:val="0"/>
              </w:numPr>
              <w:spacing w:line="240" w:lineRule="auto"/>
              <w:rPr>
                <w:sz w:val="20"/>
              </w:rPr>
            </w:pPr>
            <w:r w:rsidRPr="00772933">
              <w:rPr>
                <w:sz w:val="20"/>
              </w:rPr>
              <w:t>2012</w:t>
            </w:r>
          </w:p>
        </w:tc>
        <w:tc>
          <w:tcPr>
            <w:tcW w:w="0" w:type="auto"/>
          </w:tcPr>
          <w:p w:rsidR="00A02C78" w:rsidRPr="00772933" w:rsidRDefault="00A02C78" w:rsidP="00BE32C2">
            <w:r w:rsidRPr="00772933">
              <w:t>$ 63.928.466.633</w:t>
            </w:r>
          </w:p>
        </w:tc>
      </w:tr>
      <w:tr w:rsidR="00A02C78" w:rsidRPr="00772933" w:rsidTr="00772933">
        <w:trPr>
          <w:jc w:val="center"/>
        </w:trPr>
        <w:tc>
          <w:tcPr>
            <w:tcW w:w="0" w:type="auto"/>
          </w:tcPr>
          <w:p w:rsidR="00A02C78" w:rsidRPr="00772933" w:rsidRDefault="00A02C78" w:rsidP="00BE32C2">
            <w:pPr>
              <w:pStyle w:val="Vieta"/>
              <w:numPr>
                <w:ilvl w:val="0"/>
                <w:numId w:val="0"/>
              </w:numPr>
              <w:spacing w:line="240" w:lineRule="auto"/>
              <w:rPr>
                <w:sz w:val="20"/>
              </w:rPr>
            </w:pPr>
            <w:r w:rsidRPr="00772933">
              <w:rPr>
                <w:sz w:val="20"/>
              </w:rPr>
              <w:t>2013</w:t>
            </w:r>
          </w:p>
        </w:tc>
        <w:tc>
          <w:tcPr>
            <w:tcW w:w="0" w:type="auto"/>
          </w:tcPr>
          <w:p w:rsidR="00A02C78" w:rsidRPr="00772933" w:rsidRDefault="00A02C78" w:rsidP="00BE32C2">
            <w:r w:rsidRPr="00772933">
              <w:t>$ 1.512.415.093.303</w:t>
            </w:r>
          </w:p>
        </w:tc>
      </w:tr>
      <w:tr w:rsidR="00A02C78" w:rsidRPr="00772933" w:rsidTr="00772933">
        <w:trPr>
          <w:jc w:val="center"/>
        </w:trPr>
        <w:tc>
          <w:tcPr>
            <w:tcW w:w="0" w:type="auto"/>
            <w:tcBorders>
              <w:bottom w:val="single" w:sz="4" w:space="0" w:color="000000"/>
            </w:tcBorders>
          </w:tcPr>
          <w:p w:rsidR="00A02C78" w:rsidRPr="00772933" w:rsidRDefault="00A02C78" w:rsidP="00BE32C2">
            <w:pPr>
              <w:pStyle w:val="Vieta"/>
              <w:numPr>
                <w:ilvl w:val="0"/>
                <w:numId w:val="0"/>
              </w:numPr>
              <w:spacing w:line="240" w:lineRule="auto"/>
              <w:rPr>
                <w:sz w:val="20"/>
              </w:rPr>
            </w:pPr>
            <w:r w:rsidRPr="00772933">
              <w:rPr>
                <w:sz w:val="20"/>
              </w:rPr>
              <w:t>2014</w:t>
            </w:r>
          </w:p>
        </w:tc>
        <w:tc>
          <w:tcPr>
            <w:tcW w:w="0" w:type="auto"/>
            <w:tcBorders>
              <w:bottom w:val="single" w:sz="4" w:space="0" w:color="000000"/>
            </w:tcBorders>
          </w:tcPr>
          <w:p w:rsidR="00A02C78" w:rsidRPr="00772933" w:rsidRDefault="00A02C78" w:rsidP="00BE32C2">
            <w:r w:rsidRPr="00772933">
              <w:t>$ 135.602.914.556</w:t>
            </w:r>
          </w:p>
        </w:tc>
      </w:tr>
      <w:tr w:rsidR="00A02C78" w:rsidRPr="00772933" w:rsidTr="00772933">
        <w:trPr>
          <w:jc w:val="center"/>
        </w:trPr>
        <w:tc>
          <w:tcPr>
            <w:tcW w:w="0" w:type="auto"/>
            <w:tcBorders>
              <w:top w:val="single" w:sz="4" w:space="0" w:color="000000"/>
              <w:bottom w:val="nil"/>
            </w:tcBorders>
          </w:tcPr>
          <w:p w:rsidR="00A02C78" w:rsidRPr="00772933" w:rsidRDefault="00A02C78" w:rsidP="00BE32C2">
            <w:pPr>
              <w:pStyle w:val="Vieta"/>
              <w:numPr>
                <w:ilvl w:val="0"/>
                <w:numId w:val="0"/>
              </w:numPr>
              <w:spacing w:line="240" w:lineRule="auto"/>
              <w:rPr>
                <w:b/>
                <w:sz w:val="20"/>
              </w:rPr>
            </w:pPr>
            <w:r w:rsidRPr="00772933">
              <w:rPr>
                <w:b/>
                <w:sz w:val="20"/>
              </w:rPr>
              <w:t>Total</w:t>
            </w:r>
          </w:p>
        </w:tc>
        <w:tc>
          <w:tcPr>
            <w:tcW w:w="0" w:type="auto"/>
            <w:tcBorders>
              <w:top w:val="single" w:sz="4" w:space="0" w:color="000000"/>
              <w:bottom w:val="nil"/>
            </w:tcBorders>
          </w:tcPr>
          <w:p w:rsidR="00A02C78" w:rsidRPr="00772933" w:rsidRDefault="00A02C78" w:rsidP="00BE32C2">
            <w:pPr>
              <w:rPr>
                <w:b/>
              </w:rPr>
            </w:pPr>
            <w:r w:rsidRPr="00772933">
              <w:rPr>
                <w:b/>
              </w:rPr>
              <w:t>$ 1.722.970.339.495</w:t>
            </w:r>
          </w:p>
        </w:tc>
      </w:tr>
    </w:tbl>
    <w:p w:rsidR="00A02C78" w:rsidRDefault="00772933" w:rsidP="00772933">
      <w:pPr>
        <w:pStyle w:val="FirstHeading"/>
      </w:pPr>
      <w:r>
        <w:fldChar w:fldCharType="begin"/>
      </w:r>
      <w:r>
        <w:instrText xml:space="preserve"> SEQ "</w:instrText>
      </w:r>
      <w:fldSimple w:instr=" SECTION  \* MERGEFORMAT ">
        <w:r>
          <w:instrText>6</w:instrText>
        </w:r>
      </w:fldSimple>
      <w:r>
        <w:instrText xml:space="preserve">#"\* ALPHABETIC \* MERGEFORMAT </w:instrText>
      </w:r>
      <w:r>
        <w:fldChar w:fldCharType="separate"/>
      </w:r>
      <w:r>
        <w:rPr>
          <w:noProof/>
        </w:rPr>
        <w:t>B</w:t>
      </w:r>
      <w:r>
        <w:fldChar w:fldCharType="end"/>
      </w:r>
      <w:r>
        <w:t>.</w:t>
      </w:r>
      <w:r>
        <w:tab/>
      </w:r>
      <w:r w:rsidR="00A02C78" w:rsidRPr="00974805">
        <w:t>Supuestos</w:t>
      </w:r>
    </w:p>
    <w:p w:rsidR="00A02C78" w:rsidRDefault="00A02C78" w:rsidP="00772933">
      <w:pPr>
        <w:pStyle w:val="Paragraph"/>
      </w:pPr>
      <w:r w:rsidRPr="00974805">
        <w:t>El cálculo de los beneficios se efectúa utilizando los siguientes supuestos:</w:t>
      </w:r>
    </w:p>
    <w:p w:rsidR="00A02C78" w:rsidRDefault="00A02C78" w:rsidP="00772933">
      <w:pPr>
        <w:pStyle w:val="subpar"/>
      </w:pPr>
      <w:r w:rsidRPr="00974805">
        <w:t>La tasa de descuento utilizada es del 12%, según el estándar del Banco.</w:t>
      </w:r>
    </w:p>
    <w:p w:rsidR="00A02C78" w:rsidRDefault="00A02C78" w:rsidP="00772933">
      <w:pPr>
        <w:pStyle w:val="subpar"/>
      </w:pPr>
      <w:r>
        <w:t>Se asume que el monto de fallos sin programa seguiría una tendencia lineal en ausencia del programa, a partir de la cual se puede estimar el escenario contrafactual partir del año 2015.</w:t>
      </w:r>
    </w:p>
    <w:p w:rsidR="00A02C78" w:rsidRDefault="00A02C78" w:rsidP="00772933">
      <w:pPr>
        <w:pStyle w:val="subpar"/>
      </w:pPr>
      <w:r>
        <w:t xml:space="preserve">Se asume que los aumentos en las auditorías debido al programa resultan en una reducción del 2,5% de las irregularidades. </w:t>
      </w:r>
    </w:p>
    <w:p w:rsidR="00A02C78" w:rsidRDefault="00A02C78" w:rsidP="00772933">
      <w:pPr>
        <w:pStyle w:val="subpar"/>
      </w:pPr>
      <w:r>
        <w:t xml:space="preserve">El tipo de cambio utilizado para la conversión de pesos colombianos a dólares es de 2.500 pesos colombianos por dólar, según la cotización del 8/04/2015 de la página themoneyconverter.com. </w:t>
      </w:r>
    </w:p>
    <w:p w:rsidR="00A02C78" w:rsidRDefault="00A02C78" w:rsidP="00772933">
      <w:pPr>
        <w:pStyle w:val="Paragraph"/>
      </w:pPr>
      <w:r w:rsidRPr="00974805">
        <w:t>Para el cálculo de los costos se utilizan los siguientes supuestos:</w:t>
      </w:r>
    </w:p>
    <w:p w:rsidR="00A02C78" w:rsidRDefault="00A02C78" w:rsidP="00772933">
      <w:pPr>
        <w:pStyle w:val="subpar"/>
      </w:pPr>
      <w:r>
        <w:t>Los costos totales ascienden a 30 millones de dólares, según datos del programa.</w:t>
      </w:r>
    </w:p>
    <w:p w:rsidR="00A02C78" w:rsidRDefault="00A02C78" w:rsidP="00772933">
      <w:pPr>
        <w:pStyle w:val="subpar"/>
      </w:pPr>
      <w:r>
        <w:t xml:space="preserve">Se asume una ejecución uniforme de los costos a </w:t>
      </w:r>
      <w:r w:rsidRPr="00DA6C88">
        <w:t>lo largo del período 201</w:t>
      </w:r>
      <w:r>
        <w:t>6</w:t>
      </w:r>
      <w:r w:rsidRPr="00DA6C88">
        <w:t>-20</w:t>
      </w:r>
      <w:r>
        <w:t xml:space="preserve">20. Esto es, se supone que se ejecutarán 6 millones por año.  </w:t>
      </w:r>
    </w:p>
    <w:p w:rsidR="00A02C78" w:rsidRPr="00DA6C88" w:rsidRDefault="00A02C78" w:rsidP="00772933">
      <w:pPr>
        <w:pStyle w:val="subpar"/>
      </w:pPr>
      <w:r>
        <w:t>Se adicionan costos por posibles contingencias en la ejecución por 3 millones de dólares, los cuales se asume que siguen la misma distribución uniforme que los costos del programa, por lo que resulta un agregado de 600 mil dólares anuales.</w:t>
      </w:r>
    </w:p>
    <w:p w:rsidR="00A02C78" w:rsidRPr="00B35BC5" w:rsidRDefault="00A02C78" w:rsidP="00772933">
      <w:pPr>
        <w:pStyle w:val="subpar"/>
      </w:pPr>
      <w:r>
        <w:t xml:space="preserve">El horizonte a partir del cual se calculan beneficios es de 6 años. </w:t>
      </w:r>
      <w:r w:rsidRPr="00B35BC5">
        <w:t xml:space="preserve">Los beneficios </w:t>
      </w:r>
      <w:r>
        <w:t>se</w:t>
      </w:r>
      <w:r w:rsidRPr="00B35BC5">
        <w:t xml:space="preserve"> computa</w:t>
      </w:r>
      <w:r>
        <w:t>n</w:t>
      </w:r>
      <w:r w:rsidRPr="00B35BC5">
        <w:t xml:space="preserve"> a partir del </w:t>
      </w:r>
      <w:r>
        <w:t>tercer</w:t>
      </w:r>
      <w:r w:rsidRPr="00B35BC5">
        <w:t xml:space="preserve"> año de ejecución</w:t>
      </w:r>
      <w:r>
        <w:t>, teniendo en cuenta una progresión gradual de los efectos del programa. En el tercer año de ejecución solo se considerara un 85% de los efectos finales, el cuarto año un 90%, el quinto un 95%, y el 100% final (es decir, una reducción de las irregularidades del 2%) durante el sexto y último año del horizonte temporal.</w:t>
      </w:r>
    </w:p>
    <w:p w:rsidR="00A02C78" w:rsidRDefault="00772933" w:rsidP="00772933">
      <w:pPr>
        <w:pStyle w:val="FirstHeading"/>
      </w:pPr>
      <w:r>
        <w:fldChar w:fldCharType="begin"/>
      </w:r>
      <w:r>
        <w:instrText xml:space="preserve"> SEQ "</w:instrText>
      </w:r>
      <w:fldSimple w:instr=" SECTION  \* MERGEFORMAT ">
        <w:r>
          <w:instrText>6</w:instrText>
        </w:r>
      </w:fldSimple>
      <w:r>
        <w:instrText xml:space="preserve">#"\* ALPHABETIC \* MERGEFORMAT </w:instrText>
      </w:r>
      <w:r>
        <w:fldChar w:fldCharType="separate"/>
      </w:r>
      <w:r>
        <w:rPr>
          <w:noProof/>
        </w:rPr>
        <w:t>C</w:t>
      </w:r>
      <w:r>
        <w:fldChar w:fldCharType="end"/>
      </w:r>
      <w:r>
        <w:t>.</w:t>
      </w:r>
      <w:r>
        <w:tab/>
      </w:r>
      <w:r w:rsidR="00A02C78" w:rsidRPr="00974805">
        <w:t>Cálculos</w:t>
      </w:r>
    </w:p>
    <w:p w:rsidR="00772933" w:rsidRDefault="00A02C78" w:rsidP="00772933">
      <w:pPr>
        <w:pStyle w:val="Paragraph"/>
      </w:pPr>
      <w:r w:rsidRPr="00AC13A6">
        <w:t>El primer cálculo necesario para el análisis consiste en la estimación de los beneficios anuales derivados de las actividades del programa. Luego, esta fórmula será replicada para cada año, aplicándose sobre ella una tasa de descuento del 12%.</w:t>
      </w:r>
      <w:r>
        <w:t xml:space="preserve"> </w:t>
      </w:r>
    </w:p>
    <w:p w:rsidR="00772933" w:rsidRPr="00AC13A6" w:rsidRDefault="00A02C78" w:rsidP="00772933">
      <w:pPr>
        <w:pStyle w:val="Paragraph"/>
      </w:pPr>
      <w:r w:rsidRPr="00AC13A6">
        <w:t xml:space="preserve">Para estimar los beneficios totales se debe tener en cuenta el supuesto de </w:t>
      </w:r>
      <w:r>
        <w:t>6</w:t>
      </w:r>
      <w:r w:rsidRPr="00AC13A6">
        <w:t xml:space="preserve"> años durante los cuales se consideran los efectos de los componentes. Sin embargo, a efectos de obtener el valor actual debe tenerse en cuenta la tasa utilizada por el BID del 12%. Esto nos lleva a que los beneficios totales se deberían calcular mediante la siguiente formula:</w:t>
      </w:r>
      <w:r w:rsidR="00772933">
        <w:t xml:space="preserve"> </w:t>
      </w:r>
      <w:r w:rsidR="00772933" w:rsidRPr="00772933">
        <w:rPr>
          <w:kern w:val="28"/>
          <w:szCs w:val="24"/>
        </w:rPr>
        <w:t xml:space="preserve">donde  </w:t>
      </w:r>
      <m:oMath>
        <m:r>
          <w:rPr>
            <w:rFonts w:ascii="Cambria Math" w:hAnsi="Cambria Math"/>
            <w:kern w:val="28"/>
            <w:szCs w:val="24"/>
          </w:rPr>
          <m:t>B</m:t>
        </m:r>
      </m:oMath>
      <w:r w:rsidR="00772933" w:rsidRPr="00772933">
        <w:rPr>
          <w:kern w:val="28"/>
          <w:szCs w:val="24"/>
        </w:rPr>
        <w:t xml:space="preserve"> denota los beneficios y </w:t>
      </w:r>
      <m:oMath>
        <m:r>
          <w:rPr>
            <w:rFonts w:ascii="Cambria Math" w:hAnsi="Cambria Math"/>
            <w:kern w:val="28"/>
            <w:szCs w:val="24"/>
          </w:rPr>
          <m:t>t</m:t>
        </m:r>
      </m:oMath>
      <w:r w:rsidR="00772933" w:rsidRPr="00772933">
        <w:rPr>
          <w:kern w:val="28"/>
          <w:szCs w:val="24"/>
        </w:rPr>
        <w:t xml:space="preserve"> indica el año corriente.</w:t>
      </w:r>
    </w:p>
    <w:p w:rsidR="00A02C78" w:rsidRPr="0043555F" w:rsidRDefault="00BE32C2" w:rsidP="00A02C78">
      <w:pPr>
        <w:spacing w:line="480" w:lineRule="auto"/>
        <w:ind w:left="567" w:hanging="567"/>
        <w:jc w:val="both"/>
        <w:rPr>
          <w:kern w:val="28"/>
          <w:szCs w:val="24"/>
          <w:lang w:val="es-ES"/>
        </w:rPr>
      </w:pPr>
      <m:oMathPara>
        <m:oMath>
          <m:sSub>
            <m:sSubPr>
              <m:ctrlPr>
                <w:rPr>
                  <w:rFonts w:ascii="Cambria Math" w:hAnsi="Cambria Math"/>
                  <w:i/>
                  <w:kern w:val="28"/>
                  <w:szCs w:val="24"/>
                  <w:lang w:val="es-ES"/>
                </w:rPr>
              </m:ctrlPr>
            </m:sSubPr>
            <m:e>
              <m:r>
                <w:rPr>
                  <w:rFonts w:ascii="Cambria Math" w:hAnsi="Cambria Math"/>
                  <w:kern w:val="28"/>
                  <w:szCs w:val="24"/>
                  <w:lang w:val="es-ES"/>
                </w:rPr>
                <m:t>B</m:t>
              </m:r>
            </m:e>
            <m:sub>
              <m:r>
                <w:rPr>
                  <w:rFonts w:ascii="Cambria Math" w:hAnsi="Cambria Math"/>
                  <w:kern w:val="28"/>
                  <w:szCs w:val="24"/>
                  <w:lang w:val="es-ES"/>
                </w:rPr>
                <m:t>t</m:t>
              </m:r>
            </m:sub>
          </m:sSub>
          <m:r>
            <w:rPr>
              <w:rFonts w:ascii="Cambria Math" w:hAnsi="Cambria Math"/>
              <w:kern w:val="28"/>
              <w:szCs w:val="24"/>
              <w:lang w:val="es-ES"/>
            </w:rPr>
            <m:t>=</m:t>
          </m:r>
          <m:nary>
            <m:naryPr>
              <m:chr m:val="∑"/>
              <m:limLoc m:val="undOvr"/>
              <m:ctrlPr>
                <w:rPr>
                  <w:rFonts w:ascii="Cambria Math" w:hAnsi="Cambria Math"/>
                  <w:i/>
                  <w:kern w:val="28"/>
                  <w:szCs w:val="24"/>
                  <w:lang w:val="es-ES"/>
                </w:rPr>
              </m:ctrlPr>
            </m:naryPr>
            <m:sub>
              <m:r>
                <w:rPr>
                  <w:rFonts w:ascii="Cambria Math" w:hAnsi="Cambria Math"/>
                  <w:kern w:val="28"/>
                  <w:szCs w:val="24"/>
                  <w:lang w:val="es-ES"/>
                </w:rPr>
                <m:t>t=0</m:t>
              </m:r>
            </m:sub>
            <m:sup>
              <m:r>
                <w:rPr>
                  <w:rFonts w:ascii="Cambria Math" w:hAnsi="Cambria Math"/>
                  <w:kern w:val="28"/>
                  <w:szCs w:val="24"/>
                  <w:lang w:val="es-ES"/>
                </w:rPr>
                <m:t>6</m:t>
              </m:r>
            </m:sup>
            <m:e>
              <m:f>
                <m:fPr>
                  <m:ctrlPr>
                    <w:rPr>
                      <w:rFonts w:ascii="Cambria Math" w:hAnsi="Cambria Math"/>
                      <w:i/>
                      <w:kern w:val="28"/>
                      <w:szCs w:val="24"/>
                      <w:lang w:val="es-ES"/>
                    </w:rPr>
                  </m:ctrlPr>
                </m:fPr>
                <m:num>
                  <m:sSub>
                    <m:sSubPr>
                      <m:ctrlPr>
                        <w:rPr>
                          <w:rFonts w:ascii="Cambria Math" w:hAnsi="Cambria Math"/>
                          <w:i/>
                          <w:kern w:val="28"/>
                          <w:szCs w:val="24"/>
                          <w:lang w:val="es-ES"/>
                        </w:rPr>
                      </m:ctrlPr>
                    </m:sSubPr>
                    <m:e>
                      <m:r>
                        <w:rPr>
                          <w:rFonts w:ascii="Cambria Math" w:hAnsi="Cambria Math"/>
                          <w:kern w:val="28"/>
                          <w:szCs w:val="24"/>
                          <w:lang w:val="es-ES"/>
                        </w:rPr>
                        <m:t>B</m:t>
                      </m:r>
                    </m:e>
                    <m:sub>
                      <m:r>
                        <w:rPr>
                          <w:rFonts w:ascii="Cambria Math" w:hAnsi="Cambria Math"/>
                          <w:kern w:val="28"/>
                          <w:szCs w:val="24"/>
                          <w:lang w:val="es-ES"/>
                        </w:rPr>
                        <m:t>t</m:t>
                      </m:r>
                    </m:sub>
                  </m:sSub>
                </m:num>
                <m:den>
                  <m:sSup>
                    <m:sSupPr>
                      <m:ctrlPr>
                        <w:rPr>
                          <w:rFonts w:ascii="Cambria Math" w:hAnsi="Cambria Math"/>
                          <w:i/>
                          <w:kern w:val="28"/>
                          <w:szCs w:val="24"/>
                          <w:lang w:val="es-ES"/>
                        </w:rPr>
                      </m:ctrlPr>
                    </m:sSupPr>
                    <m:e>
                      <m:r>
                        <w:rPr>
                          <w:rFonts w:ascii="Cambria Math" w:hAnsi="Cambria Math"/>
                          <w:kern w:val="28"/>
                          <w:szCs w:val="24"/>
                          <w:lang w:val="es-ES"/>
                        </w:rPr>
                        <m:t>1,12</m:t>
                      </m:r>
                    </m:e>
                    <m:sup>
                      <m:r>
                        <w:rPr>
                          <w:rFonts w:ascii="Cambria Math" w:hAnsi="Cambria Math"/>
                          <w:kern w:val="28"/>
                          <w:szCs w:val="24"/>
                          <w:lang w:val="es-ES"/>
                        </w:rPr>
                        <m:t>t</m:t>
                      </m:r>
                    </m:sup>
                  </m:sSup>
                </m:den>
              </m:f>
            </m:e>
          </m:nary>
          <m:r>
            <w:rPr>
              <w:rFonts w:ascii="Cambria Math" w:hAnsi="Cambria Math"/>
              <w:kern w:val="28"/>
              <w:szCs w:val="24"/>
              <w:lang w:val="es-ES"/>
            </w:rPr>
            <m:t>,</m:t>
          </m:r>
        </m:oMath>
      </m:oMathPara>
    </w:p>
    <w:p w:rsidR="00A02C78" w:rsidRPr="0043555F" w:rsidRDefault="00A02C78" w:rsidP="00772933">
      <w:pPr>
        <w:pStyle w:val="Paragraph"/>
      </w:pPr>
      <w:r w:rsidRPr="0043555F">
        <w:t>Los costos de operación se calculan como el valor presente del flujo de gastos del proyecto. La fórmula utilizada es:</w:t>
      </w:r>
      <w:r w:rsidR="00772933">
        <w:t xml:space="preserve"> </w:t>
      </w:r>
      <w:r w:rsidR="00772933" w:rsidRPr="0043555F">
        <w:rPr>
          <w:kern w:val="28"/>
        </w:rPr>
        <w:t>donde g es el gas</w:t>
      </w:r>
      <w:r w:rsidR="00772933" w:rsidRPr="00974805">
        <w:t xml:space="preserve">to anual </w:t>
      </w:r>
      <w:r w:rsidR="00772933">
        <w:t>, mientras</w:t>
      </w:r>
      <w:r w:rsidR="00772933" w:rsidRPr="00974805">
        <w:t xml:space="preserve"> t </w:t>
      </w:r>
      <w:r w:rsidR="00772933">
        <w:t>denota el período corriente</w:t>
      </w:r>
      <w:r w:rsidR="00772933" w:rsidRPr="00974805">
        <w:t>.</w:t>
      </w:r>
      <w:r w:rsidR="00772933">
        <w:t xml:space="preserve"> El costo total es de US$30.000.000.</w:t>
      </w:r>
    </w:p>
    <w:p w:rsidR="00A02C78" w:rsidRPr="00772933" w:rsidRDefault="00BE32C2" w:rsidP="00772933">
      <w:pPr>
        <w:spacing w:line="480" w:lineRule="auto"/>
        <w:ind w:left="567" w:hanging="567"/>
        <w:jc w:val="center"/>
        <w:rPr>
          <w:kern w:val="28"/>
          <w:sz w:val="24"/>
          <w:szCs w:val="24"/>
          <w:lang w:val="es-ES"/>
        </w:rPr>
      </w:pPr>
      <m:oMathPara>
        <m:oMath>
          <m:sSub>
            <m:sSubPr>
              <m:ctrlPr>
                <w:rPr>
                  <w:rFonts w:ascii="Cambria Math" w:hAnsi="Cambria Math"/>
                  <w:i/>
                  <w:kern w:val="28"/>
                  <w:lang w:val="es-ES"/>
                </w:rPr>
              </m:ctrlPr>
            </m:sSubPr>
            <m:e>
              <m:r>
                <w:rPr>
                  <w:rFonts w:ascii="Cambria Math" w:hAnsi="Cambria Math"/>
                  <w:kern w:val="28"/>
                  <w:lang w:val="es-ES"/>
                </w:rPr>
                <m:t>Co</m:t>
              </m:r>
            </m:e>
            <m:sub>
              <m:r>
                <w:rPr>
                  <w:rFonts w:ascii="Cambria Math" w:hAnsi="Cambria Math"/>
                  <w:kern w:val="28"/>
                  <w:lang w:val="es-ES"/>
                </w:rPr>
                <m:t xml:space="preserve"> </m:t>
              </m:r>
            </m:sub>
          </m:sSub>
          <m:r>
            <w:rPr>
              <w:rFonts w:ascii="Cambria Math" w:hAnsi="Cambria Math"/>
              <w:kern w:val="28"/>
              <w:lang w:val="es-ES"/>
            </w:rPr>
            <m:t>=</m:t>
          </m:r>
          <m:nary>
            <m:naryPr>
              <m:chr m:val="∑"/>
              <m:limLoc m:val="undOvr"/>
              <m:ctrlPr>
                <w:rPr>
                  <w:rFonts w:ascii="Cambria Math" w:hAnsi="Cambria Math"/>
                  <w:i/>
                  <w:kern w:val="28"/>
                  <w:lang w:val="es-ES"/>
                </w:rPr>
              </m:ctrlPr>
            </m:naryPr>
            <m:sub>
              <m:r>
                <w:rPr>
                  <w:rFonts w:ascii="Cambria Math" w:hAnsi="Cambria Math"/>
                  <w:kern w:val="28"/>
                  <w:lang w:val="es-ES"/>
                </w:rPr>
                <m:t>t=0</m:t>
              </m:r>
            </m:sub>
            <m:sup>
              <m:r>
                <w:rPr>
                  <w:rFonts w:ascii="Cambria Math" w:hAnsi="Cambria Math"/>
                  <w:kern w:val="28"/>
                  <w:lang w:val="es-ES"/>
                </w:rPr>
                <m:t>6</m:t>
              </m:r>
            </m:sup>
            <m:e>
              <m:f>
                <m:fPr>
                  <m:ctrlPr>
                    <w:rPr>
                      <w:rFonts w:ascii="Cambria Math" w:hAnsi="Cambria Math"/>
                      <w:i/>
                      <w:kern w:val="28"/>
                      <w:lang w:val="es-ES"/>
                    </w:rPr>
                  </m:ctrlPr>
                </m:fPr>
                <m:num>
                  <m:sSub>
                    <m:sSubPr>
                      <m:ctrlPr>
                        <w:rPr>
                          <w:rFonts w:ascii="Cambria Math" w:hAnsi="Cambria Math"/>
                          <w:i/>
                          <w:kern w:val="28"/>
                          <w:lang w:val="es-ES"/>
                        </w:rPr>
                      </m:ctrlPr>
                    </m:sSubPr>
                    <m:e>
                      <m:r>
                        <w:rPr>
                          <w:rFonts w:ascii="Cambria Math" w:hAnsi="Cambria Math"/>
                          <w:kern w:val="28"/>
                          <w:lang w:val="es-ES"/>
                        </w:rPr>
                        <m:t>g</m:t>
                      </m:r>
                    </m:e>
                    <m:sub>
                      <m:r>
                        <w:rPr>
                          <w:rFonts w:ascii="Cambria Math" w:hAnsi="Cambria Math"/>
                          <w:kern w:val="28"/>
                          <w:lang w:val="es-ES"/>
                        </w:rPr>
                        <m:t>t</m:t>
                      </m:r>
                    </m:sub>
                  </m:sSub>
                </m:num>
                <m:den>
                  <m:sSup>
                    <m:sSupPr>
                      <m:ctrlPr>
                        <w:rPr>
                          <w:rFonts w:ascii="Cambria Math" w:hAnsi="Cambria Math"/>
                          <w:i/>
                          <w:kern w:val="28"/>
                          <w:lang w:val="es-ES"/>
                        </w:rPr>
                      </m:ctrlPr>
                    </m:sSupPr>
                    <m:e>
                      <m:r>
                        <w:rPr>
                          <w:rFonts w:ascii="Cambria Math" w:hAnsi="Cambria Math"/>
                          <w:kern w:val="28"/>
                          <w:lang w:val="es-ES"/>
                        </w:rPr>
                        <m:t>1,12</m:t>
                      </m:r>
                    </m:e>
                    <m:sup>
                      <m:r>
                        <w:rPr>
                          <w:rFonts w:ascii="Cambria Math" w:hAnsi="Cambria Math"/>
                          <w:kern w:val="28"/>
                          <w:lang w:val="es-ES"/>
                        </w:rPr>
                        <m:t>t</m:t>
                      </m:r>
                    </m:sup>
                  </m:sSup>
                </m:den>
              </m:f>
              <m:r>
                <w:rPr>
                  <w:rFonts w:ascii="Cambria Math" w:hAnsi="Cambria Math"/>
                  <w:kern w:val="28"/>
                  <w:lang w:val="es-ES"/>
                </w:rPr>
                <m:t>,</m:t>
              </m:r>
            </m:e>
          </m:nary>
        </m:oMath>
      </m:oMathPara>
    </w:p>
    <w:tbl>
      <w:tblPr>
        <w:tblW w:w="8505" w:type="dxa"/>
        <w:tblInd w:w="720" w:type="dxa"/>
        <w:tblLayout w:type="fixed"/>
        <w:tblLook w:val="04A0" w:firstRow="1" w:lastRow="0" w:firstColumn="1" w:lastColumn="0" w:noHBand="0" w:noVBand="1"/>
      </w:tblPr>
      <w:tblGrid>
        <w:gridCol w:w="709"/>
        <w:gridCol w:w="2835"/>
        <w:gridCol w:w="2977"/>
        <w:gridCol w:w="1984"/>
      </w:tblGrid>
      <w:tr w:rsidR="00A02C78" w:rsidRPr="00BE32C2" w:rsidTr="00772933">
        <w:trPr>
          <w:trHeight w:val="513"/>
        </w:trPr>
        <w:tc>
          <w:tcPr>
            <w:tcW w:w="8505" w:type="dxa"/>
            <w:gridSpan w:val="4"/>
            <w:tcBorders>
              <w:top w:val="nil"/>
              <w:left w:val="nil"/>
              <w:bottom w:val="single" w:sz="4" w:space="0" w:color="auto"/>
              <w:right w:val="nil"/>
            </w:tcBorders>
            <w:shd w:val="clear" w:color="auto" w:fill="auto"/>
            <w:noWrap/>
            <w:vAlign w:val="bottom"/>
            <w:hideMark/>
          </w:tcPr>
          <w:p w:rsidR="00A02C78" w:rsidRDefault="00A02C78" w:rsidP="00BE32C2">
            <w:pPr>
              <w:pStyle w:val="TituloTabla"/>
              <w:ind w:left="0"/>
            </w:pPr>
            <w:r w:rsidRPr="00974805">
              <w:t xml:space="preserve">Tabla </w:t>
            </w:r>
            <w:r>
              <w:t>2</w:t>
            </w:r>
            <w:r w:rsidRPr="00974805">
              <w:t xml:space="preserve">. Cálculo del valor monetario en USD de </w:t>
            </w:r>
            <w:r>
              <w:t>los beneficios anuales derivados del Programa, Anuales para el período 2015-2025</w:t>
            </w:r>
          </w:p>
        </w:tc>
      </w:tr>
      <w:tr w:rsidR="00A02C78" w:rsidRPr="00990A2D" w:rsidTr="00772933">
        <w:trPr>
          <w:trHeight w:val="280"/>
        </w:trPr>
        <w:tc>
          <w:tcPr>
            <w:tcW w:w="709" w:type="dxa"/>
            <w:tcBorders>
              <w:top w:val="nil"/>
              <w:left w:val="nil"/>
              <w:bottom w:val="nil"/>
              <w:right w:val="nil"/>
            </w:tcBorders>
            <w:shd w:val="clear" w:color="auto" w:fill="auto"/>
            <w:noWrap/>
            <w:vAlign w:val="center"/>
          </w:tcPr>
          <w:p w:rsidR="00A02C78" w:rsidRPr="006A4CC7" w:rsidRDefault="00A02C78" w:rsidP="00BE32C2">
            <w:pPr>
              <w:ind w:left="567" w:hanging="567"/>
              <w:jc w:val="right"/>
              <w:rPr>
                <w:b/>
                <w:color w:val="000000"/>
                <w:lang w:val="es-ES"/>
              </w:rPr>
            </w:pPr>
            <w:r w:rsidRPr="006A4CC7">
              <w:rPr>
                <w:b/>
                <w:color w:val="000000"/>
                <w:lang w:val="es-ES"/>
              </w:rPr>
              <w:t>Año</w:t>
            </w:r>
          </w:p>
        </w:tc>
        <w:tc>
          <w:tcPr>
            <w:tcW w:w="2835" w:type="dxa"/>
            <w:tcBorders>
              <w:top w:val="nil"/>
              <w:left w:val="nil"/>
              <w:bottom w:val="nil"/>
              <w:right w:val="single" w:sz="4" w:space="0" w:color="auto"/>
            </w:tcBorders>
            <w:shd w:val="clear" w:color="auto" w:fill="auto"/>
            <w:noWrap/>
            <w:vAlign w:val="center"/>
          </w:tcPr>
          <w:p w:rsidR="00A02C78" w:rsidRDefault="00A02C78" w:rsidP="00BE32C2">
            <w:pPr>
              <w:ind w:left="567" w:hanging="567"/>
              <w:rPr>
                <w:b/>
                <w:bCs/>
                <w:color w:val="000000"/>
                <w:lang w:val="es-ES"/>
              </w:rPr>
            </w:pPr>
            <w:r>
              <w:rPr>
                <w:b/>
                <w:bCs/>
                <w:color w:val="000000"/>
                <w:lang w:val="es-ES"/>
              </w:rPr>
              <w:t>Proyección de Fallos USD</w:t>
            </w:r>
          </w:p>
        </w:tc>
        <w:tc>
          <w:tcPr>
            <w:tcW w:w="2977" w:type="dxa"/>
            <w:tcBorders>
              <w:top w:val="nil"/>
              <w:left w:val="nil"/>
              <w:bottom w:val="nil"/>
              <w:right w:val="single" w:sz="4" w:space="0" w:color="auto"/>
            </w:tcBorders>
            <w:shd w:val="clear" w:color="auto" w:fill="auto"/>
            <w:noWrap/>
            <w:vAlign w:val="center"/>
          </w:tcPr>
          <w:p w:rsidR="00A02C78" w:rsidRPr="006A4CC7" w:rsidRDefault="00A02C78" w:rsidP="00BE32C2">
            <w:pPr>
              <w:ind w:left="567" w:hanging="567"/>
              <w:jc w:val="center"/>
              <w:rPr>
                <w:b/>
                <w:color w:val="000000"/>
                <w:lang w:val="es-ES"/>
              </w:rPr>
            </w:pPr>
            <w:r w:rsidRPr="006A4CC7">
              <w:rPr>
                <w:b/>
                <w:color w:val="000000"/>
                <w:lang w:val="es-ES"/>
              </w:rPr>
              <w:t>Fallos con Programa USD</w:t>
            </w:r>
          </w:p>
        </w:tc>
        <w:tc>
          <w:tcPr>
            <w:tcW w:w="1984" w:type="dxa"/>
            <w:tcBorders>
              <w:top w:val="nil"/>
              <w:left w:val="nil"/>
              <w:bottom w:val="nil"/>
              <w:right w:val="nil"/>
            </w:tcBorders>
            <w:shd w:val="clear" w:color="auto" w:fill="auto"/>
            <w:noWrap/>
            <w:vAlign w:val="center"/>
          </w:tcPr>
          <w:p w:rsidR="00A02C78" w:rsidRPr="006A4CC7" w:rsidRDefault="00A02C78" w:rsidP="00BE32C2">
            <w:pPr>
              <w:pStyle w:val="Entabla"/>
              <w:rPr>
                <w:b/>
              </w:rPr>
            </w:pPr>
            <w:r w:rsidRPr="006A4CC7">
              <w:rPr>
                <w:b/>
              </w:rPr>
              <w:t>Beneficios Anuales USD</w:t>
            </w:r>
          </w:p>
        </w:tc>
      </w:tr>
      <w:tr w:rsidR="00A02C78" w:rsidRPr="00990A2D" w:rsidTr="00772933">
        <w:trPr>
          <w:trHeight w:val="280"/>
        </w:trPr>
        <w:tc>
          <w:tcPr>
            <w:tcW w:w="709" w:type="dxa"/>
            <w:tcBorders>
              <w:top w:val="nil"/>
              <w:left w:val="nil"/>
              <w:bottom w:val="nil"/>
              <w:right w:val="nil"/>
            </w:tcBorders>
            <w:shd w:val="clear" w:color="auto" w:fill="auto"/>
            <w:noWrap/>
            <w:hideMark/>
          </w:tcPr>
          <w:p w:rsidR="00A02C78" w:rsidRDefault="00A02C78" w:rsidP="00BE32C2">
            <w:pPr>
              <w:ind w:left="567" w:hanging="567"/>
              <w:jc w:val="center"/>
              <w:rPr>
                <w:color w:val="000000"/>
                <w:lang w:val="es-ES"/>
              </w:rPr>
            </w:pPr>
            <w:r>
              <w:rPr>
                <w:color w:val="000000"/>
                <w:lang w:val="es-ES"/>
              </w:rPr>
              <w:t>2015</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324.916.799</w:t>
            </w:r>
          </w:p>
        </w:tc>
        <w:tc>
          <w:tcPr>
            <w:tcW w:w="2977" w:type="dxa"/>
            <w:tcBorders>
              <w:top w:val="nil"/>
              <w:left w:val="nil"/>
              <w:bottom w:val="nil"/>
              <w:right w:val="single" w:sz="4" w:space="0" w:color="auto"/>
            </w:tcBorders>
            <w:shd w:val="clear" w:color="auto" w:fill="auto"/>
            <w:noWrap/>
            <w:vAlign w:val="bottom"/>
            <w:hideMark/>
          </w:tcPr>
          <w:p w:rsidR="00A02C78" w:rsidRPr="006A4CC7" w:rsidRDefault="00A02C78" w:rsidP="00BE32C2">
            <w:pPr>
              <w:jc w:val="center"/>
              <w:rPr>
                <w:color w:val="000000"/>
              </w:rPr>
            </w:pPr>
            <w:r w:rsidRPr="006A4CC7">
              <w:rPr>
                <w:color w:val="000000"/>
              </w:rPr>
              <w:t>324.916.799</w:t>
            </w:r>
          </w:p>
        </w:tc>
        <w:tc>
          <w:tcPr>
            <w:tcW w:w="1984" w:type="dxa"/>
            <w:tcBorders>
              <w:top w:val="nil"/>
              <w:left w:val="nil"/>
              <w:bottom w:val="nil"/>
              <w:right w:val="nil"/>
            </w:tcBorders>
            <w:shd w:val="clear" w:color="auto" w:fill="auto"/>
            <w:noWrap/>
            <w:vAlign w:val="bottom"/>
            <w:hideMark/>
          </w:tcPr>
          <w:p w:rsidR="00A02C78" w:rsidRPr="006A4CC7" w:rsidRDefault="00A02C78" w:rsidP="00BE32C2">
            <w:pPr>
              <w:jc w:val="right"/>
              <w:rPr>
                <w:color w:val="000000"/>
              </w:rPr>
            </w:pPr>
            <w:r w:rsidRPr="006A4CC7">
              <w:rPr>
                <w:color w:val="000000"/>
              </w:rPr>
              <w:t xml:space="preserve">0 </w:t>
            </w:r>
          </w:p>
        </w:tc>
      </w:tr>
      <w:tr w:rsidR="00A02C78" w:rsidRPr="001767D4" w:rsidTr="00772933">
        <w:trPr>
          <w:trHeight w:val="280"/>
        </w:trPr>
        <w:tc>
          <w:tcPr>
            <w:tcW w:w="709" w:type="dxa"/>
            <w:tcBorders>
              <w:top w:val="nil"/>
              <w:left w:val="nil"/>
              <w:bottom w:val="nil"/>
              <w:right w:val="nil"/>
            </w:tcBorders>
            <w:shd w:val="clear" w:color="auto" w:fill="auto"/>
            <w:noWrap/>
            <w:hideMark/>
          </w:tcPr>
          <w:p w:rsidR="00A02C78" w:rsidRDefault="00A02C78" w:rsidP="00BE32C2">
            <w:pPr>
              <w:ind w:left="567" w:hanging="567"/>
              <w:jc w:val="center"/>
              <w:rPr>
                <w:color w:val="000000"/>
                <w:lang w:val="es-ES"/>
              </w:rPr>
            </w:pPr>
            <w:r>
              <w:rPr>
                <w:color w:val="000000"/>
                <w:lang w:val="es-ES"/>
              </w:rPr>
              <w:t>2016</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384.931.688</w:t>
            </w:r>
          </w:p>
        </w:tc>
        <w:tc>
          <w:tcPr>
            <w:tcW w:w="2977" w:type="dxa"/>
            <w:tcBorders>
              <w:top w:val="nil"/>
              <w:left w:val="nil"/>
              <w:bottom w:val="nil"/>
              <w:right w:val="single" w:sz="4" w:space="0" w:color="auto"/>
            </w:tcBorders>
            <w:shd w:val="clear" w:color="auto" w:fill="auto"/>
            <w:noWrap/>
            <w:vAlign w:val="bottom"/>
            <w:hideMark/>
          </w:tcPr>
          <w:p w:rsidR="00A02C78" w:rsidRPr="006A4CC7" w:rsidRDefault="00A02C78" w:rsidP="00BE32C2">
            <w:pPr>
              <w:jc w:val="center"/>
              <w:rPr>
                <w:color w:val="000000"/>
              </w:rPr>
            </w:pPr>
            <w:r w:rsidRPr="006A4CC7">
              <w:rPr>
                <w:color w:val="000000"/>
              </w:rPr>
              <w:t>384.931.688</w:t>
            </w:r>
          </w:p>
        </w:tc>
        <w:tc>
          <w:tcPr>
            <w:tcW w:w="1984" w:type="dxa"/>
            <w:tcBorders>
              <w:top w:val="nil"/>
              <w:left w:val="nil"/>
              <w:bottom w:val="nil"/>
              <w:right w:val="nil"/>
            </w:tcBorders>
            <w:shd w:val="clear" w:color="auto" w:fill="auto"/>
            <w:noWrap/>
            <w:vAlign w:val="bottom"/>
            <w:hideMark/>
          </w:tcPr>
          <w:p w:rsidR="00A02C78" w:rsidRPr="006A4CC7" w:rsidRDefault="00A02C78" w:rsidP="00BE32C2">
            <w:pPr>
              <w:jc w:val="right"/>
              <w:rPr>
                <w:color w:val="000000"/>
              </w:rPr>
            </w:pPr>
            <w:r w:rsidRPr="006A4CC7">
              <w:rPr>
                <w:color w:val="000000"/>
              </w:rPr>
              <w:t xml:space="preserve">0 </w:t>
            </w:r>
          </w:p>
        </w:tc>
      </w:tr>
      <w:tr w:rsidR="00A02C78" w:rsidRPr="000F4C37" w:rsidTr="00772933">
        <w:trPr>
          <w:trHeight w:val="280"/>
        </w:trPr>
        <w:tc>
          <w:tcPr>
            <w:tcW w:w="709" w:type="dxa"/>
            <w:tcBorders>
              <w:top w:val="nil"/>
              <w:left w:val="nil"/>
              <w:bottom w:val="nil"/>
              <w:right w:val="nil"/>
            </w:tcBorders>
            <w:shd w:val="clear" w:color="auto" w:fill="auto"/>
            <w:noWrap/>
            <w:hideMark/>
          </w:tcPr>
          <w:p w:rsidR="00A02C78" w:rsidRDefault="00A02C78" w:rsidP="00BE32C2">
            <w:pPr>
              <w:ind w:left="567" w:hanging="567"/>
              <w:jc w:val="center"/>
              <w:rPr>
                <w:b/>
                <w:bCs/>
                <w:color w:val="000000"/>
                <w:lang w:val="es-ES"/>
              </w:rPr>
            </w:pPr>
            <w:r>
              <w:rPr>
                <w:color w:val="000000"/>
                <w:lang w:val="es-ES"/>
              </w:rPr>
              <w:t>2017</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444.946.576</w:t>
            </w:r>
          </w:p>
        </w:tc>
        <w:tc>
          <w:tcPr>
            <w:tcW w:w="2977" w:type="dxa"/>
            <w:tcBorders>
              <w:top w:val="nil"/>
              <w:left w:val="nil"/>
              <w:bottom w:val="nil"/>
              <w:right w:val="single" w:sz="4" w:space="0" w:color="auto"/>
            </w:tcBorders>
            <w:shd w:val="clear" w:color="auto" w:fill="auto"/>
            <w:noWrap/>
            <w:vAlign w:val="bottom"/>
            <w:hideMark/>
          </w:tcPr>
          <w:p w:rsidR="00A02C78" w:rsidRPr="006A4CC7" w:rsidRDefault="00A02C78" w:rsidP="00BE32C2">
            <w:pPr>
              <w:jc w:val="center"/>
              <w:rPr>
                <w:color w:val="000000"/>
              </w:rPr>
            </w:pPr>
            <w:r w:rsidRPr="006A4CC7">
              <w:rPr>
                <w:color w:val="000000"/>
              </w:rPr>
              <w:t>436.047.645</w:t>
            </w:r>
          </w:p>
        </w:tc>
        <w:tc>
          <w:tcPr>
            <w:tcW w:w="1984" w:type="dxa"/>
            <w:tcBorders>
              <w:top w:val="nil"/>
              <w:left w:val="nil"/>
              <w:bottom w:val="nil"/>
              <w:right w:val="nil"/>
            </w:tcBorders>
            <w:shd w:val="clear" w:color="auto" w:fill="auto"/>
            <w:noWrap/>
            <w:vAlign w:val="bottom"/>
            <w:hideMark/>
          </w:tcPr>
          <w:p w:rsidR="00A02C78" w:rsidRPr="006A4CC7" w:rsidRDefault="00A02C78" w:rsidP="00BE32C2">
            <w:pPr>
              <w:jc w:val="right"/>
              <w:rPr>
                <w:color w:val="000000"/>
              </w:rPr>
            </w:pPr>
            <w:r w:rsidRPr="006A4CC7">
              <w:rPr>
                <w:color w:val="000000"/>
              </w:rPr>
              <w:t xml:space="preserve">8.898.932 </w:t>
            </w:r>
          </w:p>
        </w:tc>
      </w:tr>
      <w:tr w:rsidR="00A02C78" w:rsidRPr="000F4C37" w:rsidTr="00772933">
        <w:trPr>
          <w:trHeight w:val="280"/>
        </w:trPr>
        <w:tc>
          <w:tcPr>
            <w:tcW w:w="709" w:type="dxa"/>
            <w:tcBorders>
              <w:top w:val="nil"/>
              <w:left w:val="nil"/>
              <w:bottom w:val="nil"/>
              <w:right w:val="nil"/>
            </w:tcBorders>
            <w:shd w:val="clear" w:color="auto" w:fill="auto"/>
            <w:noWrap/>
          </w:tcPr>
          <w:p w:rsidR="00A02C78" w:rsidRDefault="00A02C78" w:rsidP="00BE32C2">
            <w:pPr>
              <w:ind w:left="567" w:hanging="567"/>
              <w:jc w:val="center"/>
              <w:rPr>
                <w:color w:val="000000"/>
                <w:lang w:val="es-ES"/>
              </w:rPr>
            </w:pPr>
            <w:r>
              <w:rPr>
                <w:color w:val="000000"/>
                <w:lang w:val="es-ES"/>
              </w:rPr>
              <w:t>2018</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504.961.465</w:t>
            </w:r>
          </w:p>
        </w:tc>
        <w:tc>
          <w:tcPr>
            <w:tcW w:w="2977" w:type="dxa"/>
            <w:tcBorders>
              <w:top w:val="nil"/>
              <w:left w:val="nil"/>
              <w:bottom w:val="nil"/>
              <w:right w:val="single" w:sz="4" w:space="0" w:color="auto"/>
            </w:tcBorders>
            <w:shd w:val="clear" w:color="auto" w:fill="auto"/>
            <w:noWrap/>
            <w:vAlign w:val="bottom"/>
          </w:tcPr>
          <w:p w:rsidR="00A02C78" w:rsidRPr="006A4CC7" w:rsidRDefault="00A02C78" w:rsidP="00BE32C2">
            <w:pPr>
              <w:jc w:val="center"/>
              <w:rPr>
                <w:color w:val="000000"/>
              </w:rPr>
            </w:pPr>
            <w:r w:rsidRPr="006A4CC7">
              <w:rPr>
                <w:color w:val="000000"/>
              </w:rPr>
              <w:t>494.862.235</w:t>
            </w:r>
          </w:p>
        </w:tc>
        <w:tc>
          <w:tcPr>
            <w:tcW w:w="1984" w:type="dxa"/>
            <w:tcBorders>
              <w:top w:val="nil"/>
              <w:left w:val="nil"/>
              <w:bottom w:val="nil"/>
              <w:right w:val="nil"/>
            </w:tcBorders>
            <w:shd w:val="clear" w:color="auto" w:fill="auto"/>
            <w:noWrap/>
            <w:vAlign w:val="bottom"/>
          </w:tcPr>
          <w:p w:rsidR="00A02C78" w:rsidRPr="006A4CC7" w:rsidRDefault="00A02C78" w:rsidP="00BE32C2">
            <w:pPr>
              <w:jc w:val="right"/>
              <w:rPr>
                <w:color w:val="000000"/>
              </w:rPr>
            </w:pPr>
            <w:r w:rsidRPr="006A4CC7">
              <w:rPr>
                <w:color w:val="000000"/>
              </w:rPr>
              <w:t xml:space="preserve">10.099.229 </w:t>
            </w:r>
          </w:p>
        </w:tc>
      </w:tr>
      <w:tr w:rsidR="00A02C78" w:rsidRPr="00027BD0" w:rsidTr="00772933">
        <w:trPr>
          <w:trHeight w:val="280"/>
        </w:trPr>
        <w:tc>
          <w:tcPr>
            <w:tcW w:w="709" w:type="dxa"/>
            <w:tcBorders>
              <w:top w:val="nil"/>
              <w:left w:val="nil"/>
              <w:bottom w:val="nil"/>
              <w:right w:val="nil"/>
            </w:tcBorders>
            <w:shd w:val="clear" w:color="auto" w:fill="auto"/>
            <w:noWrap/>
            <w:hideMark/>
          </w:tcPr>
          <w:p w:rsidR="00A02C78" w:rsidRDefault="00A02C78" w:rsidP="00BE32C2">
            <w:pPr>
              <w:ind w:left="567" w:hanging="567"/>
              <w:jc w:val="center"/>
              <w:rPr>
                <w:color w:val="000000"/>
                <w:lang w:val="es-ES"/>
              </w:rPr>
            </w:pPr>
            <w:r>
              <w:rPr>
                <w:color w:val="000000"/>
                <w:lang w:val="es-ES"/>
              </w:rPr>
              <w:t>2019</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564.976.353</w:t>
            </w:r>
          </w:p>
        </w:tc>
        <w:tc>
          <w:tcPr>
            <w:tcW w:w="2977" w:type="dxa"/>
            <w:tcBorders>
              <w:top w:val="nil"/>
              <w:left w:val="nil"/>
              <w:bottom w:val="nil"/>
              <w:right w:val="single" w:sz="4" w:space="0" w:color="auto"/>
            </w:tcBorders>
            <w:shd w:val="clear" w:color="auto" w:fill="auto"/>
            <w:noWrap/>
            <w:vAlign w:val="bottom"/>
            <w:hideMark/>
          </w:tcPr>
          <w:p w:rsidR="00A02C78" w:rsidRPr="006A4CC7" w:rsidRDefault="00A02C78" w:rsidP="00BE32C2">
            <w:pPr>
              <w:jc w:val="center"/>
              <w:rPr>
                <w:color w:val="000000"/>
              </w:rPr>
            </w:pPr>
            <w:r w:rsidRPr="006A4CC7">
              <w:rPr>
                <w:color w:val="000000"/>
              </w:rPr>
              <w:t>553.676.826</w:t>
            </w:r>
          </w:p>
        </w:tc>
        <w:tc>
          <w:tcPr>
            <w:tcW w:w="1984" w:type="dxa"/>
            <w:tcBorders>
              <w:top w:val="nil"/>
              <w:left w:val="nil"/>
              <w:bottom w:val="nil"/>
              <w:right w:val="nil"/>
            </w:tcBorders>
            <w:shd w:val="clear" w:color="auto" w:fill="auto"/>
            <w:noWrap/>
            <w:vAlign w:val="bottom"/>
            <w:hideMark/>
          </w:tcPr>
          <w:p w:rsidR="00A02C78" w:rsidRPr="006A4CC7" w:rsidRDefault="00A02C78" w:rsidP="00BE32C2">
            <w:pPr>
              <w:jc w:val="right"/>
              <w:rPr>
                <w:color w:val="000000"/>
              </w:rPr>
            </w:pPr>
            <w:r w:rsidRPr="006A4CC7">
              <w:rPr>
                <w:color w:val="000000"/>
              </w:rPr>
              <w:t xml:space="preserve">11.299.527 </w:t>
            </w:r>
          </w:p>
        </w:tc>
      </w:tr>
      <w:tr w:rsidR="00A02C78" w:rsidRPr="00027BD0" w:rsidTr="00772933">
        <w:trPr>
          <w:trHeight w:val="280"/>
        </w:trPr>
        <w:tc>
          <w:tcPr>
            <w:tcW w:w="709" w:type="dxa"/>
            <w:tcBorders>
              <w:top w:val="nil"/>
              <w:left w:val="nil"/>
              <w:bottom w:val="nil"/>
              <w:right w:val="nil"/>
            </w:tcBorders>
            <w:shd w:val="clear" w:color="auto" w:fill="auto"/>
            <w:noWrap/>
          </w:tcPr>
          <w:p w:rsidR="00A02C78" w:rsidRDefault="00A02C78" w:rsidP="00BE32C2">
            <w:pPr>
              <w:ind w:left="567" w:hanging="567"/>
              <w:jc w:val="center"/>
              <w:rPr>
                <w:color w:val="000000"/>
                <w:lang w:val="es-ES"/>
              </w:rPr>
            </w:pPr>
            <w:r>
              <w:rPr>
                <w:color w:val="000000"/>
                <w:lang w:val="es-ES"/>
              </w:rPr>
              <w:t>2020</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624.991.242</w:t>
            </w:r>
          </w:p>
        </w:tc>
        <w:tc>
          <w:tcPr>
            <w:tcW w:w="2977" w:type="dxa"/>
            <w:tcBorders>
              <w:top w:val="nil"/>
              <w:left w:val="nil"/>
              <w:bottom w:val="nil"/>
              <w:right w:val="single" w:sz="4" w:space="0" w:color="auto"/>
            </w:tcBorders>
            <w:shd w:val="clear" w:color="auto" w:fill="auto"/>
            <w:noWrap/>
            <w:vAlign w:val="bottom"/>
          </w:tcPr>
          <w:p w:rsidR="00A02C78" w:rsidRPr="006A4CC7" w:rsidRDefault="00A02C78" w:rsidP="00BE32C2">
            <w:pPr>
              <w:jc w:val="center"/>
              <w:rPr>
                <w:color w:val="000000"/>
              </w:rPr>
            </w:pPr>
            <w:r w:rsidRPr="006A4CC7">
              <w:rPr>
                <w:color w:val="000000"/>
              </w:rPr>
              <w:t>612.491.417</w:t>
            </w:r>
          </w:p>
        </w:tc>
        <w:tc>
          <w:tcPr>
            <w:tcW w:w="1984" w:type="dxa"/>
            <w:tcBorders>
              <w:top w:val="nil"/>
              <w:left w:val="nil"/>
              <w:bottom w:val="nil"/>
              <w:right w:val="nil"/>
            </w:tcBorders>
            <w:shd w:val="clear" w:color="auto" w:fill="auto"/>
            <w:noWrap/>
            <w:vAlign w:val="bottom"/>
          </w:tcPr>
          <w:p w:rsidR="00A02C78" w:rsidRPr="006A4CC7" w:rsidRDefault="00A02C78" w:rsidP="00BE32C2">
            <w:pPr>
              <w:jc w:val="right"/>
              <w:rPr>
                <w:color w:val="000000"/>
              </w:rPr>
            </w:pPr>
            <w:r w:rsidRPr="006A4CC7">
              <w:rPr>
                <w:color w:val="000000"/>
              </w:rPr>
              <w:t xml:space="preserve">12.499.825 </w:t>
            </w:r>
          </w:p>
        </w:tc>
      </w:tr>
      <w:tr w:rsidR="00A02C78" w:rsidRPr="00027BD0" w:rsidTr="00772933">
        <w:trPr>
          <w:trHeight w:val="293"/>
        </w:trPr>
        <w:tc>
          <w:tcPr>
            <w:tcW w:w="709" w:type="dxa"/>
            <w:tcBorders>
              <w:top w:val="nil"/>
              <w:left w:val="nil"/>
              <w:bottom w:val="nil"/>
              <w:right w:val="nil"/>
            </w:tcBorders>
            <w:shd w:val="clear" w:color="auto" w:fill="auto"/>
            <w:noWrap/>
          </w:tcPr>
          <w:p w:rsidR="00A02C78" w:rsidRDefault="00A02C78" w:rsidP="00BE32C2">
            <w:pPr>
              <w:ind w:left="567" w:hanging="567"/>
              <w:jc w:val="center"/>
              <w:rPr>
                <w:color w:val="000000"/>
                <w:lang w:val="es-ES"/>
              </w:rPr>
            </w:pPr>
            <w:r>
              <w:rPr>
                <w:color w:val="000000"/>
                <w:lang w:val="es-ES"/>
              </w:rPr>
              <w:t>2021</w:t>
            </w:r>
          </w:p>
        </w:tc>
        <w:tc>
          <w:tcPr>
            <w:tcW w:w="2835" w:type="dxa"/>
            <w:tcBorders>
              <w:top w:val="nil"/>
              <w:left w:val="nil"/>
              <w:bottom w:val="nil"/>
              <w:right w:val="single" w:sz="4" w:space="0" w:color="auto"/>
            </w:tcBorders>
            <w:shd w:val="clear" w:color="auto" w:fill="auto"/>
            <w:noWrap/>
          </w:tcPr>
          <w:p w:rsidR="00A02C78" w:rsidRPr="006A4CC7" w:rsidRDefault="00A02C78" w:rsidP="00BE32C2">
            <w:pPr>
              <w:jc w:val="center"/>
            </w:pPr>
            <w:r w:rsidRPr="006A4CC7">
              <w:t>685.006.130</w:t>
            </w:r>
          </w:p>
        </w:tc>
        <w:tc>
          <w:tcPr>
            <w:tcW w:w="2977" w:type="dxa"/>
            <w:tcBorders>
              <w:top w:val="nil"/>
              <w:left w:val="nil"/>
              <w:bottom w:val="nil"/>
              <w:right w:val="single" w:sz="4" w:space="0" w:color="auto"/>
            </w:tcBorders>
            <w:shd w:val="clear" w:color="auto" w:fill="auto"/>
            <w:noWrap/>
            <w:vAlign w:val="bottom"/>
          </w:tcPr>
          <w:p w:rsidR="00A02C78" w:rsidRPr="006A4CC7" w:rsidRDefault="00A02C78" w:rsidP="00BE32C2">
            <w:pPr>
              <w:jc w:val="center"/>
              <w:rPr>
                <w:color w:val="000000"/>
              </w:rPr>
            </w:pPr>
            <w:r w:rsidRPr="006A4CC7">
              <w:rPr>
                <w:color w:val="000000"/>
              </w:rPr>
              <w:t>671.306.008</w:t>
            </w:r>
          </w:p>
        </w:tc>
        <w:tc>
          <w:tcPr>
            <w:tcW w:w="1984" w:type="dxa"/>
            <w:tcBorders>
              <w:top w:val="nil"/>
              <w:left w:val="nil"/>
              <w:bottom w:val="nil"/>
              <w:right w:val="nil"/>
            </w:tcBorders>
            <w:shd w:val="clear" w:color="auto" w:fill="auto"/>
            <w:noWrap/>
            <w:vAlign w:val="bottom"/>
          </w:tcPr>
          <w:p w:rsidR="00A02C78" w:rsidRPr="006A4CC7" w:rsidRDefault="00A02C78" w:rsidP="00BE32C2">
            <w:pPr>
              <w:jc w:val="right"/>
              <w:rPr>
                <w:color w:val="000000"/>
              </w:rPr>
            </w:pPr>
            <w:r w:rsidRPr="006A4CC7">
              <w:rPr>
                <w:color w:val="000000"/>
              </w:rPr>
              <w:t xml:space="preserve">13.700.123 </w:t>
            </w:r>
          </w:p>
        </w:tc>
      </w:tr>
    </w:tbl>
    <w:p w:rsidR="00A02C78" w:rsidRPr="00772933" w:rsidRDefault="00A02C78" w:rsidP="00772933">
      <w:pPr>
        <w:pStyle w:val="Chapter"/>
      </w:pPr>
      <w:r w:rsidRPr="00772933">
        <w:t>Resultados, análisis de sensibilidad y discusión</w:t>
      </w:r>
    </w:p>
    <w:p w:rsidR="00A02C78" w:rsidRDefault="00A02C78" w:rsidP="00772933">
      <w:pPr>
        <w:pStyle w:val="Paragraph"/>
      </w:pPr>
      <w:r w:rsidRPr="00974805">
        <w:t xml:space="preserve">Debido a la </w:t>
      </w:r>
      <w:r>
        <w:t>importancia del supuesto</w:t>
      </w:r>
      <w:r w:rsidRPr="00974805">
        <w:t xml:space="preserve"> </w:t>
      </w:r>
      <w:r>
        <w:t>del porcentaje de eficiencia</w:t>
      </w:r>
      <w:r w:rsidRPr="00974805">
        <w:t>, presentamo</w:t>
      </w:r>
      <w:r>
        <w:t>s los resultados en paralelo del análisis de sensibilidad, en donde se incluyen tres escenarios alternativos al escenario base (uno conservador, uno ultra-conservador y otro optimista),</w:t>
      </w:r>
      <w:r w:rsidRPr="00974805">
        <w:t xml:space="preserve"> en la Tabla </w:t>
      </w:r>
      <w:r>
        <w:t>3</w:t>
      </w:r>
      <w:r w:rsidRPr="00974805">
        <w:t>.</w:t>
      </w:r>
    </w:p>
    <w:tbl>
      <w:tblPr>
        <w:tblW w:w="8647" w:type="dxa"/>
        <w:tblLayout w:type="fixed"/>
        <w:tblLook w:val="04A0" w:firstRow="1" w:lastRow="0" w:firstColumn="1" w:lastColumn="0" w:noHBand="0" w:noVBand="1"/>
      </w:tblPr>
      <w:tblGrid>
        <w:gridCol w:w="1843"/>
        <w:gridCol w:w="1701"/>
        <w:gridCol w:w="1559"/>
        <w:gridCol w:w="1560"/>
        <w:gridCol w:w="1134"/>
        <w:gridCol w:w="850"/>
      </w:tblGrid>
      <w:tr w:rsidR="00A02C78" w:rsidRPr="00BE32C2" w:rsidTr="00772933">
        <w:trPr>
          <w:trHeight w:val="300"/>
        </w:trPr>
        <w:tc>
          <w:tcPr>
            <w:tcW w:w="7797" w:type="dxa"/>
            <w:gridSpan w:val="5"/>
            <w:tcBorders>
              <w:top w:val="nil"/>
              <w:left w:val="nil"/>
              <w:bottom w:val="single" w:sz="4" w:space="0" w:color="auto"/>
              <w:right w:val="nil"/>
            </w:tcBorders>
            <w:shd w:val="clear" w:color="auto" w:fill="auto"/>
            <w:vAlign w:val="center"/>
            <w:hideMark/>
          </w:tcPr>
          <w:p w:rsidR="00A02C78" w:rsidRPr="007E6104" w:rsidRDefault="00A02C78" w:rsidP="00BE32C2">
            <w:pPr>
              <w:pStyle w:val="TituloTabla"/>
              <w:rPr>
                <w:b w:val="0"/>
              </w:rPr>
            </w:pPr>
            <w:r w:rsidRPr="007E6104">
              <w:t xml:space="preserve">Tabla </w:t>
            </w:r>
            <w:r>
              <w:t>3</w:t>
            </w:r>
            <w:r w:rsidRPr="007E6104">
              <w:t>. Costo-beneficio y escenarios</w:t>
            </w:r>
          </w:p>
        </w:tc>
        <w:tc>
          <w:tcPr>
            <w:tcW w:w="850" w:type="dxa"/>
            <w:tcBorders>
              <w:top w:val="nil"/>
              <w:left w:val="nil"/>
              <w:bottom w:val="single" w:sz="4" w:space="0" w:color="auto"/>
              <w:right w:val="nil"/>
            </w:tcBorders>
            <w:shd w:val="clear" w:color="auto" w:fill="auto"/>
          </w:tcPr>
          <w:p w:rsidR="00A02C78" w:rsidRPr="007E6104" w:rsidRDefault="00A02C78" w:rsidP="00BE32C2">
            <w:pPr>
              <w:pStyle w:val="Entabla"/>
              <w:rPr>
                <w:b/>
                <w:lang w:val="es-ES_tradnl"/>
              </w:rPr>
            </w:pPr>
          </w:p>
        </w:tc>
      </w:tr>
      <w:tr w:rsidR="00A02C78" w:rsidRPr="00772933" w:rsidTr="00772933">
        <w:trPr>
          <w:trHeight w:val="720"/>
        </w:trPr>
        <w:tc>
          <w:tcPr>
            <w:tcW w:w="1843"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701" w:type="dxa"/>
            <w:tcBorders>
              <w:top w:val="nil"/>
              <w:left w:val="nil"/>
              <w:bottom w:val="single" w:sz="4" w:space="0" w:color="auto"/>
              <w:right w:val="nil"/>
            </w:tcBorders>
            <w:shd w:val="clear" w:color="auto" w:fill="auto"/>
            <w:vAlign w:val="center"/>
            <w:hideMark/>
          </w:tcPr>
          <w:p w:rsidR="00A02C78" w:rsidRPr="00772933" w:rsidRDefault="00A02C78" w:rsidP="00772933">
            <w:pPr>
              <w:pStyle w:val="Entabla"/>
              <w:jc w:val="center"/>
              <w:rPr>
                <w:b/>
                <w:sz w:val="20"/>
                <w:szCs w:val="20"/>
              </w:rPr>
            </w:pPr>
            <w:r w:rsidRPr="00772933">
              <w:rPr>
                <w:b/>
                <w:sz w:val="20"/>
                <w:szCs w:val="20"/>
              </w:rPr>
              <w:t>VP Costos (USD)</w:t>
            </w:r>
          </w:p>
        </w:tc>
        <w:tc>
          <w:tcPr>
            <w:tcW w:w="1559" w:type="dxa"/>
            <w:tcBorders>
              <w:top w:val="nil"/>
              <w:left w:val="nil"/>
              <w:bottom w:val="single" w:sz="4" w:space="0" w:color="auto"/>
              <w:right w:val="nil"/>
            </w:tcBorders>
            <w:shd w:val="clear" w:color="auto" w:fill="auto"/>
            <w:vAlign w:val="center"/>
            <w:hideMark/>
          </w:tcPr>
          <w:p w:rsidR="00A02C78" w:rsidRPr="00772933" w:rsidRDefault="00A02C78" w:rsidP="00772933">
            <w:pPr>
              <w:pStyle w:val="Entabla"/>
              <w:jc w:val="center"/>
              <w:rPr>
                <w:b/>
                <w:sz w:val="20"/>
                <w:szCs w:val="20"/>
              </w:rPr>
            </w:pPr>
            <w:r w:rsidRPr="00772933">
              <w:rPr>
                <w:b/>
                <w:sz w:val="20"/>
                <w:szCs w:val="20"/>
              </w:rPr>
              <w:t>VP Beneficios</w:t>
            </w:r>
          </w:p>
          <w:p w:rsidR="00A02C78" w:rsidRPr="00772933" w:rsidRDefault="00A02C78" w:rsidP="00772933">
            <w:pPr>
              <w:pStyle w:val="Entabla"/>
              <w:jc w:val="center"/>
              <w:rPr>
                <w:b/>
                <w:sz w:val="20"/>
                <w:szCs w:val="20"/>
              </w:rPr>
            </w:pPr>
            <w:r w:rsidRPr="00772933">
              <w:rPr>
                <w:b/>
                <w:sz w:val="20"/>
                <w:szCs w:val="20"/>
              </w:rPr>
              <w:t>(USD)</w:t>
            </w:r>
          </w:p>
        </w:tc>
        <w:tc>
          <w:tcPr>
            <w:tcW w:w="1560" w:type="dxa"/>
            <w:tcBorders>
              <w:top w:val="nil"/>
              <w:left w:val="nil"/>
              <w:bottom w:val="single" w:sz="4" w:space="0" w:color="auto"/>
              <w:right w:val="nil"/>
            </w:tcBorders>
            <w:shd w:val="clear" w:color="auto" w:fill="auto"/>
            <w:vAlign w:val="center"/>
            <w:hideMark/>
          </w:tcPr>
          <w:p w:rsidR="00A02C78" w:rsidRPr="00772933" w:rsidRDefault="00A02C78" w:rsidP="00772933">
            <w:pPr>
              <w:pStyle w:val="Entabla"/>
              <w:jc w:val="center"/>
              <w:rPr>
                <w:b/>
                <w:sz w:val="20"/>
                <w:szCs w:val="20"/>
              </w:rPr>
            </w:pPr>
            <w:r w:rsidRPr="00772933">
              <w:rPr>
                <w:b/>
                <w:sz w:val="20"/>
                <w:szCs w:val="20"/>
              </w:rPr>
              <w:t>Valor Presente Neto (USD)</w:t>
            </w:r>
          </w:p>
        </w:tc>
        <w:tc>
          <w:tcPr>
            <w:tcW w:w="1134" w:type="dxa"/>
            <w:tcBorders>
              <w:top w:val="nil"/>
              <w:left w:val="nil"/>
              <w:bottom w:val="single" w:sz="4" w:space="0" w:color="auto"/>
              <w:right w:val="nil"/>
            </w:tcBorders>
            <w:shd w:val="clear" w:color="auto" w:fill="auto"/>
            <w:vAlign w:val="center"/>
            <w:hideMark/>
          </w:tcPr>
          <w:p w:rsidR="00A02C78" w:rsidRPr="00772933" w:rsidRDefault="00A02C78" w:rsidP="00772933">
            <w:pPr>
              <w:pStyle w:val="Entabla"/>
              <w:jc w:val="center"/>
              <w:rPr>
                <w:b/>
                <w:sz w:val="20"/>
                <w:szCs w:val="20"/>
              </w:rPr>
            </w:pPr>
            <w:r w:rsidRPr="00772933">
              <w:rPr>
                <w:b/>
                <w:sz w:val="20"/>
                <w:szCs w:val="20"/>
              </w:rPr>
              <w:t>Razón Beneficio/Costo</w:t>
            </w:r>
          </w:p>
        </w:tc>
        <w:tc>
          <w:tcPr>
            <w:tcW w:w="850" w:type="dxa"/>
            <w:tcBorders>
              <w:top w:val="nil"/>
              <w:left w:val="nil"/>
              <w:bottom w:val="single" w:sz="4" w:space="0" w:color="auto"/>
              <w:right w:val="nil"/>
            </w:tcBorders>
            <w:shd w:val="clear" w:color="auto" w:fill="auto"/>
            <w:vAlign w:val="center"/>
          </w:tcPr>
          <w:p w:rsidR="00A02C78" w:rsidRPr="00772933" w:rsidRDefault="00A02C78" w:rsidP="00772933">
            <w:pPr>
              <w:pStyle w:val="Entabla"/>
              <w:jc w:val="center"/>
              <w:rPr>
                <w:b/>
                <w:sz w:val="20"/>
                <w:szCs w:val="20"/>
              </w:rPr>
            </w:pPr>
            <w:r w:rsidRPr="00772933">
              <w:rPr>
                <w:b/>
                <w:sz w:val="20"/>
                <w:szCs w:val="20"/>
              </w:rPr>
              <w:t>TIR</w:t>
            </w:r>
          </w:p>
          <w:p w:rsidR="00A02C78" w:rsidRPr="00772933" w:rsidRDefault="00A02C78" w:rsidP="00772933">
            <w:pPr>
              <w:pStyle w:val="Entabla"/>
              <w:jc w:val="center"/>
              <w:rPr>
                <w:b/>
                <w:sz w:val="20"/>
                <w:szCs w:val="20"/>
              </w:rPr>
            </w:pPr>
            <w:r w:rsidRPr="00772933">
              <w:rPr>
                <w:b/>
                <w:sz w:val="20"/>
                <w:szCs w:val="20"/>
              </w:rPr>
              <w:t>Social</w:t>
            </w:r>
          </w:p>
        </w:tc>
      </w:tr>
      <w:tr w:rsidR="00A02C78" w:rsidRPr="00772933" w:rsidTr="00772933">
        <w:trPr>
          <w:trHeight w:val="300"/>
        </w:trPr>
        <w:tc>
          <w:tcPr>
            <w:tcW w:w="1843"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r w:rsidRPr="00772933">
              <w:rPr>
                <w:b/>
                <w:sz w:val="20"/>
                <w:szCs w:val="20"/>
                <w:lang w:val="es-ES_tradnl"/>
              </w:rPr>
              <w:t>Escenario 1-Base</w:t>
            </w:r>
          </w:p>
        </w:tc>
        <w:tc>
          <w:tcPr>
            <w:tcW w:w="1701"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559"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560"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134" w:type="dxa"/>
            <w:tcBorders>
              <w:top w:val="nil"/>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850" w:type="dxa"/>
            <w:tcBorders>
              <w:top w:val="nil"/>
              <w:left w:val="nil"/>
              <w:bottom w:val="single" w:sz="4" w:space="0" w:color="auto"/>
              <w:right w:val="nil"/>
            </w:tcBorders>
            <w:shd w:val="clear" w:color="auto" w:fill="auto"/>
          </w:tcPr>
          <w:p w:rsidR="00A02C78" w:rsidRPr="00772933" w:rsidRDefault="00A02C78" w:rsidP="00772933">
            <w:pPr>
              <w:pStyle w:val="Entabla"/>
              <w:jc w:val="center"/>
              <w:rPr>
                <w:b/>
                <w:sz w:val="20"/>
                <w:szCs w:val="20"/>
                <w:lang w:val="es-ES_tradnl"/>
              </w:rPr>
            </w:pPr>
          </w:p>
        </w:tc>
      </w:tr>
      <w:tr w:rsidR="00A02C78" w:rsidRPr="00772933" w:rsidTr="00772933">
        <w:trPr>
          <w:trHeight w:val="300"/>
        </w:trPr>
        <w:tc>
          <w:tcPr>
            <w:tcW w:w="1843"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Total</w:t>
            </w:r>
          </w:p>
        </w:tc>
        <w:tc>
          <w:tcPr>
            <w:tcW w:w="1701"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26.646.506</w:t>
            </w:r>
          </w:p>
        </w:tc>
        <w:tc>
          <w:tcPr>
            <w:tcW w:w="1559"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36.752.973</w:t>
            </w:r>
          </w:p>
        </w:tc>
        <w:tc>
          <w:tcPr>
            <w:tcW w:w="1560"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10.106.467</w:t>
            </w:r>
          </w:p>
        </w:tc>
        <w:tc>
          <w:tcPr>
            <w:tcW w:w="1134"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1,38</w:t>
            </w:r>
          </w:p>
        </w:tc>
        <w:tc>
          <w:tcPr>
            <w:tcW w:w="850" w:type="dxa"/>
            <w:tcBorders>
              <w:top w:val="nil"/>
              <w:left w:val="nil"/>
              <w:bottom w:val="nil"/>
              <w:right w:val="nil"/>
            </w:tcBorders>
            <w:shd w:val="clear" w:color="auto" w:fill="auto"/>
            <w:vAlign w:val="center"/>
          </w:tcPr>
          <w:p w:rsidR="00A02C78" w:rsidRPr="00772933" w:rsidRDefault="00A02C78" w:rsidP="00772933">
            <w:pPr>
              <w:pStyle w:val="Entabla"/>
              <w:jc w:val="center"/>
              <w:rPr>
                <w:sz w:val="20"/>
                <w:szCs w:val="20"/>
              </w:rPr>
            </w:pPr>
            <w:r w:rsidRPr="00772933">
              <w:rPr>
                <w:sz w:val="20"/>
                <w:szCs w:val="20"/>
              </w:rPr>
              <w:t>33%</w:t>
            </w:r>
          </w:p>
        </w:tc>
      </w:tr>
      <w:tr w:rsidR="00A02C78" w:rsidRPr="00772933" w:rsidTr="00772933">
        <w:trPr>
          <w:trHeight w:val="300"/>
        </w:trPr>
        <w:tc>
          <w:tcPr>
            <w:tcW w:w="1843" w:type="dxa"/>
            <w:tcBorders>
              <w:top w:val="single" w:sz="4" w:space="0" w:color="auto"/>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r w:rsidRPr="00772933">
              <w:rPr>
                <w:b/>
                <w:sz w:val="20"/>
                <w:szCs w:val="20"/>
                <w:lang w:val="es-ES_tradnl"/>
              </w:rPr>
              <w:t>Escenario 2-Ultra Conservador</w:t>
            </w:r>
          </w:p>
        </w:tc>
        <w:tc>
          <w:tcPr>
            <w:tcW w:w="1701" w:type="dxa"/>
            <w:tcBorders>
              <w:top w:val="single" w:sz="4" w:space="0" w:color="auto"/>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559" w:type="dxa"/>
            <w:tcBorders>
              <w:top w:val="single" w:sz="4" w:space="0" w:color="auto"/>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560" w:type="dxa"/>
            <w:tcBorders>
              <w:top w:val="single" w:sz="4" w:space="0" w:color="auto"/>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1134" w:type="dxa"/>
            <w:tcBorders>
              <w:top w:val="single" w:sz="4" w:space="0" w:color="auto"/>
              <w:left w:val="nil"/>
              <w:bottom w:val="single" w:sz="4" w:space="0" w:color="auto"/>
              <w:right w:val="nil"/>
            </w:tcBorders>
            <w:shd w:val="clear" w:color="auto" w:fill="auto"/>
            <w:noWrap/>
            <w:vAlign w:val="center"/>
            <w:hideMark/>
          </w:tcPr>
          <w:p w:rsidR="00A02C78" w:rsidRPr="00772933" w:rsidRDefault="00A02C78" w:rsidP="00772933">
            <w:pPr>
              <w:pStyle w:val="Entabla"/>
              <w:jc w:val="center"/>
              <w:rPr>
                <w:b/>
                <w:sz w:val="20"/>
                <w:szCs w:val="20"/>
                <w:lang w:val="es-ES_tradnl"/>
              </w:rPr>
            </w:pPr>
          </w:p>
        </w:tc>
        <w:tc>
          <w:tcPr>
            <w:tcW w:w="850" w:type="dxa"/>
            <w:tcBorders>
              <w:top w:val="single" w:sz="4" w:space="0" w:color="auto"/>
              <w:left w:val="nil"/>
              <w:bottom w:val="single" w:sz="4" w:space="0" w:color="auto"/>
              <w:right w:val="nil"/>
            </w:tcBorders>
            <w:shd w:val="clear" w:color="auto" w:fill="auto"/>
          </w:tcPr>
          <w:p w:rsidR="00A02C78" w:rsidRPr="00772933" w:rsidRDefault="00A02C78" w:rsidP="00772933">
            <w:pPr>
              <w:pStyle w:val="Entabla"/>
              <w:jc w:val="center"/>
              <w:rPr>
                <w:b/>
                <w:sz w:val="20"/>
                <w:szCs w:val="20"/>
                <w:lang w:val="es-ES_tradnl"/>
              </w:rPr>
            </w:pPr>
          </w:p>
        </w:tc>
      </w:tr>
      <w:tr w:rsidR="00A02C78" w:rsidRPr="00772933" w:rsidTr="00772933">
        <w:trPr>
          <w:trHeight w:val="300"/>
        </w:trPr>
        <w:tc>
          <w:tcPr>
            <w:tcW w:w="1843"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Total</w:t>
            </w:r>
          </w:p>
        </w:tc>
        <w:tc>
          <w:tcPr>
            <w:tcW w:w="1701"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26.646.506</w:t>
            </w:r>
          </w:p>
        </w:tc>
        <w:tc>
          <w:tcPr>
            <w:tcW w:w="1559"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27.932.259</w:t>
            </w:r>
          </w:p>
        </w:tc>
        <w:tc>
          <w:tcPr>
            <w:tcW w:w="1560"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1.285.754</w:t>
            </w:r>
          </w:p>
        </w:tc>
        <w:tc>
          <w:tcPr>
            <w:tcW w:w="1134"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1,05</w:t>
            </w:r>
          </w:p>
        </w:tc>
        <w:tc>
          <w:tcPr>
            <w:tcW w:w="850" w:type="dxa"/>
            <w:tcBorders>
              <w:top w:val="nil"/>
              <w:left w:val="nil"/>
              <w:bottom w:val="nil"/>
              <w:right w:val="nil"/>
            </w:tcBorders>
            <w:shd w:val="clear" w:color="auto" w:fill="auto"/>
            <w:vAlign w:val="center"/>
          </w:tcPr>
          <w:p w:rsidR="00A02C78" w:rsidRPr="00772933" w:rsidRDefault="00A02C78" w:rsidP="00772933">
            <w:pPr>
              <w:pStyle w:val="Entabla"/>
              <w:jc w:val="center"/>
              <w:rPr>
                <w:sz w:val="20"/>
                <w:szCs w:val="20"/>
              </w:rPr>
            </w:pPr>
            <w:r w:rsidRPr="00772933">
              <w:rPr>
                <w:sz w:val="20"/>
                <w:szCs w:val="20"/>
              </w:rPr>
              <w:t>15%</w:t>
            </w:r>
          </w:p>
        </w:tc>
      </w:tr>
      <w:tr w:rsidR="00A02C78" w:rsidRPr="00772933" w:rsidTr="00772933">
        <w:trPr>
          <w:trHeight w:val="287"/>
        </w:trPr>
        <w:tc>
          <w:tcPr>
            <w:tcW w:w="1843" w:type="dxa"/>
            <w:tcBorders>
              <w:top w:val="single" w:sz="4" w:space="0" w:color="auto"/>
              <w:left w:val="nil"/>
              <w:bottom w:val="single" w:sz="4" w:space="0" w:color="auto"/>
              <w:right w:val="nil"/>
            </w:tcBorders>
            <w:shd w:val="clear" w:color="auto" w:fill="auto"/>
            <w:vAlign w:val="center"/>
          </w:tcPr>
          <w:p w:rsidR="00A02C78" w:rsidRPr="00772933" w:rsidRDefault="00A02C78" w:rsidP="00772933">
            <w:pPr>
              <w:pStyle w:val="Entabla"/>
              <w:jc w:val="center"/>
              <w:rPr>
                <w:b/>
                <w:sz w:val="20"/>
                <w:szCs w:val="20"/>
                <w:lang w:val="es-ES_tradnl"/>
              </w:rPr>
            </w:pPr>
            <w:r w:rsidRPr="00772933">
              <w:rPr>
                <w:b/>
                <w:sz w:val="20"/>
                <w:szCs w:val="20"/>
                <w:lang w:val="es-ES_tradnl"/>
              </w:rPr>
              <w:t>Escenario 3-Conservador</w:t>
            </w:r>
          </w:p>
        </w:tc>
        <w:tc>
          <w:tcPr>
            <w:tcW w:w="1701"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59"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60"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134"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850" w:type="dxa"/>
            <w:tcBorders>
              <w:top w:val="single" w:sz="4" w:space="0" w:color="auto"/>
              <w:left w:val="nil"/>
              <w:bottom w:val="single" w:sz="4" w:space="0" w:color="auto"/>
              <w:right w:val="nil"/>
            </w:tcBorders>
            <w:shd w:val="clear" w:color="auto" w:fill="auto"/>
          </w:tcPr>
          <w:p w:rsidR="00A02C78" w:rsidRPr="00772933" w:rsidRDefault="00A02C78" w:rsidP="00772933">
            <w:pPr>
              <w:pStyle w:val="Entabla"/>
              <w:jc w:val="center"/>
              <w:rPr>
                <w:b/>
                <w:sz w:val="20"/>
                <w:szCs w:val="20"/>
                <w:lang w:val="es-ES_tradnl"/>
              </w:rPr>
            </w:pPr>
          </w:p>
        </w:tc>
      </w:tr>
      <w:tr w:rsidR="00A02C78" w:rsidRPr="00772933" w:rsidTr="00772933">
        <w:trPr>
          <w:trHeight w:val="300"/>
        </w:trPr>
        <w:tc>
          <w:tcPr>
            <w:tcW w:w="1843" w:type="dxa"/>
            <w:tcBorders>
              <w:top w:val="nil"/>
              <w:left w:val="nil"/>
              <w:bottom w:val="single" w:sz="4" w:space="0" w:color="auto"/>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Total</w:t>
            </w:r>
          </w:p>
        </w:tc>
        <w:tc>
          <w:tcPr>
            <w:tcW w:w="1701" w:type="dxa"/>
            <w:tcBorders>
              <w:top w:val="nil"/>
              <w:left w:val="nil"/>
              <w:bottom w:val="single" w:sz="4" w:space="0" w:color="auto"/>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26.646.506</w:t>
            </w:r>
          </w:p>
        </w:tc>
        <w:tc>
          <w:tcPr>
            <w:tcW w:w="1559" w:type="dxa"/>
            <w:tcBorders>
              <w:top w:val="nil"/>
              <w:left w:val="nil"/>
              <w:bottom w:val="single" w:sz="4" w:space="0" w:color="auto"/>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30.872.497</w:t>
            </w:r>
          </w:p>
        </w:tc>
        <w:tc>
          <w:tcPr>
            <w:tcW w:w="1560" w:type="dxa"/>
            <w:tcBorders>
              <w:top w:val="nil"/>
              <w:left w:val="nil"/>
              <w:bottom w:val="single" w:sz="4" w:space="0" w:color="auto"/>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4.225.991</w:t>
            </w:r>
          </w:p>
        </w:tc>
        <w:tc>
          <w:tcPr>
            <w:tcW w:w="1134" w:type="dxa"/>
            <w:tcBorders>
              <w:top w:val="nil"/>
              <w:left w:val="nil"/>
              <w:bottom w:val="single" w:sz="4" w:space="0" w:color="auto"/>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1,16</w:t>
            </w:r>
          </w:p>
        </w:tc>
        <w:tc>
          <w:tcPr>
            <w:tcW w:w="850" w:type="dxa"/>
            <w:tcBorders>
              <w:top w:val="nil"/>
              <w:left w:val="nil"/>
              <w:bottom w:val="single" w:sz="4" w:space="0" w:color="auto"/>
              <w:right w:val="nil"/>
            </w:tcBorders>
            <w:shd w:val="clear" w:color="auto" w:fill="auto"/>
            <w:vAlign w:val="center"/>
          </w:tcPr>
          <w:p w:rsidR="00A02C78" w:rsidRPr="00772933" w:rsidRDefault="00A02C78" w:rsidP="00772933">
            <w:pPr>
              <w:pStyle w:val="Entabla"/>
              <w:jc w:val="center"/>
              <w:rPr>
                <w:sz w:val="20"/>
                <w:szCs w:val="20"/>
              </w:rPr>
            </w:pPr>
            <w:r w:rsidRPr="00772933">
              <w:rPr>
                <w:sz w:val="20"/>
                <w:szCs w:val="20"/>
              </w:rPr>
              <w:t>22%</w:t>
            </w:r>
          </w:p>
        </w:tc>
      </w:tr>
      <w:tr w:rsidR="00A02C78" w:rsidRPr="00772933" w:rsidTr="00772933">
        <w:trPr>
          <w:trHeight w:val="300"/>
        </w:trPr>
        <w:tc>
          <w:tcPr>
            <w:tcW w:w="1843"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r w:rsidRPr="00772933">
              <w:rPr>
                <w:b/>
                <w:sz w:val="20"/>
                <w:szCs w:val="20"/>
                <w:lang w:val="es-ES_tradnl"/>
              </w:rPr>
              <w:t>Escenario 4-Optimista</w:t>
            </w:r>
          </w:p>
        </w:tc>
        <w:tc>
          <w:tcPr>
            <w:tcW w:w="1701"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59"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60"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134"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850" w:type="dxa"/>
            <w:tcBorders>
              <w:top w:val="single" w:sz="4" w:space="0" w:color="auto"/>
              <w:left w:val="nil"/>
              <w:bottom w:val="single" w:sz="4" w:space="0" w:color="auto"/>
              <w:right w:val="nil"/>
            </w:tcBorders>
            <w:shd w:val="clear" w:color="auto" w:fill="auto"/>
          </w:tcPr>
          <w:p w:rsidR="00A02C78" w:rsidRPr="00772933" w:rsidRDefault="00A02C78" w:rsidP="00772933">
            <w:pPr>
              <w:pStyle w:val="Entabla"/>
              <w:jc w:val="center"/>
              <w:rPr>
                <w:b/>
                <w:sz w:val="20"/>
                <w:szCs w:val="20"/>
                <w:lang w:val="es-ES_tradnl"/>
              </w:rPr>
            </w:pPr>
          </w:p>
        </w:tc>
      </w:tr>
      <w:tr w:rsidR="00A02C78" w:rsidRPr="00772933" w:rsidTr="00772933">
        <w:trPr>
          <w:trHeight w:val="300"/>
        </w:trPr>
        <w:tc>
          <w:tcPr>
            <w:tcW w:w="1843" w:type="dxa"/>
            <w:tcBorders>
              <w:top w:val="single" w:sz="4" w:space="0" w:color="auto"/>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Total</w:t>
            </w:r>
          </w:p>
        </w:tc>
        <w:tc>
          <w:tcPr>
            <w:tcW w:w="1701" w:type="dxa"/>
            <w:tcBorders>
              <w:top w:val="single" w:sz="4" w:space="0" w:color="auto"/>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26.646.506</w:t>
            </w:r>
          </w:p>
        </w:tc>
        <w:tc>
          <w:tcPr>
            <w:tcW w:w="1559" w:type="dxa"/>
            <w:tcBorders>
              <w:top w:val="single" w:sz="4" w:space="0" w:color="auto"/>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44.103.567</w:t>
            </w:r>
          </w:p>
        </w:tc>
        <w:tc>
          <w:tcPr>
            <w:tcW w:w="1560" w:type="dxa"/>
            <w:tcBorders>
              <w:top w:val="single" w:sz="4" w:space="0" w:color="auto"/>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17.457.062</w:t>
            </w:r>
          </w:p>
        </w:tc>
        <w:tc>
          <w:tcPr>
            <w:tcW w:w="1134" w:type="dxa"/>
            <w:tcBorders>
              <w:top w:val="single" w:sz="4" w:space="0" w:color="auto"/>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1,66</w:t>
            </w:r>
          </w:p>
        </w:tc>
        <w:tc>
          <w:tcPr>
            <w:tcW w:w="850" w:type="dxa"/>
            <w:tcBorders>
              <w:top w:val="single" w:sz="4" w:space="0" w:color="auto"/>
              <w:left w:val="nil"/>
              <w:bottom w:val="nil"/>
              <w:right w:val="nil"/>
            </w:tcBorders>
            <w:shd w:val="clear" w:color="auto" w:fill="auto"/>
            <w:vAlign w:val="center"/>
          </w:tcPr>
          <w:p w:rsidR="00A02C78" w:rsidRPr="00772933" w:rsidRDefault="00A02C78" w:rsidP="00772933">
            <w:pPr>
              <w:pStyle w:val="Entabla"/>
              <w:jc w:val="center"/>
              <w:rPr>
                <w:sz w:val="20"/>
                <w:szCs w:val="20"/>
              </w:rPr>
            </w:pPr>
            <w:r w:rsidRPr="00772933">
              <w:rPr>
                <w:sz w:val="20"/>
                <w:szCs w:val="20"/>
              </w:rPr>
              <w:t>47%</w:t>
            </w:r>
          </w:p>
        </w:tc>
      </w:tr>
      <w:tr w:rsidR="00A02C78" w:rsidRPr="00772933" w:rsidTr="00772933">
        <w:trPr>
          <w:trHeight w:val="287"/>
        </w:trPr>
        <w:tc>
          <w:tcPr>
            <w:tcW w:w="1843" w:type="dxa"/>
            <w:tcBorders>
              <w:top w:val="single" w:sz="4" w:space="0" w:color="auto"/>
              <w:left w:val="nil"/>
              <w:bottom w:val="single" w:sz="4" w:space="0" w:color="auto"/>
              <w:right w:val="nil"/>
            </w:tcBorders>
            <w:shd w:val="clear" w:color="auto" w:fill="auto"/>
            <w:vAlign w:val="center"/>
          </w:tcPr>
          <w:p w:rsidR="00A02C78" w:rsidRPr="00772933" w:rsidRDefault="00A02C78" w:rsidP="00772933">
            <w:pPr>
              <w:pStyle w:val="Entabla"/>
              <w:jc w:val="center"/>
              <w:rPr>
                <w:b/>
                <w:sz w:val="20"/>
                <w:szCs w:val="20"/>
                <w:lang w:val="es-ES_tradnl"/>
              </w:rPr>
            </w:pPr>
            <w:r w:rsidRPr="00772933">
              <w:rPr>
                <w:b/>
                <w:sz w:val="20"/>
                <w:szCs w:val="20"/>
                <w:lang w:val="es-ES_tradnl"/>
              </w:rPr>
              <w:t>Escenario De Rentabilidad Mínima</w:t>
            </w:r>
          </w:p>
        </w:tc>
        <w:tc>
          <w:tcPr>
            <w:tcW w:w="1701"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59"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560"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1134" w:type="dxa"/>
            <w:tcBorders>
              <w:top w:val="single" w:sz="4" w:space="0" w:color="auto"/>
              <w:left w:val="nil"/>
              <w:bottom w:val="single" w:sz="4" w:space="0" w:color="auto"/>
              <w:right w:val="nil"/>
            </w:tcBorders>
            <w:shd w:val="clear" w:color="auto" w:fill="auto"/>
            <w:noWrap/>
            <w:vAlign w:val="center"/>
          </w:tcPr>
          <w:p w:rsidR="00A02C78" w:rsidRPr="00772933" w:rsidRDefault="00A02C78" w:rsidP="00772933">
            <w:pPr>
              <w:pStyle w:val="Entabla"/>
              <w:jc w:val="center"/>
              <w:rPr>
                <w:b/>
                <w:sz w:val="20"/>
                <w:szCs w:val="20"/>
                <w:lang w:val="es-ES_tradnl"/>
              </w:rPr>
            </w:pPr>
          </w:p>
        </w:tc>
        <w:tc>
          <w:tcPr>
            <w:tcW w:w="850" w:type="dxa"/>
            <w:tcBorders>
              <w:top w:val="single" w:sz="4" w:space="0" w:color="auto"/>
              <w:left w:val="nil"/>
              <w:bottom w:val="single" w:sz="4" w:space="0" w:color="auto"/>
              <w:right w:val="nil"/>
            </w:tcBorders>
            <w:shd w:val="clear" w:color="auto" w:fill="auto"/>
          </w:tcPr>
          <w:p w:rsidR="00A02C78" w:rsidRPr="00772933" w:rsidRDefault="00A02C78" w:rsidP="00772933">
            <w:pPr>
              <w:pStyle w:val="Entabla"/>
              <w:jc w:val="center"/>
              <w:rPr>
                <w:b/>
                <w:sz w:val="20"/>
                <w:szCs w:val="20"/>
                <w:lang w:val="es-ES_tradnl"/>
              </w:rPr>
            </w:pPr>
          </w:p>
        </w:tc>
      </w:tr>
      <w:tr w:rsidR="00A02C78" w:rsidRPr="00772933" w:rsidTr="00772933">
        <w:trPr>
          <w:trHeight w:val="300"/>
        </w:trPr>
        <w:tc>
          <w:tcPr>
            <w:tcW w:w="1843"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Total</w:t>
            </w:r>
          </w:p>
        </w:tc>
        <w:tc>
          <w:tcPr>
            <w:tcW w:w="1701"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26.646.506</w:t>
            </w:r>
          </w:p>
        </w:tc>
        <w:tc>
          <w:tcPr>
            <w:tcW w:w="1559"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26.756.164</w:t>
            </w:r>
          </w:p>
        </w:tc>
        <w:tc>
          <w:tcPr>
            <w:tcW w:w="1560"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109.659</w:t>
            </w:r>
          </w:p>
        </w:tc>
        <w:tc>
          <w:tcPr>
            <w:tcW w:w="1134" w:type="dxa"/>
            <w:tcBorders>
              <w:top w:val="nil"/>
              <w:left w:val="nil"/>
              <w:bottom w:val="nil"/>
              <w:right w:val="nil"/>
            </w:tcBorders>
            <w:shd w:val="clear" w:color="auto" w:fill="auto"/>
            <w:noWrap/>
            <w:vAlign w:val="center"/>
          </w:tcPr>
          <w:p w:rsidR="00A02C78" w:rsidRPr="00772933" w:rsidRDefault="00A02C78" w:rsidP="00772933">
            <w:pPr>
              <w:pStyle w:val="Entabla"/>
              <w:jc w:val="center"/>
              <w:rPr>
                <w:sz w:val="20"/>
                <w:szCs w:val="20"/>
              </w:rPr>
            </w:pPr>
            <w:r w:rsidRPr="00772933">
              <w:rPr>
                <w:sz w:val="20"/>
                <w:szCs w:val="20"/>
              </w:rPr>
              <w:t>1,00</w:t>
            </w:r>
          </w:p>
        </w:tc>
        <w:tc>
          <w:tcPr>
            <w:tcW w:w="850" w:type="dxa"/>
            <w:tcBorders>
              <w:top w:val="nil"/>
              <w:left w:val="nil"/>
              <w:bottom w:val="nil"/>
              <w:right w:val="nil"/>
            </w:tcBorders>
            <w:shd w:val="clear" w:color="auto" w:fill="auto"/>
            <w:vAlign w:val="center"/>
          </w:tcPr>
          <w:p w:rsidR="00A02C78" w:rsidRPr="00772933" w:rsidRDefault="00A02C78" w:rsidP="00772933">
            <w:pPr>
              <w:pStyle w:val="Entabla"/>
              <w:jc w:val="center"/>
              <w:rPr>
                <w:sz w:val="20"/>
                <w:szCs w:val="20"/>
              </w:rPr>
            </w:pPr>
            <w:r w:rsidRPr="00772933">
              <w:rPr>
                <w:sz w:val="20"/>
                <w:szCs w:val="20"/>
              </w:rPr>
              <w:t>12%</w:t>
            </w:r>
          </w:p>
        </w:tc>
      </w:tr>
      <w:tr w:rsidR="00A02C78" w:rsidRPr="00207204" w:rsidTr="00772933">
        <w:trPr>
          <w:trHeight w:val="300"/>
        </w:trPr>
        <w:tc>
          <w:tcPr>
            <w:tcW w:w="1843" w:type="dxa"/>
            <w:tcBorders>
              <w:top w:val="nil"/>
              <w:left w:val="nil"/>
              <w:bottom w:val="nil"/>
              <w:right w:val="nil"/>
            </w:tcBorders>
            <w:shd w:val="clear" w:color="auto" w:fill="auto"/>
            <w:noWrap/>
            <w:vAlign w:val="center"/>
          </w:tcPr>
          <w:p w:rsidR="00A02C78" w:rsidRPr="007E6104" w:rsidRDefault="00A02C78" w:rsidP="00BE32C2">
            <w:pPr>
              <w:pStyle w:val="Entabla"/>
            </w:pPr>
          </w:p>
        </w:tc>
        <w:tc>
          <w:tcPr>
            <w:tcW w:w="1701" w:type="dxa"/>
            <w:tcBorders>
              <w:top w:val="nil"/>
              <w:left w:val="nil"/>
              <w:bottom w:val="nil"/>
              <w:right w:val="nil"/>
            </w:tcBorders>
            <w:shd w:val="clear" w:color="auto" w:fill="auto"/>
            <w:noWrap/>
            <w:vAlign w:val="center"/>
          </w:tcPr>
          <w:p w:rsidR="00A02C78" w:rsidRPr="00A02B1D" w:rsidRDefault="00A02C78" w:rsidP="00BE32C2">
            <w:pPr>
              <w:pStyle w:val="Entabla"/>
            </w:pPr>
          </w:p>
        </w:tc>
        <w:tc>
          <w:tcPr>
            <w:tcW w:w="1559" w:type="dxa"/>
            <w:tcBorders>
              <w:top w:val="nil"/>
              <w:left w:val="nil"/>
              <w:bottom w:val="nil"/>
              <w:right w:val="nil"/>
            </w:tcBorders>
            <w:shd w:val="clear" w:color="auto" w:fill="auto"/>
            <w:noWrap/>
            <w:vAlign w:val="center"/>
          </w:tcPr>
          <w:p w:rsidR="00A02C78" w:rsidRPr="000C0E70" w:rsidRDefault="00A02C78" w:rsidP="00BE32C2">
            <w:pPr>
              <w:pStyle w:val="Entabla"/>
            </w:pPr>
          </w:p>
        </w:tc>
        <w:tc>
          <w:tcPr>
            <w:tcW w:w="1560" w:type="dxa"/>
            <w:tcBorders>
              <w:top w:val="nil"/>
              <w:left w:val="nil"/>
              <w:bottom w:val="nil"/>
              <w:right w:val="nil"/>
            </w:tcBorders>
            <w:shd w:val="clear" w:color="auto" w:fill="auto"/>
            <w:noWrap/>
            <w:vAlign w:val="center"/>
          </w:tcPr>
          <w:p w:rsidR="00A02C78" w:rsidRPr="00B3481C" w:rsidRDefault="00A02C78" w:rsidP="00BE32C2">
            <w:pPr>
              <w:pStyle w:val="Entabla"/>
            </w:pPr>
          </w:p>
        </w:tc>
        <w:tc>
          <w:tcPr>
            <w:tcW w:w="1134" w:type="dxa"/>
            <w:tcBorders>
              <w:top w:val="nil"/>
              <w:left w:val="nil"/>
              <w:bottom w:val="nil"/>
              <w:right w:val="nil"/>
            </w:tcBorders>
            <w:shd w:val="clear" w:color="auto" w:fill="auto"/>
            <w:noWrap/>
            <w:vAlign w:val="center"/>
          </w:tcPr>
          <w:p w:rsidR="00A02C78" w:rsidRDefault="00A02C78" w:rsidP="00BE32C2">
            <w:pPr>
              <w:pStyle w:val="Entabla"/>
            </w:pPr>
          </w:p>
        </w:tc>
        <w:tc>
          <w:tcPr>
            <w:tcW w:w="850" w:type="dxa"/>
            <w:tcBorders>
              <w:top w:val="nil"/>
              <w:left w:val="nil"/>
              <w:bottom w:val="nil"/>
              <w:right w:val="nil"/>
            </w:tcBorders>
            <w:shd w:val="clear" w:color="auto" w:fill="auto"/>
            <w:vAlign w:val="center"/>
          </w:tcPr>
          <w:p w:rsidR="00A02C78" w:rsidRPr="000C0E70" w:rsidRDefault="00A02C78" w:rsidP="00BE32C2">
            <w:pPr>
              <w:pStyle w:val="Entabla"/>
            </w:pPr>
          </w:p>
        </w:tc>
      </w:tr>
    </w:tbl>
    <w:p w:rsidR="00A02C78" w:rsidRDefault="00A02C78" w:rsidP="00772933">
      <w:pPr>
        <w:pStyle w:val="Paragraph"/>
      </w:pPr>
      <w:r>
        <w:t xml:space="preserve">En el escenario base, la relación costo beneficio para el Programa resulta ser de 1,10. Esto significa que se espera recuperar 1,38 dólares por cada dólar invertido en el proyecto. La TIR social resulta ser del 33%. En este escenario se asume una reducción de las irregularidades del 2,5%. </w:t>
      </w:r>
    </w:p>
    <w:p w:rsidR="00A02C78" w:rsidRPr="00CC3953" w:rsidRDefault="00772933" w:rsidP="00772933">
      <w:pPr>
        <w:pStyle w:val="FirstHeading"/>
      </w:pPr>
      <w:r>
        <w:t>A.</w:t>
      </w:r>
      <w:r>
        <w:tab/>
      </w:r>
      <w:r w:rsidR="00A02C78" w:rsidRPr="00CC3953">
        <w:t xml:space="preserve">Escenario </w:t>
      </w:r>
      <w:r w:rsidR="00A02C78">
        <w:t>Ultra-</w:t>
      </w:r>
      <w:r w:rsidR="00A02C78" w:rsidRPr="00CC3953">
        <w:t>Conservador</w:t>
      </w:r>
    </w:p>
    <w:p w:rsidR="00A02C78" w:rsidRDefault="00A02C78" w:rsidP="00772933">
      <w:pPr>
        <w:pStyle w:val="Paragraph"/>
      </w:pPr>
      <w:r w:rsidRPr="00F50CE0">
        <w:t xml:space="preserve">En el escenario más conservador, donde </w:t>
      </w:r>
      <w:r>
        <w:t>la reducción de las irregularidades es del 1,9%</w:t>
      </w:r>
      <w:r w:rsidRPr="00F50CE0">
        <w:t>,</w:t>
      </w:r>
      <w:r>
        <w:t xml:space="preserve"> la</w:t>
      </w:r>
      <w:r w:rsidRPr="00F50CE0">
        <w:t xml:space="preserve"> TIR social </w:t>
      </w:r>
      <w:r>
        <w:t xml:space="preserve">del Programa resulta ser </w:t>
      </w:r>
      <w:r w:rsidRPr="00F50CE0">
        <w:t>del 1</w:t>
      </w:r>
      <w:r>
        <w:t>5</w:t>
      </w:r>
      <w:r w:rsidRPr="00F50CE0">
        <w:t>%.</w:t>
      </w:r>
      <w:r>
        <w:t xml:space="preserve"> En este escenario desfavorable, la relación costo beneficio asciende a 1,05, por lo que se espera recuperar 1,05 dólares por cada uno invertido en el proyecto, en consecuencia el programa sigue siendo rentable. </w:t>
      </w:r>
    </w:p>
    <w:p w:rsidR="00A02C78" w:rsidRPr="00F50CE0" w:rsidRDefault="00A02C78" w:rsidP="00772933">
      <w:pPr>
        <w:pStyle w:val="Paragraph"/>
        <w:numPr>
          <w:ilvl w:val="2"/>
          <w:numId w:val="14"/>
        </w:numPr>
        <w:tabs>
          <w:tab w:val="clear" w:pos="2340"/>
          <w:tab w:val="num" w:pos="720"/>
        </w:tabs>
        <w:spacing w:before="0" w:after="0" w:line="480" w:lineRule="auto"/>
        <w:ind w:hanging="2340"/>
        <w:rPr>
          <w:b/>
          <w:szCs w:val="24"/>
        </w:rPr>
      </w:pPr>
      <w:r w:rsidRPr="00F50CE0">
        <w:rPr>
          <w:b/>
          <w:szCs w:val="24"/>
        </w:rPr>
        <w:t xml:space="preserve">Escenario </w:t>
      </w:r>
      <w:r>
        <w:rPr>
          <w:b/>
          <w:szCs w:val="24"/>
        </w:rPr>
        <w:t>Conservador</w:t>
      </w:r>
    </w:p>
    <w:p w:rsidR="00A02C78" w:rsidRDefault="00A02C78" w:rsidP="00772933">
      <w:pPr>
        <w:pStyle w:val="Paragraph"/>
      </w:pPr>
      <w:r>
        <w:t xml:space="preserve">En un escenario moderadamente conservador, </w:t>
      </w:r>
      <w:r w:rsidRPr="00A32B3D">
        <w:t xml:space="preserve">donde </w:t>
      </w:r>
      <w:r>
        <w:t xml:space="preserve">la reducción de las irregularidades es del 2,1%, se obtiene una TIR social del 22%, con una razón costo beneficio de 1,16. </w:t>
      </w:r>
    </w:p>
    <w:p w:rsidR="00772933" w:rsidRDefault="00772933" w:rsidP="00772933">
      <w:pPr>
        <w:pStyle w:val="Paragraph"/>
        <w:numPr>
          <w:ilvl w:val="0"/>
          <w:numId w:val="0"/>
        </w:numPr>
        <w:ind w:left="720"/>
      </w:pPr>
    </w:p>
    <w:p w:rsidR="00A02C78" w:rsidRDefault="00A02C78" w:rsidP="00772933">
      <w:pPr>
        <w:pStyle w:val="Paragraph"/>
        <w:numPr>
          <w:ilvl w:val="2"/>
          <w:numId w:val="14"/>
        </w:numPr>
        <w:tabs>
          <w:tab w:val="clear" w:pos="2340"/>
          <w:tab w:val="num" w:pos="720"/>
        </w:tabs>
        <w:spacing w:after="0" w:line="480" w:lineRule="auto"/>
        <w:ind w:hanging="2340"/>
        <w:rPr>
          <w:b/>
          <w:szCs w:val="24"/>
        </w:rPr>
      </w:pPr>
      <w:r w:rsidRPr="00CA6182">
        <w:rPr>
          <w:b/>
          <w:szCs w:val="24"/>
        </w:rPr>
        <w:t>Escenario Optimista</w:t>
      </w:r>
    </w:p>
    <w:p w:rsidR="00A02C78" w:rsidRPr="00CA6182" w:rsidRDefault="00A02C78" w:rsidP="00772933">
      <w:pPr>
        <w:pStyle w:val="Paragraph"/>
        <w:spacing w:after="240"/>
        <w:rPr>
          <w:b/>
        </w:rPr>
      </w:pPr>
      <w:r w:rsidRPr="00CA6182">
        <w:t xml:space="preserve">En un escenario </w:t>
      </w:r>
      <w:r>
        <w:t>optimista</w:t>
      </w:r>
      <w:r w:rsidRPr="00CA6182">
        <w:t xml:space="preserve">, donde la reducción de las irregularidades es del </w:t>
      </w:r>
      <w:r>
        <w:t>3</w:t>
      </w:r>
      <w:r w:rsidRPr="00CA6182">
        <w:t xml:space="preserve">%, se obtiene una TIR social del </w:t>
      </w:r>
      <w:r>
        <w:t>47</w:t>
      </w:r>
      <w:r w:rsidRPr="00CA6182">
        <w:t>%, con una razón costo beneficio de 1,</w:t>
      </w:r>
      <w:r>
        <w:t>6</w:t>
      </w:r>
      <w:r w:rsidRPr="00CA6182">
        <w:t>6.</w:t>
      </w:r>
    </w:p>
    <w:p w:rsidR="00A02C78" w:rsidRPr="00487425" w:rsidRDefault="00A02C78" w:rsidP="00772933">
      <w:pPr>
        <w:pStyle w:val="Paragraph"/>
        <w:numPr>
          <w:ilvl w:val="2"/>
          <w:numId w:val="14"/>
        </w:numPr>
        <w:tabs>
          <w:tab w:val="clear" w:pos="2340"/>
          <w:tab w:val="num" w:pos="720"/>
        </w:tabs>
        <w:spacing w:before="0" w:after="0" w:line="480" w:lineRule="auto"/>
        <w:ind w:hanging="2340"/>
        <w:rPr>
          <w:kern w:val="28"/>
          <w:szCs w:val="24"/>
          <w:lang w:val="es-AR"/>
        </w:rPr>
      </w:pPr>
      <w:r w:rsidRPr="007E6104">
        <w:rPr>
          <w:b/>
          <w:lang w:val="es-ES_tradnl"/>
        </w:rPr>
        <w:t xml:space="preserve">Escenario </w:t>
      </w:r>
      <w:r>
        <w:rPr>
          <w:b/>
          <w:lang w:val="es-ES_tradnl"/>
        </w:rPr>
        <w:t>De Rentabilidad Mínima</w:t>
      </w:r>
    </w:p>
    <w:p w:rsidR="00772933" w:rsidRDefault="00A02C78" w:rsidP="00772933">
      <w:pPr>
        <w:pStyle w:val="Paragraph"/>
      </w:pPr>
      <w:r>
        <w:t>El mínimo porcentaje de reducción de las irregularidades debido al Programa que resulta en que el mismo sea rentable es del 1,82% (ver escenario de rentabilidad mínima, en la tabla 3). Por debajo de ese nivel se obtiene un Valor Presente Neto negativo, una relación costo beneficio menor que 1 y una TIR social menor al 12%.</w:t>
      </w:r>
    </w:p>
    <w:p w:rsidR="00A02C78" w:rsidRPr="00772933" w:rsidRDefault="00A02C78" w:rsidP="00772933">
      <w:pPr>
        <w:pStyle w:val="Paragraph"/>
      </w:pPr>
      <w:r w:rsidRPr="00772933">
        <w:rPr>
          <w:kern w:val="28"/>
          <w:szCs w:val="24"/>
        </w:rPr>
        <w:t>Se espera que el programa tenga una alta rentabilidad social. La tasa interna de retorno se situaría por encima del 18%, con un Valor Presente Neto de 2.755.873USD en el escenario base, en base al análisis de sensibilidad. La variable sensible identificada es la reducción de las irregularidades, la cual explica el 100% de la variación del VPN. Por ello, en el escenario conservador se han aplicado valores menores. Aun así, el Programa resulta rentable, ya que reporta una TIR del 15%, superior al 12% establecido por el Banco.</w:t>
      </w:r>
    </w:p>
    <w:p w:rsidR="00CC599F" w:rsidRPr="000E4CCD" w:rsidRDefault="00CC599F" w:rsidP="00A02C78">
      <w:pPr>
        <w:jc w:val="right"/>
        <w:rPr>
          <w:b/>
          <w:sz w:val="24"/>
          <w:szCs w:val="24"/>
          <w:lang w:val="es-ES"/>
        </w:rPr>
      </w:pPr>
    </w:p>
    <w:sectPr w:rsidR="00CC599F" w:rsidRPr="000E4CCD" w:rsidSect="0077293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33" w:rsidRDefault="00772933">
      <w:r>
        <w:separator/>
      </w:r>
    </w:p>
  </w:endnote>
  <w:endnote w:type="continuationSeparator" w:id="0">
    <w:p w:rsidR="00772933" w:rsidRDefault="0077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33" w:rsidRDefault="00772933" w:rsidP="00F35223">
    <w:pPr>
      <w:pStyle w:val="Footer"/>
    </w:pPr>
    <w:r>
      <w:t xml:space="preserve">Document Number: </w:t>
    </w:r>
  </w:p>
  <w:p w:rsidR="00772933" w:rsidRPr="00F35223" w:rsidRDefault="00772933" w:rsidP="00F35223">
    <w:pPr>
      <w:pStyle w:val="Footer"/>
    </w:pPr>
    <w:r>
      <w:t>8/23/2013 3:27:20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33" w:rsidRDefault="00772933">
      <w:r>
        <w:separator/>
      </w:r>
    </w:p>
  </w:footnote>
  <w:footnote w:type="continuationSeparator" w:id="0">
    <w:p w:rsidR="00772933" w:rsidRDefault="00772933">
      <w:r>
        <w:continuationSeparator/>
      </w:r>
    </w:p>
  </w:footnote>
  <w:footnote w:id="1">
    <w:p w:rsidR="00772933" w:rsidRPr="00772933" w:rsidRDefault="00772933" w:rsidP="00F10814">
      <w:pPr>
        <w:pStyle w:val="FootnoteText"/>
        <w:widowControl w:val="0"/>
        <w:spacing w:after="0"/>
        <w:ind w:left="180" w:hanging="180"/>
      </w:pPr>
      <w:r w:rsidRPr="00772933">
        <w:rPr>
          <w:rStyle w:val="FootnoteReference"/>
        </w:rPr>
        <w:footnoteRef/>
      </w:r>
      <w:r w:rsidRPr="00772933">
        <w:t xml:space="preserve">  </w:t>
      </w:r>
      <w:r w:rsidRPr="00772933">
        <w:rPr>
          <w:i/>
        </w:rPr>
        <w:t>World Development Indicators</w:t>
      </w:r>
      <w:r w:rsidRPr="00772933">
        <w:t>. World Bank, Washington, D.C. 2014.</w:t>
      </w:r>
    </w:p>
  </w:footnote>
  <w:footnote w:id="2">
    <w:p w:rsidR="00772933" w:rsidRPr="00772933" w:rsidRDefault="00772933" w:rsidP="00F10814">
      <w:pPr>
        <w:pStyle w:val="FootnoteText"/>
        <w:widowControl w:val="0"/>
        <w:spacing w:after="0"/>
        <w:ind w:left="180" w:hanging="180"/>
      </w:pPr>
      <w:r w:rsidRPr="00772933">
        <w:rPr>
          <w:rStyle w:val="FootnoteReference"/>
        </w:rPr>
        <w:footnoteRef/>
      </w:r>
      <w:r w:rsidRPr="00772933">
        <w:t xml:space="preserve">  </w:t>
      </w:r>
      <w:r w:rsidRPr="00772933">
        <w:rPr>
          <w:i/>
        </w:rPr>
        <w:t>Colombia Implementing Good Governance</w:t>
      </w:r>
      <w:r w:rsidRPr="00772933">
        <w:t>. OECD. 2013.</w:t>
      </w:r>
    </w:p>
  </w:footnote>
  <w:footnote w:id="3">
    <w:p w:rsidR="00772933" w:rsidRPr="00772933" w:rsidRDefault="00772933" w:rsidP="00F10814">
      <w:pPr>
        <w:pStyle w:val="FootnoteText"/>
        <w:widowControl w:val="0"/>
        <w:spacing w:after="0"/>
        <w:ind w:left="180" w:hanging="180"/>
        <w:rPr>
          <w:lang w:val="es-AR"/>
        </w:rPr>
      </w:pPr>
      <w:r w:rsidRPr="00772933">
        <w:rPr>
          <w:rStyle w:val="FootnoteReference"/>
        </w:rPr>
        <w:footnoteRef/>
      </w:r>
      <w:r w:rsidRPr="00772933">
        <w:t>  </w:t>
      </w:r>
      <w:hyperlink r:id="rId1" w:history="1">
        <w:r w:rsidRPr="00772933">
          <w:rPr>
            <w:rStyle w:val="Hyperlink"/>
          </w:rPr>
          <w:t>Roadmap for the Accession of Colombia to the OECD Convention.</w:t>
        </w:r>
      </w:hyperlink>
      <w:r w:rsidRPr="00772933">
        <w:t xml:space="preserve"> </w:t>
      </w:r>
      <w:r w:rsidRPr="00772933">
        <w:rPr>
          <w:lang w:val="es-AR"/>
        </w:rPr>
        <w:t>OECD. 2013.</w:t>
      </w:r>
    </w:p>
  </w:footnote>
  <w:footnote w:id="4">
    <w:p w:rsidR="00772933" w:rsidRPr="00772933" w:rsidRDefault="00772933" w:rsidP="00F10814">
      <w:pPr>
        <w:pStyle w:val="FootnoteText"/>
        <w:widowControl w:val="0"/>
        <w:spacing w:after="0"/>
        <w:ind w:left="90" w:hanging="90"/>
        <w:rPr>
          <w:lang w:val="es-AR"/>
        </w:rPr>
      </w:pPr>
      <w:r w:rsidRPr="00772933">
        <w:rPr>
          <w:rStyle w:val="FootnoteReference"/>
        </w:rPr>
        <w:footnoteRef/>
      </w:r>
      <w:r w:rsidRPr="00772933">
        <w:rPr>
          <w:lang w:val="es-AR"/>
        </w:rPr>
        <w:t xml:space="preserve">  </w:t>
      </w:r>
      <w:r w:rsidRPr="00772933">
        <w:rPr>
          <w:i/>
          <w:lang w:val="es-AR"/>
        </w:rPr>
        <w:t>Corruption Perception Index 2014</w:t>
      </w:r>
      <w:r w:rsidRPr="00772933">
        <w:rPr>
          <w:lang w:val="es-AR"/>
        </w:rPr>
        <w:t xml:space="preserve">. Transparency International </w:t>
      </w:r>
      <w:hyperlink r:id="rId2" w:history="1">
        <w:r w:rsidRPr="00772933">
          <w:rPr>
            <w:rStyle w:val="Hyperlink"/>
            <w:lang w:val="es-AR"/>
          </w:rPr>
          <w:t>http://www.transparency.org/cpi2014/</w:t>
        </w:r>
      </w:hyperlink>
    </w:p>
  </w:footnote>
  <w:footnote w:id="5">
    <w:p w:rsidR="00772933" w:rsidRPr="00772933" w:rsidRDefault="00772933" w:rsidP="00F10814">
      <w:pPr>
        <w:pStyle w:val="FootnoteText"/>
        <w:widowControl w:val="0"/>
        <w:spacing w:after="0"/>
        <w:ind w:left="187" w:hanging="187"/>
        <w:rPr>
          <w:lang w:val="es-ES"/>
        </w:rPr>
      </w:pPr>
      <w:r w:rsidRPr="00772933">
        <w:rPr>
          <w:rStyle w:val="FootnoteReference"/>
        </w:rPr>
        <w:footnoteRef/>
      </w:r>
      <w:r w:rsidRPr="00772933">
        <w:rPr>
          <w:lang w:val="es-ES"/>
        </w:rPr>
        <w:t xml:space="preserve">  Ver, por ejemplo, las recomendaciones realizadas por la </w:t>
      </w:r>
      <w:r w:rsidRPr="00772933">
        <w:rPr>
          <w:i/>
          <w:lang w:val="es-ES"/>
        </w:rPr>
        <w:t>International Organization of Supreme Audit Institutions</w:t>
      </w:r>
      <w:r w:rsidRPr="00772933">
        <w:rPr>
          <w:lang w:val="es-ES"/>
        </w:rPr>
        <w:t xml:space="preserve"> (INTOSAI) referentes a las mejores prácticas en los procesos de control y las “Buenas Prácticas para el Apoyo a EFS” de la OECD (2012).</w:t>
      </w:r>
    </w:p>
  </w:footnote>
  <w:footnote w:id="6">
    <w:p w:rsidR="00772933" w:rsidRPr="00772933" w:rsidRDefault="00772933" w:rsidP="00F10814">
      <w:pPr>
        <w:pStyle w:val="FootnoteText"/>
        <w:spacing w:after="0"/>
        <w:ind w:left="187" w:hanging="187"/>
        <w:rPr>
          <w:lang w:val="es-ES"/>
        </w:rPr>
      </w:pPr>
      <w:r w:rsidRPr="00772933">
        <w:rPr>
          <w:rStyle w:val="FootnoteReference"/>
        </w:rPr>
        <w:footnoteRef/>
      </w:r>
      <w:r w:rsidRPr="00772933">
        <w:rPr>
          <w:lang w:val="es-ES"/>
        </w:rPr>
        <w:t xml:space="preserve">  Bases del Plan Nacional de Desarrollo 2014-2018. Visión Preliminar para Discusión del Consejo Nacional de Planeación. </w:t>
      </w:r>
    </w:p>
  </w:footnote>
  <w:footnote w:id="7">
    <w:p w:rsidR="00772933" w:rsidRPr="00772933" w:rsidRDefault="00772933" w:rsidP="00A02C78">
      <w:pPr>
        <w:pStyle w:val="FootnoteText"/>
        <w:widowControl w:val="0"/>
        <w:ind w:left="289" w:hanging="289"/>
        <w:rPr>
          <w:lang w:val="es-ES"/>
        </w:rPr>
      </w:pPr>
      <w:r w:rsidRPr="00772933">
        <w:rPr>
          <w:rStyle w:val="FootnoteReference"/>
        </w:rPr>
        <w:footnoteRef/>
      </w:r>
      <w:r w:rsidRPr="00772933">
        <w:rPr>
          <w:lang w:val="es-ES"/>
        </w:rPr>
        <w:t xml:space="preserve"> </w:t>
      </w:r>
      <w:r w:rsidRPr="00772933">
        <w:rPr>
          <w:lang w:val="es-ES"/>
        </w:rPr>
        <w:tab/>
      </w:r>
      <w:r w:rsidRPr="00772933">
        <w:rPr>
          <w:rFonts w:eastAsia="Calibri"/>
          <w:lang w:val="es-EC" w:eastAsia="es-ES_tradnl"/>
        </w:rPr>
        <w:t>Se iniciará la implementación de un piloto basado en los recursos de regalías.</w:t>
      </w:r>
    </w:p>
  </w:footnote>
  <w:footnote w:id="8">
    <w:p w:rsidR="00772933" w:rsidRPr="00772933" w:rsidRDefault="00772933" w:rsidP="00F10814">
      <w:pPr>
        <w:pStyle w:val="FootnoteText"/>
        <w:spacing w:after="0"/>
        <w:ind w:left="180" w:hanging="180"/>
      </w:pPr>
      <w:r w:rsidRPr="00772933">
        <w:rPr>
          <w:rStyle w:val="FootnoteReference"/>
        </w:rPr>
        <w:footnoteRef/>
      </w:r>
      <w:r w:rsidRPr="00772933">
        <w:t xml:space="preserve"> </w:t>
      </w:r>
      <w:r>
        <w:tab/>
      </w:r>
      <w:r w:rsidRPr="00772933">
        <w:t>Olken, B. (2007). “Monitoring Corruption: Evidence from a Field</w:t>
      </w:r>
      <w:r>
        <w:t xml:space="preserve"> </w:t>
      </w:r>
      <w:r w:rsidRPr="00772933">
        <w:t>Experiment in Indonesia”. Journal of Political Economy 115 (2).</w:t>
      </w:r>
    </w:p>
  </w:footnote>
  <w:footnote w:id="9">
    <w:p w:rsidR="00772933" w:rsidRPr="00772933" w:rsidRDefault="00772933" w:rsidP="00F10814">
      <w:pPr>
        <w:pStyle w:val="FootnoteText"/>
        <w:spacing w:after="0"/>
        <w:ind w:left="180" w:hanging="180"/>
      </w:pPr>
      <w:r w:rsidRPr="00772933">
        <w:rPr>
          <w:rStyle w:val="FootnoteReference"/>
        </w:rPr>
        <w:footnoteRef/>
      </w:r>
      <w:r w:rsidRPr="00772933">
        <w:t xml:space="preserve"> </w:t>
      </w:r>
      <w:r w:rsidR="00F10814">
        <w:t xml:space="preserve"> </w:t>
      </w:r>
      <w:r w:rsidRPr="00772933">
        <w:t>Di Tella, R. y E. Schargrodsky (2003). “The Role of Wages and Auditing during a Crackdown on Corruption in the City of Buenos Aires”. Journal of Law and Economics XLVI.</w:t>
      </w:r>
    </w:p>
  </w:footnote>
  <w:footnote w:id="10">
    <w:p w:rsidR="00772933" w:rsidRPr="00772933" w:rsidRDefault="00772933" w:rsidP="00F10814">
      <w:pPr>
        <w:pStyle w:val="FootnoteText"/>
        <w:spacing w:after="0"/>
        <w:ind w:left="180" w:hanging="180"/>
      </w:pPr>
      <w:r w:rsidRPr="00772933">
        <w:rPr>
          <w:rStyle w:val="FootnoteReference"/>
        </w:rPr>
        <w:footnoteRef/>
      </w:r>
      <w:r w:rsidRPr="00772933">
        <w:t xml:space="preserve"> Beylis, Finan y Mazzocco (2011). ” Understanding Corruption: Theory and Evidence from the Audits of Local Governments”. Mimeo 2011.</w:t>
      </w:r>
    </w:p>
  </w:footnote>
  <w:footnote w:id="11">
    <w:p w:rsidR="00772933" w:rsidRPr="007050ED" w:rsidRDefault="00772933" w:rsidP="00F10814">
      <w:pPr>
        <w:pStyle w:val="FootnoteText"/>
        <w:spacing w:after="0"/>
        <w:ind w:left="180" w:hanging="180"/>
      </w:pPr>
      <w:r w:rsidRPr="00772933">
        <w:rPr>
          <w:rStyle w:val="FootnoteReference"/>
        </w:rPr>
        <w:footnoteRef/>
      </w:r>
      <w:r w:rsidRPr="00772933">
        <w:t xml:space="preserve"> Bandeira, Pratt y Valetti (2009). “Active and Passive Waste in Government Spending: Evidence from a Policy Experiment”. American Economic Review 99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19B"/>
    <w:multiLevelType w:val="multilevel"/>
    <w:tmpl w:val="12CEE022"/>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DAB7FC9"/>
    <w:multiLevelType w:val="multilevel"/>
    <w:tmpl w:val="CA800B0A"/>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2">
    <w:nsid w:val="197F5EE9"/>
    <w:multiLevelType w:val="multilevel"/>
    <w:tmpl w:val="82A8D918"/>
    <w:lvl w:ilvl="0">
      <w:start w:val="3"/>
      <w:numFmt w:val="upperRoman"/>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1D79533A"/>
    <w:multiLevelType w:val="multilevel"/>
    <w:tmpl w:val="EE2CAC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253A69BA"/>
    <w:multiLevelType w:val="hybridMultilevel"/>
    <w:tmpl w:val="A412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E6E81"/>
    <w:multiLevelType w:val="multilevel"/>
    <w:tmpl w:val="5E3CA1D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7674B04"/>
    <w:multiLevelType w:val="multilevel"/>
    <w:tmpl w:val="6F6CE47E"/>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35DA1918"/>
    <w:multiLevelType w:val="hybridMultilevel"/>
    <w:tmpl w:val="CDDC04C0"/>
    <w:lvl w:ilvl="0" w:tplc="B78C2CE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00B4B"/>
    <w:multiLevelType w:val="multilevel"/>
    <w:tmpl w:val="CE8EA9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CF05280"/>
    <w:multiLevelType w:val="multilevel"/>
    <w:tmpl w:val="F37A33F2"/>
    <w:lvl w:ilvl="0">
      <w:start w:val="1"/>
      <w:numFmt w:val="none"/>
      <w:lvlText w:val=""/>
      <w:lvlJc w:val="left"/>
      <w:pPr>
        <w:tabs>
          <w:tab w:val="num" w:pos="504"/>
        </w:tabs>
        <w:ind w:left="504" w:hanging="504"/>
      </w:pPr>
    </w:lvl>
    <w:lvl w:ilvl="1">
      <w:start w:val="1"/>
      <w:numFmt w:val="decimal"/>
      <w:lvlText w:val="%2."/>
      <w:lvlJc w:val="left"/>
      <w:pPr>
        <w:tabs>
          <w:tab w:val="num" w:pos="792"/>
        </w:tabs>
        <w:ind w:left="648" w:hanging="216"/>
      </w:pPr>
    </w:lvl>
    <w:lvl w:ilvl="2">
      <w:start w:val="1"/>
      <w:numFmt w:val="lowerLetter"/>
      <w:lvlText w:val="%3)"/>
      <w:lvlJc w:val="left"/>
      <w:pPr>
        <w:tabs>
          <w:tab w:val="num" w:pos="2160"/>
        </w:tabs>
        <w:ind w:left="2160" w:hanging="1224"/>
      </w:pPr>
    </w:lvl>
    <w:lvl w:ilvl="3">
      <w:start w:val="1"/>
      <w:numFmt w:val="lowerRoman"/>
      <w:lvlText w:val="(%4)"/>
      <w:lvlJc w:val="right"/>
      <w:pPr>
        <w:tabs>
          <w:tab w:val="num" w:pos="2880"/>
        </w:tabs>
        <w:ind w:left="2880" w:hanging="93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50330D66"/>
    <w:multiLevelType w:val="hybridMultilevel"/>
    <w:tmpl w:val="A424765A"/>
    <w:lvl w:ilvl="0" w:tplc="840C631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E7A8800">
      <w:start w:val="2"/>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5915DF"/>
    <w:multiLevelType w:val="multilevel"/>
    <w:tmpl w:val="518270AE"/>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53465B4D"/>
    <w:multiLevelType w:val="multilevel"/>
    <w:tmpl w:val="F5067D26"/>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884A67"/>
    <w:multiLevelType w:val="hybridMultilevel"/>
    <w:tmpl w:val="3A9A9502"/>
    <w:lvl w:ilvl="0" w:tplc="6EB6D69A">
      <w:start w:val="1"/>
      <w:numFmt w:val="decimal"/>
      <w:lvlText w:val="%1."/>
      <w:lvlJc w:val="left"/>
      <w:pPr>
        <w:tabs>
          <w:tab w:val="num" w:pos="1080"/>
        </w:tabs>
        <w:ind w:left="1080" w:hanging="360"/>
      </w:pPr>
    </w:lvl>
    <w:lvl w:ilvl="1" w:tplc="79D415AA" w:tentative="1">
      <w:start w:val="1"/>
      <w:numFmt w:val="lowerLetter"/>
      <w:lvlText w:val="%2."/>
      <w:lvlJc w:val="left"/>
      <w:pPr>
        <w:tabs>
          <w:tab w:val="num" w:pos="1800"/>
        </w:tabs>
        <w:ind w:left="1800" w:hanging="360"/>
      </w:pPr>
    </w:lvl>
    <w:lvl w:ilvl="2" w:tplc="8A320B2A" w:tentative="1">
      <w:start w:val="1"/>
      <w:numFmt w:val="lowerRoman"/>
      <w:lvlText w:val="%3."/>
      <w:lvlJc w:val="right"/>
      <w:pPr>
        <w:tabs>
          <w:tab w:val="num" w:pos="2520"/>
        </w:tabs>
        <w:ind w:left="2520" w:hanging="180"/>
      </w:pPr>
    </w:lvl>
    <w:lvl w:ilvl="3" w:tplc="A446AE60" w:tentative="1">
      <w:start w:val="1"/>
      <w:numFmt w:val="decimal"/>
      <w:lvlText w:val="%4."/>
      <w:lvlJc w:val="left"/>
      <w:pPr>
        <w:tabs>
          <w:tab w:val="num" w:pos="3240"/>
        </w:tabs>
        <w:ind w:left="3240" w:hanging="360"/>
      </w:pPr>
    </w:lvl>
    <w:lvl w:ilvl="4" w:tplc="0A581D2A" w:tentative="1">
      <w:start w:val="1"/>
      <w:numFmt w:val="lowerLetter"/>
      <w:lvlText w:val="%5."/>
      <w:lvlJc w:val="left"/>
      <w:pPr>
        <w:tabs>
          <w:tab w:val="num" w:pos="3960"/>
        </w:tabs>
        <w:ind w:left="3960" w:hanging="360"/>
      </w:pPr>
    </w:lvl>
    <w:lvl w:ilvl="5" w:tplc="5150CC9A" w:tentative="1">
      <w:start w:val="1"/>
      <w:numFmt w:val="lowerRoman"/>
      <w:lvlText w:val="%6."/>
      <w:lvlJc w:val="right"/>
      <w:pPr>
        <w:tabs>
          <w:tab w:val="num" w:pos="4680"/>
        </w:tabs>
        <w:ind w:left="4680" w:hanging="180"/>
      </w:pPr>
    </w:lvl>
    <w:lvl w:ilvl="6" w:tplc="D904F644" w:tentative="1">
      <w:start w:val="1"/>
      <w:numFmt w:val="decimal"/>
      <w:lvlText w:val="%7."/>
      <w:lvlJc w:val="left"/>
      <w:pPr>
        <w:tabs>
          <w:tab w:val="num" w:pos="5400"/>
        </w:tabs>
        <w:ind w:left="5400" w:hanging="360"/>
      </w:pPr>
    </w:lvl>
    <w:lvl w:ilvl="7" w:tplc="1D3AA506" w:tentative="1">
      <w:start w:val="1"/>
      <w:numFmt w:val="lowerLetter"/>
      <w:lvlText w:val="%8."/>
      <w:lvlJc w:val="left"/>
      <w:pPr>
        <w:tabs>
          <w:tab w:val="num" w:pos="6120"/>
        </w:tabs>
        <w:ind w:left="6120" w:hanging="360"/>
      </w:pPr>
    </w:lvl>
    <w:lvl w:ilvl="8" w:tplc="758C0AE0" w:tentative="1">
      <w:start w:val="1"/>
      <w:numFmt w:val="lowerRoman"/>
      <w:lvlText w:val="%9."/>
      <w:lvlJc w:val="right"/>
      <w:pPr>
        <w:tabs>
          <w:tab w:val="num" w:pos="6840"/>
        </w:tabs>
        <w:ind w:left="6840" w:hanging="180"/>
      </w:pPr>
    </w:lvl>
  </w:abstractNum>
  <w:abstractNum w:abstractNumId="16">
    <w:nsid w:val="550D29D1"/>
    <w:multiLevelType w:val="multilevel"/>
    <w:tmpl w:val="7F6A9FB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E506BF0"/>
    <w:multiLevelType w:val="hybridMultilevel"/>
    <w:tmpl w:val="35C4F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6726A82"/>
    <w:multiLevelType w:val="multilevel"/>
    <w:tmpl w:val="C58076A2"/>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9">
    <w:nsid w:val="68B372F3"/>
    <w:multiLevelType w:val="multilevel"/>
    <w:tmpl w:val="D6867FEA"/>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E713EC4"/>
    <w:multiLevelType w:val="multilevel"/>
    <w:tmpl w:val="C0C2756A"/>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F3B70EF"/>
    <w:multiLevelType w:val="multilevel"/>
    <w:tmpl w:val="B2C49B4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22">
    <w:nsid w:val="74C74592"/>
    <w:multiLevelType w:val="multilevel"/>
    <w:tmpl w:val="355A0C2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6560453"/>
    <w:multiLevelType w:val="hybridMultilevel"/>
    <w:tmpl w:val="02FE1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
  </w:num>
  <w:num w:numId="3">
    <w:abstractNumId w:val="3"/>
  </w:num>
  <w:num w:numId="4">
    <w:abstractNumId w:val="5"/>
  </w:num>
  <w:num w:numId="5">
    <w:abstractNumId w:val="15"/>
  </w:num>
  <w:num w:numId="6">
    <w:abstractNumId w:val="1"/>
    <w:lvlOverride w:ilvl="0">
      <w:startOverride w:val="2"/>
    </w:lvlOverride>
    <w:lvlOverride w:ilvl="1">
      <w:startOverride w:val="1"/>
    </w:lvlOverride>
  </w:num>
  <w:num w:numId="7">
    <w:abstractNumId w:val="11"/>
  </w:num>
  <w:num w:numId="8">
    <w:abstractNumId w:val="10"/>
  </w:num>
  <w:num w:numId="9">
    <w:abstractNumId w:val="1"/>
  </w:num>
  <w:num w:numId="10">
    <w:abstractNumId w:val="22"/>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4"/>
  </w:num>
  <w:num w:numId="18">
    <w:abstractNumId w:val="13"/>
  </w:num>
  <w:num w:numId="19">
    <w:abstractNumId w:val="8"/>
  </w:num>
  <w:num w:numId="20">
    <w:abstractNumId w:val="4"/>
  </w:num>
  <w:num w:numId="21">
    <w:abstractNumId w:val="2"/>
  </w:num>
  <w:num w:numId="22">
    <w:abstractNumId w:val="17"/>
  </w:num>
  <w:num w:numId="23">
    <w:abstractNumId w:val="7"/>
  </w:num>
  <w:num w:numId="24">
    <w:abstractNumId w:val="6"/>
  </w:num>
  <w:num w:numId="25">
    <w:abstractNumId w:val="16"/>
  </w:num>
  <w:num w:numId="26">
    <w:abstractNumId w:val="19"/>
  </w:num>
  <w:num w:numId="27">
    <w:abstractNumId w:val="0"/>
  </w:num>
  <w:num w:numId="28">
    <w:abstractNumId w:val="20"/>
  </w:num>
  <w:num w:numId="29">
    <w:abstractNumId w:val="18"/>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29"/>
    <w:rsid w:val="00006F3E"/>
    <w:rsid w:val="00026735"/>
    <w:rsid w:val="000665A5"/>
    <w:rsid w:val="000D53CE"/>
    <w:rsid w:val="000D778F"/>
    <w:rsid w:val="000E4CCD"/>
    <w:rsid w:val="0013600F"/>
    <w:rsid w:val="001525E8"/>
    <w:rsid w:val="0019241E"/>
    <w:rsid w:val="001925B5"/>
    <w:rsid w:val="001A33E0"/>
    <w:rsid w:val="001B7F62"/>
    <w:rsid w:val="001D36C1"/>
    <w:rsid w:val="001E76F5"/>
    <w:rsid w:val="001F4E79"/>
    <w:rsid w:val="002074BF"/>
    <w:rsid w:val="00234596"/>
    <w:rsid w:val="00255DDC"/>
    <w:rsid w:val="00273B83"/>
    <w:rsid w:val="00296646"/>
    <w:rsid w:val="002A371B"/>
    <w:rsid w:val="002B4049"/>
    <w:rsid w:val="002C3A2A"/>
    <w:rsid w:val="002D0BA9"/>
    <w:rsid w:val="003373D5"/>
    <w:rsid w:val="003539A6"/>
    <w:rsid w:val="00357F58"/>
    <w:rsid w:val="00374663"/>
    <w:rsid w:val="00380608"/>
    <w:rsid w:val="00382731"/>
    <w:rsid w:val="00396F10"/>
    <w:rsid w:val="003A4802"/>
    <w:rsid w:val="003B711E"/>
    <w:rsid w:val="003F59FF"/>
    <w:rsid w:val="00410010"/>
    <w:rsid w:val="00424F78"/>
    <w:rsid w:val="00436EAE"/>
    <w:rsid w:val="00500361"/>
    <w:rsid w:val="00507455"/>
    <w:rsid w:val="00527ABA"/>
    <w:rsid w:val="00527BB2"/>
    <w:rsid w:val="00535A47"/>
    <w:rsid w:val="005762F2"/>
    <w:rsid w:val="00584EA6"/>
    <w:rsid w:val="0058787E"/>
    <w:rsid w:val="005909D4"/>
    <w:rsid w:val="005A4B96"/>
    <w:rsid w:val="005B0899"/>
    <w:rsid w:val="005E6AA2"/>
    <w:rsid w:val="005E7703"/>
    <w:rsid w:val="00611433"/>
    <w:rsid w:val="006365C1"/>
    <w:rsid w:val="006506B8"/>
    <w:rsid w:val="006510AE"/>
    <w:rsid w:val="006736A2"/>
    <w:rsid w:val="0069524E"/>
    <w:rsid w:val="00695CDC"/>
    <w:rsid w:val="006A475C"/>
    <w:rsid w:val="006A76E9"/>
    <w:rsid w:val="006B304E"/>
    <w:rsid w:val="006B3CDE"/>
    <w:rsid w:val="006B6965"/>
    <w:rsid w:val="006E5B74"/>
    <w:rsid w:val="006F5EC6"/>
    <w:rsid w:val="006F6FD4"/>
    <w:rsid w:val="00725AC2"/>
    <w:rsid w:val="0073284B"/>
    <w:rsid w:val="00751836"/>
    <w:rsid w:val="00772933"/>
    <w:rsid w:val="007A537D"/>
    <w:rsid w:val="007B1B09"/>
    <w:rsid w:val="007C6ED0"/>
    <w:rsid w:val="007E0FD1"/>
    <w:rsid w:val="00824714"/>
    <w:rsid w:val="00867A34"/>
    <w:rsid w:val="00881A79"/>
    <w:rsid w:val="00890611"/>
    <w:rsid w:val="008B4587"/>
    <w:rsid w:val="008C1373"/>
    <w:rsid w:val="008D6C38"/>
    <w:rsid w:val="008E6581"/>
    <w:rsid w:val="008F5CA9"/>
    <w:rsid w:val="009008AD"/>
    <w:rsid w:val="00901DD3"/>
    <w:rsid w:val="00974EA4"/>
    <w:rsid w:val="00975A28"/>
    <w:rsid w:val="00981FDF"/>
    <w:rsid w:val="00991CEC"/>
    <w:rsid w:val="009E251E"/>
    <w:rsid w:val="00A014FE"/>
    <w:rsid w:val="00A02C78"/>
    <w:rsid w:val="00A2545C"/>
    <w:rsid w:val="00A3106E"/>
    <w:rsid w:val="00A40769"/>
    <w:rsid w:val="00A60CFC"/>
    <w:rsid w:val="00A71A8E"/>
    <w:rsid w:val="00A80704"/>
    <w:rsid w:val="00A84959"/>
    <w:rsid w:val="00AE0A1A"/>
    <w:rsid w:val="00B15E85"/>
    <w:rsid w:val="00B33F96"/>
    <w:rsid w:val="00B446DE"/>
    <w:rsid w:val="00B471FE"/>
    <w:rsid w:val="00B73ECB"/>
    <w:rsid w:val="00B84053"/>
    <w:rsid w:val="00BB197D"/>
    <w:rsid w:val="00BB7EB6"/>
    <w:rsid w:val="00BE32C2"/>
    <w:rsid w:val="00BF1963"/>
    <w:rsid w:val="00BF6D32"/>
    <w:rsid w:val="00C04E8B"/>
    <w:rsid w:val="00C07902"/>
    <w:rsid w:val="00C12CE3"/>
    <w:rsid w:val="00C13779"/>
    <w:rsid w:val="00C41360"/>
    <w:rsid w:val="00C5673E"/>
    <w:rsid w:val="00C61B42"/>
    <w:rsid w:val="00C87CCF"/>
    <w:rsid w:val="00C94146"/>
    <w:rsid w:val="00CA563A"/>
    <w:rsid w:val="00CC599F"/>
    <w:rsid w:val="00CC62D6"/>
    <w:rsid w:val="00CC6D6F"/>
    <w:rsid w:val="00CE75FD"/>
    <w:rsid w:val="00D10C78"/>
    <w:rsid w:val="00D27AA0"/>
    <w:rsid w:val="00D6461B"/>
    <w:rsid w:val="00D67808"/>
    <w:rsid w:val="00DA36FF"/>
    <w:rsid w:val="00DB328A"/>
    <w:rsid w:val="00DD6D90"/>
    <w:rsid w:val="00DE3A0C"/>
    <w:rsid w:val="00DE4578"/>
    <w:rsid w:val="00DE7C2B"/>
    <w:rsid w:val="00DF7E63"/>
    <w:rsid w:val="00E2123D"/>
    <w:rsid w:val="00E31CEA"/>
    <w:rsid w:val="00E772D2"/>
    <w:rsid w:val="00E94A29"/>
    <w:rsid w:val="00EA3AC6"/>
    <w:rsid w:val="00ED2F6C"/>
    <w:rsid w:val="00ED3D39"/>
    <w:rsid w:val="00EE0EC6"/>
    <w:rsid w:val="00EE4A1A"/>
    <w:rsid w:val="00F07E83"/>
    <w:rsid w:val="00F10814"/>
    <w:rsid w:val="00F35223"/>
    <w:rsid w:val="00F9010B"/>
    <w:rsid w:val="00F92B19"/>
    <w:rsid w:val="00FB259D"/>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9FF"/>
  </w:style>
  <w:style w:type="paragraph" w:styleId="Heading1">
    <w:name w:val="heading 1"/>
    <w:basedOn w:val="Normal"/>
    <w:next w:val="Normal"/>
    <w:link w:val="Heading1Char"/>
    <w:qFormat/>
    <w:rsid w:val="000D778F"/>
    <w:pPr>
      <w:keepNext/>
      <w:numPr>
        <w:numId w:val="10"/>
      </w:numPr>
      <w:spacing w:before="240" w:after="60"/>
      <w:outlineLvl w:val="0"/>
    </w:pPr>
    <w:rPr>
      <w:rFonts w:ascii="Arial" w:hAnsi="Arial"/>
      <w:b/>
      <w:kern w:val="28"/>
      <w:sz w:val="28"/>
      <w:lang w:val="pt-BR"/>
    </w:rPr>
  </w:style>
  <w:style w:type="paragraph" w:styleId="Heading2">
    <w:name w:val="heading 2"/>
    <w:basedOn w:val="Normal"/>
    <w:next w:val="Normal"/>
    <w:link w:val="Heading2Char"/>
    <w:qFormat/>
    <w:rsid w:val="000D778F"/>
    <w:pPr>
      <w:keepNext/>
      <w:numPr>
        <w:ilvl w:val="1"/>
        <w:numId w:val="10"/>
      </w:numPr>
      <w:spacing w:before="240" w:after="60"/>
      <w:outlineLvl w:val="1"/>
    </w:pPr>
    <w:rPr>
      <w:rFonts w:ascii="Arial" w:hAnsi="Arial"/>
      <w:b/>
      <w:i/>
      <w:sz w:val="24"/>
      <w:lang w:val="pt-BR"/>
    </w:rPr>
  </w:style>
  <w:style w:type="paragraph" w:styleId="Heading3">
    <w:name w:val="heading 3"/>
    <w:basedOn w:val="Normal"/>
    <w:next w:val="Normal"/>
    <w:link w:val="Heading3Char"/>
    <w:qFormat/>
    <w:rsid w:val="000D778F"/>
    <w:pPr>
      <w:keepNext/>
      <w:numPr>
        <w:ilvl w:val="2"/>
        <w:numId w:val="10"/>
      </w:numPr>
      <w:spacing w:before="240" w:after="60"/>
      <w:outlineLvl w:val="2"/>
    </w:pPr>
    <w:rPr>
      <w:rFonts w:ascii="Arial" w:hAnsi="Arial"/>
      <w:sz w:val="24"/>
      <w:lang w:val="pt-BR"/>
    </w:rPr>
  </w:style>
  <w:style w:type="paragraph" w:styleId="Heading4">
    <w:name w:val="heading 4"/>
    <w:basedOn w:val="Normal"/>
    <w:next w:val="Normal"/>
    <w:link w:val="Heading4Char"/>
    <w:qFormat/>
    <w:rsid w:val="000D778F"/>
    <w:pPr>
      <w:keepNext/>
      <w:numPr>
        <w:ilvl w:val="3"/>
        <w:numId w:val="10"/>
      </w:numPr>
      <w:spacing w:before="240" w:after="60"/>
      <w:outlineLvl w:val="3"/>
    </w:pPr>
    <w:rPr>
      <w:rFonts w:ascii="Arial" w:hAnsi="Arial"/>
      <w:b/>
      <w:sz w:val="24"/>
      <w:lang w:val="pt-BR"/>
    </w:rPr>
  </w:style>
  <w:style w:type="paragraph" w:styleId="Heading5">
    <w:name w:val="heading 5"/>
    <w:basedOn w:val="Normal"/>
    <w:next w:val="Normal"/>
    <w:link w:val="Heading5Char"/>
    <w:qFormat/>
    <w:rsid w:val="00772933"/>
    <w:pPr>
      <w:numPr>
        <w:ilvl w:val="4"/>
        <w:numId w:val="30"/>
      </w:numPr>
      <w:spacing w:before="240" w:after="60"/>
      <w:outlineLvl w:val="4"/>
    </w:pPr>
    <w:rPr>
      <w:sz w:val="22"/>
      <w:lang w:val="pt-BR"/>
    </w:rPr>
  </w:style>
  <w:style w:type="paragraph" w:styleId="Heading6">
    <w:name w:val="heading 6"/>
    <w:basedOn w:val="Normal"/>
    <w:next w:val="Normal"/>
    <w:link w:val="Heading6Char"/>
    <w:qFormat/>
    <w:rsid w:val="00772933"/>
    <w:pPr>
      <w:numPr>
        <w:ilvl w:val="5"/>
        <w:numId w:val="30"/>
      </w:numPr>
      <w:spacing w:before="240" w:after="60"/>
      <w:outlineLvl w:val="5"/>
    </w:pPr>
    <w:rPr>
      <w:i/>
      <w:sz w:val="22"/>
      <w:lang w:val="pt-BR"/>
    </w:rPr>
  </w:style>
  <w:style w:type="paragraph" w:styleId="Heading7">
    <w:name w:val="heading 7"/>
    <w:basedOn w:val="Normal"/>
    <w:next w:val="Normal"/>
    <w:link w:val="Heading7Char"/>
    <w:qFormat/>
    <w:rsid w:val="00772933"/>
    <w:pPr>
      <w:numPr>
        <w:ilvl w:val="6"/>
        <w:numId w:val="30"/>
      </w:numPr>
      <w:spacing w:before="240" w:after="60"/>
      <w:outlineLvl w:val="6"/>
    </w:pPr>
    <w:rPr>
      <w:rFonts w:ascii="Arial" w:hAnsi="Arial"/>
      <w:sz w:val="24"/>
      <w:lang w:val="pt-BR"/>
    </w:rPr>
  </w:style>
  <w:style w:type="paragraph" w:styleId="Heading8">
    <w:name w:val="heading 8"/>
    <w:basedOn w:val="Normal"/>
    <w:next w:val="Normal"/>
    <w:link w:val="Heading8Char"/>
    <w:qFormat/>
    <w:rsid w:val="00772933"/>
    <w:pPr>
      <w:numPr>
        <w:ilvl w:val="7"/>
        <w:numId w:val="30"/>
      </w:numPr>
      <w:spacing w:before="240" w:after="60"/>
      <w:outlineLvl w:val="7"/>
    </w:pPr>
    <w:rPr>
      <w:rFonts w:ascii="Arial" w:hAnsi="Arial"/>
      <w:i/>
      <w:sz w:val="24"/>
      <w:lang w:val="pt-BR"/>
    </w:rPr>
  </w:style>
  <w:style w:type="paragraph" w:styleId="Heading9">
    <w:name w:val="heading 9"/>
    <w:basedOn w:val="Normal"/>
    <w:next w:val="Normal"/>
    <w:link w:val="Heading9Char"/>
    <w:qFormat/>
    <w:rsid w:val="00772933"/>
    <w:pPr>
      <w:numPr>
        <w:ilvl w:val="8"/>
        <w:numId w:val="30"/>
      </w:numPr>
      <w:spacing w:before="240" w:after="60"/>
      <w:outlineLvl w:val="8"/>
    </w:pPr>
    <w:rPr>
      <w:rFonts w:ascii="Arial" w:hAnsi="Arial"/>
      <w:b/>
      <w:i/>
      <w:sz w:val="1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9FF"/>
    <w:pPr>
      <w:jc w:val="center"/>
    </w:pPr>
    <w:rPr>
      <w:b/>
      <w:bCs/>
      <w:sz w:val="24"/>
      <w:lang w:val="es-ES"/>
    </w:rPr>
  </w:style>
  <w:style w:type="paragraph" w:customStyle="1" w:styleId="Annex">
    <w:name w:val="Annex"/>
    <w:basedOn w:val="Normal"/>
    <w:rsid w:val="003F59FF"/>
    <w:rPr>
      <w:caps/>
      <w:sz w:val="24"/>
      <w:lang w:val="es-ES_tradnl"/>
    </w:rPr>
  </w:style>
  <w:style w:type="paragraph" w:customStyle="1" w:styleId="Chapter">
    <w:name w:val="Chapter"/>
    <w:basedOn w:val="Normal"/>
    <w:next w:val="Normal"/>
    <w:link w:val="ChapterChar"/>
    <w:rsid w:val="00772933"/>
    <w:pPr>
      <w:keepNext/>
      <w:numPr>
        <w:numId w:val="29"/>
      </w:numPr>
      <w:tabs>
        <w:tab w:val="clear" w:pos="2088"/>
        <w:tab w:val="num" w:pos="648"/>
        <w:tab w:val="left" w:pos="1440"/>
      </w:tabs>
      <w:spacing w:before="240" w:after="240"/>
      <w:ind w:left="0"/>
      <w:jc w:val="center"/>
    </w:pPr>
    <w:rPr>
      <w:b/>
      <w:smallCaps/>
      <w:sz w:val="24"/>
      <w:lang w:val="es-ES"/>
    </w:rPr>
  </w:style>
  <w:style w:type="paragraph" w:customStyle="1" w:styleId="FirstHeading">
    <w:name w:val="FirstHeading"/>
    <w:basedOn w:val="Normal"/>
    <w:next w:val="Normal"/>
    <w:link w:val="FirstHeadingCar"/>
    <w:rsid w:val="00772933"/>
    <w:pPr>
      <w:keepNext/>
      <w:numPr>
        <w:numId w:val="30"/>
      </w:numPr>
      <w:tabs>
        <w:tab w:val="left" w:pos="0"/>
        <w:tab w:val="left" w:pos="86"/>
      </w:tabs>
      <w:spacing w:before="120" w:after="120"/>
      <w:ind w:left="720"/>
    </w:pPr>
    <w:rPr>
      <w:b/>
      <w:sz w:val="24"/>
      <w:lang w:val="es-ES"/>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rsid w:val="003F59FF"/>
    <w:pPr>
      <w:keepNext/>
      <w:keepLines/>
      <w:spacing w:after="120"/>
      <w:ind w:left="288" w:hanging="288"/>
      <w:jc w:val="both"/>
    </w:pPr>
    <w:rPr>
      <w:spacing w:val="-3"/>
    </w:rPr>
  </w:style>
  <w:style w:type="paragraph" w:customStyle="1" w:styleId="Paragraph">
    <w:name w:val="Paragraph"/>
    <w:aliases w:val="paragraph,p,PARAGRAPH,PG,pa,at"/>
    <w:basedOn w:val="BodyTextIndent"/>
    <w:link w:val="ParagraphChar"/>
    <w:qFormat/>
    <w:rsid w:val="00772933"/>
    <w:pPr>
      <w:numPr>
        <w:ilvl w:val="1"/>
        <w:numId w:val="29"/>
      </w:numPr>
      <w:tabs>
        <w:tab w:val="clear" w:pos="2736"/>
        <w:tab w:val="num" w:pos="720"/>
      </w:tabs>
      <w:spacing w:before="120"/>
      <w:ind w:left="720" w:hanging="720"/>
      <w:jc w:val="both"/>
      <w:outlineLvl w:val="1"/>
    </w:pPr>
    <w:rPr>
      <w:lang w:val="es-ES"/>
    </w:rPr>
  </w:style>
  <w:style w:type="paragraph" w:customStyle="1" w:styleId="SecHeading">
    <w:name w:val="SecHeading"/>
    <w:basedOn w:val="Normal"/>
    <w:next w:val="Paragraph"/>
    <w:rsid w:val="00772933"/>
    <w:pPr>
      <w:keepNext/>
      <w:numPr>
        <w:ilvl w:val="1"/>
        <w:numId w:val="30"/>
      </w:numPr>
      <w:tabs>
        <w:tab w:val="clear" w:pos="5400"/>
        <w:tab w:val="num" w:pos="1296"/>
      </w:tabs>
      <w:spacing w:before="120" w:after="120"/>
      <w:ind w:left="1296"/>
    </w:pPr>
    <w:rPr>
      <w:b/>
      <w:sz w:val="24"/>
      <w:lang w:val="es-ES_tradnl"/>
    </w:rPr>
  </w:style>
  <w:style w:type="paragraph" w:customStyle="1" w:styleId="SubHeading1">
    <w:name w:val="SubHeading1"/>
    <w:basedOn w:val="SecHeading"/>
    <w:link w:val="SubHeading1Char"/>
    <w:rsid w:val="00772933"/>
    <w:pPr>
      <w:numPr>
        <w:ilvl w:val="2"/>
      </w:numPr>
      <w:tabs>
        <w:tab w:val="clear" w:pos="5976"/>
        <w:tab w:val="num" w:pos="1872"/>
      </w:tabs>
      <w:ind w:left="1872"/>
    </w:pPr>
  </w:style>
  <w:style w:type="paragraph" w:customStyle="1" w:styleId="Subheading2">
    <w:name w:val="Subheading2"/>
    <w:basedOn w:val="SecHeading"/>
    <w:rsid w:val="00772933"/>
    <w:pPr>
      <w:numPr>
        <w:ilvl w:val="3"/>
      </w:numPr>
      <w:tabs>
        <w:tab w:val="clear" w:pos="6480"/>
        <w:tab w:val="num" w:pos="2376"/>
      </w:tabs>
      <w:ind w:left="2376"/>
    </w:pPr>
  </w:style>
  <w:style w:type="paragraph" w:customStyle="1" w:styleId="subpar">
    <w:name w:val="subpar"/>
    <w:basedOn w:val="BodyTextIndent3"/>
    <w:rsid w:val="00772933"/>
    <w:pPr>
      <w:numPr>
        <w:ilvl w:val="2"/>
        <w:numId w:val="29"/>
      </w:numPr>
      <w:tabs>
        <w:tab w:val="clear" w:pos="2592"/>
        <w:tab w:val="num" w:pos="1152"/>
      </w:tabs>
      <w:spacing w:before="120"/>
      <w:ind w:left="1152"/>
      <w:jc w:val="both"/>
      <w:outlineLvl w:val="2"/>
    </w:pPr>
    <w:rPr>
      <w:szCs w:val="20"/>
      <w:lang w:val="es-ES_tradnl"/>
    </w:rPr>
  </w:style>
  <w:style w:type="paragraph" w:customStyle="1" w:styleId="SubSubPar">
    <w:name w:val="SubSubPar"/>
    <w:basedOn w:val="subpar"/>
    <w:rsid w:val="00772933"/>
    <w:pPr>
      <w:numPr>
        <w:ilvl w:val="3"/>
      </w:numPr>
      <w:tabs>
        <w:tab w:val="clear" w:pos="3024"/>
        <w:tab w:val="left" w:pos="0"/>
        <w:tab w:val="num" w:pos="1296"/>
      </w:tabs>
      <w:ind w:left="1296"/>
    </w:pPr>
  </w:style>
  <w:style w:type="character" w:styleId="Hyperlink">
    <w:name w:val="Hyperlink"/>
    <w:basedOn w:val="DefaultParagraphFont"/>
    <w:rsid w:val="003F59FF"/>
    <w:rPr>
      <w:color w:val="0000FF"/>
      <w:u w:val="single"/>
    </w:rPr>
  </w:style>
  <w:style w:type="character" w:styleId="FootnoteReference">
    <w:name w:val="footnote reference"/>
    <w:aliases w:val="titulo 2,Style 24,pie pddes,referencia nota al pie,FC,Fußnotenzeichen DISS,16 Point,Superscript 6 Point,ftref,Texto de nota al pie,Ref,de nota al pie,Nota de pie,Texto nota al pie,de nota al pi,Ref. de nota al pie2,Footnote symbol"/>
    <w:basedOn w:val="DefaultParagraphFont"/>
    <w:uiPriority w:val="99"/>
    <w:rsid w:val="003F59FF"/>
    <w:rPr>
      <w:vertAlign w:val="superscript"/>
    </w:rPr>
  </w:style>
  <w:style w:type="paragraph" w:styleId="BodyTextIndent">
    <w:name w:val="Body Text Indent"/>
    <w:basedOn w:val="Normal"/>
    <w:rsid w:val="003F59FF"/>
    <w:pPr>
      <w:spacing w:after="120"/>
      <w:ind w:left="360"/>
    </w:pPr>
    <w:rPr>
      <w:sz w:val="24"/>
    </w:rPr>
  </w:style>
  <w:style w:type="paragraph" w:styleId="BodyTextIndent3">
    <w:name w:val="Body Text Indent 3"/>
    <w:basedOn w:val="Normal"/>
    <w:rsid w:val="003F59FF"/>
    <w:pPr>
      <w:spacing w:after="120"/>
      <w:ind w:left="360"/>
    </w:pPr>
    <w:rPr>
      <w:sz w:val="24"/>
      <w:szCs w:val="16"/>
    </w:rPr>
  </w:style>
  <w:style w:type="character" w:customStyle="1" w:styleId="Heading1Char">
    <w:name w:val="Heading 1 Char"/>
    <w:basedOn w:val="DefaultParagraphFont"/>
    <w:link w:val="Heading1"/>
    <w:rsid w:val="000D778F"/>
    <w:rPr>
      <w:rFonts w:ascii="Arial" w:hAnsi="Arial"/>
      <w:b/>
      <w:kern w:val="28"/>
      <w:sz w:val="28"/>
      <w:lang w:val="pt-BR"/>
    </w:rPr>
  </w:style>
  <w:style w:type="character" w:customStyle="1" w:styleId="Heading2Char">
    <w:name w:val="Heading 2 Char"/>
    <w:basedOn w:val="DefaultParagraphFont"/>
    <w:link w:val="Heading2"/>
    <w:rsid w:val="000D778F"/>
    <w:rPr>
      <w:rFonts w:ascii="Arial" w:hAnsi="Arial"/>
      <w:b/>
      <w:i/>
      <w:sz w:val="24"/>
      <w:lang w:val="pt-BR"/>
    </w:rPr>
  </w:style>
  <w:style w:type="character" w:customStyle="1" w:styleId="Heading3Char">
    <w:name w:val="Heading 3 Char"/>
    <w:basedOn w:val="DefaultParagraphFont"/>
    <w:link w:val="Heading3"/>
    <w:rsid w:val="000D778F"/>
    <w:rPr>
      <w:rFonts w:ascii="Arial" w:hAnsi="Arial"/>
      <w:sz w:val="24"/>
      <w:lang w:val="pt-BR"/>
    </w:rPr>
  </w:style>
  <w:style w:type="character" w:customStyle="1" w:styleId="Heading4Char">
    <w:name w:val="Heading 4 Char"/>
    <w:basedOn w:val="DefaultParagraphFont"/>
    <w:link w:val="Heading4"/>
    <w:rsid w:val="000D778F"/>
    <w:rPr>
      <w:rFonts w:ascii="Arial" w:hAnsi="Arial"/>
      <w:b/>
      <w:sz w:val="24"/>
      <w:lang w:val="pt-BR"/>
    </w:rPr>
  </w:style>
  <w:style w:type="character" w:customStyle="1" w:styleId="Heading5Char">
    <w:name w:val="Heading 5 Char"/>
    <w:basedOn w:val="DefaultParagraphFont"/>
    <w:link w:val="Heading5"/>
    <w:rsid w:val="00772933"/>
    <w:rPr>
      <w:sz w:val="22"/>
      <w:lang w:val="pt-BR"/>
    </w:rPr>
  </w:style>
  <w:style w:type="character" w:customStyle="1" w:styleId="Heading6Char">
    <w:name w:val="Heading 6 Char"/>
    <w:basedOn w:val="DefaultParagraphFont"/>
    <w:link w:val="Heading6"/>
    <w:rsid w:val="00772933"/>
    <w:rPr>
      <w:i/>
      <w:sz w:val="22"/>
      <w:lang w:val="pt-BR"/>
    </w:rPr>
  </w:style>
  <w:style w:type="character" w:customStyle="1" w:styleId="Heading7Char">
    <w:name w:val="Heading 7 Char"/>
    <w:basedOn w:val="DefaultParagraphFont"/>
    <w:link w:val="Heading7"/>
    <w:rsid w:val="00772933"/>
    <w:rPr>
      <w:rFonts w:ascii="Arial" w:hAnsi="Arial"/>
      <w:sz w:val="24"/>
      <w:lang w:val="pt-BR"/>
    </w:rPr>
  </w:style>
  <w:style w:type="character" w:customStyle="1" w:styleId="Heading8Char">
    <w:name w:val="Heading 8 Char"/>
    <w:basedOn w:val="DefaultParagraphFont"/>
    <w:link w:val="Heading8"/>
    <w:rsid w:val="00772933"/>
    <w:rPr>
      <w:rFonts w:ascii="Arial" w:hAnsi="Arial"/>
      <w:i/>
      <w:sz w:val="24"/>
      <w:lang w:val="pt-BR"/>
    </w:rPr>
  </w:style>
  <w:style w:type="character" w:customStyle="1" w:styleId="Heading9Char">
    <w:name w:val="Heading 9 Char"/>
    <w:basedOn w:val="DefaultParagraphFont"/>
    <w:link w:val="Heading9"/>
    <w:rsid w:val="00772933"/>
    <w:rPr>
      <w:rFonts w:ascii="Arial" w:hAnsi="Arial"/>
      <w:b/>
      <w:i/>
      <w:sz w:val="18"/>
      <w:lang w:val="pt-BR"/>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rsid w:val="000D778F"/>
    <w:rPr>
      <w:spacing w:val="-3"/>
    </w:rPr>
  </w:style>
  <w:style w:type="character" w:customStyle="1" w:styleId="ParagraphChar">
    <w:name w:val="Paragraph Char"/>
    <w:basedOn w:val="DefaultParagraphFont"/>
    <w:link w:val="Paragraph"/>
    <w:rsid w:val="00772933"/>
    <w:rPr>
      <w:sz w:val="24"/>
      <w:lang w:val="es-ES"/>
    </w:rPr>
  </w:style>
  <w:style w:type="paragraph" w:styleId="ListParagraph">
    <w:name w:val="List Paragraph"/>
    <w:basedOn w:val="Normal"/>
    <w:uiPriority w:val="34"/>
    <w:qFormat/>
    <w:rsid w:val="006F5EC6"/>
    <w:pPr>
      <w:ind w:left="720"/>
      <w:contextualSpacing/>
    </w:pPr>
  </w:style>
  <w:style w:type="character" w:customStyle="1" w:styleId="SubHeading1Char">
    <w:name w:val="SubHeading1 Char"/>
    <w:link w:val="SubHeading1"/>
    <w:locked/>
    <w:rsid w:val="00772933"/>
    <w:rPr>
      <w:b/>
      <w:sz w:val="24"/>
      <w:lang w:val="es-ES_tradnl"/>
    </w:rPr>
  </w:style>
  <w:style w:type="paragraph" w:customStyle="1" w:styleId="Newpage">
    <w:name w:val="Newpage"/>
    <w:basedOn w:val="Chapter"/>
    <w:rsid w:val="00C12CE3"/>
    <w:pPr>
      <w:numPr>
        <w:numId w:val="0"/>
      </w:numPr>
      <w:tabs>
        <w:tab w:val="left" w:pos="3060"/>
      </w:tabs>
      <w:spacing w:after="0"/>
    </w:pPr>
    <w:rPr>
      <w:lang w:val="es-ES_tradnl"/>
    </w:rPr>
  </w:style>
  <w:style w:type="paragraph" w:styleId="Header">
    <w:name w:val="header"/>
    <w:basedOn w:val="Normal"/>
    <w:link w:val="HeaderChar"/>
    <w:rsid w:val="00F35223"/>
    <w:pPr>
      <w:tabs>
        <w:tab w:val="center" w:pos="4513"/>
        <w:tab w:val="right" w:pos="9026"/>
      </w:tabs>
    </w:pPr>
  </w:style>
  <w:style w:type="character" w:customStyle="1" w:styleId="HeaderChar">
    <w:name w:val="Header Char"/>
    <w:basedOn w:val="DefaultParagraphFont"/>
    <w:link w:val="Header"/>
    <w:rsid w:val="00F35223"/>
  </w:style>
  <w:style w:type="paragraph" w:styleId="Footer">
    <w:name w:val="footer"/>
    <w:basedOn w:val="Normal"/>
    <w:link w:val="FooterChar"/>
    <w:rsid w:val="00F35223"/>
    <w:pPr>
      <w:tabs>
        <w:tab w:val="center" w:pos="4513"/>
        <w:tab w:val="right" w:pos="9026"/>
      </w:tabs>
    </w:pPr>
  </w:style>
  <w:style w:type="character" w:customStyle="1" w:styleId="FooterChar">
    <w:name w:val="Footer Char"/>
    <w:basedOn w:val="DefaultParagraphFont"/>
    <w:link w:val="Footer"/>
    <w:rsid w:val="00F35223"/>
  </w:style>
  <w:style w:type="paragraph" w:styleId="BalloonText">
    <w:name w:val="Balloon Text"/>
    <w:basedOn w:val="Normal"/>
    <w:link w:val="BalloonTextChar"/>
    <w:rsid w:val="001A33E0"/>
    <w:rPr>
      <w:rFonts w:ascii="Tahoma" w:hAnsi="Tahoma" w:cs="Tahoma"/>
      <w:sz w:val="16"/>
      <w:szCs w:val="16"/>
    </w:rPr>
  </w:style>
  <w:style w:type="character" w:customStyle="1" w:styleId="BalloonTextChar">
    <w:name w:val="Balloon Text Char"/>
    <w:basedOn w:val="DefaultParagraphFont"/>
    <w:link w:val="BalloonText"/>
    <w:rsid w:val="001A33E0"/>
    <w:rPr>
      <w:rFonts w:ascii="Tahoma" w:hAnsi="Tahoma" w:cs="Tahoma"/>
      <w:sz w:val="16"/>
      <w:szCs w:val="16"/>
    </w:rPr>
  </w:style>
  <w:style w:type="paragraph" w:customStyle="1" w:styleId="Regtable">
    <w:name w:val="Regtable"/>
    <w:basedOn w:val="Normal"/>
    <w:link w:val="RegtableChar"/>
    <w:rsid w:val="00772933"/>
    <w:pPr>
      <w:keepLines/>
      <w:framePr w:wrap="around" w:vAnchor="text" w:hAnchor="text" w:y="1"/>
      <w:spacing w:before="20" w:after="20"/>
    </w:pPr>
    <w:rPr>
      <w:noProof/>
      <w:spacing w:val="-3"/>
      <w:lang w:val="es-ES_tradnl"/>
    </w:rPr>
  </w:style>
  <w:style w:type="character" w:customStyle="1" w:styleId="RegtableChar">
    <w:name w:val="Regtable Char"/>
    <w:link w:val="Regtable"/>
    <w:rsid w:val="00772933"/>
    <w:rPr>
      <w:noProof/>
      <w:spacing w:val="-3"/>
      <w:lang w:val="es-ES_tradnl"/>
    </w:rPr>
  </w:style>
  <w:style w:type="table" w:styleId="TableGrid">
    <w:name w:val="Table Grid"/>
    <w:basedOn w:val="TableNormal"/>
    <w:uiPriority w:val="59"/>
    <w:rsid w:val="00CC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HeadingCar">
    <w:name w:val="FirstHeading Car"/>
    <w:basedOn w:val="DefaultParagraphFont"/>
    <w:link w:val="FirstHeading"/>
    <w:rsid w:val="00772933"/>
    <w:rPr>
      <w:b/>
      <w:sz w:val="24"/>
      <w:lang w:val="es-ES"/>
    </w:rPr>
  </w:style>
  <w:style w:type="character" w:customStyle="1" w:styleId="longtext">
    <w:name w:val="long_text"/>
    <w:rsid w:val="00CC599F"/>
    <w:rPr>
      <w:rFonts w:cs="Times New Roman"/>
    </w:rPr>
  </w:style>
  <w:style w:type="character" w:customStyle="1" w:styleId="ChapterChar">
    <w:name w:val="Chapter Char"/>
    <w:link w:val="Chapter"/>
    <w:locked/>
    <w:rsid w:val="00772933"/>
    <w:rPr>
      <w:b/>
      <w:smallCaps/>
      <w:sz w:val="24"/>
      <w:lang w:val="es-ES"/>
    </w:rPr>
  </w:style>
  <w:style w:type="paragraph" w:customStyle="1" w:styleId="Style2">
    <w:name w:val="Style2"/>
    <w:basedOn w:val="Paragraph"/>
    <w:qFormat/>
    <w:rsid w:val="00CC599F"/>
    <w:pPr>
      <w:numPr>
        <w:ilvl w:val="0"/>
        <w:numId w:val="17"/>
      </w:numPr>
      <w:spacing w:before="0"/>
    </w:pPr>
    <w:rPr>
      <w:b/>
      <w:lang w:val="es-EC"/>
    </w:rPr>
  </w:style>
  <w:style w:type="paragraph" w:customStyle="1" w:styleId="Style3">
    <w:name w:val="Style3"/>
    <w:basedOn w:val="Paragraph"/>
    <w:link w:val="Style3Char"/>
    <w:qFormat/>
    <w:rsid w:val="00CC599F"/>
    <w:pPr>
      <w:numPr>
        <w:numId w:val="17"/>
      </w:numPr>
      <w:spacing w:before="0" w:line="360" w:lineRule="auto"/>
    </w:pPr>
    <w:rPr>
      <w:lang w:val="es-EC"/>
    </w:rPr>
  </w:style>
  <w:style w:type="character" w:customStyle="1" w:styleId="Style3Char">
    <w:name w:val="Style3 Char"/>
    <w:basedOn w:val="ParagraphChar"/>
    <w:link w:val="Style3"/>
    <w:rsid w:val="00CC599F"/>
    <w:rPr>
      <w:sz w:val="24"/>
      <w:lang w:val="es-EC"/>
    </w:rPr>
  </w:style>
  <w:style w:type="paragraph" w:customStyle="1" w:styleId="TitulopostI">
    <w:name w:val="Titulo post I"/>
    <w:basedOn w:val="Normal"/>
    <w:link w:val="TitulopostICar"/>
    <w:qFormat/>
    <w:rsid w:val="00A02C78"/>
    <w:pPr>
      <w:spacing w:line="480" w:lineRule="auto"/>
      <w:ind w:left="1134" w:hanging="567"/>
      <w:jc w:val="both"/>
    </w:pPr>
    <w:rPr>
      <w:rFonts w:eastAsia="Calibri"/>
      <w:b/>
      <w:sz w:val="24"/>
      <w:szCs w:val="24"/>
      <w:lang w:val="es-ES"/>
    </w:rPr>
  </w:style>
  <w:style w:type="paragraph" w:customStyle="1" w:styleId="Vieta">
    <w:name w:val="Viñeta"/>
    <w:basedOn w:val="Paragraph"/>
    <w:link w:val="VietaCar"/>
    <w:qFormat/>
    <w:rsid w:val="00A02C78"/>
    <w:pPr>
      <w:numPr>
        <w:numId w:val="19"/>
      </w:numPr>
      <w:spacing w:before="0" w:after="0" w:line="480" w:lineRule="auto"/>
      <w:ind w:left="993" w:hanging="426"/>
    </w:pPr>
    <w:rPr>
      <w:kern w:val="28"/>
    </w:rPr>
  </w:style>
  <w:style w:type="character" w:customStyle="1" w:styleId="TitulopostICar">
    <w:name w:val="Titulo post I Car"/>
    <w:basedOn w:val="DefaultParagraphFont"/>
    <w:link w:val="TitulopostI"/>
    <w:rsid w:val="00A02C78"/>
    <w:rPr>
      <w:rFonts w:eastAsia="Calibri"/>
      <w:b/>
      <w:sz w:val="24"/>
      <w:szCs w:val="24"/>
      <w:lang w:val="es-ES"/>
    </w:rPr>
  </w:style>
  <w:style w:type="character" w:customStyle="1" w:styleId="VietaCar">
    <w:name w:val="Viñeta Car"/>
    <w:basedOn w:val="ParagraphChar"/>
    <w:link w:val="Vieta"/>
    <w:rsid w:val="00A02C78"/>
    <w:rPr>
      <w:kern w:val="28"/>
      <w:sz w:val="24"/>
      <w:lang w:val="es-ES"/>
    </w:rPr>
  </w:style>
  <w:style w:type="paragraph" w:customStyle="1" w:styleId="Entabla">
    <w:name w:val="Entabla"/>
    <w:basedOn w:val="Normal"/>
    <w:link w:val="EntablaCar"/>
    <w:qFormat/>
    <w:rsid w:val="00A02C78"/>
    <w:rPr>
      <w:color w:val="000000"/>
      <w:sz w:val="22"/>
      <w:szCs w:val="22"/>
      <w:lang w:val="es-ES"/>
    </w:rPr>
  </w:style>
  <w:style w:type="paragraph" w:customStyle="1" w:styleId="TituloTabla">
    <w:name w:val="Titulo Tabla"/>
    <w:basedOn w:val="Normal"/>
    <w:link w:val="TituloTablaCar"/>
    <w:qFormat/>
    <w:rsid w:val="00A02C78"/>
    <w:pPr>
      <w:ind w:left="34"/>
    </w:pPr>
    <w:rPr>
      <w:b/>
      <w:bCs/>
      <w:color w:val="000000"/>
      <w:sz w:val="22"/>
      <w:szCs w:val="22"/>
      <w:lang w:val="es-ES"/>
    </w:rPr>
  </w:style>
  <w:style w:type="character" w:customStyle="1" w:styleId="EntablaCar">
    <w:name w:val="Entabla Car"/>
    <w:basedOn w:val="DefaultParagraphFont"/>
    <w:link w:val="Entabla"/>
    <w:rsid w:val="00A02C78"/>
    <w:rPr>
      <w:color w:val="000000"/>
      <w:sz w:val="22"/>
      <w:szCs w:val="22"/>
      <w:lang w:val="es-ES"/>
    </w:rPr>
  </w:style>
  <w:style w:type="character" w:customStyle="1" w:styleId="TituloTablaCar">
    <w:name w:val="Titulo Tabla Car"/>
    <w:basedOn w:val="DefaultParagraphFont"/>
    <w:link w:val="TituloTabla"/>
    <w:rsid w:val="00A02C78"/>
    <w:rPr>
      <w:b/>
      <w:bCs/>
      <w:color w:val="000000"/>
      <w:sz w:val="22"/>
      <w:szCs w:val="22"/>
      <w:lang w:val="es-ES"/>
    </w:rPr>
  </w:style>
  <w:style w:type="paragraph" w:customStyle="1" w:styleId="TableTitle">
    <w:name w:val="TableTitle"/>
    <w:basedOn w:val="Normal"/>
    <w:link w:val="TableTitleChar"/>
    <w:rsid w:val="00772933"/>
    <w:pPr>
      <w:keepNext/>
      <w:framePr w:wrap="around" w:vAnchor="text" w:hAnchor="text" w:y="1"/>
      <w:spacing w:before="20" w:after="20"/>
      <w:jc w:val="center"/>
    </w:pPr>
    <w:rPr>
      <w:rFonts w:ascii="Times New Roman Bold" w:hAnsi="Times New Roman Bold" w:cs="Times New Roman Bold"/>
      <w:b/>
      <w:spacing w:val="-3"/>
      <w:szCs w:val="24"/>
      <w:lang w:val="es-ES"/>
    </w:rPr>
  </w:style>
  <w:style w:type="character" w:customStyle="1" w:styleId="TableTitleChar">
    <w:name w:val="TableTitle Char"/>
    <w:basedOn w:val="DefaultParagraphFont"/>
    <w:link w:val="TableTitle"/>
    <w:rsid w:val="00772933"/>
    <w:rPr>
      <w:rFonts w:ascii="Times New Roman Bold" w:hAnsi="Times New Roman Bold" w:cs="Times New Roman Bold"/>
      <w:b/>
      <w:spacing w:val="-3"/>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9FF"/>
  </w:style>
  <w:style w:type="paragraph" w:styleId="Heading1">
    <w:name w:val="heading 1"/>
    <w:basedOn w:val="Normal"/>
    <w:next w:val="Normal"/>
    <w:link w:val="Heading1Char"/>
    <w:qFormat/>
    <w:rsid w:val="000D778F"/>
    <w:pPr>
      <w:keepNext/>
      <w:numPr>
        <w:numId w:val="10"/>
      </w:numPr>
      <w:spacing w:before="240" w:after="60"/>
      <w:outlineLvl w:val="0"/>
    </w:pPr>
    <w:rPr>
      <w:rFonts w:ascii="Arial" w:hAnsi="Arial"/>
      <w:b/>
      <w:kern w:val="28"/>
      <w:sz w:val="28"/>
      <w:lang w:val="pt-BR"/>
    </w:rPr>
  </w:style>
  <w:style w:type="paragraph" w:styleId="Heading2">
    <w:name w:val="heading 2"/>
    <w:basedOn w:val="Normal"/>
    <w:next w:val="Normal"/>
    <w:link w:val="Heading2Char"/>
    <w:qFormat/>
    <w:rsid w:val="000D778F"/>
    <w:pPr>
      <w:keepNext/>
      <w:numPr>
        <w:ilvl w:val="1"/>
        <w:numId w:val="10"/>
      </w:numPr>
      <w:spacing w:before="240" w:after="60"/>
      <w:outlineLvl w:val="1"/>
    </w:pPr>
    <w:rPr>
      <w:rFonts w:ascii="Arial" w:hAnsi="Arial"/>
      <w:b/>
      <w:i/>
      <w:sz w:val="24"/>
      <w:lang w:val="pt-BR"/>
    </w:rPr>
  </w:style>
  <w:style w:type="paragraph" w:styleId="Heading3">
    <w:name w:val="heading 3"/>
    <w:basedOn w:val="Normal"/>
    <w:next w:val="Normal"/>
    <w:link w:val="Heading3Char"/>
    <w:qFormat/>
    <w:rsid w:val="000D778F"/>
    <w:pPr>
      <w:keepNext/>
      <w:numPr>
        <w:ilvl w:val="2"/>
        <w:numId w:val="10"/>
      </w:numPr>
      <w:spacing w:before="240" w:after="60"/>
      <w:outlineLvl w:val="2"/>
    </w:pPr>
    <w:rPr>
      <w:rFonts w:ascii="Arial" w:hAnsi="Arial"/>
      <w:sz w:val="24"/>
      <w:lang w:val="pt-BR"/>
    </w:rPr>
  </w:style>
  <w:style w:type="paragraph" w:styleId="Heading4">
    <w:name w:val="heading 4"/>
    <w:basedOn w:val="Normal"/>
    <w:next w:val="Normal"/>
    <w:link w:val="Heading4Char"/>
    <w:qFormat/>
    <w:rsid w:val="000D778F"/>
    <w:pPr>
      <w:keepNext/>
      <w:numPr>
        <w:ilvl w:val="3"/>
        <w:numId w:val="10"/>
      </w:numPr>
      <w:spacing w:before="240" w:after="60"/>
      <w:outlineLvl w:val="3"/>
    </w:pPr>
    <w:rPr>
      <w:rFonts w:ascii="Arial" w:hAnsi="Arial"/>
      <w:b/>
      <w:sz w:val="24"/>
      <w:lang w:val="pt-BR"/>
    </w:rPr>
  </w:style>
  <w:style w:type="paragraph" w:styleId="Heading5">
    <w:name w:val="heading 5"/>
    <w:basedOn w:val="Normal"/>
    <w:next w:val="Normal"/>
    <w:link w:val="Heading5Char"/>
    <w:qFormat/>
    <w:rsid w:val="00772933"/>
    <w:pPr>
      <w:numPr>
        <w:ilvl w:val="4"/>
        <w:numId w:val="30"/>
      </w:numPr>
      <w:spacing w:before="240" w:after="60"/>
      <w:outlineLvl w:val="4"/>
    </w:pPr>
    <w:rPr>
      <w:sz w:val="22"/>
      <w:lang w:val="pt-BR"/>
    </w:rPr>
  </w:style>
  <w:style w:type="paragraph" w:styleId="Heading6">
    <w:name w:val="heading 6"/>
    <w:basedOn w:val="Normal"/>
    <w:next w:val="Normal"/>
    <w:link w:val="Heading6Char"/>
    <w:qFormat/>
    <w:rsid w:val="00772933"/>
    <w:pPr>
      <w:numPr>
        <w:ilvl w:val="5"/>
        <w:numId w:val="30"/>
      </w:numPr>
      <w:spacing w:before="240" w:after="60"/>
      <w:outlineLvl w:val="5"/>
    </w:pPr>
    <w:rPr>
      <w:i/>
      <w:sz w:val="22"/>
      <w:lang w:val="pt-BR"/>
    </w:rPr>
  </w:style>
  <w:style w:type="paragraph" w:styleId="Heading7">
    <w:name w:val="heading 7"/>
    <w:basedOn w:val="Normal"/>
    <w:next w:val="Normal"/>
    <w:link w:val="Heading7Char"/>
    <w:qFormat/>
    <w:rsid w:val="00772933"/>
    <w:pPr>
      <w:numPr>
        <w:ilvl w:val="6"/>
        <w:numId w:val="30"/>
      </w:numPr>
      <w:spacing w:before="240" w:after="60"/>
      <w:outlineLvl w:val="6"/>
    </w:pPr>
    <w:rPr>
      <w:rFonts w:ascii="Arial" w:hAnsi="Arial"/>
      <w:sz w:val="24"/>
      <w:lang w:val="pt-BR"/>
    </w:rPr>
  </w:style>
  <w:style w:type="paragraph" w:styleId="Heading8">
    <w:name w:val="heading 8"/>
    <w:basedOn w:val="Normal"/>
    <w:next w:val="Normal"/>
    <w:link w:val="Heading8Char"/>
    <w:qFormat/>
    <w:rsid w:val="00772933"/>
    <w:pPr>
      <w:numPr>
        <w:ilvl w:val="7"/>
        <w:numId w:val="30"/>
      </w:numPr>
      <w:spacing w:before="240" w:after="60"/>
      <w:outlineLvl w:val="7"/>
    </w:pPr>
    <w:rPr>
      <w:rFonts w:ascii="Arial" w:hAnsi="Arial"/>
      <w:i/>
      <w:sz w:val="24"/>
      <w:lang w:val="pt-BR"/>
    </w:rPr>
  </w:style>
  <w:style w:type="paragraph" w:styleId="Heading9">
    <w:name w:val="heading 9"/>
    <w:basedOn w:val="Normal"/>
    <w:next w:val="Normal"/>
    <w:link w:val="Heading9Char"/>
    <w:qFormat/>
    <w:rsid w:val="00772933"/>
    <w:pPr>
      <w:numPr>
        <w:ilvl w:val="8"/>
        <w:numId w:val="30"/>
      </w:numPr>
      <w:spacing w:before="240" w:after="60"/>
      <w:outlineLvl w:val="8"/>
    </w:pPr>
    <w:rPr>
      <w:rFonts w:ascii="Arial" w:hAnsi="Arial"/>
      <w:b/>
      <w:i/>
      <w:sz w:val="1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9FF"/>
    <w:pPr>
      <w:jc w:val="center"/>
    </w:pPr>
    <w:rPr>
      <w:b/>
      <w:bCs/>
      <w:sz w:val="24"/>
      <w:lang w:val="es-ES"/>
    </w:rPr>
  </w:style>
  <w:style w:type="paragraph" w:customStyle="1" w:styleId="Annex">
    <w:name w:val="Annex"/>
    <w:basedOn w:val="Normal"/>
    <w:rsid w:val="003F59FF"/>
    <w:rPr>
      <w:caps/>
      <w:sz w:val="24"/>
      <w:lang w:val="es-ES_tradnl"/>
    </w:rPr>
  </w:style>
  <w:style w:type="paragraph" w:customStyle="1" w:styleId="Chapter">
    <w:name w:val="Chapter"/>
    <w:basedOn w:val="Normal"/>
    <w:next w:val="Normal"/>
    <w:link w:val="ChapterChar"/>
    <w:rsid w:val="00772933"/>
    <w:pPr>
      <w:keepNext/>
      <w:numPr>
        <w:numId w:val="29"/>
      </w:numPr>
      <w:tabs>
        <w:tab w:val="clear" w:pos="2088"/>
        <w:tab w:val="num" w:pos="648"/>
        <w:tab w:val="left" w:pos="1440"/>
      </w:tabs>
      <w:spacing w:before="240" w:after="240"/>
      <w:ind w:left="0"/>
      <w:jc w:val="center"/>
    </w:pPr>
    <w:rPr>
      <w:b/>
      <w:smallCaps/>
      <w:sz w:val="24"/>
      <w:lang w:val="es-ES"/>
    </w:rPr>
  </w:style>
  <w:style w:type="paragraph" w:customStyle="1" w:styleId="FirstHeading">
    <w:name w:val="FirstHeading"/>
    <w:basedOn w:val="Normal"/>
    <w:next w:val="Normal"/>
    <w:link w:val="FirstHeadingCar"/>
    <w:rsid w:val="00772933"/>
    <w:pPr>
      <w:keepNext/>
      <w:numPr>
        <w:numId w:val="30"/>
      </w:numPr>
      <w:tabs>
        <w:tab w:val="left" w:pos="0"/>
        <w:tab w:val="left" w:pos="86"/>
      </w:tabs>
      <w:spacing w:before="120" w:after="120"/>
      <w:ind w:left="720"/>
    </w:pPr>
    <w:rPr>
      <w:b/>
      <w:sz w:val="24"/>
      <w:lang w:val="es-ES"/>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rsid w:val="003F59FF"/>
    <w:pPr>
      <w:keepNext/>
      <w:keepLines/>
      <w:spacing w:after="120"/>
      <w:ind w:left="288" w:hanging="288"/>
      <w:jc w:val="both"/>
    </w:pPr>
    <w:rPr>
      <w:spacing w:val="-3"/>
    </w:rPr>
  </w:style>
  <w:style w:type="paragraph" w:customStyle="1" w:styleId="Paragraph">
    <w:name w:val="Paragraph"/>
    <w:aliases w:val="paragraph,p,PARAGRAPH,PG,pa,at"/>
    <w:basedOn w:val="BodyTextIndent"/>
    <w:link w:val="ParagraphChar"/>
    <w:qFormat/>
    <w:rsid w:val="00772933"/>
    <w:pPr>
      <w:numPr>
        <w:ilvl w:val="1"/>
        <w:numId w:val="29"/>
      </w:numPr>
      <w:tabs>
        <w:tab w:val="clear" w:pos="2736"/>
        <w:tab w:val="num" w:pos="720"/>
      </w:tabs>
      <w:spacing w:before="120"/>
      <w:ind w:left="720" w:hanging="720"/>
      <w:jc w:val="both"/>
      <w:outlineLvl w:val="1"/>
    </w:pPr>
    <w:rPr>
      <w:lang w:val="es-ES"/>
    </w:rPr>
  </w:style>
  <w:style w:type="paragraph" w:customStyle="1" w:styleId="SecHeading">
    <w:name w:val="SecHeading"/>
    <w:basedOn w:val="Normal"/>
    <w:next w:val="Paragraph"/>
    <w:rsid w:val="00772933"/>
    <w:pPr>
      <w:keepNext/>
      <w:numPr>
        <w:ilvl w:val="1"/>
        <w:numId w:val="30"/>
      </w:numPr>
      <w:tabs>
        <w:tab w:val="clear" w:pos="5400"/>
        <w:tab w:val="num" w:pos="1296"/>
      </w:tabs>
      <w:spacing w:before="120" w:after="120"/>
      <w:ind w:left="1296"/>
    </w:pPr>
    <w:rPr>
      <w:b/>
      <w:sz w:val="24"/>
      <w:lang w:val="es-ES_tradnl"/>
    </w:rPr>
  </w:style>
  <w:style w:type="paragraph" w:customStyle="1" w:styleId="SubHeading1">
    <w:name w:val="SubHeading1"/>
    <w:basedOn w:val="SecHeading"/>
    <w:link w:val="SubHeading1Char"/>
    <w:rsid w:val="00772933"/>
    <w:pPr>
      <w:numPr>
        <w:ilvl w:val="2"/>
      </w:numPr>
      <w:tabs>
        <w:tab w:val="clear" w:pos="5976"/>
        <w:tab w:val="num" w:pos="1872"/>
      </w:tabs>
      <w:ind w:left="1872"/>
    </w:pPr>
  </w:style>
  <w:style w:type="paragraph" w:customStyle="1" w:styleId="Subheading2">
    <w:name w:val="Subheading2"/>
    <w:basedOn w:val="SecHeading"/>
    <w:rsid w:val="00772933"/>
    <w:pPr>
      <w:numPr>
        <w:ilvl w:val="3"/>
      </w:numPr>
      <w:tabs>
        <w:tab w:val="clear" w:pos="6480"/>
        <w:tab w:val="num" w:pos="2376"/>
      </w:tabs>
      <w:ind w:left="2376"/>
    </w:pPr>
  </w:style>
  <w:style w:type="paragraph" w:customStyle="1" w:styleId="subpar">
    <w:name w:val="subpar"/>
    <w:basedOn w:val="BodyTextIndent3"/>
    <w:rsid w:val="00772933"/>
    <w:pPr>
      <w:numPr>
        <w:ilvl w:val="2"/>
        <w:numId w:val="29"/>
      </w:numPr>
      <w:tabs>
        <w:tab w:val="clear" w:pos="2592"/>
        <w:tab w:val="num" w:pos="1152"/>
      </w:tabs>
      <w:spacing w:before="120"/>
      <w:ind w:left="1152"/>
      <w:jc w:val="both"/>
      <w:outlineLvl w:val="2"/>
    </w:pPr>
    <w:rPr>
      <w:szCs w:val="20"/>
      <w:lang w:val="es-ES_tradnl"/>
    </w:rPr>
  </w:style>
  <w:style w:type="paragraph" w:customStyle="1" w:styleId="SubSubPar">
    <w:name w:val="SubSubPar"/>
    <w:basedOn w:val="subpar"/>
    <w:rsid w:val="00772933"/>
    <w:pPr>
      <w:numPr>
        <w:ilvl w:val="3"/>
      </w:numPr>
      <w:tabs>
        <w:tab w:val="clear" w:pos="3024"/>
        <w:tab w:val="left" w:pos="0"/>
        <w:tab w:val="num" w:pos="1296"/>
      </w:tabs>
      <w:ind w:left="1296"/>
    </w:pPr>
  </w:style>
  <w:style w:type="character" w:styleId="Hyperlink">
    <w:name w:val="Hyperlink"/>
    <w:basedOn w:val="DefaultParagraphFont"/>
    <w:rsid w:val="003F59FF"/>
    <w:rPr>
      <w:color w:val="0000FF"/>
      <w:u w:val="single"/>
    </w:rPr>
  </w:style>
  <w:style w:type="character" w:styleId="FootnoteReference">
    <w:name w:val="footnote reference"/>
    <w:aliases w:val="titulo 2,Style 24,pie pddes,referencia nota al pie,FC,Fußnotenzeichen DISS,16 Point,Superscript 6 Point,ftref,Texto de nota al pie,Ref,de nota al pie,Nota de pie,Texto nota al pie,de nota al pi,Ref. de nota al pie2,Footnote symbol"/>
    <w:basedOn w:val="DefaultParagraphFont"/>
    <w:uiPriority w:val="99"/>
    <w:rsid w:val="003F59FF"/>
    <w:rPr>
      <w:vertAlign w:val="superscript"/>
    </w:rPr>
  </w:style>
  <w:style w:type="paragraph" w:styleId="BodyTextIndent">
    <w:name w:val="Body Text Indent"/>
    <w:basedOn w:val="Normal"/>
    <w:rsid w:val="003F59FF"/>
    <w:pPr>
      <w:spacing w:after="120"/>
      <w:ind w:left="360"/>
    </w:pPr>
    <w:rPr>
      <w:sz w:val="24"/>
    </w:rPr>
  </w:style>
  <w:style w:type="paragraph" w:styleId="BodyTextIndent3">
    <w:name w:val="Body Text Indent 3"/>
    <w:basedOn w:val="Normal"/>
    <w:rsid w:val="003F59FF"/>
    <w:pPr>
      <w:spacing w:after="120"/>
      <w:ind w:left="360"/>
    </w:pPr>
    <w:rPr>
      <w:sz w:val="24"/>
      <w:szCs w:val="16"/>
    </w:rPr>
  </w:style>
  <w:style w:type="character" w:customStyle="1" w:styleId="Heading1Char">
    <w:name w:val="Heading 1 Char"/>
    <w:basedOn w:val="DefaultParagraphFont"/>
    <w:link w:val="Heading1"/>
    <w:rsid w:val="000D778F"/>
    <w:rPr>
      <w:rFonts w:ascii="Arial" w:hAnsi="Arial"/>
      <w:b/>
      <w:kern w:val="28"/>
      <w:sz w:val="28"/>
      <w:lang w:val="pt-BR"/>
    </w:rPr>
  </w:style>
  <w:style w:type="character" w:customStyle="1" w:styleId="Heading2Char">
    <w:name w:val="Heading 2 Char"/>
    <w:basedOn w:val="DefaultParagraphFont"/>
    <w:link w:val="Heading2"/>
    <w:rsid w:val="000D778F"/>
    <w:rPr>
      <w:rFonts w:ascii="Arial" w:hAnsi="Arial"/>
      <w:b/>
      <w:i/>
      <w:sz w:val="24"/>
      <w:lang w:val="pt-BR"/>
    </w:rPr>
  </w:style>
  <w:style w:type="character" w:customStyle="1" w:styleId="Heading3Char">
    <w:name w:val="Heading 3 Char"/>
    <w:basedOn w:val="DefaultParagraphFont"/>
    <w:link w:val="Heading3"/>
    <w:rsid w:val="000D778F"/>
    <w:rPr>
      <w:rFonts w:ascii="Arial" w:hAnsi="Arial"/>
      <w:sz w:val="24"/>
      <w:lang w:val="pt-BR"/>
    </w:rPr>
  </w:style>
  <w:style w:type="character" w:customStyle="1" w:styleId="Heading4Char">
    <w:name w:val="Heading 4 Char"/>
    <w:basedOn w:val="DefaultParagraphFont"/>
    <w:link w:val="Heading4"/>
    <w:rsid w:val="000D778F"/>
    <w:rPr>
      <w:rFonts w:ascii="Arial" w:hAnsi="Arial"/>
      <w:b/>
      <w:sz w:val="24"/>
      <w:lang w:val="pt-BR"/>
    </w:rPr>
  </w:style>
  <w:style w:type="character" w:customStyle="1" w:styleId="Heading5Char">
    <w:name w:val="Heading 5 Char"/>
    <w:basedOn w:val="DefaultParagraphFont"/>
    <w:link w:val="Heading5"/>
    <w:rsid w:val="00772933"/>
    <w:rPr>
      <w:sz w:val="22"/>
      <w:lang w:val="pt-BR"/>
    </w:rPr>
  </w:style>
  <w:style w:type="character" w:customStyle="1" w:styleId="Heading6Char">
    <w:name w:val="Heading 6 Char"/>
    <w:basedOn w:val="DefaultParagraphFont"/>
    <w:link w:val="Heading6"/>
    <w:rsid w:val="00772933"/>
    <w:rPr>
      <w:i/>
      <w:sz w:val="22"/>
      <w:lang w:val="pt-BR"/>
    </w:rPr>
  </w:style>
  <w:style w:type="character" w:customStyle="1" w:styleId="Heading7Char">
    <w:name w:val="Heading 7 Char"/>
    <w:basedOn w:val="DefaultParagraphFont"/>
    <w:link w:val="Heading7"/>
    <w:rsid w:val="00772933"/>
    <w:rPr>
      <w:rFonts w:ascii="Arial" w:hAnsi="Arial"/>
      <w:sz w:val="24"/>
      <w:lang w:val="pt-BR"/>
    </w:rPr>
  </w:style>
  <w:style w:type="character" w:customStyle="1" w:styleId="Heading8Char">
    <w:name w:val="Heading 8 Char"/>
    <w:basedOn w:val="DefaultParagraphFont"/>
    <w:link w:val="Heading8"/>
    <w:rsid w:val="00772933"/>
    <w:rPr>
      <w:rFonts w:ascii="Arial" w:hAnsi="Arial"/>
      <w:i/>
      <w:sz w:val="24"/>
      <w:lang w:val="pt-BR"/>
    </w:rPr>
  </w:style>
  <w:style w:type="character" w:customStyle="1" w:styleId="Heading9Char">
    <w:name w:val="Heading 9 Char"/>
    <w:basedOn w:val="DefaultParagraphFont"/>
    <w:link w:val="Heading9"/>
    <w:rsid w:val="00772933"/>
    <w:rPr>
      <w:rFonts w:ascii="Arial" w:hAnsi="Arial"/>
      <w:b/>
      <w:i/>
      <w:sz w:val="18"/>
      <w:lang w:val="pt-BR"/>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rsid w:val="000D778F"/>
    <w:rPr>
      <w:spacing w:val="-3"/>
    </w:rPr>
  </w:style>
  <w:style w:type="character" w:customStyle="1" w:styleId="ParagraphChar">
    <w:name w:val="Paragraph Char"/>
    <w:basedOn w:val="DefaultParagraphFont"/>
    <w:link w:val="Paragraph"/>
    <w:rsid w:val="00772933"/>
    <w:rPr>
      <w:sz w:val="24"/>
      <w:lang w:val="es-ES"/>
    </w:rPr>
  </w:style>
  <w:style w:type="paragraph" w:styleId="ListParagraph">
    <w:name w:val="List Paragraph"/>
    <w:basedOn w:val="Normal"/>
    <w:uiPriority w:val="34"/>
    <w:qFormat/>
    <w:rsid w:val="006F5EC6"/>
    <w:pPr>
      <w:ind w:left="720"/>
      <w:contextualSpacing/>
    </w:pPr>
  </w:style>
  <w:style w:type="character" w:customStyle="1" w:styleId="SubHeading1Char">
    <w:name w:val="SubHeading1 Char"/>
    <w:link w:val="SubHeading1"/>
    <w:locked/>
    <w:rsid w:val="00772933"/>
    <w:rPr>
      <w:b/>
      <w:sz w:val="24"/>
      <w:lang w:val="es-ES_tradnl"/>
    </w:rPr>
  </w:style>
  <w:style w:type="paragraph" w:customStyle="1" w:styleId="Newpage">
    <w:name w:val="Newpage"/>
    <w:basedOn w:val="Chapter"/>
    <w:rsid w:val="00C12CE3"/>
    <w:pPr>
      <w:numPr>
        <w:numId w:val="0"/>
      </w:numPr>
      <w:tabs>
        <w:tab w:val="left" w:pos="3060"/>
      </w:tabs>
      <w:spacing w:after="0"/>
    </w:pPr>
    <w:rPr>
      <w:lang w:val="es-ES_tradnl"/>
    </w:rPr>
  </w:style>
  <w:style w:type="paragraph" w:styleId="Header">
    <w:name w:val="header"/>
    <w:basedOn w:val="Normal"/>
    <w:link w:val="HeaderChar"/>
    <w:rsid w:val="00F35223"/>
    <w:pPr>
      <w:tabs>
        <w:tab w:val="center" w:pos="4513"/>
        <w:tab w:val="right" w:pos="9026"/>
      </w:tabs>
    </w:pPr>
  </w:style>
  <w:style w:type="character" w:customStyle="1" w:styleId="HeaderChar">
    <w:name w:val="Header Char"/>
    <w:basedOn w:val="DefaultParagraphFont"/>
    <w:link w:val="Header"/>
    <w:rsid w:val="00F35223"/>
  </w:style>
  <w:style w:type="paragraph" w:styleId="Footer">
    <w:name w:val="footer"/>
    <w:basedOn w:val="Normal"/>
    <w:link w:val="FooterChar"/>
    <w:rsid w:val="00F35223"/>
    <w:pPr>
      <w:tabs>
        <w:tab w:val="center" w:pos="4513"/>
        <w:tab w:val="right" w:pos="9026"/>
      </w:tabs>
    </w:pPr>
  </w:style>
  <w:style w:type="character" w:customStyle="1" w:styleId="FooterChar">
    <w:name w:val="Footer Char"/>
    <w:basedOn w:val="DefaultParagraphFont"/>
    <w:link w:val="Footer"/>
    <w:rsid w:val="00F35223"/>
  </w:style>
  <w:style w:type="paragraph" w:styleId="BalloonText">
    <w:name w:val="Balloon Text"/>
    <w:basedOn w:val="Normal"/>
    <w:link w:val="BalloonTextChar"/>
    <w:rsid w:val="001A33E0"/>
    <w:rPr>
      <w:rFonts w:ascii="Tahoma" w:hAnsi="Tahoma" w:cs="Tahoma"/>
      <w:sz w:val="16"/>
      <w:szCs w:val="16"/>
    </w:rPr>
  </w:style>
  <w:style w:type="character" w:customStyle="1" w:styleId="BalloonTextChar">
    <w:name w:val="Balloon Text Char"/>
    <w:basedOn w:val="DefaultParagraphFont"/>
    <w:link w:val="BalloonText"/>
    <w:rsid w:val="001A33E0"/>
    <w:rPr>
      <w:rFonts w:ascii="Tahoma" w:hAnsi="Tahoma" w:cs="Tahoma"/>
      <w:sz w:val="16"/>
      <w:szCs w:val="16"/>
    </w:rPr>
  </w:style>
  <w:style w:type="paragraph" w:customStyle="1" w:styleId="Regtable">
    <w:name w:val="Regtable"/>
    <w:basedOn w:val="Normal"/>
    <w:link w:val="RegtableChar"/>
    <w:rsid w:val="00772933"/>
    <w:pPr>
      <w:keepLines/>
      <w:framePr w:wrap="around" w:vAnchor="text" w:hAnchor="text" w:y="1"/>
      <w:spacing w:before="20" w:after="20"/>
    </w:pPr>
    <w:rPr>
      <w:noProof/>
      <w:spacing w:val="-3"/>
      <w:lang w:val="es-ES_tradnl"/>
    </w:rPr>
  </w:style>
  <w:style w:type="character" w:customStyle="1" w:styleId="RegtableChar">
    <w:name w:val="Regtable Char"/>
    <w:link w:val="Regtable"/>
    <w:rsid w:val="00772933"/>
    <w:rPr>
      <w:noProof/>
      <w:spacing w:val="-3"/>
      <w:lang w:val="es-ES_tradnl"/>
    </w:rPr>
  </w:style>
  <w:style w:type="table" w:styleId="TableGrid">
    <w:name w:val="Table Grid"/>
    <w:basedOn w:val="TableNormal"/>
    <w:uiPriority w:val="59"/>
    <w:rsid w:val="00CC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HeadingCar">
    <w:name w:val="FirstHeading Car"/>
    <w:basedOn w:val="DefaultParagraphFont"/>
    <w:link w:val="FirstHeading"/>
    <w:rsid w:val="00772933"/>
    <w:rPr>
      <w:b/>
      <w:sz w:val="24"/>
      <w:lang w:val="es-ES"/>
    </w:rPr>
  </w:style>
  <w:style w:type="character" w:customStyle="1" w:styleId="longtext">
    <w:name w:val="long_text"/>
    <w:rsid w:val="00CC599F"/>
    <w:rPr>
      <w:rFonts w:cs="Times New Roman"/>
    </w:rPr>
  </w:style>
  <w:style w:type="character" w:customStyle="1" w:styleId="ChapterChar">
    <w:name w:val="Chapter Char"/>
    <w:link w:val="Chapter"/>
    <w:locked/>
    <w:rsid w:val="00772933"/>
    <w:rPr>
      <w:b/>
      <w:smallCaps/>
      <w:sz w:val="24"/>
      <w:lang w:val="es-ES"/>
    </w:rPr>
  </w:style>
  <w:style w:type="paragraph" w:customStyle="1" w:styleId="Style2">
    <w:name w:val="Style2"/>
    <w:basedOn w:val="Paragraph"/>
    <w:qFormat/>
    <w:rsid w:val="00CC599F"/>
    <w:pPr>
      <w:numPr>
        <w:ilvl w:val="0"/>
        <w:numId w:val="17"/>
      </w:numPr>
      <w:spacing w:before="0"/>
    </w:pPr>
    <w:rPr>
      <w:b/>
      <w:lang w:val="es-EC"/>
    </w:rPr>
  </w:style>
  <w:style w:type="paragraph" w:customStyle="1" w:styleId="Style3">
    <w:name w:val="Style3"/>
    <w:basedOn w:val="Paragraph"/>
    <w:link w:val="Style3Char"/>
    <w:qFormat/>
    <w:rsid w:val="00CC599F"/>
    <w:pPr>
      <w:numPr>
        <w:numId w:val="17"/>
      </w:numPr>
      <w:spacing w:before="0" w:line="360" w:lineRule="auto"/>
    </w:pPr>
    <w:rPr>
      <w:lang w:val="es-EC"/>
    </w:rPr>
  </w:style>
  <w:style w:type="character" w:customStyle="1" w:styleId="Style3Char">
    <w:name w:val="Style3 Char"/>
    <w:basedOn w:val="ParagraphChar"/>
    <w:link w:val="Style3"/>
    <w:rsid w:val="00CC599F"/>
    <w:rPr>
      <w:sz w:val="24"/>
      <w:lang w:val="es-EC"/>
    </w:rPr>
  </w:style>
  <w:style w:type="paragraph" w:customStyle="1" w:styleId="TitulopostI">
    <w:name w:val="Titulo post I"/>
    <w:basedOn w:val="Normal"/>
    <w:link w:val="TitulopostICar"/>
    <w:qFormat/>
    <w:rsid w:val="00A02C78"/>
    <w:pPr>
      <w:spacing w:line="480" w:lineRule="auto"/>
      <w:ind w:left="1134" w:hanging="567"/>
      <w:jc w:val="both"/>
    </w:pPr>
    <w:rPr>
      <w:rFonts w:eastAsia="Calibri"/>
      <w:b/>
      <w:sz w:val="24"/>
      <w:szCs w:val="24"/>
      <w:lang w:val="es-ES"/>
    </w:rPr>
  </w:style>
  <w:style w:type="paragraph" w:customStyle="1" w:styleId="Vieta">
    <w:name w:val="Viñeta"/>
    <w:basedOn w:val="Paragraph"/>
    <w:link w:val="VietaCar"/>
    <w:qFormat/>
    <w:rsid w:val="00A02C78"/>
    <w:pPr>
      <w:numPr>
        <w:numId w:val="19"/>
      </w:numPr>
      <w:spacing w:before="0" w:after="0" w:line="480" w:lineRule="auto"/>
      <w:ind w:left="993" w:hanging="426"/>
    </w:pPr>
    <w:rPr>
      <w:kern w:val="28"/>
    </w:rPr>
  </w:style>
  <w:style w:type="character" w:customStyle="1" w:styleId="TitulopostICar">
    <w:name w:val="Titulo post I Car"/>
    <w:basedOn w:val="DefaultParagraphFont"/>
    <w:link w:val="TitulopostI"/>
    <w:rsid w:val="00A02C78"/>
    <w:rPr>
      <w:rFonts w:eastAsia="Calibri"/>
      <w:b/>
      <w:sz w:val="24"/>
      <w:szCs w:val="24"/>
      <w:lang w:val="es-ES"/>
    </w:rPr>
  </w:style>
  <w:style w:type="character" w:customStyle="1" w:styleId="VietaCar">
    <w:name w:val="Viñeta Car"/>
    <w:basedOn w:val="ParagraphChar"/>
    <w:link w:val="Vieta"/>
    <w:rsid w:val="00A02C78"/>
    <w:rPr>
      <w:kern w:val="28"/>
      <w:sz w:val="24"/>
      <w:lang w:val="es-ES"/>
    </w:rPr>
  </w:style>
  <w:style w:type="paragraph" w:customStyle="1" w:styleId="Entabla">
    <w:name w:val="Entabla"/>
    <w:basedOn w:val="Normal"/>
    <w:link w:val="EntablaCar"/>
    <w:qFormat/>
    <w:rsid w:val="00A02C78"/>
    <w:rPr>
      <w:color w:val="000000"/>
      <w:sz w:val="22"/>
      <w:szCs w:val="22"/>
      <w:lang w:val="es-ES"/>
    </w:rPr>
  </w:style>
  <w:style w:type="paragraph" w:customStyle="1" w:styleId="TituloTabla">
    <w:name w:val="Titulo Tabla"/>
    <w:basedOn w:val="Normal"/>
    <w:link w:val="TituloTablaCar"/>
    <w:qFormat/>
    <w:rsid w:val="00A02C78"/>
    <w:pPr>
      <w:ind w:left="34"/>
    </w:pPr>
    <w:rPr>
      <w:b/>
      <w:bCs/>
      <w:color w:val="000000"/>
      <w:sz w:val="22"/>
      <w:szCs w:val="22"/>
      <w:lang w:val="es-ES"/>
    </w:rPr>
  </w:style>
  <w:style w:type="character" w:customStyle="1" w:styleId="EntablaCar">
    <w:name w:val="Entabla Car"/>
    <w:basedOn w:val="DefaultParagraphFont"/>
    <w:link w:val="Entabla"/>
    <w:rsid w:val="00A02C78"/>
    <w:rPr>
      <w:color w:val="000000"/>
      <w:sz w:val="22"/>
      <w:szCs w:val="22"/>
      <w:lang w:val="es-ES"/>
    </w:rPr>
  </w:style>
  <w:style w:type="character" w:customStyle="1" w:styleId="TituloTablaCar">
    <w:name w:val="Titulo Tabla Car"/>
    <w:basedOn w:val="DefaultParagraphFont"/>
    <w:link w:val="TituloTabla"/>
    <w:rsid w:val="00A02C78"/>
    <w:rPr>
      <w:b/>
      <w:bCs/>
      <w:color w:val="000000"/>
      <w:sz w:val="22"/>
      <w:szCs w:val="22"/>
      <w:lang w:val="es-ES"/>
    </w:rPr>
  </w:style>
  <w:style w:type="paragraph" w:customStyle="1" w:styleId="TableTitle">
    <w:name w:val="TableTitle"/>
    <w:basedOn w:val="Normal"/>
    <w:link w:val="TableTitleChar"/>
    <w:rsid w:val="00772933"/>
    <w:pPr>
      <w:keepNext/>
      <w:framePr w:wrap="around" w:vAnchor="text" w:hAnchor="text" w:y="1"/>
      <w:spacing w:before="20" w:after="20"/>
      <w:jc w:val="center"/>
    </w:pPr>
    <w:rPr>
      <w:rFonts w:ascii="Times New Roman Bold" w:hAnsi="Times New Roman Bold" w:cs="Times New Roman Bold"/>
      <w:b/>
      <w:spacing w:val="-3"/>
      <w:szCs w:val="24"/>
      <w:lang w:val="es-ES"/>
    </w:rPr>
  </w:style>
  <w:style w:type="character" w:customStyle="1" w:styleId="TableTitleChar">
    <w:name w:val="TableTitle Char"/>
    <w:basedOn w:val="DefaultParagraphFont"/>
    <w:link w:val="TableTitle"/>
    <w:rsid w:val="00772933"/>
    <w:rPr>
      <w:rFonts w:ascii="Times New Roman Bold" w:hAnsi="Times New Roman Bold" w:cs="Times New Roman Bold"/>
      <w:b/>
      <w:spacing w:val="-3"/>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529">
      <w:bodyDiv w:val="1"/>
      <w:marLeft w:val="0"/>
      <w:marRight w:val="0"/>
      <w:marTop w:val="0"/>
      <w:marBottom w:val="0"/>
      <w:divBdr>
        <w:top w:val="none" w:sz="0" w:space="0" w:color="auto"/>
        <w:left w:val="none" w:sz="0" w:space="0" w:color="auto"/>
        <w:bottom w:val="none" w:sz="0" w:space="0" w:color="auto"/>
        <w:right w:val="none" w:sz="0" w:space="0" w:color="auto"/>
      </w:divBdr>
    </w:div>
    <w:div w:id="300506126">
      <w:bodyDiv w:val="1"/>
      <w:marLeft w:val="0"/>
      <w:marRight w:val="0"/>
      <w:marTop w:val="0"/>
      <w:marBottom w:val="0"/>
      <w:divBdr>
        <w:top w:val="none" w:sz="0" w:space="0" w:color="auto"/>
        <w:left w:val="none" w:sz="0" w:space="0" w:color="auto"/>
        <w:bottom w:val="none" w:sz="0" w:space="0" w:color="auto"/>
        <w:right w:val="none" w:sz="0" w:space="0" w:color="auto"/>
      </w:divBdr>
    </w:div>
    <w:div w:id="745153099">
      <w:bodyDiv w:val="1"/>
      <w:marLeft w:val="0"/>
      <w:marRight w:val="0"/>
      <w:marTop w:val="0"/>
      <w:marBottom w:val="0"/>
      <w:divBdr>
        <w:top w:val="none" w:sz="0" w:space="0" w:color="auto"/>
        <w:left w:val="none" w:sz="0" w:space="0" w:color="auto"/>
        <w:bottom w:val="none" w:sz="0" w:space="0" w:color="auto"/>
        <w:right w:val="none" w:sz="0" w:space="0" w:color="auto"/>
      </w:divBdr>
    </w:div>
    <w:div w:id="828792751">
      <w:bodyDiv w:val="1"/>
      <w:marLeft w:val="0"/>
      <w:marRight w:val="0"/>
      <w:marTop w:val="0"/>
      <w:marBottom w:val="0"/>
      <w:divBdr>
        <w:top w:val="none" w:sz="0" w:space="0" w:color="auto"/>
        <w:left w:val="none" w:sz="0" w:space="0" w:color="auto"/>
        <w:bottom w:val="none" w:sz="0" w:space="0" w:color="auto"/>
        <w:right w:val="none" w:sz="0" w:space="0" w:color="auto"/>
      </w:divBdr>
    </w:div>
    <w:div w:id="1615940566">
      <w:bodyDiv w:val="1"/>
      <w:marLeft w:val="0"/>
      <w:marRight w:val="0"/>
      <w:marTop w:val="0"/>
      <w:marBottom w:val="0"/>
      <w:divBdr>
        <w:top w:val="none" w:sz="0" w:space="0" w:color="auto"/>
        <w:left w:val="none" w:sz="0" w:space="0" w:color="auto"/>
        <w:bottom w:val="none" w:sz="0" w:space="0" w:color="auto"/>
        <w:right w:val="none" w:sz="0" w:space="0" w:color="auto"/>
      </w:divBdr>
    </w:div>
    <w:div w:id="17819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cy.org/cpi2014/" TargetMode="External"/><Relationship Id="rId1" Type="http://schemas.openxmlformats.org/officeDocument/2006/relationships/hyperlink" Target="http://www.oecd.org/officialdocuments/publicdisplaydocumentpdf/?cote=C(2013)110/FINAL&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B1C68D910A0D4B8C06086886B7DE0C" ma:contentTypeVersion="0" ma:contentTypeDescription="A content type to manage public (operations) IDB documents" ma:contentTypeScope="" ma:versionID="296184365e6d4502054451879afb754b">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39611375</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Arisi, Diego</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CO-L1154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274B465A-20DE-4953-B694-1E3FF7D0E18D}"/>
</file>

<file path=customXml/itemProps2.xml><?xml version="1.0" encoding="utf-8"?>
<ds:datastoreItem xmlns:ds="http://schemas.openxmlformats.org/officeDocument/2006/customXml" ds:itemID="{983E964B-01D5-4766-992C-A3715538B8F3}"/>
</file>

<file path=customXml/itemProps3.xml><?xml version="1.0" encoding="utf-8"?>
<ds:datastoreItem xmlns:ds="http://schemas.openxmlformats.org/officeDocument/2006/customXml" ds:itemID="{55A359E5-ECC9-4976-99DE-30D74FADF749}"/>
</file>

<file path=customXml/itemProps4.xml><?xml version="1.0" encoding="utf-8"?>
<ds:datastoreItem xmlns:ds="http://schemas.openxmlformats.org/officeDocument/2006/customXml" ds:itemID="{0AAEF922-6824-45DB-BFE2-EC05A7AEB66F}"/>
</file>

<file path=customXml/itemProps5.xml><?xml version="1.0" encoding="utf-8"?>
<ds:datastoreItem xmlns:ds="http://schemas.openxmlformats.org/officeDocument/2006/customXml" ds:itemID="{C1420A39-DEC3-4917-8AC6-498D5774B436}"/>
</file>

<file path=customXml/itemProps6.xml><?xml version="1.0" encoding="utf-8"?>
<ds:datastoreItem xmlns:ds="http://schemas.openxmlformats.org/officeDocument/2006/customXml" ds:itemID="{7D2FBA9B-D081-4261-B6B4-24E8769F5C86}"/>
</file>

<file path=docProps/app.xml><?xml version="1.0" encoding="utf-8"?>
<Properties xmlns="http://schemas.openxmlformats.org/officeDocument/2006/extended-properties" xmlns:vt="http://schemas.openxmlformats.org/officeDocument/2006/docPropsVTypes">
  <Template>Normal.dotm</Template>
  <TotalTime>0</TotalTime>
  <Pages>19</Pages>
  <Words>5836</Words>
  <Characters>31693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Estudio Regional de la Gobernabilidad</vt:lpstr>
    </vt:vector>
  </TitlesOfParts>
  <Company>Inter-American Development Bank</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7 - Términos de Referencia Evaluación Ex-post</dc:title>
  <dc:creator>Regional Departments</dc:creator>
  <cp:lastModifiedBy>IADB</cp:lastModifiedBy>
  <cp:revision>2</cp:revision>
  <cp:lastPrinted>2013-05-06T16:43:00Z</cp:lastPrinted>
  <dcterms:created xsi:type="dcterms:W3CDTF">2015-05-04T22:58:00Z</dcterms:created>
  <dcterms:modified xsi:type="dcterms:W3CDTF">2015-05-04T22:58:00Z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0x01010046CF21643EE8D14686A648AA6DAD089200C0B1C68D910A0D4B8C06086886B7DE0C</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