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5B9BD5" w:themeColor="accent1"/>
          <w:sz w:val="24"/>
          <w:szCs w:val="24"/>
          <w:lang w:val="en-CA" w:eastAsia="en-CA"/>
        </w:rPr>
        <w:id w:val="-545752417"/>
        <w:docPartObj>
          <w:docPartGallery w:val="Cover Pages"/>
          <w:docPartUnique/>
        </w:docPartObj>
      </w:sdtPr>
      <w:sdtEndPr>
        <w:rPr>
          <w:color w:val="auto"/>
        </w:rPr>
      </w:sdtEndPr>
      <w:sdtContent>
        <w:p w14:paraId="5E8A5467" w14:textId="6DE5672A" w:rsidR="00E231C6" w:rsidRDefault="00E231C6">
          <w:pPr>
            <w:pStyle w:val="NoSpacing"/>
            <w:spacing w:before="1540" w:after="240"/>
            <w:jc w:val="center"/>
            <w:rPr>
              <w:color w:val="5B9BD5" w:themeColor="accent1"/>
            </w:rPr>
          </w:pPr>
        </w:p>
        <w:p w14:paraId="14B3B929" w14:textId="77777777" w:rsidR="00E231C6" w:rsidRDefault="00E231C6">
          <w:pPr>
            <w:pStyle w:val="NoSpacing"/>
            <w:spacing w:before="1540" w:after="240"/>
            <w:jc w:val="center"/>
            <w:rPr>
              <w:color w:val="5B9BD5" w:themeColor="accent1"/>
            </w:rPr>
          </w:pPr>
        </w:p>
        <w:sdt>
          <w:sdtPr>
            <w:rPr>
              <w:b/>
              <w:bCs/>
              <w:lang w:val="en-GB"/>
            </w:rPr>
            <w:alias w:val="Title"/>
            <w:tag w:val=""/>
            <w:id w:val="1735040861"/>
            <w:placeholder>
              <w:docPart w:val="B20B3A707CD04F9D899DECDE04A7467B"/>
            </w:placeholder>
            <w:dataBinding w:prefixMappings="xmlns:ns0='http://purl.org/dc/elements/1.1/' xmlns:ns1='http://schemas.openxmlformats.org/package/2006/metadata/core-properties' " w:xpath="/ns1:coreProperties[1]/ns0:title[1]" w:storeItemID="{6C3C8BC8-F283-45AE-878A-BAB7291924A1}"/>
            <w:text/>
          </w:sdtPr>
          <w:sdtEndPr/>
          <w:sdtContent>
            <w:p w14:paraId="7BD4D2F3" w14:textId="748D38BC" w:rsidR="00E231C6" w:rsidRDefault="007F276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7F276B">
                <w:rPr>
                  <w:b/>
                  <w:bCs/>
                  <w:lang w:val="en-GB"/>
                </w:rPr>
                <w:t>Reactive Power Compensation – New Sophia Substation</w:t>
              </w:r>
            </w:p>
          </w:sdtContent>
        </w:sdt>
        <w:sdt>
          <w:sdtPr>
            <w:rPr>
              <w:b/>
              <w:bCs/>
              <w:lang w:val="en-GB"/>
            </w:rPr>
            <w:alias w:val="Subtitle"/>
            <w:tag w:val=""/>
            <w:id w:val="328029620"/>
            <w:placeholder>
              <w:docPart w:val="6A242595F99E40A8BFBC98B9615416BB"/>
            </w:placeholder>
            <w:dataBinding w:prefixMappings="xmlns:ns0='http://purl.org/dc/elements/1.1/' xmlns:ns1='http://schemas.openxmlformats.org/package/2006/metadata/core-properties' " w:xpath="/ns1:coreProperties[1]/ns0:subject[1]" w:storeItemID="{6C3C8BC8-F283-45AE-878A-BAB7291924A1}"/>
            <w:text/>
          </w:sdtPr>
          <w:sdtEndPr/>
          <w:sdtContent>
            <w:p w14:paraId="2EADA4D2" w14:textId="1A40807E" w:rsidR="00E231C6" w:rsidRDefault="007F276B">
              <w:pPr>
                <w:pStyle w:val="NoSpacing"/>
                <w:jc w:val="center"/>
                <w:rPr>
                  <w:color w:val="5B9BD5" w:themeColor="accent1"/>
                  <w:sz w:val="28"/>
                  <w:szCs w:val="28"/>
                </w:rPr>
              </w:pPr>
              <w:r>
                <w:rPr>
                  <w:b/>
                  <w:bCs/>
                  <w:lang w:val="en-GB"/>
                </w:rPr>
                <w:t xml:space="preserve">Draft </w:t>
              </w:r>
              <w:r w:rsidR="00703042">
                <w:rPr>
                  <w:b/>
                  <w:bCs/>
                  <w:lang w:val="en-GB"/>
                </w:rPr>
                <w:t xml:space="preserve">Final </w:t>
              </w:r>
              <w:r>
                <w:rPr>
                  <w:b/>
                  <w:bCs/>
                  <w:lang w:val="en-GB"/>
                </w:rPr>
                <w:t>Report</w:t>
              </w:r>
            </w:p>
          </w:sdtContent>
        </w:sdt>
        <w:p w14:paraId="5698DF89" w14:textId="3A716769" w:rsidR="00E231C6" w:rsidRDefault="00E231C6">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11EAF068" wp14:editId="7D156E2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60022019"/>
                                  <w:dataBinding w:prefixMappings="xmlns:ns0='http://schemas.microsoft.com/office/2006/coverPageProps' " w:xpath="/ns0:CoverPageProperties[1]/ns0:PublishDate[1]" w:storeItemID="{55AF091B-3C7A-41E3-B477-F2FDAA23CFDA}"/>
                                  <w:date w:fullDate="2018-08-03T00:00:00Z">
                                    <w:dateFormat w:val="MMMM d, yyyy"/>
                                    <w:lid w:val="en-US"/>
                                    <w:storeMappedDataAs w:val="dateTime"/>
                                    <w:calendar w:val="gregorian"/>
                                  </w:date>
                                </w:sdtPr>
                                <w:sdtEndPr/>
                                <w:sdtContent>
                                  <w:p w14:paraId="64453C57" w14:textId="1758479F" w:rsidR="00E231C6" w:rsidRDefault="00703042">
                                    <w:pPr>
                                      <w:pStyle w:val="NoSpacing"/>
                                      <w:spacing w:after="40"/>
                                      <w:jc w:val="center"/>
                                      <w:rPr>
                                        <w:caps/>
                                        <w:color w:val="5B9BD5" w:themeColor="accent1"/>
                                        <w:sz w:val="28"/>
                                        <w:szCs w:val="28"/>
                                      </w:rPr>
                                    </w:pPr>
                                    <w:r>
                                      <w:rPr>
                                        <w:caps/>
                                        <w:color w:val="5B9BD5" w:themeColor="accent1"/>
                                        <w:sz w:val="28"/>
                                        <w:szCs w:val="28"/>
                                      </w:rPr>
                                      <w:t>August 3, 2018</w:t>
                                    </w:r>
                                  </w:p>
                                </w:sdtContent>
                              </w:sdt>
                              <w:p w14:paraId="4F28B9A2" w14:textId="1F75B298" w:rsidR="00E231C6" w:rsidRDefault="00EC7A2E">
                                <w:pPr>
                                  <w:pStyle w:val="NoSpacing"/>
                                  <w:jc w:val="center"/>
                                  <w:rPr>
                                    <w:color w:val="5B9BD5" w:themeColor="accent1"/>
                                  </w:rPr>
                                </w:pPr>
                                <w:sdt>
                                  <w:sdtPr>
                                    <w:rPr>
                                      <w:caps/>
                                      <w:color w:val="5B9BD5" w:themeColor="accent1"/>
                                    </w:rPr>
                                    <w:alias w:val="Company"/>
                                    <w:tag w:val=""/>
                                    <w:id w:val="-1566720421"/>
                                    <w:showingPlcHdr/>
                                    <w:dataBinding w:prefixMappings="xmlns:ns0='http://schemas.openxmlformats.org/officeDocument/2006/extended-properties' " w:xpath="/ns0:Properties[1]/ns0:Company[1]" w:storeItemID="{6668398D-A668-4E3E-A5EB-62B293D839F1}"/>
                                    <w:text/>
                                  </w:sdtPr>
                                  <w:sdtEndPr/>
                                  <w:sdtContent>
                                    <w:r w:rsidR="00E231C6">
                                      <w:rPr>
                                        <w:caps/>
                                        <w:color w:val="5B9BD5" w:themeColor="accent1"/>
                                      </w:rPr>
                                      <w:t xml:space="preserve">     </w:t>
                                    </w:r>
                                  </w:sdtContent>
                                </w:sdt>
                              </w:p>
                              <w:p w14:paraId="6866687F" w14:textId="3AC6E97D" w:rsidR="00E231C6" w:rsidRDefault="007F276B">
                                <w:pPr>
                                  <w:pStyle w:val="NoSpacing"/>
                                  <w:jc w:val="center"/>
                                  <w:rPr>
                                    <w:color w:val="5B9BD5" w:themeColor="accent1"/>
                                  </w:rPr>
                                </w:pPr>
                                <w:proofErr w:type="spellStart"/>
                                <w:r>
                                  <w:rPr>
                                    <w:color w:val="5B9BD5" w:themeColor="accent1"/>
                                  </w:rPr>
                                  <w:t>Verlyn</w:t>
                                </w:r>
                                <w:proofErr w:type="spellEnd"/>
                                <w:r>
                                  <w:rPr>
                                    <w:color w:val="5B9BD5" w:themeColor="accent1"/>
                                  </w:rPr>
                                  <w:t xml:space="preserve"> Klass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1EAF06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60022019"/>
                            <w:dataBinding w:prefixMappings="xmlns:ns0='http://schemas.microsoft.com/office/2006/coverPageProps' " w:xpath="/ns0:CoverPageProperties[1]/ns0:PublishDate[1]" w:storeItemID="{55AF091B-3C7A-41E3-B477-F2FDAA23CFDA}"/>
                            <w:date w:fullDate="2018-08-03T00:00:00Z">
                              <w:dateFormat w:val="MMMM d, yyyy"/>
                              <w:lid w:val="en-US"/>
                              <w:storeMappedDataAs w:val="dateTime"/>
                              <w:calendar w:val="gregorian"/>
                            </w:date>
                          </w:sdtPr>
                          <w:sdtEndPr/>
                          <w:sdtContent>
                            <w:p w14:paraId="64453C57" w14:textId="1758479F" w:rsidR="00E231C6" w:rsidRDefault="00703042">
                              <w:pPr>
                                <w:pStyle w:val="NoSpacing"/>
                                <w:spacing w:after="40"/>
                                <w:jc w:val="center"/>
                                <w:rPr>
                                  <w:caps/>
                                  <w:color w:val="5B9BD5" w:themeColor="accent1"/>
                                  <w:sz w:val="28"/>
                                  <w:szCs w:val="28"/>
                                </w:rPr>
                              </w:pPr>
                              <w:r>
                                <w:rPr>
                                  <w:caps/>
                                  <w:color w:val="5B9BD5" w:themeColor="accent1"/>
                                  <w:sz w:val="28"/>
                                  <w:szCs w:val="28"/>
                                </w:rPr>
                                <w:t>August 3, 2018</w:t>
                              </w:r>
                            </w:p>
                          </w:sdtContent>
                        </w:sdt>
                        <w:p w14:paraId="4F28B9A2" w14:textId="1F75B298" w:rsidR="00E231C6" w:rsidRDefault="00EC7A2E">
                          <w:pPr>
                            <w:pStyle w:val="NoSpacing"/>
                            <w:jc w:val="center"/>
                            <w:rPr>
                              <w:color w:val="5B9BD5" w:themeColor="accent1"/>
                            </w:rPr>
                          </w:pPr>
                          <w:sdt>
                            <w:sdtPr>
                              <w:rPr>
                                <w:caps/>
                                <w:color w:val="5B9BD5" w:themeColor="accent1"/>
                              </w:rPr>
                              <w:alias w:val="Company"/>
                              <w:tag w:val=""/>
                              <w:id w:val="-1566720421"/>
                              <w:showingPlcHdr/>
                              <w:dataBinding w:prefixMappings="xmlns:ns0='http://schemas.openxmlformats.org/officeDocument/2006/extended-properties' " w:xpath="/ns0:Properties[1]/ns0:Company[1]" w:storeItemID="{6668398D-A668-4E3E-A5EB-62B293D839F1}"/>
                              <w:text/>
                            </w:sdtPr>
                            <w:sdtEndPr/>
                            <w:sdtContent>
                              <w:r w:rsidR="00E231C6">
                                <w:rPr>
                                  <w:caps/>
                                  <w:color w:val="5B9BD5" w:themeColor="accent1"/>
                                </w:rPr>
                                <w:t xml:space="preserve">     </w:t>
                              </w:r>
                            </w:sdtContent>
                          </w:sdt>
                        </w:p>
                        <w:p w14:paraId="6866687F" w14:textId="3AC6E97D" w:rsidR="00E231C6" w:rsidRDefault="007F276B">
                          <w:pPr>
                            <w:pStyle w:val="NoSpacing"/>
                            <w:jc w:val="center"/>
                            <w:rPr>
                              <w:color w:val="5B9BD5" w:themeColor="accent1"/>
                            </w:rPr>
                          </w:pPr>
                          <w:proofErr w:type="spellStart"/>
                          <w:r>
                            <w:rPr>
                              <w:color w:val="5B9BD5" w:themeColor="accent1"/>
                            </w:rPr>
                            <w:t>Verlyn</w:t>
                          </w:r>
                          <w:proofErr w:type="spellEnd"/>
                          <w:r>
                            <w:rPr>
                              <w:color w:val="5B9BD5" w:themeColor="accent1"/>
                            </w:rPr>
                            <w:t xml:space="preserve"> Klass</w:t>
                          </w:r>
                        </w:p>
                      </w:txbxContent>
                    </v:textbox>
                    <w10:wrap anchorx="margin" anchory="page"/>
                  </v:shape>
                </w:pict>
              </mc:Fallback>
            </mc:AlternateContent>
          </w:r>
        </w:p>
        <w:p w14:paraId="01E1CBDC" w14:textId="5FC66D3B" w:rsidR="00E231C6" w:rsidRDefault="00E231C6">
          <w:pPr>
            <w:jc w:val="left"/>
          </w:pPr>
          <w:r>
            <w:br w:type="page"/>
          </w:r>
        </w:p>
      </w:sdtContent>
    </w:sdt>
    <w:p w14:paraId="1D95C885" w14:textId="22967A62" w:rsidR="00384DDA" w:rsidRPr="00384DDA" w:rsidRDefault="00CB5C31" w:rsidP="00384DDA">
      <w:pPr>
        <w:spacing w:before="120" w:after="120" w:line="276" w:lineRule="auto"/>
        <w:ind w:firstLine="360"/>
        <w:rPr>
          <w:bCs/>
          <w:lang w:val="en-GB"/>
        </w:rPr>
      </w:pPr>
      <w:r w:rsidRPr="00384DDA">
        <w:rPr>
          <w:b/>
          <w:lang w:val="en-US" w:eastAsia="en-US"/>
        </w:rPr>
        <w:lastRenderedPageBreak/>
        <w:t xml:space="preserve">Project </w:t>
      </w:r>
      <w:r w:rsidR="00384DDA" w:rsidRPr="00384DDA">
        <w:rPr>
          <w:b/>
          <w:lang w:val="en-US" w:eastAsia="en-US"/>
        </w:rPr>
        <w:t>2</w:t>
      </w:r>
      <w:r w:rsidRPr="00384DDA">
        <w:rPr>
          <w:b/>
          <w:lang w:val="en-US" w:eastAsia="en-US"/>
        </w:rPr>
        <w:t>:</w:t>
      </w:r>
      <w:r w:rsidRPr="00384DDA">
        <w:rPr>
          <w:b/>
          <w:lang w:val="en-US" w:eastAsia="en-US"/>
        </w:rPr>
        <w:tab/>
      </w:r>
      <w:r w:rsidR="00384DDA" w:rsidRPr="00384DDA">
        <w:rPr>
          <w:b/>
          <w:bCs/>
          <w:lang w:val="en-GB"/>
        </w:rPr>
        <w:t>Reactive Power Compensation – New Sophia Substation</w:t>
      </w:r>
    </w:p>
    <w:p w14:paraId="74E4FBCB" w14:textId="77777777" w:rsidR="00CB5C31" w:rsidRPr="009969F0" w:rsidRDefault="00CB5C31" w:rsidP="00CB5C31">
      <w:pPr>
        <w:spacing w:after="120" w:line="276" w:lineRule="auto"/>
        <w:ind w:left="360"/>
        <w:contextualSpacing/>
        <w:rPr>
          <w:lang w:val="en-US" w:eastAsia="en-US"/>
        </w:rPr>
      </w:pPr>
    </w:p>
    <w:p w14:paraId="0F9C9183" w14:textId="6CA109D8" w:rsidR="00CB5C31" w:rsidRPr="00FE607C" w:rsidRDefault="00CB5C31" w:rsidP="00CB5C31">
      <w:pPr>
        <w:numPr>
          <w:ilvl w:val="1"/>
          <w:numId w:val="24"/>
        </w:numPr>
        <w:spacing w:before="100" w:beforeAutospacing="1" w:after="120" w:line="276" w:lineRule="auto"/>
        <w:ind w:left="1080"/>
        <w:contextualSpacing/>
        <w:rPr>
          <w:b/>
          <w:lang w:val="en-US" w:eastAsia="en-US"/>
        </w:rPr>
      </w:pPr>
      <w:r w:rsidRPr="00FE607C">
        <w:rPr>
          <w:b/>
          <w:lang w:val="en-US" w:eastAsia="en-US"/>
        </w:rPr>
        <w:t>Introduction</w:t>
      </w:r>
    </w:p>
    <w:p w14:paraId="04871540" w14:textId="7DE1DBA4" w:rsidR="00CB5C31" w:rsidRDefault="00CB5C31" w:rsidP="00E51D42">
      <w:pPr>
        <w:pStyle w:val="ListParagraph"/>
        <w:spacing w:before="100" w:beforeAutospacing="1" w:after="120" w:line="276" w:lineRule="auto"/>
        <w:ind w:left="1080"/>
        <w:rPr>
          <w:lang w:bidi="en-US"/>
        </w:rPr>
      </w:pPr>
      <w:r w:rsidRPr="00D11A6A">
        <w:t xml:space="preserve">The Guyana Power and Light, Inc. (GPL) is a vertically integrated state-owned utility whose operations comprise generation, transmission and distribution. GPL’s nominal installed generating capacity </w:t>
      </w:r>
      <w:r w:rsidR="00D11E66">
        <w:t>i</w:t>
      </w:r>
      <w:r w:rsidRPr="00D11A6A">
        <w:t>s 17</w:t>
      </w:r>
      <w:r>
        <w:t>2</w:t>
      </w:r>
      <w:r w:rsidRPr="00D11A6A">
        <w:t xml:space="preserve">-MegaWatt (MW), </w:t>
      </w:r>
      <w:r w:rsidR="00393B70">
        <w:t xml:space="preserve">with 136 MW effective and operable, </w:t>
      </w:r>
      <w:r w:rsidRPr="00D11A6A">
        <w:t xml:space="preserve">delivering </w:t>
      </w:r>
      <w:r>
        <w:t>762</w:t>
      </w:r>
      <w:r w:rsidRPr="00D11A6A">
        <w:t>-GigaWatt-hour (GWh) of energy in 2017. GPL supplies electricity to nearly 189,000 customers in the coastal communities, serving a relatively small urban and suburban area of roughly 500-square kilometers (km</w:t>
      </w:r>
      <w:r w:rsidRPr="00D11A6A">
        <w:rPr>
          <w:position w:val="8"/>
          <w:vertAlign w:val="superscript"/>
        </w:rPr>
        <w:t>2</w:t>
      </w:r>
      <w:r w:rsidRPr="00D11A6A">
        <w:t xml:space="preserve">), where more than 80 percent (%) of the population resides. </w:t>
      </w:r>
      <w:r w:rsidR="00D11E66">
        <w:t xml:space="preserve">The </w:t>
      </w:r>
      <w:r w:rsidRPr="00D11A6A">
        <w:rPr>
          <w:lang w:bidi="en-US"/>
        </w:rPr>
        <w:t>power generation installed capacity is 90 per cent (%) based on heavy- fuel oil (83% of the total electricity supply) and 10% on diesel.</w:t>
      </w:r>
    </w:p>
    <w:p w14:paraId="0E29219F" w14:textId="5AFB7AF2" w:rsidR="00D11E66" w:rsidRDefault="00D11E66" w:rsidP="00CB5C31">
      <w:pPr>
        <w:pStyle w:val="ListParagraph"/>
        <w:spacing w:before="100" w:beforeAutospacing="1" w:after="120" w:line="276" w:lineRule="auto"/>
        <w:rPr>
          <w:lang w:bidi="en-US"/>
        </w:rPr>
      </w:pPr>
    </w:p>
    <w:p w14:paraId="66581F53" w14:textId="35DD4478" w:rsidR="00D11E66" w:rsidRPr="00E856A8" w:rsidRDefault="00D11E66" w:rsidP="00E51D42">
      <w:pPr>
        <w:pStyle w:val="Default"/>
        <w:spacing w:before="10" w:after="10" w:line="276" w:lineRule="auto"/>
        <w:ind w:left="1080"/>
        <w:contextualSpacing/>
        <w:jc w:val="both"/>
        <w:rPr>
          <w:rFonts w:eastAsia="Times New Roman"/>
          <w:color w:val="auto"/>
          <w:lang w:bidi="en-US"/>
        </w:rPr>
      </w:pPr>
      <w:bookmarkStart w:id="0" w:name="_Hlk520061299"/>
      <w:r>
        <w:t xml:space="preserve">In addition to </w:t>
      </w:r>
      <w:r w:rsidR="00393B70">
        <w:t xml:space="preserve">four </w:t>
      </w:r>
      <w:r>
        <w:t>small isolated systems in the Essequibo region</w:t>
      </w:r>
      <w:r w:rsidR="00393B70">
        <w:t>,</w:t>
      </w:r>
      <w:r>
        <w:t xml:space="preserve"> GPL operates the </w:t>
      </w:r>
      <w:proofErr w:type="spellStart"/>
      <w:r>
        <w:t>Demerara</w:t>
      </w:r>
      <w:proofErr w:type="spellEnd"/>
      <w:r>
        <w:t xml:space="preserve">/Berbice Interconnected system (DBIS), a 60Hz system interconnecting the </w:t>
      </w:r>
      <w:proofErr w:type="spellStart"/>
      <w:r>
        <w:t>Demerara</w:t>
      </w:r>
      <w:proofErr w:type="spellEnd"/>
      <w:r>
        <w:t xml:space="preserve"> and Berbice regions at 69 kV.  </w:t>
      </w:r>
      <w:r w:rsidRPr="00E856A8">
        <w:rPr>
          <w:rFonts w:eastAsia="Times New Roman"/>
          <w:color w:val="auto"/>
          <w:lang w:bidi="en-US"/>
        </w:rPr>
        <w:t xml:space="preserve">In 2017, the peak power demand in the </w:t>
      </w:r>
      <w:proofErr w:type="spellStart"/>
      <w:r w:rsidRPr="00E856A8">
        <w:rPr>
          <w:rFonts w:eastAsia="Times New Roman"/>
          <w:color w:val="auto"/>
          <w:lang w:bidi="en-US"/>
        </w:rPr>
        <w:t>Demerara</w:t>
      </w:r>
      <w:proofErr w:type="spellEnd"/>
      <w:r w:rsidRPr="00E856A8">
        <w:rPr>
          <w:rFonts w:eastAsia="Times New Roman"/>
          <w:color w:val="auto"/>
          <w:lang w:bidi="en-US"/>
        </w:rPr>
        <w:t xml:space="preserve"> Berbice Interconnected system was 115-MW. </w:t>
      </w:r>
      <w:r>
        <w:rPr>
          <w:rFonts w:eastAsia="Times New Roman"/>
          <w:color w:val="auto"/>
          <w:lang w:bidi="en-US"/>
        </w:rPr>
        <w:t xml:space="preserve"> </w:t>
      </w:r>
      <w:r w:rsidRPr="00E856A8">
        <w:rPr>
          <w:rFonts w:eastAsia="Times New Roman"/>
          <w:color w:val="auto"/>
          <w:lang w:bidi="en-US"/>
        </w:rPr>
        <w:t>Electricity demand in Guyana is expected to continue growing on a 4.8% yearly average based on GPL’s 2017-2021 D</w:t>
      </w:r>
      <w:r w:rsidR="00757E0C">
        <w:rPr>
          <w:rFonts w:eastAsia="Times New Roman"/>
          <w:color w:val="auto"/>
          <w:lang w:bidi="en-US"/>
        </w:rPr>
        <w:t xml:space="preserve">evelopment </w:t>
      </w:r>
      <w:r w:rsidRPr="00E856A8">
        <w:rPr>
          <w:rFonts w:eastAsia="Times New Roman"/>
          <w:color w:val="auto"/>
          <w:lang w:bidi="en-US"/>
        </w:rPr>
        <w:t>&amp;</w:t>
      </w:r>
      <w:r w:rsidR="00757E0C">
        <w:rPr>
          <w:rFonts w:eastAsia="Times New Roman"/>
          <w:color w:val="auto"/>
          <w:lang w:bidi="en-US"/>
        </w:rPr>
        <w:t xml:space="preserve"> </w:t>
      </w:r>
      <w:r w:rsidRPr="00E856A8">
        <w:rPr>
          <w:rFonts w:eastAsia="Times New Roman"/>
          <w:color w:val="auto"/>
          <w:lang w:bidi="en-US"/>
        </w:rPr>
        <w:t>E</w:t>
      </w:r>
      <w:r w:rsidR="00757E0C">
        <w:rPr>
          <w:rFonts w:eastAsia="Times New Roman"/>
          <w:color w:val="auto"/>
          <w:lang w:bidi="en-US"/>
        </w:rPr>
        <w:t>xpansion (D&amp;E)</w:t>
      </w:r>
      <w:r w:rsidRPr="00E856A8">
        <w:rPr>
          <w:rFonts w:eastAsia="Times New Roman"/>
          <w:color w:val="auto"/>
          <w:lang w:bidi="en-US"/>
        </w:rPr>
        <w:t xml:space="preserve"> plan, mainly due to the positive trend in economic growth</w:t>
      </w:r>
      <w:r w:rsidR="00757E0C">
        <w:rPr>
          <w:rFonts w:eastAsia="Times New Roman"/>
          <w:color w:val="auto"/>
          <w:lang w:bidi="en-US"/>
        </w:rPr>
        <w:t>.</w:t>
      </w:r>
      <w:r w:rsidR="00393B70">
        <w:rPr>
          <w:rFonts w:eastAsia="Times New Roman"/>
          <w:color w:val="auto"/>
          <w:lang w:bidi="en-US"/>
        </w:rPr>
        <w:t xml:space="preserve"> </w:t>
      </w:r>
      <w:r w:rsidRPr="00E856A8">
        <w:rPr>
          <w:rFonts w:eastAsia="Times New Roman"/>
          <w:color w:val="auto"/>
          <w:lang w:bidi="en-US"/>
        </w:rPr>
        <w:t>New developments in the commercial, industrial and residential sectors</w:t>
      </w:r>
      <w:r w:rsidR="00757E0C">
        <w:rPr>
          <w:rFonts w:eastAsia="Times New Roman"/>
          <w:color w:val="auto"/>
          <w:lang w:bidi="en-US"/>
        </w:rPr>
        <w:t xml:space="preserve"> </w:t>
      </w:r>
      <w:r w:rsidRPr="00E856A8">
        <w:rPr>
          <w:rFonts w:eastAsia="Times New Roman"/>
          <w:color w:val="auto"/>
          <w:lang w:bidi="en-US"/>
        </w:rPr>
        <w:t>are expected to contribute to the increase in electricity demand.</w:t>
      </w:r>
    </w:p>
    <w:p w14:paraId="421A5D9D" w14:textId="77777777" w:rsidR="00D11E66" w:rsidRDefault="00D11E66" w:rsidP="00CB5C31">
      <w:pPr>
        <w:pStyle w:val="Default"/>
        <w:spacing w:before="10" w:after="10" w:line="276" w:lineRule="auto"/>
        <w:ind w:left="720"/>
        <w:contextualSpacing/>
        <w:jc w:val="both"/>
        <w:rPr>
          <w:rFonts w:eastAsia="Times New Roman"/>
          <w:color w:val="auto"/>
          <w:lang w:bidi="en-US"/>
        </w:rPr>
      </w:pPr>
    </w:p>
    <w:p w14:paraId="58C80D69" w14:textId="77777777" w:rsidR="00D15A35" w:rsidRDefault="00D15A35" w:rsidP="00E51D42">
      <w:pPr>
        <w:pStyle w:val="Default"/>
        <w:spacing w:before="10" w:after="10" w:line="276" w:lineRule="auto"/>
        <w:ind w:left="1080"/>
        <w:contextualSpacing/>
        <w:jc w:val="both"/>
        <w:rPr>
          <w:rFonts w:eastAsia="Times New Roman"/>
          <w:color w:val="auto"/>
          <w:lang w:bidi="en-US"/>
        </w:rPr>
      </w:pPr>
      <w:r w:rsidRPr="00D15A35">
        <w:rPr>
          <w:rFonts w:eastAsia="Times New Roman"/>
          <w:color w:val="auto"/>
          <w:lang w:bidi="en-US"/>
        </w:rPr>
        <w:t>Key operational results and indicators show critical weaknesses in GPL’s operations, such as: (</w:t>
      </w:r>
      <w:proofErr w:type="spellStart"/>
      <w:r w:rsidRPr="00D15A35">
        <w:rPr>
          <w:rFonts w:eastAsia="Times New Roman"/>
          <w:color w:val="auto"/>
          <w:lang w:bidi="en-US"/>
        </w:rPr>
        <w:t>i</w:t>
      </w:r>
      <w:proofErr w:type="spellEnd"/>
      <w:r w:rsidRPr="00D15A35">
        <w:rPr>
          <w:rFonts w:eastAsia="Times New Roman"/>
          <w:color w:val="auto"/>
          <w:lang w:bidi="en-US"/>
        </w:rPr>
        <w:t xml:space="preserve">) the persistence of high electricity losses after several years of trying different strategies to curb them; and (ii) low quality of service, partly due to an aged, weak and overloaded transmission and distribution network. These factors, together with low technical and executing capacities of GPL, high generation costs, and constraints to raising already-high tariffs, all contribute to poor financial results, which in turn, limit the company’s ability to finance its capital expenditures. </w:t>
      </w:r>
    </w:p>
    <w:p w14:paraId="4D15E2F1" w14:textId="77777777" w:rsidR="00D15A35" w:rsidRDefault="00D15A35" w:rsidP="00D15A35">
      <w:pPr>
        <w:pStyle w:val="Default"/>
        <w:spacing w:before="10" w:after="10" w:line="276" w:lineRule="auto"/>
        <w:ind w:left="720"/>
        <w:contextualSpacing/>
        <w:jc w:val="both"/>
        <w:rPr>
          <w:rFonts w:eastAsia="Times New Roman"/>
          <w:color w:val="auto"/>
          <w:lang w:bidi="en-US"/>
        </w:rPr>
      </w:pPr>
    </w:p>
    <w:p w14:paraId="46DFF8C2" w14:textId="77DFD493" w:rsidR="006457B8" w:rsidRDefault="00D15A35" w:rsidP="00E51D42">
      <w:pPr>
        <w:pStyle w:val="Default"/>
        <w:spacing w:before="10" w:after="10" w:line="276" w:lineRule="auto"/>
        <w:ind w:left="1080"/>
        <w:contextualSpacing/>
        <w:jc w:val="both"/>
        <w:rPr>
          <w:rFonts w:eastAsia="Times New Roman"/>
          <w:color w:val="auto"/>
          <w:lang w:bidi="en-US"/>
        </w:rPr>
      </w:pPr>
      <w:proofErr w:type="gramStart"/>
      <w:r w:rsidRPr="00D15A35">
        <w:rPr>
          <w:rFonts w:eastAsia="Times New Roman"/>
          <w:color w:val="auto"/>
          <w:lang w:bidi="en-US"/>
        </w:rPr>
        <w:t>In order to</w:t>
      </w:r>
      <w:proofErr w:type="gramEnd"/>
      <w:r w:rsidRPr="00D15A35">
        <w:rPr>
          <w:rFonts w:eastAsia="Times New Roman"/>
          <w:color w:val="auto"/>
          <w:lang w:bidi="en-US"/>
        </w:rPr>
        <w:t xml:space="preserve"> address problems in the </w:t>
      </w:r>
      <w:r w:rsidR="00757E0C">
        <w:rPr>
          <w:rFonts w:eastAsia="Times New Roman"/>
          <w:color w:val="auto"/>
          <w:lang w:bidi="en-US"/>
        </w:rPr>
        <w:t xml:space="preserve">transmission and </w:t>
      </w:r>
      <w:r w:rsidRPr="00D15A35">
        <w:rPr>
          <w:rFonts w:eastAsia="Times New Roman"/>
          <w:color w:val="auto"/>
          <w:lang w:bidi="en-US"/>
        </w:rPr>
        <w:t>distribution network and to cope with projected increases in electricity demand, GPL has been considering a wide range of infrastructure investments in its recent D&amp;E</w:t>
      </w:r>
      <w:r w:rsidR="001A2379">
        <w:rPr>
          <w:rFonts w:eastAsia="Times New Roman"/>
          <w:color w:val="auto"/>
          <w:lang w:bidi="en-US"/>
        </w:rPr>
        <w:t xml:space="preserve"> Plans</w:t>
      </w:r>
      <w:r w:rsidRPr="00D15A35">
        <w:rPr>
          <w:rFonts w:eastAsia="Times New Roman"/>
          <w:color w:val="auto"/>
          <w:lang w:bidi="en-US"/>
        </w:rPr>
        <w:t>. However, persistent delays in the preparation and execution of such plans have hindered the achievement of substantial results. Key technical challenges in GPL can therefore be identified in two inter-related areas: (</w:t>
      </w:r>
      <w:proofErr w:type="spellStart"/>
      <w:r w:rsidRPr="00D15A35">
        <w:rPr>
          <w:rFonts w:eastAsia="Times New Roman"/>
          <w:color w:val="auto"/>
          <w:lang w:bidi="en-US"/>
        </w:rPr>
        <w:t>i</w:t>
      </w:r>
      <w:proofErr w:type="spellEnd"/>
      <w:r w:rsidRPr="00D15A35">
        <w:rPr>
          <w:rFonts w:eastAsia="Times New Roman"/>
          <w:color w:val="auto"/>
          <w:lang w:bidi="en-US"/>
        </w:rPr>
        <w:t>) low operational efficiency; and (ii) weak and limited infrastructure to meet the expected growth in demand</w:t>
      </w:r>
      <w:r>
        <w:rPr>
          <w:rFonts w:eastAsia="Times New Roman"/>
          <w:color w:val="auto"/>
          <w:lang w:bidi="en-US"/>
        </w:rPr>
        <w:t xml:space="preserve">. </w:t>
      </w:r>
      <w:r w:rsidR="00393B70" w:rsidRPr="00D15A35">
        <w:rPr>
          <w:rFonts w:eastAsia="Times New Roman"/>
          <w:color w:val="auto"/>
          <w:lang w:bidi="en-US"/>
        </w:rPr>
        <w:t>Th</w:t>
      </w:r>
      <w:r w:rsidR="006457B8">
        <w:rPr>
          <w:rFonts w:eastAsia="Times New Roman"/>
          <w:color w:val="auto"/>
          <w:lang w:bidi="en-US"/>
        </w:rPr>
        <w:t>ese deficiencies have caused many industrie</w:t>
      </w:r>
      <w:r w:rsidR="00393B70" w:rsidRPr="00D15A35">
        <w:rPr>
          <w:rFonts w:eastAsia="Times New Roman"/>
          <w:color w:val="auto"/>
          <w:lang w:bidi="en-US"/>
        </w:rPr>
        <w:t xml:space="preserve">s to self-generate their electricity. </w:t>
      </w:r>
    </w:p>
    <w:p w14:paraId="3A788729" w14:textId="77777777" w:rsidR="006457B8" w:rsidRDefault="006457B8" w:rsidP="00D15A35">
      <w:pPr>
        <w:pStyle w:val="Default"/>
        <w:spacing w:before="10" w:after="10" w:line="276" w:lineRule="auto"/>
        <w:ind w:left="720"/>
        <w:contextualSpacing/>
        <w:jc w:val="both"/>
        <w:rPr>
          <w:rFonts w:eastAsia="Times New Roman"/>
          <w:color w:val="auto"/>
          <w:lang w:bidi="en-US"/>
        </w:rPr>
      </w:pPr>
    </w:p>
    <w:p w14:paraId="02453373" w14:textId="2796F03A" w:rsidR="00CB5C31" w:rsidRPr="00E856A8" w:rsidRDefault="00CB5C31" w:rsidP="00E51D42">
      <w:pPr>
        <w:pStyle w:val="Default"/>
        <w:spacing w:before="10" w:after="10" w:line="276" w:lineRule="auto"/>
        <w:ind w:left="1080"/>
        <w:contextualSpacing/>
        <w:jc w:val="both"/>
        <w:rPr>
          <w:rFonts w:eastAsia="Times New Roman"/>
          <w:color w:val="auto"/>
          <w:lang w:bidi="en-US"/>
        </w:rPr>
      </w:pPr>
      <w:r w:rsidRPr="00E856A8">
        <w:rPr>
          <w:rFonts w:eastAsia="Times New Roman"/>
          <w:color w:val="auto"/>
          <w:lang w:bidi="en-US"/>
        </w:rPr>
        <w:lastRenderedPageBreak/>
        <w:t>I</w:t>
      </w:r>
      <w:r w:rsidR="00393B70">
        <w:rPr>
          <w:rFonts w:eastAsia="Times New Roman"/>
          <w:color w:val="auto"/>
          <w:lang w:bidi="en-US"/>
        </w:rPr>
        <w:t>t is</w:t>
      </w:r>
      <w:r w:rsidR="006457B8">
        <w:rPr>
          <w:rFonts w:eastAsia="Times New Roman"/>
          <w:color w:val="auto"/>
          <w:lang w:bidi="en-US"/>
        </w:rPr>
        <w:t xml:space="preserve"> therefore</w:t>
      </w:r>
      <w:r w:rsidR="00393B70">
        <w:rPr>
          <w:rFonts w:eastAsia="Times New Roman"/>
          <w:color w:val="auto"/>
          <w:lang w:bidi="en-US"/>
        </w:rPr>
        <w:t xml:space="preserve"> essential </w:t>
      </w:r>
      <w:r w:rsidR="00393B70" w:rsidRPr="00E856A8">
        <w:rPr>
          <w:rFonts w:eastAsia="Times New Roman"/>
          <w:color w:val="auto"/>
          <w:lang w:bidi="en-US"/>
        </w:rPr>
        <w:t>for GPL’s output to be of suitable quality and reliability and for electricity prices to be lower than the marginal cost of self-generation</w:t>
      </w:r>
      <w:r w:rsidR="00393B70">
        <w:rPr>
          <w:rFonts w:eastAsia="Times New Roman"/>
          <w:color w:val="auto"/>
          <w:lang w:bidi="en-US"/>
        </w:rPr>
        <w:t xml:space="preserve"> </w:t>
      </w:r>
      <w:proofErr w:type="gramStart"/>
      <w:r w:rsidR="00393B70">
        <w:rPr>
          <w:rFonts w:eastAsia="Times New Roman"/>
          <w:color w:val="auto"/>
          <w:lang w:bidi="en-US"/>
        </w:rPr>
        <w:t>i</w:t>
      </w:r>
      <w:r w:rsidRPr="00E856A8">
        <w:rPr>
          <w:rFonts w:eastAsia="Times New Roman"/>
          <w:color w:val="auto"/>
          <w:lang w:bidi="en-US"/>
        </w:rPr>
        <w:t>n order for</w:t>
      </w:r>
      <w:proofErr w:type="gramEnd"/>
      <w:r w:rsidRPr="00E856A8">
        <w:rPr>
          <w:rFonts w:eastAsia="Times New Roman"/>
          <w:color w:val="auto"/>
          <w:lang w:bidi="en-US"/>
        </w:rPr>
        <w:t xml:space="preserve"> the self-generators to switch to GPL’s supply</w:t>
      </w:r>
      <w:r w:rsidR="00393B70">
        <w:rPr>
          <w:rFonts w:eastAsia="Times New Roman"/>
          <w:color w:val="auto"/>
          <w:lang w:bidi="en-US"/>
        </w:rPr>
        <w:t>.</w:t>
      </w:r>
      <w:r w:rsidRPr="00E856A8">
        <w:rPr>
          <w:rFonts w:eastAsia="Times New Roman"/>
          <w:color w:val="auto"/>
          <w:lang w:bidi="en-US"/>
        </w:rPr>
        <w:t xml:space="preserve"> </w:t>
      </w:r>
      <w:r w:rsidR="00B34DE6">
        <w:rPr>
          <w:rFonts w:eastAsia="Times New Roman"/>
          <w:color w:val="auto"/>
          <w:lang w:bidi="en-US"/>
        </w:rPr>
        <w:t xml:space="preserve">Two </w:t>
      </w:r>
      <w:r w:rsidR="00A671CB">
        <w:rPr>
          <w:rFonts w:eastAsia="Times New Roman"/>
          <w:color w:val="auto"/>
          <w:lang w:bidi="en-US"/>
        </w:rPr>
        <w:t xml:space="preserve">important </w:t>
      </w:r>
      <w:r w:rsidR="00B34DE6">
        <w:rPr>
          <w:rFonts w:eastAsia="Times New Roman"/>
          <w:color w:val="auto"/>
          <w:lang w:bidi="en-US"/>
        </w:rPr>
        <w:t xml:space="preserve">measures to achieve </w:t>
      </w:r>
      <w:r w:rsidR="00A671CB">
        <w:rPr>
          <w:rFonts w:eastAsia="Times New Roman"/>
          <w:color w:val="auto"/>
          <w:lang w:bidi="en-US"/>
        </w:rPr>
        <w:t>th</w:t>
      </w:r>
      <w:r w:rsidR="00B34DE6">
        <w:rPr>
          <w:rFonts w:eastAsia="Times New Roman"/>
          <w:color w:val="auto"/>
          <w:lang w:bidi="en-US"/>
        </w:rPr>
        <w:t>ese</w:t>
      </w:r>
      <w:r w:rsidR="00A671CB">
        <w:rPr>
          <w:rFonts w:eastAsia="Times New Roman"/>
          <w:color w:val="auto"/>
          <w:lang w:bidi="en-US"/>
        </w:rPr>
        <w:t xml:space="preserve"> improvement</w:t>
      </w:r>
      <w:r w:rsidR="00B34DE6">
        <w:rPr>
          <w:rFonts w:eastAsia="Times New Roman"/>
          <w:color w:val="auto"/>
          <w:lang w:bidi="en-US"/>
        </w:rPr>
        <w:t xml:space="preserve">s are </w:t>
      </w:r>
      <w:r w:rsidR="00A671CB">
        <w:rPr>
          <w:rFonts w:eastAsia="Times New Roman"/>
          <w:color w:val="auto"/>
          <w:lang w:bidi="en-US"/>
        </w:rPr>
        <w:t xml:space="preserve">to </w:t>
      </w:r>
      <w:r w:rsidR="00B34DE6">
        <w:rPr>
          <w:rFonts w:eastAsia="Times New Roman"/>
          <w:color w:val="auto"/>
          <w:lang w:bidi="en-US"/>
        </w:rPr>
        <w:t xml:space="preserve">improve its voltage supply and quality </w:t>
      </w:r>
      <w:r w:rsidR="00A671CB">
        <w:rPr>
          <w:rFonts w:eastAsia="Times New Roman"/>
          <w:color w:val="auto"/>
          <w:lang w:bidi="en-US"/>
        </w:rPr>
        <w:t xml:space="preserve">and to reduce the system’s technical losses.  The </w:t>
      </w:r>
      <w:r w:rsidR="001A2379">
        <w:rPr>
          <w:rFonts w:eastAsia="Times New Roman"/>
          <w:color w:val="auto"/>
          <w:lang w:bidi="en-US"/>
        </w:rPr>
        <w:t xml:space="preserve">efficient </w:t>
      </w:r>
      <w:r w:rsidR="00A671CB">
        <w:rPr>
          <w:rFonts w:eastAsia="Times New Roman"/>
          <w:color w:val="auto"/>
          <w:lang w:bidi="en-US"/>
        </w:rPr>
        <w:t xml:space="preserve">operation of the </w:t>
      </w:r>
      <w:proofErr w:type="spellStart"/>
      <w:r w:rsidR="00A671CB">
        <w:rPr>
          <w:rFonts w:eastAsia="Times New Roman"/>
          <w:color w:val="auto"/>
          <w:lang w:bidi="en-US"/>
        </w:rPr>
        <w:t>Demerara</w:t>
      </w:r>
      <w:proofErr w:type="spellEnd"/>
      <w:r w:rsidR="00A671CB">
        <w:rPr>
          <w:rFonts w:eastAsia="Times New Roman"/>
          <w:color w:val="auto"/>
          <w:lang w:bidi="en-US"/>
        </w:rPr>
        <w:t>/Berbice interconnected system is critical to these improvements.</w:t>
      </w:r>
    </w:p>
    <w:bookmarkEnd w:id="0"/>
    <w:p w14:paraId="2C376752" w14:textId="77777777" w:rsidR="00CB5C31" w:rsidRPr="001F06C7" w:rsidRDefault="00CB5C31" w:rsidP="00CB5C31">
      <w:pPr>
        <w:numPr>
          <w:ilvl w:val="1"/>
          <w:numId w:val="24"/>
        </w:numPr>
        <w:spacing w:before="100" w:beforeAutospacing="1" w:after="120" w:line="276" w:lineRule="auto"/>
        <w:ind w:left="1080"/>
        <w:contextualSpacing/>
        <w:rPr>
          <w:b/>
          <w:lang w:val="en-US" w:eastAsia="en-US"/>
        </w:rPr>
      </w:pPr>
      <w:r w:rsidRPr="001F06C7">
        <w:rPr>
          <w:b/>
          <w:lang w:val="en-US" w:eastAsia="en-US"/>
        </w:rPr>
        <w:t xml:space="preserve">Problem  </w:t>
      </w:r>
    </w:p>
    <w:p w14:paraId="64838CAE" w14:textId="73ABDA20" w:rsidR="00CB5C31" w:rsidRDefault="00CB5C31" w:rsidP="00E51D42">
      <w:pPr>
        <w:spacing w:before="100" w:beforeAutospacing="1" w:after="120" w:line="276" w:lineRule="auto"/>
        <w:ind w:left="1080"/>
      </w:pPr>
      <w:r>
        <w:rPr>
          <w:lang w:val="en-US" w:eastAsia="en-US"/>
        </w:rPr>
        <w:t xml:space="preserve">The 69 kV </w:t>
      </w:r>
      <w:proofErr w:type="spellStart"/>
      <w:r>
        <w:rPr>
          <w:lang w:val="en-US" w:eastAsia="en-US"/>
        </w:rPr>
        <w:t>Demerara</w:t>
      </w:r>
      <w:proofErr w:type="spellEnd"/>
      <w:r>
        <w:rPr>
          <w:lang w:val="en-US" w:eastAsia="en-US"/>
        </w:rPr>
        <w:t xml:space="preserve">/Berbice interconnected transmission system (DBIS) consists of </w:t>
      </w:r>
      <w:r w:rsidR="001A2379">
        <w:rPr>
          <w:lang w:val="en-US" w:eastAsia="en-US"/>
        </w:rPr>
        <w:t>2</w:t>
      </w:r>
      <w:r>
        <w:rPr>
          <w:lang w:val="en-US" w:eastAsia="en-US"/>
        </w:rPr>
        <w:t xml:space="preserve">76 km </w:t>
      </w:r>
      <w:r w:rsidR="001F06C7">
        <w:rPr>
          <w:lang w:val="en-US" w:eastAsia="en-US"/>
        </w:rPr>
        <w:t xml:space="preserve">of transmission circuits </w:t>
      </w:r>
      <w:r>
        <w:rPr>
          <w:lang w:val="en-US" w:eastAsia="en-US"/>
        </w:rPr>
        <w:t xml:space="preserve">interconnecting </w:t>
      </w:r>
      <w:r w:rsidR="00F01D6E">
        <w:rPr>
          <w:lang w:val="en-US" w:eastAsia="en-US"/>
        </w:rPr>
        <w:t>6</w:t>
      </w:r>
      <w:r>
        <w:rPr>
          <w:lang w:val="en-US" w:eastAsia="en-US"/>
        </w:rPr>
        <w:t xml:space="preserve"> power stations and 1</w:t>
      </w:r>
      <w:r w:rsidR="00F01D6E">
        <w:rPr>
          <w:lang w:val="en-US" w:eastAsia="en-US"/>
        </w:rPr>
        <w:t>4</w:t>
      </w:r>
      <w:r>
        <w:rPr>
          <w:lang w:val="en-US" w:eastAsia="en-US"/>
        </w:rPr>
        <w:t xml:space="preserve"> substations from </w:t>
      </w:r>
      <w:proofErr w:type="spellStart"/>
      <w:r>
        <w:rPr>
          <w:lang w:val="en-US" w:eastAsia="en-US"/>
        </w:rPr>
        <w:t>Skeldon</w:t>
      </w:r>
      <w:proofErr w:type="spellEnd"/>
      <w:r>
        <w:rPr>
          <w:lang w:val="en-US" w:eastAsia="en-US"/>
        </w:rPr>
        <w:t xml:space="preserve"> in the East </w:t>
      </w:r>
      <w:proofErr w:type="spellStart"/>
      <w:r>
        <w:rPr>
          <w:lang w:val="en-US" w:eastAsia="en-US"/>
        </w:rPr>
        <w:t>Corentyne</w:t>
      </w:r>
      <w:proofErr w:type="spellEnd"/>
      <w:r>
        <w:rPr>
          <w:lang w:val="en-US" w:eastAsia="en-US"/>
        </w:rPr>
        <w:t xml:space="preserve"> to Edinburgh, West </w:t>
      </w:r>
      <w:proofErr w:type="spellStart"/>
      <w:r>
        <w:rPr>
          <w:lang w:val="en-US" w:eastAsia="en-US"/>
        </w:rPr>
        <w:t>Demerara</w:t>
      </w:r>
      <w:proofErr w:type="spellEnd"/>
      <w:r>
        <w:rPr>
          <w:lang w:val="en-US" w:eastAsia="en-US"/>
        </w:rPr>
        <w:t xml:space="preserve">. </w:t>
      </w:r>
      <w:r w:rsidR="00F01D6E">
        <w:rPr>
          <w:lang w:val="en-US" w:eastAsia="en-US"/>
        </w:rPr>
        <w:t xml:space="preserve">(See </w:t>
      </w:r>
      <w:r w:rsidR="00B34DE6">
        <w:rPr>
          <w:lang w:val="en-US" w:eastAsia="en-US"/>
        </w:rPr>
        <w:t>S</w:t>
      </w:r>
      <w:r w:rsidR="001A2379">
        <w:rPr>
          <w:lang w:val="en-US" w:eastAsia="en-US"/>
        </w:rPr>
        <w:t>chematic in</w:t>
      </w:r>
      <w:r w:rsidR="00F01D6E">
        <w:rPr>
          <w:lang w:val="en-US" w:eastAsia="en-US"/>
        </w:rPr>
        <w:t xml:space="preserve"> Appendix I).  </w:t>
      </w:r>
      <w:r>
        <w:rPr>
          <w:lang w:val="en-US" w:eastAsia="en-US"/>
        </w:rPr>
        <w:t>An important link in this system is the interconnection of the 58 MW Kingston power station</w:t>
      </w:r>
      <w:r w:rsidR="00B34DE6">
        <w:rPr>
          <w:lang w:val="en-US" w:eastAsia="en-US"/>
        </w:rPr>
        <w:t>,</w:t>
      </w:r>
      <w:r>
        <w:rPr>
          <w:lang w:val="en-US" w:eastAsia="en-US"/>
        </w:rPr>
        <w:t xml:space="preserve"> via a 5</w:t>
      </w:r>
      <w:r w:rsidR="00A671CB">
        <w:rPr>
          <w:lang w:val="en-US" w:eastAsia="en-US"/>
        </w:rPr>
        <w:t xml:space="preserve"> </w:t>
      </w:r>
      <w:r>
        <w:rPr>
          <w:lang w:val="en-US" w:eastAsia="en-US"/>
        </w:rPr>
        <w:t>km 69 kV transmission line (L5)</w:t>
      </w:r>
      <w:r w:rsidR="00B34DE6">
        <w:rPr>
          <w:lang w:val="en-US" w:eastAsia="en-US"/>
        </w:rPr>
        <w:t>,</w:t>
      </w:r>
      <w:r>
        <w:rPr>
          <w:lang w:val="en-US" w:eastAsia="en-US"/>
        </w:rPr>
        <w:t xml:space="preserve"> to a major substation at Sophia</w:t>
      </w:r>
      <w:r w:rsidR="00B34DE6">
        <w:rPr>
          <w:lang w:val="en-US" w:eastAsia="en-US"/>
        </w:rPr>
        <w:t>,</w:t>
      </w:r>
      <w:r>
        <w:rPr>
          <w:lang w:val="en-US" w:eastAsia="en-US"/>
        </w:rPr>
        <w:t xml:space="preserve"> which </w:t>
      </w:r>
      <w:r w:rsidRPr="002B2BF7">
        <w:t xml:space="preserve">functions as the distribution hub of the power system supplying substations at North </w:t>
      </w:r>
      <w:proofErr w:type="spellStart"/>
      <w:r w:rsidRPr="002B2BF7">
        <w:t>Ruimveldt</w:t>
      </w:r>
      <w:proofErr w:type="spellEnd"/>
      <w:r w:rsidRPr="002B2BF7">
        <w:t xml:space="preserve">, Good Hope, Columbia and </w:t>
      </w:r>
      <w:proofErr w:type="spellStart"/>
      <w:r w:rsidRPr="002B2BF7">
        <w:t>Onverwagt</w:t>
      </w:r>
      <w:proofErr w:type="spellEnd"/>
      <w:r w:rsidRPr="002B2BF7">
        <w:t xml:space="preserve">. </w:t>
      </w:r>
      <w:r>
        <w:t xml:space="preserve"> </w:t>
      </w:r>
      <w:r w:rsidR="001E05DC">
        <w:t xml:space="preserve">Recent records (2018) show transmission </w:t>
      </w:r>
      <w:r w:rsidR="001F06C7">
        <w:t xml:space="preserve">levels </w:t>
      </w:r>
      <w:r w:rsidR="001E05DC">
        <w:t>of up to 47 MVA along this line</w:t>
      </w:r>
      <w:r w:rsidR="00B34DE6">
        <w:t>.</w:t>
      </w:r>
    </w:p>
    <w:p w14:paraId="1C6AC545" w14:textId="199405D8" w:rsidR="00992E2D" w:rsidRDefault="00C01E8A" w:rsidP="00F01D6E">
      <w:pPr>
        <w:spacing w:before="10" w:after="10" w:line="276" w:lineRule="auto"/>
        <w:ind w:left="1080"/>
      </w:pPr>
      <w:r>
        <w:t>In the period between the mid 1970’s and 2016, GPL’s interconnected system operated at both 11 kV, 50 Hz and 13.8 kV, 60 Hz and frequency converters at Sophia substation were operated to balance the supply of generation and loads at the two frequencies.  An important function of the converters was their ability to provide voltage support at both the 50Hz and 60 Hz busbars.  When the DBIS system was standar</w:t>
      </w:r>
      <w:r w:rsidR="00992E2D">
        <w:t xml:space="preserve">dised at 60 Hz in 2016, the frequency converters operated as synchronous condensers to provide reactive compensation to the system.  </w:t>
      </w:r>
      <w:r w:rsidR="00F20442">
        <w:t>However, w</w:t>
      </w:r>
      <w:r w:rsidR="00992E2D">
        <w:t>hen the frequency converter station was decommissioned in 2017</w:t>
      </w:r>
      <w:r w:rsidR="00241030">
        <w:t xml:space="preserve"> because all the machines became inoperable</w:t>
      </w:r>
      <w:r w:rsidR="00992E2D">
        <w:t xml:space="preserve">, this voltage support to the DBIS system was no longer available.  </w:t>
      </w:r>
    </w:p>
    <w:p w14:paraId="456476EA" w14:textId="3A32C03B" w:rsidR="00992E2D" w:rsidRDefault="00992E2D" w:rsidP="00F01D6E">
      <w:pPr>
        <w:spacing w:before="10" w:after="10" w:line="276" w:lineRule="auto"/>
        <w:ind w:left="1080"/>
      </w:pPr>
    </w:p>
    <w:p w14:paraId="185041DF" w14:textId="10D499BA" w:rsidR="008B160B" w:rsidRDefault="00992E2D" w:rsidP="00992E2D">
      <w:pPr>
        <w:spacing w:before="10" w:after="10" w:line="276" w:lineRule="auto"/>
        <w:ind w:left="1080"/>
      </w:pPr>
      <w:r>
        <w:t xml:space="preserve">With no voltage support at Sophia substation, the Kingston power station is expected to provide the required reactive vars, however </w:t>
      </w:r>
      <w:r w:rsidR="00F20442">
        <w:t xml:space="preserve">it is unable to do this and supply the necessary real power and this has </w:t>
      </w:r>
      <w:r>
        <w:t xml:space="preserve">meant that the voltage levels at Sophia </w:t>
      </w:r>
      <w:r w:rsidR="00F20442">
        <w:t xml:space="preserve">are now </w:t>
      </w:r>
      <w:r>
        <w:t>low.  Recent data recorded by the SCADA system have been used to produce the f</w:t>
      </w:r>
      <w:r w:rsidR="0064081E">
        <w:t>o</w:t>
      </w:r>
      <w:r>
        <w:t xml:space="preserve">llowing graphs.  </w:t>
      </w:r>
      <w:r w:rsidR="008B160B">
        <w:t xml:space="preserve">Figure 1 </w:t>
      </w:r>
      <w:r>
        <w:t xml:space="preserve">below </w:t>
      </w:r>
      <w:r w:rsidR="008B160B">
        <w:t xml:space="preserve">shows </w:t>
      </w:r>
      <w:r w:rsidR="001A2379">
        <w:t>typical l</w:t>
      </w:r>
      <w:r w:rsidR="008B160B">
        <w:t>evel</w:t>
      </w:r>
      <w:r w:rsidR="001A2379">
        <w:t>s</w:t>
      </w:r>
      <w:r w:rsidR="008B160B">
        <w:t xml:space="preserve"> of voltage at Kingston and Sophia</w:t>
      </w:r>
      <w:r w:rsidR="0064081E">
        <w:t xml:space="preserve"> 69 kV busbars</w:t>
      </w:r>
      <w:r w:rsidR="001A2379">
        <w:t>.</w:t>
      </w:r>
      <w:r w:rsidR="008B160B">
        <w:t xml:space="preserve"> </w:t>
      </w:r>
    </w:p>
    <w:p w14:paraId="400AC473" w14:textId="781F5048" w:rsidR="00CF2303" w:rsidRDefault="00CF2303" w:rsidP="00E51D42">
      <w:pPr>
        <w:spacing w:before="100" w:beforeAutospacing="1" w:after="120" w:line="276" w:lineRule="auto"/>
        <w:ind w:left="1080"/>
      </w:pPr>
    </w:p>
    <w:p w14:paraId="6457D88F" w14:textId="191BD046" w:rsidR="00CF2303" w:rsidRDefault="00CF2303" w:rsidP="00E51D42">
      <w:pPr>
        <w:spacing w:before="100" w:beforeAutospacing="1" w:after="120" w:line="276" w:lineRule="auto"/>
        <w:ind w:left="1080"/>
      </w:pPr>
    </w:p>
    <w:p w14:paraId="4A9F3DCA" w14:textId="553A60DE" w:rsidR="00CF2303" w:rsidRDefault="00CF2303" w:rsidP="00CF2303">
      <w:pPr>
        <w:spacing w:before="100" w:beforeAutospacing="1" w:after="120"/>
        <w:ind w:left="1080"/>
        <w:contextualSpacing/>
      </w:pPr>
    </w:p>
    <w:p w14:paraId="3BA30588" w14:textId="1DD18402" w:rsidR="00992E2D" w:rsidRDefault="00992E2D" w:rsidP="00CF2303">
      <w:pPr>
        <w:spacing w:before="100" w:beforeAutospacing="1" w:after="120"/>
        <w:ind w:left="1080"/>
        <w:contextualSpacing/>
      </w:pPr>
    </w:p>
    <w:p w14:paraId="09C21327" w14:textId="77777777" w:rsidR="00EF606F" w:rsidRDefault="00EF606F" w:rsidP="00CF2303">
      <w:pPr>
        <w:spacing w:before="100" w:beforeAutospacing="1" w:after="120"/>
        <w:ind w:left="1080"/>
        <w:contextualSpacing/>
      </w:pPr>
    </w:p>
    <w:p w14:paraId="74AE96EB" w14:textId="77777777" w:rsidR="00992E2D" w:rsidRDefault="00992E2D" w:rsidP="00CF2303">
      <w:pPr>
        <w:spacing w:before="100" w:beforeAutospacing="1" w:after="120"/>
        <w:ind w:left="1800" w:firstLine="360"/>
        <w:contextualSpacing/>
      </w:pPr>
    </w:p>
    <w:p w14:paraId="0E49A9AC" w14:textId="77777777" w:rsidR="00992E2D" w:rsidRDefault="00992E2D" w:rsidP="00CF2303">
      <w:pPr>
        <w:spacing w:before="100" w:beforeAutospacing="1" w:after="120"/>
        <w:ind w:left="1800" w:firstLine="360"/>
        <w:contextualSpacing/>
      </w:pPr>
    </w:p>
    <w:p w14:paraId="5B11DD9A" w14:textId="68E0AC94" w:rsidR="00CF2303" w:rsidRDefault="00CF2303" w:rsidP="00CF2303">
      <w:pPr>
        <w:spacing w:before="100" w:beforeAutospacing="1" w:after="120"/>
        <w:ind w:left="1800" w:firstLine="360"/>
        <w:contextualSpacing/>
      </w:pPr>
      <w:r>
        <w:t>Figure 1:</w:t>
      </w:r>
      <w:r>
        <w:tab/>
        <w:t>Typical Voltage levels at Kingston and Sophia</w:t>
      </w:r>
    </w:p>
    <w:p w14:paraId="52F15CDB" w14:textId="52BCA1DE" w:rsidR="00A2582A" w:rsidRDefault="008B160B" w:rsidP="00A2582A">
      <w:pPr>
        <w:spacing w:before="100" w:beforeAutospacing="1" w:after="120"/>
        <w:ind w:left="1080"/>
        <w:contextualSpacing/>
        <w:jc w:val="center"/>
      </w:pPr>
      <w:r>
        <w:rPr>
          <w:noProof/>
        </w:rPr>
        <w:drawing>
          <wp:inline distT="0" distB="0" distL="0" distR="0" wp14:anchorId="2FBBEBB4" wp14:editId="2061225C">
            <wp:extent cx="4572000" cy="2743200"/>
            <wp:effectExtent l="19050" t="19050" r="19050" b="19050"/>
            <wp:docPr id="3" name="Chart 3">
              <a:extLst xmlns:a="http://schemas.openxmlformats.org/drawingml/2006/main">
                <a:ext uri="{FF2B5EF4-FFF2-40B4-BE49-F238E27FC236}">
                  <a16:creationId xmlns:a16="http://schemas.microsoft.com/office/drawing/2014/main" id="{A7B4752E-553F-4ABA-A743-5E5B13E6D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722567" w14:textId="14183E4F" w:rsidR="00CF2303" w:rsidRDefault="00A2582A" w:rsidP="00E51D42">
      <w:pPr>
        <w:spacing w:before="100" w:beforeAutospacing="1" w:after="120" w:line="276" w:lineRule="auto"/>
        <w:ind w:left="1080"/>
      </w:pPr>
      <w:r>
        <w:t xml:space="preserve">The low voltage levels at Sophia are not only outside the accepted levels required at the transmission level but account for low receipt of power at the Sophia substation.  Figure 2 shows </w:t>
      </w:r>
      <w:r w:rsidR="00F20442">
        <w:t>(</w:t>
      </w:r>
      <w:proofErr w:type="spellStart"/>
      <w:r w:rsidR="00F20442">
        <w:t>i</w:t>
      </w:r>
      <w:proofErr w:type="spellEnd"/>
      <w:r w:rsidR="00F20442">
        <w:t xml:space="preserve">) </w:t>
      </w:r>
      <w:r>
        <w:t xml:space="preserve">the power flow from Kingston, </w:t>
      </w:r>
      <w:r w:rsidR="00F20442">
        <w:t xml:space="preserve">(ii) </w:t>
      </w:r>
      <w:r>
        <w:t xml:space="preserve">the calculated line losses and </w:t>
      </w:r>
      <w:r w:rsidR="00F20442">
        <w:t xml:space="preserve">(iii) </w:t>
      </w:r>
      <w:r>
        <w:t>the power received at Sophia</w:t>
      </w:r>
      <w:r w:rsidR="001A2379">
        <w:t xml:space="preserve"> based on data at 10 July 2018</w:t>
      </w:r>
      <w:r>
        <w:t xml:space="preserve">.  </w:t>
      </w:r>
      <w:r w:rsidR="00703042">
        <w:t>Further a</w:t>
      </w:r>
      <w:r w:rsidR="00B24F36">
        <w:t>nalysis show</w:t>
      </w:r>
      <w:r w:rsidR="00703042">
        <w:t>s</w:t>
      </w:r>
      <w:r w:rsidR="00B24F36">
        <w:t xml:space="preserve"> that t</w:t>
      </w:r>
      <w:r>
        <w:t xml:space="preserve">he </w:t>
      </w:r>
      <w:r w:rsidR="00B24F36">
        <w:t xml:space="preserve">total </w:t>
      </w:r>
      <w:r w:rsidR="001A2379">
        <w:t xml:space="preserve">power </w:t>
      </w:r>
      <w:r>
        <w:t xml:space="preserve">losses </w:t>
      </w:r>
      <w:r w:rsidR="007041B5">
        <w:t>is 5% which is at the higher end of the range for acceptable transmission losses.</w:t>
      </w:r>
      <w:r>
        <w:t xml:space="preserve"> </w:t>
      </w:r>
      <w:r w:rsidR="00B24F36">
        <w:t>Increasing the voltage level</w:t>
      </w:r>
      <w:r w:rsidR="00703042">
        <w:t>s</w:t>
      </w:r>
      <w:r w:rsidR="00B24F36">
        <w:t xml:space="preserve"> at Sophia can reduce these losses.</w:t>
      </w:r>
    </w:p>
    <w:p w14:paraId="5F1B2919" w14:textId="60EF4EBD" w:rsidR="00A2582A" w:rsidRDefault="00CF2303" w:rsidP="001A2379">
      <w:pPr>
        <w:spacing w:before="100" w:beforeAutospacing="1" w:after="120"/>
        <w:ind w:left="360" w:firstLine="720"/>
        <w:contextualSpacing/>
      </w:pPr>
      <w:r>
        <w:t xml:space="preserve">Figure 2: </w:t>
      </w:r>
      <w:r w:rsidR="00A2582A">
        <w:t xml:space="preserve"> </w:t>
      </w:r>
      <w:r>
        <w:t>Daily Power Flows and Losses on the Kingston/Sophia Transmission Line</w:t>
      </w:r>
    </w:p>
    <w:p w14:paraId="1750A64F" w14:textId="66AC6458" w:rsidR="00A96577" w:rsidRDefault="00A96577" w:rsidP="001C5BEA">
      <w:pPr>
        <w:spacing w:before="100" w:beforeAutospacing="1" w:after="120" w:line="276" w:lineRule="auto"/>
        <w:ind w:left="720" w:firstLine="720"/>
        <w:jc w:val="center"/>
      </w:pPr>
      <w:r>
        <w:rPr>
          <w:noProof/>
        </w:rPr>
        <w:drawing>
          <wp:inline distT="0" distB="0" distL="0" distR="0" wp14:anchorId="0035AEE9" wp14:editId="3885DE83">
            <wp:extent cx="4572000" cy="2743200"/>
            <wp:effectExtent l="19050" t="19050" r="19050" b="19050"/>
            <wp:docPr id="12" name="Chart 12">
              <a:extLst xmlns:a="http://schemas.openxmlformats.org/drawingml/2006/main">
                <a:ext uri="{FF2B5EF4-FFF2-40B4-BE49-F238E27FC236}">
                  <a16:creationId xmlns:a16="http://schemas.microsoft.com/office/drawing/2014/main" id="{5BF2D178-6692-4700-8489-26AC759437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E47197" w14:textId="2DCC3D03" w:rsidR="003B1783" w:rsidRDefault="007331E1" w:rsidP="00E51D42">
      <w:pPr>
        <w:spacing w:before="100" w:beforeAutospacing="1" w:after="120" w:line="276" w:lineRule="auto"/>
        <w:ind w:left="1080"/>
      </w:pPr>
      <w:r>
        <w:t xml:space="preserve">Calculations from the data show 4.2 MWh of line losses and 41.5 MWh losses due to low voltage for that day.  Weekend records </w:t>
      </w:r>
      <w:r w:rsidR="001A2379">
        <w:t xml:space="preserve">revealed </w:t>
      </w:r>
      <w:r>
        <w:t xml:space="preserve">similar data and </w:t>
      </w:r>
      <w:r w:rsidR="0064081E">
        <w:t xml:space="preserve">confirm the above </w:t>
      </w:r>
      <w:r w:rsidR="0064081E">
        <w:lastRenderedPageBreak/>
        <w:t xml:space="preserve">observations.  </w:t>
      </w:r>
      <w:r w:rsidR="001A2379">
        <w:t>Based o</w:t>
      </w:r>
      <w:r>
        <w:t>n a</w:t>
      </w:r>
      <w:r w:rsidR="001A2379">
        <w:t xml:space="preserve"> </w:t>
      </w:r>
      <w:r>
        <w:t>generation cost of US$</w:t>
      </w:r>
      <w:r w:rsidR="003E186C">
        <w:t xml:space="preserve"> </w:t>
      </w:r>
      <w:r>
        <w:t>0.12 per kWh</w:t>
      </w:r>
      <w:r w:rsidR="001A2379">
        <w:t xml:space="preserve"> </w:t>
      </w:r>
      <w:r>
        <w:t xml:space="preserve">annual losses </w:t>
      </w:r>
      <w:r w:rsidR="001C5BEA">
        <w:t xml:space="preserve">due to low voltage </w:t>
      </w:r>
      <w:r w:rsidR="0064081E">
        <w:t xml:space="preserve">have been calculated at </w:t>
      </w:r>
      <w:r w:rsidR="001C5BEA">
        <w:t>US$1.8 M.</w:t>
      </w:r>
    </w:p>
    <w:p w14:paraId="750F667F" w14:textId="78878F9E" w:rsidR="001D5918" w:rsidRDefault="001D5918" w:rsidP="00E51D42">
      <w:pPr>
        <w:spacing w:before="100" w:beforeAutospacing="1" w:after="120" w:line="276" w:lineRule="auto"/>
        <w:ind w:left="1080"/>
      </w:pPr>
      <w:r>
        <w:t>Low transmission voltages result in low distribution voltages and reduce the quality of supply to the consumers.  There have been numerous complaints of low supply voltages in the DBIS supply area.</w:t>
      </w:r>
    </w:p>
    <w:p w14:paraId="5B042870" w14:textId="77777777" w:rsidR="001D5918" w:rsidRDefault="001D5918" w:rsidP="00E51D42">
      <w:pPr>
        <w:spacing w:before="100" w:beforeAutospacing="1" w:after="120" w:line="276" w:lineRule="auto"/>
        <w:ind w:left="1080"/>
      </w:pPr>
    </w:p>
    <w:p w14:paraId="7FF0707C" w14:textId="204FC6BE" w:rsidR="00CB5C31" w:rsidRDefault="00CB5C31" w:rsidP="00CB5C31">
      <w:pPr>
        <w:numPr>
          <w:ilvl w:val="1"/>
          <w:numId w:val="24"/>
        </w:numPr>
        <w:spacing w:before="100" w:beforeAutospacing="1" w:after="120" w:line="276" w:lineRule="auto"/>
        <w:ind w:left="1080"/>
        <w:contextualSpacing/>
        <w:rPr>
          <w:b/>
          <w:lang w:val="en-US" w:eastAsia="en-US"/>
        </w:rPr>
      </w:pPr>
      <w:r w:rsidRPr="001F06C7">
        <w:rPr>
          <w:b/>
          <w:lang w:val="en-US" w:eastAsia="en-US"/>
        </w:rPr>
        <w:t xml:space="preserve">Base </w:t>
      </w:r>
      <w:r w:rsidR="00FE607C">
        <w:rPr>
          <w:b/>
          <w:lang w:val="en-US" w:eastAsia="en-US"/>
        </w:rPr>
        <w:t>L</w:t>
      </w:r>
      <w:r w:rsidRPr="001F06C7">
        <w:rPr>
          <w:b/>
          <w:lang w:val="en-US" w:eastAsia="en-US"/>
        </w:rPr>
        <w:t xml:space="preserve">ine </w:t>
      </w:r>
      <w:r w:rsidR="00FE607C">
        <w:rPr>
          <w:b/>
          <w:lang w:val="en-US" w:eastAsia="en-US"/>
        </w:rPr>
        <w:t>D</w:t>
      </w:r>
      <w:r w:rsidRPr="001F06C7">
        <w:rPr>
          <w:b/>
          <w:lang w:val="en-US" w:eastAsia="en-US"/>
        </w:rPr>
        <w:t>efinition</w:t>
      </w:r>
      <w:r w:rsidR="00FE607C">
        <w:rPr>
          <w:b/>
          <w:lang w:val="en-US" w:eastAsia="en-US"/>
        </w:rPr>
        <w:t>s</w:t>
      </w:r>
      <w:r w:rsidRPr="001F06C7">
        <w:rPr>
          <w:b/>
          <w:lang w:val="en-US" w:eastAsia="en-US"/>
        </w:rPr>
        <w:t xml:space="preserve"> </w:t>
      </w:r>
    </w:p>
    <w:p w14:paraId="0C06C0E5" w14:textId="219E3F7A" w:rsidR="000E141E" w:rsidRDefault="000E141E" w:rsidP="001C5BEA">
      <w:pPr>
        <w:spacing w:before="100" w:beforeAutospacing="1" w:after="120" w:line="276" w:lineRule="auto"/>
        <w:ind w:left="1080"/>
        <w:contextualSpacing/>
        <w:rPr>
          <w:lang w:val="en-US" w:eastAsia="en-US"/>
        </w:rPr>
      </w:pPr>
      <w:r>
        <w:rPr>
          <w:lang w:val="en-US" w:eastAsia="en-US"/>
        </w:rPr>
        <w:t>The base line definitions for this project are (</w:t>
      </w:r>
      <w:proofErr w:type="spellStart"/>
      <w:r>
        <w:rPr>
          <w:lang w:val="en-US" w:eastAsia="en-US"/>
        </w:rPr>
        <w:t>i</w:t>
      </w:r>
      <w:proofErr w:type="spellEnd"/>
      <w:r>
        <w:rPr>
          <w:lang w:val="en-US" w:eastAsia="en-US"/>
        </w:rPr>
        <w:t>) the level and cost of power losses due to low voltage and (ii) the number of low voltage complaints recorded.</w:t>
      </w:r>
    </w:p>
    <w:p w14:paraId="662F369C" w14:textId="77777777" w:rsidR="000E141E" w:rsidRDefault="000E141E" w:rsidP="001C5BEA">
      <w:pPr>
        <w:spacing w:before="100" w:beforeAutospacing="1" w:after="120" w:line="276" w:lineRule="auto"/>
        <w:ind w:left="1080"/>
        <w:contextualSpacing/>
        <w:rPr>
          <w:lang w:val="en-US" w:eastAsia="en-US"/>
        </w:rPr>
      </w:pPr>
    </w:p>
    <w:p w14:paraId="2F882D4F" w14:textId="54F6F6AA" w:rsidR="001C5BEA" w:rsidRDefault="001C5BEA" w:rsidP="001C5BEA">
      <w:pPr>
        <w:spacing w:before="100" w:beforeAutospacing="1" w:after="120" w:line="276" w:lineRule="auto"/>
        <w:ind w:left="1080"/>
        <w:contextualSpacing/>
        <w:rPr>
          <w:lang w:val="en-US" w:eastAsia="en-US"/>
        </w:rPr>
      </w:pPr>
      <w:r>
        <w:rPr>
          <w:lang w:val="en-US" w:eastAsia="en-US"/>
        </w:rPr>
        <w:t xml:space="preserve">Voltage levels for power received at Sophia are on average 5% below the sending end Kingston voltage level.  </w:t>
      </w:r>
      <w:r w:rsidR="003920D7">
        <w:rPr>
          <w:lang w:val="en-US" w:eastAsia="en-US"/>
        </w:rPr>
        <w:t xml:space="preserve">An increase in the voltage level at Sophia can reduce the level of </w:t>
      </w:r>
      <w:r w:rsidR="001D5918">
        <w:rPr>
          <w:lang w:val="en-US" w:eastAsia="en-US"/>
        </w:rPr>
        <w:t xml:space="preserve">losses in the transfer of power between </w:t>
      </w:r>
      <w:r w:rsidR="00F20442">
        <w:rPr>
          <w:lang w:val="en-US" w:eastAsia="en-US"/>
        </w:rPr>
        <w:t xml:space="preserve">Kingston </w:t>
      </w:r>
      <w:r w:rsidR="001D5918">
        <w:rPr>
          <w:lang w:val="en-US" w:eastAsia="en-US"/>
        </w:rPr>
        <w:t>and Sophia.  These losses have been calculated at a daily average of</w:t>
      </w:r>
      <w:r>
        <w:rPr>
          <w:lang w:val="en-US" w:eastAsia="en-US"/>
        </w:rPr>
        <w:t xml:space="preserve"> 42 MWh accounting for US$1.8M</w:t>
      </w:r>
      <w:r w:rsidR="00504FE0">
        <w:rPr>
          <w:lang w:val="en-US" w:eastAsia="en-US"/>
        </w:rPr>
        <w:t xml:space="preserve"> annual </w:t>
      </w:r>
      <w:r w:rsidR="000E141E">
        <w:rPr>
          <w:lang w:val="en-US" w:eastAsia="en-US"/>
        </w:rPr>
        <w:t xml:space="preserve">financial </w:t>
      </w:r>
      <w:r w:rsidR="00504FE0">
        <w:rPr>
          <w:lang w:val="en-US" w:eastAsia="en-US"/>
        </w:rPr>
        <w:t>losses</w:t>
      </w:r>
      <w:r w:rsidR="000B2A40">
        <w:rPr>
          <w:lang w:val="en-US" w:eastAsia="en-US"/>
        </w:rPr>
        <w:t xml:space="preserve"> to the Guyana Power and Light </w:t>
      </w:r>
      <w:r w:rsidR="001D5918">
        <w:rPr>
          <w:lang w:val="en-US" w:eastAsia="en-US"/>
        </w:rPr>
        <w:t xml:space="preserve">Inc. </w:t>
      </w:r>
    </w:p>
    <w:p w14:paraId="04A9A02C" w14:textId="7DB00290" w:rsidR="00817922" w:rsidRDefault="00817922" w:rsidP="001C5BEA">
      <w:pPr>
        <w:spacing w:before="100" w:beforeAutospacing="1" w:after="120" w:line="276" w:lineRule="auto"/>
        <w:ind w:left="1080"/>
        <w:contextualSpacing/>
        <w:rPr>
          <w:lang w:val="en-US" w:eastAsia="en-US"/>
        </w:rPr>
      </w:pPr>
    </w:p>
    <w:p w14:paraId="645F4FD3" w14:textId="1E54E791" w:rsidR="00817922" w:rsidRDefault="001D5918" w:rsidP="001C5BEA">
      <w:pPr>
        <w:spacing w:before="100" w:beforeAutospacing="1" w:after="120" w:line="276" w:lineRule="auto"/>
        <w:ind w:left="1080"/>
        <w:contextualSpacing/>
        <w:rPr>
          <w:lang w:val="en-US" w:eastAsia="en-US"/>
        </w:rPr>
      </w:pPr>
      <w:r>
        <w:rPr>
          <w:lang w:val="en-US" w:eastAsia="en-US"/>
        </w:rPr>
        <w:t xml:space="preserve">The </w:t>
      </w:r>
      <w:r w:rsidR="00B24F36">
        <w:rPr>
          <w:lang w:val="en-US" w:eastAsia="en-US"/>
        </w:rPr>
        <w:t xml:space="preserve">records of consumer complaints in the DBIS show that there were 2200 reports of </w:t>
      </w:r>
      <w:r>
        <w:rPr>
          <w:lang w:val="en-US" w:eastAsia="en-US"/>
        </w:rPr>
        <w:t>low voltage in 2017.  These co</w:t>
      </w:r>
      <w:r w:rsidR="003920D7">
        <w:rPr>
          <w:lang w:val="en-US" w:eastAsia="en-US"/>
        </w:rPr>
        <w:t>mplaints were made because the co</w:t>
      </w:r>
      <w:r>
        <w:rPr>
          <w:lang w:val="en-US" w:eastAsia="en-US"/>
        </w:rPr>
        <w:t>nsumers</w:t>
      </w:r>
      <w:r w:rsidR="003920D7">
        <w:rPr>
          <w:lang w:val="en-US" w:eastAsia="en-US"/>
        </w:rPr>
        <w:t>’ equipment was malfunctioning.  It is also to be noted that low distribution voltages are also a source of losses</w:t>
      </w:r>
      <w:r w:rsidR="00703042">
        <w:rPr>
          <w:lang w:val="en-US" w:eastAsia="en-US"/>
        </w:rPr>
        <w:t xml:space="preserve"> to the power company</w:t>
      </w:r>
      <w:r w:rsidR="003920D7">
        <w:rPr>
          <w:lang w:val="en-US" w:eastAsia="en-US"/>
        </w:rPr>
        <w:t>.</w:t>
      </w:r>
    </w:p>
    <w:p w14:paraId="153D80C3" w14:textId="77777777" w:rsidR="00817922" w:rsidRDefault="00817922" w:rsidP="001C5BEA">
      <w:pPr>
        <w:spacing w:before="100" w:beforeAutospacing="1" w:after="120" w:line="276" w:lineRule="auto"/>
        <w:ind w:left="1080"/>
        <w:contextualSpacing/>
        <w:rPr>
          <w:lang w:val="en-US" w:eastAsia="en-US"/>
        </w:rPr>
      </w:pPr>
    </w:p>
    <w:p w14:paraId="4EAF8341" w14:textId="4BC99628" w:rsidR="00CB5C31" w:rsidRDefault="00CB5C31" w:rsidP="00CB5C31">
      <w:pPr>
        <w:numPr>
          <w:ilvl w:val="1"/>
          <w:numId w:val="24"/>
        </w:numPr>
        <w:spacing w:before="100" w:beforeAutospacing="1" w:after="120" w:line="276" w:lineRule="auto"/>
        <w:ind w:left="1080"/>
        <w:contextualSpacing/>
        <w:rPr>
          <w:b/>
          <w:lang w:val="en-US" w:eastAsia="en-US"/>
        </w:rPr>
      </w:pPr>
      <w:r w:rsidRPr="006457B8">
        <w:rPr>
          <w:b/>
          <w:lang w:val="en-US" w:eastAsia="en-US"/>
        </w:rPr>
        <w:t xml:space="preserve">Investment </w:t>
      </w:r>
      <w:r w:rsidR="006457B8">
        <w:rPr>
          <w:b/>
          <w:lang w:val="en-US" w:eastAsia="en-US"/>
        </w:rPr>
        <w:t>S</w:t>
      </w:r>
      <w:r w:rsidRPr="006457B8">
        <w:rPr>
          <w:b/>
          <w:lang w:val="en-US" w:eastAsia="en-US"/>
        </w:rPr>
        <w:t xml:space="preserve">olution and </w:t>
      </w:r>
      <w:r w:rsidR="006457B8">
        <w:rPr>
          <w:b/>
          <w:lang w:val="en-US" w:eastAsia="en-US"/>
        </w:rPr>
        <w:t>C</w:t>
      </w:r>
      <w:r w:rsidRPr="006457B8">
        <w:rPr>
          <w:b/>
          <w:lang w:val="en-US" w:eastAsia="en-US"/>
        </w:rPr>
        <w:t>omponents</w:t>
      </w:r>
    </w:p>
    <w:p w14:paraId="59DCA311" w14:textId="569D19A6" w:rsidR="00BB2325" w:rsidRDefault="00BB2325" w:rsidP="00BB2325">
      <w:pPr>
        <w:spacing w:before="100" w:beforeAutospacing="1" w:after="120" w:line="276" w:lineRule="auto"/>
        <w:ind w:left="1080"/>
      </w:pPr>
      <w:r>
        <w:t xml:space="preserve">The </w:t>
      </w:r>
      <w:r w:rsidR="003920D7">
        <w:t xml:space="preserve">ideal </w:t>
      </w:r>
      <w:r>
        <w:t xml:space="preserve">solution </w:t>
      </w:r>
      <w:r w:rsidR="003920D7">
        <w:t xml:space="preserve">to this problem would be </w:t>
      </w:r>
      <w:r>
        <w:t xml:space="preserve">the installation of </w:t>
      </w:r>
      <w:r w:rsidRPr="002B2BF7">
        <w:t xml:space="preserve">a ±10MVAr STATCOM </w:t>
      </w:r>
      <w:r>
        <w:t xml:space="preserve">at the </w:t>
      </w:r>
      <w:r w:rsidRPr="002B2BF7">
        <w:t>Sophia 69kV bus-bar</w:t>
      </w:r>
      <w:r w:rsidR="003920D7">
        <w:t>.  However, because the</w:t>
      </w:r>
      <w:r w:rsidR="003348B6">
        <w:t>re is no space at the</w:t>
      </w:r>
      <w:r w:rsidR="003920D7">
        <w:t xml:space="preserve"> Sophia location to house this equipment the proposed solution is to locate th</w:t>
      </w:r>
      <w:r w:rsidR="003348B6">
        <w:t>e STATCOM equipment</w:t>
      </w:r>
      <w:r w:rsidR="003920D7">
        <w:t xml:space="preserve"> at the New Sophia 69 kV busbar which is 0.3 km away from the Sophia 69 kV busbar. </w:t>
      </w:r>
      <w:r w:rsidRPr="002B2BF7">
        <w:t xml:space="preserve"> </w:t>
      </w:r>
      <w:r>
        <w:t>(See Appendix I</w:t>
      </w:r>
      <w:r w:rsidR="00D13114">
        <w:t xml:space="preserve"> and I</w:t>
      </w:r>
      <w:bookmarkStart w:id="1" w:name="_GoBack"/>
      <w:bookmarkEnd w:id="1"/>
      <w:r w:rsidR="000F1CBC">
        <w:t>I</w:t>
      </w:r>
      <w:r>
        <w:t xml:space="preserve"> for </w:t>
      </w:r>
      <w:r w:rsidR="000F1CBC">
        <w:t>schematic</w:t>
      </w:r>
      <w:r>
        <w:t>)</w:t>
      </w:r>
      <w:r w:rsidR="003920D7">
        <w:t xml:space="preserve">. It is necessary to </w:t>
      </w:r>
      <w:r w:rsidR="003348B6">
        <w:t xml:space="preserve">extend the New Sophia 69 kV busbar and </w:t>
      </w:r>
      <w:r w:rsidR="00703042">
        <w:t xml:space="preserve">to </w:t>
      </w:r>
      <w:r w:rsidR="003920D7">
        <w:t xml:space="preserve">install </w:t>
      </w:r>
      <w:r w:rsidRPr="002B2BF7">
        <w:t xml:space="preserve">a </w:t>
      </w:r>
      <w:proofErr w:type="gramStart"/>
      <w:r w:rsidRPr="002B2BF7">
        <w:t>69</w:t>
      </w:r>
      <w:r w:rsidR="00504FE0">
        <w:t xml:space="preserve"> </w:t>
      </w:r>
      <w:r w:rsidRPr="002B2BF7">
        <w:t>kV</w:t>
      </w:r>
      <w:proofErr w:type="gramEnd"/>
      <w:r w:rsidRPr="002B2BF7">
        <w:t xml:space="preserve"> bay to accommodate the connection of the STATCOM</w:t>
      </w:r>
      <w:r>
        <w:t>.</w:t>
      </w:r>
    </w:p>
    <w:p w14:paraId="09A7286B" w14:textId="3E5359CA" w:rsidR="000B2A40" w:rsidRPr="00A47C87" w:rsidRDefault="000B2A40" w:rsidP="00BB2325">
      <w:pPr>
        <w:spacing w:before="100" w:beforeAutospacing="1" w:after="120" w:line="276" w:lineRule="auto"/>
        <w:ind w:left="1080"/>
      </w:pPr>
      <w:r w:rsidRPr="00A47C87">
        <w:t xml:space="preserve">STATCOM </w:t>
      </w:r>
      <w:r w:rsidR="006F59A2" w:rsidRPr="00A47C87">
        <w:t xml:space="preserve">is </w:t>
      </w:r>
      <w:r w:rsidR="00A47C87">
        <w:t xml:space="preserve">a static synchronous compensator which </w:t>
      </w:r>
      <w:r w:rsidR="00A47C87" w:rsidRPr="00A47C87">
        <w:rPr>
          <w:color w:val="262626"/>
          <w:shd w:val="clear" w:color="auto" w:fill="FFFFFF"/>
        </w:rPr>
        <w:t>continuously provides variable reactive power in response to voltage variations</w:t>
      </w:r>
      <w:r w:rsidR="00F20442">
        <w:rPr>
          <w:color w:val="262626"/>
          <w:shd w:val="clear" w:color="auto" w:fill="FFFFFF"/>
        </w:rPr>
        <w:t xml:space="preserve"> while </w:t>
      </w:r>
      <w:r w:rsidR="00A47C87" w:rsidRPr="00A47C87">
        <w:rPr>
          <w:color w:val="262626"/>
          <w:shd w:val="clear" w:color="auto" w:fill="FFFFFF"/>
        </w:rPr>
        <w:t>supporting the stability of the grid. STATCOM operates according to voltage source converter (VSC) principles, combining unique PWM (pulse width modulation) with millisecond switching</w:t>
      </w:r>
      <w:r w:rsidR="00F20442">
        <w:rPr>
          <w:color w:val="262626"/>
          <w:shd w:val="clear" w:color="auto" w:fill="FFFFFF"/>
        </w:rPr>
        <w:t>,</w:t>
      </w:r>
      <w:r w:rsidR="000E141E">
        <w:rPr>
          <w:color w:val="262626"/>
          <w:shd w:val="clear" w:color="auto" w:fill="FFFFFF"/>
        </w:rPr>
        <w:t xml:space="preserve"> and </w:t>
      </w:r>
      <w:r w:rsidR="00A47C87" w:rsidRPr="00A47C87">
        <w:rPr>
          <w:color w:val="262626"/>
          <w:shd w:val="clear" w:color="auto" w:fill="FFFFFF"/>
        </w:rPr>
        <w:t>functions with a very limited need for harmonic filters</w:t>
      </w:r>
      <w:r w:rsidR="00F20442">
        <w:rPr>
          <w:color w:val="262626"/>
          <w:shd w:val="clear" w:color="auto" w:fill="FFFFFF"/>
        </w:rPr>
        <w:t xml:space="preserve"> and only </w:t>
      </w:r>
      <w:r w:rsidR="00A47C87" w:rsidRPr="00A47C87">
        <w:rPr>
          <w:color w:val="262626"/>
          <w:shd w:val="clear" w:color="auto" w:fill="FFFFFF"/>
        </w:rPr>
        <w:t>contributing to a small physical footprint.  STATCOM increase</w:t>
      </w:r>
      <w:r w:rsidR="00A47C87">
        <w:rPr>
          <w:color w:val="262626"/>
          <w:shd w:val="clear" w:color="auto" w:fill="FFFFFF"/>
        </w:rPr>
        <w:t>s</w:t>
      </w:r>
      <w:r w:rsidR="00A47C87" w:rsidRPr="00A47C87">
        <w:rPr>
          <w:color w:val="262626"/>
          <w:shd w:val="clear" w:color="auto" w:fill="FFFFFF"/>
        </w:rPr>
        <w:t xml:space="preserve"> power transfer capability by enhancing voltage stability and maintaining a smooth voltage profile under different network conditions. It</w:t>
      </w:r>
      <w:r w:rsidR="00A47C87">
        <w:rPr>
          <w:color w:val="262626"/>
          <w:shd w:val="clear" w:color="auto" w:fill="FFFFFF"/>
        </w:rPr>
        <w:t xml:space="preserve"> i</w:t>
      </w:r>
      <w:r w:rsidR="00A47C87" w:rsidRPr="00A47C87">
        <w:rPr>
          <w:color w:val="262626"/>
          <w:shd w:val="clear" w:color="auto" w:fill="FFFFFF"/>
        </w:rPr>
        <w:t xml:space="preserve">s </w:t>
      </w:r>
      <w:r w:rsidR="00A47C87">
        <w:rPr>
          <w:color w:val="262626"/>
          <w:shd w:val="clear" w:color="auto" w:fill="FFFFFF"/>
        </w:rPr>
        <w:t xml:space="preserve">also </w:t>
      </w:r>
      <w:r w:rsidR="00A47C87" w:rsidRPr="00A47C87">
        <w:rPr>
          <w:color w:val="262626"/>
          <w:shd w:val="clear" w:color="auto" w:fill="FFFFFF"/>
        </w:rPr>
        <w:t>abl</w:t>
      </w:r>
      <w:r w:rsidR="00A47C87">
        <w:rPr>
          <w:color w:val="262626"/>
          <w:shd w:val="clear" w:color="auto" w:fill="FFFFFF"/>
        </w:rPr>
        <w:t xml:space="preserve">e </w:t>
      </w:r>
      <w:r w:rsidR="00A47C87" w:rsidRPr="00A47C87">
        <w:rPr>
          <w:color w:val="262626"/>
          <w:shd w:val="clear" w:color="auto" w:fill="FFFFFF"/>
        </w:rPr>
        <w:t xml:space="preserve">to perform active filtering </w:t>
      </w:r>
      <w:r w:rsidR="00A47C87">
        <w:rPr>
          <w:color w:val="262626"/>
          <w:shd w:val="clear" w:color="auto" w:fill="FFFFFF"/>
        </w:rPr>
        <w:t xml:space="preserve">which </w:t>
      </w:r>
      <w:r w:rsidR="00A47C87" w:rsidRPr="00A47C87">
        <w:rPr>
          <w:color w:val="262626"/>
          <w:shd w:val="clear" w:color="auto" w:fill="FFFFFF"/>
        </w:rPr>
        <w:t xml:space="preserve">is also very useful for </w:t>
      </w:r>
      <w:r w:rsidR="00A47C87" w:rsidRPr="00A47C87">
        <w:rPr>
          <w:color w:val="262626"/>
          <w:shd w:val="clear" w:color="auto" w:fill="FFFFFF"/>
        </w:rPr>
        <w:lastRenderedPageBreak/>
        <w:t>improvements in power quality.</w:t>
      </w:r>
      <w:r w:rsidR="00A4346F">
        <w:rPr>
          <w:color w:val="262626"/>
          <w:shd w:val="clear" w:color="auto" w:fill="FFFFFF"/>
        </w:rPr>
        <w:t xml:space="preserve">  STATCOM controls can be integrated with the overall SCADA system control.</w:t>
      </w:r>
    </w:p>
    <w:p w14:paraId="00C857F4" w14:textId="1275B081" w:rsidR="00A47C87" w:rsidRDefault="00504FE0" w:rsidP="00BB2325">
      <w:pPr>
        <w:spacing w:before="100" w:beforeAutospacing="1" w:after="120" w:line="276" w:lineRule="auto"/>
        <w:ind w:left="1080"/>
      </w:pPr>
      <w:r>
        <w:t xml:space="preserve">Load flow </w:t>
      </w:r>
      <w:r w:rsidR="00AB55E6">
        <w:t>simulations</w:t>
      </w:r>
      <w:r>
        <w:t xml:space="preserve"> </w:t>
      </w:r>
      <w:r w:rsidR="00A47C87">
        <w:t xml:space="preserve">of the DBIS </w:t>
      </w:r>
      <w:r>
        <w:t xml:space="preserve">with </w:t>
      </w:r>
      <w:r w:rsidR="00A47C87">
        <w:t xml:space="preserve">and without STATCOM show that with </w:t>
      </w:r>
      <w:r>
        <w:t xml:space="preserve">the STATCOM in service </w:t>
      </w:r>
      <w:r w:rsidR="00A47C87">
        <w:t xml:space="preserve">there is </w:t>
      </w:r>
      <w:r>
        <w:t xml:space="preserve">an average of 1.37% and 1.05% increase in voltage levels at Sophia and Kingston </w:t>
      </w:r>
      <w:r w:rsidR="0096319A">
        <w:t xml:space="preserve">69 kV </w:t>
      </w:r>
      <w:r>
        <w:t>busbars respectively.  Th</w:t>
      </w:r>
      <w:r w:rsidR="0096319A">
        <w:t>is</w:t>
      </w:r>
      <w:r>
        <w:t xml:space="preserve"> would reduce the losses due to low voltage by approximately 1</w:t>
      </w:r>
      <w:r w:rsidR="00703042">
        <w:t>.5%</w:t>
      </w:r>
      <w:r w:rsidR="00B938AC">
        <w:t>.</w:t>
      </w:r>
      <w:r>
        <w:t xml:space="preserve"> </w:t>
      </w:r>
      <w:r w:rsidR="00A47C87">
        <w:t xml:space="preserve">Table 1 </w:t>
      </w:r>
      <w:r w:rsidR="000E141E">
        <w:t xml:space="preserve">below </w:t>
      </w:r>
      <w:r w:rsidR="00A47C87">
        <w:t xml:space="preserve">outlines the various components </w:t>
      </w:r>
      <w:r w:rsidR="008675C0">
        <w:t>of the STATCOM</w:t>
      </w:r>
      <w:r w:rsidR="000E141E">
        <w:t xml:space="preserve"> reactive compensation system</w:t>
      </w:r>
      <w:r w:rsidR="008675C0">
        <w:t>.</w:t>
      </w:r>
    </w:p>
    <w:p w14:paraId="305BC2D3" w14:textId="1CDF1E22" w:rsidR="00F01D6E" w:rsidRDefault="00F01D6E" w:rsidP="00F01D6E"/>
    <w:tbl>
      <w:tblPr>
        <w:tblStyle w:val="TableGrid"/>
        <w:tblW w:w="9720" w:type="dxa"/>
        <w:tblInd w:w="-5" w:type="dxa"/>
        <w:tblLook w:val="0000" w:firstRow="0" w:lastRow="0" w:firstColumn="0" w:lastColumn="0" w:noHBand="0" w:noVBand="0"/>
      </w:tblPr>
      <w:tblGrid>
        <w:gridCol w:w="833"/>
        <w:gridCol w:w="49"/>
        <w:gridCol w:w="3551"/>
        <w:gridCol w:w="5287"/>
      </w:tblGrid>
      <w:tr w:rsidR="00F01D6E" w:rsidRPr="00A4346F" w14:paraId="0925D465" w14:textId="77777777" w:rsidTr="0096319A">
        <w:trPr>
          <w:gridAfter w:val="1"/>
          <w:wAfter w:w="5287" w:type="dxa"/>
          <w:trHeight w:val="288"/>
        </w:trPr>
        <w:tc>
          <w:tcPr>
            <w:tcW w:w="4433" w:type="dxa"/>
            <w:gridSpan w:val="3"/>
          </w:tcPr>
          <w:p w14:paraId="4B4DF7BC" w14:textId="57DEE846" w:rsidR="00F01D6E" w:rsidRPr="00A4346F" w:rsidRDefault="00F01D6E" w:rsidP="002103C8">
            <w:pPr>
              <w:ind w:left="108"/>
              <w:rPr>
                <w:b/>
                <w:sz w:val="22"/>
                <w:szCs w:val="22"/>
              </w:rPr>
            </w:pPr>
            <w:r w:rsidRPr="00A4346F">
              <w:rPr>
                <w:b/>
                <w:sz w:val="22"/>
                <w:szCs w:val="22"/>
              </w:rPr>
              <w:t xml:space="preserve">STATCOM </w:t>
            </w:r>
            <w:r w:rsidR="008675C0" w:rsidRPr="00A4346F">
              <w:rPr>
                <w:b/>
                <w:sz w:val="22"/>
                <w:szCs w:val="22"/>
              </w:rPr>
              <w:t>COMPONENTS</w:t>
            </w:r>
          </w:p>
        </w:tc>
      </w:tr>
      <w:tr w:rsidR="00F01D6E" w14:paraId="6E34471A" w14:textId="77777777" w:rsidTr="0096319A">
        <w:tblPrEx>
          <w:tblLook w:val="04A0" w:firstRow="1" w:lastRow="0" w:firstColumn="1" w:lastColumn="0" w:noHBand="0" w:noVBand="1"/>
        </w:tblPrEx>
        <w:tc>
          <w:tcPr>
            <w:tcW w:w="833" w:type="dxa"/>
          </w:tcPr>
          <w:p w14:paraId="0B51EC27"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60DD5641" w14:textId="77777777" w:rsidR="00F01D6E" w:rsidRPr="00A4346F" w:rsidRDefault="00F01D6E" w:rsidP="002103C8">
            <w:pPr>
              <w:rPr>
                <w:sz w:val="22"/>
                <w:szCs w:val="22"/>
              </w:rPr>
            </w:pPr>
            <w:r w:rsidRPr="00A4346F">
              <w:rPr>
                <w:sz w:val="22"/>
                <w:szCs w:val="22"/>
              </w:rPr>
              <w:t>Land Space</w:t>
            </w:r>
          </w:p>
        </w:tc>
        <w:tc>
          <w:tcPr>
            <w:tcW w:w="5287" w:type="dxa"/>
          </w:tcPr>
          <w:p w14:paraId="2642DD66" w14:textId="77777777" w:rsidR="00F01D6E" w:rsidRPr="00A4346F" w:rsidRDefault="00F01D6E" w:rsidP="002103C8">
            <w:pPr>
              <w:rPr>
                <w:sz w:val="22"/>
                <w:szCs w:val="22"/>
              </w:rPr>
            </w:pPr>
            <w:r w:rsidRPr="00A4346F">
              <w:rPr>
                <w:sz w:val="22"/>
                <w:szCs w:val="22"/>
              </w:rPr>
              <w:t>112 m</w:t>
            </w:r>
            <w:r w:rsidRPr="00A4346F">
              <w:rPr>
                <w:sz w:val="22"/>
                <w:szCs w:val="22"/>
                <w:vertAlign w:val="superscript"/>
              </w:rPr>
              <w:t>2</w:t>
            </w:r>
          </w:p>
        </w:tc>
      </w:tr>
      <w:tr w:rsidR="00F01D6E" w14:paraId="4F72DF5E" w14:textId="77777777" w:rsidTr="0096319A">
        <w:tblPrEx>
          <w:tblLook w:val="04A0" w:firstRow="1" w:lastRow="0" w:firstColumn="1" w:lastColumn="0" w:noHBand="0" w:noVBand="1"/>
        </w:tblPrEx>
        <w:tc>
          <w:tcPr>
            <w:tcW w:w="833" w:type="dxa"/>
          </w:tcPr>
          <w:p w14:paraId="6698A15C"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08733C70" w14:textId="77777777" w:rsidR="00F01D6E" w:rsidRPr="00A4346F" w:rsidRDefault="00F01D6E" w:rsidP="002103C8">
            <w:pPr>
              <w:rPr>
                <w:sz w:val="22"/>
                <w:szCs w:val="22"/>
              </w:rPr>
            </w:pPr>
            <w:r w:rsidRPr="00A4346F">
              <w:rPr>
                <w:sz w:val="22"/>
                <w:szCs w:val="22"/>
              </w:rPr>
              <w:t>Civil Works (Foundation)</w:t>
            </w:r>
          </w:p>
        </w:tc>
        <w:tc>
          <w:tcPr>
            <w:tcW w:w="5287" w:type="dxa"/>
          </w:tcPr>
          <w:p w14:paraId="47E24B63" w14:textId="77777777" w:rsidR="00F01D6E" w:rsidRPr="00A4346F" w:rsidRDefault="00F01D6E" w:rsidP="002103C8">
            <w:pPr>
              <w:rPr>
                <w:sz w:val="22"/>
                <w:szCs w:val="22"/>
              </w:rPr>
            </w:pPr>
          </w:p>
        </w:tc>
      </w:tr>
      <w:tr w:rsidR="00F01D6E" w14:paraId="2DDC7AFE" w14:textId="77777777" w:rsidTr="0096319A">
        <w:tblPrEx>
          <w:tblLook w:val="04A0" w:firstRow="1" w:lastRow="0" w:firstColumn="1" w:lastColumn="0" w:noHBand="0" w:noVBand="1"/>
        </w:tblPrEx>
        <w:tc>
          <w:tcPr>
            <w:tcW w:w="833" w:type="dxa"/>
          </w:tcPr>
          <w:p w14:paraId="04F00127"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0668ED25" w14:textId="77777777" w:rsidR="00F01D6E" w:rsidRPr="00A4346F" w:rsidRDefault="00F01D6E" w:rsidP="002103C8">
            <w:pPr>
              <w:rPr>
                <w:sz w:val="22"/>
                <w:szCs w:val="22"/>
              </w:rPr>
            </w:pPr>
            <w:r w:rsidRPr="00A4346F">
              <w:rPr>
                <w:sz w:val="22"/>
                <w:szCs w:val="22"/>
              </w:rPr>
              <w:t>3 phase 3 Winding Transformer</w:t>
            </w:r>
          </w:p>
        </w:tc>
        <w:tc>
          <w:tcPr>
            <w:tcW w:w="5287" w:type="dxa"/>
          </w:tcPr>
          <w:p w14:paraId="025E4BDC" w14:textId="77777777" w:rsidR="00F01D6E" w:rsidRPr="00A4346F" w:rsidRDefault="00F01D6E" w:rsidP="002103C8">
            <w:pPr>
              <w:rPr>
                <w:sz w:val="22"/>
                <w:szCs w:val="22"/>
              </w:rPr>
            </w:pPr>
            <w:r w:rsidRPr="00A4346F">
              <w:rPr>
                <w:sz w:val="22"/>
                <w:szCs w:val="22"/>
              </w:rPr>
              <w:t>10 MVA ON EACH WINDING</w:t>
            </w:r>
          </w:p>
          <w:p w14:paraId="7690D8DD" w14:textId="77777777" w:rsidR="00F01D6E" w:rsidRPr="00A4346F" w:rsidRDefault="00F01D6E" w:rsidP="002103C8">
            <w:pPr>
              <w:rPr>
                <w:sz w:val="22"/>
                <w:szCs w:val="22"/>
              </w:rPr>
            </w:pPr>
            <w:r w:rsidRPr="00A4346F">
              <w:rPr>
                <w:sz w:val="22"/>
                <w:szCs w:val="22"/>
              </w:rPr>
              <w:t>69/0.69/0.69 kV</w:t>
            </w:r>
          </w:p>
        </w:tc>
      </w:tr>
      <w:tr w:rsidR="00F01D6E" w14:paraId="0F58F386" w14:textId="77777777" w:rsidTr="0096319A">
        <w:tblPrEx>
          <w:tblLook w:val="04A0" w:firstRow="1" w:lastRow="0" w:firstColumn="1" w:lastColumn="0" w:noHBand="0" w:noVBand="1"/>
        </w:tblPrEx>
        <w:tc>
          <w:tcPr>
            <w:tcW w:w="833" w:type="dxa"/>
          </w:tcPr>
          <w:p w14:paraId="7E67319E"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57E78850" w14:textId="77777777" w:rsidR="00F01D6E" w:rsidRPr="00A4346F" w:rsidRDefault="00F01D6E" w:rsidP="002103C8">
            <w:pPr>
              <w:rPr>
                <w:sz w:val="22"/>
                <w:szCs w:val="22"/>
              </w:rPr>
            </w:pPr>
            <w:r w:rsidRPr="00A4346F">
              <w:rPr>
                <w:sz w:val="22"/>
                <w:szCs w:val="22"/>
              </w:rPr>
              <w:t>LV Cable Connection</w:t>
            </w:r>
          </w:p>
        </w:tc>
        <w:tc>
          <w:tcPr>
            <w:tcW w:w="5287" w:type="dxa"/>
          </w:tcPr>
          <w:p w14:paraId="68654019" w14:textId="77777777" w:rsidR="00F01D6E" w:rsidRPr="00A4346F" w:rsidRDefault="00F01D6E" w:rsidP="002103C8">
            <w:pPr>
              <w:rPr>
                <w:sz w:val="22"/>
                <w:szCs w:val="22"/>
              </w:rPr>
            </w:pPr>
          </w:p>
        </w:tc>
      </w:tr>
      <w:tr w:rsidR="00F01D6E" w14:paraId="3C746C40" w14:textId="77777777" w:rsidTr="0096319A">
        <w:tblPrEx>
          <w:tblLook w:val="04A0" w:firstRow="1" w:lastRow="0" w:firstColumn="1" w:lastColumn="0" w:noHBand="0" w:noVBand="1"/>
        </w:tblPrEx>
        <w:tc>
          <w:tcPr>
            <w:tcW w:w="833" w:type="dxa"/>
          </w:tcPr>
          <w:p w14:paraId="6283197E"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5A75F15B" w14:textId="718DEA69" w:rsidR="00F01D6E" w:rsidRPr="00A4346F" w:rsidRDefault="00F01D6E" w:rsidP="002103C8">
            <w:pPr>
              <w:rPr>
                <w:sz w:val="22"/>
                <w:szCs w:val="22"/>
              </w:rPr>
            </w:pPr>
            <w:r w:rsidRPr="00A4346F">
              <w:rPr>
                <w:sz w:val="22"/>
                <w:szCs w:val="22"/>
              </w:rPr>
              <w:t>4 x APS units (IP 54)</w:t>
            </w:r>
          </w:p>
        </w:tc>
        <w:tc>
          <w:tcPr>
            <w:tcW w:w="5287" w:type="dxa"/>
          </w:tcPr>
          <w:p w14:paraId="79B91030" w14:textId="25B6D173" w:rsidR="00F01D6E" w:rsidRPr="00A4346F" w:rsidRDefault="00F01D6E" w:rsidP="00F01D6E">
            <w:pPr>
              <w:pStyle w:val="ListParagraph"/>
              <w:numPr>
                <w:ilvl w:val="0"/>
                <w:numId w:val="31"/>
              </w:numPr>
              <w:jc w:val="left"/>
              <w:rPr>
                <w:sz w:val="22"/>
                <w:szCs w:val="22"/>
              </w:rPr>
            </w:pPr>
            <w:r w:rsidRPr="00A4346F">
              <w:rPr>
                <w:sz w:val="22"/>
                <w:szCs w:val="22"/>
              </w:rPr>
              <w:t xml:space="preserve">APS total reactive: ±10 MVA@1.0 </w:t>
            </w:r>
            <w:proofErr w:type="spellStart"/>
            <w:r w:rsidRPr="00A4346F">
              <w:rPr>
                <w:sz w:val="22"/>
                <w:szCs w:val="22"/>
              </w:rPr>
              <w:t>pu</w:t>
            </w:r>
            <w:proofErr w:type="spellEnd"/>
            <w:r w:rsidRPr="00A4346F">
              <w:rPr>
                <w:sz w:val="22"/>
                <w:szCs w:val="22"/>
              </w:rPr>
              <w:t>/69 kV</w:t>
            </w:r>
          </w:p>
          <w:p w14:paraId="4BAF035D" w14:textId="77777777" w:rsidR="00F01D6E" w:rsidRPr="00A4346F" w:rsidRDefault="00F01D6E" w:rsidP="00F01D6E">
            <w:pPr>
              <w:pStyle w:val="ListParagraph"/>
              <w:numPr>
                <w:ilvl w:val="0"/>
                <w:numId w:val="31"/>
              </w:numPr>
              <w:jc w:val="left"/>
              <w:rPr>
                <w:sz w:val="22"/>
                <w:szCs w:val="22"/>
              </w:rPr>
            </w:pPr>
            <w:r w:rsidRPr="00A4346F">
              <w:rPr>
                <w:sz w:val="22"/>
                <w:szCs w:val="22"/>
              </w:rPr>
              <w:t>Direct Mounted cooling unit with pump unit</w:t>
            </w:r>
          </w:p>
          <w:p w14:paraId="1420DF6E" w14:textId="77777777" w:rsidR="00F01D6E" w:rsidRPr="00A4346F" w:rsidRDefault="00F01D6E" w:rsidP="00F01D6E">
            <w:pPr>
              <w:pStyle w:val="ListParagraph"/>
              <w:numPr>
                <w:ilvl w:val="0"/>
                <w:numId w:val="31"/>
              </w:numPr>
              <w:jc w:val="left"/>
              <w:rPr>
                <w:sz w:val="22"/>
                <w:szCs w:val="22"/>
              </w:rPr>
            </w:pPr>
            <w:r w:rsidRPr="00A4346F">
              <w:rPr>
                <w:sz w:val="22"/>
                <w:szCs w:val="22"/>
              </w:rPr>
              <w:t>Direct mounted water/air heat exchanger unit</w:t>
            </w:r>
          </w:p>
          <w:p w14:paraId="4C282DDE" w14:textId="77777777" w:rsidR="00F01D6E" w:rsidRPr="00A4346F" w:rsidRDefault="00F01D6E" w:rsidP="002103C8">
            <w:pPr>
              <w:rPr>
                <w:sz w:val="22"/>
                <w:szCs w:val="22"/>
              </w:rPr>
            </w:pPr>
          </w:p>
        </w:tc>
      </w:tr>
      <w:tr w:rsidR="00F01D6E" w14:paraId="46138C28" w14:textId="77777777" w:rsidTr="0096319A">
        <w:tblPrEx>
          <w:tblLook w:val="04A0" w:firstRow="1" w:lastRow="0" w:firstColumn="1" w:lastColumn="0" w:noHBand="0" w:noVBand="1"/>
        </w:tblPrEx>
        <w:tc>
          <w:tcPr>
            <w:tcW w:w="833" w:type="dxa"/>
          </w:tcPr>
          <w:p w14:paraId="59699B7B" w14:textId="77777777" w:rsidR="00F01D6E" w:rsidRPr="00A4346F" w:rsidRDefault="00F01D6E" w:rsidP="00F01D6E">
            <w:pPr>
              <w:pStyle w:val="ListParagraph"/>
              <w:numPr>
                <w:ilvl w:val="0"/>
                <w:numId w:val="30"/>
              </w:numPr>
              <w:jc w:val="left"/>
              <w:rPr>
                <w:sz w:val="22"/>
                <w:szCs w:val="22"/>
              </w:rPr>
            </w:pPr>
          </w:p>
        </w:tc>
        <w:tc>
          <w:tcPr>
            <w:tcW w:w="3600" w:type="dxa"/>
            <w:gridSpan w:val="2"/>
          </w:tcPr>
          <w:p w14:paraId="437E9B6B" w14:textId="77777777" w:rsidR="00F01D6E" w:rsidRPr="00A4346F" w:rsidRDefault="00F01D6E" w:rsidP="002103C8">
            <w:pPr>
              <w:rPr>
                <w:sz w:val="22"/>
                <w:szCs w:val="22"/>
              </w:rPr>
            </w:pPr>
            <w:proofErr w:type="spellStart"/>
            <w:r w:rsidRPr="00A4346F">
              <w:rPr>
                <w:sz w:val="22"/>
                <w:szCs w:val="22"/>
              </w:rPr>
              <w:t>Statcom</w:t>
            </w:r>
            <w:proofErr w:type="spellEnd"/>
            <w:r w:rsidRPr="00A4346F">
              <w:rPr>
                <w:sz w:val="22"/>
                <w:szCs w:val="22"/>
              </w:rPr>
              <w:t xml:space="preserve"> Control, comprising:</w:t>
            </w:r>
          </w:p>
        </w:tc>
        <w:tc>
          <w:tcPr>
            <w:tcW w:w="5287" w:type="dxa"/>
          </w:tcPr>
          <w:p w14:paraId="6B1D3AA0" w14:textId="77777777" w:rsidR="00F01D6E" w:rsidRPr="00A4346F" w:rsidRDefault="00F01D6E" w:rsidP="00F01D6E">
            <w:pPr>
              <w:pStyle w:val="ListParagraph"/>
              <w:numPr>
                <w:ilvl w:val="0"/>
                <w:numId w:val="31"/>
              </w:numPr>
              <w:jc w:val="left"/>
              <w:rPr>
                <w:sz w:val="22"/>
                <w:szCs w:val="22"/>
              </w:rPr>
            </w:pPr>
            <w:r w:rsidRPr="00A4346F">
              <w:rPr>
                <w:sz w:val="22"/>
                <w:szCs w:val="22"/>
              </w:rPr>
              <w:t>HMI for parameterization and operation</w:t>
            </w:r>
          </w:p>
          <w:p w14:paraId="5B5EF566" w14:textId="3E783C87" w:rsidR="00F01D6E" w:rsidRPr="00A4346F" w:rsidRDefault="00F01D6E" w:rsidP="00F01D6E">
            <w:pPr>
              <w:pStyle w:val="ListParagraph"/>
              <w:numPr>
                <w:ilvl w:val="0"/>
                <w:numId w:val="31"/>
              </w:numPr>
              <w:jc w:val="left"/>
              <w:rPr>
                <w:sz w:val="22"/>
                <w:szCs w:val="22"/>
              </w:rPr>
            </w:pPr>
            <w:r w:rsidRPr="00A4346F">
              <w:rPr>
                <w:sz w:val="22"/>
                <w:szCs w:val="22"/>
              </w:rPr>
              <w:t>Reference value controller (redundant system)</w:t>
            </w:r>
          </w:p>
          <w:p w14:paraId="64F92BD6" w14:textId="77777777" w:rsidR="00F01D6E" w:rsidRPr="00A4346F" w:rsidRDefault="00F01D6E" w:rsidP="00F01D6E">
            <w:pPr>
              <w:pStyle w:val="ListParagraph"/>
              <w:numPr>
                <w:ilvl w:val="0"/>
                <w:numId w:val="31"/>
              </w:numPr>
              <w:jc w:val="left"/>
              <w:rPr>
                <w:sz w:val="22"/>
                <w:szCs w:val="22"/>
              </w:rPr>
            </w:pPr>
            <w:r w:rsidRPr="00A4346F">
              <w:rPr>
                <w:sz w:val="22"/>
                <w:szCs w:val="22"/>
              </w:rPr>
              <w:t xml:space="preserve">SCADA interface </w:t>
            </w:r>
            <w:proofErr w:type="gramStart"/>
            <w:r w:rsidRPr="00A4346F">
              <w:rPr>
                <w:sz w:val="22"/>
                <w:szCs w:val="22"/>
              </w:rPr>
              <w:t>( DPN</w:t>
            </w:r>
            <w:proofErr w:type="gramEnd"/>
            <w:r w:rsidRPr="00A4346F">
              <w:rPr>
                <w:sz w:val="22"/>
                <w:szCs w:val="22"/>
              </w:rPr>
              <w:t>3 or equivalent)</w:t>
            </w:r>
          </w:p>
        </w:tc>
      </w:tr>
      <w:tr w:rsidR="00F01D6E" w:rsidRPr="00A4346F" w14:paraId="226E0C91" w14:textId="77777777" w:rsidTr="0096319A">
        <w:trPr>
          <w:gridAfter w:val="1"/>
          <w:wAfter w:w="5287" w:type="dxa"/>
          <w:trHeight w:val="463"/>
        </w:trPr>
        <w:tc>
          <w:tcPr>
            <w:tcW w:w="4433" w:type="dxa"/>
            <w:gridSpan w:val="3"/>
          </w:tcPr>
          <w:p w14:paraId="76F4A515" w14:textId="77777777" w:rsidR="00F01D6E" w:rsidRPr="00A4346F" w:rsidRDefault="00F01D6E" w:rsidP="002103C8">
            <w:pPr>
              <w:jc w:val="center"/>
              <w:rPr>
                <w:b/>
                <w:sz w:val="22"/>
                <w:szCs w:val="22"/>
              </w:rPr>
            </w:pPr>
            <w:r w:rsidRPr="00A4346F">
              <w:rPr>
                <w:b/>
                <w:sz w:val="22"/>
                <w:szCs w:val="22"/>
              </w:rPr>
              <w:t>HIGH VOLTAGE CONNECTION</w:t>
            </w:r>
          </w:p>
        </w:tc>
      </w:tr>
      <w:tr w:rsidR="00F01D6E" w14:paraId="3F0FC430" w14:textId="77777777" w:rsidTr="0096319A">
        <w:trPr>
          <w:trHeight w:val="438"/>
        </w:trPr>
        <w:tc>
          <w:tcPr>
            <w:tcW w:w="882" w:type="dxa"/>
            <w:gridSpan w:val="2"/>
          </w:tcPr>
          <w:p w14:paraId="72E4ECEA" w14:textId="77777777" w:rsidR="00F01D6E" w:rsidRPr="00A4346F" w:rsidRDefault="00F01D6E" w:rsidP="00F01D6E">
            <w:pPr>
              <w:pStyle w:val="ListParagraph"/>
              <w:numPr>
                <w:ilvl w:val="0"/>
                <w:numId w:val="30"/>
              </w:numPr>
              <w:jc w:val="left"/>
              <w:rPr>
                <w:sz w:val="22"/>
                <w:szCs w:val="22"/>
              </w:rPr>
            </w:pPr>
          </w:p>
        </w:tc>
        <w:tc>
          <w:tcPr>
            <w:tcW w:w="3551" w:type="dxa"/>
          </w:tcPr>
          <w:p w14:paraId="5361CFD5" w14:textId="77777777" w:rsidR="00F01D6E" w:rsidRPr="00A4346F" w:rsidRDefault="00F01D6E" w:rsidP="002103C8">
            <w:pPr>
              <w:rPr>
                <w:sz w:val="22"/>
                <w:szCs w:val="22"/>
              </w:rPr>
            </w:pPr>
            <w:r w:rsidRPr="00A4346F">
              <w:rPr>
                <w:sz w:val="22"/>
                <w:szCs w:val="22"/>
              </w:rPr>
              <w:t>69 kV Busbar Expansion</w:t>
            </w:r>
          </w:p>
        </w:tc>
        <w:tc>
          <w:tcPr>
            <w:tcW w:w="5287" w:type="dxa"/>
          </w:tcPr>
          <w:p w14:paraId="6A6EFDE9" w14:textId="77777777" w:rsidR="00F01D6E" w:rsidRPr="00A4346F" w:rsidRDefault="00F01D6E" w:rsidP="002103C8">
            <w:pPr>
              <w:rPr>
                <w:sz w:val="22"/>
                <w:szCs w:val="22"/>
              </w:rPr>
            </w:pPr>
            <w:r w:rsidRPr="00A4346F">
              <w:rPr>
                <w:sz w:val="22"/>
                <w:szCs w:val="22"/>
              </w:rPr>
              <w:t xml:space="preserve">Breaker and ½ configuration </w:t>
            </w:r>
          </w:p>
        </w:tc>
      </w:tr>
      <w:tr w:rsidR="00F01D6E" w14:paraId="50CCBDBD" w14:textId="77777777" w:rsidTr="0096319A">
        <w:trPr>
          <w:trHeight w:val="438"/>
        </w:trPr>
        <w:tc>
          <w:tcPr>
            <w:tcW w:w="882" w:type="dxa"/>
            <w:gridSpan w:val="2"/>
          </w:tcPr>
          <w:p w14:paraId="5AE63888" w14:textId="77777777" w:rsidR="00F01D6E" w:rsidRPr="00A4346F" w:rsidRDefault="00F01D6E" w:rsidP="00F01D6E">
            <w:pPr>
              <w:pStyle w:val="ListParagraph"/>
              <w:numPr>
                <w:ilvl w:val="0"/>
                <w:numId w:val="30"/>
              </w:numPr>
              <w:jc w:val="left"/>
              <w:rPr>
                <w:sz w:val="22"/>
                <w:szCs w:val="22"/>
              </w:rPr>
            </w:pPr>
          </w:p>
        </w:tc>
        <w:tc>
          <w:tcPr>
            <w:tcW w:w="3551" w:type="dxa"/>
          </w:tcPr>
          <w:p w14:paraId="4D13A41B" w14:textId="77777777" w:rsidR="00F01D6E" w:rsidRPr="00A4346F" w:rsidRDefault="00F01D6E" w:rsidP="002103C8">
            <w:pPr>
              <w:rPr>
                <w:sz w:val="22"/>
                <w:szCs w:val="22"/>
              </w:rPr>
            </w:pPr>
            <w:r w:rsidRPr="00A4346F">
              <w:rPr>
                <w:sz w:val="22"/>
                <w:szCs w:val="22"/>
              </w:rPr>
              <w:t>Metal structure</w:t>
            </w:r>
          </w:p>
        </w:tc>
        <w:tc>
          <w:tcPr>
            <w:tcW w:w="5287" w:type="dxa"/>
          </w:tcPr>
          <w:p w14:paraId="058B6C77" w14:textId="77777777" w:rsidR="00F01D6E" w:rsidRPr="00A4346F" w:rsidRDefault="00F01D6E" w:rsidP="002103C8">
            <w:pPr>
              <w:rPr>
                <w:sz w:val="22"/>
                <w:szCs w:val="22"/>
              </w:rPr>
            </w:pPr>
            <w:r w:rsidRPr="00A4346F">
              <w:rPr>
                <w:sz w:val="22"/>
                <w:szCs w:val="22"/>
              </w:rPr>
              <w:t>9 meters height</w:t>
            </w:r>
          </w:p>
        </w:tc>
      </w:tr>
      <w:tr w:rsidR="00F01D6E" w14:paraId="6642AE45" w14:textId="77777777" w:rsidTr="0096319A">
        <w:trPr>
          <w:trHeight w:val="438"/>
        </w:trPr>
        <w:tc>
          <w:tcPr>
            <w:tcW w:w="882" w:type="dxa"/>
            <w:gridSpan w:val="2"/>
          </w:tcPr>
          <w:p w14:paraId="5997D174" w14:textId="77777777" w:rsidR="00F01D6E" w:rsidRPr="00A4346F" w:rsidRDefault="00F01D6E" w:rsidP="00F01D6E">
            <w:pPr>
              <w:pStyle w:val="ListParagraph"/>
              <w:numPr>
                <w:ilvl w:val="0"/>
                <w:numId w:val="30"/>
              </w:numPr>
              <w:jc w:val="left"/>
              <w:rPr>
                <w:sz w:val="22"/>
                <w:szCs w:val="22"/>
              </w:rPr>
            </w:pPr>
          </w:p>
        </w:tc>
        <w:tc>
          <w:tcPr>
            <w:tcW w:w="3551" w:type="dxa"/>
          </w:tcPr>
          <w:p w14:paraId="304B2828" w14:textId="77777777" w:rsidR="00F01D6E" w:rsidRPr="00A4346F" w:rsidRDefault="00F01D6E" w:rsidP="002103C8">
            <w:pPr>
              <w:rPr>
                <w:sz w:val="22"/>
                <w:szCs w:val="22"/>
              </w:rPr>
            </w:pPr>
            <w:r w:rsidRPr="00A4346F">
              <w:rPr>
                <w:sz w:val="22"/>
                <w:szCs w:val="22"/>
              </w:rPr>
              <w:t>3 Pole circuit breaker type 3AP1 FG</w:t>
            </w:r>
          </w:p>
        </w:tc>
        <w:tc>
          <w:tcPr>
            <w:tcW w:w="5287" w:type="dxa"/>
          </w:tcPr>
          <w:p w14:paraId="4E505847" w14:textId="77777777" w:rsidR="00F01D6E" w:rsidRPr="00A4346F" w:rsidRDefault="00F01D6E" w:rsidP="002103C8">
            <w:pPr>
              <w:rPr>
                <w:sz w:val="22"/>
                <w:szCs w:val="22"/>
              </w:rPr>
            </w:pPr>
            <w:r w:rsidRPr="00A4346F">
              <w:rPr>
                <w:sz w:val="22"/>
                <w:szCs w:val="22"/>
              </w:rPr>
              <w:t xml:space="preserve">SF6 630 Amps, 72.5 kV, </w:t>
            </w:r>
          </w:p>
          <w:p w14:paraId="7B577C26" w14:textId="77777777" w:rsidR="00F01D6E" w:rsidRPr="00A4346F" w:rsidRDefault="00F01D6E" w:rsidP="002103C8">
            <w:pPr>
              <w:rPr>
                <w:sz w:val="22"/>
                <w:szCs w:val="22"/>
              </w:rPr>
            </w:pPr>
            <w:r w:rsidRPr="00A4346F">
              <w:rPr>
                <w:sz w:val="22"/>
                <w:szCs w:val="22"/>
              </w:rPr>
              <w:t>Rated short time withstand current 20kA</w:t>
            </w:r>
          </w:p>
        </w:tc>
      </w:tr>
      <w:tr w:rsidR="00F01D6E" w14:paraId="7BDFE10A" w14:textId="77777777" w:rsidTr="0096319A">
        <w:trPr>
          <w:trHeight w:val="438"/>
        </w:trPr>
        <w:tc>
          <w:tcPr>
            <w:tcW w:w="882" w:type="dxa"/>
            <w:gridSpan w:val="2"/>
          </w:tcPr>
          <w:p w14:paraId="27247FA2" w14:textId="77777777" w:rsidR="00F01D6E" w:rsidRPr="00A4346F" w:rsidRDefault="00F01D6E" w:rsidP="00F01D6E">
            <w:pPr>
              <w:pStyle w:val="ListParagraph"/>
              <w:numPr>
                <w:ilvl w:val="0"/>
                <w:numId w:val="30"/>
              </w:numPr>
              <w:jc w:val="left"/>
              <w:rPr>
                <w:sz w:val="22"/>
                <w:szCs w:val="22"/>
              </w:rPr>
            </w:pPr>
          </w:p>
        </w:tc>
        <w:tc>
          <w:tcPr>
            <w:tcW w:w="3551" w:type="dxa"/>
          </w:tcPr>
          <w:p w14:paraId="3E413947" w14:textId="77777777" w:rsidR="00F01D6E" w:rsidRPr="00A4346F" w:rsidRDefault="00F01D6E" w:rsidP="002103C8">
            <w:pPr>
              <w:rPr>
                <w:sz w:val="22"/>
                <w:szCs w:val="22"/>
              </w:rPr>
            </w:pPr>
            <w:r w:rsidRPr="00A4346F">
              <w:rPr>
                <w:sz w:val="22"/>
                <w:szCs w:val="22"/>
              </w:rPr>
              <w:t>3 Disconnector</w:t>
            </w:r>
          </w:p>
        </w:tc>
        <w:tc>
          <w:tcPr>
            <w:tcW w:w="5287" w:type="dxa"/>
          </w:tcPr>
          <w:p w14:paraId="673F20F2" w14:textId="77777777" w:rsidR="00F01D6E" w:rsidRPr="00A4346F" w:rsidRDefault="00F01D6E" w:rsidP="002103C8">
            <w:pPr>
              <w:rPr>
                <w:sz w:val="22"/>
                <w:szCs w:val="22"/>
              </w:rPr>
            </w:pPr>
            <w:r w:rsidRPr="00A4346F">
              <w:rPr>
                <w:sz w:val="22"/>
                <w:szCs w:val="22"/>
              </w:rPr>
              <w:t>630 Amps 72.5 kV</w:t>
            </w:r>
          </w:p>
        </w:tc>
      </w:tr>
      <w:tr w:rsidR="00F01D6E" w14:paraId="182988F5" w14:textId="77777777" w:rsidTr="0096319A">
        <w:trPr>
          <w:trHeight w:val="438"/>
        </w:trPr>
        <w:tc>
          <w:tcPr>
            <w:tcW w:w="882" w:type="dxa"/>
            <w:gridSpan w:val="2"/>
          </w:tcPr>
          <w:p w14:paraId="56C949DF" w14:textId="77777777" w:rsidR="00F01D6E" w:rsidRPr="00A4346F" w:rsidRDefault="00F01D6E" w:rsidP="00F01D6E">
            <w:pPr>
              <w:pStyle w:val="ListParagraph"/>
              <w:numPr>
                <w:ilvl w:val="0"/>
                <w:numId w:val="30"/>
              </w:numPr>
              <w:jc w:val="left"/>
              <w:rPr>
                <w:sz w:val="22"/>
                <w:szCs w:val="22"/>
              </w:rPr>
            </w:pPr>
          </w:p>
        </w:tc>
        <w:tc>
          <w:tcPr>
            <w:tcW w:w="3551" w:type="dxa"/>
          </w:tcPr>
          <w:p w14:paraId="0323D8FE" w14:textId="77777777" w:rsidR="00F01D6E" w:rsidRPr="00A4346F" w:rsidRDefault="00F01D6E" w:rsidP="002103C8">
            <w:pPr>
              <w:rPr>
                <w:sz w:val="22"/>
                <w:szCs w:val="22"/>
              </w:rPr>
            </w:pPr>
            <w:r w:rsidRPr="00A4346F">
              <w:rPr>
                <w:sz w:val="22"/>
                <w:szCs w:val="22"/>
              </w:rPr>
              <w:t>3 Potential Transformer</w:t>
            </w:r>
          </w:p>
        </w:tc>
        <w:tc>
          <w:tcPr>
            <w:tcW w:w="5287" w:type="dxa"/>
          </w:tcPr>
          <w:p w14:paraId="114827BF" w14:textId="13C317E4" w:rsidR="00F01D6E" w:rsidRPr="00A4346F" w:rsidRDefault="00F01D6E" w:rsidP="002103C8">
            <w:pPr>
              <w:rPr>
                <w:sz w:val="22"/>
                <w:szCs w:val="22"/>
              </w:rPr>
            </w:pPr>
            <w:r w:rsidRPr="00A4346F">
              <w:rPr>
                <w:sz w:val="22"/>
                <w:szCs w:val="22"/>
              </w:rPr>
              <w:t>Primary Voltage 69/√3, Sec Voltage 0.12/√3</w:t>
            </w:r>
          </w:p>
        </w:tc>
      </w:tr>
      <w:tr w:rsidR="00F01D6E" w14:paraId="2B6D9AFC" w14:textId="77777777" w:rsidTr="0096319A">
        <w:trPr>
          <w:trHeight w:val="438"/>
        </w:trPr>
        <w:tc>
          <w:tcPr>
            <w:tcW w:w="882" w:type="dxa"/>
            <w:gridSpan w:val="2"/>
          </w:tcPr>
          <w:p w14:paraId="0C77DCD3" w14:textId="77777777" w:rsidR="00F01D6E" w:rsidRPr="00A4346F" w:rsidRDefault="00F01D6E" w:rsidP="00F01D6E">
            <w:pPr>
              <w:pStyle w:val="ListParagraph"/>
              <w:numPr>
                <w:ilvl w:val="0"/>
                <w:numId w:val="30"/>
              </w:numPr>
              <w:jc w:val="left"/>
              <w:rPr>
                <w:sz w:val="22"/>
                <w:szCs w:val="22"/>
              </w:rPr>
            </w:pPr>
          </w:p>
        </w:tc>
        <w:tc>
          <w:tcPr>
            <w:tcW w:w="3551" w:type="dxa"/>
          </w:tcPr>
          <w:p w14:paraId="6D5F3882" w14:textId="77777777" w:rsidR="00F01D6E" w:rsidRPr="00A4346F" w:rsidRDefault="00F01D6E" w:rsidP="002103C8">
            <w:pPr>
              <w:rPr>
                <w:sz w:val="22"/>
                <w:szCs w:val="22"/>
              </w:rPr>
            </w:pPr>
            <w:r w:rsidRPr="00A4346F">
              <w:rPr>
                <w:sz w:val="22"/>
                <w:szCs w:val="22"/>
              </w:rPr>
              <w:t>6- current transformer</w:t>
            </w:r>
          </w:p>
        </w:tc>
        <w:tc>
          <w:tcPr>
            <w:tcW w:w="5287" w:type="dxa"/>
          </w:tcPr>
          <w:p w14:paraId="7907B35B" w14:textId="276CCB61" w:rsidR="00F01D6E" w:rsidRPr="00A4346F" w:rsidRDefault="00F01D6E" w:rsidP="002103C8">
            <w:pPr>
              <w:rPr>
                <w:sz w:val="22"/>
                <w:szCs w:val="22"/>
              </w:rPr>
            </w:pPr>
            <w:r w:rsidRPr="00A4346F">
              <w:rPr>
                <w:sz w:val="22"/>
                <w:szCs w:val="22"/>
              </w:rPr>
              <w:t>(Measurement &amp; Protection core)</w:t>
            </w:r>
          </w:p>
          <w:p w14:paraId="3778AC0F" w14:textId="77777777" w:rsidR="00F01D6E" w:rsidRPr="00A4346F" w:rsidRDefault="00F01D6E" w:rsidP="002103C8">
            <w:pPr>
              <w:rPr>
                <w:sz w:val="22"/>
                <w:szCs w:val="22"/>
              </w:rPr>
            </w:pPr>
            <w:r w:rsidRPr="00A4346F">
              <w:rPr>
                <w:sz w:val="22"/>
                <w:szCs w:val="22"/>
              </w:rPr>
              <w:t>1200-600-300/1, 72.5 kV, 630 Amps continuous</w:t>
            </w:r>
          </w:p>
        </w:tc>
      </w:tr>
      <w:tr w:rsidR="00F01D6E" w14:paraId="61DBE627" w14:textId="77777777" w:rsidTr="0096319A">
        <w:trPr>
          <w:trHeight w:val="438"/>
        </w:trPr>
        <w:tc>
          <w:tcPr>
            <w:tcW w:w="882" w:type="dxa"/>
            <w:gridSpan w:val="2"/>
          </w:tcPr>
          <w:p w14:paraId="26DF7FBA" w14:textId="77777777" w:rsidR="00F01D6E" w:rsidRPr="00A4346F" w:rsidRDefault="00F01D6E" w:rsidP="00F01D6E">
            <w:pPr>
              <w:pStyle w:val="ListParagraph"/>
              <w:numPr>
                <w:ilvl w:val="0"/>
                <w:numId w:val="30"/>
              </w:numPr>
              <w:jc w:val="left"/>
              <w:rPr>
                <w:sz w:val="22"/>
                <w:szCs w:val="22"/>
              </w:rPr>
            </w:pPr>
          </w:p>
        </w:tc>
        <w:tc>
          <w:tcPr>
            <w:tcW w:w="3551" w:type="dxa"/>
          </w:tcPr>
          <w:p w14:paraId="6733D5AA" w14:textId="77777777" w:rsidR="00F01D6E" w:rsidRPr="00A4346F" w:rsidRDefault="00F01D6E" w:rsidP="002103C8">
            <w:pPr>
              <w:rPr>
                <w:sz w:val="22"/>
                <w:szCs w:val="22"/>
              </w:rPr>
            </w:pPr>
            <w:r w:rsidRPr="00A4346F">
              <w:rPr>
                <w:sz w:val="22"/>
                <w:szCs w:val="22"/>
              </w:rPr>
              <w:t xml:space="preserve">3 Surge </w:t>
            </w:r>
            <w:proofErr w:type="gramStart"/>
            <w:r w:rsidRPr="00A4346F">
              <w:rPr>
                <w:sz w:val="22"/>
                <w:szCs w:val="22"/>
              </w:rPr>
              <w:t>arrester</w:t>
            </w:r>
            <w:proofErr w:type="gramEnd"/>
          </w:p>
        </w:tc>
        <w:tc>
          <w:tcPr>
            <w:tcW w:w="5287" w:type="dxa"/>
          </w:tcPr>
          <w:p w14:paraId="4A98C575" w14:textId="77777777" w:rsidR="00F01D6E" w:rsidRPr="00A4346F" w:rsidRDefault="00F01D6E" w:rsidP="002103C8">
            <w:pPr>
              <w:rPr>
                <w:sz w:val="22"/>
                <w:szCs w:val="22"/>
              </w:rPr>
            </w:pPr>
            <w:r w:rsidRPr="00A4346F">
              <w:rPr>
                <w:sz w:val="22"/>
                <w:szCs w:val="22"/>
              </w:rPr>
              <w:t>Rated Voltage 60 kV, Continuous Operating Voltage 48 kV, Discharge current 10 kA</w:t>
            </w:r>
          </w:p>
        </w:tc>
      </w:tr>
      <w:tr w:rsidR="00F01D6E" w14:paraId="2BB176E0" w14:textId="77777777" w:rsidTr="0096319A">
        <w:trPr>
          <w:trHeight w:val="438"/>
        </w:trPr>
        <w:tc>
          <w:tcPr>
            <w:tcW w:w="882" w:type="dxa"/>
            <w:gridSpan w:val="2"/>
          </w:tcPr>
          <w:p w14:paraId="4C195F67" w14:textId="77777777" w:rsidR="00F01D6E" w:rsidRPr="00A4346F" w:rsidRDefault="00F01D6E" w:rsidP="00F01D6E">
            <w:pPr>
              <w:pStyle w:val="ListParagraph"/>
              <w:numPr>
                <w:ilvl w:val="0"/>
                <w:numId w:val="30"/>
              </w:numPr>
              <w:jc w:val="left"/>
              <w:rPr>
                <w:sz w:val="22"/>
                <w:szCs w:val="22"/>
              </w:rPr>
            </w:pPr>
          </w:p>
        </w:tc>
        <w:tc>
          <w:tcPr>
            <w:tcW w:w="3551" w:type="dxa"/>
          </w:tcPr>
          <w:p w14:paraId="046DC837" w14:textId="77777777" w:rsidR="00F01D6E" w:rsidRPr="00A4346F" w:rsidRDefault="00F01D6E" w:rsidP="002103C8">
            <w:pPr>
              <w:rPr>
                <w:sz w:val="22"/>
                <w:szCs w:val="22"/>
              </w:rPr>
            </w:pPr>
            <w:r w:rsidRPr="00A4346F">
              <w:rPr>
                <w:sz w:val="22"/>
                <w:szCs w:val="22"/>
              </w:rPr>
              <w:t>Control &amp; Protection System</w:t>
            </w:r>
          </w:p>
        </w:tc>
        <w:tc>
          <w:tcPr>
            <w:tcW w:w="5287" w:type="dxa"/>
          </w:tcPr>
          <w:p w14:paraId="02A698A3" w14:textId="77777777" w:rsidR="00F01D6E" w:rsidRPr="00A4346F" w:rsidRDefault="00F01D6E" w:rsidP="002103C8">
            <w:pPr>
              <w:rPr>
                <w:sz w:val="22"/>
                <w:szCs w:val="22"/>
              </w:rPr>
            </w:pPr>
            <w:r w:rsidRPr="00A4346F">
              <w:rPr>
                <w:sz w:val="22"/>
                <w:szCs w:val="22"/>
              </w:rPr>
              <w:t>Controller Type- 6MD8</w:t>
            </w:r>
          </w:p>
          <w:p w14:paraId="4C3A5099" w14:textId="77777777" w:rsidR="00F01D6E" w:rsidRPr="00A4346F" w:rsidRDefault="00F01D6E" w:rsidP="002103C8">
            <w:pPr>
              <w:rPr>
                <w:sz w:val="22"/>
                <w:szCs w:val="22"/>
              </w:rPr>
            </w:pPr>
            <w:r w:rsidRPr="00A4346F">
              <w:rPr>
                <w:sz w:val="22"/>
                <w:szCs w:val="22"/>
              </w:rPr>
              <w:t>Main Protection: 87T, Rel Type 7UT85</w:t>
            </w:r>
          </w:p>
          <w:p w14:paraId="7432DDF0" w14:textId="413A2C77" w:rsidR="00F01D6E" w:rsidRPr="00A4346F" w:rsidRDefault="00F01D6E" w:rsidP="002103C8">
            <w:pPr>
              <w:rPr>
                <w:sz w:val="22"/>
                <w:szCs w:val="22"/>
              </w:rPr>
            </w:pPr>
            <w:r w:rsidRPr="00A4346F">
              <w:rPr>
                <w:sz w:val="22"/>
                <w:szCs w:val="22"/>
              </w:rPr>
              <w:t>Back –up Protection Rel Type 7UJ85 (50/51)</w:t>
            </w:r>
          </w:p>
          <w:p w14:paraId="5E7947A8" w14:textId="77777777" w:rsidR="00F01D6E" w:rsidRPr="00A4346F" w:rsidRDefault="00F01D6E" w:rsidP="002103C8">
            <w:pPr>
              <w:rPr>
                <w:sz w:val="22"/>
                <w:szCs w:val="22"/>
              </w:rPr>
            </w:pPr>
            <w:r w:rsidRPr="00A4346F">
              <w:rPr>
                <w:sz w:val="22"/>
                <w:szCs w:val="22"/>
              </w:rPr>
              <w:t>RTU SICAM AK3- 3 communication Protocols</w:t>
            </w:r>
          </w:p>
          <w:p w14:paraId="6DBEE174" w14:textId="77777777" w:rsidR="00F01D6E" w:rsidRPr="00A4346F" w:rsidRDefault="00F01D6E" w:rsidP="00F01D6E">
            <w:pPr>
              <w:pStyle w:val="ListParagraph"/>
              <w:numPr>
                <w:ilvl w:val="0"/>
                <w:numId w:val="32"/>
              </w:numPr>
              <w:autoSpaceDE w:val="0"/>
              <w:autoSpaceDN w:val="0"/>
              <w:adjustRightInd w:val="0"/>
              <w:jc w:val="left"/>
              <w:rPr>
                <w:rFonts w:ascii="Arial" w:hAnsi="Arial" w:cs="Arial"/>
                <w:sz w:val="22"/>
                <w:szCs w:val="22"/>
              </w:rPr>
            </w:pPr>
            <w:r w:rsidRPr="00A4346F">
              <w:rPr>
                <w:rFonts w:ascii="Arial" w:hAnsi="Arial" w:cs="Arial"/>
                <w:sz w:val="22"/>
                <w:szCs w:val="22"/>
              </w:rPr>
              <w:t>IEC 61850 protocol to communicate with protection relays.</w:t>
            </w:r>
          </w:p>
          <w:p w14:paraId="4EDC0EC9" w14:textId="77777777" w:rsidR="00F01D6E" w:rsidRPr="00A4346F" w:rsidRDefault="00F01D6E" w:rsidP="00F01D6E">
            <w:pPr>
              <w:pStyle w:val="ListParagraph"/>
              <w:numPr>
                <w:ilvl w:val="0"/>
                <w:numId w:val="32"/>
              </w:numPr>
              <w:autoSpaceDE w:val="0"/>
              <w:autoSpaceDN w:val="0"/>
              <w:adjustRightInd w:val="0"/>
              <w:jc w:val="left"/>
              <w:rPr>
                <w:rFonts w:ascii="Arial" w:hAnsi="Arial" w:cs="Arial"/>
                <w:sz w:val="22"/>
                <w:szCs w:val="22"/>
              </w:rPr>
            </w:pPr>
            <w:r w:rsidRPr="00A4346F">
              <w:rPr>
                <w:rFonts w:ascii="Arial" w:hAnsi="Arial" w:cs="Arial"/>
                <w:sz w:val="22"/>
                <w:szCs w:val="22"/>
              </w:rPr>
              <w:t>IEC 60870-5-104 to communicate with the control center.</w:t>
            </w:r>
          </w:p>
          <w:p w14:paraId="6B30015F" w14:textId="77777777" w:rsidR="00F01D6E" w:rsidRPr="00A4346F" w:rsidRDefault="00F01D6E" w:rsidP="00F01D6E">
            <w:pPr>
              <w:pStyle w:val="ListParagraph"/>
              <w:numPr>
                <w:ilvl w:val="0"/>
                <w:numId w:val="32"/>
              </w:numPr>
              <w:jc w:val="left"/>
              <w:rPr>
                <w:sz w:val="22"/>
                <w:szCs w:val="22"/>
              </w:rPr>
            </w:pPr>
            <w:r w:rsidRPr="00A4346F">
              <w:rPr>
                <w:rFonts w:ascii="Arial" w:hAnsi="Arial" w:cs="Arial"/>
                <w:sz w:val="22"/>
                <w:szCs w:val="22"/>
              </w:rPr>
              <w:t>MODBUS to receive the signals from STATCOM Solution.</w:t>
            </w:r>
          </w:p>
        </w:tc>
      </w:tr>
      <w:tr w:rsidR="00F01D6E" w14:paraId="77FCDBEB" w14:textId="77777777" w:rsidTr="0096319A">
        <w:trPr>
          <w:trHeight w:val="438"/>
        </w:trPr>
        <w:tc>
          <w:tcPr>
            <w:tcW w:w="882" w:type="dxa"/>
            <w:gridSpan w:val="2"/>
          </w:tcPr>
          <w:p w14:paraId="522A2F70" w14:textId="77777777" w:rsidR="00F01D6E" w:rsidRPr="00A4346F" w:rsidRDefault="00F01D6E" w:rsidP="00F01D6E">
            <w:pPr>
              <w:pStyle w:val="ListParagraph"/>
              <w:numPr>
                <w:ilvl w:val="0"/>
                <w:numId w:val="30"/>
              </w:numPr>
              <w:jc w:val="left"/>
              <w:rPr>
                <w:sz w:val="22"/>
                <w:szCs w:val="22"/>
              </w:rPr>
            </w:pPr>
          </w:p>
        </w:tc>
        <w:tc>
          <w:tcPr>
            <w:tcW w:w="3551" w:type="dxa"/>
          </w:tcPr>
          <w:p w14:paraId="376AC124" w14:textId="77777777" w:rsidR="00F01D6E" w:rsidRPr="00A4346F" w:rsidRDefault="00F01D6E" w:rsidP="002103C8">
            <w:pPr>
              <w:rPr>
                <w:sz w:val="22"/>
                <w:szCs w:val="22"/>
              </w:rPr>
            </w:pPr>
            <w:r w:rsidRPr="00A4346F">
              <w:rPr>
                <w:sz w:val="22"/>
                <w:szCs w:val="22"/>
              </w:rPr>
              <w:t>Training</w:t>
            </w:r>
          </w:p>
        </w:tc>
        <w:tc>
          <w:tcPr>
            <w:tcW w:w="5287" w:type="dxa"/>
          </w:tcPr>
          <w:p w14:paraId="158059AC" w14:textId="77777777" w:rsidR="00F01D6E" w:rsidRPr="00A4346F" w:rsidRDefault="00F01D6E" w:rsidP="002103C8">
            <w:pPr>
              <w:rPr>
                <w:sz w:val="22"/>
                <w:szCs w:val="22"/>
              </w:rPr>
            </w:pPr>
          </w:p>
        </w:tc>
      </w:tr>
    </w:tbl>
    <w:p w14:paraId="3A8DCEAB" w14:textId="7D8CACFA" w:rsidR="00F01D6E" w:rsidRDefault="00B938AC" w:rsidP="00F01D6E">
      <w:r>
        <w:t>Table 1:</w:t>
      </w:r>
      <w:r>
        <w:tab/>
        <w:t>Components of the STATCOM Package</w:t>
      </w:r>
    </w:p>
    <w:p w14:paraId="28C36541" w14:textId="06E8D0CA" w:rsidR="006A269C" w:rsidRDefault="006A269C" w:rsidP="006A269C">
      <w:pPr>
        <w:spacing w:before="100" w:beforeAutospacing="1" w:line="276" w:lineRule="auto"/>
        <w:ind w:left="1080"/>
        <w:contextualSpacing/>
        <w:rPr>
          <w:lang w:val="en-US" w:eastAsia="en-US"/>
        </w:rPr>
      </w:pPr>
    </w:p>
    <w:p w14:paraId="2861DD8A" w14:textId="7C2076BF" w:rsidR="00F05AEB" w:rsidRDefault="00E566F8" w:rsidP="006A269C">
      <w:pPr>
        <w:spacing w:before="100" w:beforeAutospacing="1" w:line="276" w:lineRule="auto"/>
        <w:ind w:left="1080"/>
        <w:contextualSpacing/>
        <w:rPr>
          <w:lang w:val="en-US" w:eastAsia="en-US"/>
        </w:rPr>
      </w:pPr>
      <w:r>
        <w:rPr>
          <w:lang w:val="en-US" w:eastAsia="en-US"/>
        </w:rPr>
        <w:t>The New Sophia</w:t>
      </w:r>
      <w:r w:rsidR="00F05AEB">
        <w:rPr>
          <w:lang w:val="en-US" w:eastAsia="en-US"/>
        </w:rPr>
        <w:t xml:space="preserve"> substation is an extension of the Sophia substation which became necessary with the development of GPL’s 69 kV network. It is 0.3 km away from Sophia and </w:t>
      </w:r>
      <w:r>
        <w:rPr>
          <w:lang w:val="en-US" w:eastAsia="en-US"/>
        </w:rPr>
        <w:t xml:space="preserve">has the required space to house the STATCOM equipment and all its auxiliaries.  </w:t>
      </w:r>
      <w:r w:rsidR="00F05AEB">
        <w:rPr>
          <w:lang w:val="en-US" w:eastAsia="en-US"/>
        </w:rPr>
        <w:t xml:space="preserve">Load flow simulations </w:t>
      </w:r>
      <w:r w:rsidR="00A31373">
        <w:rPr>
          <w:lang w:val="en-US" w:eastAsia="en-US"/>
        </w:rPr>
        <w:t xml:space="preserve">show </w:t>
      </w:r>
      <w:r w:rsidR="00F05AEB">
        <w:rPr>
          <w:lang w:val="en-US" w:eastAsia="en-US"/>
        </w:rPr>
        <w:t>a difference of 0.01% in the voltages between the two substations.</w:t>
      </w:r>
    </w:p>
    <w:p w14:paraId="04786671" w14:textId="19FEA3A4" w:rsidR="00A31373" w:rsidRDefault="00A31373" w:rsidP="006A269C">
      <w:pPr>
        <w:spacing w:before="100" w:beforeAutospacing="1" w:line="276" w:lineRule="auto"/>
        <w:ind w:left="1080"/>
        <w:contextualSpacing/>
        <w:rPr>
          <w:lang w:val="en-US" w:eastAsia="en-US"/>
        </w:rPr>
      </w:pPr>
    </w:p>
    <w:p w14:paraId="2CA9C05E" w14:textId="1FC46B94" w:rsidR="00744430" w:rsidRDefault="00A31373" w:rsidP="006A269C">
      <w:pPr>
        <w:spacing w:before="100" w:beforeAutospacing="1" w:line="276" w:lineRule="auto"/>
        <w:ind w:left="1080"/>
        <w:contextualSpacing/>
        <w:rPr>
          <w:lang w:val="en-US" w:eastAsia="en-US"/>
        </w:rPr>
      </w:pPr>
      <w:r>
        <w:rPr>
          <w:lang w:val="en-US" w:eastAsia="en-US"/>
        </w:rPr>
        <w:t xml:space="preserve">The STATCOM equipment comes as a complete package including a 69 kV, three phase, three winding transformer providing voltages for the </w:t>
      </w:r>
      <w:r w:rsidR="00744430">
        <w:rPr>
          <w:lang w:val="en-US" w:eastAsia="en-US"/>
        </w:rPr>
        <w:t>apparent power systems (APS)</w:t>
      </w:r>
      <w:r>
        <w:rPr>
          <w:lang w:val="en-US" w:eastAsia="en-US"/>
        </w:rPr>
        <w:t xml:space="preserve">.  Also included in the package are </w:t>
      </w:r>
      <w:r w:rsidR="00703042">
        <w:rPr>
          <w:lang w:val="en-US" w:eastAsia="en-US"/>
        </w:rPr>
        <w:t>one (1)</w:t>
      </w:r>
      <w:r>
        <w:rPr>
          <w:lang w:val="en-US" w:eastAsia="en-US"/>
        </w:rPr>
        <w:t xml:space="preserve"> 69 kV circuit breaker</w:t>
      </w:r>
      <w:r w:rsidR="00703042">
        <w:rPr>
          <w:lang w:val="en-US" w:eastAsia="en-US"/>
        </w:rPr>
        <w:t>,</w:t>
      </w:r>
      <w:r w:rsidR="00744430">
        <w:rPr>
          <w:lang w:val="en-US" w:eastAsia="en-US"/>
        </w:rPr>
        <w:t xml:space="preserve"> </w:t>
      </w:r>
      <w:r w:rsidR="00703042">
        <w:rPr>
          <w:lang w:val="en-US" w:eastAsia="en-US"/>
        </w:rPr>
        <w:t>t</w:t>
      </w:r>
      <w:r w:rsidR="00744430">
        <w:rPr>
          <w:lang w:val="en-US" w:eastAsia="en-US"/>
        </w:rPr>
        <w:t xml:space="preserve">hree </w:t>
      </w:r>
      <w:r w:rsidR="00703042">
        <w:rPr>
          <w:lang w:val="en-US" w:eastAsia="en-US"/>
        </w:rPr>
        <w:t xml:space="preserve">(3) </w:t>
      </w:r>
      <w:r w:rsidR="00744430">
        <w:rPr>
          <w:lang w:val="en-US" w:eastAsia="en-US"/>
        </w:rPr>
        <w:t>69 kV disconnects</w:t>
      </w:r>
      <w:r>
        <w:rPr>
          <w:lang w:val="en-US" w:eastAsia="en-US"/>
        </w:rPr>
        <w:t xml:space="preserve"> and the current and voltage transformers required for measurement and protection.  As this is a complete package, only a single cost is provided.  GPL would need to provide the extension to the </w:t>
      </w:r>
      <w:proofErr w:type="gramStart"/>
      <w:r>
        <w:rPr>
          <w:lang w:val="en-US" w:eastAsia="en-US"/>
        </w:rPr>
        <w:t>69 kV</w:t>
      </w:r>
      <w:proofErr w:type="gramEnd"/>
      <w:r>
        <w:rPr>
          <w:lang w:val="en-US" w:eastAsia="en-US"/>
        </w:rPr>
        <w:t xml:space="preserve"> busbar</w:t>
      </w:r>
      <w:r w:rsidR="00744430">
        <w:rPr>
          <w:lang w:val="en-US" w:eastAsia="en-US"/>
        </w:rPr>
        <w:t xml:space="preserve"> and also a de-</w:t>
      </w:r>
      <w:proofErr w:type="spellStart"/>
      <w:r w:rsidR="00744430">
        <w:rPr>
          <w:lang w:val="en-US" w:eastAsia="en-US"/>
        </w:rPr>
        <w:t>energised</w:t>
      </w:r>
      <w:proofErr w:type="spellEnd"/>
      <w:r w:rsidR="00744430">
        <w:rPr>
          <w:lang w:val="en-US" w:eastAsia="en-US"/>
        </w:rPr>
        <w:t xml:space="preserve"> busbar for 7 days</w:t>
      </w:r>
      <w:r w:rsidR="00703042">
        <w:rPr>
          <w:lang w:val="en-US" w:eastAsia="en-US"/>
        </w:rPr>
        <w:t xml:space="preserve"> to facilitate the connection</w:t>
      </w:r>
      <w:r w:rsidR="00744430">
        <w:rPr>
          <w:lang w:val="en-US" w:eastAsia="en-US"/>
        </w:rPr>
        <w:t xml:space="preserve">.  </w:t>
      </w:r>
      <w:r w:rsidR="00E566F8">
        <w:rPr>
          <w:lang w:val="en-US" w:eastAsia="en-US"/>
        </w:rPr>
        <w:t xml:space="preserve">Civil works are required for the foundation of the equipment and the extension of the </w:t>
      </w:r>
      <w:proofErr w:type="gramStart"/>
      <w:r w:rsidR="00E566F8">
        <w:rPr>
          <w:lang w:val="en-US" w:eastAsia="en-US"/>
        </w:rPr>
        <w:t>69 kV</w:t>
      </w:r>
      <w:proofErr w:type="gramEnd"/>
      <w:r w:rsidR="00E566F8">
        <w:rPr>
          <w:lang w:val="en-US" w:eastAsia="en-US"/>
        </w:rPr>
        <w:t xml:space="preserve"> busbar at New Sophia</w:t>
      </w:r>
      <w:r w:rsidR="00F05AEB">
        <w:rPr>
          <w:lang w:val="en-US" w:eastAsia="en-US"/>
        </w:rPr>
        <w:t>.</w:t>
      </w:r>
      <w:r w:rsidR="00E566F8">
        <w:rPr>
          <w:lang w:val="en-US" w:eastAsia="en-US"/>
        </w:rPr>
        <w:t xml:space="preserve">  </w:t>
      </w:r>
    </w:p>
    <w:p w14:paraId="76DD2AB0" w14:textId="1DBB8D3D" w:rsidR="00744430" w:rsidRDefault="00744430" w:rsidP="006A269C">
      <w:pPr>
        <w:spacing w:before="100" w:beforeAutospacing="1" w:line="276" w:lineRule="auto"/>
        <w:ind w:left="1080"/>
        <w:contextualSpacing/>
        <w:rPr>
          <w:lang w:val="en-US" w:eastAsia="en-US"/>
        </w:rPr>
      </w:pPr>
    </w:p>
    <w:p w14:paraId="2C9E8ACF" w14:textId="11ACE90D" w:rsidR="000E141E" w:rsidRDefault="00744430" w:rsidP="006A269C">
      <w:pPr>
        <w:spacing w:before="100" w:beforeAutospacing="1" w:line="276" w:lineRule="auto"/>
        <w:ind w:left="1080"/>
        <w:contextualSpacing/>
        <w:rPr>
          <w:lang w:val="en-US" w:eastAsia="en-US"/>
        </w:rPr>
      </w:pPr>
      <w:r>
        <w:rPr>
          <w:lang w:val="en-US" w:eastAsia="en-US"/>
        </w:rPr>
        <w:t xml:space="preserve">There would need to be an interface between the GPL and the STATCOM SCADA networks.  </w:t>
      </w:r>
      <w:r w:rsidR="00242198">
        <w:rPr>
          <w:lang w:val="en-US" w:eastAsia="en-US"/>
        </w:rPr>
        <w:t xml:space="preserve">The IEC communication protocol of the latter would make this a smooth interconnection.  </w:t>
      </w:r>
      <w:r w:rsidR="00E566F8">
        <w:rPr>
          <w:lang w:val="en-US" w:eastAsia="en-US"/>
        </w:rPr>
        <w:t xml:space="preserve">This would be the first installation of this type of equipment on the GPL’s network, however, the company has many skilled </w:t>
      </w:r>
      <w:r w:rsidR="00242198">
        <w:rPr>
          <w:lang w:val="en-US" w:eastAsia="en-US"/>
        </w:rPr>
        <w:t>engineers</w:t>
      </w:r>
      <w:r w:rsidR="00703042">
        <w:rPr>
          <w:lang w:val="en-US" w:eastAsia="en-US"/>
        </w:rPr>
        <w:t xml:space="preserve"> and technicians</w:t>
      </w:r>
      <w:r w:rsidR="00E566F8">
        <w:rPr>
          <w:lang w:val="en-US" w:eastAsia="en-US"/>
        </w:rPr>
        <w:t>, who with the relevant training would be able to operate and maintain this equipment.</w:t>
      </w:r>
    </w:p>
    <w:p w14:paraId="69E170C2" w14:textId="08AFAE14" w:rsidR="001F78B1" w:rsidRDefault="001F78B1" w:rsidP="006A269C">
      <w:pPr>
        <w:spacing w:before="100" w:beforeAutospacing="1" w:line="276" w:lineRule="auto"/>
        <w:ind w:left="1080"/>
        <w:contextualSpacing/>
        <w:rPr>
          <w:lang w:val="en-US" w:eastAsia="en-US"/>
        </w:rPr>
      </w:pPr>
    </w:p>
    <w:p w14:paraId="784ED66F" w14:textId="3ED1ADF1" w:rsidR="00504FE0" w:rsidRPr="00504FE0" w:rsidRDefault="00504FE0" w:rsidP="00504FE0">
      <w:pPr>
        <w:pStyle w:val="ListParagraph"/>
        <w:numPr>
          <w:ilvl w:val="1"/>
          <w:numId w:val="24"/>
        </w:numPr>
        <w:spacing w:before="100" w:beforeAutospacing="1" w:after="120" w:line="276" w:lineRule="auto"/>
        <w:rPr>
          <w:b/>
          <w:lang w:val="en-US" w:eastAsia="en-US"/>
        </w:rPr>
      </w:pPr>
      <w:r w:rsidRPr="00504FE0">
        <w:rPr>
          <w:b/>
          <w:lang w:val="en-US" w:eastAsia="en-US"/>
        </w:rPr>
        <w:t>Expected results and impacts</w:t>
      </w:r>
    </w:p>
    <w:p w14:paraId="1F46409C" w14:textId="03E3CBE6" w:rsidR="006A269C" w:rsidRDefault="008675C0" w:rsidP="008675C0">
      <w:pPr>
        <w:spacing w:before="100" w:beforeAutospacing="1" w:after="120" w:line="276" w:lineRule="auto"/>
        <w:ind w:left="1440"/>
        <w:contextualSpacing/>
      </w:pPr>
      <w:r>
        <w:rPr>
          <w:lang w:val="en-US" w:eastAsia="en-US"/>
        </w:rPr>
        <w:t xml:space="preserve">Load flow simulations </w:t>
      </w:r>
      <w:r w:rsidR="000E141E">
        <w:rPr>
          <w:lang w:val="en-US" w:eastAsia="en-US"/>
        </w:rPr>
        <w:t xml:space="preserve">of the DBIS at peak loads </w:t>
      </w:r>
      <w:r>
        <w:rPr>
          <w:lang w:val="en-US" w:eastAsia="en-US"/>
        </w:rPr>
        <w:t>have shown that with a</w:t>
      </w:r>
      <w:r w:rsidRPr="002B2BF7">
        <w:t xml:space="preserve"> ±10MVAr STATCOM </w:t>
      </w:r>
      <w:r w:rsidR="000E141E">
        <w:t xml:space="preserve">installed </w:t>
      </w:r>
      <w:r>
        <w:t xml:space="preserve">at the </w:t>
      </w:r>
      <w:r w:rsidRPr="002B2BF7">
        <w:t>New Sophia 69</w:t>
      </w:r>
      <w:r w:rsidR="000E141E">
        <w:t xml:space="preserve"> </w:t>
      </w:r>
      <w:r w:rsidRPr="002B2BF7">
        <w:t>kV bus-bar</w:t>
      </w:r>
      <w:r w:rsidR="000E141E">
        <w:t>,</w:t>
      </w:r>
      <w:r>
        <w:t xml:space="preserve"> the voltages o</w:t>
      </w:r>
      <w:r w:rsidR="00A4346F">
        <w:t>f</w:t>
      </w:r>
      <w:r>
        <w:t xml:space="preserve"> all busbars on the DBIS system will increase.  Table 2 shows the comparison of voltages with and without the installation of STATCOM.</w:t>
      </w:r>
      <w:r w:rsidR="00C82BC6">
        <w:t xml:space="preserve">  Increases vary between 1.38%</w:t>
      </w:r>
      <w:r w:rsidR="007F276B">
        <w:t>,</w:t>
      </w:r>
      <w:r w:rsidR="00C82BC6">
        <w:t xml:space="preserve"> at </w:t>
      </w:r>
      <w:r w:rsidR="00A4346F">
        <w:t xml:space="preserve">New Sophia substation, </w:t>
      </w:r>
      <w:r w:rsidR="00C82BC6">
        <w:t xml:space="preserve">the site of installation </w:t>
      </w:r>
      <w:r w:rsidR="000E141E">
        <w:t xml:space="preserve">of the STATCOM, </w:t>
      </w:r>
      <w:r w:rsidR="00C82BC6">
        <w:t>to 0.33% at the furthest location</w:t>
      </w:r>
      <w:r w:rsidR="00A4346F">
        <w:t xml:space="preserve">, </w:t>
      </w:r>
      <w:r w:rsidR="000E141E">
        <w:t xml:space="preserve">the </w:t>
      </w:r>
      <w:r w:rsidR="00A4346F">
        <w:t>#53 Village substation</w:t>
      </w:r>
      <w:r w:rsidR="00C82BC6">
        <w:t>.</w:t>
      </w:r>
      <w:r w:rsidR="00242198">
        <w:t xml:space="preserve">  For low load conditions, these increases vary between 1.6% and 0.6%.</w:t>
      </w:r>
    </w:p>
    <w:p w14:paraId="217811C9" w14:textId="164F1347" w:rsidR="008675C0" w:rsidRDefault="008675C0" w:rsidP="008675C0">
      <w:pPr>
        <w:spacing w:before="100" w:beforeAutospacing="1" w:after="120" w:line="276" w:lineRule="auto"/>
        <w:ind w:left="1440"/>
        <w:contextualSpacing/>
        <w:rPr>
          <w:lang w:val="en-US" w:eastAsia="en-US"/>
        </w:rPr>
      </w:pPr>
    </w:p>
    <w:tbl>
      <w:tblPr>
        <w:tblW w:w="9034" w:type="dxa"/>
        <w:jc w:val="center"/>
        <w:tblLook w:val="04A0" w:firstRow="1" w:lastRow="0" w:firstColumn="1" w:lastColumn="0" w:noHBand="0" w:noVBand="1"/>
      </w:tblPr>
      <w:tblGrid>
        <w:gridCol w:w="2650"/>
        <w:gridCol w:w="1220"/>
        <w:gridCol w:w="1980"/>
        <w:gridCol w:w="1800"/>
        <w:gridCol w:w="1384"/>
      </w:tblGrid>
      <w:tr w:rsidR="008675C0" w:rsidRPr="008F4D20" w14:paraId="27B879FA" w14:textId="77777777" w:rsidTr="00B938AC">
        <w:trPr>
          <w:trHeight w:val="777"/>
          <w:jc w:val="center"/>
        </w:trPr>
        <w:tc>
          <w:tcPr>
            <w:tcW w:w="26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95EDB0A"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Bus ID</w:t>
            </w:r>
          </w:p>
        </w:tc>
        <w:tc>
          <w:tcPr>
            <w:tcW w:w="1220" w:type="dxa"/>
            <w:tcBorders>
              <w:top w:val="single" w:sz="4" w:space="0" w:color="auto"/>
              <w:left w:val="nil"/>
              <w:bottom w:val="single" w:sz="4" w:space="0" w:color="auto"/>
              <w:right w:val="single" w:sz="4" w:space="0" w:color="auto"/>
            </w:tcBorders>
            <w:shd w:val="clear" w:color="000000" w:fill="auto"/>
            <w:noWrap/>
            <w:vAlign w:val="center"/>
            <w:hideMark/>
          </w:tcPr>
          <w:p w14:paraId="6705CF98"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Nominal KV</w:t>
            </w:r>
          </w:p>
        </w:tc>
        <w:tc>
          <w:tcPr>
            <w:tcW w:w="1980" w:type="dxa"/>
            <w:tcBorders>
              <w:top w:val="single" w:sz="4" w:space="0" w:color="auto"/>
              <w:left w:val="nil"/>
              <w:bottom w:val="single" w:sz="4" w:space="0" w:color="auto"/>
              <w:right w:val="single" w:sz="4" w:space="0" w:color="auto"/>
            </w:tcBorders>
            <w:shd w:val="clear" w:color="000000" w:fill="auto"/>
            <w:noWrap/>
            <w:vAlign w:val="center"/>
            <w:hideMark/>
          </w:tcPr>
          <w:p w14:paraId="64F9E690" w14:textId="7799696D" w:rsidR="008675C0" w:rsidRPr="008F4D20" w:rsidRDefault="008675C0" w:rsidP="002103C8">
            <w:pPr>
              <w:jc w:val="center"/>
              <w:rPr>
                <w:rFonts w:ascii="Arial" w:hAnsi="Arial" w:cs="Arial"/>
                <w:sz w:val="20"/>
                <w:szCs w:val="20"/>
              </w:rPr>
            </w:pPr>
            <w:r w:rsidRPr="008F4D20">
              <w:rPr>
                <w:rFonts w:ascii="Arial" w:hAnsi="Arial" w:cs="Arial"/>
                <w:sz w:val="20"/>
                <w:szCs w:val="20"/>
              </w:rPr>
              <w:t>Voltage kV- With</w:t>
            </w:r>
            <w:r w:rsidR="00A4346F">
              <w:rPr>
                <w:rFonts w:ascii="Arial" w:hAnsi="Arial" w:cs="Arial"/>
                <w:sz w:val="20"/>
                <w:szCs w:val="20"/>
              </w:rPr>
              <w:t>o</w:t>
            </w:r>
            <w:r w:rsidRPr="008F4D20">
              <w:rPr>
                <w:rFonts w:ascii="Arial" w:hAnsi="Arial" w:cs="Arial"/>
                <w:sz w:val="20"/>
                <w:szCs w:val="20"/>
              </w:rPr>
              <w:t xml:space="preserve">ut </w:t>
            </w:r>
            <w:proofErr w:type="spellStart"/>
            <w:r w:rsidRPr="008F4D20">
              <w:rPr>
                <w:rFonts w:ascii="Arial" w:hAnsi="Arial" w:cs="Arial"/>
                <w:sz w:val="20"/>
                <w:szCs w:val="20"/>
              </w:rPr>
              <w:t>Statcom</w:t>
            </w:r>
            <w:proofErr w:type="spellEnd"/>
          </w:p>
        </w:tc>
        <w:tc>
          <w:tcPr>
            <w:tcW w:w="1800" w:type="dxa"/>
            <w:tcBorders>
              <w:top w:val="single" w:sz="4" w:space="0" w:color="auto"/>
              <w:left w:val="nil"/>
              <w:bottom w:val="single" w:sz="4" w:space="0" w:color="auto"/>
              <w:right w:val="single" w:sz="4" w:space="0" w:color="auto"/>
            </w:tcBorders>
            <w:shd w:val="clear" w:color="000000" w:fill="auto"/>
            <w:noWrap/>
            <w:vAlign w:val="center"/>
            <w:hideMark/>
          </w:tcPr>
          <w:p w14:paraId="620F152D"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 xml:space="preserve">Voltage kV- With </w:t>
            </w:r>
            <w:proofErr w:type="spellStart"/>
            <w:r w:rsidRPr="008F4D20">
              <w:rPr>
                <w:rFonts w:ascii="Arial" w:hAnsi="Arial" w:cs="Arial"/>
                <w:sz w:val="20"/>
                <w:szCs w:val="20"/>
              </w:rPr>
              <w:t>Statcom</w:t>
            </w:r>
            <w:proofErr w:type="spellEnd"/>
          </w:p>
        </w:tc>
        <w:tc>
          <w:tcPr>
            <w:tcW w:w="1384" w:type="dxa"/>
            <w:tcBorders>
              <w:top w:val="single" w:sz="4" w:space="0" w:color="auto"/>
              <w:left w:val="nil"/>
              <w:bottom w:val="single" w:sz="4" w:space="0" w:color="auto"/>
              <w:right w:val="single" w:sz="4" w:space="0" w:color="auto"/>
            </w:tcBorders>
            <w:shd w:val="clear" w:color="000000" w:fill="auto"/>
            <w:vAlign w:val="center"/>
            <w:hideMark/>
          </w:tcPr>
          <w:p w14:paraId="77AC4AA4"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 xml:space="preserve">% Of Voltage Improvement               </w:t>
            </w:r>
            <w:proofErr w:type="gramStart"/>
            <w:r w:rsidRPr="008F4D20">
              <w:rPr>
                <w:rFonts w:ascii="Arial" w:hAnsi="Arial" w:cs="Arial"/>
                <w:sz w:val="20"/>
                <w:szCs w:val="20"/>
              </w:rPr>
              <w:t xml:space="preserve">   (</w:t>
            </w:r>
            <w:proofErr w:type="gramEnd"/>
            <w:r w:rsidRPr="008F4D20">
              <w:rPr>
                <w:rFonts w:ascii="Arial" w:hAnsi="Arial" w:cs="Arial"/>
                <w:sz w:val="20"/>
                <w:szCs w:val="20"/>
              </w:rPr>
              <w:t xml:space="preserve"> Regulation)</w:t>
            </w:r>
          </w:p>
        </w:tc>
      </w:tr>
      <w:tr w:rsidR="008675C0" w:rsidRPr="008F4D20" w14:paraId="38F9F4BD"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6B2C4429" w14:textId="77777777" w:rsidR="008675C0" w:rsidRPr="008F4D20" w:rsidRDefault="008675C0" w:rsidP="00C82BC6">
            <w:pPr>
              <w:jc w:val="left"/>
              <w:rPr>
                <w:rFonts w:ascii="Arial" w:hAnsi="Arial" w:cs="Arial"/>
                <w:sz w:val="20"/>
                <w:szCs w:val="20"/>
              </w:rPr>
            </w:pPr>
            <w:r w:rsidRPr="008F4D20">
              <w:rPr>
                <w:rFonts w:ascii="Arial" w:hAnsi="Arial" w:cs="Arial"/>
                <w:sz w:val="20"/>
                <w:szCs w:val="20"/>
              </w:rPr>
              <w:t>Bus1 (GOE)</w:t>
            </w:r>
          </w:p>
        </w:tc>
        <w:tc>
          <w:tcPr>
            <w:tcW w:w="1220" w:type="dxa"/>
            <w:tcBorders>
              <w:top w:val="nil"/>
              <w:left w:val="nil"/>
              <w:bottom w:val="single" w:sz="4" w:space="0" w:color="auto"/>
              <w:right w:val="single" w:sz="4" w:space="0" w:color="auto"/>
            </w:tcBorders>
            <w:shd w:val="clear" w:color="000000" w:fill="auto"/>
            <w:noWrap/>
            <w:vAlign w:val="center"/>
            <w:hideMark/>
          </w:tcPr>
          <w:p w14:paraId="1C3FB8A8"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000000" w:fill="auto"/>
            <w:noWrap/>
            <w:vAlign w:val="center"/>
            <w:hideMark/>
          </w:tcPr>
          <w:p w14:paraId="539BBDE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67.748</w:t>
            </w:r>
          </w:p>
        </w:tc>
        <w:tc>
          <w:tcPr>
            <w:tcW w:w="1800" w:type="dxa"/>
            <w:tcBorders>
              <w:top w:val="nil"/>
              <w:left w:val="nil"/>
              <w:bottom w:val="single" w:sz="4" w:space="0" w:color="auto"/>
              <w:right w:val="single" w:sz="4" w:space="0" w:color="auto"/>
            </w:tcBorders>
            <w:shd w:val="clear" w:color="000000" w:fill="auto"/>
            <w:noWrap/>
            <w:vAlign w:val="center"/>
            <w:hideMark/>
          </w:tcPr>
          <w:p w14:paraId="18D11B9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68.508</w:t>
            </w:r>
          </w:p>
        </w:tc>
        <w:tc>
          <w:tcPr>
            <w:tcW w:w="1384" w:type="dxa"/>
            <w:tcBorders>
              <w:top w:val="nil"/>
              <w:left w:val="nil"/>
              <w:bottom w:val="single" w:sz="4" w:space="0" w:color="auto"/>
              <w:right w:val="single" w:sz="4" w:space="0" w:color="auto"/>
            </w:tcBorders>
            <w:shd w:val="clear" w:color="auto" w:fill="auto"/>
            <w:noWrap/>
            <w:vAlign w:val="bottom"/>
            <w:hideMark/>
          </w:tcPr>
          <w:p w14:paraId="291C2D13"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1.12%</w:t>
            </w:r>
          </w:p>
        </w:tc>
      </w:tr>
      <w:tr w:rsidR="008675C0" w:rsidRPr="008F4D20" w14:paraId="58F7A2DA"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4614AC59" w14:textId="77777777" w:rsidR="008675C0" w:rsidRPr="008F4D20" w:rsidRDefault="008675C0" w:rsidP="00C82BC6">
            <w:pPr>
              <w:jc w:val="left"/>
              <w:rPr>
                <w:rFonts w:ascii="Arial" w:hAnsi="Arial" w:cs="Arial"/>
                <w:sz w:val="20"/>
                <w:szCs w:val="20"/>
              </w:rPr>
            </w:pPr>
            <w:r w:rsidRPr="008F4D20">
              <w:rPr>
                <w:rFonts w:ascii="Arial" w:hAnsi="Arial" w:cs="Arial"/>
                <w:sz w:val="20"/>
                <w:szCs w:val="20"/>
              </w:rPr>
              <w:t>MAIN BUS1 (G/Grove)</w:t>
            </w:r>
          </w:p>
        </w:tc>
        <w:tc>
          <w:tcPr>
            <w:tcW w:w="1220" w:type="dxa"/>
            <w:tcBorders>
              <w:top w:val="nil"/>
              <w:left w:val="nil"/>
              <w:bottom w:val="single" w:sz="4" w:space="0" w:color="auto"/>
              <w:right w:val="single" w:sz="4" w:space="0" w:color="auto"/>
            </w:tcBorders>
            <w:shd w:val="clear" w:color="000000" w:fill="auto"/>
            <w:noWrap/>
            <w:vAlign w:val="center"/>
            <w:hideMark/>
          </w:tcPr>
          <w:p w14:paraId="2224A488"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72C8B2D8"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67.128</w:t>
            </w:r>
          </w:p>
        </w:tc>
        <w:tc>
          <w:tcPr>
            <w:tcW w:w="1800" w:type="dxa"/>
            <w:tcBorders>
              <w:top w:val="nil"/>
              <w:left w:val="nil"/>
              <w:bottom w:val="single" w:sz="4" w:space="0" w:color="auto"/>
              <w:right w:val="single" w:sz="4" w:space="0" w:color="auto"/>
            </w:tcBorders>
            <w:shd w:val="clear" w:color="auto" w:fill="auto"/>
            <w:noWrap/>
            <w:vAlign w:val="center"/>
            <w:hideMark/>
          </w:tcPr>
          <w:p w14:paraId="18820693"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67.933</w:t>
            </w:r>
          </w:p>
        </w:tc>
        <w:tc>
          <w:tcPr>
            <w:tcW w:w="1384" w:type="dxa"/>
            <w:tcBorders>
              <w:top w:val="nil"/>
              <w:left w:val="nil"/>
              <w:bottom w:val="single" w:sz="4" w:space="0" w:color="auto"/>
              <w:right w:val="single" w:sz="4" w:space="0" w:color="auto"/>
            </w:tcBorders>
            <w:shd w:val="clear" w:color="auto" w:fill="auto"/>
            <w:noWrap/>
            <w:vAlign w:val="bottom"/>
            <w:hideMark/>
          </w:tcPr>
          <w:p w14:paraId="4F4303DA"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1.20%</w:t>
            </w:r>
          </w:p>
        </w:tc>
      </w:tr>
      <w:tr w:rsidR="008675C0" w:rsidRPr="008F4D20" w14:paraId="07D5E32F"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2F2F6B2D" w14:textId="3D4D0745" w:rsidR="008675C0" w:rsidRPr="008F4D20" w:rsidRDefault="008675C0" w:rsidP="00C82BC6">
            <w:pPr>
              <w:jc w:val="left"/>
              <w:rPr>
                <w:rFonts w:ascii="Arial" w:hAnsi="Arial" w:cs="Arial"/>
                <w:sz w:val="20"/>
                <w:szCs w:val="20"/>
              </w:rPr>
            </w:pPr>
            <w:r w:rsidRPr="008F4D20">
              <w:rPr>
                <w:rFonts w:ascii="Arial" w:hAnsi="Arial" w:cs="Arial"/>
                <w:sz w:val="20"/>
                <w:szCs w:val="20"/>
              </w:rPr>
              <w:t>Main Bus1 (N</w:t>
            </w:r>
            <w:r w:rsidR="009D689C">
              <w:rPr>
                <w:rFonts w:ascii="Arial" w:hAnsi="Arial" w:cs="Arial"/>
                <w:sz w:val="20"/>
                <w:szCs w:val="20"/>
              </w:rPr>
              <w:t>ew</w:t>
            </w:r>
            <w:r w:rsidRPr="008F4D20">
              <w:rPr>
                <w:rFonts w:ascii="Arial" w:hAnsi="Arial" w:cs="Arial"/>
                <w:sz w:val="20"/>
                <w:szCs w:val="20"/>
              </w:rPr>
              <w:t xml:space="preserve"> S</w:t>
            </w:r>
            <w:r w:rsidR="009D689C">
              <w:rPr>
                <w:rFonts w:ascii="Arial" w:hAnsi="Arial" w:cs="Arial"/>
                <w:sz w:val="20"/>
                <w:szCs w:val="20"/>
              </w:rPr>
              <w:t>ophia</w:t>
            </w:r>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492F58FE"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3875D23A"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66.521</w:t>
            </w:r>
          </w:p>
        </w:tc>
        <w:tc>
          <w:tcPr>
            <w:tcW w:w="1800" w:type="dxa"/>
            <w:tcBorders>
              <w:top w:val="nil"/>
              <w:left w:val="nil"/>
              <w:bottom w:val="single" w:sz="4" w:space="0" w:color="auto"/>
              <w:right w:val="single" w:sz="4" w:space="0" w:color="auto"/>
            </w:tcBorders>
            <w:shd w:val="clear" w:color="auto" w:fill="auto"/>
            <w:noWrap/>
            <w:vAlign w:val="center"/>
            <w:hideMark/>
          </w:tcPr>
          <w:p w14:paraId="1B0EDFA0"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67.439</w:t>
            </w:r>
          </w:p>
        </w:tc>
        <w:tc>
          <w:tcPr>
            <w:tcW w:w="1384" w:type="dxa"/>
            <w:tcBorders>
              <w:top w:val="nil"/>
              <w:left w:val="nil"/>
              <w:bottom w:val="single" w:sz="4" w:space="0" w:color="auto"/>
              <w:right w:val="single" w:sz="4" w:space="0" w:color="auto"/>
            </w:tcBorders>
            <w:shd w:val="clear" w:color="auto" w:fill="auto"/>
            <w:noWrap/>
            <w:vAlign w:val="bottom"/>
            <w:hideMark/>
          </w:tcPr>
          <w:p w14:paraId="24A5CDD3"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1.38%</w:t>
            </w:r>
          </w:p>
        </w:tc>
      </w:tr>
      <w:tr w:rsidR="008675C0" w:rsidRPr="008F4D20" w14:paraId="4DE8A00C"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33793926" w14:textId="3D0C7A6B" w:rsidR="008675C0" w:rsidRPr="008F4D20" w:rsidRDefault="008675C0" w:rsidP="00C82BC6">
            <w:pPr>
              <w:jc w:val="left"/>
              <w:rPr>
                <w:rFonts w:ascii="Arial" w:hAnsi="Arial" w:cs="Arial"/>
                <w:sz w:val="20"/>
                <w:szCs w:val="20"/>
              </w:rPr>
            </w:pPr>
            <w:r w:rsidRPr="008F4D20">
              <w:rPr>
                <w:rFonts w:ascii="Arial" w:hAnsi="Arial" w:cs="Arial"/>
                <w:sz w:val="20"/>
                <w:szCs w:val="20"/>
              </w:rPr>
              <w:lastRenderedPageBreak/>
              <w:t>Main Bus1 (S</w:t>
            </w:r>
            <w:r w:rsidR="009D689C">
              <w:rPr>
                <w:rFonts w:ascii="Arial" w:hAnsi="Arial" w:cs="Arial"/>
                <w:sz w:val="20"/>
                <w:szCs w:val="20"/>
              </w:rPr>
              <w:t>ophia</w:t>
            </w:r>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4C922DB0"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1EEF8C56"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66.527</w:t>
            </w:r>
          </w:p>
        </w:tc>
        <w:tc>
          <w:tcPr>
            <w:tcW w:w="1800" w:type="dxa"/>
            <w:tcBorders>
              <w:top w:val="nil"/>
              <w:left w:val="nil"/>
              <w:bottom w:val="single" w:sz="4" w:space="0" w:color="auto"/>
              <w:right w:val="single" w:sz="4" w:space="0" w:color="auto"/>
            </w:tcBorders>
            <w:shd w:val="clear" w:color="auto" w:fill="auto"/>
            <w:noWrap/>
            <w:vAlign w:val="center"/>
            <w:hideMark/>
          </w:tcPr>
          <w:p w14:paraId="66E77916"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67.44</w:t>
            </w:r>
          </w:p>
        </w:tc>
        <w:tc>
          <w:tcPr>
            <w:tcW w:w="1384" w:type="dxa"/>
            <w:tcBorders>
              <w:top w:val="nil"/>
              <w:left w:val="nil"/>
              <w:bottom w:val="single" w:sz="4" w:space="0" w:color="auto"/>
              <w:right w:val="single" w:sz="4" w:space="0" w:color="auto"/>
            </w:tcBorders>
            <w:shd w:val="clear" w:color="auto" w:fill="auto"/>
            <w:noWrap/>
            <w:vAlign w:val="bottom"/>
            <w:hideMark/>
          </w:tcPr>
          <w:p w14:paraId="591D2386"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1.37%</w:t>
            </w:r>
          </w:p>
        </w:tc>
      </w:tr>
      <w:tr w:rsidR="008675C0" w:rsidRPr="008F4D20" w14:paraId="2F3576F6"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7050DA6D" w14:textId="747571E5"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 53 Village)</w:t>
            </w:r>
          </w:p>
        </w:tc>
        <w:tc>
          <w:tcPr>
            <w:tcW w:w="1220" w:type="dxa"/>
            <w:tcBorders>
              <w:top w:val="nil"/>
              <w:left w:val="nil"/>
              <w:bottom w:val="single" w:sz="4" w:space="0" w:color="auto"/>
              <w:right w:val="single" w:sz="4" w:space="0" w:color="auto"/>
            </w:tcBorders>
            <w:shd w:val="clear" w:color="000000" w:fill="auto"/>
            <w:noWrap/>
            <w:vAlign w:val="center"/>
            <w:hideMark/>
          </w:tcPr>
          <w:p w14:paraId="68D8814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54E48065"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69.665</w:t>
            </w:r>
          </w:p>
        </w:tc>
        <w:tc>
          <w:tcPr>
            <w:tcW w:w="1800" w:type="dxa"/>
            <w:tcBorders>
              <w:top w:val="nil"/>
              <w:left w:val="nil"/>
              <w:bottom w:val="single" w:sz="4" w:space="0" w:color="auto"/>
              <w:right w:val="single" w:sz="4" w:space="0" w:color="auto"/>
            </w:tcBorders>
            <w:shd w:val="clear" w:color="auto" w:fill="auto"/>
            <w:noWrap/>
            <w:vAlign w:val="center"/>
            <w:hideMark/>
          </w:tcPr>
          <w:p w14:paraId="5D1E895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69.897</w:t>
            </w:r>
          </w:p>
        </w:tc>
        <w:tc>
          <w:tcPr>
            <w:tcW w:w="1384" w:type="dxa"/>
            <w:tcBorders>
              <w:top w:val="nil"/>
              <w:left w:val="nil"/>
              <w:bottom w:val="single" w:sz="4" w:space="0" w:color="auto"/>
              <w:right w:val="single" w:sz="4" w:space="0" w:color="auto"/>
            </w:tcBorders>
            <w:shd w:val="clear" w:color="auto" w:fill="auto"/>
            <w:noWrap/>
            <w:vAlign w:val="bottom"/>
            <w:hideMark/>
          </w:tcPr>
          <w:p w14:paraId="7787C8F6"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0.33%</w:t>
            </w:r>
          </w:p>
        </w:tc>
      </w:tr>
      <w:tr w:rsidR="008675C0" w:rsidRPr="008F4D20" w14:paraId="2EE89F26"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31217CEE" w14:textId="08AD7784"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w:t>
            </w:r>
            <w:proofErr w:type="spellStart"/>
            <w:r w:rsidRPr="008F4D20">
              <w:rPr>
                <w:rFonts w:ascii="Arial" w:hAnsi="Arial" w:cs="Arial"/>
                <w:sz w:val="20"/>
                <w:szCs w:val="20"/>
              </w:rPr>
              <w:t>Canefield</w:t>
            </w:r>
            <w:proofErr w:type="spellEnd"/>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6CC28DD3"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7EC7CFE9"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69.055</w:t>
            </w:r>
          </w:p>
        </w:tc>
        <w:tc>
          <w:tcPr>
            <w:tcW w:w="1800" w:type="dxa"/>
            <w:tcBorders>
              <w:top w:val="nil"/>
              <w:left w:val="nil"/>
              <w:bottom w:val="single" w:sz="4" w:space="0" w:color="auto"/>
              <w:right w:val="single" w:sz="4" w:space="0" w:color="auto"/>
            </w:tcBorders>
            <w:shd w:val="clear" w:color="auto" w:fill="auto"/>
            <w:noWrap/>
            <w:vAlign w:val="center"/>
            <w:hideMark/>
          </w:tcPr>
          <w:p w14:paraId="52800C03"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69.417</w:t>
            </w:r>
          </w:p>
        </w:tc>
        <w:tc>
          <w:tcPr>
            <w:tcW w:w="1384" w:type="dxa"/>
            <w:tcBorders>
              <w:top w:val="nil"/>
              <w:left w:val="nil"/>
              <w:bottom w:val="single" w:sz="4" w:space="0" w:color="auto"/>
              <w:right w:val="single" w:sz="4" w:space="0" w:color="auto"/>
            </w:tcBorders>
            <w:shd w:val="clear" w:color="auto" w:fill="auto"/>
            <w:noWrap/>
            <w:vAlign w:val="bottom"/>
            <w:hideMark/>
          </w:tcPr>
          <w:p w14:paraId="1559BE5C"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0.52%</w:t>
            </w:r>
          </w:p>
        </w:tc>
      </w:tr>
      <w:tr w:rsidR="008675C0" w:rsidRPr="008F4D20" w14:paraId="35EFAAF0"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2D2E3279" w14:textId="7DB8E6AC"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(Columbia)</w:t>
            </w:r>
          </w:p>
        </w:tc>
        <w:tc>
          <w:tcPr>
            <w:tcW w:w="1220" w:type="dxa"/>
            <w:tcBorders>
              <w:top w:val="nil"/>
              <w:left w:val="nil"/>
              <w:bottom w:val="single" w:sz="4" w:space="0" w:color="auto"/>
              <w:right w:val="single" w:sz="4" w:space="0" w:color="auto"/>
            </w:tcBorders>
            <w:shd w:val="clear" w:color="000000" w:fill="auto"/>
            <w:noWrap/>
            <w:vAlign w:val="center"/>
            <w:hideMark/>
          </w:tcPr>
          <w:p w14:paraId="6053123D"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6DEF9688"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65.608</w:t>
            </w:r>
          </w:p>
        </w:tc>
        <w:tc>
          <w:tcPr>
            <w:tcW w:w="1800" w:type="dxa"/>
            <w:tcBorders>
              <w:top w:val="nil"/>
              <w:left w:val="nil"/>
              <w:bottom w:val="single" w:sz="4" w:space="0" w:color="auto"/>
              <w:right w:val="single" w:sz="4" w:space="0" w:color="auto"/>
            </w:tcBorders>
            <w:shd w:val="clear" w:color="auto" w:fill="auto"/>
            <w:noWrap/>
            <w:vAlign w:val="center"/>
            <w:hideMark/>
          </w:tcPr>
          <w:p w14:paraId="1B6EE096"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66.295</w:t>
            </w:r>
          </w:p>
        </w:tc>
        <w:tc>
          <w:tcPr>
            <w:tcW w:w="1384" w:type="dxa"/>
            <w:tcBorders>
              <w:top w:val="nil"/>
              <w:left w:val="nil"/>
              <w:bottom w:val="single" w:sz="4" w:space="0" w:color="auto"/>
              <w:right w:val="single" w:sz="4" w:space="0" w:color="auto"/>
            </w:tcBorders>
            <w:shd w:val="clear" w:color="auto" w:fill="auto"/>
            <w:noWrap/>
            <w:vAlign w:val="bottom"/>
            <w:hideMark/>
          </w:tcPr>
          <w:p w14:paraId="07AA93AB"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1.05%</w:t>
            </w:r>
          </w:p>
        </w:tc>
      </w:tr>
      <w:tr w:rsidR="008675C0" w:rsidRPr="008F4D20" w14:paraId="196A70A6"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467D8C48" w14:textId="77FCF911"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w:t>
            </w:r>
            <w:proofErr w:type="spellStart"/>
            <w:r w:rsidRPr="008F4D20">
              <w:rPr>
                <w:rFonts w:ascii="Arial" w:hAnsi="Arial" w:cs="Arial"/>
                <w:sz w:val="20"/>
                <w:szCs w:val="20"/>
              </w:rPr>
              <w:t>Goodhope</w:t>
            </w:r>
            <w:proofErr w:type="spellEnd"/>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597B90DA"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7470EE35"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65.635</w:t>
            </w:r>
          </w:p>
        </w:tc>
        <w:tc>
          <w:tcPr>
            <w:tcW w:w="1800" w:type="dxa"/>
            <w:tcBorders>
              <w:top w:val="nil"/>
              <w:left w:val="nil"/>
              <w:bottom w:val="single" w:sz="4" w:space="0" w:color="auto"/>
              <w:right w:val="single" w:sz="4" w:space="0" w:color="auto"/>
            </w:tcBorders>
            <w:shd w:val="clear" w:color="auto" w:fill="auto"/>
            <w:noWrap/>
            <w:vAlign w:val="center"/>
            <w:hideMark/>
          </w:tcPr>
          <w:p w14:paraId="2B6F607D"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66.481</w:t>
            </w:r>
          </w:p>
        </w:tc>
        <w:tc>
          <w:tcPr>
            <w:tcW w:w="1384" w:type="dxa"/>
            <w:tcBorders>
              <w:top w:val="nil"/>
              <w:left w:val="nil"/>
              <w:bottom w:val="single" w:sz="4" w:space="0" w:color="auto"/>
              <w:right w:val="single" w:sz="4" w:space="0" w:color="auto"/>
            </w:tcBorders>
            <w:shd w:val="clear" w:color="auto" w:fill="auto"/>
            <w:noWrap/>
            <w:vAlign w:val="bottom"/>
            <w:hideMark/>
          </w:tcPr>
          <w:p w14:paraId="6AD5715A"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1.29%</w:t>
            </w:r>
          </w:p>
        </w:tc>
      </w:tr>
      <w:tr w:rsidR="008675C0" w:rsidRPr="008F4D20" w14:paraId="2E3EF178"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237059F6" w14:textId="44427108"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(New G/town)</w:t>
            </w:r>
          </w:p>
        </w:tc>
        <w:tc>
          <w:tcPr>
            <w:tcW w:w="1220" w:type="dxa"/>
            <w:tcBorders>
              <w:top w:val="nil"/>
              <w:left w:val="nil"/>
              <w:bottom w:val="single" w:sz="4" w:space="0" w:color="auto"/>
              <w:right w:val="single" w:sz="4" w:space="0" w:color="auto"/>
            </w:tcBorders>
            <w:shd w:val="clear" w:color="000000" w:fill="auto"/>
            <w:noWrap/>
            <w:vAlign w:val="center"/>
            <w:hideMark/>
          </w:tcPr>
          <w:p w14:paraId="2837FB0D"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06A6DC8C"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66.132</w:t>
            </w:r>
          </w:p>
        </w:tc>
        <w:tc>
          <w:tcPr>
            <w:tcW w:w="1800" w:type="dxa"/>
            <w:tcBorders>
              <w:top w:val="nil"/>
              <w:left w:val="nil"/>
              <w:bottom w:val="single" w:sz="4" w:space="0" w:color="auto"/>
              <w:right w:val="single" w:sz="4" w:space="0" w:color="auto"/>
            </w:tcBorders>
            <w:shd w:val="clear" w:color="auto" w:fill="auto"/>
            <w:noWrap/>
            <w:vAlign w:val="center"/>
            <w:hideMark/>
          </w:tcPr>
          <w:p w14:paraId="4A678A86"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67.04</w:t>
            </w:r>
          </w:p>
        </w:tc>
        <w:tc>
          <w:tcPr>
            <w:tcW w:w="1384" w:type="dxa"/>
            <w:tcBorders>
              <w:top w:val="nil"/>
              <w:left w:val="nil"/>
              <w:bottom w:val="single" w:sz="4" w:space="0" w:color="auto"/>
              <w:right w:val="single" w:sz="4" w:space="0" w:color="auto"/>
            </w:tcBorders>
            <w:shd w:val="clear" w:color="auto" w:fill="auto"/>
            <w:noWrap/>
            <w:vAlign w:val="bottom"/>
            <w:hideMark/>
          </w:tcPr>
          <w:p w14:paraId="013A2235"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1.37%</w:t>
            </w:r>
          </w:p>
        </w:tc>
      </w:tr>
      <w:tr w:rsidR="008675C0" w:rsidRPr="008F4D20" w14:paraId="588AF835"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3FC2547F" w14:textId="0772229B"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w:t>
            </w:r>
            <w:proofErr w:type="spellStart"/>
            <w:r w:rsidRPr="008F4D20">
              <w:rPr>
                <w:rFonts w:ascii="Arial" w:hAnsi="Arial" w:cs="Arial"/>
                <w:sz w:val="20"/>
                <w:szCs w:val="20"/>
              </w:rPr>
              <w:t>Onverwagt</w:t>
            </w:r>
            <w:proofErr w:type="spellEnd"/>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1D30718E"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66811579"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66.779</w:t>
            </w:r>
          </w:p>
        </w:tc>
        <w:tc>
          <w:tcPr>
            <w:tcW w:w="1800" w:type="dxa"/>
            <w:tcBorders>
              <w:top w:val="nil"/>
              <w:left w:val="nil"/>
              <w:bottom w:val="single" w:sz="4" w:space="0" w:color="auto"/>
              <w:right w:val="single" w:sz="4" w:space="0" w:color="auto"/>
            </w:tcBorders>
            <w:shd w:val="clear" w:color="auto" w:fill="auto"/>
            <w:noWrap/>
            <w:vAlign w:val="center"/>
            <w:hideMark/>
          </w:tcPr>
          <w:p w14:paraId="0121A85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67.257</w:t>
            </w:r>
          </w:p>
        </w:tc>
        <w:tc>
          <w:tcPr>
            <w:tcW w:w="1384" w:type="dxa"/>
            <w:tcBorders>
              <w:top w:val="nil"/>
              <w:left w:val="nil"/>
              <w:bottom w:val="single" w:sz="4" w:space="0" w:color="auto"/>
              <w:right w:val="single" w:sz="4" w:space="0" w:color="auto"/>
            </w:tcBorders>
            <w:shd w:val="clear" w:color="auto" w:fill="auto"/>
            <w:noWrap/>
            <w:vAlign w:val="bottom"/>
            <w:hideMark/>
          </w:tcPr>
          <w:p w14:paraId="0343BBDE"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0.72%</w:t>
            </w:r>
          </w:p>
        </w:tc>
      </w:tr>
      <w:tr w:rsidR="008675C0" w:rsidRPr="008F4D20" w14:paraId="59080121"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6660F64F" w14:textId="1083B64C" w:rsidR="008675C0" w:rsidRPr="008F4D20" w:rsidRDefault="008675C0" w:rsidP="00C82BC6">
            <w:pPr>
              <w:jc w:val="left"/>
              <w:rPr>
                <w:rFonts w:ascii="Arial" w:hAnsi="Arial" w:cs="Arial"/>
                <w:sz w:val="20"/>
                <w:szCs w:val="20"/>
              </w:rPr>
            </w:pPr>
            <w:r w:rsidRPr="008F4D20">
              <w:rPr>
                <w:rFonts w:ascii="Arial" w:hAnsi="Arial" w:cs="Arial"/>
                <w:sz w:val="20"/>
                <w:szCs w:val="20"/>
              </w:rPr>
              <w:t>Main Bus 1</w:t>
            </w:r>
            <w:r w:rsidR="00C82BC6">
              <w:rPr>
                <w:rFonts w:ascii="Arial" w:hAnsi="Arial" w:cs="Arial"/>
                <w:sz w:val="20"/>
                <w:szCs w:val="20"/>
              </w:rPr>
              <w:t xml:space="preserve"> </w:t>
            </w:r>
            <w:r w:rsidRPr="008F4D20">
              <w:rPr>
                <w:rFonts w:ascii="Arial" w:hAnsi="Arial" w:cs="Arial"/>
                <w:sz w:val="20"/>
                <w:szCs w:val="20"/>
              </w:rPr>
              <w:t>(V/Hoop)</w:t>
            </w:r>
          </w:p>
        </w:tc>
        <w:tc>
          <w:tcPr>
            <w:tcW w:w="1220" w:type="dxa"/>
            <w:tcBorders>
              <w:top w:val="nil"/>
              <w:left w:val="nil"/>
              <w:bottom w:val="single" w:sz="4" w:space="0" w:color="auto"/>
              <w:right w:val="single" w:sz="4" w:space="0" w:color="auto"/>
            </w:tcBorders>
            <w:shd w:val="clear" w:color="000000" w:fill="auto"/>
            <w:noWrap/>
            <w:vAlign w:val="center"/>
            <w:hideMark/>
          </w:tcPr>
          <w:p w14:paraId="30D61941"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2093A350"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67.731</w:t>
            </w:r>
          </w:p>
        </w:tc>
        <w:tc>
          <w:tcPr>
            <w:tcW w:w="1800" w:type="dxa"/>
            <w:tcBorders>
              <w:top w:val="nil"/>
              <w:left w:val="nil"/>
              <w:bottom w:val="single" w:sz="4" w:space="0" w:color="auto"/>
              <w:right w:val="single" w:sz="4" w:space="0" w:color="auto"/>
            </w:tcBorders>
            <w:shd w:val="clear" w:color="auto" w:fill="auto"/>
            <w:noWrap/>
            <w:vAlign w:val="center"/>
            <w:hideMark/>
          </w:tcPr>
          <w:p w14:paraId="5AECFF97"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68.438</w:t>
            </w:r>
          </w:p>
        </w:tc>
        <w:tc>
          <w:tcPr>
            <w:tcW w:w="1384" w:type="dxa"/>
            <w:tcBorders>
              <w:top w:val="nil"/>
              <w:left w:val="nil"/>
              <w:bottom w:val="single" w:sz="4" w:space="0" w:color="auto"/>
              <w:right w:val="single" w:sz="4" w:space="0" w:color="auto"/>
            </w:tcBorders>
            <w:shd w:val="clear" w:color="auto" w:fill="auto"/>
            <w:noWrap/>
            <w:vAlign w:val="bottom"/>
            <w:hideMark/>
          </w:tcPr>
          <w:p w14:paraId="5116214A"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1.04%</w:t>
            </w:r>
          </w:p>
        </w:tc>
      </w:tr>
      <w:tr w:rsidR="008675C0" w:rsidRPr="008F4D20" w14:paraId="41DAF751"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23202263" w14:textId="77777777" w:rsidR="008675C0" w:rsidRPr="008F4D20" w:rsidRDefault="008675C0" w:rsidP="00C82BC6">
            <w:pPr>
              <w:jc w:val="left"/>
              <w:rPr>
                <w:rFonts w:ascii="Arial" w:hAnsi="Arial" w:cs="Arial"/>
                <w:sz w:val="20"/>
                <w:szCs w:val="20"/>
              </w:rPr>
            </w:pPr>
            <w:r w:rsidRPr="008F4D20">
              <w:rPr>
                <w:rFonts w:ascii="Arial" w:hAnsi="Arial" w:cs="Arial"/>
                <w:sz w:val="20"/>
                <w:szCs w:val="20"/>
              </w:rPr>
              <w:t>Main Bus 1(Edinburgh)</w:t>
            </w:r>
          </w:p>
        </w:tc>
        <w:tc>
          <w:tcPr>
            <w:tcW w:w="1220" w:type="dxa"/>
            <w:tcBorders>
              <w:top w:val="nil"/>
              <w:left w:val="nil"/>
              <w:bottom w:val="single" w:sz="4" w:space="0" w:color="auto"/>
              <w:right w:val="single" w:sz="4" w:space="0" w:color="auto"/>
            </w:tcBorders>
            <w:shd w:val="clear" w:color="000000" w:fill="auto"/>
            <w:noWrap/>
            <w:vAlign w:val="center"/>
            <w:hideMark/>
          </w:tcPr>
          <w:p w14:paraId="22D3E9D0"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36BD8CBB"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66.915</w:t>
            </w:r>
          </w:p>
        </w:tc>
        <w:tc>
          <w:tcPr>
            <w:tcW w:w="1800" w:type="dxa"/>
            <w:tcBorders>
              <w:top w:val="nil"/>
              <w:left w:val="nil"/>
              <w:bottom w:val="single" w:sz="4" w:space="0" w:color="auto"/>
              <w:right w:val="single" w:sz="4" w:space="0" w:color="auto"/>
            </w:tcBorders>
            <w:shd w:val="clear" w:color="auto" w:fill="auto"/>
            <w:noWrap/>
            <w:vAlign w:val="center"/>
            <w:hideMark/>
          </w:tcPr>
          <w:p w14:paraId="20CCB64E"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67.614</w:t>
            </w:r>
          </w:p>
        </w:tc>
        <w:tc>
          <w:tcPr>
            <w:tcW w:w="1384" w:type="dxa"/>
            <w:tcBorders>
              <w:top w:val="nil"/>
              <w:left w:val="nil"/>
              <w:bottom w:val="single" w:sz="4" w:space="0" w:color="auto"/>
              <w:right w:val="single" w:sz="4" w:space="0" w:color="auto"/>
            </w:tcBorders>
            <w:shd w:val="clear" w:color="auto" w:fill="auto"/>
            <w:noWrap/>
            <w:vAlign w:val="bottom"/>
            <w:hideMark/>
          </w:tcPr>
          <w:p w14:paraId="687A960A"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1.04%</w:t>
            </w:r>
          </w:p>
        </w:tc>
      </w:tr>
      <w:tr w:rsidR="008675C0" w:rsidRPr="008F4D20" w14:paraId="1C9464C9" w14:textId="77777777" w:rsidTr="00B938AC">
        <w:trPr>
          <w:trHeight w:val="259"/>
          <w:jc w:val="center"/>
        </w:trPr>
        <w:tc>
          <w:tcPr>
            <w:tcW w:w="2650" w:type="dxa"/>
            <w:tcBorders>
              <w:top w:val="nil"/>
              <w:left w:val="single" w:sz="4" w:space="0" w:color="auto"/>
              <w:bottom w:val="single" w:sz="4" w:space="0" w:color="auto"/>
              <w:right w:val="single" w:sz="4" w:space="0" w:color="auto"/>
            </w:tcBorders>
            <w:shd w:val="clear" w:color="000000" w:fill="auto"/>
            <w:noWrap/>
            <w:vAlign w:val="center"/>
            <w:hideMark/>
          </w:tcPr>
          <w:p w14:paraId="084EB7AB" w14:textId="135507EE" w:rsidR="008675C0" w:rsidRPr="008F4D20" w:rsidRDefault="008675C0" w:rsidP="00C82BC6">
            <w:pPr>
              <w:jc w:val="left"/>
              <w:rPr>
                <w:rFonts w:ascii="Arial" w:hAnsi="Arial" w:cs="Arial"/>
                <w:sz w:val="20"/>
                <w:szCs w:val="20"/>
              </w:rPr>
            </w:pPr>
            <w:r w:rsidRPr="008F4D20">
              <w:rPr>
                <w:rFonts w:ascii="Arial" w:hAnsi="Arial" w:cs="Arial"/>
                <w:sz w:val="20"/>
                <w:szCs w:val="20"/>
              </w:rPr>
              <w:t>Main Bus1</w:t>
            </w:r>
            <w:r w:rsidR="00C82BC6">
              <w:rPr>
                <w:rFonts w:ascii="Arial" w:hAnsi="Arial" w:cs="Arial"/>
                <w:sz w:val="20"/>
                <w:szCs w:val="20"/>
              </w:rPr>
              <w:t xml:space="preserve"> </w:t>
            </w:r>
            <w:r w:rsidRPr="008F4D20">
              <w:rPr>
                <w:rFonts w:ascii="Arial" w:hAnsi="Arial" w:cs="Arial"/>
                <w:sz w:val="20"/>
                <w:szCs w:val="20"/>
              </w:rPr>
              <w:t>(K</w:t>
            </w:r>
            <w:r w:rsidR="009D689C">
              <w:rPr>
                <w:rFonts w:ascii="Arial" w:hAnsi="Arial" w:cs="Arial"/>
                <w:sz w:val="20"/>
                <w:szCs w:val="20"/>
              </w:rPr>
              <w:t>ingston</w:t>
            </w:r>
            <w:r w:rsidRPr="008F4D20">
              <w:rPr>
                <w:rFonts w:ascii="Arial" w:hAnsi="Arial" w:cs="Arial"/>
                <w:sz w:val="20"/>
                <w:szCs w:val="20"/>
              </w:rPr>
              <w:t>)</w:t>
            </w:r>
          </w:p>
        </w:tc>
        <w:tc>
          <w:tcPr>
            <w:tcW w:w="1220" w:type="dxa"/>
            <w:tcBorders>
              <w:top w:val="nil"/>
              <w:left w:val="nil"/>
              <w:bottom w:val="single" w:sz="4" w:space="0" w:color="auto"/>
              <w:right w:val="single" w:sz="4" w:space="0" w:color="auto"/>
            </w:tcBorders>
            <w:shd w:val="clear" w:color="000000" w:fill="auto"/>
            <w:noWrap/>
            <w:vAlign w:val="center"/>
            <w:hideMark/>
          </w:tcPr>
          <w:p w14:paraId="4EE8DB69"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69</w:t>
            </w:r>
          </w:p>
        </w:tc>
        <w:tc>
          <w:tcPr>
            <w:tcW w:w="1980" w:type="dxa"/>
            <w:tcBorders>
              <w:top w:val="nil"/>
              <w:left w:val="nil"/>
              <w:bottom w:val="single" w:sz="4" w:space="0" w:color="auto"/>
              <w:right w:val="single" w:sz="4" w:space="0" w:color="auto"/>
            </w:tcBorders>
            <w:shd w:val="clear" w:color="auto" w:fill="auto"/>
            <w:noWrap/>
            <w:vAlign w:val="center"/>
            <w:hideMark/>
          </w:tcPr>
          <w:p w14:paraId="56361F23"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67.598</w:t>
            </w:r>
          </w:p>
        </w:tc>
        <w:tc>
          <w:tcPr>
            <w:tcW w:w="1800" w:type="dxa"/>
            <w:tcBorders>
              <w:top w:val="nil"/>
              <w:left w:val="nil"/>
              <w:bottom w:val="single" w:sz="4" w:space="0" w:color="auto"/>
              <w:right w:val="single" w:sz="4" w:space="0" w:color="auto"/>
            </w:tcBorders>
            <w:shd w:val="clear" w:color="auto" w:fill="auto"/>
            <w:noWrap/>
            <w:vAlign w:val="center"/>
            <w:hideMark/>
          </w:tcPr>
          <w:p w14:paraId="7555734E" w14:textId="77777777" w:rsidR="008675C0" w:rsidRPr="008F4D20" w:rsidRDefault="008675C0" w:rsidP="002103C8">
            <w:pPr>
              <w:jc w:val="center"/>
              <w:rPr>
                <w:rFonts w:ascii="Arial" w:hAnsi="Arial" w:cs="Arial"/>
                <w:sz w:val="20"/>
                <w:szCs w:val="20"/>
              </w:rPr>
            </w:pPr>
            <w:r w:rsidRPr="008F4D20">
              <w:rPr>
                <w:rFonts w:ascii="Arial" w:hAnsi="Arial" w:cs="Arial"/>
                <w:sz w:val="20"/>
                <w:szCs w:val="20"/>
              </w:rPr>
              <w:t>68.308</w:t>
            </w:r>
          </w:p>
        </w:tc>
        <w:tc>
          <w:tcPr>
            <w:tcW w:w="1384" w:type="dxa"/>
            <w:tcBorders>
              <w:top w:val="nil"/>
              <w:left w:val="nil"/>
              <w:bottom w:val="single" w:sz="4" w:space="0" w:color="auto"/>
              <w:right w:val="single" w:sz="4" w:space="0" w:color="auto"/>
            </w:tcBorders>
            <w:shd w:val="clear" w:color="auto" w:fill="auto"/>
            <w:noWrap/>
            <w:vAlign w:val="bottom"/>
            <w:hideMark/>
          </w:tcPr>
          <w:p w14:paraId="6A355F42" w14:textId="77777777" w:rsidR="008675C0" w:rsidRPr="008F4D20" w:rsidRDefault="008675C0" w:rsidP="00C82BC6">
            <w:pPr>
              <w:jc w:val="center"/>
              <w:rPr>
                <w:rFonts w:ascii="Arial" w:hAnsi="Arial" w:cs="Arial"/>
                <w:sz w:val="20"/>
                <w:szCs w:val="20"/>
              </w:rPr>
            </w:pPr>
            <w:r w:rsidRPr="008F4D20">
              <w:rPr>
                <w:rFonts w:ascii="Arial" w:hAnsi="Arial" w:cs="Arial"/>
                <w:sz w:val="20"/>
                <w:szCs w:val="20"/>
              </w:rPr>
              <w:t>1.05%</w:t>
            </w:r>
          </w:p>
        </w:tc>
      </w:tr>
    </w:tbl>
    <w:p w14:paraId="7EDA4D80" w14:textId="0DE6DCE6" w:rsidR="00C12C97" w:rsidRDefault="00C82BC6" w:rsidP="00B938AC">
      <w:pPr>
        <w:spacing w:before="100" w:beforeAutospacing="1"/>
        <w:ind w:firstLine="720"/>
        <w:contextualSpacing/>
        <w:rPr>
          <w:lang w:val="en-US" w:eastAsia="en-US"/>
        </w:rPr>
      </w:pPr>
      <w:r>
        <w:rPr>
          <w:lang w:val="en-US" w:eastAsia="en-US"/>
        </w:rPr>
        <w:t>Table 2:</w:t>
      </w:r>
      <w:r w:rsidR="00A4346F">
        <w:rPr>
          <w:lang w:val="en-US" w:eastAsia="en-US"/>
        </w:rPr>
        <w:t xml:space="preserve">  </w:t>
      </w:r>
      <w:r>
        <w:rPr>
          <w:lang w:val="en-US" w:eastAsia="en-US"/>
        </w:rPr>
        <w:t xml:space="preserve">Voltage Levels at </w:t>
      </w:r>
      <w:r w:rsidR="00B938AC">
        <w:rPr>
          <w:lang w:val="en-US" w:eastAsia="en-US"/>
        </w:rPr>
        <w:t xml:space="preserve">DBS </w:t>
      </w:r>
      <w:r>
        <w:rPr>
          <w:lang w:val="en-US" w:eastAsia="en-US"/>
        </w:rPr>
        <w:t>69 kV busbars with and without STATCOM</w:t>
      </w:r>
    </w:p>
    <w:p w14:paraId="6945A837" w14:textId="30534150" w:rsidR="00C82BC6" w:rsidRDefault="00C82BC6" w:rsidP="00C82BC6">
      <w:pPr>
        <w:spacing w:before="100" w:beforeAutospacing="1"/>
        <w:ind w:left="1080"/>
        <w:contextualSpacing/>
        <w:rPr>
          <w:lang w:val="en-US" w:eastAsia="en-US"/>
        </w:rPr>
      </w:pPr>
    </w:p>
    <w:p w14:paraId="60AD6B98" w14:textId="57A7A536" w:rsidR="00C82BC6" w:rsidRDefault="00242198" w:rsidP="00A4346F">
      <w:pPr>
        <w:spacing w:before="100" w:beforeAutospacing="1" w:after="120" w:line="276" w:lineRule="auto"/>
        <w:ind w:left="1080"/>
        <w:rPr>
          <w:lang w:val="en-US" w:eastAsia="en-US"/>
        </w:rPr>
      </w:pPr>
      <w:r>
        <w:rPr>
          <w:lang w:val="en-US" w:eastAsia="en-US"/>
        </w:rPr>
        <w:t>An analysis has been done of the effect of the increase in voltages o</w:t>
      </w:r>
      <w:r w:rsidR="00E36349">
        <w:rPr>
          <w:lang w:val="en-US" w:eastAsia="en-US"/>
        </w:rPr>
        <w:t>n</w:t>
      </w:r>
      <w:r>
        <w:rPr>
          <w:lang w:val="en-US" w:eastAsia="en-US"/>
        </w:rPr>
        <w:t xml:space="preserve"> the entire GPL transmission network.  </w:t>
      </w:r>
      <w:r w:rsidR="00C82BC6">
        <w:rPr>
          <w:lang w:val="en-US" w:eastAsia="en-US"/>
        </w:rPr>
        <w:t>The</w:t>
      </w:r>
      <w:r>
        <w:rPr>
          <w:lang w:val="en-US" w:eastAsia="en-US"/>
        </w:rPr>
        <w:t xml:space="preserve"> GPL transmission system on average transfers 3000 MWh of energy </w:t>
      </w:r>
      <w:proofErr w:type="gramStart"/>
      <w:r>
        <w:rPr>
          <w:lang w:val="en-US" w:eastAsia="en-US"/>
        </w:rPr>
        <w:t>on a daily basis</w:t>
      </w:r>
      <w:proofErr w:type="gramEnd"/>
      <w:r>
        <w:rPr>
          <w:lang w:val="en-US" w:eastAsia="en-US"/>
        </w:rPr>
        <w:t xml:space="preserve">.  Calculations on the Kingston/Sophia line show that the </w:t>
      </w:r>
      <w:r w:rsidR="00E36349">
        <w:rPr>
          <w:lang w:val="en-US" w:eastAsia="en-US"/>
        </w:rPr>
        <w:t xml:space="preserve">increased </w:t>
      </w:r>
      <w:r>
        <w:rPr>
          <w:lang w:val="en-US" w:eastAsia="en-US"/>
        </w:rPr>
        <w:t xml:space="preserve">voltage at Sophia </w:t>
      </w:r>
      <w:proofErr w:type="gramStart"/>
      <w:r w:rsidR="00E36349">
        <w:rPr>
          <w:lang w:val="en-US" w:eastAsia="en-US"/>
        </w:rPr>
        <w:t>as a result of</w:t>
      </w:r>
      <w:proofErr w:type="gramEnd"/>
      <w:r w:rsidR="00E36349">
        <w:rPr>
          <w:lang w:val="en-US" w:eastAsia="en-US"/>
        </w:rPr>
        <w:t xml:space="preserve"> the STATCOM installation </w:t>
      </w:r>
      <w:r w:rsidR="00282B19">
        <w:rPr>
          <w:lang w:val="en-US" w:eastAsia="en-US"/>
        </w:rPr>
        <w:t xml:space="preserve">will </w:t>
      </w:r>
      <w:r w:rsidR="00E36349">
        <w:rPr>
          <w:lang w:val="en-US" w:eastAsia="en-US"/>
        </w:rPr>
        <w:t xml:space="preserve">cause a </w:t>
      </w:r>
      <w:r>
        <w:rPr>
          <w:lang w:val="en-US" w:eastAsia="en-US"/>
        </w:rPr>
        <w:t>reduc</w:t>
      </w:r>
      <w:r w:rsidR="00E36349">
        <w:rPr>
          <w:lang w:val="en-US" w:eastAsia="en-US"/>
        </w:rPr>
        <w:t xml:space="preserve">tion in </w:t>
      </w:r>
      <w:r>
        <w:rPr>
          <w:lang w:val="en-US" w:eastAsia="en-US"/>
        </w:rPr>
        <w:t xml:space="preserve">the transmission losses by 1.5%.  If an average of 1.3% is used across the total network, then annual transmission line loss reduction would be </w:t>
      </w:r>
      <w:r w:rsidR="00E36349">
        <w:rPr>
          <w:lang w:val="en-US" w:eastAsia="en-US"/>
        </w:rPr>
        <w:t>14,235 MWh.  At a generation cost of US$0.12 per kWh, this would result in annual savings of US$1.7 M.</w:t>
      </w:r>
    </w:p>
    <w:p w14:paraId="7AFBB6EA" w14:textId="1DB38AD7" w:rsidR="00A4346F" w:rsidRDefault="00A4346F" w:rsidP="00A4346F">
      <w:pPr>
        <w:spacing w:before="100" w:beforeAutospacing="1" w:after="120" w:line="276" w:lineRule="auto"/>
        <w:ind w:left="1080"/>
        <w:rPr>
          <w:lang w:val="en-US" w:eastAsia="en-US"/>
        </w:rPr>
      </w:pPr>
      <w:r>
        <w:rPr>
          <w:lang w:val="en-US" w:eastAsia="en-US"/>
        </w:rPr>
        <w:t>Higher transmission voltages will produce higher distribution voltages and therefore reduce the incidence of measured low voltages.  It is expected that this project</w:t>
      </w:r>
      <w:r w:rsidR="000E141E">
        <w:rPr>
          <w:lang w:val="en-US" w:eastAsia="en-US"/>
        </w:rPr>
        <w:t>,</w:t>
      </w:r>
      <w:r>
        <w:rPr>
          <w:lang w:val="en-US" w:eastAsia="en-US"/>
        </w:rPr>
        <w:t xml:space="preserve"> together with the other project that will install larger conductors on the Kingston/Sophia transmission line</w:t>
      </w:r>
      <w:r w:rsidR="00E36349">
        <w:rPr>
          <w:lang w:val="en-US" w:eastAsia="en-US"/>
        </w:rPr>
        <w:t>s</w:t>
      </w:r>
      <w:r w:rsidR="000E141E">
        <w:rPr>
          <w:lang w:val="en-US" w:eastAsia="en-US"/>
        </w:rPr>
        <w:t>,</w:t>
      </w:r>
      <w:r>
        <w:rPr>
          <w:lang w:val="en-US" w:eastAsia="en-US"/>
        </w:rPr>
        <w:t xml:space="preserve"> will reduce low voltage incidence </w:t>
      </w:r>
      <w:r w:rsidR="00D32DDE">
        <w:rPr>
          <w:lang w:val="en-US" w:eastAsia="en-US"/>
        </w:rPr>
        <w:t>from the 201</w:t>
      </w:r>
      <w:r w:rsidR="00E36349">
        <w:rPr>
          <w:lang w:val="en-US" w:eastAsia="en-US"/>
        </w:rPr>
        <w:t>7</w:t>
      </w:r>
      <w:r w:rsidR="00D32DDE">
        <w:rPr>
          <w:lang w:val="en-US" w:eastAsia="en-US"/>
        </w:rPr>
        <w:t xml:space="preserve"> level of 2200 </w:t>
      </w:r>
      <w:r>
        <w:rPr>
          <w:lang w:val="en-US" w:eastAsia="en-US"/>
        </w:rPr>
        <w:t xml:space="preserve">to 200 by the end of the project. </w:t>
      </w:r>
    </w:p>
    <w:p w14:paraId="0ACE85E2" w14:textId="77777777" w:rsidR="00C82BC6" w:rsidRDefault="00C82BC6" w:rsidP="00C82BC6">
      <w:pPr>
        <w:spacing w:before="100" w:beforeAutospacing="1"/>
        <w:ind w:left="1080"/>
        <w:contextualSpacing/>
        <w:rPr>
          <w:lang w:val="en-US" w:eastAsia="en-US"/>
        </w:rPr>
      </w:pPr>
    </w:p>
    <w:p w14:paraId="17C25C8F" w14:textId="74FA0D6C" w:rsidR="00C12C97" w:rsidRDefault="00C12C97" w:rsidP="00D41B69">
      <w:pPr>
        <w:spacing w:before="100" w:beforeAutospacing="1" w:after="120" w:line="276" w:lineRule="auto"/>
        <w:ind w:left="1080"/>
        <w:contextualSpacing/>
        <w:rPr>
          <w:lang w:val="en-US" w:eastAsia="en-US"/>
        </w:rPr>
      </w:pPr>
    </w:p>
    <w:p w14:paraId="1ECDD638" w14:textId="77777777" w:rsidR="009E6CD1" w:rsidRDefault="009E6CD1" w:rsidP="00D41B69">
      <w:pPr>
        <w:spacing w:before="100" w:beforeAutospacing="1" w:after="120" w:line="276" w:lineRule="auto"/>
        <w:ind w:left="1080"/>
        <w:contextualSpacing/>
        <w:rPr>
          <w:lang w:val="en-US" w:eastAsia="en-US"/>
        </w:rPr>
        <w:sectPr w:rsidR="009E6CD1" w:rsidSect="00E231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pPr>
    </w:p>
    <w:p w14:paraId="09144908" w14:textId="6D8B7FBD" w:rsidR="00CB5C31" w:rsidRDefault="00CB5C31" w:rsidP="00504FE0">
      <w:pPr>
        <w:numPr>
          <w:ilvl w:val="1"/>
          <w:numId w:val="24"/>
        </w:numPr>
        <w:spacing w:before="100" w:beforeAutospacing="1" w:after="120" w:line="276" w:lineRule="auto"/>
        <w:ind w:left="1080"/>
        <w:contextualSpacing/>
        <w:rPr>
          <w:b/>
          <w:lang w:val="en-US" w:eastAsia="en-US"/>
        </w:rPr>
      </w:pPr>
      <w:r w:rsidRPr="009E6CD1">
        <w:rPr>
          <w:b/>
          <w:lang w:val="en-US" w:eastAsia="en-US"/>
        </w:rPr>
        <w:lastRenderedPageBreak/>
        <w:t xml:space="preserve">Proposed </w:t>
      </w:r>
      <w:r w:rsidR="009E6CD1">
        <w:rPr>
          <w:b/>
          <w:lang w:val="en-US" w:eastAsia="en-US"/>
        </w:rPr>
        <w:t>S</w:t>
      </w:r>
      <w:r w:rsidRPr="009E6CD1">
        <w:rPr>
          <w:b/>
          <w:lang w:val="en-US" w:eastAsia="en-US"/>
        </w:rPr>
        <w:t xml:space="preserve">chedule of </w:t>
      </w:r>
      <w:r w:rsidR="009E6CD1">
        <w:rPr>
          <w:b/>
          <w:lang w:val="en-US" w:eastAsia="en-US"/>
        </w:rPr>
        <w:t>I</w:t>
      </w:r>
      <w:r w:rsidRPr="009E6CD1">
        <w:rPr>
          <w:b/>
          <w:lang w:val="en-US" w:eastAsia="en-US"/>
        </w:rPr>
        <w:t>mplementation</w:t>
      </w:r>
    </w:p>
    <w:p w14:paraId="1BB06D19" w14:textId="18875CFA" w:rsidR="00817922" w:rsidRDefault="00817922" w:rsidP="00817922">
      <w:pPr>
        <w:spacing w:before="100" w:beforeAutospacing="1" w:after="120" w:line="276" w:lineRule="auto"/>
        <w:ind w:left="720"/>
        <w:contextualSpacing/>
        <w:rPr>
          <w:b/>
          <w:lang w:val="en-US" w:eastAsia="en-US"/>
        </w:rPr>
      </w:pPr>
    </w:p>
    <w:p w14:paraId="1C06A55C" w14:textId="5327C141" w:rsidR="00817922" w:rsidRPr="00817922" w:rsidRDefault="00817922" w:rsidP="00817922">
      <w:pPr>
        <w:spacing w:before="100" w:beforeAutospacing="1" w:after="120" w:line="276" w:lineRule="auto"/>
        <w:ind w:left="1080"/>
        <w:contextualSpacing/>
        <w:rPr>
          <w:lang w:val="en-US" w:eastAsia="en-US"/>
        </w:rPr>
      </w:pPr>
      <w:bookmarkStart w:id="2" w:name="_Hlk520062510"/>
      <w:r>
        <w:rPr>
          <w:lang w:val="en-US" w:eastAsia="en-US"/>
        </w:rPr>
        <w:t>The following is the proposed implementation schedule</w:t>
      </w:r>
      <w:r w:rsidR="003E186C">
        <w:rPr>
          <w:lang w:val="en-US" w:eastAsia="en-US"/>
        </w:rPr>
        <w:t xml:space="preserve"> of the project to install </w:t>
      </w:r>
      <w:r w:rsidR="003E186C" w:rsidRPr="002B2BF7">
        <w:t xml:space="preserve">±10MVAr STATCOM </w:t>
      </w:r>
      <w:r w:rsidR="003E186C">
        <w:t xml:space="preserve">at the </w:t>
      </w:r>
      <w:r w:rsidR="003E186C" w:rsidRPr="002B2BF7">
        <w:t>New Sophia 69kV bus-bar</w:t>
      </w:r>
      <w:r>
        <w:rPr>
          <w:lang w:val="en-US" w:eastAsia="en-US"/>
        </w:rPr>
        <w:t>.</w:t>
      </w:r>
      <w:bookmarkEnd w:id="2"/>
      <w:r>
        <w:rPr>
          <w:lang w:val="en-US" w:eastAsia="en-US"/>
        </w:rPr>
        <w:t xml:space="preserve">  Supply and delivery</w:t>
      </w:r>
      <w:r w:rsidR="00AB55E6">
        <w:rPr>
          <w:lang w:val="en-US" w:eastAsia="en-US"/>
        </w:rPr>
        <w:t xml:space="preserve"> </w:t>
      </w:r>
      <w:r>
        <w:rPr>
          <w:lang w:val="en-US" w:eastAsia="en-US"/>
        </w:rPr>
        <w:t xml:space="preserve">time will be twelve months after the </w:t>
      </w:r>
      <w:r w:rsidR="00AB55E6">
        <w:rPr>
          <w:lang w:val="en-US" w:eastAsia="en-US"/>
        </w:rPr>
        <w:t>sign</w:t>
      </w:r>
      <w:r>
        <w:rPr>
          <w:lang w:val="en-US" w:eastAsia="en-US"/>
        </w:rPr>
        <w:t>ing of contract.</w:t>
      </w:r>
      <w:r w:rsidR="007F276B">
        <w:rPr>
          <w:lang w:val="en-US" w:eastAsia="en-US"/>
        </w:rPr>
        <w:t xml:space="preserve">  The entire project will be completed in </w:t>
      </w:r>
      <w:r w:rsidR="00322D27">
        <w:rPr>
          <w:lang w:val="en-US" w:eastAsia="en-US"/>
        </w:rPr>
        <w:t xml:space="preserve">24 </w:t>
      </w:r>
      <w:r w:rsidR="007F276B">
        <w:rPr>
          <w:lang w:val="en-US" w:eastAsia="en-US"/>
        </w:rPr>
        <w:t>months.</w:t>
      </w:r>
    </w:p>
    <w:p w14:paraId="5239F165" w14:textId="5879AB45" w:rsidR="00C12C97" w:rsidRDefault="00C12C97" w:rsidP="00817922">
      <w:pPr>
        <w:spacing w:before="100" w:beforeAutospacing="1" w:after="120" w:line="276" w:lineRule="auto"/>
        <w:contextualSpacing/>
        <w:jc w:val="left"/>
        <w:rPr>
          <w:lang w:val="en-US" w:eastAsia="en-US"/>
        </w:rPr>
      </w:pPr>
    </w:p>
    <w:p w14:paraId="4EAC64F6" w14:textId="1C89D473" w:rsidR="00817922" w:rsidRDefault="00322D27" w:rsidP="00817922">
      <w:pPr>
        <w:spacing w:before="100" w:beforeAutospacing="1" w:after="120" w:line="276" w:lineRule="auto"/>
        <w:contextualSpacing/>
        <w:jc w:val="left"/>
        <w:rPr>
          <w:lang w:val="en-US" w:eastAsia="en-US"/>
        </w:rPr>
      </w:pPr>
      <w:r w:rsidRPr="00322D27">
        <w:rPr>
          <w:noProof/>
        </w:rPr>
        <w:drawing>
          <wp:inline distT="0" distB="0" distL="0" distR="0" wp14:anchorId="66B89673" wp14:editId="563F3F25">
            <wp:extent cx="8228650" cy="20669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8240" cy="2069334"/>
                    </a:xfrm>
                    <a:prstGeom prst="rect">
                      <a:avLst/>
                    </a:prstGeom>
                    <a:noFill/>
                    <a:ln>
                      <a:noFill/>
                    </a:ln>
                  </pic:spPr>
                </pic:pic>
              </a:graphicData>
            </a:graphic>
          </wp:inline>
        </w:drawing>
      </w:r>
    </w:p>
    <w:p w14:paraId="74D51E7D" w14:textId="53120089" w:rsidR="009E6CD1" w:rsidRDefault="009E6CD1" w:rsidP="009E6CD1">
      <w:pPr>
        <w:spacing w:before="100" w:beforeAutospacing="1" w:after="120" w:line="276" w:lineRule="auto"/>
        <w:ind w:left="1080"/>
        <w:contextualSpacing/>
        <w:jc w:val="left"/>
        <w:rPr>
          <w:lang w:val="en-US" w:eastAsia="en-US"/>
        </w:rPr>
      </w:pPr>
    </w:p>
    <w:p w14:paraId="74AB625B" w14:textId="6DE92E0C" w:rsidR="009E6CD1" w:rsidRDefault="009E6CD1" w:rsidP="009E6CD1">
      <w:pPr>
        <w:spacing w:before="100" w:beforeAutospacing="1" w:after="120" w:line="276" w:lineRule="auto"/>
        <w:ind w:left="1080"/>
        <w:contextualSpacing/>
        <w:jc w:val="left"/>
        <w:rPr>
          <w:lang w:val="en-US" w:eastAsia="en-US"/>
        </w:rPr>
      </w:pPr>
    </w:p>
    <w:p w14:paraId="25987F44" w14:textId="665725BF" w:rsidR="009E6CD1" w:rsidRDefault="009E6CD1" w:rsidP="009E6CD1">
      <w:pPr>
        <w:spacing w:before="100" w:beforeAutospacing="1" w:after="120" w:line="276" w:lineRule="auto"/>
        <w:ind w:left="1080"/>
        <w:contextualSpacing/>
        <w:jc w:val="left"/>
        <w:rPr>
          <w:lang w:val="en-US" w:eastAsia="en-US"/>
        </w:rPr>
      </w:pPr>
    </w:p>
    <w:p w14:paraId="38500C9E" w14:textId="7200E961" w:rsidR="009E6CD1" w:rsidRDefault="009E6CD1" w:rsidP="009E6CD1">
      <w:pPr>
        <w:spacing w:before="100" w:beforeAutospacing="1" w:after="120" w:line="276" w:lineRule="auto"/>
        <w:ind w:left="1080"/>
        <w:contextualSpacing/>
        <w:jc w:val="left"/>
        <w:rPr>
          <w:lang w:val="en-US" w:eastAsia="en-US"/>
        </w:rPr>
      </w:pPr>
    </w:p>
    <w:p w14:paraId="2806223B" w14:textId="0E5BEBCE" w:rsidR="009E6CD1" w:rsidRDefault="009E6CD1" w:rsidP="009E6CD1">
      <w:pPr>
        <w:spacing w:before="100" w:beforeAutospacing="1" w:after="120" w:line="276" w:lineRule="auto"/>
        <w:ind w:left="1080"/>
        <w:contextualSpacing/>
        <w:jc w:val="left"/>
        <w:rPr>
          <w:lang w:val="en-US" w:eastAsia="en-US"/>
        </w:rPr>
      </w:pPr>
    </w:p>
    <w:p w14:paraId="7772046A" w14:textId="6C205AC1" w:rsidR="009E6CD1" w:rsidRDefault="009E6CD1" w:rsidP="009E6CD1">
      <w:pPr>
        <w:spacing w:before="100" w:beforeAutospacing="1" w:after="120" w:line="276" w:lineRule="auto"/>
        <w:ind w:left="1080"/>
        <w:contextualSpacing/>
        <w:jc w:val="left"/>
        <w:rPr>
          <w:lang w:val="en-US" w:eastAsia="en-US"/>
        </w:rPr>
      </w:pPr>
    </w:p>
    <w:p w14:paraId="30468EE2" w14:textId="1DE435D1" w:rsidR="009E6CD1" w:rsidRDefault="009E6CD1" w:rsidP="009E6CD1">
      <w:pPr>
        <w:spacing w:before="100" w:beforeAutospacing="1" w:after="120" w:line="276" w:lineRule="auto"/>
        <w:ind w:left="1080"/>
        <w:contextualSpacing/>
        <w:jc w:val="left"/>
        <w:rPr>
          <w:lang w:val="en-US" w:eastAsia="en-US"/>
        </w:rPr>
      </w:pPr>
    </w:p>
    <w:p w14:paraId="56F151DD" w14:textId="02DE7B4F" w:rsidR="009E6CD1" w:rsidRDefault="009E6CD1" w:rsidP="009E6CD1">
      <w:pPr>
        <w:spacing w:before="100" w:beforeAutospacing="1" w:after="120" w:line="276" w:lineRule="auto"/>
        <w:ind w:left="1080"/>
        <w:contextualSpacing/>
        <w:jc w:val="left"/>
        <w:rPr>
          <w:lang w:val="en-US" w:eastAsia="en-US"/>
        </w:rPr>
      </w:pPr>
    </w:p>
    <w:p w14:paraId="2C2D2805" w14:textId="5B6502A3" w:rsidR="009E6CD1" w:rsidRDefault="009E6CD1" w:rsidP="009E6CD1">
      <w:pPr>
        <w:spacing w:before="100" w:beforeAutospacing="1" w:after="120" w:line="276" w:lineRule="auto"/>
        <w:ind w:left="1080"/>
        <w:contextualSpacing/>
        <w:jc w:val="left"/>
        <w:rPr>
          <w:lang w:val="en-US" w:eastAsia="en-US"/>
        </w:rPr>
      </w:pPr>
    </w:p>
    <w:p w14:paraId="4D23083F" w14:textId="54003B57" w:rsidR="009E6CD1" w:rsidRDefault="009E6CD1" w:rsidP="009E6CD1">
      <w:pPr>
        <w:spacing w:before="100" w:beforeAutospacing="1" w:after="120" w:line="276" w:lineRule="auto"/>
        <w:ind w:left="1080"/>
        <w:contextualSpacing/>
        <w:jc w:val="left"/>
        <w:rPr>
          <w:lang w:val="en-US" w:eastAsia="en-US"/>
        </w:rPr>
      </w:pPr>
    </w:p>
    <w:p w14:paraId="27F16C5F" w14:textId="73D74456" w:rsidR="009E6CD1" w:rsidRDefault="009E6CD1" w:rsidP="009E6CD1">
      <w:pPr>
        <w:spacing w:before="100" w:beforeAutospacing="1" w:after="120" w:line="276" w:lineRule="auto"/>
        <w:ind w:left="1080"/>
        <w:contextualSpacing/>
        <w:jc w:val="left"/>
        <w:rPr>
          <w:lang w:val="en-US" w:eastAsia="en-US"/>
        </w:rPr>
      </w:pPr>
    </w:p>
    <w:p w14:paraId="2465908E" w14:textId="67674E0F" w:rsidR="009E6CD1" w:rsidRDefault="009E6CD1" w:rsidP="009E6CD1">
      <w:pPr>
        <w:spacing w:before="100" w:beforeAutospacing="1" w:after="120" w:line="276" w:lineRule="auto"/>
        <w:ind w:left="1080"/>
        <w:contextualSpacing/>
        <w:jc w:val="left"/>
        <w:rPr>
          <w:lang w:val="en-US" w:eastAsia="en-US"/>
        </w:rPr>
      </w:pPr>
    </w:p>
    <w:p w14:paraId="59AE7349" w14:textId="1489AC43" w:rsidR="009E6CD1" w:rsidRDefault="009E6CD1" w:rsidP="009E6CD1">
      <w:pPr>
        <w:spacing w:before="100" w:beforeAutospacing="1" w:after="120" w:line="276" w:lineRule="auto"/>
        <w:ind w:left="1080"/>
        <w:contextualSpacing/>
        <w:jc w:val="left"/>
        <w:rPr>
          <w:lang w:val="en-US" w:eastAsia="en-US"/>
        </w:rPr>
      </w:pPr>
    </w:p>
    <w:p w14:paraId="191EB6E1" w14:textId="77777777" w:rsidR="009E6CD1" w:rsidRDefault="009E6CD1" w:rsidP="009E6CD1">
      <w:pPr>
        <w:spacing w:before="100" w:beforeAutospacing="1" w:after="120" w:line="276" w:lineRule="auto"/>
        <w:ind w:left="1080"/>
        <w:contextualSpacing/>
        <w:jc w:val="left"/>
        <w:rPr>
          <w:lang w:val="en-US" w:eastAsia="en-US"/>
        </w:rPr>
        <w:sectPr w:rsidR="009E6CD1" w:rsidSect="009E6CD1">
          <w:pgSz w:w="15840" w:h="12240" w:orient="landscape"/>
          <w:pgMar w:top="1440" w:right="1440" w:bottom="1440" w:left="1440" w:header="720" w:footer="720" w:gutter="0"/>
          <w:cols w:space="720"/>
          <w:docGrid w:linePitch="360"/>
        </w:sectPr>
      </w:pPr>
    </w:p>
    <w:p w14:paraId="6A426B4E" w14:textId="38CA6624" w:rsidR="00CB5C31" w:rsidRDefault="00CB5C31" w:rsidP="00504FE0">
      <w:pPr>
        <w:numPr>
          <w:ilvl w:val="1"/>
          <w:numId w:val="24"/>
        </w:numPr>
        <w:spacing w:before="100" w:beforeAutospacing="1" w:after="120" w:line="276" w:lineRule="auto"/>
        <w:ind w:left="1080"/>
        <w:contextualSpacing/>
        <w:rPr>
          <w:lang w:val="en-US" w:eastAsia="en-US"/>
        </w:rPr>
      </w:pPr>
      <w:r w:rsidRPr="009969F0">
        <w:rPr>
          <w:lang w:val="en-US" w:eastAsia="en-US"/>
        </w:rPr>
        <w:lastRenderedPageBreak/>
        <w:t xml:space="preserve">Budget </w:t>
      </w:r>
      <w:r w:rsidR="003F7435">
        <w:rPr>
          <w:lang w:val="en-US" w:eastAsia="en-US"/>
        </w:rPr>
        <w:t>Estimations</w:t>
      </w:r>
    </w:p>
    <w:p w14:paraId="492992A3" w14:textId="1E8F651F" w:rsidR="006A269C" w:rsidRDefault="00D12229" w:rsidP="00D12229">
      <w:pPr>
        <w:pStyle w:val="ListParagraph"/>
        <w:spacing w:before="100" w:beforeAutospacing="1" w:line="276" w:lineRule="auto"/>
        <w:ind w:left="1080"/>
      </w:pPr>
      <w:bookmarkStart w:id="3" w:name="_Hlk520002176"/>
      <w:r>
        <w:t xml:space="preserve">The following Table 3 indicates the main activities and costs for the installation of </w:t>
      </w:r>
      <w:r w:rsidR="007F276B">
        <w:t xml:space="preserve">a </w:t>
      </w:r>
      <w:r w:rsidRPr="00AB55E6">
        <w:rPr>
          <w:sz w:val="22"/>
          <w:szCs w:val="22"/>
        </w:rPr>
        <w:t xml:space="preserve">±10MVAr </w:t>
      </w:r>
      <w:r w:rsidR="001F78B1">
        <w:rPr>
          <w:sz w:val="22"/>
          <w:szCs w:val="22"/>
        </w:rPr>
        <w:t xml:space="preserve">STATCOM </w:t>
      </w:r>
      <w:r>
        <w:t xml:space="preserve">at the New Sophia substation.  The contractor will be providing all design, </w:t>
      </w:r>
      <w:r w:rsidR="007F276B">
        <w:t xml:space="preserve">procurement, </w:t>
      </w:r>
      <w:r>
        <w:t>installation and commissioning works.</w:t>
      </w:r>
    </w:p>
    <w:bookmarkEnd w:id="3"/>
    <w:p w14:paraId="6E6866CD" w14:textId="77777777" w:rsidR="00D12229" w:rsidRDefault="00D12229" w:rsidP="00D12229">
      <w:pPr>
        <w:pStyle w:val="ListParagraph"/>
        <w:spacing w:before="100" w:beforeAutospacing="1" w:line="276" w:lineRule="auto"/>
        <w:ind w:left="1080"/>
      </w:pPr>
    </w:p>
    <w:tbl>
      <w:tblPr>
        <w:tblStyle w:val="TableGrid"/>
        <w:tblW w:w="0" w:type="auto"/>
        <w:tblInd w:w="1080" w:type="dxa"/>
        <w:tblLook w:val="04A0" w:firstRow="1" w:lastRow="0" w:firstColumn="1" w:lastColumn="0" w:noHBand="0" w:noVBand="1"/>
      </w:tblPr>
      <w:tblGrid>
        <w:gridCol w:w="6025"/>
        <w:gridCol w:w="2245"/>
      </w:tblGrid>
      <w:tr w:rsidR="006A269C" w14:paraId="6E3E69D0" w14:textId="77777777" w:rsidTr="002103C8">
        <w:tc>
          <w:tcPr>
            <w:tcW w:w="6025" w:type="dxa"/>
          </w:tcPr>
          <w:p w14:paraId="5AEB4570" w14:textId="77777777" w:rsidR="006A269C" w:rsidRPr="00ED66A6" w:rsidRDefault="006A269C" w:rsidP="002103C8">
            <w:pPr>
              <w:spacing w:before="100" w:beforeAutospacing="1" w:line="276" w:lineRule="auto"/>
              <w:contextualSpacing/>
              <w:rPr>
                <w:b/>
              </w:rPr>
            </w:pPr>
            <w:r w:rsidRPr="00ED66A6">
              <w:rPr>
                <w:b/>
              </w:rPr>
              <w:t>Activity</w:t>
            </w:r>
          </w:p>
        </w:tc>
        <w:tc>
          <w:tcPr>
            <w:tcW w:w="2245" w:type="dxa"/>
          </w:tcPr>
          <w:p w14:paraId="0ED3CBCE" w14:textId="0464DB84" w:rsidR="006A269C" w:rsidRPr="00ED66A6" w:rsidRDefault="006A269C" w:rsidP="00ED66A6">
            <w:pPr>
              <w:spacing w:before="100" w:beforeAutospacing="1" w:line="276" w:lineRule="auto"/>
              <w:contextualSpacing/>
              <w:jc w:val="center"/>
              <w:rPr>
                <w:b/>
              </w:rPr>
            </w:pPr>
            <w:r w:rsidRPr="00ED66A6">
              <w:rPr>
                <w:b/>
              </w:rPr>
              <w:t>Cost</w:t>
            </w:r>
            <w:r w:rsidR="003F7435" w:rsidRPr="00ED66A6">
              <w:rPr>
                <w:b/>
              </w:rPr>
              <w:t xml:space="preserve"> (US$)</w:t>
            </w:r>
          </w:p>
        </w:tc>
      </w:tr>
      <w:tr w:rsidR="00AB55E6" w:rsidRPr="00A4036A" w14:paraId="5D987FBB" w14:textId="77777777" w:rsidTr="00ED66A6">
        <w:tc>
          <w:tcPr>
            <w:tcW w:w="6025" w:type="dxa"/>
          </w:tcPr>
          <w:p w14:paraId="2AE6F133" w14:textId="329A1DA0" w:rsidR="00AB55E6" w:rsidRDefault="00AB55E6" w:rsidP="002103C8">
            <w:pPr>
              <w:spacing w:before="100" w:beforeAutospacing="1" w:line="276" w:lineRule="auto"/>
              <w:contextualSpacing/>
              <w:rPr>
                <w:sz w:val="22"/>
                <w:szCs w:val="22"/>
              </w:rPr>
            </w:pPr>
            <w:r>
              <w:rPr>
                <w:sz w:val="22"/>
                <w:szCs w:val="22"/>
              </w:rPr>
              <w:t xml:space="preserve">Design, installation and commissioning of one (1) </w:t>
            </w:r>
            <w:r w:rsidRPr="00AB55E6">
              <w:rPr>
                <w:sz w:val="22"/>
                <w:szCs w:val="22"/>
              </w:rPr>
              <w:t xml:space="preserve">±10MVAr STATCOM at the </w:t>
            </w:r>
            <w:r w:rsidRPr="00AB55E6">
              <w:rPr>
                <w:b/>
                <w:sz w:val="22"/>
                <w:szCs w:val="22"/>
              </w:rPr>
              <w:t>New Sophia</w:t>
            </w:r>
            <w:r w:rsidRPr="00AB55E6">
              <w:rPr>
                <w:sz w:val="22"/>
                <w:szCs w:val="22"/>
              </w:rPr>
              <w:t xml:space="preserve"> 69kV bus-bar</w:t>
            </w:r>
            <w:r>
              <w:rPr>
                <w:sz w:val="22"/>
                <w:szCs w:val="22"/>
              </w:rPr>
              <w:t xml:space="preserve"> </w:t>
            </w:r>
            <w:r w:rsidR="00CE72B0">
              <w:rPr>
                <w:sz w:val="22"/>
                <w:szCs w:val="22"/>
              </w:rPr>
              <w:t xml:space="preserve">with </w:t>
            </w:r>
            <w:r>
              <w:rPr>
                <w:sz w:val="22"/>
                <w:szCs w:val="22"/>
              </w:rPr>
              <w:t xml:space="preserve">all cabling works </w:t>
            </w:r>
            <w:r w:rsidR="00322D27">
              <w:rPr>
                <w:sz w:val="22"/>
                <w:szCs w:val="22"/>
              </w:rPr>
              <w:t>to include</w:t>
            </w:r>
            <w:r w:rsidR="00CE72B0">
              <w:rPr>
                <w:sz w:val="22"/>
                <w:szCs w:val="22"/>
              </w:rPr>
              <w:t>:</w:t>
            </w:r>
          </w:p>
          <w:p w14:paraId="3D5EBA81" w14:textId="5579DEA2" w:rsidR="00322D27" w:rsidRDefault="00322D27" w:rsidP="00322D27">
            <w:pPr>
              <w:pStyle w:val="ListParagraph"/>
              <w:numPr>
                <w:ilvl w:val="0"/>
                <w:numId w:val="35"/>
              </w:numPr>
              <w:spacing w:before="100" w:beforeAutospacing="1" w:line="276" w:lineRule="auto"/>
              <w:rPr>
                <w:sz w:val="22"/>
                <w:szCs w:val="22"/>
              </w:rPr>
            </w:pPr>
            <w:r>
              <w:rPr>
                <w:sz w:val="22"/>
                <w:szCs w:val="22"/>
              </w:rPr>
              <w:t xml:space="preserve">1, 69 kV, 3 phase, 3 winding </w:t>
            </w:r>
            <w:proofErr w:type="gramStart"/>
            <w:r>
              <w:rPr>
                <w:sz w:val="22"/>
                <w:szCs w:val="22"/>
              </w:rPr>
              <w:t>transformer</w:t>
            </w:r>
            <w:proofErr w:type="gramEnd"/>
          </w:p>
          <w:p w14:paraId="3F5EDAC6" w14:textId="614522E6" w:rsidR="00282B19" w:rsidRDefault="00282B19" w:rsidP="00322D27">
            <w:pPr>
              <w:pStyle w:val="ListParagraph"/>
              <w:numPr>
                <w:ilvl w:val="0"/>
                <w:numId w:val="35"/>
              </w:numPr>
              <w:spacing w:before="100" w:beforeAutospacing="1" w:line="276" w:lineRule="auto"/>
              <w:rPr>
                <w:sz w:val="22"/>
                <w:szCs w:val="22"/>
              </w:rPr>
            </w:pPr>
            <w:r>
              <w:rPr>
                <w:sz w:val="22"/>
                <w:szCs w:val="22"/>
              </w:rPr>
              <w:t>2, Apparent Power Systems (APS)</w:t>
            </w:r>
          </w:p>
          <w:p w14:paraId="18E93426" w14:textId="77777777" w:rsidR="00322D27" w:rsidRDefault="00322D27" w:rsidP="00322D27">
            <w:pPr>
              <w:pStyle w:val="ListParagraph"/>
              <w:numPr>
                <w:ilvl w:val="0"/>
                <w:numId w:val="35"/>
              </w:numPr>
              <w:spacing w:before="100" w:beforeAutospacing="1" w:line="276" w:lineRule="auto"/>
              <w:rPr>
                <w:sz w:val="22"/>
                <w:szCs w:val="22"/>
              </w:rPr>
            </w:pPr>
            <w:r>
              <w:rPr>
                <w:sz w:val="22"/>
                <w:szCs w:val="22"/>
              </w:rPr>
              <w:t>1, 69 kV circuit breaker</w:t>
            </w:r>
          </w:p>
          <w:p w14:paraId="7C297C6E" w14:textId="77777777" w:rsidR="00322D27" w:rsidRDefault="00322D27" w:rsidP="00322D27">
            <w:pPr>
              <w:pStyle w:val="ListParagraph"/>
              <w:numPr>
                <w:ilvl w:val="0"/>
                <w:numId w:val="35"/>
              </w:numPr>
              <w:spacing w:before="100" w:beforeAutospacing="1" w:line="276" w:lineRule="auto"/>
              <w:rPr>
                <w:sz w:val="22"/>
                <w:szCs w:val="22"/>
              </w:rPr>
            </w:pPr>
            <w:r>
              <w:rPr>
                <w:sz w:val="22"/>
                <w:szCs w:val="22"/>
              </w:rPr>
              <w:t>3, 69 kV disconnects</w:t>
            </w:r>
          </w:p>
          <w:p w14:paraId="44AE0B0A" w14:textId="77777777" w:rsidR="00322D27" w:rsidRDefault="00322D27" w:rsidP="00322D27">
            <w:pPr>
              <w:pStyle w:val="ListParagraph"/>
              <w:numPr>
                <w:ilvl w:val="0"/>
                <w:numId w:val="35"/>
              </w:numPr>
              <w:spacing w:before="100" w:beforeAutospacing="1" w:line="276" w:lineRule="auto"/>
              <w:rPr>
                <w:sz w:val="22"/>
                <w:szCs w:val="22"/>
              </w:rPr>
            </w:pPr>
            <w:r>
              <w:rPr>
                <w:sz w:val="22"/>
                <w:szCs w:val="22"/>
              </w:rPr>
              <w:t>3, 69 kV potential transformers</w:t>
            </w:r>
          </w:p>
          <w:p w14:paraId="7B786545" w14:textId="77777777" w:rsidR="00322D27" w:rsidRDefault="00322D27" w:rsidP="00322D27">
            <w:pPr>
              <w:pStyle w:val="ListParagraph"/>
              <w:numPr>
                <w:ilvl w:val="0"/>
                <w:numId w:val="35"/>
              </w:numPr>
              <w:spacing w:before="100" w:beforeAutospacing="1" w:line="276" w:lineRule="auto"/>
              <w:rPr>
                <w:sz w:val="22"/>
                <w:szCs w:val="22"/>
              </w:rPr>
            </w:pPr>
            <w:r>
              <w:rPr>
                <w:sz w:val="22"/>
                <w:szCs w:val="22"/>
              </w:rPr>
              <w:t>6, current transformers</w:t>
            </w:r>
          </w:p>
          <w:p w14:paraId="4B3AD644" w14:textId="77777777" w:rsidR="00322D27" w:rsidRDefault="00CE72B0" w:rsidP="00322D27">
            <w:pPr>
              <w:pStyle w:val="ListParagraph"/>
              <w:numPr>
                <w:ilvl w:val="0"/>
                <w:numId w:val="35"/>
              </w:numPr>
              <w:spacing w:before="100" w:beforeAutospacing="1" w:line="276" w:lineRule="auto"/>
              <w:rPr>
                <w:sz w:val="22"/>
                <w:szCs w:val="22"/>
              </w:rPr>
            </w:pPr>
            <w:r>
              <w:rPr>
                <w:sz w:val="22"/>
                <w:szCs w:val="22"/>
              </w:rPr>
              <w:t>Protection and control systems</w:t>
            </w:r>
          </w:p>
          <w:p w14:paraId="0A1FAE11" w14:textId="50C00429" w:rsidR="00282B19" w:rsidRPr="00322D27" w:rsidRDefault="00282B19" w:rsidP="00322D27">
            <w:pPr>
              <w:pStyle w:val="ListParagraph"/>
              <w:numPr>
                <w:ilvl w:val="0"/>
                <w:numId w:val="35"/>
              </w:numPr>
              <w:spacing w:before="100" w:beforeAutospacing="1" w:line="276" w:lineRule="auto"/>
              <w:rPr>
                <w:sz w:val="22"/>
                <w:szCs w:val="22"/>
              </w:rPr>
            </w:pPr>
            <w:r>
              <w:rPr>
                <w:sz w:val="22"/>
                <w:szCs w:val="22"/>
              </w:rPr>
              <w:t>Training</w:t>
            </w:r>
          </w:p>
        </w:tc>
        <w:tc>
          <w:tcPr>
            <w:tcW w:w="2245" w:type="dxa"/>
            <w:vAlign w:val="center"/>
          </w:tcPr>
          <w:p w14:paraId="7C65847C" w14:textId="14DB2493" w:rsidR="00AB55E6" w:rsidRPr="00AB55E6" w:rsidRDefault="00AB55E6" w:rsidP="008F7087">
            <w:pPr>
              <w:spacing w:before="100" w:beforeAutospacing="1" w:line="276" w:lineRule="auto"/>
              <w:contextualSpacing/>
              <w:jc w:val="right"/>
              <w:rPr>
                <w:b/>
                <w:sz w:val="22"/>
                <w:szCs w:val="22"/>
              </w:rPr>
            </w:pPr>
            <w:r w:rsidRPr="00AB55E6">
              <w:rPr>
                <w:b/>
              </w:rPr>
              <w:t>6,150,000.00</w:t>
            </w:r>
          </w:p>
        </w:tc>
      </w:tr>
      <w:tr w:rsidR="00ED66A6" w:rsidRPr="00A4036A" w14:paraId="23F99889" w14:textId="77777777" w:rsidTr="00ED66A6">
        <w:tc>
          <w:tcPr>
            <w:tcW w:w="6025" w:type="dxa"/>
          </w:tcPr>
          <w:p w14:paraId="356CCA0F" w14:textId="4597E9C0" w:rsidR="00ED66A6" w:rsidRPr="00A4036A" w:rsidRDefault="00ED66A6" w:rsidP="002103C8">
            <w:pPr>
              <w:spacing w:before="100" w:beforeAutospacing="1" w:line="276" w:lineRule="auto"/>
              <w:contextualSpacing/>
              <w:rPr>
                <w:sz w:val="22"/>
                <w:szCs w:val="22"/>
              </w:rPr>
            </w:pPr>
            <w:r w:rsidRPr="00A4036A">
              <w:rPr>
                <w:sz w:val="22"/>
                <w:szCs w:val="22"/>
              </w:rPr>
              <w:t>All electrical, civil and building works inclusive of all foundations and earthing works for 6</w:t>
            </w:r>
            <w:r w:rsidR="008F7087">
              <w:rPr>
                <w:sz w:val="22"/>
                <w:szCs w:val="22"/>
              </w:rPr>
              <w:t xml:space="preserve"> </w:t>
            </w:r>
            <w:r w:rsidRPr="00A4036A">
              <w:rPr>
                <w:sz w:val="22"/>
                <w:szCs w:val="22"/>
              </w:rPr>
              <w:t xml:space="preserve">m, three phase, 60 Hz extension of </w:t>
            </w:r>
            <w:r w:rsidR="00AB55E6">
              <w:rPr>
                <w:b/>
                <w:sz w:val="22"/>
                <w:szCs w:val="22"/>
              </w:rPr>
              <w:t>New Sophia</w:t>
            </w:r>
            <w:r w:rsidRPr="00A4036A">
              <w:rPr>
                <w:sz w:val="22"/>
                <w:szCs w:val="22"/>
              </w:rPr>
              <w:t xml:space="preserve"> 69 kV outdoor busbar to house new </w:t>
            </w:r>
            <w:r w:rsidR="008F7087" w:rsidRPr="00AB55E6">
              <w:rPr>
                <w:sz w:val="22"/>
                <w:szCs w:val="22"/>
              </w:rPr>
              <w:t xml:space="preserve">±10MVAr </w:t>
            </w:r>
            <w:r w:rsidR="008F7087">
              <w:rPr>
                <w:sz w:val="22"/>
                <w:szCs w:val="22"/>
              </w:rPr>
              <w:t xml:space="preserve">STATCOM. </w:t>
            </w:r>
            <w:r w:rsidRPr="00A4036A">
              <w:rPr>
                <w:sz w:val="22"/>
                <w:szCs w:val="22"/>
              </w:rPr>
              <w:t>Busbar rated at 72.2 kV, 2000 A, BIL 350kV, fault rating 40 kA</w:t>
            </w:r>
          </w:p>
        </w:tc>
        <w:tc>
          <w:tcPr>
            <w:tcW w:w="2245" w:type="dxa"/>
            <w:vMerge w:val="restart"/>
            <w:vAlign w:val="center"/>
          </w:tcPr>
          <w:p w14:paraId="2990682F" w14:textId="7BBEEE33" w:rsidR="00ED66A6" w:rsidRPr="00A4036A" w:rsidRDefault="00ED66A6" w:rsidP="008F7087">
            <w:pPr>
              <w:spacing w:before="100" w:beforeAutospacing="1" w:line="276" w:lineRule="auto"/>
              <w:contextualSpacing/>
              <w:jc w:val="right"/>
              <w:rPr>
                <w:b/>
                <w:sz w:val="22"/>
                <w:szCs w:val="22"/>
              </w:rPr>
            </w:pPr>
            <w:r w:rsidRPr="00A4036A">
              <w:rPr>
                <w:b/>
                <w:sz w:val="22"/>
                <w:szCs w:val="22"/>
              </w:rPr>
              <w:t>649,227.00</w:t>
            </w:r>
          </w:p>
        </w:tc>
      </w:tr>
      <w:tr w:rsidR="00ED66A6" w:rsidRPr="00A4036A" w14:paraId="511369C8" w14:textId="77777777" w:rsidTr="002103C8">
        <w:tc>
          <w:tcPr>
            <w:tcW w:w="6025" w:type="dxa"/>
          </w:tcPr>
          <w:p w14:paraId="74D071E1" w14:textId="5FE1AD88" w:rsidR="00ED66A6" w:rsidRPr="00A4036A" w:rsidRDefault="00ED66A6" w:rsidP="002103C8">
            <w:pPr>
              <w:spacing w:before="100" w:beforeAutospacing="1" w:line="276" w:lineRule="auto"/>
              <w:contextualSpacing/>
              <w:rPr>
                <w:sz w:val="22"/>
                <w:szCs w:val="22"/>
              </w:rPr>
            </w:pPr>
            <w:r w:rsidRPr="00A4036A">
              <w:rPr>
                <w:sz w:val="22"/>
                <w:szCs w:val="22"/>
              </w:rPr>
              <w:t>Design, commissioning and all other services in connection with the extension of</w:t>
            </w:r>
            <w:r w:rsidR="00AB55E6">
              <w:rPr>
                <w:sz w:val="22"/>
                <w:szCs w:val="22"/>
              </w:rPr>
              <w:t xml:space="preserve"> the</w:t>
            </w:r>
            <w:r w:rsidRPr="00A4036A">
              <w:rPr>
                <w:sz w:val="22"/>
                <w:szCs w:val="22"/>
              </w:rPr>
              <w:t xml:space="preserve"> </w:t>
            </w:r>
            <w:r w:rsidR="00AB55E6">
              <w:rPr>
                <w:b/>
                <w:sz w:val="22"/>
                <w:szCs w:val="22"/>
              </w:rPr>
              <w:t xml:space="preserve">New </w:t>
            </w:r>
            <w:r w:rsidRPr="00A4036A">
              <w:rPr>
                <w:b/>
                <w:sz w:val="22"/>
                <w:szCs w:val="22"/>
              </w:rPr>
              <w:t>Sophia</w:t>
            </w:r>
            <w:r w:rsidRPr="00A4036A">
              <w:rPr>
                <w:sz w:val="22"/>
                <w:szCs w:val="22"/>
              </w:rPr>
              <w:t xml:space="preserve"> 69 kV outdoor busbar</w:t>
            </w:r>
          </w:p>
        </w:tc>
        <w:tc>
          <w:tcPr>
            <w:tcW w:w="2245" w:type="dxa"/>
            <w:vMerge/>
          </w:tcPr>
          <w:p w14:paraId="7BADAEAF" w14:textId="77777777" w:rsidR="00ED66A6" w:rsidRPr="00A4036A" w:rsidRDefault="00ED66A6" w:rsidP="008F7087">
            <w:pPr>
              <w:spacing w:before="100" w:beforeAutospacing="1" w:line="276" w:lineRule="auto"/>
              <w:contextualSpacing/>
              <w:jc w:val="right"/>
              <w:rPr>
                <w:sz w:val="22"/>
                <w:szCs w:val="22"/>
              </w:rPr>
            </w:pPr>
          </w:p>
        </w:tc>
      </w:tr>
      <w:tr w:rsidR="00A4036A" w:rsidRPr="00A4036A" w14:paraId="37723886" w14:textId="77777777" w:rsidTr="002103C8">
        <w:tc>
          <w:tcPr>
            <w:tcW w:w="6025" w:type="dxa"/>
          </w:tcPr>
          <w:p w14:paraId="40F40CBD" w14:textId="32783E6C" w:rsidR="00A4036A" w:rsidRPr="00A4036A" w:rsidRDefault="00A4036A" w:rsidP="002103C8">
            <w:pPr>
              <w:spacing w:before="100" w:beforeAutospacing="1" w:line="276" w:lineRule="auto"/>
              <w:contextualSpacing/>
              <w:rPr>
                <w:sz w:val="22"/>
                <w:szCs w:val="22"/>
              </w:rPr>
            </w:pPr>
            <w:r>
              <w:rPr>
                <w:sz w:val="22"/>
                <w:szCs w:val="22"/>
              </w:rPr>
              <w:t>5% Contingency</w:t>
            </w:r>
          </w:p>
        </w:tc>
        <w:tc>
          <w:tcPr>
            <w:tcW w:w="2245" w:type="dxa"/>
          </w:tcPr>
          <w:p w14:paraId="6D999190" w14:textId="7037BC75" w:rsidR="00A4036A" w:rsidRPr="00A4036A" w:rsidRDefault="00AB55E6" w:rsidP="008F7087">
            <w:pPr>
              <w:spacing w:before="100" w:beforeAutospacing="1" w:line="276" w:lineRule="auto"/>
              <w:contextualSpacing/>
              <w:jc w:val="right"/>
              <w:rPr>
                <w:b/>
                <w:sz w:val="22"/>
                <w:szCs w:val="22"/>
              </w:rPr>
            </w:pPr>
            <w:r>
              <w:rPr>
                <w:b/>
                <w:sz w:val="22"/>
                <w:szCs w:val="22"/>
              </w:rPr>
              <w:t>339</w:t>
            </w:r>
            <w:r w:rsidR="00A4036A" w:rsidRPr="00A4036A">
              <w:rPr>
                <w:b/>
                <w:sz w:val="22"/>
                <w:szCs w:val="22"/>
              </w:rPr>
              <w:t>,</w:t>
            </w:r>
            <w:r>
              <w:rPr>
                <w:b/>
                <w:sz w:val="22"/>
                <w:szCs w:val="22"/>
              </w:rPr>
              <w:t>964</w:t>
            </w:r>
            <w:r w:rsidR="007F276B">
              <w:rPr>
                <w:b/>
                <w:sz w:val="22"/>
                <w:szCs w:val="22"/>
              </w:rPr>
              <w:t>.00</w:t>
            </w:r>
          </w:p>
        </w:tc>
      </w:tr>
      <w:tr w:rsidR="006A269C" w:rsidRPr="00A4036A" w14:paraId="76543C4E" w14:textId="77777777" w:rsidTr="002103C8">
        <w:tc>
          <w:tcPr>
            <w:tcW w:w="6025" w:type="dxa"/>
          </w:tcPr>
          <w:p w14:paraId="70CE0162" w14:textId="041F91D2" w:rsidR="006A269C" w:rsidRPr="00A4036A" w:rsidRDefault="00A4036A" w:rsidP="002103C8">
            <w:pPr>
              <w:spacing w:before="100" w:beforeAutospacing="1" w:line="276" w:lineRule="auto"/>
              <w:contextualSpacing/>
              <w:rPr>
                <w:sz w:val="22"/>
                <w:szCs w:val="22"/>
              </w:rPr>
            </w:pPr>
            <w:r w:rsidRPr="00A4036A">
              <w:rPr>
                <w:sz w:val="22"/>
                <w:szCs w:val="22"/>
              </w:rPr>
              <w:t>TOTAL</w:t>
            </w:r>
          </w:p>
        </w:tc>
        <w:tc>
          <w:tcPr>
            <w:tcW w:w="2245" w:type="dxa"/>
          </w:tcPr>
          <w:p w14:paraId="2A1803BD" w14:textId="75B5004F" w:rsidR="006A269C" w:rsidRPr="00A4036A" w:rsidRDefault="00A4036A" w:rsidP="008F7087">
            <w:pPr>
              <w:spacing w:before="100" w:beforeAutospacing="1" w:line="276" w:lineRule="auto"/>
              <w:contextualSpacing/>
              <w:jc w:val="right"/>
              <w:rPr>
                <w:b/>
                <w:sz w:val="22"/>
                <w:szCs w:val="22"/>
              </w:rPr>
            </w:pPr>
            <w:r>
              <w:rPr>
                <w:b/>
                <w:sz w:val="22"/>
                <w:szCs w:val="22"/>
              </w:rPr>
              <w:t xml:space="preserve">US$ </w:t>
            </w:r>
            <w:r w:rsidR="00D12229">
              <w:rPr>
                <w:b/>
                <w:sz w:val="22"/>
                <w:szCs w:val="22"/>
              </w:rPr>
              <w:t>7,139,241</w:t>
            </w:r>
            <w:r w:rsidR="007F276B">
              <w:rPr>
                <w:b/>
                <w:sz w:val="22"/>
                <w:szCs w:val="22"/>
              </w:rPr>
              <w:t>.00</w:t>
            </w:r>
          </w:p>
        </w:tc>
      </w:tr>
    </w:tbl>
    <w:p w14:paraId="3AD1E161" w14:textId="5FCA4011" w:rsidR="00D12229" w:rsidRPr="00D12229" w:rsidRDefault="00D12229" w:rsidP="00E94482">
      <w:pPr>
        <w:spacing w:before="100" w:beforeAutospacing="1" w:after="120" w:line="276" w:lineRule="auto"/>
        <w:ind w:left="1080" w:hanging="720"/>
        <w:contextualSpacing/>
        <w:rPr>
          <w:lang w:val="en-US" w:eastAsia="en-US"/>
        </w:rPr>
      </w:pPr>
      <w:r>
        <w:rPr>
          <w:b/>
          <w:lang w:val="en-US" w:eastAsia="en-US"/>
        </w:rPr>
        <w:tab/>
      </w:r>
      <w:r>
        <w:rPr>
          <w:b/>
          <w:lang w:val="en-US" w:eastAsia="en-US"/>
        </w:rPr>
        <w:tab/>
      </w:r>
      <w:r>
        <w:rPr>
          <w:lang w:val="en-US" w:eastAsia="en-US"/>
        </w:rPr>
        <w:t>Table 3:  Summary of Main Project Activities and Costs</w:t>
      </w:r>
    </w:p>
    <w:p w14:paraId="056D7303" w14:textId="68863EA0" w:rsidR="00D12229" w:rsidRDefault="00D12229" w:rsidP="00E94482">
      <w:pPr>
        <w:spacing w:before="100" w:beforeAutospacing="1" w:after="120" w:line="276" w:lineRule="auto"/>
        <w:ind w:left="1080" w:hanging="720"/>
        <w:contextualSpacing/>
        <w:rPr>
          <w:b/>
          <w:lang w:val="en-US" w:eastAsia="en-US"/>
        </w:rPr>
      </w:pPr>
    </w:p>
    <w:p w14:paraId="011D80C8" w14:textId="3312D7A1" w:rsidR="00282B19" w:rsidRDefault="00282B19" w:rsidP="00E94482">
      <w:pPr>
        <w:spacing w:before="100" w:beforeAutospacing="1" w:after="120" w:line="276" w:lineRule="auto"/>
        <w:ind w:left="1080" w:hanging="720"/>
        <w:contextualSpacing/>
        <w:rPr>
          <w:b/>
          <w:lang w:val="en-US" w:eastAsia="en-US"/>
        </w:rPr>
      </w:pPr>
    </w:p>
    <w:p w14:paraId="111B8068" w14:textId="52D2A164" w:rsidR="00CB5C31" w:rsidRDefault="0028096A" w:rsidP="00E94482">
      <w:pPr>
        <w:spacing w:before="100" w:beforeAutospacing="1" w:after="120" w:line="276" w:lineRule="auto"/>
        <w:ind w:left="1080" w:hanging="720"/>
        <w:contextualSpacing/>
        <w:rPr>
          <w:lang w:val="en-US" w:eastAsia="en-US"/>
        </w:rPr>
      </w:pPr>
      <w:r w:rsidRPr="00332AD0">
        <w:rPr>
          <w:b/>
          <w:lang w:val="en-US" w:eastAsia="en-US"/>
        </w:rPr>
        <w:t>VIII.</w:t>
      </w:r>
      <w:r w:rsidR="00E94482">
        <w:rPr>
          <w:lang w:val="en-US" w:eastAsia="en-US"/>
        </w:rPr>
        <w:tab/>
      </w:r>
      <w:r w:rsidR="00CB5C31" w:rsidRPr="00E94482">
        <w:rPr>
          <w:b/>
          <w:lang w:val="en-US" w:eastAsia="en-US"/>
        </w:rPr>
        <w:t xml:space="preserve">Financial </w:t>
      </w:r>
      <w:r w:rsidR="00E94482">
        <w:rPr>
          <w:b/>
          <w:lang w:val="en-US" w:eastAsia="en-US"/>
        </w:rPr>
        <w:t>A</w:t>
      </w:r>
      <w:r w:rsidR="00CB5C31" w:rsidRPr="00E94482">
        <w:rPr>
          <w:b/>
          <w:lang w:val="en-US" w:eastAsia="en-US"/>
        </w:rPr>
        <w:t>nalysis</w:t>
      </w:r>
    </w:p>
    <w:p w14:paraId="2EBA6BA5" w14:textId="52C8B871" w:rsidR="00C91093" w:rsidRDefault="00282B19" w:rsidP="00C91093">
      <w:pPr>
        <w:spacing w:before="100" w:beforeAutospacing="1" w:after="120"/>
        <w:ind w:left="1080"/>
        <w:contextualSpacing/>
        <w:rPr>
          <w:lang w:val="en-US" w:eastAsia="en-US"/>
        </w:rPr>
      </w:pPr>
      <w:r>
        <w:rPr>
          <w:lang w:val="en-US" w:eastAsia="en-US"/>
        </w:rPr>
        <w:t xml:space="preserve">The financial analysis for this project </w:t>
      </w:r>
      <w:r>
        <w:rPr>
          <w:lang w:val="en-US" w:eastAsia="en-US"/>
        </w:rPr>
        <w:t xml:space="preserve">is </w:t>
      </w:r>
      <w:r>
        <w:rPr>
          <w:lang w:val="en-US" w:eastAsia="en-US"/>
        </w:rPr>
        <w:t xml:space="preserve">based on the reduction of </w:t>
      </w:r>
      <w:r>
        <w:rPr>
          <w:lang w:val="en-US" w:eastAsia="en-US"/>
        </w:rPr>
        <w:t>transmission line losses over the entire GPL 69 kV network</w:t>
      </w:r>
      <w:r w:rsidR="00C91093">
        <w:rPr>
          <w:lang w:val="en-US" w:eastAsia="en-US"/>
        </w:rPr>
        <w:t xml:space="preserve">.  </w:t>
      </w:r>
      <w:r>
        <w:rPr>
          <w:lang w:val="en-US" w:eastAsia="en-US"/>
        </w:rPr>
        <w:t xml:space="preserve">This is calculated to </w:t>
      </w:r>
      <w:r w:rsidR="00C91093">
        <w:rPr>
          <w:lang w:val="en-US" w:eastAsia="en-US"/>
        </w:rPr>
        <w:t>be 14,235 MWh annually using GPL’s average generation cost of US$120 per MWh</w:t>
      </w:r>
      <w:r w:rsidR="00526058">
        <w:rPr>
          <w:lang w:val="en-US" w:eastAsia="en-US"/>
        </w:rPr>
        <w:t>.</w:t>
      </w:r>
      <w:r w:rsidR="00C91093">
        <w:rPr>
          <w:lang w:val="en-US" w:eastAsia="en-US"/>
        </w:rPr>
        <w:t xml:space="preserve">  </w:t>
      </w:r>
      <w:r>
        <w:rPr>
          <w:lang w:val="en-US" w:eastAsia="en-US"/>
        </w:rPr>
        <w:t xml:space="preserve"> </w:t>
      </w:r>
      <w:r w:rsidR="00C91093">
        <w:rPr>
          <w:lang w:val="en-US" w:eastAsia="en-US"/>
        </w:rPr>
        <w:t xml:space="preserve">The analysis is based on (1) the existing system demand and (2) the projected increase in demand of 4% per year.  The results of the financial analysis are shown in Table </w:t>
      </w:r>
      <w:r w:rsidR="00526058">
        <w:rPr>
          <w:lang w:val="en-US" w:eastAsia="en-US"/>
        </w:rPr>
        <w:t>4</w:t>
      </w:r>
      <w:r w:rsidR="00C91093">
        <w:rPr>
          <w:lang w:val="en-US" w:eastAsia="en-US"/>
        </w:rPr>
        <w:t>.</w:t>
      </w:r>
    </w:p>
    <w:p w14:paraId="124E94AF" w14:textId="0BD9ECF6" w:rsidR="00282B19" w:rsidRDefault="00282B19" w:rsidP="00282B19">
      <w:pPr>
        <w:spacing w:before="100" w:beforeAutospacing="1" w:after="120" w:line="276" w:lineRule="auto"/>
        <w:ind w:left="1080"/>
        <w:rPr>
          <w:lang w:val="en-US" w:eastAsia="en-US"/>
        </w:rPr>
      </w:pPr>
    </w:p>
    <w:p w14:paraId="010760A9" w14:textId="19169493" w:rsidR="0028096A" w:rsidRDefault="0028096A" w:rsidP="0028096A">
      <w:pPr>
        <w:spacing w:before="100" w:beforeAutospacing="1" w:after="120" w:line="276" w:lineRule="auto"/>
        <w:contextualSpacing/>
        <w:rPr>
          <w:lang w:val="en-US" w:eastAsia="en-US"/>
        </w:rPr>
      </w:pPr>
    </w:p>
    <w:p w14:paraId="010E444F" w14:textId="42645310" w:rsidR="00A4036A" w:rsidRDefault="00CF2303" w:rsidP="00A4036A">
      <w:pPr>
        <w:spacing w:before="100" w:beforeAutospacing="1" w:after="120" w:line="276" w:lineRule="auto"/>
        <w:ind w:left="1080"/>
        <w:contextualSpacing/>
        <w:rPr>
          <w:lang w:val="en-US" w:eastAsia="en-US"/>
        </w:rPr>
      </w:pPr>
      <w:r>
        <w:rPr>
          <w:lang w:val="en-US" w:eastAsia="en-US"/>
        </w:rPr>
        <w:lastRenderedPageBreak/>
        <w:t>.</w:t>
      </w:r>
      <w:r w:rsidR="00E43091" w:rsidRPr="00E43091">
        <w:rPr>
          <w:lang w:val="en-US" w:eastAsia="en-US"/>
        </w:rPr>
        <w:t xml:space="preserve"> </w:t>
      </w:r>
      <w:r w:rsidR="00E43091" w:rsidRPr="00E43091">
        <w:rPr>
          <w:noProof/>
        </w:rPr>
        <w:drawing>
          <wp:inline distT="0" distB="0" distL="0" distR="0" wp14:anchorId="58066A2A" wp14:editId="2F2BD707">
            <wp:extent cx="4248150"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3076575"/>
                    </a:xfrm>
                    <a:prstGeom prst="rect">
                      <a:avLst/>
                    </a:prstGeom>
                    <a:noFill/>
                    <a:ln>
                      <a:noFill/>
                    </a:ln>
                  </pic:spPr>
                </pic:pic>
              </a:graphicData>
            </a:graphic>
          </wp:inline>
        </w:drawing>
      </w:r>
    </w:p>
    <w:p w14:paraId="1DD36169" w14:textId="513B3E9A" w:rsidR="00C91093" w:rsidRDefault="00C91093" w:rsidP="00A4036A">
      <w:pPr>
        <w:spacing w:before="100" w:beforeAutospacing="1" w:after="120" w:line="276" w:lineRule="auto"/>
        <w:ind w:left="1080"/>
        <w:contextualSpacing/>
        <w:rPr>
          <w:lang w:val="en-US" w:eastAsia="en-US"/>
        </w:rPr>
      </w:pPr>
      <w:r>
        <w:rPr>
          <w:lang w:val="en-US" w:eastAsia="en-US"/>
        </w:rPr>
        <w:tab/>
        <w:t>Table 4:  Financial Analysis of the Reactive Compensation Project</w:t>
      </w:r>
    </w:p>
    <w:p w14:paraId="68DD67B8" w14:textId="10E0EC84" w:rsidR="00C91093" w:rsidRDefault="00C91093" w:rsidP="00A4036A">
      <w:pPr>
        <w:spacing w:before="100" w:beforeAutospacing="1" w:after="120" w:line="276" w:lineRule="auto"/>
        <w:ind w:left="1080"/>
        <w:contextualSpacing/>
        <w:rPr>
          <w:lang w:val="en-US" w:eastAsia="en-US"/>
        </w:rPr>
      </w:pPr>
    </w:p>
    <w:p w14:paraId="2CA215E2" w14:textId="27CB78B7" w:rsidR="00C91093" w:rsidRPr="006E02B2" w:rsidRDefault="00C91093" w:rsidP="00C91093">
      <w:pPr>
        <w:pStyle w:val="Default"/>
        <w:spacing w:before="10" w:after="10" w:line="276" w:lineRule="auto"/>
        <w:ind w:left="1080" w:right="720"/>
        <w:jc w:val="both"/>
        <w:rPr>
          <w:rFonts w:eastAsia="Times New Roman"/>
          <w:color w:val="auto"/>
          <w:lang w:bidi="en-US"/>
        </w:rPr>
      </w:pPr>
      <w:r>
        <w:rPr>
          <w:rFonts w:eastAsia="Times New Roman"/>
          <w:color w:val="auto"/>
          <w:lang w:bidi="en-US"/>
        </w:rPr>
        <w:t>The summary of the financial a</w:t>
      </w:r>
      <w:r w:rsidRPr="006E02B2">
        <w:rPr>
          <w:rFonts w:eastAsia="Times New Roman"/>
          <w:color w:val="auto"/>
          <w:lang w:bidi="en-US"/>
        </w:rPr>
        <w:t xml:space="preserve">nalysis </w:t>
      </w:r>
      <w:r>
        <w:rPr>
          <w:rFonts w:eastAsia="Times New Roman"/>
          <w:color w:val="auto"/>
          <w:lang w:bidi="en-US"/>
        </w:rPr>
        <w:t>is that</w:t>
      </w:r>
      <w:r w:rsidRPr="006E02B2">
        <w:rPr>
          <w:rFonts w:eastAsia="Times New Roman"/>
          <w:color w:val="auto"/>
          <w:lang w:bidi="en-US"/>
        </w:rPr>
        <w:t xml:space="preserve"> it would be </w:t>
      </w:r>
      <w:r w:rsidR="00E67595">
        <w:rPr>
          <w:rFonts w:eastAsia="Times New Roman"/>
          <w:color w:val="auto"/>
          <w:lang w:bidi="en-US"/>
        </w:rPr>
        <w:t xml:space="preserve">financially </w:t>
      </w:r>
      <w:r w:rsidRPr="006E02B2">
        <w:rPr>
          <w:rFonts w:eastAsia="Times New Roman"/>
          <w:color w:val="auto"/>
          <w:lang w:bidi="en-US"/>
        </w:rPr>
        <w:t>feasible to undertake</w:t>
      </w:r>
      <w:r>
        <w:rPr>
          <w:rFonts w:eastAsia="Times New Roman"/>
          <w:color w:val="auto"/>
          <w:lang w:bidi="en-US"/>
        </w:rPr>
        <w:t xml:space="preserve"> the project</w:t>
      </w:r>
      <w:r w:rsidRPr="006E02B2">
        <w:rPr>
          <w:rFonts w:eastAsia="Times New Roman"/>
          <w:color w:val="auto"/>
          <w:lang w:bidi="en-US"/>
        </w:rPr>
        <w:t>. With an initial investment of US$</w:t>
      </w:r>
      <w:r>
        <w:rPr>
          <w:rFonts w:eastAsia="Times New Roman"/>
          <w:color w:val="auto"/>
          <w:lang w:bidi="en-US"/>
        </w:rPr>
        <w:t>7</w:t>
      </w:r>
      <w:r w:rsidRPr="006E02B2">
        <w:rPr>
          <w:rFonts w:eastAsia="Times New Roman"/>
          <w:color w:val="auto"/>
          <w:lang w:bidi="en-US"/>
        </w:rPr>
        <w:t>.</w:t>
      </w:r>
      <w:r>
        <w:rPr>
          <w:rFonts w:eastAsia="Times New Roman"/>
          <w:color w:val="auto"/>
          <w:lang w:bidi="en-US"/>
        </w:rPr>
        <w:t>13</w:t>
      </w:r>
      <w:r w:rsidRPr="006E02B2">
        <w:rPr>
          <w:rFonts w:eastAsia="Times New Roman"/>
          <w:color w:val="auto"/>
          <w:lang w:bidi="en-US"/>
        </w:rPr>
        <w:t>M the project was analyzed at discount rate of 12% which shows a positive Net Present Value (NPV) of US$</w:t>
      </w:r>
      <w:r>
        <w:rPr>
          <w:rFonts w:eastAsia="Times New Roman"/>
          <w:color w:val="auto"/>
          <w:lang w:bidi="en-US"/>
        </w:rPr>
        <w:t>6</w:t>
      </w:r>
      <w:r w:rsidRPr="006E02B2">
        <w:rPr>
          <w:rFonts w:eastAsia="Times New Roman"/>
          <w:color w:val="auto"/>
          <w:lang w:bidi="en-US"/>
        </w:rPr>
        <w:t>.</w:t>
      </w:r>
      <w:r>
        <w:rPr>
          <w:rFonts w:eastAsia="Times New Roman"/>
          <w:color w:val="auto"/>
          <w:lang w:bidi="en-US"/>
        </w:rPr>
        <w:t>6</w:t>
      </w:r>
      <w:r w:rsidRPr="006E02B2">
        <w:rPr>
          <w:rFonts w:eastAsia="Times New Roman"/>
          <w:color w:val="auto"/>
          <w:lang w:bidi="en-US"/>
        </w:rPr>
        <w:t xml:space="preserve">M with payback period of </w:t>
      </w:r>
      <w:r>
        <w:rPr>
          <w:rFonts w:eastAsia="Times New Roman"/>
          <w:color w:val="auto"/>
          <w:lang w:bidi="en-US"/>
        </w:rPr>
        <w:t>6</w:t>
      </w:r>
      <w:r w:rsidRPr="006E02B2">
        <w:rPr>
          <w:rFonts w:eastAsia="Times New Roman"/>
          <w:color w:val="auto"/>
          <w:lang w:bidi="en-US"/>
        </w:rPr>
        <w:t xml:space="preserve"> years, </w:t>
      </w:r>
      <w:r>
        <w:rPr>
          <w:rFonts w:eastAsia="Times New Roman"/>
          <w:color w:val="auto"/>
          <w:lang w:bidi="en-US"/>
        </w:rPr>
        <w:t>2</w:t>
      </w:r>
      <w:r w:rsidRPr="006E02B2">
        <w:rPr>
          <w:rFonts w:eastAsia="Times New Roman"/>
          <w:color w:val="auto"/>
          <w:lang w:bidi="en-US"/>
        </w:rPr>
        <w:t xml:space="preserve"> months and return on investment (ROI) of </w:t>
      </w:r>
      <w:r>
        <w:rPr>
          <w:rFonts w:eastAsia="Times New Roman"/>
          <w:color w:val="auto"/>
          <w:lang w:bidi="en-US"/>
        </w:rPr>
        <w:t>9</w:t>
      </w:r>
      <w:r>
        <w:rPr>
          <w:rFonts w:eastAsia="Times New Roman"/>
          <w:color w:val="auto"/>
          <w:lang w:bidi="en-US"/>
        </w:rPr>
        <w:t>3</w:t>
      </w:r>
      <w:r w:rsidRPr="006E02B2">
        <w:rPr>
          <w:rFonts w:eastAsia="Times New Roman"/>
          <w:color w:val="auto"/>
          <w:lang w:bidi="en-US"/>
        </w:rPr>
        <w:t>%. A growth in peak demand of 4% annually will result in a positive Net Present Value (NPV) of US$</w:t>
      </w:r>
      <w:r>
        <w:rPr>
          <w:rFonts w:eastAsia="Times New Roman"/>
          <w:color w:val="auto"/>
          <w:lang w:bidi="en-US"/>
        </w:rPr>
        <w:t>11</w:t>
      </w:r>
      <w:r>
        <w:rPr>
          <w:rFonts w:eastAsia="Times New Roman"/>
          <w:color w:val="auto"/>
          <w:lang w:bidi="en-US"/>
        </w:rPr>
        <w:t>.</w:t>
      </w:r>
      <w:r>
        <w:rPr>
          <w:rFonts w:eastAsia="Times New Roman"/>
          <w:color w:val="auto"/>
          <w:lang w:bidi="en-US"/>
        </w:rPr>
        <w:t>9</w:t>
      </w:r>
      <w:r w:rsidRPr="006E02B2">
        <w:rPr>
          <w:rFonts w:eastAsia="Times New Roman"/>
          <w:color w:val="auto"/>
          <w:lang w:bidi="en-US"/>
        </w:rPr>
        <w:t xml:space="preserve">M with payback period of </w:t>
      </w:r>
      <w:r>
        <w:rPr>
          <w:rFonts w:eastAsia="Times New Roman"/>
          <w:color w:val="auto"/>
          <w:lang w:bidi="en-US"/>
        </w:rPr>
        <w:t>5</w:t>
      </w:r>
      <w:r w:rsidRPr="006E02B2">
        <w:rPr>
          <w:rFonts w:eastAsia="Times New Roman"/>
          <w:color w:val="auto"/>
          <w:lang w:bidi="en-US"/>
        </w:rPr>
        <w:t xml:space="preserve"> years, </w:t>
      </w:r>
      <w:r>
        <w:rPr>
          <w:rFonts w:eastAsia="Times New Roman"/>
          <w:color w:val="auto"/>
          <w:lang w:bidi="en-US"/>
        </w:rPr>
        <w:t>6</w:t>
      </w:r>
      <w:r w:rsidRPr="006E02B2">
        <w:rPr>
          <w:rFonts w:eastAsia="Times New Roman"/>
          <w:color w:val="auto"/>
          <w:lang w:bidi="en-US"/>
        </w:rPr>
        <w:t xml:space="preserve"> months and return on investment (ROI) of </w:t>
      </w:r>
      <w:r>
        <w:rPr>
          <w:rFonts w:eastAsia="Times New Roman"/>
          <w:color w:val="auto"/>
          <w:lang w:bidi="en-US"/>
        </w:rPr>
        <w:t>1</w:t>
      </w:r>
      <w:r>
        <w:rPr>
          <w:rFonts w:eastAsia="Times New Roman"/>
          <w:color w:val="auto"/>
          <w:lang w:bidi="en-US"/>
        </w:rPr>
        <w:t>6</w:t>
      </w:r>
      <w:r>
        <w:rPr>
          <w:rFonts w:eastAsia="Times New Roman"/>
          <w:color w:val="auto"/>
          <w:lang w:bidi="en-US"/>
        </w:rPr>
        <w:t>7</w:t>
      </w:r>
      <w:r w:rsidRPr="006E02B2">
        <w:rPr>
          <w:rFonts w:eastAsia="Times New Roman"/>
          <w:color w:val="auto"/>
          <w:lang w:bidi="en-US"/>
        </w:rPr>
        <w:t xml:space="preserve">% which is also </w:t>
      </w:r>
      <w:r w:rsidR="00E67595">
        <w:rPr>
          <w:rFonts w:eastAsia="Times New Roman"/>
          <w:color w:val="auto"/>
          <w:lang w:bidi="en-US"/>
        </w:rPr>
        <w:t>financially</w:t>
      </w:r>
      <w:r w:rsidRPr="006E02B2">
        <w:rPr>
          <w:rFonts w:eastAsia="Times New Roman"/>
          <w:color w:val="auto"/>
          <w:lang w:bidi="en-US"/>
        </w:rPr>
        <w:t xml:space="preserve"> feasible.</w:t>
      </w:r>
    </w:p>
    <w:p w14:paraId="6719CCED" w14:textId="167855EB" w:rsidR="00CB5C31" w:rsidRPr="0028096A" w:rsidRDefault="00CB5C31" w:rsidP="00E94482">
      <w:pPr>
        <w:pStyle w:val="ListParagraph"/>
        <w:numPr>
          <w:ilvl w:val="0"/>
          <w:numId w:val="28"/>
        </w:numPr>
        <w:spacing w:before="100" w:beforeAutospacing="1" w:after="120" w:line="276" w:lineRule="auto"/>
        <w:rPr>
          <w:b/>
          <w:lang w:val="en-US" w:eastAsia="en-US"/>
        </w:rPr>
      </w:pPr>
      <w:r w:rsidRPr="0028096A">
        <w:rPr>
          <w:b/>
          <w:lang w:val="en-US" w:eastAsia="en-US"/>
        </w:rPr>
        <w:t>Conclusion</w:t>
      </w:r>
    </w:p>
    <w:p w14:paraId="08424311" w14:textId="397969F5" w:rsidR="00A9204E" w:rsidRDefault="00E94482" w:rsidP="0028096A">
      <w:pPr>
        <w:ind w:left="1080"/>
      </w:pPr>
      <w:r>
        <w:t xml:space="preserve">The project to </w:t>
      </w:r>
      <w:r w:rsidR="006A17EF">
        <w:t>install</w:t>
      </w:r>
      <w:r w:rsidR="007F276B">
        <w:t xml:space="preserve"> a</w:t>
      </w:r>
      <w:r w:rsidR="006A17EF">
        <w:t xml:space="preserve"> </w:t>
      </w:r>
      <w:r w:rsidR="006A17EF" w:rsidRPr="00AB55E6">
        <w:rPr>
          <w:sz w:val="22"/>
          <w:szCs w:val="22"/>
        </w:rPr>
        <w:t xml:space="preserve">±10MVAr </w:t>
      </w:r>
      <w:r w:rsidR="00E43091">
        <w:rPr>
          <w:sz w:val="22"/>
          <w:szCs w:val="22"/>
        </w:rPr>
        <w:t>S</w:t>
      </w:r>
      <w:r w:rsidR="007F276B">
        <w:rPr>
          <w:sz w:val="22"/>
          <w:szCs w:val="22"/>
        </w:rPr>
        <w:t xml:space="preserve">TATCOM </w:t>
      </w:r>
      <w:r w:rsidR="006A17EF">
        <w:t xml:space="preserve">at the New Sophia substation </w:t>
      </w:r>
      <w:r w:rsidR="007F276B">
        <w:t xml:space="preserve">to provide more reactive compensation on the Demerara/Berbice interconnected system </w:t>
      </w:r>
      <w:r>
        <w:t xml:space="preserve">will significantly </w:t>
      </w:r>
      <w:r w:rsidR="001827C7">
        <w:t>(</w:t>
      </w:r>
      <w:proofErr w:type="spellStart"/>
      <w:r w:rsidR="001827C7">
        <w:t>i</w:t>
      </w:r>
      <w:proofErr w:type="spellEnd"/>
      <w:r w:rsidR="001827C7">
        <w:t xml:space="preserve">) </w:t>
      </w:r>
      <w:r>
        <w:t xml:space="preserve">improve the </w:t>
      </w:r>
      <w:r w:rsidR="006A17EF">
        <w:t xml:space="preserve">quality of the electrical power supplied </w:t>
      </w:r>
      <w:r w:rsidR="001827C7">
        <w:t xml:space="preserve">and (ii) reduce the technical losses of </w:t>
      </w:r>
      <w:r w:rsidR="001F78B1">
        <w:t>DBIS</w:t>
      </w:r>
      <w:r>
        <w:t>.</w:t>
      </w:r>
    </w:p>
    <w:p w14:paraId="1DE6AA2E" w14:textId="351B69EC" w:rsidR="003E186C" w:rsidRDefault="003E186C" w:rsidP="0028096A">
      <w:pPr>
        <w:ind w:left="1080"/>
      </w:pPr>
    </w:p>
    <w:p w14:paraId="1162891B" w14:textId="15B09C7F" w:rsidR="00E94482" w:rsidRDefault="003E186C" w:rsidP="0028096A">
      <w:pPr>
        <w:ind w:left="1080"/>
      </w:pPr>
      <w:r>
        <w:t>Poor power quality remains one of the key considerations for self generators to remain off the DBIS</w:t>
      </w:r>
      <w:r w:rsidR="00E231C6">
        <w:t xml:space="preserve"> and improvements in </w:t>
      </w:r>
      <w:r w:rsidR="007F276B">
        <w:t xml:space="preserve">this area </w:t>
      </w:r>
      <w:r w:rsidR="00E231C6">
        <w:t>will serve to enhance one of the key operational objectives of the GPL.</w:t>
      </w:r>
    </w:p>
    <w:p w14:paraId="16B0BCAF" w14:textId="15434F02" w:rsidR="00E94482" w:rsidRDefault="00E94482" w:rsidP="00E94482">
      <w:pPr>
        <w:ind w:left="1080"/>
      </w:pPr>
    </w:p>
    <w:p w14:paraId="57A2A230" w14:textId="77777777" w:rsidR="00526058" w:rsidRDefault="00526058" w:rsidP="00526058">
      <w:pPr>
        <w:ind w:left="1080"/>
      </w:pPr>
      <w:r>
        <w:t>Finally, the financial analysis of the project show that this is a financially feasible project to undertake with a reasonable NPV and payback period.</w:t>
      </w:r>
    </w:p>
    <w:p w14:paraId="66AAE6B0" w14:textId="10632740" w:rsidR="00A4346F" w:rsidRDefault="00A4346F"/>
    <w:p w14:paraId="46E56AA3" w14:textId="6A38C561" w:rsidR="00D55F43" w:rsidRDefault="00D55F43"/>
    <w:p w14:paraId="1EF91619" w14:textId="54D17A39" w:rsidR="00D55F43" w:rsidRDefault="00D55F43"/>
    <w:p w14:paraId="034ABEF1" w14:textId="658BDC0B" w:rsidR="00D55F43" w:rsidRDefault="00D55F43"/>
    <w:p w14:paraId="4185908D" w14:textId="3C075A0C" w:rsidR="00D55F43" w:rsidRDefault="00D55F43"/>
    <w:p w14:paraId="6A0AC6D6" w14:textId="2D1DAE0D" w:rsidR="00440444" w:rsidRPr="00B34DE6" w:rsidRDefault="00440444">
      <w:pPr>
        <w:rPr>
          <w:b/>
        </w:rPr>
      </w:pPr>
      <w:r w:rsidRPr="00B34DE6">
        <w:rPr>
          <w:b/>
        </w:rPr>
        <w:t>Appendix I</w:t>
      </w:r>
    </w:p>
    <w:p w14:paraId="6BA8BBE0" w14:textId="433C6707" w:rsidR="006A17EF" w:rsidRDefault="006A17EF"/>
    <w:p w14:paraId="4B5452D8" w14:textId="689F3474" w:rsidR="006A17EF" w:rsidRDefault="006A17EF" w:rsidP="006A17EF">
      <w:r>
        <w:t>Schematic of the Demerara/Berbice 69 kV transmission network</w:t>
      </w:r>
      <w:r w:rsidR="00E67595">
        <w:t xml:space="preserve"> showing project area</w:t>
      </w:r>
      <w:r>
        <w:t>.</w:t>
      </w:r>
    </w:p>
    <w:p w14:paraId="7CFB1171" w14:textId="77777777" w:rsidR="006A17EF" w:rsidRDefault="006A17EF" w:rsidP="006A17EF"/>
    <w:p w14:paraId="458AA858" w14:textId="263C6EE7" w:rsidR="00440444" w:rsidRDefault="00E67595">
      <w:r>
        <w:rPr>
          <w:noProof/>
        </w:rPr>
        <w:drawing>
          <wp:inline distT="0" distB="0" distL="0" distR="0" wp14:anchorId="77776AC2" wp14:editId="52A9251A">
            <wp:extent cx="5943600" cy="3576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576955"/>
                    </a:xfrm>
                    <a:prstGeom prst="rect">
                      <a:avLst/>
                    </a:prstGeom>
                  </pic:spPr>
                </pic:pic>
              </a:graphicData>
            </a:graphic>
          </wp:inline>
        </w:drawing>
      </w:r>
    </w:p>
    <w:p w14:paraId="6773B027" w14:textId="5C39AB4C" w:rsidR="00D032AA" w:rsidRDefault="00D032AA"/>
    <w:p w14:paraId="2B6D685D" w14:textId="1F4984E4" w:rsidR="00D032AA" w:rsidRDefault="00D032AA"/>
    <w:p w14:paraId="627BCEC8" w14:textId="07E99223" w:rsidR="00D032AA" w:rsidRDefault="00D032AA">
      <w:pPr>
        <w:rPr>
          <w:noProof/>
        </w:rPr>
      </w:pPr>
    </w:p>
    <w:p w14:paraId="2697F466" w14:textId="258DDB79" w:rsidR="00C955C5" w:rsidRDefault="00C955C5"/>
    <w:p w14:paraId="4E296B53" w14:textId="26073C1A" w:rsidR="00C955C5" w:rsidRDefault="00C955C5"/>
    <w:p w14:paraId="7E9968F7" w14:textId="5E5CBC6C" w:rsidR="00C955C5" w:rsidRDefault="00C955C5"/>
    <w:p w14:paraId="26B55C45" w14:textId="16A17F29" w:rsidR="00C955C5" w:rsidRDefault="00C955C5"/>
    <w:p w14:paraId="4C98154C" w14:textId="0175D071" w:rsidR="00C955C5" w:rsidRDefault="00C955C5"/>
    <w:p w14:paraId="1FCA2BA3" w14:textId="29F8C29E" w:rsidR="00C955C5" w:rsidRDefault="00C955C5"/>
    <w:p w14:paraId="474EE16E" w14:textId="382B19BB" w:rsidR="00C955C5" w:rsidRDefault="00C955C5"/>
    <w:p w14:paraId="6886F824" w14:textId="1CEA7BC9" w:rsidR="00C955C5" w:rsidRDefault="00C955C5"/>
    <w:p w14:paraId="6A9B876A" w14:textId="6BA6CC97" w:rsidR="00C955C5" w:rsidRDefault="00C955C5"/>
    <w:p w14:paraId="7903A9F3" w14:textId="1C9BBB1A" w:rsidR="00C955C5" w:rsidRDefault="00C955C5"/>
    <w:p w14:paraId="1D65969C" w14:textId="5D4FA10F" w:rsidR="00C955C5" w:rsidRDefault="00C955C5"/>
    <w:p w14:paraId="52E293BD" w14:textId="594AAAF3" w:rsidR="00C955C5" w:rsidRDefault="00C955C5"/>
    <w:p w14:paraId="208D1EB2" w14:textId="60DF5426" w:rsidR="00C955C5" w:rsidRDefault="00C955C5"/>
    <w:p w14:paraId="72AC2C90" w14:textId="52368CB1" w:rsidR="00C955C5" w:rsidRDefault="00C955C5"/>
    <w:p w14:paraId="11C05039" w14:textId="19D26018" w:rsidR="00C955C5" w:rsidRDefault="00C955C5"/>
    <w:p w14:paraId="36BD33D7" w14:textId="137A7EA6" w:rsidR="00C955C5" w:rsidRDefault="00C955C5"/>
    <w:p w14:paraId="5D595AFA" w14:textId="48041D42" w:rsidR="00C955C5" w:rsidRDefault="00C955C5"/>
    <w:p w14:paraId="60E35127" w14:textId="7D424F6F" w:rsidR="00C955C5" w:rsidRDefault="00C955C5">
      <w:r>
        <w:lastRenderedPageBreak/>
        <w:t>Appendix II – Schematic of STATCOM connection to New Sophia 69 kV busbar</w:t>
      </w:r>
    </w:p>
    <w:p w14:paraId="68C1D921" w14:textId="6FB3C0AB" w:rsidR="00C955C5" w:rsidRDefault="00C955C5"/>
    <w:p w14:paraId="5DF35FB9" w14:textId="5CAC22EF" w:rsidR="00C955C5" w:rsidRDefault="00C955C5">
      <w:r>
        <w:rPr>
          <w:noProof/>
        </w:rPr>
        <w:drawing>
          <wp:inline distT="0" distB="0" distL="0" distR="0" wp14:anchorId="52C505C9" wp14:editId="35BA2206">
            <wp:extent cx="5943600" cy="4851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851400"/>
                    </a:xfrm>
                    <a:prstGeom prst="rect">
                      <a:avLst/>
                    </a:prstGeom>
                  </pic:spPr>
                </pic:pic>
              </a:graphicData>
            </a:graphic>
          </wp:inline>
        </w:drawing>
      </w:r>
    </w:p>
    <w:p w14:paraId="19B16FFF" w14:textId="1CE6EFD3" w:rsidR="00440444" w:rsidRDefault="00440444"/>
    <w:p w14:paraId="628B41E6" w14:textId="136C0301" w:rsidR="0016750F" w:rsidRDefault="0016750F"/>
    <w:p w14:paraId="31BBE6CD" w14:textId="3D9F3A71" w:rsidR="0016750F" w:rsidRDefault="0016750F" w:rsidP="001447E0">
      <w:pPr>
        <w:jc w:val="center"/>
      </w:pPr>
    </w:p>
    <w:p w14:paraId="091B797E" w14:textId="7E109436" w:rsidR="001447E0" w:rsidRDefault="001447E0" w:rsidP="001447E0">
      <w:pPr>
        <w:jc w:val="center"/>
      </w:pPr>
    </w:p>
    <w:p w14:paraId="5D12D9B8" w14:textId="37375CA8" w:rsidR="001447E0" w:rsidRDefault="001447E0" w:rsidP="001447E0">
      <w:pPr>
        <w:jc w:val="center"/>
      </w:pPr>
    </w:p>
    <w:p w14:paraId="33002353" w14:textId="0F1E3DD2" w:rsidR="0034464C" w:rsidRDefault="0034464C" w:rsidP="001447E0">
      <w:pPr>
        <w:jc w:val="center"/>
      </w:pPr>
    </w:p>
    <w:sectPr w:rsidR="0034464C" w:rsidSect="009E6C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968F" w14:textId="77777777" w:rsidR="00EC7A2E" w:rsidRDefault="00EC7A2E" w:rsidP="00D55F43">
      <w:r>
        <w:separator/>
      </w:r>
    </w:p>
  </w:endnote>
  <w:endnote w:type="continuationSeparator" w:id="0">
    <w:p w14:paraId="72CBE84F" w14:textId="77777777" w:rsidR="00EC7A2E" w:rsidRDefault="00EC7A2E" w:rsidP="00D5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30F0" w14:textId="77777777" w:rsidR="00E231C6" w:rsidRDefault="00E23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062755"/>
      <w:docPartObj>
        <w:docPartGallery w:val="Page Numbers (Bottom of Page)"/>
        <w:docPartUnique/>
      </w:docPartObj>
    </w:sdtPr>
    <w:sdtEndPr>
      <w:rPr>
        <w:color w:val="7F7F7F" w:themeColor="background1" w:themeShade="7F"/>
        <w:spacing w:val="60"/>
      </w:rPr>
    </w:sdtEndPr>
    <w:sdtContent>
      <w:p w14:paraId="7969C409" w14:textId="33B22A81" w:rsidR="00D55F43" w:rsidRDefault="00D55F4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EF3DFB" w14:textId="77777777" w:rsidR="00D55F43" w:rsidRDefault="00D55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6EF7" w14:textId="77777777" w:rsidR="00E231C6" w:rsidRDefault="00E2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0CA2" w14:textId="77777777" w:rsidR="00EC7A2E" w:rsidRDefault="00EC7A2E" w:rsidP="00D55F43">
      <w:r>
        <w:separator/>
      </w:r>
    </w:p>
  </w:footnote>
  <w:footnote w:type="continuationSeparator" w:id="0">
    <w:p w14:paraId="07687362" w14:textId="77777777" w:rsidR="00EC7A2E" w:rsidRDefault="00EC7A2E" w:rsidP="00D5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F7D9" w14:textId="77777777" w:rsidR="00E231C6" w:rsidRDefault="00E23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1D03" w14:textId="77777777" w:rsidR="00E231C6" w:rsidRDefault="00E23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55DC" w14:textId="77777777" w:rsidR="00E231C6" w:rsidRDefault="00E23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A49B0"/>
    <w:multiLevelType w:val="hybridMultilevel"/>
    <w:tmpl w:val="573859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32367B"/>
    <w:multiLevelType w:val="hybridMultilevel"/>
    <w:tmpl w:val="D026C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45874"/>
    <w:multiLevelType w:val="hybridMultilevel"/>
    <w:tmpl w:val="D28E1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442FD1"/>
    <w:multiLevelType w:val="multilevel"/>
    <w:tmpl w:val="310051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015C9D"/>
    <w:multiLevelType w:val="hybridMultilevel"/>
    <w:tmpl w:val="6D7A6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25340B"/>
    <w:multiLevelType w:val="multilevel"/>
    <w:tmpl w:val="310051D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135C84"/>
    <w:multiLevelType w:val="hybridMultilevel"/>
    <w:tmpl w:val="7F06894E"/>
    <w:lvl w:ilvl="0" w:tplc="C57802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843D06"/>
    <w:multiLevelType w:val="hybridMultilevel"/>
    <w:tmpl w:val="84C26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28A023D"/>
    <w:multiLevelType w:val="hybridMultilevel"/>
    <w:tmpl w:val="1A2A1E04"/>
    <w:lvl w:ilvl="0" w:tplc="32C62AD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7693E"/>
    <w:multiLevelType w:val="hybridMultilevel"/>
    <w:tmpl w:val="99668D80"/>
    <w:lvl w:ilvl="0" w:tplc="FEFC916E">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FD173F"/>
    <w:multiLevelType w:val="hybridMultilevel"/>
    <w:tmpl w:val="FA040524"/>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3" w15:restartNumberingAfterBreak="0">
    <w:nsid w:val="7894151A"/>
    <w:multiLevelType w:val="hybridMultilevel"/>
    <w:tmpl w:val="9A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1"/>
  </w:num>
  <w:num w:numId="4">
    <w:abstractNumId w:val="31"/>
  </w:num>
  <w:num w:numId="5">
    <w:abstractNumId w:val="18"/>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28"/>
  </w:num>
  <w:num w:numId="21">
    <w:abstractNumId w:val="25"/>
  </w:num>
  <w:num w:numId="22">
    <w:abstractNumId w:val="12"/>
  </w:num>
  <w:num w:numId="23">
    <w:abstractNumId w:val="34"/>
  </w:num>
  <w:num w:numId="24">
    <w:abstractNumId w:val="16"/>
  </w:num>
  <w:num w:numId="25">
    <w:abstractNumId w:val="21"/>
  </w:num>
  <w:num w:numId="26">
    <w:abstractNumId w:val="32"/>
  </w:num>
  <w:num w:numId="27">
    <w:abstractNumId w:val="10"/>
  </w:num>
  <w:num w:numId="28">
    <w:abstractNumId w:val="30"/>
  </w:num>
  <w:num w:numId="29">
    <w:abstractNumId w:val="15"/>
  </w:num>
  <w:num w:numId="30">
    <w:abstractNumId w:val="14"/>
  </w:num>
  <w:num w:numId="31">
    <w:abstractNumId w:val="22"/>
  </w:num>
  <w:num w:numId="32">
    <w:abstractNumId w:val="17"/>
  </w:num>
  <w:num w:numId="33">
    <w:abstractNumId w:val="29"/>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31"/>
    <w:rsid w:val="00030EBE"/>
    <w:rsid w:val="0004343E"/>
    <w:rsid w:val="0005144C"/>
    <w:rsid w:val="000B2A40"/>
    <w:rsid w:val="000E141E"/>
    <w:rsid w:val="000F1CBC"/>
    <w:rsid w:val="001104E6"/>
    <w:rsid w:val="00114409"/>
    <w:rsid w:val="001152CD"/>
    <w:rsid w:val="001203B6"/>
    <w:rsid w:val="001362C4"/>
    <w:rsid w:val="001447E0"/>
    <w:rsid w:val="0016750F"/>
    <w:rsid w:val="0018208E"/>
    <w:rsid w:val="001827C7"/>
    <w:rsid w:val="001A2379"/>
    <w:rsid w:val="001C09B4"/>
    <w:rsid w:val="001C5BEA"/>
    <w:rsid w:val="001D5918"/>
    <w:rsid w:val="001E05DC"/>
    <w:rsid w:val="001E741E"/>
    <w:rsid w:val="001F06C7"/>
    <w:rsid w:val="001F78B1"/>
    <w:rsid w:val="002103C8"/>
    <w:rsid w:val="00241030"/>
    <w:rsid w:val="00242198"/>
    <w:rsid w:val="002657DE"/>
    <w:rsid w:val="00271475"/>
    <w:rsid w:val="0028096A"/>
    <w:rsid w:val="00282B19"/>
    <w:rsid w:val="00322D27"/>
    <w:rsid w:val="00332AD0"/>
    <w:rsid w:val="003348B6"/>
    <w:rsid w:val="0034464C"/>
    <w:rsid w:val="00384DDA"/>
    <w:rsid w:val="003873A7"/>
    <w:rsid w:val="003920D7"/>
    <w:rsid w:val="00393B70"/>
    <w:rsid w:val="003B1783"/>
    <w:rsid w:val="003E186C"/>
    <w:rsid w:val="003F7435"/>
    <w:rsid w:val="00440444"/>
    <w:rsid w:val="004C7898"/>
    <w:rsid w:val="0050383F"/>
    <w:rsid w:val="00504FE0"/>
    <w:rsid w:val="00526058"/>
    <w:rsid w:val="00542740"/>
    <w:rsid w:val="005D2599"/>
    <w:rsid w:val="005F590C"/>
    <w:rsid w:val="0064081E"/>
    <w:rsid w:val="00645252"/>
    <w:rsid w:val="006457B8"/>
    <w:rsid w:val="006A17EF"/>
    <w:rsid w:val="006A269C"/>
    <w:rsid w:val="006D3D74"/>
    <w:rsid w:val="006E5B5F"/>
    <w:rsid w:val="006F59A2"/>
    <w:rsid w:val="00703042"/>
    <w:rsid w:val="007041B5"/>
    <w:rsid w:val="007331E1"/>
    <w:rsid w:val="00735E54"/>
    <w:rsid w:val="00744430"/>
    <w:rsid w:val="007525C6"/>
    <w:rsid w:val="00757E0C"/>
    <w:rsid w:val="007E509A"/>
    <w:rsid w:val="007F276B"/>
    <w:rsid w:val="00807D0F"/>
    <w:rsid w:val="00817922"/>
    <w:rsid w:val="0083569A"/>
    <w:rsid w:val="00837AEE"/>
    <w:rsid w:val="00862DA5"/>
    <w:rsid w:val="008675C0"/>
    <w:rsid w:val="008727B6"/>
    <w:rsid w:val="008B160B"/>
    <w:rsid w:val="008B29E1"/>
    <w:rsid w:val="008B619B"/>
    <w:rsid w:val="008F7087"/>
    <w:rsid w:val="00945DD1"/>
    <w:rsid w:val="0096319A"/>
    <w:rsid w:val="00992E2D"/>
    <w:rsid w:val="009D689C"/>
    <w:rsid w:val="009E6CD1"/>
    <w:rsid w:val="00A2582A"/>
    <w:rsid w:val="00A2666C"/>
    <w:rsid w:val="00A31373"/>
    <w:rsid w:val="00A337A4"/>
    <w:rsid w:val="00A4036A"/>
    <w:rsid w:val="00A4346F"/>
    <w:rsid w:val="00A47C87"/>
    <w:rsid w:val="00A671CB"/>
    <w:rsid w:val="00A9204E"/>
    <w:rsid w:val="00A96577"/>
    <w:rsid w:val="00AB55E6"/>
    <w:rsid w:val="00B0522D"/>
    <w:rsid w:val="00B24F36"/>
    <w:rsid w:val="00B34DE6"/>
    <w:rsid w:val="00B66BC2"/>
    <w:rsid w:val="00B74B38"/>
    <w:rsid w:val="00B938AC"/>
    <w:rsid w:val="00BA768B"/>
    <w:rsid w:val="00BB14BD"/>
    <w:rsid w:val="00BB2325"/>
    <w:rsid w:val="00C01E8A"/>
    <w:rsid w:val="00C12C97"/>
    <w:rsid w:val="00C2325F"/>
    <w:rsid w:val="00C43187"/>
    <w:rsid w:val="00C82BC6"/>
    <w:rsid w:val="00C91093"/>
    <w:rsid w:val="00C955C5"/>
    <w:rsid w:val="00CB5C31"/>
    <w:rsid w:val="00CE72B0"/>
    <w:rsid w:val="00CF2303"/>
    <w:rsid w:val="00D032AA"/>
    <w:rsid w:val="00D11E66"/>
    <w:rsid w:val="00D12229"/>
    <w:rsid w:val="00D13114"/>
    <w:rsid w:val="00D15A35"/>
    <w:rsid w:val="00D219AB"/>
    <w:rsid w:val="00D32DDE"/>
    <w:rsid w:val="00D41B69"/>
    <w:rsid w:val="00D55F43"/>
    <w:rsid w:val="00D56252"/>
    <w:rsid w:val="00D6402D"/>
    <w:rsid w:val="00DF5C4E"/>
    <w:rsid w:val="00E231C6"/>
    <w:rsid w:val="00E36349"/>
    <w:rsid w:val="00E43091"/>
    <w:rsid w:val="00E51D42"/>
    <w:rsid w:val="00E566F8"/>
    <w:rsid w:val="00E67595"/>
    <w:rsid w:val="00E94482"/>
    <w:rsid w:val="00EA6A63"/>
    <w:rsid w:val="00EC7A2E"/>
    <w:rsid w:val="00ED0DCF"/>
    <w:rsid w:val="00ED66A6"/>
    <w:rsid w:val="00EF606F"/>
    <w:rsid w:val="00F01D6E"/>
    <w:rsid w:val="00F05AEB"/>
    <w:rsid w:val="00F20442"/>
    <w:rsid w:val="00F22EE6"/>
    <w:rsid w:val="00F777B9"/>
    <w:rsid w:val="00FD0442"/>
    <w:rsid w:val="00FE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ECA5"/>
  <w15:chartTrackingRefBased/>
  <w15:docId w15:val="{A1958E2D-4BFC-4847-8D7E-BEE16664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C31"/>
    <w:pPr>
      <w:jc w:val="both"/>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link w:val="ListParagraphChar"/>
    <w:uiPriority w:val="34"/>
    <w:qFormat/>
    <w:rsid w:val="00CB5C31"/>
    <w:pPr>
      <w:ind w:left="720"/>
      <w:contextualSpacing/>
    </w:pPr>
  </w:style>
  <w:style w:type="paragraph" w:customStyle="1" w:styleId="Default">
    <w:name w:val="Default"/>
    <w:rsid w:val="00CB5C31"/>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link w:val="ListParagraph"/>
    <w:uiPriority w:val="34"/>
    <w:rsid w:val="00CB5C31"/>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86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31C6"/>
    <w:rPr>
      <w:rFonts w:eastAsiaTheme="minorEastAsia"/>
    </w:rPr>
  </w:style>
  <w:style w:type="character" w:customStyle="1" w:styleId="NoSpacingChar">
    <w:name w:val="No Spacing Char"/>
    <w:basedOn w:val="DefaultParagraphFont"/>
    <w:link w:val="NoSpacing"/>
    <w:uiPriority w:val="1"/>
    <w:rsid w:val="00E231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5020">
      <w:bodyDiv w:val="1"/>
      <w:marLeft w:val="0"/>
      <w:marRight w:val="0"/>
      <w:marTop w:val="0"/>
      <w:marBottom w:val="0"/>
      <w:divBdr>
        <w:top w:val="none" w:sz="0" w:space="0" w:color="auto"/>
        <w:left w:val="none" w:sz="0" w:space="0" w:color="auto"/>
        <w:bottom w:val="none" w:sz="0" w:space="0" w:color="auto"/>
        <w:right w:val="none" w:sz="0" w:space="0" w:color="auto"/>
      </w:divBdr>
    </w:div>
    <w:div w:id="1283346141">
      <w:bodyDiv w:val="1"/>
      <w:marLeft w:val="0"/>
      <w:marRight w:val="0"/>
      <w:marTop w:val="0"/>
      <w:marBottom w:val="0"/>
      <w:divBdr>
        <w:top w:val="none" w:sz="0" w:space="0" w:color="auto"/>
        <w:left w:val="none" w:sz="0" w:space="0" w:color="auto"/>
        <w:bottom w:val="none" w:sz="0" w:space="0" w:color="auto"/>
        <w:right w:val="none" w:sz="0" w:space="0" w:color="auto"/>
      </w:divBdr>
    </w:div>
    <w:div w:id="1563326914">
      <w:bodyDiv w:val="1"/>
      <w:marLeft w:val="0"/>
      <w:marRight w:val="0"/>
      <w:marTop w:val="0"/>
      <w:marBottom w:val="0"/>
      <w:divBdr>
        <w:top w:val="none" w:sz="0" w:space="0" w:color="auto"/>
        <w:left w:val="none" w:sz="0" w:space="0" w:color="auto"/>
        <w:bottom w:val="none" w:sz="0" w:space="0" w:color="auto"/>
        <w:right w:val="none" w:sz="0" w:space="0" w:color="auto"/>
      </w:divBdr>
    </w:div>
    <w:div w:id="18358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28" Type="http://schemas.openxmlformats.org/officeDocument/2006/relationships/customXml" Target="../customXml/item8.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Guyana%20Power%20System%20Transmission%20Line%20Daily%20Report%202018-07-15.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SS%20IDB\Guyana%20Power%20System%20Transmission%20Line%20Daily%20Report.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69 kV Bus Voltages - Kingston and Sophia</a:t>
            </a:r>
          </a:p>
          <a:p>
            <a:pPr>
              <a:defRPr/>
            </a:pPr>
            <a:r>
              <a:rPr lang="en-US"/>
              <a:t>10 July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Sheet1!$T$116</c:f>
              <c:strCache>
                <c:ptCount val="1"/>
                <c:pt idx="0">
                  <c:v>Nominal</c:v>
                </c:pt>
              </c:strCache>
            </c:strRef>
          </c:tx>
          <c:spPr>
            <a:ln w="28575" cap="rnd">
              <a:solidFill>
                <a:schemeClr val="accent1"/>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Sheet1!$T$117:$T$140</c:f>
              <c:numCache>
                <c:formatCode>General</c:formatCode>
                <c:ptCount val="24"/>
                <c:pt idx="0">
                  <c:v>69</c:v>
                </c:pt>
                <c:pt idx="1">
                  <c:v>69</c:v>
                </c:pt>
                <c:pt idx="2">
                  <c:v>69</c:v>
                </c:pt>
                <c:pt idx="3">
                  <c:v>69</c:v>
                </c:pt>
                <c:pt idx="4">
                  <c:v>69</c:v>
                </c:pt>
                <c:pt idx="5">
                  <c:v>69</c:v>
                </c:pt>
                <c:pt idx="6">
                  <c:v>69</c:v>
                </c:pt>
                <c:pt idx="7">
                  <c:v>69</c:v>
                </c:pt>
                <c:pt idx="8">
                  <c:v>69</c:v>
                </c:pt>
                <c:pt idx="9">
                  <c:v>69</c:v>
                </c:pt>
                <c:pt idx="10">
                  <c:v>69</c:v>
                </c:pt>
                <c:pt idx="11">
                  <c:v>69</c:v>
                </c:pt>
                <c:pt idx="12">
                  <c:v>69</c:v>
                </c:pt>
                <c:pt idx="13">
                  <c:v>69</c:v>
                </c:pt>
                <c:pt idx="14">
                  <c:v>69</c:v>
                </c:pt>
                <c:pt idx="15">
                  <c:v>69</c:v>
                </c:pt>
                <c:pt idx="16">
                  <c:v>69</c:v>
                </c:pt>
                <c:pt idx="17">
                  <c:v>69</c:v>
                </c:pt>
                <c:pt idx="18">
                  <c:v>69</c:v>
                </c:pt>
                <c:pt idx="19">
                  <c:v>69</c:v>
                </c:pt>
                <c:pt idx="20">
                  <c:v>69</c:v>
                </c:pt>
                <c:pt idx="21">
                  <c:v>69</c:v>
                </c:pt>
                <c:pt idx="22">
                  <c:v>69</c:v>
                </c:pt>
                <c:pt idx="23">
                  <c:v>69</c:v>
                </c:pt>
              </c:numCache>
            </c:numRef>
          </c:val>
          <c:smooth val="0"/>
          <c:extLst>
            <c:ext xmlns:c16="http://schemas.microsoft.com/office/drawing/2014/chart" uri="{C3380CC4-5D6E-409C-BE32-E72D297353CC}">
              <c16:uniqueId val="{00000000-63B7-413E-8595-70FC4EB3464E}"/>
            </c:ext>
          </c:extLst>
        </c:ser>
        <c:ser>
          <c:idx val="1"/>
          <c:order val="1"/>
          <c:tx>
            <c:strRef>
              <c:f>Sheet1!$U$116</c:f>
              <c:strCache>
                <c:ptCount val="1"/>
                <c:pt idx="0">
                  <c:v>Kingston</c:v>
                </c:pt>
              </c:strCache>
            </c:strRef>
          </c:tx>
          <c:spPr>
            <a:ln w="28575" cap="rnd">
              <a:solidFill>
                <a:schemeClr val="accent2"/>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Sheet1!$U$117:$U$140</c:f>
              <c:numCache>
                <c:formatCode>General</c:formatCode>
                <c:ptCount val="24"/>
                <c:pt idx="0">
                  <c:v>69.028449666666674</c:v>
                </c:pt>
                <c:pt idx="1">
                  <c:v>69.034439000000006</c:v>
                </c:pt>
                <c:pt idx="2">
                  <c:v>69.070375999999996</c:v>
                </c:pt>
                <c:pt idx="3">
                  <c:v>69.143374333333341</c:v>
                </c:pt>
                <c:pt idx="4">
                  <c:v>69.053530666666674</c:v>
                </c:pt>
                <c:pt idx="5">
                  <c:v>68.647361666666669</c:v>
                </c:pt>
                <c:pt idx="6">
                  <c:v>68.697148333333331</c:v>
                </c:pt>
                <c:pt idx="7">
                  <c:v>68.283869333333328</c:v>
                </c:pt>
                <c:pt idx="8">
                  <c:v>69.274770000000004</c:v>
                </c:pt>
                <c:pt idx="9">
                  <c:v>69.221613333333337</c:v>
                </c:pt>
                <c:pt idx="10">
                  <c:v>68.998502333333334</c:v>
                </c:pt>
                <c:pt idx="11">
                  <c:v>69.143373999999994</c:v>
                </c:pt>
                <c:pt idx="12">
                  <c:v>69.181556666666665</c:v>
                </c:pt>
                <c:pt idx="13">
                  <c:v>69.340655000000012</c:v>
                </c:pt>
                <c:pt idx="14">
                  <c:v>69.197654999999997</c:v>
                </c:pt>
                <c:pt idx="15">
                  <c:v>69.269531333333333</c:v>
                </c:pt>
                <c:pt idx="16">
                  <c:v>68.973793000000001</c:v>
                </c:pt>
                <c:pt idx="17">
                  <c:v>69.306966333333335</c:v>
                </c:pt>
                <c:pt idx="18">
                  <c:v>68.652602999999999</c:v>
                </c:pt>
                <c:pt idx="19">
                  <c:v>68.370345999999998</c:v>
                </c:pt>
                <c:pt idx="20">
                  <c:v>68.572491666666664</c:v>
                </c:pt>
                <c:pt idx="21">
                  <c:v>68.78587366666666</c:v>
                </c:pt>
                <c:pt idx="22">
                  <c:v>69.400927333333343</c:v>
                </c:pt>
                <c:pt idx="23">
                  <c:v>69.393811666666679</c:v>
                </c:pt>
              </c:numCache>
            </c:numRef>
          </c:val>
          <c:smooth val="0"/>
          <c:extLst>
            <c:ext xmlns:c16="http://schemas.microsoft.com/office/drawing/2014/chart" uri="{C3380CC4-5D6E-409C-BE32-E72D297353CC}">
              <c16:uniqueId val="{00000001-63B7-413E-8595-70FC4EB3464E}"/>
            </c:ext>
          </c:extLst>
        </c:ser>
        <c:ser>
          <c:idx val="2"/>
          <c:order val="2"/>
          <c:tx>
            <c:strRef>
              <c:f>Sheet1!$V$116</c:f>
              <c:strCache>
                <c:ptCount val="1"/>
                <c:pt idx="0">
                  <c:v>Sophia</c:v>
                </c:pt>
              </c:strCache>
            </c:strRef>
          </c:tx>
          <c:spPr>
            <a:ln w="28575" cap="rnd">
              <a:solidFill>
                <a:schemeClr val="accent3"/>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Sheet1!$V$117:$V$140</c:f>
              <c:numCache>
                <c:formatCode>General</c:formatCode>
                <c:ptCount val="24"/>
                <c:pt idx="0">
                  <c:v>65.362449666666663</c:v>
                </c:pt>
                <c:pt idx="1">
                  <c:v>65.366940666666665</c:v>
                </c:pt>
                <c:pt idx="2">
                  <c:v>65.418225333333339</c:v>
                </c:pt>
                <c:pt idx="3">
                  <c:v>65.500210999999993</c:v>
                </c:pt>
                <c:pt idx="4">
                  <c:v>65.457911333333342</c:v>
                </c:pt>
                <c:pt idx="5">
                  <c:v>65.096659000000002</c:v>
                </c:pt>
                <c:pt idx="6">
                  <c:v>65.234422999999992</c:v>
                </c:pt>
                <c:pt idx="7">
                  <c:v>64.680759333333327</c:v>
                </c:pt>
                <c:pt idx="8">
                  <c:v>65.538396333333324</c:v>
                </c:pt>
                <c:pt idx="9">
                  <c:v>65.626365666666672</c:v>
                </c:pt>
                <c:pt idx="10">
                  <c:v>65.447051666666667</c:v>
                </c:pt>
                <c:pt idx="11">
                  <c:v>65.508071666666652</c:v>
                </c:pt>
                <c:pt idx="12">
                  <c:v>65.527166000000008</c:v>
                </c:pt>
                <c:pt idx="13">
                  <c:v>65.611015333333327</c:v>
                </c:pt>
                <c:pt idx="14">
                  <c:v>65.559730666666667</c:v>
                </c:pt>
                <c:pt idx="15">
                  <c:v>65.538395999999992</c:v>
                </c:pt>
                <c:pt idx="16">
                  <c:v>65.458656333333337</c:v>
                </c:pt>
                <c:pt idx="17">
                  <c:v>65.583315666666678</c:v>
                </c:pt>
                <c:pt idx="18">
                  <c:v>64.981361333333339</c:v>
                </c:pt>
                <c:pt idx="19">
                  <c:v>64.544872333333331</c:v>
                </c:pt>
                <c:pt idx="20">
                  <c:v>64.761995999999996</c:v>
                </c:pt>
                <c:pt idx="21">
                  <c:v>64.973501999999996</c:v>
                </c:pt>
                <c:pt idx="22">
                  <c:v>65.505826333333331</c:v>
                </c:pt>
                <c:pt idx="23">
                  <c:v>65.509943666666672</c:v>
                </c:pt>
              </c:numCache>
            </c:numRef>
          </c:val>
          <c:smooth val="0"/>
          <c:extLst>
            <c:ext xmlns:c16="http://schemas.microsoft.com/office/drawing/2014/chart" uri="{C3380CC4-5D6E-409C-BE32-E72D297353CC}">
              <c16:uniqueId val="{00000002-63B7-413E-8595-70FC4EB3464E}"/>
            </c:ext>
          </c:extLst>
        </c:ser>
        <c:dLbls>
          <c:showLegendKey val="0"/>
          <c:showVal val="0"/>
          <c:showCatName val="0"/>
          <c:showSerName val="0"/>
          <c:showPercent val="0"/>
          <c:showBubbleSize val="0"/>
        </c:dLbls>
        <c:smooth val="0"/>
        <c:axId val="623586128"/>
        <c:axId val="630230128"/>
      </c:lineChart>
      <c:catAx>
        <c:axId val="623586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30230128"/>
        <c:crosses val="autoZero"/>
        <c:auto val="1"/>
        <c:lblAlgn val="ctr"/>
        <c:lblOffset val="100"/>
        <c:noMultiLvlLbl val="0"/>
      </c:catAx>
      <c:valAx>
        <c:axId val="630230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kV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2358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8575"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Power Flow and Losses</a:t>
            </a:r>
          </a:p>
          <a:p>
            <a:pPr>
              <a:defRPr/>
            </a:pPr>
            <a:r>
              <a:rPr lang="en-US"/>
              <a:t>Kingston/Sophia Transmission Line L5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Sheet1!$AB$116</c:f>
              <c:strCache>
                <c:ptCount val="1"/>
                <c:pt idx="0">
                  <c:v>Kingston</c:v>
                </c:pt>
              </c:strCache>
            </c:strRef>
          </c:tx>
          <c:spPr>
            <a:ln w="28575" cap="rnd">
              <a:solidFill>
                <a:schemeClr val="accent1"/>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Sheet1!$AB$117:$AB$140</c:f>
              <c:numCache>
                <c:formatCode>0.00</c:formatCode>
                <c:ptCount val="24"/>
                <c:pt idx="0">
                  <c:v>37.227657000000001</c:v>
                </c:pt>
                <c:pt idx="1">
                  <c:v>31.486999999999998</c:v>
                </c:pt>
                <c:pt idx="2">
                  <c:v>30.822157000000001</c:v>
                </c:pt>
                <c:pt idx="3">
                  <c:v>29.57225</c:v>
                </c:pt>
                <c:pt idx="4">
                  <c:v>28.90597</c:v>
                </c:pt>
                <c:pt idx="5">
                  <c:v>29.318531</c:v>
                </c:pt>
                <c:pt idx="6">
                  <c:v>27.630907000000001</c:v>
                </c:pt>
                <c:pt idx="7">
                  <c:v>29.357344000000001</c:v>
                </c:pt>
                <c:pt idx="8">
                  <c:v>31.31953</c:v>
                </c:pt>
                <c:pt idx="9">
                  <c:v>34.208908000000001</c:v>
                </c:pt>
                <c:pt idx="10">
                  <c:v>32.864845000000003</c:v>
                </c:pt>
                <c:pt idx="11">
                  <c:v>34.049343</c:v>
                </c:pt>
                <c:pt idx="12">
                  <c:v>35.238154999999999</c:v>
                </c:pt>
                <c:pt idx="13">
                  <c:v>37.506531000000003</c:v>
                </c:pt>
                <c:pt idx="14">
                  <c:v>33.685657999999997</c:v>
                </c:pt>
                <c:pt idx="15">
                  <c:v>34.507908</c:v>
                </c:pt>
                <c:pt idx="16">
                  <c:v>37.795467000000002</c:v>
                </c:pt>
                <c:pt idx="17">
                  <c:v>32.670780000000001</c:v>
                </c:pt>
                <c:pt idx="18">
                  <c:v>30.035843</c:v>
                </c:pt>
                <c:pt idx="19">
                  <c:v>36.654812</c:v>
                </c:pt>
                <c:pt idx="20">
                  <c:v>40.579189</c:v>
                </c:pt>
                <c:pt idx="21">
                  <c:v>41.550220000000003</c:v>
                </c:pt>
                <c:pt idx="22">
                  <c:v>41.694687000000002</c:v>
                </c:pt>
                <c:pt idx="23">
                  <c:v>38.696781000000001</c:v>
                </c:pt>
              </c:numCache>
            </c:numRef>
          </c:val>
          <c:smooth val="0"/>
          <c:extLst>
            <c:ext xmlns:c16="http://schemas.microsoft.com/office/drawing/2014/chart" uri="{C3380CC4-5D6E-409C-BE32-E72D297353CC}">
              <c16:uniqueId val="{00000000-0B8F-4446-A129-7D3D20FEA83B}"/>
            </c:ext>
          </c:extLst>
        </c:ser>
        <c:ser>
          <c:idx val="1"/>
          <c:order val="1"/>
          <c:tx>
            <c:strRef>
              <c:f>Sheet1!$AC$116</c:f>
              <c:strCache>
                <c:ptCount val="1"/>
                <c:pt idx="0">
                  <c:v>Less Line Losses</c:v>
                </c:pt>
              </c:strCache>
            </c:strRef>
          </c:tx>
          <c:spPr>
            <a:ln w="28575" cap="rnd">
              <a:solidFill>
                <a:schemeClr val="accent2"/>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Sheet1!$AC$117:$AC$140</c:f>
              <c:numCache>
                <c:formatCode>0.00</c:formatCode>
                <c:ptCount val="24"/>
                <c:pt idx="0">
                  <c:v>37.029255356545747</c:v>
                </c:pt>
                <c:pt idx="1">
                  <c:v>31.338344845840421</c:v>
                </c:pt>
                <c:pt idx="2">
                  <c:v>30.682299101042993</c:v>
                </c:pt>
                <c:pt idx="3">
                  <c:v>29.442302399226353</c:v>
                </c:pt>
                <c:pt idx="4">
                  <c:v>28.781963168580862</c:v>
                </c:pt>
                <c:pt idx="5">
                  <c:v>29.191422029840382</c:v>
                </c:pt>
                <c:pt idx="6">
                  <c:v>27.518788942758924</c:v>
                </c:pt>
                <c:pt idx="7">
                  <c:v>29.231465017538287</c:v>
                </c:pt>
                <c:pt idx="8">
                  <c:v>31.169201910091552</c:v>
                </c:pt>
                <c:pt idx="9">
                  <c:v>34.034220514152956</c:v>
                </c:pt>
                <c:pt idx="10">
                  <c:v>32.704107694022788</c:v>
                </c:pt>
                <c:pt idx="11">
                  <c:v>33.882607614237727</c:v>
                </c:pt>
                <c:pt idx="12">
                  <c:v>35.050523435920439</c:v>
                </c:pt>
                <c:pt idx="13">
                  <c:v>37.298749576281281</c:v>
                </c:pt>
                <c:pt idx="14">
                  <c:v>33.509333777284517</c:v>
                </c:pt>
                <c:pt idx="15">
                  <c:v>34.322996391567969</c:v>
                </c:pt>
                <c:pt idx="16">
                  <c:v>37.571784467911108</c:v>
                </c:pt>
                <c:pt idx="17">
                  <c:v>32.513089894517975</c:v>
                </c:pt>
                <c:pt idx="18">
                  <c:v>29.901218903835435</c:v>
                </c:pt>
                <c:pt idx="19">
                  <c:v>36.45440430475081</c:v>
                </c:pt>
                <c:pt idx="20">
                  <c:v>40.340642706777018</c:v>
                </c:pt>
                <c:pt idx="21">
                  <c:v>41.300275009210246</c:v>
                </c:pt>
                <c:pt idx="22">
                  <c:v>41.448670606217391</c:v>
                </c:pt>
                <c:pt idx="23">
                  <c:v>38.485131636549887</c:v>
                </c:pt>
              </c:numCache>
            </c:numRef>
          </c:val>
          <c:smooth val="0"/>
          <c:extLst>
            <c:ext xmlns:c16="http://schemas.microsoft.com/office/drawing/2014/chart" uri="{C3380CC4-5D6E-409C-BE32-E72D297353CC}">
              <c16:uniqueId val="{00000001-0B8F-4446-A129-7D3D20FEA83B}"/>
            </c:ext>
          </c:extLst>
        </c:ser>
        <c:ser>
          <c:idx val="2"/>
          <c:order val="2"/>
          <c:tx>
            <c:strRef>
              <c:f>Sheet1!$AD$116</c:f>
              <c:strCache>
                <c:ptCount val="1"/>
                <c:pt idx="0">
                  <c:v>Sophia</c:v>
                </c:pt>
              </c:strCache>
            </c:strRef>
          </c:tx>
          <c:spPr>
            <a:ln w="28575" cap="rnd">
              <a:solidFill>
                <a:schemeClr val="accent3"/>
              </a:solidFill>
              <a:round/>
            </a:ln>
            <a:effectLst/>
          </c:spPr>
          <c:marker>
            <c:symbol val="none"/>
          </c:marker>
          <c:cat>
            <c:numRef>
              <c:f>Sheet1!$A$117:$A$140</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Sheet1!$AD$117:$AD$140</c:f>
              <c:numCache>
                <c:formatCode>General</c:formatCode>
                <c:ptCount val="24"/>
                <c:pt idx="0">
                  <c:v>35.113810999999998</c:v>
                </c:pt>
                <c:pt idx="1">
                  <c:v>29.977625</c:v>
                </c:pt>
                <c:pt idx="2">
                  <c:v>28.895906</c:v>
                </c:pt>
                <c:pt idx="3">
                  <c:v>28.089468</c:v>
                </c:pt>
                <c:pt idx="4">
                  <c:v>27.367125000000001</c:v>
                </c:pt>
                <c:pt idx="5">
                  <c:v>27.824967999999998</c:v>
                </c:pt>
                <c:pt idx="6">
                  <c:v>26.083437</c:v>
                </c:pt>
                <c:pt idx="7">
                  <c:v>27.487874999999999</c:v>
                </c:pt>
                <c:pt idx="8">
                  <c:v>29.471623999999998</c:v>
                </c:pt>
                <c:pt idx="9">
                  <c:v>32.512656999999997</c:v>
                </c:pt>
                <c:pt idx="10">
                  <c:v>30.899781999999998</c:v>
                </c:pt>
                <c:pt idx="11">
                  <c:v>32.009532999999998</c:v>
                </c:pt>
                <c:pt idx="12">
                  <c:v>33.079033000000003</c:v>
                </c:pt>
                <c:pt idx="13">
                  <c:v>35.690249999999999</c:v>
                </c:pt>
                <c:pt idx="14">
                  <c:v>31.720593999999998</c:v>
                </c:pt>
                <c:pt idx="15">
                  <c:v>32.557220000000001</c:v>
                </c:pt>
                <c:pt idx="16">
                  <c:v>35.677311000000003</c:v>
                </c:pt>
                <c:pt idx="17">
                  <c:v>31.039218999999999</c:v>
                </c:pt>
                <c:pt idx="18">
                  <c:v>28.592593999999998</c:v>
                </c:pt>
                <c:pt idx="19">
                  <c:v>34.804031000000002</c:v>
                </c:pt>
                <c:pt idx="20">
                  <c:v>38.019001000000003</c:v>
                </c:pt>
                <c:pt idx="21">
                  <c:v>39.069096000000002</c:v>
                </c:pt>
                <c:pt idx="22">
                  <c:v>39.340781999999997</c:v>
                </c:pt>
                <c:pt idx="23">
                  <c:v>36.391750000000002</c:v>
                </c:pt>
              </c:numCache>
            </c:numRef>
          </c:val>
          <c:smooth val="0"/>
          <c:extLst>
            <c:ext xmlns:c16="http://schemas.microsoft.com/office/drawing/2014/chart" uri="{C3380CC4-5D6E-409C-BE32-E72D297353CC}">
              <c16:uniqueId val="{00000002-0B8F-4446-A129-7D3D20FEA83B}"/>
            </c:ext>
          </c:extLst>
        </c:ser>
        <c:dLbls>
          <c:showLegendKey val="0"/>
          <c:showVal val="0"/>
          <c:showCatName val="0"/>
          <c:showSerName val="0"/>
          <c:showPercent val="0"/>
          <c:showBubbleSize val="0"/>
        </c:dLbls>
        <c:smooth val="0"/>
        <c:axId val="620415648"/>
        <c:axId val="628177744"/>
      </c:lineChart>
      <c:catAx>
        <c:axId val="620415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h:mm"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177744"/>
        <c:crosses val="autoZero"/>
        <c:auto val="1"/>
        <c:lblAlgn val="ctr"/>
        <c:lblOffset val="100"/>
        <c:noMultiLvlLbl val="0"/>
      </c:catAx>
      <c:valAx>
        <c:axId val="628177744"/>
        <c:scaling>
          <c:orientation val="minMax"/>
          <c:min val="25.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41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accent6">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B3A707CD04F9D899DECDE04A7467B"/>
        <w:category>
          <w:name w:val="General"/>
          <w:gallery w:val="placeholder"/>
        </w:category>
        <w:types>
          <w:type w:val="bbPlcHdr"/>
        </w:types>
        <w:behaviors>
          <w:behavior w:val="content"/>
        </w:behaviors>
        <w:guid w:val="{15E036E1-582A-4D45-8145-2A094B087660}"/>
      </w:docPartPr>
      <w:docPartBody>
        <w:p w:rsidR="00806882" w:rsidRDefault="004135FC" w:rsidP="004135FC">
          <w:pPr>
            <w:pStyle w:val="B20B3A707CD04F9D899DECDE04A7467B"/>
          </w:pPr>
          <w:r>
            <w:rPr>
              <w:rFonts w:asciiTheme="majorHAnsi" w:eastAsiaTheme="majorEastAsia" w:hAnsiTheme="majorHAnsi" w:cstheme="majorBidi"/>
              <w:caps/>
              <w:color w:val="4472C4" w:themeColor="accent1"/>
              <w:sz w:val="80"/>
              <w:szCs w:val="80"/>
            </w:rPr>
            <w:t>[Document title]</w:t>
          </w:r>
        </w:p>
      </w:docPartBody>
    </w:docPart>
    <w:docPart>
      <w:docPartPr>
        <w:name w:val="6A242595F99E40A8BFBC98B9615416BB"/>
        <w:category>
          <w:name w:val="General"/>
          <w:gallery w:val="placeholder"/>
        </w:category>
        <w:types>
          <w:type w:val="bbPlcHdr"/>
        </w:types>
        <w:behaviors>
          <w:behavior w:val="content"/>
        </w:behaviors>
        <w:guid w:val="{20C7FDAC-CEFB-403D-B745-55917E8FC3E9}"/>
      </w:docPartPr>
      <w:docPartBody>
        <w:p w:rsidR="00806882" w:rsidRDefault="004135FC" w:rsidP="004135FC">
          <w:pPr>
            <w:pStyle w:val="6A242595F99E40A8BFBC98B9615416B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FC"/>
    <w:rsid w:val="0037467D"/>
    <w:rsid w:val="00397F60"/>
    <w:rsid w:val="004135FC"/>
    <w:rsid w:val="00806882"/>
    <w:rsid w:val="00845C2F"/>
    <w:rsid w:val="00B6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B3A707CD04F9D899DECDE04A7467B">
    <w:name w:val="B20B3A707CD04F9D899DECDE04A7467B"/>
    <w:rsid w:val="004135FC"/>
  </w:style>
  <w:style w:type="paragraph" w:customStyle="1" w:styleId="6A242595F99E40A8BFBC98B9615416BB">
    <w:name w:val="6A242595F99E40A8BFBC98B9615416BB"/>
    <w:rsid w:val="00413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2018-08-03T00:00:00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dc7663a-08f0-4737-9e8c-148ce897a09c">
      <Value>2</Value>
    </TaxCatchAll>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INE/ENE</Division_x0020_or_x0020_Unit>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Sologuren Blanco,Jaime</Document_x0020_Author>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Operation_x0020_Type xmlns="cdc7663a-08f0-4737-9e8c-148ce897a09c" xsi:nil="true"/>
    <Package_x0020_Code xmlns="cdc7663a-08f0-4737-9e8c-148ce897a09c" xsi:nil="true"/>
    <Identifier xmlns="cdc7663a-08f0-4737-9e8c-148ce897a09c" xsi:nil="true"/>
    <Project_x0020_Number xmlns="cdc7663a-08f0-4737-9e8c-148ce897a09c">GY-L1066</Project_x0020_Number>
    <nddeef1749674d76abdbe4b239a70bc6 xmlns="cdc7663a-08f0-4737-9e8c-148ce897a09c">
      <Terms xmlns="http://schemas.microsoft.com/office/infopath/2007/PartnerControls"/>
    </nddeef1749674d76abdbe4b239a70bc6>
    <Record_x0020_Number xmlns="cdc7663a-08f0-4737-9e8c-148ce897a09c">R0002816565</Record_x0020_Number>
    <_dlc_DocId xmlns="cdc7663a-08f0-4737-9e8c-148ce897a09c">EZSHARE-669955382-33</_dlc_DocId>
    <_dlc_DocIdUrl xmlns="cdc7663a-08f0-4737-9e8c-148ce897a09c">
      <Url>https://idbg.sharepoint.com/teams/EZ-GY-LON/GY-L1066/_layouts/15/DocIdRedir.aspx?ID=EZSHARE-669955382-33</Url>
      <Description>EZSHARE-669955382-33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47E942035223B44B982D17CFBE3FD915" ma:contentTypeVersion="232" ma:contentTypeDescription="A content type to manage public (operations) IDB documents" ma:contentTypeScope="" ma:versionID="c8ceea5178446b0bf888b2412ad9e67d">
  <xsd:schema xmlns:xsd="http://www.w3.org/2001/XMLSchema" xmlns:xs="http://www.w3.org/2001/XMLSchema" xmlns:p="http://schemas.microsoft.com/office/2006/metadata/properties" xmlns:ns2="cdc7663a-08f0-4737-9e8c-148ce897a09c" targetNamespace="http://schemas.microsoft.com/office/2006/metadata/properties" ma:root="true" ma:fieldsID="0165c364a7b0d413b049ed1530bf41fe"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GY-L106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e61f9b1-e23d-4f49-b3d7-56b991556c4b" ContentTypeId="0x0101001A458A224826124E8B45B1D613300CFC"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69D3DA3-8F11-4761-861C-828826ACC2FA}"/>
</file>

<file path=customXml/itemProps4.xml><?xml version="1.0" encoding="utf-8"?>
<ds:datastoreItem xmlns:ds="http://schemas.openxmlformats.org/officeDocument/2006/customXml" ds:itemID="{A4ED06B6-5803-4E45-B759-D4FE63D41798}"/>
</file>

<file path=customXml/itemProps5.xml><?xml version="1.0" encoding="utf-8"?>
<ds:datastoreItem xmlns:ds="http://schemas.openxmlformats.org/officeDocument/2006/customXml" ds:itemID="{1ABA2B30-11BE-4816-8E26-1297319B3A69}"/>
</file>

<file path=customXml/itemProps6.xml><?xml version="1.0" encoding="utf-8"?>
<ds:datastoreItem xmlns:ds="http://schemas.openxmlformats.org/officeDocument/2006/customXml" ds:itemID="{02F88762-B968-4FB4-B48D-A96069534831}"/>
</file>

<file path=customXml/itemProps7.xml><?xml version="1.0" encoding="utf-8"?>
<ds:datastoreItem xmlns:ds="http://schemas.openxmlformats.org/officeDocument/2006/customXml" ds:itemID="{A7A34CD5-BE0E-4658-832A-E5A737F247D4}"/>
</file>

<file path=customXml/itemProps8.xml><?xml version="1.0" encoding="utf-8"?>
<ds:datastoreItem xmlns:ds="http://schemas.openxmlformats.org/officeDocument/2006/customXml" ds:itemID="{F8698800-A811-47EA-8AA6-0988A8581858}"/>
</file>

<file path=docProps/app.xml><?xml version="1.0" encoding="utf-8"?>
<Properties xmlns="http://schemas.openxmlformats.org/officeDocument/2006/extended-properties" xmlns:vt="http://schemas.openxmlformats.org/officeDocument/2006/docPropsVTypes">
  <Template>Single spaced (blank)</Template>
  <TotalTime>2</TotalTime>
  <Pages>13</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Reactive Power Compensation – New Sophia Substation</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Power Compensation – New Sophia Substation</dc:title>
  <dc:subject>Draft Final Report</dc:subject>
  <dc:creator>Klass</dc:creator>
  <cp:keywords/>
  <dc:description/>
  <cp:lastModifiedBy>Klass</cp:lastModifiedBy>
  <cp:revision>4</cp:revision>
  <cp:lastPrinted>2018-07-23T13:42:00Z</cp:lastPrinted>
  <dcterms:created xsi:type="dcterms:W3CDTF">2018-08-03T19:58:00Z</dcterms:created>
  <dcterms:modified xsi:type="dcterms:W3CDTF">2018-08-03T20:00:00Z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TaxKeyword">
    <vt:lpwstr/>
  </property>
  <property fmtid="{D5CDD505-2E9C-101B-9397-08002B2CF9AE}" pid="9" name="TaxKeywordTaxHTField">
    <vt:lpwstr/>
  </property>
  <property fmtid="{D5CDD505-2E9C-101B-9397-08002B2CF9AE}" pid="10" name="Series Operations IDB">
    <vt:lpwstr/>
  </property>
  <property fmtid="{D5CDD505-2E9C-101B-9397-08002B2CF9AE}" pid="11" name="Sub-Sector">
    <vt:lpwstr/>
  </property>
  <property fmtid="{D5CDD505-2E9C-101B-9397-08002B2CF9AE}" pid="12" name="Fund IDB">
    <vt:lpwstr/>
  </property>
  <property fmtid="{D5CDD505-2E9C-101B-9397-08002B2CF9AE}" pid="13" name="Country">
    <vt:lpwstr/>
  </property>
  <property fmtid="{D5CDD505-2E9C-101B-9397-08002B2CF9AE}" pid="14" name="Sector IDB">
    <vt:lpwstr/>
  </property>
  <property fmtid="{D5CDD505-2E9C-101B-9397-08002B2CF9AE}" pid="15" name="Function Operations IDB">
    <vt:lpwstr>2;#Project Preparation, Planning and Design|29ca0c72-1fc4-435f-a09c-28585cb5eac9</vt:lpwstr>
  </property>
  <property fmtid="{D5CDD505-2E9C-101B-9397-08002B2CF9AE}" pid="16" name="_dlc_DocIdItemGuid">
    <vt:lpwstr>d325226d-2c47-47a2-8228-02dbe7ea0ba9</vt:lpwstr>
  </property>
  <property fmtid="{D5CDD505-2E9C-101B-9397-08002B2CF9AE}" pid="17" name="Disclosure Activity">
    <vt:lpwstr>Loan Proposal</vt:lpwstr>
  </property>
  <property fmtid="{D5CDD505-2E9C-101B-9397-08002B2CF9AE}" pid="18" name="ContentTypeId">
    <vt:lpwstr>0x0101001A458A224826124E8B45B1D613300CFC0047E942035223B44B982D17CFBE3FD915</vt:lpwstr>
  </property>
</Properties>
</file>