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0.xml" ContentType="application/vnd.openxmlformats-officedocument.customXmlProperties+xml"/>
  <Override PartName="/word/fontTable.xml" ContentType="application/vnd.openxmlformats-officedocument.wordprocessingml.fontTable+xml"/>
  <Override PartName="/customXml/itemProps9.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8.xml" ContentType="application/vnd.openxmlformats-officedocument.customXmlProperties+xml"/>
  <Override PartName="/customXml/itemProps3.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1C6F" w14:textId="77777777" w:rsidR="00616D5D" w:rsidRPr="00CF0CBF" w:rsidRDefault="000E7B63" w:rsidP="5E37CCF7">
      <w:pPr>
        <w:keepNext/>
        <w:widowControl w:val="0"/>
        <w:suppressAutoHyphens/>
        <w:jc w:val="center"/>
        <w:rPr>
          <w:rFonts w:cs="Arial"/>
          <w:b/>
          <w:bCs/>
          <w:smallCaps/>
          <w:sz w:val="22"/>
          <w:szCs w:val="22"/>
          <w:lang w:val="es-ES"/>
        </w:rPr>
      </w:pPr>
      <w:r w:rsidRPr="00CF0CBF">
        <w:rPr>
          <w:rFonts w:cs="Arial"/>
          <w:b/>
          <w:smallCaps/>
          <w:sz w:val="22"/>
          <w:szCs w:val="22"/>
          <w:lang w:val="es-ES"/>
        </w:rPr>
        <w:tab/>
      </w:r>
      <w:r w:rsidR="00E21A34" w:rsidRPr="00CF0CBF">
        <w:rPr>
          <w:rFonts w:cs="Arial"/>
          <w:b/>
          <w:bCs/>
          <w:smallCaps/>
          <w:sz w:val="22"/>
          <w:szCs w:val="22"/>
          <w:lang w:val="es-ES"/>
        </w:rPr>
        <w:t>Matriz de</w:t>
      </w:r>
      <w:r w:rsidR="00AF3F62" w:rsidRPr="00CF0CBF">
        <w:rPr>
          <w:rFonts w:cs="Arial"/>
          <w:b/>
          <w:bCs/>
          <w:smallCaps/>
          <w:sz w:val="22"/>
          <w:szCs w:val="22"/>
          <w:lang w:val="es-ES"/>
        </w:rPr>
        <w:t xml:space="preserve"> Progresos</w:t>
      </w:r>
      <w:r w:rsidR="00912CFE" w:rsidRPr="00CF0CBF">
        <w:rPr>
          <w:rFonts w:cs="Arial"/>
          <w:b/>
          <w:bCs/>
          <w:smallCaps/>
          <w:sz w:val="22"/>
          <w:szCs w:val="22"/>
          <w:lang w:val="es-ES"/>
        </w:rPr>
        <w:t xml:space="preserve"> Alcanzados</w:t>
      </w:r>
      <w:r w:rsidR="00AF3F62" w:rsidRPr="00CF0CBF">
        <w:rPr>
          <w:rFonts w:cs="Arial"/>
          <w:b/>
          <w:bCs/>
          <w:smallCaps/>
          <w:sz w:val="22"/>
          <w:szCs w:val="22"/>
          <w:lang w:val="es-ES"/>
        </w:rPr>
        <w:t xml:space="preserve"> desde la Aprobación del </w:t>
      </w:r>
      <w:r w:rsidR="009E5158" w:rsidRPr="00CF0CBF">
        <w:rPr>
          <w:rFonts w:cs="Arial"/>
          <w:b/>
          <w:bCs/>
          <w:smallCaps/>
          <w:sz w:val="22"/>
          <w:szCs w:val="22"/>
          <w:lang w:val="es-ES"/>
        </w:rPr>
        <w:t>CO-L1237</w:t>
      </w:r>
    </w:p>
    <w:p w14:paraId="62AE1C70" w14:textId="77777777" w:rsidR="001716BA" w:rsidRPr="00CF0CBF" w:rsidRDefault="001716BA" w:rsidP="000126F5">
      <w:pPr>
        <w:keepNext/>
        <w:widowControl w:val="0"/>
        <w:suppressAutoHyphens/>
        <w:rPr>
          <w:rFonts w:cs="Arial"/>
          <w:b/>
          <w:smallCaps/>
          <w:sz w:val="22"/>
          <w:szCs w:val="22"/>
          <w:lang w:val="es-ES"/>
        </w:rPr>
      </w:pPr>
    </w:p>
    <w:p w14:paraId="62AE1C71" w14:textId="77777777" w:rsidR="001716BA" w:rsidRPr="00CF0CBF" w:rsidRDefault="00912CFE" w:rsidP="001716BA">
      <w:pPr>
        <w:pStyle w:val="FootnoteText"/>
        <w:widowControl w:val="0"/>
        <w:ind w:right="200"/>
        <w:rPr>
          <w:rFonts w:cs="Arial"/>
          <w:sz w:val="22"/>
          <w:szCs w:val="22"/>
          <w:lang w:val="es-ES"/>
        </w:rPr>
      </w:pPr>
      <w:r w:rsidRPr="00CF0CBF">
        <w:rPr>
          <w:rFonts w:cs="Arial"/>
          <w:sz w:val="22"/>
          <w:szCs w:val="22"/>
          <w:lang w:val="es-ES"/>
        </w:rPr>
        <w:t xml:space="preserve">Los Cuadros abajo retratan los progresos alcanzados en cada grupo de reformas del PBL, de acuerdo con los problemas planteados. </w:t>
      </w:r>
    </w:p>
    <w:p w14:paraId="62AE1C72" w14:textId="77777777" w:rsidR="00DC15BD" w:rsidRPr="00CF0CBF" w:rsidRDefault="00DC15BD" w:rsidP="000126F5">
      <w:pPr>
        <w:keepNext/>
        <w:widowControl w:val="0"/>
        <w:suppressAutoHyphens/>
        <w:rPr>
          <w:rFonts w:cs="Arial"/>
          <w:sz w:val="22"/>
          <w:szCs w:val="22"/>
          <w:lang w:val="es-ES"/>
        </w:rPr>
      </w:pPr>
    </w:p>
    <w:p w14:paraId="62AE1C7F" w14:textId="35BBE576" w:rsidR="00912CFE" w:rsidRPr="00CF0CBF" w:rsidRDefault="00912CFE" w:rsidP="004F3AC8">
      <w:pPr>
        <w:pStyle w:val="Paragraph"/>
        <w:numPr>
          <w:ilvl w:val="0"/>
          <w:numId w:val="0"/>
        </w:numPr>
        <w:jc w:val="center"/>
        <w:rPr>
          <w:rFonts w:cs="Arial"/>
          <w:b/>
          <w:sz w:val="22"/>
          <w:szCs w:val="22"/>
        </w:rPr>
      </w:pPr>
      <w:r w:rsidRPr="00CF0CBF">
        <w:rPr>
          <w:rFonts w:cs="Arial"/>
          <w:b/>
          <w:sz w:val="22"/>
          <w:szCs w:val="22"/>
        </w:rPr>
        <w:t xml:space="preserve">Cuadro </w:t>
      </w:r>
      <w:r w:rsidR="00E559A2">
        <w:rPr>
          <w:rFonts w:cs="Arial"/>
          <w:b/>
          <w:sz w:val="22"/>
          <w:szCs w:val="22"/>
        </w:rPr>
        <w:t>1</w:t>
      </w:r>
      <w:r w:rsidRPr="00CF0CBF">
        <w:rPr>
          <w:rFonts w:cs="Arial"/>
          <w:b/>
          <w:sz w:val="22"/>
          <w:szCs w:val="22"/>
        </w:rPr>
        <w:t xml:space="preserve">: Progresos alcanzados en </w:t>
      </w:r>
      <w:r w:rsidR="00C8673C" w:rsidRPr="00CF0CBF">
        <w:rPr>
          <w:rFonts w:cs="Arial"/>
          <w:b/>
          <w:sz w:val="22"/>
          <w:szCs w:val="22"/>
          <w:lang w:val="es-ES_tradnl"/>
        </w:rPr>
        <w:t>contribuir a garantizar el abastecimiento de energía mediante la diversificación de la matriz energética con FNCER y el incremento de los intercambios energía a nivel internacional.</w:t>
      </w:r>
    </w:p>
    <w:tbl>
      <w:tblPr>
        <w:tblStyle w:val="TableGrid"/>
        <w:tblW w:w="12438" w:type="dxa"/>
        <w:tblInd w:w="18" w:type="dxa"/>
        <w:tblLook w:val="04A0" w:firstRow="1" w:lastRow="0" w:firstColumn="1" w:lastColumn="0" w:noHBand="0" w:noVBand="1"/>
      </w:tblPr>
      <w:tblGrid>
        <w:gridCol w:w="2682"/>
        <w:gridCol w:w="4772"/>
        <w:gridCol w:w="4984"/>
      </w:tblGrid>
      <w:tr w:rsidR="00B87BD7" w:rsidRPr="00B87BD7" w14:paraId="62AE1C83" w14:textId="77777777" w:rsidTr="001F46AA">
        <w:trPr>
          <w:tblHeader/>
        </w:trPr>
        <w:tc>
          <w:tcPr>
            <w:tcW w:w="2682" w:type="dxa"/>
            <w:shd w:val="clear" w:color="auto" w:fill="D9D9D9" w:themeFill="background1" w:themeFillShade="D9"/>
            <w:vAlign w:val="center"/>
          </w:tcPr>
          <w:p w14:paraId="62AE1C80" w14:textId="77777777" w:rsidR="00FB3654" w:rsidRPr="00B87BD7" w:rsidRDefault="00FB3654" w:rsidP="00AA0978">
            <w:pPr>
              <w:pStyle w:val="Paragraph"/>
              <w:numPr>
                <w:ilvl w:val="0"/>
                <w:numId w:val="0"/>
              </w:numPr>
              <w:spacing w:before="0" w:after="0"/>
              <w:jc w:val="center"/>
              <w:rPr>
                <w:rFonts w:cs="Arial"/>
                <w:b/>
                <w:sz w:val="22"/>
              </w:rPr>
            </w:pPr>
            <w:r w:rsidRPr="00B87BD7">
              <w:rPr>
                <w:rFonts w:cs="Arial"/>
                <w:b/>
                <w:sz w:val="22"/>
              </w:rPr>
              <w:t>Problemas específicos y sus causas</w:t>
            </w:r>
          </w:p>
        </w:tc>
        <w:tc>
          <w:tcPr>
            <w:tcW w:w="4772" w:type="dxa"/>
            <w:shd w:val="clear" w:color="auto" w:fill="D9D9D9" w:themeFill="background1" w:themeFillShade="D9"/>
            <w:vAlign w:val="center"/>
          </w:tcPr>
          <w:p w14:paraId="62AE1C81" w14:textId="4F582502" w:rsidR="00FB3654" w:rsidRPr="00B87BD7" w:rsidRDefault="00FB3654" w:rsidP="001F46AA">
            <w:pPr>
              <w:pStyle w:val="Paragraph"/>
              <w:numPr>
                <w:ilvl w:val="0"/>
                <w:numId w:val="0"/>
              </w:numPr>
              <w:spacing w:before="0" w:after="0"/>
              <w:jc w:val="center"/>
              <w:rPr>
                <w:rFonts w:cs="Arial"/>
                <w:b/>
                <w:sz w:val="22"/>
              </w:rPr>
            </w:pPr>
            <w:r w:rsidRPr="00B87BD7">
              <w:rPr>
                <w:rFonts w:cs="Arial"/>
                <w:b/>
                <w:sz w:val="22"/>
              </w:rPr>
              <w:t>Reformas de Pol</w:t>
            </w:r>
            <w:proofErr w:type="spellStart"/>
            <w:r w:rsidRPr="00B87BD7">
              <w:rPr>
                <w:rFonts w:cs="Arial"/>
                <w:b/>
                <w:sz w:val="22"/>
                <w:lang w:val="es-ES_tradnl"/>
              </w:rPr>
              <w:t>ítica</w:t>
            </w:r>
            <w:proofErr w:type="spellEnd"/>
            <w:r w:rsidR="0080554D">
              <w:rPr>
                <w:rFonts w:cs="Arial"/>
                <w:b/>
                <w:sz w:val="22"/>
                <w:lang w:val="es-ES_tradnl"/>
              </w:rPr>
              <w:t xml:space="preserve"> Propuestas</w:t>
            </w:r>
            <w:r w:rsidRPr="00B87BD7">
              <w:rPr>
                <w:rFonts w:cs="Arial"/>
                <w:b/>
                <w:sz w:val="22"/>
                <w:lang w:val="es-ES_tradnl"/>
              </w:rPr>
              <w:t xml:space="preserve"> para atacar el Problema</w:t>
            </w:r>
          </w:p>
        </w:tc>
        <w:tc>
          <w:tcPr>
            <w:tcW w:w="4984" w:type="dxa"/>
            <w:shd w:val="clear" w:color="auto" w:fill="D9D9D9" w:themeFill="background1" w:themeFillShade="D9"/>
            <w:vAlign w:val="center"/>
          </w:tcPr>
          <w:p w14:paraId="62AE1C82" w14:textId="5B37ACB6" w:rsidR="00FB3654" w:rsidRPr="00B87BD7" w:rsidRDefault="00FB3654" w:rsidP="00AA0978">
            <w:pPr>
              <w:pStyle w:val="Paragraph"/>
              <w:numPr>
                <w:ilvl w:val="0"/>
                <w:numId w:val="0"/>
              </w:numPr>
              <w:spacing w:before="0" w:after="0"/>
              <w:jc w:val="center"/>
              <w:rPr>
                <w:rFonts w:cs="Arial"/>
                <w:b/>
                <w:sz w:val="22"/>
              </w:rPr>
            </w:pPr>
            <w:r w:rsidRPr="00B87BD7">
              <w:rPr>
                <w:rFonts w:cs="Arial"/>
                <w:b/>
                <w:sz w:val="22"/>
              </w:rPr>
              <w:t xml:space="preserve">Progresos </w:t>
            </w:r>
            <w:r w:rsidR="0080554D">
              <w:rPr>
                <w:rFonts w:cs="Arial"/>
                <w:b/>
                <w:sz w:val="22"/>
              </w:rPr>
              <w:t>A</w:t>
            </w:r>
            <w:r w:rsidRPr="00B87BD7">
              <w:rPr>
                <w:rFonts w:cs="Arial"/>
                <w:b/>
                <w:sz w:val="22"/>
              </w:rPr>
              <w:t>lcanzados</w:t>
            </w:r>
          </w:p>
        </w:tc>
      </w:tr>
      <w:tr w:rsidR="00B87BD7" w:rsidRPr="004F3AC8" w14:paraId="7D833EC7" w14:textId="77777777" w:rsidTr="00D203A8">
        <w:tc>
          <w:tcPr>
            <w:tcW w:w="2682" w:type="dxa"/>
            <w:vMerge w:val="restart"/>
          </w:tcPr>
          <w:p w14:paraId="049D0CB6" w14:textId="69C33883" w:rsidR="00A160D7" w:rsidRPr="00B87BD7" w:rsidRDefault="00A160D7" w:rsidP="00494CA7">
            <w:pPr>
              <w:widowControl w:val="0"/>
              <w:autoSpaceDE w:val="0"/>
              <w:autoSpaceDN w:val="0"/>
              <w:adjustRightInd w:val="0"/>
              <w:rPr>
                <w:rFonts w:cs="Arial"/>
                <w:sz w:val="22"/>
                <w:lang w:val="es-ES_tradnl"/>
              </w:rPr>
            </w:pPr>
            <w:r w:rsidRPr="00B87BD7">
              <w:rPr>
                <w:rFonts w:cs="Arial"/>
                <w:b/>
                <w:sz w:val="22"/>
                <w:lang w:val="es-ES"/>
              </w:rPr>
              <w:t>El riesgo de no poder garantizar una oferta eficiente de electricidad ante situaciones de estrés del sistema, particularmente ante episodios climáticos como El Niño. Este problema tiene varias causas</w:t>
            </w:r>
            <w:r w:rsidR="00514DA8">
              <w:rPr>
                <w:rFonts w:cs="Arial"/>
                <w:b/>
                <w:sz w:val="22"/>
                <w:lang w:val="es-ES"/>
              </w:rPr>
              <w:t>:</w:t>
            </w:r>
            <w:r w:rsidRPr="00B87BD7">
              <w:rPr>
                <w:rFonts w:cs="Arial"/>
                <w:sz w:val="22"/>
                <w:lang w:val="es-ES"/>
              </w:rPr>
              <w:t xml:space="preserve"> </w:t>
            </w:r>
            <w:r w:rsidR="00FB01E2">
              <w:rPr>
                <w:rFonts w:cs="Arial"/>
                <w:sz w:val="22"/>
                <w:lang w:val="es-ES"/>
              </w:rPr>
              <w:t>l</w:t>
            </w:r>
            <w:r w:rsidRPr="00B87BD7">
              <w:rPr>
                <w:rFonts w:cs="Arial"/>
                <w:sz w:val="22"/>
                <w:lang w:val="es-ES"/>
              </w:rPr>
              <w:t xml:space="preserve">a no diversificación de la matriz en </w:t>
            </w:r>
            <w:r w:rsidRPr="00B87BD7">
              <w:rPr>
                <w:rFonts w:cs="Arial"/>
                <w:sz w:val="22"/>
                <w:lang w:val="es-ES_tradnl"/>
              </w:rPr>
              <w:t>Fuentes No Convencionales de Energía Renovable (FNCER) y los bajos intercambios internacionales.</w:t>
            </w:r>
          </w:p>
          <w:p w14:paraId="17FD5632" w14:textId="77777777" w:rsidR="00A160D7" w:rsidRPr="00B87BD7" w:rsidRDefault="00A160D7" w:rsidP="00494CA7">
            <w:pPr>
              <w:widowControl w:val="0"/>
              <w:autoSpaceDE w:val="0"/>
              <w:autoSpaceDN w:val="0"/>
              <w:adjustRightInd w:val="0"/>
              <w:rPr>
                <w:rFonts w:cs="Arial"/>
                <w:sz w:val="22"/>
                <w:lang w:val="es-ES_tradnl"/>
              </w:rPr>
            </w:pPr>
          </w:p>
          <w:p w14:paraId="43DC5964" w14:textId="77777777" w:rsidR="00A160D7" w:rsidRPr="00B87BD7" w:rsidRDefault="00A160D7" w:rsidP="00896BC2">
            <w:pPr>
              <w:widowControl w:val="0"/>
              <w:autoSpaceDE w:val="0"/>
              <w:autoSpaceDN w:val="0"/>
              <w:adjustRightInd w:val="0"/>
              <w:rPr>
                <w:rFonts w:cs="Arial"/>
                <w:b/>
                <w:sz w:val="22"/>
                <w:lang w:val="es-ES"/>
              </w:rPr>
            </w:pPr>
          </w:p>
        </w:tc>
        <w:tc>
          <w:tcPr>
            <w:tcW w:w="9756" w:type="dxa"/>
            <w:gridSpan w:val="2"/>
          </w:tcPr>
          <w:p w14:paraId="713AF2D8" w14:textId="45356A39" w:rsidR="00A160D7" w:rsidRPr="00B87BD7" w:rsidRDefault="00DA64A4" w:rsidP="0086330F">
            <w:pPr>
              <w:suppressAutoHyphens/>
              <w:spacing w:before="60" w:after="60"/>
              <w:rPr>
                <w:rFonts w:cs="Arial"/>
                <w:b/>
                <w:sz w:val="22"/>
                <w:lang w:val="es-ES"/>
              </w:rPr>
            </w:pPr>
            <w:r w:rsidRPr="00B87BD7">
              <w:rPr>
                <w:rFonts w:cs="Arial"/>
                <w:b/>
                <w:sz w:val="22"/>
                <w:lang w:val="es-ES"/>
              </w:rPr>
              <w:t>Fuentes No Convencionales de Energía Renovable (FNCER)</w:t>
            </w:r>
          </w:p>
        </w:tc>
      </w:tr>
      <w:tr w:rsidR="00B87BD7" w:rsidRPr="004F3AC8" w14:paraId="62AE1CAB" w14:textId="77777777" w:rsidTr="00FB3654">
        <w:tc>
          <w:tcPr>
            <w:tcW w:w="2682" w:type="dxa"/>
            <w:vMerge/>
          </w:tcPr>
          <w:p w14:paraId="62AE1C88" w14:textId="77777777" w:rsidR="00A160D7" w:rsidRPr="00B87BD7" w:rsidRDefault="00A160D7" w:rsidP="00896BC2">
            <w:pPr>
              <w:widowControl w:val="0"/>
              <w:autoSpaceDE w:val="0"/>
              <w:autoSpaceDN w:val="0"/>
              <w:adjustRightInd w:val="0"/>
              <w:rPr>
                <w:rFonts w:cs="Arial"/>
                <w:sz w:val="22"/>
                <w:lang w:val="es-ES"/>
              </w:rPr>
            </w:pPr>
          </w:p>
        </w:tc>
        <w:tc>
          <w:tcPr>
            <w:tcW w:w="4772" w:type="dxa"/>
          </w:tcPr>
          <w:p w14:paraId="62AE1C89" w14:textId="77777777" w:rsidR="00A160D7" w:rsidRPr="00B87BD7" w:rsidRDefault="00A160D7" w:rsidP="00FC6D9F">
            <w:pPr>
              <w:pStyle w:val="Default"/>
              <w:jc w:val="both"/>
              <w:rPr>
                <w:rFonts w:ascii="Arial" w:hAnsi="Arial" w:cs="Arial"/>
                <w:color w:val="auto"/>
                <w:sz w:val="22"/>
                <w:szCs w:val="22"/>
                <w:lang w:val="es-ES" w:eastAsia="en-US"/>
              </w:rPr>
            </w:pPr>
            <w:r w:rsidRPr="00B87BD7">
              <w:rPr>
                <w:rFonts w:ascii="Arial" w:hAnsi="Arial" w:cs="Arial"/>
                <w:color w:val="auto"/>
                <w:sz w:val="22"/>
                <w:szCs w:val="22"/>
                <w:lang w:val="es-ES" w:eastAsia="en-US"/>
              </w:rPr>
              <w:t>Reglamentación adicional de la Ley 1715 de 2014, para:</w:t>
            </w:r>
          </w:p>
          <w:p w14:paraId="62AE1C8A" w14:textId="6AC951DF" w:rsidR="00A160D7" w:rsidRPr="00B87BD7" w:rsidRDefault="002176DE" w:rsidP="00FC6D9F">
            <w:pPr>
              <w:pStyle w:val="ListParagraph"/>
              <w:numPr>
                <w:ilvl w:val="0"/>
                <w:numId w:val="12"/>
              </w:numPr>
              <w:tabs>
                <w:tab w:val="left" w:pos="3012"/>
              </w:tabs>
              <w:ind w:left="419"/>
              <w:rPr>
                <w:rFonts w:cs="Arial"/>
                <w:sz w:val="22"/>
                <w:lang w:val="es-ES"/>
              </w:rPr>
            </w:pPr>
            <w:r>
              <w:rPr>
                <w:rFonts w:cs="Arial"/>
                <w:sz w:val="22"/>
                <w:lang w:val="es-ES"/>
              </w:rPr>
              <w:t xml:space="preserve">Definir </w:t>
            </w:r>
            <w:r w:rsidR="00A160D7" w:rsidRPr="00B87BD7">
              <w:rPr>
                <w:rFonts w:cs="Arial"/>
                <w:sz w:val="22"/>
                <w:lang w:val="es-ES"/>
              </w:rPr>
              <w:t>Lineamientos de política y mecanismos para la contratación a largo plazo de renovables no convencionales.</w:t>
            </w:r>
          </w:p>
          <w:p w14:paraId="62AE1C8B" w14:textId="4CE436AA" w:rsidR="00A160D7" w:rsidRPr="00B87BD7" w:rsidRDefault="00A160D7" w:rsidP="00FC6D9F">
            <w:pPr>
              <w:pStyle w:val="ListParagraph"/>
              <w:numPr>
                <w:ilvl w:val="0"/>
                <w:numId w:val="10"/>
              </w:numPr>
              <w:tabs>
                <w:tab w:val="left" w:pos="3012"/>
              </w:tabs>
              <w:ind w:left="419"/>
              <w:rPr>
                <w:rFonts w:cs="Arial"/>
                <w:sz w:val="22"/>
                <w:lang w:val="es-ES"/>
              </w:rPr>
            </w:pPr>
            <w:r w:rsidRPr="00B87BD7">
              <w:rPr>
                <w:rFonts w:cs="Arial"/>
                <w:sz w:val="22"/>
                <w:lang w:val="es-ES"/>
              </w:rPr>
              <w:t>Convoca</w:t>
            </w:r>
            <w:r w:rsidR="00464A47">
              <w:rPr>
                <w:rFonts w:cs="Arial"/>
                <w:sz w:val="22"/>
                <w:lang w:val="es-ES"/>
              </w:rPr>
              <w:t>r</w:t>
            </w:r>
            <w:r w:rsidRPr="00B87BD7">
              <w:rPr>
                <w:rFonts w:cs="Arial"/>
                <w:sz w:val="22"/>
                <w:lang w:val="es-ES"/>
              </w:rPr>
              <w:t xml:space="preserve"> la primera subasta de energías renovables no convencionales.</w:t>
            </w:r>
          </w:p>
          <w:p w14:paraId="49189E76" w14:textId="77777777" w:rsidR="00C3251A" w:rsidRDefault="00C3251A" w:rsidP="00FC6D9F">
            <w:pPr>
              <w:pStyle w:val="Default"/>
              <w:ind w:left="59"/>
              <w:jc w:val="both"/>
              <w:rPr>
                <w:rFonts w:ascii="Arial" w:hAnsi="Arial" w:cs="Arial"/>
                <w:color w:val="auto"/>
                <w:sz w:val="22"/>
                <w:szCs w:val="22"/>
                <w:lang w:val="es-ES"/>
              </w:rPr>
            </w:pPr>
          </w:p>
          <w:p w14:paraId="2D4F85BB" w14:textId="77777777" w:rsidR="00494CA7" w:rsidRDefault="00494CA7" w:rsidP="00FC6D9F">
            <w:pPr>
              <w:pStyle w:val="Default"/>
              <w:ind w:left="59"/>
              <w:jc w:val="both"/>
              <w:rPr>
                <w:rFonts w:ascii="Arial" w:hAnsi="Arial" w:cs="Arial"/>
                <w:color w:val="auto"/>
                <w:sz w:val="22"/>
                <w:szCs w:val="22"/>
                <w:lang w:val="es-ES"/>
              </w:rPr>
            </w:pPr>
          </w:p>
          <w:p w14:paraId="4DDB23B3" w14:textId="3A1E0917" w:rsidR="000B2A8B" w:rsidRPr="00B87BD7" w:rsidRDefault="000B2A8B" w:rsidP="00FC6D9F">
            <w:pPr>
              <w:pStyle w:val="Default"/>
              <w:ind w:left="59"/>
              <w:jc w:val="both"/>
              <w:rPr>
                <w:rFonts w:ascii="Arial" w:hAnsi="Arial" w:cs="Arial"/>
                <w:color w:val="auto"/>
                <w:sz w:val="22"/>
                <w:szCs w:val="22"/>
                <w:lang w:val="es-ES"/>
              </w:rPr>
            </w:pPr>
            <w:r w:rsidRPr="00B87BD7">
              <w:rPr>
                <w:rFonts w:ascii="Arial" w:hAnsi="Arial" w:cs="Arial"/>
                <w:color w:val="auto"/>
                <w:sz w:val="22"/>
                <w:szCs w:val="22"/>
                <w:lang w:val="es-ES"/>
              </w:rPr>
              <w:t>R</w:t>
            </w:r>
            <w:r w:rsidR="00A70B52" w:rsidRPr="00B87BD7">
              <w:rPr>
                <w:rFonts w:ascii="Arial" w:hAnsi="Arial" w:cs="Arial"/>
                <w:color w:val="auto"/>
                <w:sz w:val="22"/>
                <w:szCs w:val="22"/>
                <w:lang w:val="es-ES"/>
              </w:rPr>
              <w:t>eglamenta</w:t>
            </w:r>
            <w:r w:rsidRPr="00B87BD7">
              <w:rPr>
                <w:rFonts w:ascii="Arial" w:hAnsi="Arial" w:cs="Arial"/>
                <w:color w:val="auto"/>
                <w:sz w:val="22"/>
                <w:szCs w:val="22"/>
                <w:lang w:val="es-ES"/>
              </w:rPr>
              <w:t>ción</w:t>
            </w:r>
            <w:r w:rsidR="00A70B52" w:rsidRPr="00B87BD7">
              <w:rPr>
                <w:rFonts w:ascii="Arial" w:hAnsi="Arial" w:cs="Arial"/>
                <w:color w:val="auto"/>
                <w:sz w:val="22"/>
                <w:szCs w:val="22"/>
                <w:lang w:val="es-ES"/>
              </w:rPr>
              <w:t xml:space="preserve"> </w:t>
            </w:r>
            <w:r w:rsidRPr="00B87BD7">
              <w:rPr>
                <w:rFonts w:ascii="Arial" w:hAnsi="Arial" w:cs="Arial"/>
                <w:color w:val="auto"/>
                <w:sz w:val="22"/>
                <w:szCs w:val="22"/>
                <w:lang w:val="es-ES"/>
              </w:rPr>
              <w:t>d</w:t>
            </w:r>
            <w:r w:rsidR="00A70B52" w:rsidRPr="00B87BD7">
              <w:rPr>
                <w:rFonts w:ascii="Arial" w:hAnsi="Arial" w:cs="Arial"/>
                <w:color w:val="auto"/>
                <w:sz w:val="22"/>
                <w:szCs w:val="22"/>
                <w:lang w:val="es-ES"/>
              </w:rPr>
              <w:t>el Fondo de Energías No Convencionales y Gestión de la Energía (FENOGE).</w:t>
            </w:r>
          </w:p>
          <w:p w14:paraId="64D3D87F" w14:textId="77777777" w:rsidR="000B2A8B" w:rsidRPr="00B87BD7" w:rsidRDefault="000B2A8B" w:rsidP="00FC6D9F">
            <w:pPr>
              <w:pStyle w:val="Default"/>
              <w:ind w:left="59"/>
              <w:jc w:val="both"/>
              <w:rPr>
                <w:rFonts w:ascii="Arial" w:hAnsi="Arial" w:cs="Arial"/>
                <w:color w:val="auto"/>
                <w:sz w:val="22"/>
                <w:szCs w:val="22"/>
                <w:lang w:val="es-ES"/>
              </w:rPr>
            </w:pPr>
          </w:p>
          <w:p w14:paraId="62AE1C8D" w14:textId="6AF56FED" w:rsidR="00A160D7" w:rsidRPr="00B87BD7" w:rsidRDefault="00A160D7" w:rsidP="00FC6D9F">
            <w:pPr>
              <w:pStyle w:val="Default"/>
              <w:ind w:left="59"/>
              <w:jc w:val="both"/>
              <w:rPr>
                <w:rFonts w:ascii="Arial" w:hAnsi="Arial" w:cs="Arial"/>
                <w:color w:val="auto"/>
                <w:sz w:val="22"/>
                <w:szCs w:val="22"/>
                <w:lang w:val="es-ES"/>
              </w:rPr>
            </w:pPr>
            <w:r w:rsidRPr="00B87BD7">
              <w:rPr>
                <w:rFonts w:ascii="Arial" w:hAnsi="Arial" w:cs="Arial"/>
                <w:color w:val="auto"/>
                <w:sz w:val="22"/>
                <w:szCs w:val="22"/>
                <w:lang w:val="es-ES"/>
              </w:rPr>
              <w:t>Regulación que establezca procedimientos y requisitos para avalar proyectos y acceder a los incentivos de la inversión en proyectos de FNCER.</w:t>
            </w:r>
          </w:p>
          <w:p w14:paraId="62AE1C8E" w14:textId="77777777" w:rsidR="00A160D7" w:rsidRPr="00B87BD7" w:rsidRDefault="00A160D7" w:rsidP="00FC6D9F">
            <w:pPr>
              <w:pStyle w:val="Default"/>
              <w:ind w:left="59"/>
              <w:jc w:val="both"/>
              <w:rPr>
                <w:rFonts w:ascii="Arial" w:hAnsi="Arial" w:cs="Arial"/>
                <w:color w:val="auto"/>
                <w:sz w:val="22"/>
                <w:szCs w:val="22"/>
                <w:lang w:val="es-ES"/>
              </w:rPr>
            </w:pPr>
          </w:p>
          <w:p w14:paraId="62AE1C8F" w14:textId="244CBA9D" w:rsidR="00A160D7" w:rsidRPr="00B87BD7" w:rsidRDefault="006328FE" w:rsidP="00FC6D9F">
            <w:pPr>
              <w:pStyle w:val="Default"/>
              <w:ind w:left="59"/>
              <w:jc w:val="both"/>
              <w:rPr>
                <w:rFonts w:ascii="Arial" w:hAnsi="Arial" w:cs="Arial"/>
                <w:color w:val="auto"/>
                <w:sz w:val="22"/>
                <w:szCs w:val="22"/>
                <w:lang w:val="es-ES"/>
              </w:rPr>
            </w:pPr>
            <w:r>
              <w:rPr>
                <w:rFonts w:ascii="Arial" w:hAnsi="Arial" w:cs="Arial"/>
                <w:color w:val="auto"/>
                <w:sz w:val="22"/>
                <w:szCs w:val="22"/>
                <w:lang w:val="es-ES"/>
              </w:rPr>
              <w:t>S</w:t>
            </w:r>
            <w:r w:rsidR="00F56863">
              <w:rPr>
                <w:rFonts w:ascii="Arial" w:hAnsi="Arial" w:cs="Arial"/>
                <w:color w:val="auto"/>
                <w:sz w:val="22"/>
                <w:szCs w:val="22"/>
                <w:lang w:val="es-ES"/>
              </w:rPr>
              <w:t xml:space="preserve">istema de </w:t>
            </w:r>
            <w:r w:rsidR="00CC3995">
              <w:rPr>
                <w:rFonts w:ascii="Arial" w:hAnsi="Arial" w:cs="Arial"/>
                <w:color w:val="auto"/>
                <w:sz w:val="22"/>
                <w:szCs w:val="22"/>
                <w:lang w:val="es-ES"/>
              </w:rPr>
              <w:t>información que present</w:t>
            </w:r>
            <w:r w:rsidR="00DF628F">
              <w:rPr>
                <w:rFonts w:ascii="Arial" w:hAnsi="Arial" w:cs="Arial"/>
                <w:color w:val="auto"/>
                <w:sz w:val="22"/>
                <w:szCs w:val="22"/>
                <w:lang w:val="es-ES"/>
              </w:rPr>
              <w:t>a</w:t>
            </w:r>
            <w:r w:rsidR="00CC3995">
              <w:rPr>
                <w:rFonts w:ascii="Arial" w:hAnsi="Arial" w:cs="Arial"/>
                <w:color w:val="auto"/>
                <w:sz w:val="22"/>
                <w:szCs w:val="22"/>
                <w:lang w:val="es-ES"/>
              </w:rPr>
              <w:t xml:space="preserve"> los proyectos beneficiados con el programa de incentivos tributarios para FNCER</w:t>
            </w:r>
            <w:r w:rsidR="00DF628F">
              <w:rPr>
                <w:rFonts w:ascii="Arial" w:hAnsi="Arial" w:cs="Arial"/>
                <w:color w:val="auto"/>
                <w:sz w:val="22"/>
                <w:szCs w:val="22"/>
                <w:lang w:val="es-ES"/>
              </w:rPr>
              <w:t xml:space="preserve"> se encuentra en funcionamiento.</w:t>
            </w:r>
          </w:p>
          <w:p w14:paraId="62AE1C90" w14:textId="77777777" w:rsidR="00A160D7" w:rsidRPr="00B87BD7" w:rsidRDefault="00A160D7" w:rsidP="00FC6D9F">
            <w:pPr>
              <w:tabs>
                <w:tab w:val="left" w:pos="3012"/>
              </w:tabs>
              <w:rPr>
                <w:rFonts w:cs="Arial"/>
                <w:b/>
                <w:sz w:val="22"/>
                <w:lang w:val="es-ES" w:eastAsia="es-CO"/>
              </w:rPr>
            </w:pPr>
          </w:p>
          <w:p w14:paraId="62AE1C99" w14:textId="77777777" w:rsidR="00A160D7" w:rsidRPr="00B87BD7" w:rsidRDefault="00A160D7" w:rsidP="00FC6D9F">
            <w:pPr>
              <w:rPr>
                <w:rFonts w:cs="Arial"/>
                <w:sz w:val="22"/>
                <w:lang w:val="es-ES"/>
              </w:rPr>
            </w:pPr>
          </w:p>
        </w:tc>
        <w:tc>
          <w:tcPr>
            <w:tcW w:w="4984" w:type="dxa"/>
          </w:tcPr>
          <w:p w14:paraId="62AE1C9D" w14:textId="47F7162B" w:rsidR="00A160D7" w:rsidRPr="00B87BD7" w:rsidRDefault="00A160D7" w:rsidP="00FC6D9F">
            <w:pPr>
              <w:suppressAutoHyphens/>
              <w:rPr>
                <w:rFonts w:cs="Arial"/>
                <w:sz w:val="22"/>
                <w:lang w:val="es-ES"/>
              </w:rPr>
            </w:pPr>
            <w:r w:rsidRPr="00B87BD7">
              <w:rPr>
                <w:rFonts w:cs="Arial"/>
                <w:sz w:val="22"/>
                <w:lang w:val="es-ES"/>
              </w:rPr>
              <w:t xml:space="preserve">El MME expidió el Decreto 570 de 2018 por el cual se </w:t>
            </w:r>
            <w:r w:rsidR="00C84FC5" w:rsidRPr="00B87BD7">
              <w:rPr>
                <w:rFonts w:cs="Arial"/>
                <w:sz w:val="22"/>
                <w:lang w:val="es-ES"/>
              </w:rPr>
              <w:t>adicionaron</w:t>
            </w:r>
            <w:r w:rsidRPr="00B87BD7">
              <w:rPr>
                <w:rFonts w:cs="Arial"/>
                <w:sz w:val="22"/>
                <w:lang w:val="es-ES"/>
              </w:rPr>
              <w:t xml:space="preserve"> lineamientos de política pública para la contratación a largo plazo de proyectos de generación de energía eléctrica</w:t>
            </w:r>
            <w:r w:rsidR="00C84FC5" w:rsidRPr="00B87BD7">
              <w:rPr>
                <w:rFonts w:cs="Arial"/>
                <w:sz w:val="22"/>
                <w:lang w:val="es-ES"/>
              </w:rPr>
              <w:t xml:space="preserve"> y </w:t>
            </w:r>
            <w:r w:rsidR="002C7302" w:rsidRPr="00B87BD7">
              <w:rPr>
                <w:rFonts w:cs="Arial"/>
                <w:sz w:val="22"/>
                <w:lang w:val="es-ES"/>
              </w:rPr>
              <w:t>m</w:t>
            </w:r>
            <w:r w:rsidRPr="00B87BD7">
              <w:rPr>
                <w:rFonts w:cs="Arial"/>
                <w:sz w:val="22"/>
                <w:lang w:val="es-ES"/>
              </w:rPr>
              <w:t>ediante resolución MME 40795 de 2018, se convoca a la primera subasta de contratación a largo plazo de energía eléctrica, incluyendo las energías renovables no convencionales.</w:t>
            </w:r>
          </w:p>
          <w:p w14:paraId="62AE1C9E" w14:textId="77777777" w:rsidR="00A160D7" w:rsidRDefault="00A160D7" w:rsidP="00FC6D9F">
            <w:pPr>
              <w:suppressAutoHyphens/>
              <w:rPr>
                <w:rFonts w:cs="Arial"/>
                <w:sz w:val="22"/>
                <w:lang w:val="es-ES"/>
              </w:rPr>
            </w:pPr>
          </w:p>
          <w:p w14:paraId="62AE1C9F" w14:textId="79422F53" w:rsidR="00A160D7" w:rsidRPr="00B87BD7" w:rsidRDefault="000B2A8B" w:rsidP="00FC6D9F">
            <w:pPr>
              <w:suppressAutoHyphens/>
              <w:rPr>
                <w:rFonts w:cs="Arial"/>
                <w:sz w:val="22"/>
                <w:lang w:val="es-ES"/>
              </w:rPr>
            </w:pPr>
            <w:r w:rsidRPr="00B87BD7">
              <w:rPr>
                <w:rFonts w:cs="Arial"/>
                <w:sz w:val="22"/>
                <w:lang w:val="es-ES"/>
              </w:rPr>
              <w:t>E</w:t>
            </w:r>
            <w:r w:rsidR="00A160D7" w:rsidRPr="00B87BD7">
              <w:rPr>
                <w:rFonts w:cs="Arial"/>
                <w:sz w:val="22"/>
                <w:lang w:val="es-ES"/>
              </w:rPr>
              <w:t xml:space="preserve">l </w:t>
            </w:r>
            <w:r w:rsidRPr="00B87BD7">
              <w:rPr>
                <w:rFonts w:cs="Arial"/>
                <w:sz w:val="22"/>
                <w:lang w:val="es-ES"/>
              </w:rPr>
              <w:t>MME</w:t>
            </w:r>
            <w:r w:rsidR="00A160D7" w:rsidRPr="00B87BD7">
              <w:rPr>
                <w:rFonts w:cs="Arial"/>
                <w:sz w:val="22"/>
                <w:lang w:val="es-ES"/>
              </w:rPr>
              <w:t xml:space="preserve"> suscribió el Decreto 1543 de 2017 en donde se reglamenta el </w:t>
            </w:r>
            <w:r w:rsidR="002F40FC" w:rsidRPr="00B87BD7">
              <w:rPr>
                <w:rFonts w:cs="Arial"/>
                <w:sz w:val="22"/>
                <w:lang w:val="es-ES"/>
              </w:rPr>
              <w:t>FENOGE</w:t>
            </w:r>
          </w:p>
          <w:p w14:paraId="62AE1CA0" w14:textId="77777777" w:rsidR="00A160D7" w:rsidRPr="00B87BD7" w:rsidRDefault="00A160D7" w:rsidP="00FC6D9F">
            <w:pPr>
              <w:suppressAutoHyphens/>
              <w:rPr>
                <w:rFonts w:cs="Arial"/>
                <w:sz w:val="22"/>
                <w:lang w:val="es-ES"/>
              </w:rPr>
            </w:pPr>
          </w:p>
          <w:p w14:paraId="42640FC8" w14:textId="77777777" w:rsidR="007B07C4" w:rsidRDefault="007B07C4" w:rsidP="00FC6D9F">
            <w:pPr>
              <w:suppressAutoHyphens/>
              <w:rPr>
                <w:rFonts w:cs="Arial"/>
                <w:sz w:val="22"/>
                <w:lang w:val="es-ES"/>
              </w:rPr>
            </w:pPr>
          </w:p>
          <w:p w14:paraId="62AE1CA1" w14:textId="71F0B725" w:rsidR="00A160D7" w:rsidRDefault="00836201" w:rsidP="00FC6D9F">
            <w:pPr>
              <w:suppressAutoHyphens/>
              <w:rPr>
                <w:rFonts w:cs="Arial"/>
                <w:sz w:val="22"/>
                <w:lang w:val="es-ES"/>
              </w:rPr>
            </w:pPr>
            <w:r>
              <w:rPr>
                <w:rFonts w:cs="Arial"/>
                <w:sz w:val="22"/>
                <w:lang w:val="es-ES"/>
              </w:rPr>
              <w:t xml:space="preserve">El contrato de fiducia mercantil del FENOGE fue suscrito y se encuentra en </w:t>
            </w:r>
            <w:r w:rsidR="006328FE">
              <w:rPr>
                <w:rFonts w:cs="Arial"/>
                <w:sz w:val="22"/>
                <w:lang w:val="es-ES"/>
              </w:rPr>
              <w:t>ejecución.</w:t>
            </w:r>
          </w:p>
          <w:p w14:paraId="3AAF0C6A" w14:textId="687C0FA7" w:rsidR="006328FE" w:rsidRDefault="006328FE" w:rsidP="00FC6D9F">
            <w:pPr>
              <w:suppressAutoHyphens/>
              <w:rPr>
                <w:rFonts w:cs="Arial"/>
                <w:sz w:val="22"/>
                <w:lang w:val="es-ES"/>
              </w:rPr>
            </w:pPr>
          </w:p>
          <w:p w14:paraId="7A716F01" w14:textId="77777777" w:rsidR="006328FE" w:rsidRPr="00B87BD7" w:rsidRDefault="006328FE" w:rsidP="00FC6D9F">
            <w:pPr>
              <w:suppressAutoHyphens/>
              <w:rPr>
                <w:rFonts w:cs="Arial"/>
                <w:sz w:val="22"/>
                <w:lang w:val="es-ES"/>
              </w:rPr>
            </w:pPr>
          </w:p>
          <w:p w14:paraId="62AE1CA2" w14:textId="77777777" w:rsidR="00A160D7" w:rsidRPr="00B87BD7" w:rsidRDefault="00A160D7" w:rsidP="00FC6D9F">
            <w:pPr>
              <w:suppressAutoHyphens/>
              <w:rPr>
                <w:rFonts w:cs="Arial"/>
                <w:sz w:val="22"/>
                <w:lang w:val="es-ES"/>
              </w:rPr>
            </w:pPr>
          </w:p>
          <w:p w14:paraId="62AE1CAA" w14:textId="41ED1F6D" w:rsidR="00A160D7" w:rsidRPr="00B87BD7" w:rsidRDefault="008110CE" w:rsidP="00FC6D9F">
            <w:pPr>
              <w:suppressAutoHyphens/>
              <w:rPr>
                <w:rFonts w:cs="Arial"/>
                <w:sz w:val="22"/>
                <w:lang w:val="es-ES"/>
              </w:rPr>
            </w:pPr>
            <w:r>
              <w:rPr>
                <w:rFonts w:cs="Arial"/>
                <w:sz w:val="22"/>
                <w:lang w:val="es-ES"/>
              </w:rPr>
              <w:t xml:space="preserve">El sistema de información está en cabeza de la UPME, la cual genera informes periódicos con la información </w:t>
            </w:r>
            <w:r w:rsidR="00083E0F">
              <w:rPr>
                <w:rFonts w:cs="Arial"/>
                <w:sz w:val="22"/>
                <w:lang w:val="es-ES"/>
              </w:rPr>
              <w:t>disponible.</w:t>
            </w:r>
          </w:p>
        </w:tc>
      </w:tr>
      <w:tr w:rsidR="00B87BD7" w:rsidRPr="00B87BD7" w14:paraId="21F69186" w14:textId="77777777" w:rsidTr="00520DE2">
        <w:tc>
          <w:tcPr>
            <w:tcW w:w="2682" w:type="dxa"/>
          </w:tcPr>
          <w:p w14:paraId="6C333132" w14:textId="77777777" w:rsidR="00C768A3" w:rsidRPr="00B87BD7" w:rsidRDefault="00C768A3" w:rsidP="00896BC2">
            <w:pPr>
              <w:widowControl w:val="0"/>
              <w:autoSpaceDE w:val="0"/>
              <w:autoSpaceDN w:val="0"/>
              <w:adjustRightInd w:val="0"/>
              <w:rPr>
                <w:rFonts w:cs="Arial"/>
                <w:sz w:val="22"/>
                <w:lang w:val="es-ES"/>
              </w:rPr>
            </w:pPr>
          </w:p>
        </w:tc>
        <w:tc>
          <w:tcPr>
            <w:tcW w:w="9756" w:type="dxa"/>
            <w:gridSpan w:val="2"/>
          </w:tcPr>
          <w:p w14:paraId="47BC6835" w14:textId="7C0370E5" w:rsidR="00C768A3" w:rsidRPr="00B87BD7" w:rsidRDefault="00C768A3" w:rsidP="0086330F">
            <w:pPr>
              <w:suppressAutoHyphens/>
              <w:spacing w:before="60" w:after="60"/>
              <w:rPr>
                <w:rFonts w:cs="Arial"/>
                <w:sz w:val="22"/>
                <w:lang w:val="es-ES"/>
              </w:rPr>
            </w:pPr>
            <w:r w:rsidRPr="00B87BD7">
              <w:rPr>
                <w:rFonts w:cs="Arial"/>
                <w:b/>
                <w:sz w:val="22"/>
                <w:lang w:val="es-ES"/>
              </w:rPr>
              <w:t>Integración Regional</w:t>
            </w:r>
          </w:p>
        </w:tc>
      </w:tr>
      <w:tr w:rsidR="0055137D" w:rsidRPr="004F3AC8" w14:paraId="7E6E504B" w14:textId="77777777" w:rsidTr="00FB3654">
        <w:tc>
          <w:tcPr>
            <w:tcW w:w="2682" w:type="dxa"/>
          </w:tcPr>
          <w:p w14:paraId="282390CB" w14:textId="77777777" w:rsidR="0055137D" w:rsidRPr="00B87BD7" w:rsidRDefault="0055137D" w:rsidP="0055137D">
            <w:pPr>
              <w:widowControl w:val="0"/>
              <w:autoSpaceDE w:val="0"/>
              <w:autoSpaceDN w:val="0"/>
              <w:adjustRightInd w:val="0"/>
              <w:rPr>
                <w:rFonts w:cs="Arial"/>
                <w:sz w:val="22"/>
                <w:lang w:val="es-ES"/>
              </w:rPr>
            </w:pPr>
          </w:p>
        </w:tc>
        <w:tc>
          <w:tcPr>
            <w:tcW w:w="4772" w:type="dxa"/>
          </w:tcPr>
          <w:p w14:paraId="4D562A52" w14:textId="4A8A77F4" w:rsidR="000E0000" w:rsidRPr="00466CCB" w:rsidRDefault="006E10D2" w:rsidP="006900E1">
            <w:pPr>
              <w:rPr>
                <w:sz w:val="22"/>
                <w:lang w:val="es-ES"/>
              </w:rPr>
            </w:pPr>
            <w:r>
              <w:rPr>
                <w:sz w:val="22"/>
                <w:lang w:val="es-ES"/>
              </w:rPr>
              <w:t>I</w:t>
            </w:r>
            <w:r w:rsidR="000E0000" w:rsidRPr="00466CCB">
              <w:rPr>
                <w:sz w:val="22"/>
                <w:lang w:val="es-ES"/>
              </w:rPr>
              <w:t>mplementación de las acciones de la Hoja de Ruta del Sistema de Integración Energético Andino (SINEA), mediante el ajuste a la regulación a las. Transacciones Internacionales de Electricidad de Corto Plazo, TIE</w:t>
            </w:r>
          </w:p>
          <w:p w14:paraId="7DA27463" w14:textId="77777777" w:rsidR="000E0000" w:rsidRPr="00466CCB" w:rsidRDefault="000E0000" w:rsidP="006900E1">
            <w:pPr>
              <w:rPr>
                <w:sz w:val="22"/>
                <w:lang w:val="es-ES"/>
              </w:rPr>
            </w:pPr>
          </w:p>
          <w:p w14:paraId="2D7933B9" w14:textId="2B2D6C03" w:rsidR="0055137D" w:rsidRPr="00466CCB" w:rsidRDefault="006E10D2" w:rsidP="006900E1">
            <w:pPr>
              <w:rPr>
                <w:sz w:val="22"/>
                <w:lang w:val="es-ES"/>
              </w:rPr>
            </w:pPr>
            <w:r>
              <w:rPr>
                <w:sz w:val="22"/>
                <w:lang w:val="es-ES"/>
              </w:rPr>
              <w:t xml:space="preserve">Adopción del </w:t>
            </w:r>
            <w:r w:rsidR="000E0000" w:rsidRPr="00466CCB">
              <w:rPr>
                <w:sz w:val="22"/>
                <w:lang w:val="es-ES"/>
              </w:rPr>
              <w:t xml:space="preserve">Plan de Expansión de Generación y Transmisión de Energía Eléctrica </w:t>
            </w:r>
            <w:r>
              <w:rPr>
                <w:sz w:val="22"/>
                <w:lang w:val="es-ES"/>
              </w:rPr>
              <w:t xml:space="preserve">que </w:t>
            </w:r>
            <w:r w:rsidR="000E0000" w:rsidRPr="00466CCB">
              <w:rPr>
                <w:sz w:val="22"/>
                <w:lang w:val="es-ES"/>
              </w:rPr>
              <w:t>incluy</w:t>
            </w:r>
            <w:r>
              <w:rPr>
                <w:sz w:val="22"/>
                <w:lang w:val="es-ES"/>
              </w:rPr>
              <w:t>e</w:t>
            </w:r>
            <w:r w:rsidR="000E0000" w:rsidRPr="00466CCB">
              <w:rPr>
                <w:sz w:val="22"/>
                <w:lang w:val="es-ES"/>
              </w:rPr>
              <w:t xml:space="preserve"> un análisis de la interconexión Colombia Ecuador para atender de forma confiable y segura la demanda de energía en el mediano y largo plazo.</w:t>
            </w:r>
          </w:p>
          <w:p w14:paraId="397F91C5" w14:textId="77777777" w:rsidR="000E0000" w:rsidRPr="00E33D55" w:rsidRDefault="000E0000" w:rsidP="006900E1">
            <w:pPr>
              <w:rPr>
                <w:sz w:val="22"/>
                <w:lang w:val="es-ES"/>
              </w:rPr>
            </w:pPr>
          </w:p>
          <w:p w14:paraId="77768B8B" w14:textId="65CCAB58" w:rsidR="000E0000" w:rsidRPr="00B87BD7" w:rsidRDefault="00E33D55" w:rsidP="006900E1">
            <w:pPr>
              <w:rPr>
                <w:sz w:val="22"/>
                <w:lang w:val="es-BO"/>
              </w:rPr>
            </w:pPr>
            <w:r>
              <w:rPr>
                <w:sz w:val="22"/>
                <w:lang w:val="es-ES"/>
              </w:rPr>
              <w:t>R</w:t>
            </w:r>
            <w:proofErr w:type="spellStart"/>
            <w:r w:rsidR="00466CCB" w:rsidRPr="00466CCB">
              <w:rPr>
                <w:sz w:val="22"/>
                <w:lang w:val="es-BO"/>
              </w:rPr>
              <w:t>evis</w:t>
            </w:r>
            <w:r>
              <w:rPr>
                <w:sz w:val="22"/>
                <w:lang w:val="es-BO"/>
              </w:rPr>
              <w:t>ión</w:t>
            </w:r>
            <w:proofErr w:type="spellEnd"/>
            <w:r>
              <w:rPr>
                <w:sz w:val="22"/>
                <w:lang w:val="es-BO"/>
              </w:rPr>
              <w:t xml:space="preserve"> de</w:t>
            </w:r>
            <w:r w:rsidR="00466CCB" w:rsidRPr="00466CCB">
              <w:rPr>
                <w:sz w:val="22"/>
                <w:lang w:val="es-BO"/>
              </w:rPr>
              <w:t xml:space="preserve"> las opciones de remuneración de la Interconexión Colombia-Panamá, a fin de recomendar un esquema que permita la viabilidad financiera y eficiencia económica del proyecto</w:t>
            </w:r>
          </w:p>
        </w:tc>
        <w:tc>
          <w:tcPr>
            <w:tcW w:w="4984" w:type="dxa"/>
          </w:tcPr>
          <w:p w14:paraId="18194463" w14:textId="5682F820" w:rsidR="0055137D" w:rsidRDefault="00107109" w:rsidP="006900E1">
            <w:pPr>
              <w:suppressAutoHyphens/>
              <w:rPr>
                <w:rFonts w:cs="Arial"/>
                <w:sz w:val="22"/>
                <w:lang w:val="es-ES"/>
              </w:rPr>
            </w:pPr>
            <w:r>
              <w:rPr>
                <w:rFonts w:cs="Arial"/>
                <w:sz w:val="22"/>
                <w:lang w:val="es-ES"/>
              </w:rPr>
              <w:t>La CREG expidió la</w:t>
            </w:r>
            <w:r w:rsidR="0055137D" w:rsidRPr="00B87BD7">
              <w:rPr>
                <w:rFonts w:cs="Arial"/>
                <w:sz w:val="22"/>
                <w:lang w:val="es-ES"/>
              </w:rPr>
              <w:t xml:space="preserve"> Resolución 049 de 2018 en donde se modifica y adiciona la Resolución CREG 004 de 2003 que establece la regulación aplicable a las Transacciones Internacionales de Electricidad de Corto Plazo, TIE.</w:t>
            </w:r>
          </w:p>
          <w:p w14:paraId="7975CBEC" w14:textId="77777777" w:rsidR="00107109" w:rsidRPr="00B87BD7" w:rsidRDefault="00107109" w:rsidP="006900E1">
            <w:pPr>
              <w:suppressAutoHyphens/>
              <w:rPr>
                <w:rFonts w:cs="Arial"/>
                <w:sz w:val="22"/>
                <w:lang w:val="es-ES"/>
              </w:rPr>
            </w:pPr>
          </w:p>
          <w:p w14:paraId="1C6143D0" w14:textId="284A45F4" w:rsidR="0055137D" w:rsidRPr="00B87BD7" w:rsidRDefault="00CA4BDA" w:rsidP="006900E1">
            <w:pPr>
              <w:suppressAutoHyphens/>
              <w:rPr>
                <w:rFonts w:cs="Arial"/>
                <w:sz w:val="22"/>
                <w:lang w:val="es-ES"/>
              </w:rPr>
            </w:pPr>
            <w:r>
              <w:rPr>
                <w:rFonts w:cs="Arial"/>
                <w:sz w:val="22"/>
                <w:lang w:val="es-ES"/>
              </w:rPr>
              <w:t>E</w:t>
            </w:r>
            <w:r w:rsidR="0055137D" w:rsidRPr="00B87BD7">
              <w:rPr>
                <w:rFonts w:cs="Arial"/>
                <w:sz w:val="22"/>
                <w:lang w:val="es-ES"/>
              </w:rPr>
              <w:t>l Plan de Expansión de Generación y Transmisión de Energía Eléctrica</w:t>
            </w:r>
            <w:r>
              <w:rPr>
                <w:rFonts w:cs="Arial"/>
                <w:sz w:val="22"/>
                <w:lang w:val="es-ES"/>
              </w:rPr>
              <w:t xml:space="preserve"> fue adoptado</w:t>
            </w:r>
            <w:r w:rsidR="0055137D" w:rsidRPr="00B87BD7">
              <w:rPr>
                <w:rFonts w:cs="Arial"/>
                <w:sz w:val="22"/>
                <w:lang w:val="es-ES"/>
              </w:rPr>
              <w:t xml:space="preserve"> mediante Resolución 40790 de 2018</w:t>
            </w:r>
            <w:r>
              <w:rPr>
                <w:rFonts w:cs="Arial"/>
                <w:sz w:val="22"/>
                <w:lang w:val="es-ES"/>
              </w:rPr>
              <w:t xml:space="preserve">. El Plan incluye </w:t>
            </w:r>
            <w:r w:rsidR="0055137D" w:rsidRPr="00B87BD7">
              <w:rPr>
                <w:rFonts w:cs="Arial"/>
                <w:sz w:val="22"/>
                <w:lang w:val="es-ES"/>
              </w:rPr>
              <w:t>un análisis de alternativas de interconexión Colombia – Ecuador.</w:t>
            </w:r>
          </w:p>
          <w:p w14:paraId="5A733EBB" w14:textId="371D16F1" w:rsidR="0055137D" w:rsidRDefault="0055137D" w:rsidP="006900E1">
            <w:pPr>
              <w:suppressAutoHyphens/>
              <w:rPr>
                <w:rFonts w:cs="Arial"/>
                <w:sz w:val="22"/>
                <w:lang w:val="es-ES"/>
              </w:rPr>
            </w:pPr>
          </w:p>
          <w:p w14:paraId="7205FF47" w14:textId="77777777" w:rsidR="00107109" w:rsidRPr="00B87BD7" w:rsidRDefault="00107109" w:rsidP="006900E1">
            <w:pPr>
              <w:suppressAutoHyphens/>
              <w:rPr>
                <w:rFonts w:cs="Arial"/>
                <w:sz w:val="22"/>
                <w:lang w:val="es-ES"/>
              </w:rPr>
            </w:pPr>
          </w:p>
          <w:p w14:paraId="19D43E7F" w14:textId="45ADC9EC" w:rsidR="0055137D" w:rsidRPr="00B87BD7" w:rsidRDefault="006900E1" w:rsidP="001F213D">
            <w:pPr>
              <w:suppressAutoHyphens/>
              <w:rPr>
                <w:rFonts w:cs="Arial"/>
                <w:sz w:val="22"/>
                <w:lang w:val="es-ES"/>
              </w:rPr>
            </w:pPr>
            <w:r>
              <w:rPr>
                <w:rFonts w:cs="Arial"/>
                <w:sz w:val="22"/>
                <w:lang w:val="es-ES_tradnl"/>
              </w:rPr>
              <w:t xml:space="preserve">Los presidentes de Colombia y Panamá </w:t>
            </w:r>
            <w:r w:rsidR="001F213D">
              <w:rPr>
                <w:rFonts w:cs="Arial"/>
                <w:sz w:val="22"/>
                <w:lang w:val="es-ES_tradnl"/>
              </w:rPr>
              <w:t xml:space="preserve">emitieron la </w:t>
            </w:r>
            <w:r w:rsidRPr="006900E1">
              <w:rPr>
                <w:rFonts w:cs="Arial"/>
                <w:sz w:val="22"/>
                <w:lang w:val="es-ES_tradnl"/>
              </w:rPr>
              <w:t>con ocasión de la visita oficial del 10 septiembre de 2018</w:t>
            </w:r>
            <w:r w:rsidR="001F213D">
              <w:rPr>
                <w:rFonts w:cs="Arial"/>
                <w:sz w:val="22"/>
                <w:lang w:val="es-ES_tradnl"/>
              </w:rPr>
              <w:t xml:space="preserve">, haciendo referencia a la revisión del </w:t>
            </w:r>
            <w:r w:rsidR="0055137D" w:rsidRPr="00B87BD7">
              <w:rPr>
                <w:rFonts w:cs="Arial"/>
                <w:sz w:val="22"/>
                <w:lang w:val="es-ES_tradnl"/>
              </w:rPr>
              <w:t>Estudio de la Revisión de Criterios Básicos y del Marco Normativo Resultante para el Desarrollo de la Interconexión Eléctrica y el Intercambio de Energía y Potencia Firme entre Colombia y Panamá (</w:t>
            </w:r>
            <w:r w:rsidR="0066056F" w:rsidRPr="00B87BD7">
              <w:rPr>
                <w:rFonts w:cs="Arial"/>
                <w:sz w:val="22"/>
                <w:lang w:val="es-ES_tradnl"/>
              </w:rPr>
              <w:t>agosto</w:t>
            </w:r>
            <w:r w:rsidR="0055137D" w:rsidRPr="00B87BD7">
              <w:rPr>
                <w:rFonts w:cs="Arial"/>
                <w:sz w:val="22"/>
                <w:lang w:val="es-ES_tradnl"/>
              </w:rPr>
              <w:t xml:space="preserve"> de 2018).</w:t>
            </w:r>
          </w:p>
        </w:tc>
      </w:tr>
    </w:tbl>
    <w:p w14:paraId="62AE1CAC" w14:textId="77777777" w:rsidR="00912CFE" w:rsidRPr="00CF0CBF" w:rsidRDefault="00912CFE" w:rsidP="000126F5">
      <w:pPr>
        <w:keepNext/>
        <w:widowControl w:val="0"/>
        <w:suppressAutoHyphens/>
        <w:rPr>
          <w:rFonts w:cs="Arial"/>
          <w:sz w:val="22"/>
          <w:szCs w:val="22"/>
          <w:lang w:val="es-ES_tradnl"/>
        </w:rPr>
      </w:pPr>
    </w:p>
    <w:p w14:paraId="62AE1CB5" w14:textId="6ABE428A" w:rsidR="00912CFE" w:rsidRPr="00CF0CBF" w:rsidRDefault="00912CFE" w:rsidP="0066056F">
      <w:pPr>
        <w:pStyle w:val="Paragraph"/>
        <w:numPr>
          <w:ilvl w:val="0"/>
          <w:numId w:val="0"/>
        </w:numPr>
        <w:jc w:val="center"/>
        <w:rPr>
          <w:rFonts w:cs="Arial"/>
          <w:b/>
          <w:sz w:val="22"/>
          <w:szCs w:val="22"/>
        </w:rPr>
      </w:pPr>
      <w:r w:rsidRPr="00827170">
        <w:rPr>
          <w:rFonts w:cs="Arial"/>
          <w:b/>
          <w:sz w:val="22"/>
          <w:szCs w:val="22"/>
        </w:rPr>
        <w:t xml:space="preserve">Cuadro </w:t>
      </w:r>
      <w:r w:rsidR="00B61817">
        <w:rPr>
          <w:rFonts w:cs="Arial"/>
          <w:b/>
          <w:sz w:val="22"/>
          <w:szCs w:val="22"/>
        </w:rPr>
        <w:t>2</w:t>
      </w:r>
      <w:r w:rsidRPr="00827170">
        <w:rPr>
          <w:rFonts w:cs="Arial"/>
          <w:b/>
          <w:sz w:val="22"/>
          <w:szCs w:val="22"/>
        </w:rPr>
        <w:t xml:space="preserve">: Progresos alcanzados en el proceso de </w:t>
      </w:r>
      <w:r w:rsidR="00C572B1" w:rsidRPr="00827170">
        <w:rPr>
          <w:rFonts w:cs="Arial"/>
          <w:b/>
          <w:sz w:val="22"/>
          <w:szCs w:val="22"/>
        </w:rPr>
        <w:t>fortalecimiento del mercado eléctrico</w:t>
      </w:r>
    </w:p>
    <w:tbl>
      <w:tblPr>
        <w:tblStyle w:val="TableGrid"/>
        <w:tblW w:w="12438" w:type="dxa"/>
        <w:tblInd w:w="18" w:type="dxa"/>
        <w:tblLook w:val="04A0" w:firstRow="1" w:lastRow="0" w:firstColumn="1" w:lastColumn="0" w:noHBand="0" w:noVBand="1"/>
      </w:tblPr>
      <w:tblGrid>
        <w:gridCol w:w="2702"/>
        <w:gridCol w:w="4751"/>
        <w:gridCol w:w="4985"/>
      </w:tblGrid>
      <w:tr w:rsidR="001F46AA" w:rsidRPr="00CF0CBF" w14:paraId="62AE1CB9" w14:textId="77777777" w:rsidTr="00742D1F">
        <w:trPr>
          <w:tblHeader/>
        </w:trPr>
        <w:tc>
          <w:tcPr>
            <w:tcW w:w="2702" w:type="dxa"/>
            <w:shd w:val="clear" w:color="auto" w:fill="D9D9D9" w:themeFill="background1" w:themeFillShade="D9"/>
            <w:vAlign w:val="center"/>
          </w:tcPr>
          <w:p w14:paraId="62AE1CB6" w14:textId="2CD1B017" w:rsidR="001F46AA" w:rsidRPr="00CF0CBF" w:rsidRDefault="001F46AA" w:rsidP="00AA0978">
            <w:pPr>
              <w:pStyle w:val="Paragraph"/>
              <w:numPr>
                <w:ilvl w:val="0"/>
                <w:numId w:val="0"/>
              </w:numPr>
              <w:spacing w:before="0" w:after="0"/>
              <w:jc w:val="center"/>
              <w:rPr>
                <w:rFonts w:cs="Arial"/>
                <w:b/>
                <w:sz w:val="22"/>
              </w:rPr>
            </w:pPr>
            <w:r w:rsidRPr="00CF0CBF">
              <w:rPr>
                <w:rFonts w:cs="Arial"/>
                <w:b/>
                <w:sz w:val="22"/>
              </w:rPr>
              <w:t>Problemas específicos y su</w:t>
            </w:r>
            <w:r w:rsidR="00B61817">
              <w:rPr>
                <w:rFonts w:cs="Arial"/>
                <w:b/>
                <w:sz w:val="22"/>
              </w:rPr>
              <w:t>s</w:t>
            </w:r>
            <w:r w:rsidRPr="00CF0CBF">
              <w:rPr>
                <w:rFonts w:cs="Arial"/>
                <w:b/>
                <w:sz w:val="22"/>
              </w:rPr>
              <w:t xml:space="preserve"> causas</w:t>
            </w:r>
          </w:p>
        </w:tc>
        <w:tc>
          <w:tcPr>
            <w:tcW w:w="4751" w:type="dxa"/>
            <w:shd w:val="clear" w:color="auto" w:fill="D9D9D9" w:themeFill="background1" w:themeFillShade="D9"/>
            <w:vAlign w:val="center"/>
          </w:tcPr>
          <w:p w14:paraId="62AE1CB7" w14:textId="77777777" w:rsidR="001F46AA" w:rsidRPr="00CF0CBF" w:rsidRDefault="00742D1F" w:rsidP="00742D1F">
            <w:pPr>
              <w:pStyle w:val="Paragraph"/>
              <w:numPr>
                <w:ilvl w:val="0"/>
                <w:numId w:val="0"/>
              </w:numPr>
              <w:spacing w:before="0" w:after="0"/>
              <w:jc w:val="center"/>
              <w:rPr>
                <w:rFonts w:cs="Arial"/>
                <w:b/>
                <w:sz w:val="22"/>
              </w:rPr>
            </w:pPr>
            <w:r w:rsidRPr="00CF0CBF">
              <w:rPr>
                <w:rFonts w:cs="Arial"/>
                <w:b/>
                <w:sz w:val="22"/>
              </w:rPr>
              <w:t>Reformas de Pol</w:t>
            </w:r>
            <w:proofErr w:type="spellStart"/>
            <w:r w:rsidRPr="00CF0CBF">
              <w:rPr>
                <w:rFonts w:cs="Arial"/>
                <w:b/>
                <w:sz w:val="22"/>
                <w:lang w:val="es-ES_tradnl"/>
              </w:rPr>
              <w:t>ítica</w:t>
            </w:r>
            <w:proofErr w:type="spellEnd"/>
            <w:r w:rsidRPr="00CF0CBF">
              <w:rPr>
                <w:rFonts w:cs="Arial"/>
                <w:b/>
                <w:sz w:val="22"/>
                <w:lang w:val="es-ES_tradnl"/>
              </w:rPr>
              <w:t xml:space="preserve"> para atacar el Problema</w:t>
            </w:r>
          </w:p>
        </w:tc>
        <w:tc>
          <w:tcPr>
            <w:tcW w:w="4985" w:type="dxa"/>
            <w:shd w:val="clear" w:color="auto" w:fill="D9D9D9" w:themeFill="background1" w:themeFillShade="D9"/>
            <w:vAlign w:val="center"/>
          </w:tcPr>
          <w:p w14:paraId="62AE1CB8" w14:textId="77777777" w:rsidR="001F46AA" w:rsidRPr="00CF0CBF" w:rsidRDefault="001F46AA" w:rsidP="00AA0978">
            <w:pPr>
              <w:pStyle w:val="Paragraph"/>
              <w:numPr>
                <w:ilvl w:val="0"/>
                <w:numId w:val="0"/>
              </w:numPr>
              <w:spacing w:before="0" w:after="0"/>
              <w:jc w:val="center"/>
              <w:rPr>
                <w:rFonts w:cs="Arial"/>
                <w:b/>
                <w:sz w:val="22"/>
              </w:rPr>
            </w:pPr>
            <w:r w:rsidRPr="00CF0CBF">
              <w:rPr>
                <w:rFonts w:cs="Arial"/>
                <w:b/>
                <w:sz w:val="22"/>
              </w:rPr>
              <w:t>Progresos alcanzados</w:t>
            </w:r>
          </w:p>
        </w:tc>
      </w:tr>
      <w:tr w:rsidR="001F46AA" w:rsidRPr="004F3AC8" w14:paraId="62AE1CF9" w14:textId="77777777" w:rsidTr="001F46AA">
        <w:tc>
          <w:tcPr>
            <w:tcW w:w="2702" w:type="dxa"/>
          </w:tcPr>
          <w:p w14:paraId="3D12DC06" w14:textId="77777777" w:rsidR="00FB01E2" w:rsidRDefault="00822308" w:rsidP="00846E43">
            <w:pPr>
              <w:rPr>
                <w:rFonts w:cs="Arial"/>
                <w:b/>
                <w:sz w:val="22"/>
                <w:lang w:val="es-BO"/>
              </w:rPr>
            </w:pPr>
            <w:r w:rsidRPr="00CF0CBF">
              <w:rPr>
                <w:rFonts w:cs="Arial"/>
                <w:b/>
                <w:sz w:val="22"/>
                <w:lang w:val="es-BO"/>
              </w:rPr>
              <w:t xml:space="preserve">Fortalecer el Mercado de Energía Mayorista con medidas que permitan aumentar y garantizar la oferta de Gas Natural para generación y administrar la </w:t>
            </w:r>
            <w:r w:rsidRPr="00CF0CBF">
              <w:rPr>
                <w:rFonts w:cs="Arial"/>
                <w:b/>
                <w:sz w:val="22"/>
                <w:lang w:val="es-BO"/>
              </w:rPr>
              <w:lastRenderedPageBreak/>
              <w:t xml:space="preserve">demanda de energía. </w:t>
            </w:r>
          </w:p>
          <w:p w14:paraId="7F483C28" w14:textId="77777777" w:rsidR="00FB01E2" w:rsidRDefault="00FB01E2" w:rsidP="00846E43">
            <w:pPr>
              <w:rPr>
                <w:rFonts w:cs="Arial"/>
                <w:sz w:val="22"/>
                <w:lang w:val="es-BO"/>
              </w:rPr>
            </w:pPr>
          </w:p>
          <w:p w14:paraId="62AE1CBB" w14:textId="30EDC350" w:rsidR="001F46AA" w:rsidRPr="00CF0CBF" w:rsidRDefault="00822308" w:rsidP="00856AA1">
            <w:pPr>
              <w:rPr>
                <w:rFonts w:cs="Arial"/>
                <w:sz w:val="22"/>
                <w:lang w:val="es-ES"/>
              </w:rPr>
            </w:pPr>
            <w:r w:rsidRPr="00CF0CBF">
              <w:rPr>
                <w:rFonts w:cs="Arial"/>
                <w:sz w:val="22"/>
                <w:lang w:val="es-ES"/>
              </w:rPr>
              <w:t>El mercado de GN adolece de serias deficiencias que impiden un suministro fluido y predecible para generación eléctrica, arriesgando el desarrollo de este energético a pesar de sus ventajas económicas. Para mejorar en este aspecto se debe trabajar en los siguientes problemas: (i) diseñar criterios de ejecución bajo los cuales se implementarán ajustes al esquema de comercialización mayorista de GN; (</w:t>
            </w:r>
            <w:proofErr w:type="spellStart"/>
            <w:r w:rsidRPr="00CF0CBF">
              <w:rPr>
                <w:rFonts w:cs="Arial"/>
                <w:sz w:val="22"/>
                <w:lang w:val="es-ES"/>
              </w:rPr>
              <w:t>ii</w:t>
            </w:r>
            <w:proofErr w:type="spellEnd"/>
            <w:r w:rsidRPr="00CF0CBF">
              <w:rPr>
                <w:rFonts w:cs="Arial"/>
                <w:sz w:val="22"/>
                <w:lang w:val="es-ES"/>
              </w:rPr>
              <w:t>) adoptar el Plan Transitorio de Abastecimiento de GN; (</w:t>
            </w:r>
            <w:proofErr w:type="spellStart"/>
            <w:r w:rsidRPr="00CF0CBF">
              <w:rPr>
                <w:rFonts w:cs="Arial"/>
                <w:sz w:val="22"/>
                <w:lang w:val="es-ES"/>
              </w:rPr>
              <w:t>iii</w:t>
            </w:r>
            <w:proofErr w:type="spellEnd"/>
            <w:r w:rsidRPr="00CF0CBF">
              <w:rPr>
                <w:rFonts w:cs="Arial"/>
                <w:sz w:val="22"/>
                <w:lang w:val="es-ES"/>
              </w:rPr>
              <w:t xml:space="preserve">) </w:t>
            </w:r>
            <w:r w:rsidR="00846E43" w:rsidRPr="00CF0CBF">
              <w:rPr>
                <w:rFonts w:cs="Arial"/>
                <w:sz w:val="22"/>
                <w:lang w:val="es-ES"/>
              </w:rPr>
              <w:t>que entre en operación el Gestor del Mercado de GN encargado de gestionar los mercados primario y secundario de GN; (</w:t>
            </w:r>
            <w:proofErr w:type="spellStart"/>
            <w:r w:rsidR="00846E43" w:rsidRPr="00CF0CBF">
              <w:rPr>
                <w:rFonts w:cs="Arial"/>
                <w:sz w:val="22"/>
                <w:lang w:val="es-ES"/>
              </w:rPr>
              <w:t>iv</w:t>
            </w:r>
            <w:proofErr w:type="spellEnd"/>
            <w:r w:rsidR="00846E43" w:rsidRPr="00CF0CBF">
              <w:rPr>
                <w:rFonts w:cs="Arial"/>
                <w:sz w:val="22"/>
                <w:lang w:val="es-ES"/>
              </w:rPr>
              <w:t xml:space="preserve">) desarrollar instrumentos técnicos, jurídicos, económico-financieros, de planificación y de información para el Programa de Uso Racional y Eficiente de </w:t>
            </w:r>
            <w:r w:rsidR="00846E43" w:rsidRPr="00CF0CBF">
              <w:rPr>
                <w:rFonts w:cs="Arial"/>
                <w:sz w:val="22"/>
                <w:lang w:val="es-ES"/>
              </w:rPr>
              <w:lastRenderedPageBreak/>
              <w:t>Energía (PROURE); (v) elaborar una guía para la formulación e implementación de planes de gestión eficiente de la energía en entidades públicas; (vi) adoptar un sistema de etiquetado e información al consumidor sobre eficiencia energética; (</w:t>
            </w:r>
            <w:proofErr w:type="spellStart"/>
            <w:r w:rsidR="00846E43" w:rsidRPr="00CF0CBF">
              <w:rPr>
                <w:rFonts w:cs="Arial"/>
                <w:sz w:val="22"/>
                <w:lang w:val="es-ES"/>
              </w:rPr>
              <w:t>vii</w:t>
            </w:r>
            <w:proofErr w:type="spellEnd"/>
            <w:r w:rsidR="00846E43" w:rsidRPr="00CF0CBF">
              <w:rPr>
                <w:rFonts w:cs="Arial"/>
                <w:sz w:val="22"/>
                <w:lang w:val="es-ES"/>
              </w:rPr>
              <w:t>) implementar redes inteligentes que inducen al ahorro energético; (</w:t>
            </w:r>
            <w:proofErr w:type="spellStart"/>
            <w:r w:rsidR="00846E43" w:rsidRPr="00CF0CBF">
              <w:rPr>
                <w:rFonts w:cs="Arial"/>
                <w:sz w:val="22"/>
                <w:lang w:val="es-ES"/>
              </w:rPr>
              <w:t>viii</w:t>
            </w:r>
            <w:proofErr w:type="spellEnd"/>
            <w:r w:rsidR="00846E43" w:rsidRPr="00CF0CBF">
              <w:rPr>
                <w:rFonts w:cs="Arial"/>
                <w:sz w:val="22"/>
                <w:lang w:val="es-ES"/>
              </w:rPr>
              <w:t xml:space="preserve">) Adopción de disposiciones en materia de implementación de mecanismos de respuesta de la demanda; </w:t>
            </w:r>
            <w:r w:rsidR="00856AA1">
              <w:rPr>
                <w:rFonts w:cs="Arial"/>
                <w:sz w:val="22"/>
                <w:lang w:val="es-ES"/>
              </w:rPr>
              <w:t xml:space="preserve">y </w:t>
            </w:r>
            <w:r w:rsidR="00846E43" w:rsidRPr="00CF0CBF">
              <w:rPr>
                <w:rFonts w:cs="Arial"/>
                <w:sz w:val="22"/>
                <w:lang w:val="es-ES"/>
              </w:rPr>
              <w:t>(</w:t>
            </w:r>
            <w:proofErr w:type="spellStart"/>
            <w:r w:rsidR="00846E43" w:rsidRPr="00CF0CBF">
              <w:rPr>
                <w:rFonts w:cs="Arial"/>
                <w:sz w:val="22"/>
                <w:lang w:val="es-ES"/>
              </w:rPr>
              <w:t>ix</w:t>
            </w:r>
            <w:proofErr w:type="spellEnd"/>
            <w:r w:rsidR="00846E43" w:rsidRPr="00CF0CBF">
              <w:rPr>
                <w:rFonts w:cs="Arial"/>
                <w:sz w:val="22"/>
                <w:lang w:val="es-ES"/>
              </w:rPr>
              <w:t xml:space="preserve">) Diseño de los mecanismos para la desconexión voluntaria de la demanda como medio para dar </w:t>
            </w:r>
            <w:bookmarkStart w:id="0" w:name="_Hlk526505619"/>
            <w:r w:rsidR="00846E43" w:rsidRPr="00CF0CBF">
              <w:rPr>
                <w:rFonts w:cs="Arial"/>
                <w:sz w:val="22"/>
                <w:lang w:val="es-ES"/>
              </w:rPr>
              <w:t>confiabilidad al SIN</w:t>
            </w:r>
            <w:bookmarkEnd w:id="0"/>
            <w:r w:rsidR="00856AA1">
              <w:rPr>
                <w:rFonts w:cs="Arial"/>
                <w:sz w:val="22"/>
                <w:lang w:val="es-ES"/>
              </w:rPr>
              <w:t>.</w:t>
            </w:r>
            <w:r w:rsidR="00846E43" w:rsidRPr="00CF0CBF">
              <w:rPr>
                <w:rFonts w:cs="Arial"/>
                <w:sz w:val="22"/>
                <w:lang w:val="es-ES"/>
              </w:rPr>
              <w:t xml:space="preserve"> </w:t>
            </w:r>
          </w:p>
        </w:tc>
        <w:tc>
          <w:tcPr>
            <w:tcW w:w="4751" w:type="dxa"/>
          </w:tcPr>
          <w:p w14:paraId="62AE1CBC" w14:textId="77777777" w:rsidR="00241B30" w:rsidRPr="00CF0CBF" w:rsidRDefault="00E7575F" w:rsidP="00E03ADC">
            <w:pPr>
              <w:keepNext/>
              <w:widowControl w:val="0"/>
              <w:suppressAutoHyphens/>
              <w:ind w:left="193" w:hanging="193"/>
              <w:rPr>
                <w:rFonts w:cs="Arial"/>
                <w:spacing w:val="-2"/>
                <w:sz w:val="22"/>
                <w:lang w:val="es-ES_tradnl"/>
              </w:rPr>
            </w:pPr>
            <w:r w:rsidRPr="00CF0CBF">
              <w:rPr>
                <w:rFonts w:cs="Arial"/>
                <w:b/>
                <w:spacing w:val="-2"/>
                <w:sz w:val="22"/>
                <w:lang w:val="es-ES_tradnl"/>
              </w:rPr>
              <w:lastRenderedPageBreak/>
              <w:t>Gas Natural (GN)</w:t>
            </w:r>
          </w:p>
          <w:p w14:paraId="62AE1CBD" w14:textId="77777777" w:rsidR="00241B30" w:rsidRPr="00CF0CBF" w:rsidRDefault="00E7575F" w:rsidP="00E03ADC">
            <w:pPr>
              <w:suppressAutoHyphens/>
              <w:rPr>
                <w:rFonts w:cs="Arial"/>
                <w:spacing w:val="-2"/>
                <w:sz w:val="22"/>
                <w:lang w:val="es-ES"/>
              </w:rPr>
            </w:pPr>
            <w:r w:rsidRPr="00CF0CBF">
              <w:rPr>
                <w:rFonts w:cs="Arial"/>
                <w:spacing w:val="-2"/>
                <w:sz w:val="22"/>
                <w:lang w:val="es-ES"/>
              </w:rPr>
              <w:t>Se debe expedir regulación que incorpore ajustes a los mecanismos de comercialización del GN.</w:t>
            </w:r>
          </w:p>
          <w:p w14:paraId="62AE1CBE" w14:textId="2A32E64F" w:rsidR="00E7575F" w:rsidRDefault="00E7575F" w:rsidP="00E03ADC">
            <w:pPr>
              <w:suppressAutoHyphens/>
              <w:rPr>
                <w:rFonts w:cs="Arial"/>
                <w:spacing w:val="-2"/>
                <w:sz w:val="22"/>
                <w:lang w:val="es-ES"/>
              </w:rPr>
            </w:pPr>
          </w:p>
          <w:p w14:paraId="7DBA1C5E" w14:textId="67DF40C6" w:rsidR="00BF2770" w:rsidRDefault="00BF2770" w:rsidP="00E03ADC">
            <w:pPr>
              <w:suppressAutoHyphens/>
              <w:rPr>
                <w:rFonts w:cs="Arial"/>
                <w:spacing w:val="-2"/>
                <w:sz w:val="22"/>
                <w:lang w:val="es-ES"/>
              </w:rPr>
            </w:pPr>
          </w:p>
          <w:p w14:paraId="7AC4EB3B" w14:textId="162554C6" w:rsidR="00BF2770" w:rsidRDefault="00BF2770" w:rsidP="00E03ADC">
            <w:pPr>
              <w:suppressAutoHyphens/>
              <w:rPr>
                <w:rFonts w:cs="Arial"/>
                <w:spacing w:val="-2"/>
                <w:sz w:val="22"/>
                <w:lang w:val="es-ES"/>
              </w:rPr>
            </w:pPr>
          </w:p>
          <w:p w14:paraId="3131DD6A" w14:textId="77777777" w:rsidR="00E1217B" w:rsidRPr="00CF0CBF" w:rsidRDefault="00E1217B" w:rsidP="00E03ADC">
            <w:pPr>
              <w:suppressAutoHyphens/>
              <w:rPr>
                <w:rFonts w:cs="Arial"/>
                <w:spacing w:val="-2"/>
                <w:sz w:val="22"/>
                <w:lang w:val="es-ES"/>
              </w:rPr>
            </w:pPr>
          </w:p>
          <w:p w14:paraId="62AE1CBF" w14:textId="77777777" w:rsidR="00241B30" w:rsidRPr="00CF0CBF" w:rsidRDefault="00E7575F" w:rsidP="00E03ADC">
            <w:pPr>
              <w:keepNext/>
              <w:widowControl w:val="0"/>
              <w:suppressAutoHyphens/>
              <w:ind w:left="193" w:hanging="193"/>
              <w:rPr>
                <w:rFonts w:cs="Arial"/>
                <w:smallCaps/>
                <w:spacing w:val="-2"/>
                <w:sz w:val="22"/>
                <w:lang w:val="es-ES_tradnl"/>
              </w:rPr>
            </w:pPr>
            <w:r w:rsidRPr="00CF0CBF">
              <w:rPr>
                <w:rFonts w:cs="Arial"/>
                <w:b/>
                <w:spacing w:val="-2"/>
                <w:sz w:val="22"/>
                <w:lang w:val="es-ES_tradnl"/>
              </w:rPr>
              <w:t>Plan Transitorio de Abastecimiento de GN</w:t>
            </w:r>
          </w:p>
          <w:p w14:paraId="62AE1CC0" w14:textId="77777777" w:rsidR="003D2C53" w:rsidRPr="00CF0CBF" w:rsidRDefault="00E7575F" w:rsidP="00E03ADC">
            <w:pPr>
              <w:suppressAutoHyphens/>
              <w:rPr>
                <w:rFonts w:cs="Arial"/>
                <w:spacing w:val="-2"/>
                <w:sz w:val="22"/>
                <w:lang w:val="es-ES"/>
              </w:rPr>
            </w:pPr>
            <w:r w:rsidRPr="00CF0CBF">
              <w:rPr>
                <w:rFonts w:cs="Arial"/>
                <w:spacing w:val="-2"/>
                <w:sz w:val="22"/>
                <w:lang w:val="es-ES"/>
              </w:rPr>
              <w:t>Implementar el Plan Transitorio de Abastecimiento de GN adoptado en 2017</w:t>
            </w:r>
          </w:p>
          <w:p w14:paraId="62AE1CC1" w14:textId="322000DF" w:rsidR="00E7575F" w:rsidRDefault="00E7575F" w:rsidP="00E03ADC">
            <w:pPr>
              <w:suppressAutoHyphens/>
              <w:rPr>
                <w:rFonts w:cs="Arial"/>
                <w:spacing w:val="-2"/>
                <w:sz w:val="22"/>
                <w:lang w:val="es-ES"/>
              </w:rPr>
            </w:pPr>
          </w:p>
          <w:p w14:paraId="10CE3412" w14:textId="51B04DD6" w:rsidR="00A93836" w:rsidRDefault="00A93836" w:rsidP="00E03ADC">
            <w:pPr>
              <w:suppressAutoHyphens/>
              <w:rPr>
                <w:rFonts w:cs="Arial"/>
                <w:spacing w:val="-2"/>
                <w:sz w:val="22"/>
                <w:lang w:val="es-ES"/>
              </w:rPr>
            </w:pPr>
          </w:p>
          <w:p w14:paraId="73A6E687" w14:textId="64E6B670" w:rsidR="00A93836" w:rsidRDefault="00A93836" w:rsidP="00E03ADC">
            <w:pPr>
              <w:suppressAutoHyphens/>
              <w:rPr>
                <w:rFonts w:cs="Arial"/>
                <w:spacing w:val="-2"/>
                <w:sz w:val="22"/>
                <w:lang w:val="es-ES"/>
              </w:rPr>
            </w:pPr>
          </w:p>
          <w:p w14:paraId="01F1C806" w14:textId="33933FC9" w:rsidR="00A93836" w:rsidRDefault="00A93836" w:rsidP="00E03ADC">
            <w:pPr>
              <w:suppressAutoHyphens/>
              <w:rPr>
                <w:rFonts w:cs="Arial"/>
                <w:spacing w:val="-2"/>
                <w:sz w:val="22"/>
                <w:lang w:val="es-ES"/>
              </w:rPr>
            </w:pPr>
          </w:p>
          <w:p w14:paraId="3302BEF1" w14:textId="0B63E185" w:rsidR="00A93836" w:rsidRDefault="00A93836" w:rsidP="00E03ADC">
            <w:pPr>
              <w:suppressAutoHyphens/>
              <w:rPr>
                <w:rFonts w:cs="Arial"/>
                <w:spacing w:val="-2"/>
                <w:sz w:val="22"/>
                <w:lang w:val="es-ES"/>
              </w:rPr>
            </w:pPr>
          </w:p>
          <w:p w14:paraId="11CF671D" w14:textId="5CB37510" w:rsidR="00A93836" w:rsidRDefault="00A93836" w:rsidP="00E03ADC">
            <w:pPr>
              <w:suppressAutoHyphens/>
              <w:rPr>
                <w:rFonts w:cs="Arial"/>
                <w:spacing w:val="-2"/>
                <w:sz w:val="22"/>
                <w:lang w:val="es-ES"/>
              </w:rPr>
            </w:pPr>
          </w:p>
          <w:p w14:paraId="35D4F51B" w14:textId="45CBE3BA" w:rsidR="00A93836" w:rsidRDefault="00A93836" w:rsidP="00E03ADC">
            <w:pPr>
              <w:suppressAutoHyphens/>
              <w:rPr>
                <w:rFonts w:cs="Arial"/>
                <w:spacing w:val="-2"/>
                <w:sz w:val="22"/>
                <w:lang w:val="es-ES"/>
              </w:rPr>
            </w:pPr>
          </w:p>
          <w:p w14:paraId="39EC307C" w14:textId="350CDDB0" w:rsidR="00A93836" w:rsidRDefault="00A93836" w:rsidP="00E03ADC">
            <w:pPr>
              <w:suppressAutoHyphens/>
              <w:rPr>
                <w:rFonts w:cs="Arial"/>
                <w:spacing w:val="-2"/>
                <w:sz w:val="22"/>
                <w:lang w:val="es-ES"/>
              </w:rPr>
            </w:pPr>
          </w:p>
          <w:p w14:paraId="49A17E35" w14:textId="537385DA" w:rsidR="00A93836" w:rsidRDefault="00A93836" w:rsidP="00E03ADC">
            <w:pPr>
              <w:suppressAutoHyphens/>
              <w:rPr>
                <w:rFonts w:cs="Arial"/>
                <w:spacing w:val="-2"/>
                <w:sz w:val="22"/>
                <w:lang w:val="es-ES"/>
              </w:rPr>
            </w:pPr>
          </w:p>
          <w:p w14:paraId="11E2EACB" w14:textId="121402D8" w:rsidR="00A93836" w:rsidRDefault="00A93836" w:rsidP="00E03ADC">
            <w:pPr>
              <w:suppressAutoHyphens/>
              <w:rPr>
                <w:rFonts w:cs="Arial"/>
                <w:spacing w:val="-2"/>
                <w:sz w:val="22"/>
                <w:lang w:val="es-ES"/>
              </w:rPr>
            </w:pPr>
          </w:p>
          <w:p w14:paraId="24BDD1F1" w14:textId="212BCA3E" w:rsidR="00E03ADC" w:rsidRDefault="00E03ADC" w:rsidP="00E03ADC">
            <w:pPr>
              <w:suppressAutoHyphens/>
              <w:rPr>
                <w:rFonts w:cs="Arial"/>
                <w:spacing w:val="-2"/>
                <w:sz w:val="22"/>
                <w:lang w:val="es-ES"/>
              </w:rPr>
            </w:pPr>
          </w:p>
          <w:p w14:paraId="27FA6F23" w14:textId="4D86578C" w:rsidR="00E03ADC" w:rsidRDefault="00E03ADC" w:rsidP="00E03ADC">
            <w:pPr>
              <w:suppressAutoHyphens/>
              <w:rPr>
                <w:rFonts w:cs="Arial"/>
                <w:spacing w:val="-2"/>
                <w:sz w:val="22"/>
                <w:lang w:val="es-ES"/>
              </w:rPr>
            </w:pPr>
          </w:p>
          <w:p w14:paraId="35D97ACA" w14:textId="7348648E" w:rsidR="00E03ADC" w:rsidRDefault="00E03ADC" w:rsidP="00E03ADC">
            <w:pPr>
              <w:suppressAutoHyphens/>
              <w:rPr>
                <w:rFonts w:cs="Arial"/>
                <w:spacing w:val="-2"/>
                <w:sz w:val="22"/>
                <w:lang w:val="es-ES"/>
              </w:rPr>
            </w:pPr>
          </w:p>
          <w:p w14:paraId="08DAD2A8" w14:textId="77777777" w:rsidR="00A93836" w:rsidRPr="00CF0CBF" w:rsidRDefault="00A93836" w:rsidP="00E03ADC">
            <w:pPr>
              <w:suppressAutoHyphens/>
              <w:rPr>
                <w:rFonts w:cs="Arial"/>
                <w:spacing w:val="-2"/>
                <w:sz w:val="22"/>
                <w:lang w:val="es-ES"/>
              </w:rPr>
            </w:pPr>
          </w:p>
          <w:p w14:paraId="62AE1CC2" w14:textId="77777777" w:rsidR="003D2C53" w:rsidRPr="00CF0CBF" w:rsidRDefault="00E763D8" w:rsidP="00E03ADC">
            <w:pPr>
              <w:suppressAutoHyphens/>
              <w:rPr>
                <w:rFonts w:cs="Arial"/>
                <w:spacing w:val="-2"/>
                <w:sz w:val="22"/>
                <w:lang w:val="es-ES"/>
              </w:rPr>
            </w:pPr>
            <w:r w:rsidRPr="00CF0CBF">
              <w:rPr>
                <w:rFonts w:cs="Arial"/>
                <w:b/>
                <w:spacing w:val="-2"/>
                <w:sz w:val="22"/>
                <w:lang w:val="es-ES"/>
              </w:rPr>
              <w:t>Gestor del Mercado de GN</w:t>
            </w:r>
            <w:r w:rsidR="003D2C53" w:rsidRPr="00CF0CBF">
              <w:rPr>
                <w:rFonts w:cs="Arial"/>
                <w:spacing w:val="-2"/>
                <w:sz w:val="22"/>
                <w:lang w:val="es-ES"/>
              </w:rPr>
              <w:t xml:space="preserve"> </w:t>
            </w:r>
            <w:r w:rsidRPr="00CF0CBF">
              <w:rPr>
                <w:rFonts w:cs="Arial"/>
                <w:spacing w:val="-2"/>
                <w:sz w:val="22"/>
                <w:lang w:val="es-ES"/>
              </w:rPr>
              <w:t>haya estabilizado su operación y esté generando indicadores de mercado.</w:t>
            </w:r>
          </w:p>
          <w:p w14:paraId="62AE1CC3" w14:textId="10A59307" w:rsidR="003D2C53" w:rsidRDefault="003D2C53" w:rsidP="00E03ADC">
            <w:pPr>
              <w:suppressAutoHyphens/>
              <w:rPr>
                <w:rFonts w:cs="Arial"/>
                <w:spacing w:val="-2"/>
                <w:sz w:val="22"/>
                <w:lang w:val="es-ES"/>
              </w:rPr>
            </w:pPr>
          </w:p>
          <w:p w14:paraId="3B062D8A" w14:textId="770DD13C" w:rsidR="00E03ADC" w:rsidRDefault="00E03ADC" w:rsidP="00E03ADC">
            <w:pPr>
              <w:suppressAutoHyphens/>
              <w:rPr>
                <w:rFonts w:cs="Arial"/>
                <w:spacing w:val="-2"/>
                <w:sz w:val="22"/>
                <w:lang w:val="es-ES"/>
              </w:rPr>
            </w:pPr>
          </w:p>
          <w:p w14:paraId="6820DD49" w14:textId="77777777" w:rsidR="00E03ADC" w:rsidRPr="00CF0CBF" w:rsidRDefault="00E03ADC" w:rsidP="00E03ADC">
            <w:pPr>
              <w:suppressAutoHyphens/>
              <w:rPr>
                <w:rFonts w:cs="Arial"/>
                <w:spacing w:val="-2"/>
                <w:sz w:val="22"/>
                <w:lang w:val="es-ES"/>
              </w:rPr>
            </w:pPr>
          </w:p>
          <w:p w14:paraId="62AE1CC4" w14:textId="77777777" w:rsidR="003D2C53" w:rsidRPr="00CF0CBF" w:rsidRDefault="00E763D8" w:rsidP="00E03ADC">
            <w:pPr>
              <w:suppressAutoHyphens/>
              <w:rPr>
                <w:rFonts w:cs="Arial"/>
                <w:sz w:val="22"/>
                <w:lang w:val="es-ES"/>
              </w:rPr>
            </w:pPr>
            <w:r w:rsidRPr="00CF0CBF">
              <w:rPr>
                <w:rFonts w:cs="Arial"/>
                <w:sz w:val="22"/>
                <w:lang w:val="es-ES"/>
              </w:rPr>
              <w:t xml:space="preserve">Actualización del marco normativo para que los proyectos de </w:t>
            </w:r>
            <w:r w:rsidRPr="00CF0CBF">
              <w:rPr>
                <w:rFonts w:cs="Arial"/>
                <w:b/>
                <w:sz w:val="22"/>
                <w:lang w:val="es-ES"/>
              </w:rPr>
              <w:t>eficiencia energética</w:t>
            </w:r>
            <w:r w:rsidRPr="00CF0CBF">
              <w:rPr>
                <w:rFonts w:cs="Arial"/>
                <w:sz w:val="22"/>
                <w:lang w:val="es-ES"/>
              </w:rPr>
              <w:t xml:space="preserve"> puedan acceder a incentivos tributarios. </w:t>
            </w:r>
          </w:p>
          <w:p w14:paraId="62AE1CC5" w14:textId="1E61007B" w:rsidR="00E763D8" w:rsidRDefault="00E763D8" w:rsidP="00E03ADC">
            <w:pPr>
              <w:suppressAutoHyphens/>
              <w:rPr>
                <w:rFonts w:cs="Arial"/>
                <w:sz w:val="22"/>
                <w:lang w:val="es-ES"/>
              </w:rPr>
            </w:pPr>
          </w:p>
          <w:p w14:paraId="0A5C210A" w14:textId="0B6C3283" w:rsidR="008C5331" w:rsidRDefault="008C5331" w:rsidP="00E03ADC">
            <w:pPr>
              <w:suppressAutoHyphens/>
              <w:rPr>
                <w:rFonts w:cs="Arial"/>
                <w:sz w:val="22"/>
                <w:lang w:val="es-ES"/>
              </w:rPr>
            </w:pPr>
          </w:p>
          <w:p w14:paraId="50DA6FB4" w14:textId="66FC3B5B" w:rsidR="008C5331" w:rsidRDefault="008C5331" w:rsidP="00E03ADC">
            <w:pPr>
              <w:suppressAutoHyphens/>
              <w:rPr>
                <w:rFonts w:cs="Arial"/>
                <w:sz w:val="22"/>
                <w:lang w:val="es-ES"/>
              </w:rPr>
            </w:pPr>
          </w:p>
          <w:p w14:paraId="757E12A2" w14:textId="009DC55F" w:rsidR="008C5331" w:rsidRDefault="008C5331" w:rsidP="00E03ADC">
            <w:pPr>
              <w:suppressAutoHyphens/>
              <w:rPr>
                <w:rFonts w:cs="Arial"/>
                <w:sz w:val="22"/>
                <w:lang w:val="es-ES"/>
              </w:rPr>
            </w:pPr>
          </w:p>
          <w:p w14:paraId="3FA96C02" w14:textId="61A15FCB" w:rsidR="008C5331" w:rsidRDefault="008C5331" w:rsidP="00E03ADC">
            <w:pPr>
              <w:suppressAutoHyphens/>
              <w:rPr>
                <w:rFonts w:cs="Arial"/>
                <w:sz w:val="22"/>
                <w:lang w:val="es-ES"/>
              </w:rPr>
            </w:pPr>
          </w:p>
          <w:p w14:paraId="06E4D69A" w14:textId="14097BFC" w:rsidR="008C5331" w:rsidRDefault="008C5331" w:rsidP="00E03ADC">
            <w:pPr>
              <w:suppressAutoHyphens/>
              <w:rPr>
                <w:rFonts w:cs="Arial"/>
                <w:sz w:val="22"/>
                <w:lang w:val="es-ES"/>
              </w:rPr>
            </w:pPr>
          </w:p>
          <w:p w14:paraId="4AE62233" w14:textId="79BAEC72" w:rsidR="008C5331" w:rsidRDefault="008C5331" w:rsidP="00E03ADC">
            <w:pPr>
              <w:suppressAutoHyphens/>
              <w:rPr>
                <w:rFonts w:cs="Arial"/>
                <w:sz w:val="22"/>
                <w:lang w:val="es-ES"/>
              </w:rPr>
            </w:pPr>
          </w:p>
          <w:p w14:paraId="130DBD2A" w14:textId="111EAF87" w:rsidR="008C5331" w:rsidRDefault="008C5331" w:rsidP="00E03ADC">
            <w:pPr>
              <w:suppressAutoHyphens/>
              <w:rPr>
                <w:rFonts w:cs="Arial"/>
                <w:sz w:val="22"/>
                <w:lang w:val="es-ES"/>
              </w:rPr>
            </w:pPr>
          </w:p>
          <w:p w14:paraId="61409B84" w14:textId="069B101E" w:rsidR="008C5331" w:rsidRDefault="008C5331" w:rsidP="00E03ADC">
            <w:pPr>
              <w:suppressAutoHyphens/>
              <w:rPr>
                <w:rFonts w:cs="Arial"/>
                <w:sz w:val="22"/>
                <w:lang w:val="es-ES"/>
              </w:rPr>
            </w:pPr>
          </w:p>
          <w:p w14:paraId="05C5F75D" w14:textId="16AF6190" w:rsidR="008C5331" w:rsidRDefault="008C5331" w:rsidP="00E03ADC">
            <w:pPr>
              <w:suppressAutoHyphens/>
              <w:rPr>
                <w:rFonts w:cs="Arial"/>
                <w:sz w:val="22"/>
                <w:lang w:val="es-ES"/>
              </w:rPr>
            </w:pPr>
          </w:p>
          <w:p w14:paraId="613E7C52" w14:textId="353439AB" w:rsidR="008C5331" w:rsidRDefault="008C5331" w:rsidP="00E03ADC">
            <w:pPr>
              <w:suppressAutoHyphens/>
              <w:rPr>
                <w:rFonts w:cs="Arial"/>
                <w:sz w:val="22"/>
                <w:lang w:val="es-ES"/>
              </w:rPr>
            </w:pPr>
          </w:p>
          <w:p w14:paraId="2F9533D5" w14:textId="09F23CA3" w:rsidR="008C5331" w:rsidRDefault="008C5331" w:rsidP="00E03ADC">
            <w:pPr>
              <w:suppressAutoHyphens/>
              <w:rPr>
                <w:rFonts w:cs="Arial"/>
                <w:sz w:val="22"/>
                <w:lang w:val="es-ES"/>
              </w:rPr>
            </w:pPr>
          </w:p>
          <w:p w14:paraId="2D0CECEB" w14:textId="77777777" w:rsidR="008C5331" w:rsidRPr="00CF0CBF" w:rsidRDefault="008C5331" w:rsidP="00E03ADC">
            <w:pPr>
              <w:suppressAutoHyphens/>
              <w:rPr>
                <w:rFonts w:cs="Arial"/>
                <w:sz w:val="22"/>
                <w:lang w:val="es-ES"/>
              </w:rPr>
            </w:pPr>
          </w:p>
          <w:p w14:paraId="62AE1CC6" w14:textId="77777777" w:rsidR="00E763D8" w:rsidRPr="00CF0CBF" w:rsidRDefault="00E763D8" w:rsidP="00E03ADC">
            <w:pPr>
              <w:suppressAutoHyphens/>
              <w:rPr>
                <w:rFonts w:cs="Arial"/>
                <w:sz w:val="22"/>
                <w:lang w:val="es-ES"/>
              </w:rPr>
            </w:pPr>
            <w:r w:rsidRPr="00CF0CBF">
              <w:rPr>
                <w:rFonts w:cs="Arial"/>
                <w:sz w:val="22"/>
                <w:lang w:val="es-ES"/>
              </w:rPr>
              <w:t xml:space="preserve">Aprobación de una política pública para impulsar la </w:t>
            </w:r>
            <w:r w:rsidRPr="00CF0CBF">
              <w:rPr>
                <w:rFonts w:cs="Arial"/>
                <w:b/>
                <w:sz w:val="22"/>
                <w:lang w:val="es-ES"/>
              </w:rPr>
              <w:t>inclusión de criterios de uso eficiente de la energía</w:t>
            </w:r>
            <w:r w:rsidRPr="00CF0CBF">
              <w:rPr>
                <w:rFonts w:cs="Arial"/>
                <w:sz w:val="22"/>
                <w:lang w:val="es-ES"/>
              </w:rPr>
              <w:t xml:space="preserve"> dentro del ciclo de vida de las edificaciones.</w:t>
            </w:r>
          </w:p>
          <w:p w14:paraId="62AE1CC7" w14:textId="2E0930EF" w:rsidR="00E763D8" w:rsidRDefault="00E763D8" w:rsidP="00E03ADC">
            <w:pPr>
              <w:suppressAutoHyphens/>
              <w:rPr>
                <w:rFonts w:cs="Arial"/>
                <w:sz w:val="22"/>
                <w:lang w:val="es-ES"/>
              </w:rPr>
            </w:pPr>
          </w:p>
          <w:p w14:paraId="31A71A4A" w14:textId="77777777" w:rsidR="00431EC6" w:rsidRPr="00CF0CBF" w:rsidRDefault="00431EC6" w:rsidP="00E03ADC">
            <w:pPr>
              <w:suppressAutoHyphens/>
              <w:rPr>
                <w:rFonts w:cs="Arial"/>
                <w:sz w:val="22"/>
                <w:lang w:val="es-ES"/>
              </w:rPr>
            </w:pPr>
          </w:p>
          <w:p w14:paraId="62AE1CC8" w14:textId="77777777" w:rsidR="00E763D8" w:rsidRPr="00CF0CBF" w:rsidRDefault="00E763D8" w:rsidP="00E03ADC">
            <w:pPr>
              <w:tabs>
                <w:tab w:val="left" w:pos="3012"/>
              </w:tabs>
              <w:ind w:left="-14"/>
              <w:rPr>
                <w:rFonts w:cs="Arial"/>
                <w:b/>
                <w:sz w:val="22"/>
                <w:lang w:val="es-ES"/>
              </w:rPr>
            </w:pPr>
            <w:r w:rsidRPr="00CF0CBF">
              <w:rPr>
                <w:rFonts w:cs="Arial"/>
                <w:sz w:val="22"/>
                <w:lang w:val="es-ES"/>
              </w:rPr>
              <w:t xml:space="preserve">Diseño de herramientas (divulgación, capacitación) para hacer efectiva la implementación del mecanismo de </w:t>
            </w:r>
            <w:r w:rsidRPr="00CF0CBF">
              <w:rPr>
                <w:rFonts w:cs="Arial"/>
                <w:b/>
                <w:sz w:val="22"/>
                <w:lang w:val="es-ES"/>
              </w:rPr>
              <w:t xml:space="preserve">etiquetado de eficiencia energética para electrodomésticos. </w:t>
            </w:r>
          </w:p>
          <w:p w14:paraId="62AE1CC9" w14:textId="77777777" w:rsidR="00E763D8" w:rsidRPr="00CF0CBF" w:rsidRDefault="00E763D8" w:rsidP="00E03ADC">
            <w:pPr>
              <w:tabs>
                <w:tab w:val="left" w:pos="3012"/>
              </w:tabs>
              <w:ind w:left="-14"/>
              <w:rPr>
                <w:rFonts w:cs="Arial"/>
                <w:sz w:val="22"/>
                <w:lang w:val="es-ES"/>
              </w:rPr>
            </w:pPr>
          </w:p>
          <w:p w14:paraId="7C695D0D" w14:textId="77777777" w:rsidR="004B1A07" w:rsidRDefault="004B1A07" w:rsidP="00E03ADC">
            <w:pPr>
              <w:tabs>
                <w:tab w:val="left" w:pos="3012"/>
              </w:tabs>
              <w:ind w:left="-14"/>
              <w:rPr>
                <w:rFonts w:cs="Arial"/>
                <w:sz w:val="22"/>
                <w:lang w:val="es-ES"/>
              </w:rPr>
            </w:pPr>
          </w:p>
          <w:p w14:paraId="62AE1CCA" w14:textId="7EE6EEF0" w:rsidR="00E763D8" w:rsidRPr="00CF0CBF" w:rsidRDefault="00E763D8" w:rsidP="00E03ADC">
            <w:pPr>
              <w:tabs>
                <w:tab w:val="left" w:pos="3012"/>
              </w:tabs>
              <w:ind w:left="-14"/>
              <w:rPr>
                <w:rFonts w:cs="Arial"/>
                <w:b/>
                <w:sz w:val="22"/>
                <w:lang w:val="es-ES"/>
              </w:rPr>
            </w:pPr>
            <w:r w:rsidRPr="00CF0CBF">
              <w:rPr>
                <w:rFonts w:cs="Arial"/>
                <w:sz w:val="22"/>
                <w:lang w:val="es-ES"/>
              </w:rPr>
              <w:t xml:space="preserve">Preparación de estudios para la </w:t>
            </w:r>
            <w:r w:rsidRPr="00CF0CBF">
              <w:rPr>
                <w:rFonts w:cs="Arial"/>
                <w:b/>
                <w:sz w:val="22"/>
                <w:lang w:val="es-ES"/>
              </w:rPr>
              <w:t>implementación de la segunda etapa del sistema de etiquetado de eficiencia energética para: vehículos livianos, alumbrado público y calderas.</w:t>
            </w:r>
          </w:p>
          <w:p w14:paraId="62AE1CCB" w14:textId="77777777" w:rsidR="00E763D8" w:rsidRPr="00CF0CBF" w:rsidRDefault="00E763D8" w:rsidP="00E03ADC">
            <w:pPr>
              <w:suppressAutoHyphens/>
              <w:rPr>
                <w:rFonts w:cs="Arial"/>
                <w:sz w:val="22"/>
                <w:lang w:val="es-ES"/>
              </w:rPr>
            </w:pPr>
          </w:p>
          <w:p w14:paraId="62AE1CCC" w14:textId="196C99B7" w:rsidR="00E763D8" w:rsidRPr="00CF0CBF" w:rsidRDefault="00E763D8" w:rsidP="00E03ADC">
            <w:pPr>
              <w:rPr>
                <w:rFonts w:cs="Arial"/>
                <w:b/>
                <w:sz w:val="22"/>
                <w:lang w:val="es-ES_tradnl"/>
              </w:rPr>
            </w:pPr>
            <w:r w:rsidRPr="00CF0CBF">
              <w:rPr>
                <w:rFonts w:cs="Arial"/>
                <w:sz w:val="22"/>
                <w:lang w:val="es-ES"/>
              </w:rPr>
              <w:t xml:space="preserve">Expedir la regulación que establece los </w:t>
            </w:r>
            <w:r w:rsidRPr="00CF0CBF">
              <w:rPr>
                <w:rFonts w:cs="Arial"/>
                <w:b/>
                <w:sz w:val="22"/>
                <w:lang w:val="es-ES"/>
              </w:rPr>
              <w:t>mecanismos para implementar la Infraestructura de Medición Avanzada para la energía eléctrica.</w:t>
            </w:r>
          </w:p>
          <w:p w14:paraId="62AE1CCD" w14:textId="659397C7" w:rsidR="00E763D8" w:rsidRDefault="00E763D8" w:rsidP="00E03ADC">
            <w:pPr>
              <w:suppressAutoHyphens/>
              <w:rPr>
                <w:rFonts w:cs="Arial"/>
                <w:sz w:val="22"/>
                <w:lang w:val="es-ES"/>
              </w:rPr>
            </w:pPr>
          </w:p>
          <w:p w14:paraId="7F9CBF65" w14:textId="3B678525" w:rsidR="005C5977" w:rsidRDefault="005C5977" w:rsidP="00E03ADC">
            <w:pPr>
              <w:suppressAutoHyphens/>
              <w:rPr>
                <w:rFonts w:cs="Arial"/>
                <w:sz w:val="22"/>
                <w:lang w:val="es-ES"/>
              </w:rPr>
            </w:pPr>
          </w:p>
          <w:p w14:paraId="0D6BB53C" w14:textId="78147BA3" w:rsidR="005C5977" w:rsidRDefault="005C5977" w:rsidP="00E03ADC">
            <w:pPr>
              <w:suppressAutoHyphens/>
              <w:rPr>
                <w:rFonts w:cs="Arial"/>
                <w:sz w:val="22"/>
                <w:lang w:val="es-ES"/>
              </w:rPr>
            </w:pPr>
          </w:p>
          <w:p w14:paraId="62AE1CCE" w14:textId="77777777" w:rsidR="00E763D8" w:rsidRPr="00CF0CBF" w:rsidRDefault="00E763D8" w:rsidP="00E03ADC">
            <w:pPr>
              <w:suppressAutoHyphens/>
              <w:rPr>
                <w:rFonts w:cs="Arial"/>
                <w:sz w:val="22"/>
                <w:lang w:val="es-ES"/>
              </w:rPr>
            </w:pPr>
            <w:r w:rsidRPr="00CF0CBF">
              <w:rPr>
                <w:rFonts w:cs="Arial"/>
                <w:sz w:val="22"/>
                <w:lang w:val="es-ES"/>
              </w:rPr>
              <w:t xml:space="preserve">Realizar un estudio que </w:t>
            </w:r>
            <w:r w:rsidRPr="00CF0CBF">
              <w:rPr>
                <w:rFonts w:cs="Arial"/>
                <w:b/>
                <w:sz w:val="22"/>
                <w:lang w:val="es-ES"/>
              </w:rPr>
              <w:t xml:space="preserve">evalúe los criterios regulatorios para la implementación de infraestructura de medición avanzada que </w:t>
            </w:r>
            <w:r w:rsidRPr="00CF0CBF">
              <w:rPr>
                <w:rFonts w:cs="Arial"/>
                <w:b/>
                <w:sz w:val="22"/>
                <w:lang w:val="es-ES"/>
              </w:rPr>
              <w:lastRenderedPageBreak/>
              <w:t>permita facilitar esquemas de eficiencia energética</w:t>
            </w:r>
            <w:r w:rsidRPr="00CF0CBF">
              <w:rPr>
                <w:rFonts w:cs="Arial"/>
                <w:sz w:val="22"/>
                <w:lang w:val="es-ES"/>
              </w:rPr>
              <w:t>, respuesta de la demanda y modelos de tarificación horaria.</w:t>
            </w:r>
          </w:p>
          <w:p w14:paraId="62AE1CCF" w14:textId="57A93F55" w:rsidR="00F64F81" w:rsidRDefault="00F64F81" w:rsidP="00E03ADC">
            <w:pPr>
              <w:suppressAutoHyphens/>
              <w:rPr>
                <w:rFonts w:cs="Arial"/>
                <w:sz w:val="22"/>
                <w:lang w:val="es-ES"/>
              </w:rPr>
            </w:pPr>
          </w:p>
          <w:p w14:paraId="12EF9273" w14:textId="0BD1EED7" w:rsidR="00811DE8" w:rsidRDefault="00811DE8" w:rsidP="00E03ADC">
            <w:pPr>
              <w:suppressAutoHyphens/>
              <w:rPr>
                <w:rFonts w:cs="Arial"/>
                <w:sz w:val="22"/>
                <w:lang w:val="es-ES"/>
              </w:rPr>
            </w:pPr>
          </w:p>
          <w:p w14:paraId="0FC47644" w14:textId="7EF9BF1A" w:rsidR="00811DE8" w:rsidRDefault="00811DE8" w:rsidP="00E03ADC">
            <w:pPr>
              <w:suppressAutoHyphens/>
              <w:rPr>
                <w:rFonts w:cs="Arial"/>
                <w:sz w:val="22"/>
                <w:lang w:val="es-ES"/>
              </w:rPr>
            </w:pPr>
          </w:p>
          <w:p w14:paraId="62AE1CD0" w14:textId="6A9B346F" w:rsidR="00F64F81" w:rsidRPr="00CF0CBF" w:rsidRDefault="00F64F81" w:rsidP="00E03ADC">
            <w:pPr>
              <w:suppressAutoHyphens/>
              <w:rPr>
                <w:rFonts w:cs="Arial"/>
                <w:sz w:val="22"/>
                <w:lang w:val="es-ES"/>
              </w:rPr>
            </w:pPr>
            <w:r w:rsidRPr="00CF0CBF">
              <w:rPr>
                <w:rFonts w:cs="Arial"/>
                <w:sz w:val="22"/>
                <w:lang w:val="es-ES"/>
              </w:rPr>
              <w:t>Expedi</w:t>
            </w:r>
            <w:r w:rsidR="00397B43">
              <w:rPr>
                <w:rFonts w:cs="Arial"/>
                <w:sz w:val="22"/>
                <w:lang w:val="es-ES"/>
              </w:rPr>
              <w:t>ción de la</w:t>
            </w:r>
            <w:r w:rsidRPr="00CF0CBF">
              <w:rPr>
                <w:rFonts w:cs="Arial"/>
                <w:sz w:val="22"/>
                <w:lang w:val="es-ES"/>
              </w:rPr>
              <w:t xml:space="preserve"> regulación que establezca los mecanismos para la </w:t>
            </w:r>
            <w:r w:rsidRPr="00CF0CBF">
              <w:rPr>
                <w:rFonts w:cs="Arial"/>
                <w:b/>
                <w:sz w:val="22"/>
                <w:lang w:val="es-ES"/>
              </w:rPr>
              <w:t>desconexión voluntaria</w:t>
            </w:r>
            <w:r w:rsidRPr="00CF0CBF">
              <w:rPr>
                <w:rFonts w:cs="Arial"/>
                <w:sz w:val="22"/>
                <w:lang w:val="es-ES"/>
              </w:rPr>
              <w:t xml:space="preserve"> de la demanda de los grandes consumidores como medio para dar confiabilidad al SIN.</w:t>
            </w:r>
          </w:p>
          <w:p w14:paraId="62AE1CD1" w14:textId="494B738B" w:rsidR="00572C45" w:rsidRDefault="00572C45" w:rsidP="00E03ADC">
            <w:pPr>
              <w:suppressAutoHyphens/>
              <w:rPr>
                <w:rFonts w:cs="Arial"/>
                <w:sz w:val="22"/>
                <w:lang w:val="es-ES"/>
              </w:rPr>
            </w:pPr>
          </w:p>
          <w:p w14:paraId="62AE1CD2" w14:textId="13C620C3" w:rsidR="00572C45" w:rsidRPr="00CF0CBF" w:rsidRDefault="00572C45" w:rsidP="00E03ADC">
            <w:pPr>
              <w:suppressAutoHyphens/>
              <w:rPr>
                <w:rFonts w:cs="Arial"/>
                <w:b/>
                <w:sz w:val="22"/>
                <w:lang w:val="es-ES_tradnl"/>
              </w:rPr>
            </w:pPr>
            <w:bookmarkStart w:id="1" w:name="_Hlk526505650"/>
            <w:r w:rsidRPr="00CF0CBF">
              <w:rPr>
                <w:rFonts w:cs="Arial"/>
                <w:b/>
                <w:sz w:val="22"/>
                <w:lang w:val="es-ES_tradnl"/>
              </w:rPr>
              <w:t>Funcionamiento del Mercado Eléctrico Mayorista</w:t>
            </w:r>
            <w:bookmarkEnd w:id="1"/>
            <w:r w:rsidR="003535DB">
              <w:rPr>
                <w:rFonts w:cs="Arial"/>
                <w:b/>
                <w:sz w:val="22"/>
                <w:lang w:val="es-ES_tradnl"/>
              </w:rPr>
              <w:t>:</w:t>
            </w:r>
          </w:p>
          <w:p w14:paraId="62AE1CD3" w14:textId="77777777" w:rsidR="00572C45" w:rsidRPr="00CF0CBF" w:rsidRDefault="00572C45" w:rsidP="00E03ADC">
            <w:pPr>
              <w:rPr>
                <w:rFonts w:cs="Arial"/>
                <w:sz w:val="22"/>
                <w:lang w:val="es-ES"/>
              </w:rPr>
            </w:pPr>
            <w:r w:rsidRPr="00CF0CBF">
              <w:rPr>
                <w:rFonts w:cs="Arial"/>
                <w:sz w:val="22"/>
                <w:lang w:val="es-ES"/>
              </w:rPr>
              <w:t>Establecer las condiciones para incrementar la oferta de energía en el mercado de energía mayorista, a través de:</w:t>
            </w:r>
          </w:p>
          <w:p w14:paraId="62AE1CD4" w14:textId="77777777" w:rsidR="00572C45" w:rsidRPr="00CF0CBF" w:rsidRDefault="00572C45" w:rsidP="00E03ADC">
            <w:pPr>
              <w:rPr>
                <w:rFonts w:cs="Arial"/>
                <w:sz w:val="22"/>
                <w:lang w:val="es-ES"/>
              </w:rPr>
            </w:pPr>
          </w:p>
          <w:p w14:paraId="62AE1CD5" w14:textId="77777777" w:rsidR="00572C45" w:rsidRPr="00CF0CBF" w:rsidRDefault="00572C45" w:rsidP="00E03ADC">
            <w:pPr>
              <w:pStyle w:val="ListParagraph"/>
              <w:numPr>
                <w:ilvl w:val="0"/>
                <w:numId w:val="13"/>
              </w:numPr>
              <w:rPr>
                <w:rFonts w:cs="Arial"/>
                <w:sz w:val="22"/>
                <w:lang w:val="es-ES"/>
              </w:rPr>
            </w:pPr>
            <w:r w:rsidRPr="00CF0CBF">
              <w:rPr>
                <w:rFonts w:cs="Arial"/>
                <w:sz w:val="22"/>
                <w:lang w:val="es-ES_tradnl"/>
              </w:rPr>
              <w:t>Convocatoria a subasta para asignar obligaciones de energía del cargo por confiabilidad.</w:t>
            </w:r>
          </w:p>
          <w:p w14:paraId="62AE1CD6" w14:textId="77777777" w:rsidR="00572C45" w:rsidRPr="00CF0CBF" w:rsidRDefault="00572C45" w:rsidP="00E03ADC">
            <w:pPr>
              <w:rPr>
                <w:rFonts w:cs="Arial"/>
                <w:sz w:val="22"/>
                <w:lang w:val="es-ES"/>
              </w:rPr>
            </w:pPr>
          </w:p>
          <w:p w14:paraId="62AE1CD7" w14:textId="77777777" w:rsidR="00572C45" w:rsidRPr="00CF0CBF" w:rsidRDefault="00572C45" w:rsidP="00E03ADC">
            <w:pPr>
              <w:pStyle w:val="ListParagraph"/>
              <w:numPr>
                <w:ilvl w:val="0"/>
                <w:numId w:val="13"/>
              </w:numPr>
              <w:rPr>
                <w:rFonts w:cs="Arial"/>
                <w:sz w:val="22"/>
                <w:lang w:val="es-ES"/>
              </w:rPr>
            </w:pPr>
            <w:r w:rsidRPr="00CF0CBF">
              <w:rPr>
                <w:rFonts w:cs="Arial"/>
                <w:sz w:val="22"/>
                <w:lang w:val="es-ES"/>
              </w:rPr>
              <w:t>Regulación que establezca los requisitos que deben cumplir los comercializadores para que sus precios sean reconocidos en la tarifa eléctrica.</w:t>
            </w:r>
          </w:p>
          <w:p w14:paraId="62AE1CD8" w14:textId="77777777" w:rsidR="00572C45" w:rsidRPr="00CF0CBF" w:rsidRDefault="00572C45" w:rsidP="00E03ADC">
            <w:pPr>
              <w:suppressAutoHyphens/>
              <w:rPr>
                <w:rFonts w:cs="Arial"/>
                <w:sz w:val="22"/>
                <w:lang w:val="es-ES"/>
              </w:rPr>
            </w:pPr>
          </w:p>
          <w:p w14:paraId="04F63345" w14:textId="48A90718" w:rsidR="00D570D3" w:rsidRDefault="00D570D3" w:rsidP="00E03ADC">
            <w:pPr>
              <w:suppressAutoHyphens/>
              <w:rPr>
                <w:rFonts w:cs="Arial"/>
                <w:b/>
                <w:sz w:val="22"/>
                <w:lang w:val="es-ES"/>
              </w:rPr>
            </w:pPr>
          </w:p>
          <w:p w14:paraId="178209A0" w14:textId="77777777" w:rsidR="00D570D3" w:rsidRDefault="00D570D3" w:rsidP="00E03ADC">
            <w:pPr>
              <w:suppressAutoHyphens/>
              <w:rPr>
                <w:rFonts w:cs="Arial"/>
                <w:b/>
                <w:sz w:val="22"/>
                <w:lang w:val="es-ES"/>
              </w:rPr>
            </w:pPr>
          </w:p>
          <w:p w14:paraId="62AE1CD9" w14:textId="7EC5CA7E" w:rsidR="00572C45" w:rsidRPr="00D570D3" w:rsidRDefault="00572C45" w:rsidP="00E03ADC">
            <w:pPr>
              <w:suppressAutoHyphens/>
              <w:rPr>
                <w:rFonts w:cs="Arial"/>
                <w:sz w:val="22"/>
                <w:lang w:val="es-ES"/>
              </w:rPr>
            </w:pPr>
            <w:r w:rsidRPr="00D570D3">
              <w:rPr>
                <w:rFonts w:cs="Arial"/>
                <w:sz w:val="22"/>
                <w:lang w:val="es-ES"/>
              </w:rPr>
              <w:t>Adoptar el Plan de Expansión de Generación y Transmisión del Sector Eléctrico 2017-2031</w:t>
            </w:r>
          </w:p>
          <w:p w14:paraId="62AE1CDA" w14:textId="72B7F3CC" w:rsidR="008A1D89" w:rsidRDefault="008A1D89" w:rsidP="00E03ADC">
            <w:pPr>
              <w:suppressAutoHyphens/>
              <w:rPr>
                <w:rFonts w:cs="Arial"/>
                <w:b/>
                <w:sz w:val="22"/>
                <w:lang w:val="es-ES"/>
              </w:rPr>
            </w:pPr>
          </w:p>
          <w:p w14:paraId="1610CD8D" w14:textId="1DAA5831" w:rsidR="00D570D3" w:rsidRDefault="00D570D3" w:rsidP="00E03ADC">
            <w:pPr>
              <w:suppressAutoHyphens/>
              <w:rPr>
                <w:rFonts w:cs="Arial"/>
                <w:b/>
                <w:sz w:val="22"/>
                <w:lang w:val="es-ES"/>
              </w:rPr>
            </w:pPr>
          </w:p>
          <w:p w14:paraId="2B060B98" w14:textId="21F79E1D" w:rsidR="00D570D3" w:rsidRDefault="00D570D3" w:rsidP="00E03ADC">
            <w:pPr>
              <w:suppressAutoHyphens/>
              <w:rPr>
                <w:rFonts w:cs="Arial"/>
                <w:b/>
                <w:sz w:val="22"/>
                <w:lang w:val="es-ES"/>
              </w:rPr>
            </w:pPr>
          </w:p>
          <w:p w14:paraId="3379747C" w14:textId="77777777" w:rsidR="00D570D3" w:rsidRPr="00CF0CBF" w:rsidRDefault="00D570D3" w:rsidP="00E03ADC">
            <w:pPr>
              <w:suppressAutoHyphens/>
              <w:rPr>
                <w:rFonts w:cs="Arial"/>
                <w:b/>
                <w:sz w:val="22"/>
                <w:lang w:val="es-ES"/>
              </w:rPr>
            </w:pPr>
          </w:p>
          <w:p w14:paraId="62AE1CDB" w14:textId="77777777" w:rsidR="008A1D89" w:rsidRPr="00D570D3" w:rsidRDefault="008A1D89" w:rsidP="00E03ADC">
            <w:pPr>
              <w:suppressAutoHyphens/>
              <w:rPr>
                <w:rFonts w:cs="Arial"/>
                <w:sz w:val="22"/>
                <w:lang w:val="es-ES"/>
              </w:rPr>
            </w:pPr>
            <w:r w:rsidRPr="00D570D3">
              <w:rPr>
                <w:rFonts w:cs="Arial"/>
                <w:sz w:val="22"/>
                <w:lang w:val="es-ES"/>
              </w:rPr>
              <w:t>Adoptar una política pública sectorial que contemple el enfoque de género en el sector minero energético.</w:t>
            </w:r>
          </w:p>
        </w:tc>
        <w:tc>
          <w:tcPr>
            <w:tcW w:w="4985" w:type="dxa"/>
          </w:tcPr>
          <w:p w14:paraId="62AE1CDC" w14:textId="0CAEDC6A" w:rsidR="00E763D8" w:rsidRPr="00E1217B" w:rsidRDefault="00E763D8" w:rsidP="00E03ADC">
            <w:pPr>
              <w:suppressAutoHyphens/>
              <w:rPr>
                <w:rFonts w:cs="Arial"/>
                <w:sz w:val="22"/>
                <w:lang w:val="es-ES_tradnl"/>
              </w:rPr>
            </w:pPr>
            <w:r w:rsidRPr="00E1217B">
              <w:rPr>
                <w:rFonts w:cs="Arial"/>
                <w:sz w:val="22"/>
                <w:lang w:val="es-ES_tradnl"/>
              </w:rPr>
              <w:lastRenderedPageBreak/>
              <w:t>La Comisión de Regulación de Energía y Gas expidió la Resolución 072 de 2018 en donde se ajustan disposiciones del mercado mayorista de GN, contenidas en</w:t>
            </w:r>
            <w:r w:rsidR="00C5639A" w:rsidRPr="00E1217B">
              <w:rPr>
                <w:rFonts w:cs="Arial"/>
                <w:sz w:val="22"/>
                <w:lang w:val="es-ES_tradnl"/>
              </w:rPr>
              <w:t xml:space="preserve"> la Resolución CREG 114 de 2017, resolución que contiene el conjunto de disposiciones aplicables a las negociaciones del suministro y del transporte del gas natural.</w:t>
            </w:r>
          </w:p>
          <w:p w14:paraId="62AE1CDD" w14:textId="77777777" w:rsidR="00C5639A" w:rsidRPr="00965222" w:rsidRDefault="00C5639A" w:rsidP="00E03ADC">
            <w:pPr>
              <w:suppressAutoHyphens/>
              <w:rPr>
                <w:rFonts w:cs="Arial"/>
                <w:sz w:val="22"/>
                <w:lang w:val="es-ES_tradnl"/>
              </w:rPr>
            </w:pPr>
          </w:p>
          <w:p w14:paraId="62AE1CDE" w14:textId="5CFBE278" w:rsidR="00C5639A" w:rsidRPr="00965222" w:rsidRDefault="00C5639A" w:rsidP="00E03ADC">
            <w:pPr>
              <w:suppressAutoHyphens/>
              <w:rPr>
                <w:rFonts w:cs="Arial"/>
                <w:sz w:val="22"/>
                <w:lang w:val="es-ES_tradnl"/>
              </w:rPr>
            </w:pPr>
            <w:r w:rsidRPr="00965222">
              <w:rPr>
                <w:rFonts w:cs="Arial"/>
                <w:sz w:val="22"/>
                <w:lang w:val="es-ES_tradnl"/>
              </w:rPr>
              <w:t xml:space="preserve">En cuanto al Plan Transitorio de Abastecimiento de GN, la Unidad de Planeación </w:t>
            </w:r>
            <w:r w:rsidR="0066056F" w:rsidRPr="00965222">
              <w:rPr>
                <w:rFonts w:cs="Arial"/>
                <w:sz w:val="22"/>
                <w:lang w:val="es-ES_tradnl"/>
              </w:rPr>
              <w:t>Minero</w:t>
            </w:r>
            <w:r w:rsidR="0066056F">
              <w:rPr>
                <w:rFonts w:cs="Arial"/>
                <w:sz w:val="22"/>
                <w:lang w:val="es-ES_tradnl"/>
              </w:rPr>
              <w:noBreakHyphen/>
            </w:r>
            <w:r w:rsidR="0066056F" w:rsidRPr="00965222">
              <w:rPr>
                <w:rFonts w:cs="Arial"/>
                <w:sz w:val="22"/>
                <w:lang w:val="es-ES_tradnl"/>
              </w:rPr>
              <w:t>Energética</w:t>
            </w:r>
            <w:r w:rsidRPr="00965222">
              <w:rPr>
                <w:rFonts w:cs="Arial"/>
                <w:sz w:val="22"/>
                <w:lang w:val="es-ES_tradnl"/>
              </w:rPr>
              <w:t xml:space="preserve"> emitió la Resolución No. 009 de 2018 en donde se publican los prepliegos de licitación de la planta </w:t>
            </w:r>
            <w:proofErr w:type="spellStart"/>
            <w:r w:rsidRPr="00965222">
              <w:rPr>
                <w:rFonts w:cs="Arial"/>
                <w:sz w:val="22"/>
                <w:lang w:val="es-ES_tradnl"/>
              </w:rPr>
              <w:t>regasificadora</w:t>
            </w:r>
            <w:proofErr w:type="spellEnd"/>
            <w:r w:rsidRPr="00965222">
              <w:rPr>
                <w:rFonts w:cs="Arial"/>
                <w:sz w:val="22"/>
                <w:lang w:val="es-ES_tradnl"/>
              </w:rPr>
              <w:t xml:space="preserve"> del Pacífico y el gasoducto Buenaventura – Yumbo, proyectos que recomienda el Plan Transitorio se deben ejecutar. Adicionalmente, la CREG suscribió la Resolución 113 de 2018, en donde reglamenta la participación de los agentes para participar en la convocatoria de la planta </w:t>
            </w:r>
            <w:proofErr w:type="spellStart"/>
            <w:r w:rsidRPr="00965222">
              <w:rPr>
                <w:rFonts w:cs="Arial"/>
                <w:sz w:val="22"/>
                <w:lang w:val="es-ES_tradnl"/>
              </w:rPr>
              <w:t>regasificadora</w:t>
            </w:r>
            <w:proofErr w:type="spellEnd"/>
            <w:r w:rsidRPr="00965222">
              <w:rPr>
                <w:rFonts w:cs="Arial"/>
                <w:sz w:val="22"/>
                <w:lang w:val="es-ES_tradnl"/>
              </w:rPr>
              <w:t xml:space="preserve">. </w:t>
            </w:r>
            <w:r w:rsidR="0066056F" w:rsidRPr="00965222">
              <w:rPr>
                <w:rFonts w:cs="Arial"/>
                <w:sz w:val="22"/>
                <w:lang w:val="es-ES_tradnl"/>
              </w:rPr>
              <w:t>Igualmente,</w:t>
            </w:r>
            <w:r w:rsidRPr="00965222">
              <w:rPr>
                <w:rFonts w:cs="Arial"/>
                <w:sz w:val="22"/>
                <w:lang w:val="es-ES_tradnl"/>
              </w:rPr>
              <w:t xml:space="preserve"> </w:t>
            </w:r>
            <w:bookmarkStart w:id="2" w:name="_GoBack"/>
            <w:bookmarkEnd w:id="2"/>
            <w:r w:rsidR="000305D0" w:rsidRPr="00965222">
              <w:rPr>
                <w:rFonts w:cs="Arial"/>
                <w:sz w:val="22"/>
                <w:lang w:val="es-ES_tradnl"/>
              </w:rPr>
              <w:t>la UPME avanzó</w:t>
            </w:r>
            <w:r w:rsidRPr="00965222">
              <w:rPr>
                <w:rFonts w:cs="Arial"/>
                <w:sz w:val="22"/>
                <w:lang w:val="es-ES_tradnl"/>
              </w:rPr>
              <w:t xml:space="preserve"> con la</w:t>
            </w:r>
            <w:r w:rsidR="000305D0" w:rsidRPr="00965222">
              <w:rPr>
                <w:rFonts w:cs="Arial"/>
                <w:sz w:val="22"/>
                <w:lang w:val="es-ES_tradnl"/>
              </w:rPr>
              <w:t>s</w:t>
            </w:r>
            <w:r w:rsidRPr="00965222">
              <w:rPr>
                <w:rFonts w:cs="Arial"/>
                <w:sz w:val="22"/>
                <w:lang w:val="es-ES_tradnl"/>
              </w:rPr>
              <w:t xml:space="preserve"> Resoluc</w:t>
            </w:r>
            <w:r w:rsidR="00A93836" w:rsidRPr="00965222">
              <w:rPr>
                <w:rFonts w:cs="Arial"/>
                <w:sz w:val="22"/>
                <w:lang w:val="es-ES_tradnl"/>
              </w:rPr>
              <w:t xml:space="preserve">iones </w:t>
            </w:r>
            <w:r w:rsidR="000305D0" w:rsidRPr="00965222">
              <w:rPr>
                <w:rFonts w:cs="Arial"/>
                <w:sz w:val="22"/>
                <w:lang w:val="es-ES_tradnl"/>
              </w:rPr>
              <w:t xml:space="preserve">081 y 083 </w:t>
            </w:r>
            <w:r w:rsidRPr="00965222">
              <w:rPr>
                <w:rFonts w:cs="Arial"/>
                <w:sz w:val="22"/>
                <w:lang w:val="es-ES_tradnl"/>
              </w:rPr>
              <w:t>de 2018 de la UPME</w:t>
            </w:r>
            <w:r w:rsidR="005416D6" w:rsidRPr="00965222">
              <w:rPr>
                <w:rFonts w:cs="Arial"/>
                <w:sz w:val="22"/>
                <w:lang w:val="es-ES_tradnl"/>
              </w:rPr>
              <w:t xml:space="preserve"> para los transportadores de gas para la instalación de la infraestructura para permitir la bidireccionalidad del flujo de gas</w:t>
            </w:r>
            <w:r w:rsidR="00937557" w:rsidRPr="00965222">
              <w:rPr>
                <w:rFonts w:cs="Arial"/>
                <w:sz w:val="22"/>
                <w:lang w:val="es-ES_tradnl"/>
              </w:rPr>
              <w:t>.</w:t>
            </w:r>
          </w:p>
          <w:p w14:paraId="62AE1CDF" w14:textId="77777777" w:rsidR="00937557" w:rsidRPr="00965222" w:rsidRDefault="00937557" w:rsidP="00E03ADC">
            <w:pPr>
              <w:suppressAutoHyphens/>
              <w:rPr>
                <w:rFonts w:cs="Arial"/>
                <w:sz w:val="22"/>
                <w:lang w:val="es-ES_tradnl"/>
              </w:rPr>
            </w:pPr>
          </w:p>
          <w:p w14:paraId="62AE1CE0" w14:textId="4E7243F3" w:rsidR="00937557" w:rsidRPr="00CF0CBF" w:rsidRDefault="00937557" w:rsidP="00E03ADC">
            <w:pPr>
              <w:suppressAutoHyphens/>
              <w:rPr>
                <w:rFonts w:cs="Arial"/>
                <w:sz w:val="22"/>
                <w:lang w:val="es-ES_tradnl"/>
              </w:rPr>
            </w:pPr>
            <w:r w:rsidRPr="00965222">
              <w:rPr>
                <w:rFonts w:cs="Arial"/>
                <w:sz w:val="22"/>
                <w:lang w:val="es-ES_tradnl"/>
              </w:rPr>
              <w:t xml:space="preserve">Para el Gestor del Mercado de GN, se están produciendo los informes periódicos del funcionamiento del mercado (anual, semestral, trimestral) los cuales </w:t>
            </w:r>
            <w:r w:rsidRPr="00CF0CBF">
              <w:rPr>
                <w:rFonts w:cs="Arial"/>
                <w:sz w:val="22"/>
                <w:lang w:val="es-ES_tradnl"/>
              </w:rPr>
              <w:t>se encuentran publicados en la página del gestor www.bmcbec.com.co</w:t>
            </w:r>
          </w:p>
          <w:p w14:paraId="62AE1CE1" w14:textId="77777777" w:rsidR="00937557" w:rsidRPr="00CF0CBF" w:rsidRDefault="00937557" w:rsidP="00E03ADC">
            <w:pPr>
              <w:suppressAutoHyphens/>
              <w:rPr>
                <w:rFonts w:cs="Arial"/>
                <w:sz w:val="22"/>
                <w:lang w:val="es-ES_tradnl"/>
              </w:rPr>
            </w:pPr>
          </w:p>
          <w:p w14:paraId="62AE1CE2" w14:textId="77777777" w:rsidR="002A4D26" w:rsidRPr="00CF0CBF" w:rsidRDefault="00937557" w:rsidP="00E03ADC">
            <w:pPr>
              <w:rPr>
                <w:rFonts w:cs="Arial"/>
                <w:sz w:val="22"/>
                <w:lang w:val="es-ES_tradnl"/>
              </w:rPr>
            </w:pPr>
            <w:r w:rsidRPr="00CF0CBF">
              <w:rPr>
                <w:rFonts w:cs="Arial"/>
                <w:sz w:val="22"/>
                <w:lang w:val="es-ES_tradnl"/>
              </w:rPr>
              <w:t xml:space="preserve">Para la eficiencia energética, se ha avanzado de la siguiente forma: </w:t>
            </w:r>
          </w:p>
          <w:p w14:paraId="62AE1CE3" w14:textId="77777777" w:rsidR="002A4D26" w:rsidRPr="00CF0CBF" w:rsidRDefault="002A4D26" w:rsidP="00E03ADC">
            <w:pPr>
              <w:rPr>
                <w:rFonts w:cs="Arial"/>
                <w:sz w:val="22"/>
                <w:lang w:val="es-ES_tradnl"/>
              </w:rPr>
            </w:pPr>
          </w:p>
          <w:p w14:paraId="62AE1CE4" w14:textId="77777777" w:rsidR="002A4D26" w:rsidRPr="00CF0CBF" w:rsidRDefault="00937557" w:rsidP="00E03ADC">
            <w:pPr>
              <w:rPr>
                <w:rFonts w:cs="Arial"/>
                <w:sz w:val="22"/>
                <w:lang w:val="es-ES_tradnl"/>
              </w:rPr>
            </w:pPr>
            <w:r w:rsidRPr="00CF0CBF">
              <w:rPr>
                <w:rFonts w:cs="Arial"/>
                <w:sz w:val="22"/>
                <w:lang w:val="es-ES_tradnl"/>
              </w:rPr>
              <w:t xml:space="preserve">(i) </w:t>
            </w:r>
            <w:r w:rsidR="00023324" w:rsidRPr="00CF0CBF">
              <w:rPr>
                <w:rFonts w:cs="Arial"/>
                <w:sz w:val="22"/>
                <w:lang w:val="es-ES_tradnl"/>
              </w:rPr>
              <w:t>E</w:t>
            </w:r>
            <w:r w:rsidRPr="00CF0CBF">
              <w:rPr>
                <w:rFonts w:cs="Arial"/>
                <w:sz w:val="22"/>
                <w:lang w:val="es-ES_tradnl"/>
              </w:rPr>
              <w:t>n febrero de 2018 la UPME suscribió la Resolución 463, la cual establece el procedimiento para que la UPME evalúe y emita concepto técnico para que los proyectos de eficiencia energética puedan acceder a los incentivos tributarios</w:t>
            </w:r>
          </w:p>
          <w:p w14:paraId="62AE1CE5" w14:textId="77777777" w:rsidR="002A4D26" w:rsidRPr="00CF0CBF" w:rsidRDefault="002A4D26" w:rsidP="00E03ADC">
            <w:pPr>
              <w:rPr>
                <w:rFonts w:cs="Arial"/>
                <w:sz w:val="22"/>
                <w:lang w:val="es-ES_tradnl"/>
              </w:rPr>
            </w:pPr>
          </w:p>
          <w:p w14:paraId="62AE1CE6" w14:textId="77777777" w:rsidR="002A4D26" w:rsidRPr="00CF0CBF" w:rsidRDefault="00023324" w:rsidP="00E03ADC">
            <w:pPr>
              <w:rPr>
                <w:rFonts w:cs="Arial"/>
                <w:sz w:val="22"/>
                <w:lang w:val="es-ES_tradnl"/>
              </w:rPr>
            </w:pPr>
            <w:r w:rsidRPr="00CF0CBF">
              <w:rPr>
                <w:rFonts w:cs="Arial"/>
                <w:sz w:val="22"/>
                <w:lang w:val="es-ES_tradnl"/>
              </w:rPr>
              <w:lastRenderedPageBreak/>
              <w:t>(</w:t>
            </w:r>
            <w:proofErr w:type="spellStart"/>
            <w:r w:rsidRPr="00CF0CBF">
              <w:rPr>
                <w:rFonts w:cs="Arial"/>
                <w:sz w:val="22"/>
                <w:lang w:val="es-ES_tradnl"/>
              </w:rPr>
              <w:t>ii</w:t>
            </w:r>
            <w:proofErr w:type="spellEnd"/>
            <w:r w:rsidRPr="00CF0CBF">
              <w:rPr>
                <w:rFonts w:cs="Arial"/>
                <w:sz w:val="22"/>
                <w:lang w:val="es-ES_tradnl"/>
              </w:rPr>
              <w:t>) E</w:t>
            </w:r>
            <w:r w:rsidR="00937557" w:rsidRPr="00CF0CBF">
              <w:rPr>
                <w:rFonts w:cs="Arial"/>
                <w:sz w:val="22"/>
                <w:lang w:val="es-ES_tradnl"/>
              </w:rPr>
              <w:t>n abril, el Ministerio de Medio Ambiente y Desarrollo Sostenible – MADS emitió la Resolución 0509 de 2018, estableciendo los requisitos para recibir descuento de rent</w:t>
            </w:r>
            <w:r w:rsidR="002A4D26" w:rsidRPr="00CF0CBF">
              <w:rPr>
                <w:rFonts w:cs="Arial"/>
                <w:sz w:val="22"/>
                <w:lang w:val="es-ES_tradnl"/>
              </w:rPr>
              <w:t>a según el estatuto tributario</w:t>
            </w:r>
          </w:p>
          <w:p w14:paraId="62AE1CE7" w14:textId="77777777" w:rsidR="002A4D26" w:rsidRPr="00CF0CBF" w:rsidRDefault="002A4D26" w:rsidP="00E03ADC">
            <w:pPr>
              <w:rPr>
                <w:rFonts w:cs="Arial"/>
                <w:sz w:val="22"/>
                <w:lang w:val="es-ES_tradnl"/>
              </w:rPr>
            </w:pPr>
          </w:p>
          <w:p w14:paraId="62AE1CE8" w14:textId="1FD0F30E" w:rsidR="002A4D26" w:rsidRPr="00E1690E" w:rsidRDefault="00023324" w:rsidP="00E03ADC">
            <w:pPr>
              <w:rPr>
                <w:rFonts w:cs="Arial"/>
                <w:sz w:val="22"/>
                <w:lang w:val="es-ES_tradnl"/>
              </w:rPr>
            </w:pPr>
            <w:r w:rsidRPr="00CF0CBF">
              <w:rPr>
                <w:rFonts w:cs="Arial"/>
                <w:sz w:val="22"/>
                <w:lang w:val="es-ES_tradnl"/>
              </w:rPr>
              <w:t>E</w:t>
            </w:r>
            <w:r w:rsidR="00937557" w:rsidRPr="00CF0CBF">
              <w:rPr>
                <w:rFonts w:cs="Arial"/>
                <w:sz w:val="22"/>
                <w:lang w:val="es-ES_tradnl"/>
              </w:rPr>
              <w:t xml:space="preserve">l Consejo Nacional de Política Económica y Social – CONPES </w:t>
            </w:r>
            <w:r w:rsidR="00937557" w:rsidRPr="00E1690E">
              <w:rPr>
                <w:rFonts w:cs="Arial"/>
                <w:sz w:val="22"/>
                <w:lang w:val="es-ES_tradnl"/>
              </w:rPr>
              <w:t xml:space="preserve">aprobó el documento CONPES 3919 de 2018, el </w:t>
            </w:r>
            <w:r w:rsidR="00431EC6" w:rsidRPr="00E1690E">
              <w:rPr>
                <w:rFonts w:cs="Arial"/>
                <w:sz w:val="22"/>
                <w:lang w:val="es-ES_tradnl"/>
              </w:rPr>
              <w:t>cual</w:t>
            </w:r>
            <w:r w:rsidR="00937557" w:rsidRPr="00E1690E">
              <w:rPr>
                <w:rFonts w:cs="Arial"/>
                <w:sz w:val="22"/>
                <w:lang w:val="es-ES_tradnl"/>
              </w:rPr>
              <w:t xml:space="preserve"> </w:t>
            </w:r>
            <w:r w:rsidR="00B450F6" w:rsidRPr="00E1690E">
              <w:rPr>
                <w:rFonts w:cs="Arial"/>
                <w:sz w:val="22"/>
                <w:lang w:val="es-ES_tradnl"/>
              </w:rPr>
              <w:t>tiene como objetivo la inclusión de criterios de sostenibilidad en el ciclo de vida de las edificaciones</w:t>
            </w:r>
          </w:p>
          <w:p w14:paraId="62AE1CE9" w14:textId="77777777" w:rsidR="002A4D26" w:rsidRPr="00E1690E" w:rsidRDefault="002A4D26" w:rsidP="00E03ADC">
            <w:pPr>
              <w:rPr>
                <w:rFonts w:cs="Arial"/>
                <w:sz w:val="22"/>
                <w:lang w:val="es-ES_tradnl"/>
              </w:rPr>
            </w:pPr>
          </w:p>
          <w:p w14:paraId="62AE1CEB" w14:textId="4E846B59" w:rsidR="009D5F2B" w:rsidRPr="00E1690E" w:rsidRDefault="00931C0C" w:rsidP="00E03ADC">
            <w:pPr>
              <w:rPr>
                <w:rFonts w:cs="Arial"/>
                <w:sz w:val="22"/>
                <w:lang w:val="es-ES_tradnl"/>
              </w:rPr>
            </w:pPr>
            <w:r>
              <w:rPr>
                <w:rFonts w:cs="Arial"/>
                <w:sz w:val="22"/>
                <w:lang w:val="es-ES_tradnl"/>
              </w:rPr>
              <w:t>L</w:t>
            </w:r>
            <w:r w:rsidRPr="00931C0C">
              <w:rPr>
                <w:rFonts w:cs="Arial"/>
                <w:sz w:val="22"/>
                <w:lang w:val="es-ES_tradnl"/>
              </w:rPr>
              <w:t xml:space="preserve">a UPME </w:t>
            </w:r>
            <w:r>
              <w:rPr>
                <w:rFonts w:cs="Arial"/>
                <w:sz w:val="22"/>
                <w:lang w:val="es-ES_tradnl"/>
              </w:rPr>
              <w:t xml:space="preserve">realiza </w:t>
            </w:r>
            <w:r w:rsidRPr="00931C0C">
              <w:rPr>
                <w:rFonts w:cs="Arial"/>
                <w:sz w:val="22"/>
                <w:lang w:val="es-ES_tradnl"/>
              </w:rPr>
              <w:t xml:space="preserve">cursos de formación para laboratorios y </w:t>
            </w:r>
            <w:r w:rsidR="00B96C7F">
              <w:rPr>
                <w:rFonts w:cs="Arial"/>
                <w:sz w:val="22"/>
                <w:lang w:val="es-ES_tradnl"/>
              </w:rPr>
              <w:t xml:space="preserve">elaboró </w:t>
            </w:r>
            <w:r w:rsidRPr="00931C0C">
              <w:rPr>
                <w:rFonts w:cs="Arial"/>
                <w:sz w:val="22"/>
                <w:lang w:val="es-ES_tradnl"/>
              </w:rPr>
              <w:t>Guía para la implementación de ensayos de eficiencia energética.</w:t>
            </w:r>
          </w:p>
          <w:p w14:paraId="54EC0E21" w14:textId="77777777" w:rsidR="004B1A07" w:rsidRPr="00E1690E" w:rsidRDefault="004B1A07" w:rsidP="00E03ADC">
            <w:pPr>
              <w:rPr>
                <w:rFonts w:cs="Arial"/>
                <w:sz w:val="22"/>
                <w:lang w:val="es-ES_tradnl"/>
              </w:rPr>
            </w:pPr>
          </w:p>
          <w:p w14:paraId="7581412A" w14:textId="7AADEF20" w:rsidR="004B1A07" w:rsidRPr="00E1690E" w:rsidRDefault="004B1A07" w:rsidP="00E03ADC">
            <w:pPr>
              <w:rPr>
                <w:rFonts w:cs="Arial"/>
                <w:sz w:val="22"/>
                <w:lang w:val="es-ES_tradnl"/>
              </w:rPr>
            </w:pPr>
          </w:p>
          <w:p w14:paraId="7DBB9D07" w14:textId="2183FFDE" w:rsidR="004B1A07" w:rsidRPr="00E1690E" w:rsidRDefault="004B1A07" w:rsidP="00E03ADC">
            <w:pPr>
              <w:rPr>
                <w:rFonts w:cs="Arial"/>
                <w:sz w:val="22"/>
                <w:lang w:val="es-ES_tradnl"/>
              </w:rPr>
            </w:pPr>
          </w:p>
          <w:p w14:paraId="5FFBB7E5" w14:textId="2F9960FA" w:rsidR="004B1A07" w:rsidRPr="00E1690E" w:rsidRDefault="00745B7C" w:rsidP="00E1690E">
            <w:pPr>
              <w:rPr>
                <w:rFonts w:cs="Arial"/>
                <w:sz w:val="22"/>
                <w:lang w:val="es-ES_tradnl"/>
              </w:rPr>
            </w:pPr>
            <w:r w:rsidRPr="00E1690E">
              <w:rPr>
                <w:rFonts w:cs="Arial"/>
                <w:sz w:val="22"/>
                <w:lang w:val="es-ES_tradnl"/>
              </w:rPr>
              <w:t xml:space="preserve">Se completaron </w:t>
            </w:r>
            <w:proofErr w:type="gramStart"/>
            <w:r w:rsidRPr="00E1690E">
              <w:rPr>
                <w:rFonts w:cs="Arial"/>
                <w:sz w:val="22"/>
                <w:lang w:val="es-ES_tradnl"/>
              </w:rPr>
              <w:t xml:space="preserve">los </w:t>
            </w:r>
            <w:r w:rsidR="00E1690E" w:rsidRPr="00E1690E">
              <w:rPr>
                <w:rFonts w:cs="Arial"/>
                <w:sz w:val="22"/>
                <w:lang w:val="es-ES_tradnl"/>
              </w:rPr>
              <w:t>e</w:t>
            </w:r>
            <w:r w:rsidRPr="00E1690E">
              <w:rPr>
                <w:rFonts w:cs="Arial"/>
                <w:sz w:val="22"/>
                <w:lang w:val="es-ES_tradnl"/>
              </w:rPr>
              <w:t>studio</w:t>
            </w:r>
            <w:proofErr w:type="gramEnd"/>
            <w:r w:rsidRPr="00E1690E">
              <w:rPr>
                <w:rFonts w:cs="Arial"/>
                <w:sz w:val="22"/>
                <w:lang w:val="es-ES_tradnl"/>
              </w:rPr>
              <w:t xml:space="preserve"> de</w:t>
            </w:r>
            <w:r w:rsidR="00E1690E" w:rsidRPr="00E1690E">
              <w:rPr>
                <w:rFonts w:cs="Arial"/>
                <w:sz w:val="22"/>
                <w:lang w:val="es-ES_tradnl"/>
              </w:rPr>
              <w:t>:</w:t>
            </w:r>
            <w:r w:rsidRPr="00E1690E">
              <w:rPr>
                <w:rFonts w:cs="Arial"/>
                <w:sz w:val="22"/>
                <w:lang w:val="es-ES_tradnl"/>
              </w:rPr>
              <w:t xml:space="preserve"> </w:t>
            </w:r>
            <w:r w:rsidR="00E1690E" w:rsidRPr="00E1690E">
              <w:rPr>
                <w:rFonts w:cs="Arial"/>
                <w:sz w:val="22"/>
                <w:lang w:val="es-ES_tradnl"/>
              </w:rPr>
              <w:t>P</w:t>
            </w:r>
            <w:r w:rsidRPr="00E1690E">
              <w:rPr>
                <w:rFonts w:cs="Arial"/>
                <w:sz w:val="22"/>
                <w:lang w:val="es-ES_tradnl"/>
              </w:rPr>
              <w:t>ropuesta de etiqueta para vehículos livianos</w:t>
            </w:r>
            <w:r w:rsidR="00E1690E" w:rsidRPr="00E1690E">
              <w:rPr>
                <w:rFonts w:cs="Arial"/>
                <w:sz w:val="22"/>
                <w:lang w:val="es-ES_tradnl"/>
              </w:rPr>
              <w:t>, E</w:t>
            </w:r>
            <w:r w:rsidRPr="00E1690E">
              <w:rPr>
                <w:rFonts w:cs="Arial"/>
                <w:sz w:val="22"/>
                <w:lang w:val="es-ES_tradnl"/>
              </w:rPr>
              <w:t>ficiencia energética en Alumbrado Público</w:t>
            </w:r>
            <w:r w:rsidR="00E1690E" w:rsidRPr="00E1690E">
              <w:rPr>
                <w:rFonts w:cs="Arial"/>
                <w:sz w:val="22"/>
                <w:lang w:val="es-ES_tradnl"/>
              </w:rPr>
              <w:t>, y B</w:t>
            </w:r>
            <w:r w:rsidRPr="00E1690E">
              <w:rPr>
                <w:rFonts w:cs="Arial"/>
                <w:sz w:val="22"/>
                <w:lang w:val="es-ES_tradnl"/>
              </w:rPr>
              <w:t>orrador de reglamento de calderas.</w:t>
            </w:r>
          </w:p>
          <w:p w14:paraId="3A66CF04" w14:textId="70392171" w:rsidR="004B1A07" w:rsidRDefault="004B1A07" w:rsidP="00E03ADC">
            <w:pPr>
              <w:rPr>
                <w:rFonts w:cs="Arial"/>
                <w:sz w:val="22"/>
                <w:lang w:val="es-ES_tradnl"/>
              </w:rPr>
            </w:pPr>
          </w:p>
          <w:p w14:paraId="5AC4D0D4" w14:textId="77777777" w:rsidR="00B96C7F" w:rsidRPr="00E1690E" w:rsidRDefault="00B96C7F" w:rsidP="00E03ADC">
            <w:pPr>
              <w:rPr>
                <w:rFonts w:cs="Arial"/>
                <w:sz w:val="22"/>
                <w:lang w:val="es-ES_tradnl"/>
              </w:rPr>
            </w:pPr>
          </w:p>
          <w:p w14:paraId="62AE1CEC" w14:textId="5D8E8D0B" w:rsidR="009D5F2B" w:rsidRPr="00CF0CBF" w:rsidRDefault="009D5F2B" w:rsidP="00E03ADC">
            <w:pPr>
              <w:rPr>
                <w:rFonts w:cs="Arial"/>
                <w:sz w:val="22"/>
                <w:lang w:val="es-ES_tradnl"/>
              </w:rPr>
            </w:pPr>
            <w:r w:rsidRPr="00E1690E">
              <w:rPr>
                <w:rFonts w:cs="Arial"/>
                <w:sz w:val="22"/>
                <w:lang w:val="es-ES_tradnl"/>
              </w:rPr>
              <w:t>En cuanto a la Medición Avanzada para la energía eléctrica</w:t>
            </w:r>
            <w:r w:rsidRPr="00CF0CBF">
              <w:rPr>
                <w:rFonts w:cs="Arial"/>
                <w:sz w:val="22"/>
                <w:lang w:val="es-ES_tradnl"/>
              </w:rPr>
              <w:t>, se establecieron los mecanismos para implementar la infraestructura de Medición Avanzada en el servicio público de energía eléctrica</w:t>
            </w:r>
            <w:r w:rsidR="002537AF" w:rsidRPr="00CF0CBF">
              <w:rPr>
                <w:rFonts w:cs="Arial"/>
                <w:sz w:val="22"/>
                <w:lang w:val="es-ES_tradnl"/>
              </w:rPr>
              <w:t xml:space="preserve"> con la expedición de la Resolución MME 40072 de 2018.</w:t>
            </w:r>
          </w:p>
          <w:p w14:paraId="78F59F5E" w14:textId="01EFC713" w:rsidR="003535DB" w:rsidRDefault="003535DB" w:rsidP="00E03ADC">
            <w:pPr>
              <w:rPr>
                <w:rFonts w:cs="Arial"/>
                <w:sz w:val="22"/>
                <w:lang w:val="es-ES_tradnl"/>
              </w:rPr>
            </w:pPr>
          </w:p>
          <w:p w14:paraId="62AE1CEE" w14:textId="77777777" w:rsidR="002537AF" w:rsidRPr="00CF0CBF" w:rsidRDefault="002537AF" w:rsidP="00E03ADC">
            <w:pPr>
              <w:rPr>
                <w:rFonts w:cs="Arial"/>
                <w:sz w:val="22"/>
                <w:lang w:val="es-ES_tradnl"/>
              </w:rPr>
            </w:pPr>
            <w:r w:rsidRPr="00CF0CBF">
              <w:rPr>
                <w:rFonts w:cs="Arial"/>
                <w:sz w:val="22"/>
                <w:lang w:val="es-ES_tradnl"/>
              </w:rPr>
              <w:t>En el ámbito de criterios regulatorios para la implementación de infraestructura de medición avanzada, la CREG estableció los criterios regu</w:t>
            </w:r>
            <w:r w:rsidRPr="00CF0CBF">
              <w:rPr>
                <w:rFonts w:cs="Arial"/>
                <w:sz w:val="22"/>
                <w:lang w:val="es-ES_tradnl"/>
              </w:rPr>
              <w:lastRenderedPageBreak/>
              <w:t>latorios para la implementación de Infraestructura de Medición Avanzada que facilitar esquemas de eficiencia energética, respuesta de la demanda y modelos de tarificación horaria, mediante la Resolución 077 de 2018.</w:t>
            </w:r>
          </w:p>
          <w:p w14:paraId="62AE1CEF" w14:textId="77777777" w:rsidR="00937557" w:rsidRPr="00CF0CBF" w:rsidRDefault="00937557" w:rsidP="00E03ADC">
            <w:pPr>
              <w:suppressAutoHyphens/>
              <w:rPr>
                <w:rFonts w:cs="Arial"/>
                <w:sz w:val="22"/>
                <w:lang w:val="es-ES_tradnl"/>
              </w:rPr>
            </w:pPr>
          </w:p>
          <w:p w14:paraId="62AE1CF0" w14:textId="77777777" w:rsidR="001F46AA" w:rsidRPr="00CF0CBF" w:rsidRDefault="00851D55" w:rsidP="00E03ADC">
            <w:pPr>
              <w:suppressAutoHyphens/>
              <w:rPr>
                <w:rFonts w:cs="Arial"/>
                <w:sz w:val="22"/>
                <w:lang w:val="es-ES"/>
              </w:rPr>
            </w:pPr>
            <w:r w:rsidRPr="00CF0CBF">
              <w:rPr>
                <w:rFonts w:cs="Arial"/>
                <w:sz w:val="22"/>
                <w:lang w:val="es-ES_tradnl"/>
              </w:rPr>
              <w:t xml:space="preserve">Para la demanda </w:t>
            </w:r>
            <w:proofErr w:type="spellStart"/>
            <w:r w:rsidRPr="00CF0CBF">
              <w:rPr>
                <w:rFonts w:cs="Arial"/>
                <w:sz w:val="22"/>
                <w:lang w:val="es-ES_tradnl"/>
              </w:rPr>
              <w:t>desconectable</w:t>
            </w:r>
            <w:proofErr w:type="spellEnd"/>
            <w:r w:rsidRPr="00CF0CBF">
              <w:rPr>
                <w:rFonts w:cs="Arial"/>
                <w:sz w:val="22"/>
                <w:lang w:val="es-ES_tradnl"/>
              </w:rPr>
              <w:t xml:space="preserve"> voluntaria, se suscribió la Resolución CREG 098 de julio de 2018 por la cual se adoptan las normas para regular las pruebas de disponibilidad de la demanda </w:t>
            </w:r>
            <w:proofErr w:type="spellStart"/>
            <w:r w:rsidRPr="00CF0CBF">
              <w:rPr>
                <w:rFonts w:cs="Arial"/>
                <w:sz w:val="22"/>
                <w:lang w:val="es-ES_tradnl"/>
              </w:rPr>
              <w:t>desconectable</w:t>
            </w:r>
            <w:proofErr w:type="spellEnd"/>
            <w:r w:rsidRPr="00CF0CBF">
              <w:rPr>
                <w:rFonts w:cs="Arial"/>
                <w:sz w:val="22"/>
                <w:lang w:val="es-ES_tradnl"/>
              </w:rPr>
              <w:t xml:space="preserve"> voluntaria.</w:t>
            </w:r>
            <w:r w:rsidR="001F46AA" w:rsidRPr="00CF0CBF">
              <w:rPr>
                <w:rFonts w:cs="Arial"/>
                <w:sz w:val="22"/>
                <w:lang w:val="es-ES"/>
              </w:rPr>
              <w:t xml:space="preserve"> </w:t>
            </w:r>
          </w:p>
          <w:p w14:paraId="62AE1CF1" w14:textId="77777777" w:rsidR="00572C45" w:rsidRPr="00CF0CBF" w:rsidRDefault="00572C45" w:rsidP="00E03ADC">
            <w:pPr>
              <w:suppressAutoHyphens/>
              <w:rPr>
                <w:rFonts w:cs="Arial"/>
                <w:sz w:val="22"/>
                <w:lang w:val="es-ES"/>
              </w:rPr>
            </w:pPr>
          </w:p>
          <w:p w14:paraId="668B1F63" w14:textId="77777777" w:rsidR="00D570D3" w:rsidRDefault="00D570D3" w:rsidP="00E03ADC">
            <w:pPr>
              <w:rPr>
                <w:rFonts w:cs="Arial"/>
                <w:sz w:val="22"/>
                <w:lang w:val="es-ES"/>
              </w:rPr>
            </w:pPr>
          </w:p>
          <w:p w14:paraId="6DE79140" w14:textId="77777777" w:rsidR="00D570D3" w:rsidRDefault="00D570D3" w:rsidP="00E03ADC">
            <w:pPr>
              <w:rPr>
                <w:rFonts w:cs="Arial"/>
                <w:sz w:val="22"/>
                <w:lang w:val="es-ES"/>
              </w:rPr>
            </w:pPr>
          </w:p>
          <w:p w14:paraId="3AFFF162" w14:textId="77777777" w:rsidR="00D570D3" w:rsidRDefault="00D570D3" w:rsidP="00E03ADC">
            <w:pPr>
              <w:rPr>
                <w:rFonts w:cs="Arial"/>
                <w:sz w:val="22"/>
                <w:lang w:val="es-ES"/>
              </w:rPr>
            </w:pPr>
          </w:p>
          <w:p w14:paraId="2307CB32" w14:textId="77777777" w:rsidR="00D570D3" w:rsidRDefault="00D570D3" w:rsidP="00E03ADC">
            <w:pPr>
              <w:rPr>
                <w:rFonts w:cs="Arial"/>
                <w:sz w:val="22"/>
                <w:lang w:val="es-ES"/>
              </w:rPr>
            </w:pPr>
          </w:p>
          <w:p w14:paraId="2C28426D" w14:textId="77777777" w:rsidR="00D570D3" w:rsidRDefault="00D570D3" w:rsidP="00E03ADC">
            <w:pPr>
              <w:rPr>
                <w:rFonts w:cs="Arial"/>
                <w:sz w:val="22"/>
                <w:lang w:val="es-ES"/>
              </w:rPr>
            </w:pPr>
          </w:p>
          <w:p w14:paraId="62AE1CF2" w14:textId="7D0B0E15" w:rsidR="00572C45" w:rsidRPr="00CF0CBF" w:rsidRDefault="00572C45" w:rsidP="00E03ADC">
            <w:pPr>
              <w:rPr>
                <w:rFonts w:cs="Arial"/>
                <w:sz w:val="22"/>
                <w:lang w:val="es-ES_tradnl"/>
              </w:rPr>
            </w:pPr>
            <w:r w:rsidRPr="00CF0CBF">
              <w:rPr>
                <w:rFonts w:cs="Arial"/>
                <w:sz w:val="22"/>
                <w:lang w:val="es-ES"/>
              </w:rPr>
              <w:t xml:space="preserve">Mediante las </w:t>
            </w:r>
            <w:r w:rsidRPr="00CF0CBF">
              <w:rPr>
                <w:rFonts w:cs="Arial"/>
                <w:sz w:val="22"/>
                <w:lang w:val="es-ES_tradnl"/>
              </w:rPr>
              <w:t>Resoluciones CREG No. 083 y 084 de 2018 se fijó la oportunidad para asignar obligaciones de energía del cargo por confiabilidad.</w:t>
            </w:r>
          </w:p>
          <w:p w14:paraId="62AE1CF3" w14:textId="77777777" w:rsidR="00572C45" w:rsidRPr="00CF0CBF" w:rsidRDefault="00572C45" w:rsidP="00E03ADC">
            <w:pPr>
              <w:rPr>
                <w:rFonts w:cs="Arial"/>
                <w:sz w:val="22"/>
                <w:lang w:val="es-ES_tradnl"/>
              </w:rPr>
            </w:pPr>
          </w:p>
          <w:p w14:paraId="62AE1CF4" w14:textId="33AC026B" w:rsidR="006824FE" w:rsidRDefault="006824FE" w:rsidP="00E03ADC">
            <w:pPr>
              <w:rPr>
                <w:rFonts w:cs="Arial"/>
                <w:sz w:val="22"/>
                <w:lang w:val="es-ES_tradnl"/>
              </w:rPr>
            </w:pPr>
            <w:r w:rsidRPr="00CF0CBF">
              <w:rPr>
                <w:rFonts w:cs="Arial"/>
                <w:sz w:val="22"/>
                <w:lang w:val="es-ES_tradnl"/>
              </w:rPr>
              <w:t>La Resolución CREG 114 de agosto de 2018, determina los principios y condiciones generales que deben cumplir los mecanismos para la comercialización de energía eléctrica para que sus precios sean reconocidos en el componente de costos de compras de energía al usuario regulado.</w:t>
            </w:r>
          </w:p>
          <w:p w14:paraId="68E58841" w14:textId="77777777" w:rsidR="00D570D3" w:rsidRPr="00CF0CBF" w:rsidRDefault="00D570D3" w:rsidP="00E03ADC">
            <w:pPr>
              <w:rPr>
                <w:rFonts w:cs="Arial"/>
                <w:sz w:val="22"/>
                <w:lang w:val="es-ES_tradnl"/>
              </w:rPr>
            </w:pPr>
          </w:p>
          <w:p w14:paraId="62AE1CF5" w14:textId="77777777" w:rsidR="006824FE" w:rsidRPr="00CF0CBF" w:rsidRDefault="006824FE" w:rsidP="00E03ADC">
            <w:pPr>
              <w:rPr>
                <w:rFonts w:cs="Arial"/>
                <w:sz w:val="22"/>
                <w:lang w:val="es-ES_tradnl"/>
              </w:rPr>
            </w:pPr>
            <w:r w:rsidRPr="00CF0CBF">
              <w:rPr>
                <w:rFonts w:cs="Arial"/>
                <w:sz w:val="22"/>
                <w:lang w:val="es-ES_tradnl"/>
              </w:rPr>
              <w:t>Para la adopción d</w:t>
            </w:r>
            <w:r w:rsidRPr="00CF0CBF">
              <w:rPr>
                <w:rFonts w:cs="Arial"/>
                <w:sz w:val="22"/>
                <w:lang w:val="es-ES"/>
              </w:rPr>
              <w:t>el Plan de Expansión de Generación y Transmisión del Sector Eléctrico 2017-2031, el Ministerio de Minas y Energía, suscribió la Resolución 40790 de 2018 adoptando el Plan.</w:t>
            </w:r>
          </w:p>
          <w:p w14:paraId="62AE1CF6" w14:textId="77777777" w:rsidR="00572C45" w:rsidRPr="00CF0CBF" w:rsidRDefault="00572C45" w:rsidP="00E03ADC">
            <w:pPr>
              <w:rPr>
                <w:rFonts w:cs="Arial"/>
                <w:sz w:val="22"/>
                <w:lang w:val="es-ES_tradnl"/>
              </w:rPr>
            </w:pPr>
          </w:p>
          <w:p w14:paraId="62AE1CF7" w14:textId="1ED323D5" w:rsidR="006B3CBF" w:rsidRPr="00CF0CBF" w:rsidRDefault="006B3CBF" w:rsidP="00E03ADC">
            <w:pPr>
              <w:rPr>
                <w:rFonts w:cs="Arial"/>
                <w:sz w:val="22"/>
                <w:lang w:val="es-ES_tradnl"/>
              </w:rPr>
            </w:pPr>
            <w:r w:rsidRPr="00CF0CBF">
              <w:rPr>
                <w:rFonts w:cs="Arial"/>
                <w:sz w:val="22"/>
                <w:lang w:val="es-ES_tradnl"/>
              </w:rPr>
              <w:t>En el ámbito de enfoque de g</w:t>
            </w:r>
            <w:r w:rsidR="00D570D3" w:rsidRPr="00D570D3">
              <w:rPr>
                <w:lang w:val="es-ES_tradnl"/>
              </w:rPr>
              <w:t xml:space="preserve"> </w:t>
            </w:r>
            <w:r w:rsidR="00D570D3" w:rsidRPr="00D570D3">
              <w:rPr>
                <w:rFonts w:cs="Arial"/>
                <w:sz w:val="22"/>
                <w:lang w:val="es-ES_tradnl"/>
              </w:rPr>
              <w:t xml:space="preserve">Resolución MME 40809 de 2018, que adopta </w:t>
            </w:r>
            <w:r w:rsidR="00D570D3" w:rsidRPr="00D570D3">
              <w:rPr>
                <w:rFonts w:cs="Arial"/>
                <w:sz w:val="22"/>
                <w:lang w:val="es-ES_tradnl"/>
              </w:rPr>
              <w:tab/>
              <w:t xml:space="preserve">Por la cual se adoptan los lineamientos del Plan Nacional de Electrificación Rural 2018 - 2031 con focalización en las áreas de </w:t>
            </w:r>
            <w:proofErr w:type="spellStart"/>
            <w:proofErr w:type="gramStart"/>
            <w:r w:rsidR="00D570D3" w:rsidRPr="00D570D3">
              <w:rPr>
                <w:rFonts w:cs="Arial"/>
                <w:sz w:val="22"/>
                <w:lang w:val="es-ES_tradnl"/>
              </w:rPr>
              <w:t>posconflicto.</w:t>
            </w:r>
            <w:r w:rsidRPr="00CF0CBF">
              <w:rPr>
                <w:rFonts w:cs="Arial"/>
                <w:sz w:val="22"/>
                <w:lang w:val="es-ES_tradnl"/>
              </w:rPr>
              <w:t>enero</w:t>
            </w:r>
            <w:proofErr w:type="spellEnd"/>
            <w:proofErr w:type="gramEnd"/>
            <w:r w:rsidRPr="00CF0CBF">
              <w:rPr>
                <w:rFonts w:cs="Arial"/>
                <w:sz w:val="22"/>
                <w:lang w:val="es-ES_tradnl"/>
              </w:rPr>
              <w:t>, la Resolución MME 40796 de agosto de 2018, adopta la política de derechos humanos del sector minero energético que tiene un enfoque diferencial de género para el sector minero energético.</w:t>
            </w:r>
          </w:p>
          <w:p w14:paraId="62AE1CF8" w14:textId="77777777" w:rsidR="00572C45" w:rsidRPr="00CF0CBF" w:rsidRDefault="00572C45" w:rsidP="00E03ADC">
            <w:pPr>
              <w:suppressAutoHyphens/>
              <w:rPr>
                <w:rFonts w:cs="Arial"/>
                <w:sz w:val="22"/>
                <w:lang w:val="es-ES_tradnl"/>
              </w:rPr>
            </w:pPr>
          </w:p>
        </w:tc>
      </w:tr>
    </w:tbl>
    <w:p w14:paraId="62AE1CFA" w14:textId="77777777" w:rsidR="00912CFE" w:rsidRPr="00CF0CBF" w:rsidRDefault="00912CFE" w:rsidP="000126F5">
      <w:pPr>
        <w:keepNext/>
        <w:widowControl w:val="0"/>
        <w:suppressAutoHyphens/>
        <w:rPr>
          <w:rFonts w:cs="Arial"/>
          <w:sz w:val="22"/>
          <w:szCs w:val="22"/>
          <w:lang w:val="es-ES_tradnl"/>
        </w:rPr>
      </w:pPr>
    </w:p>
    <w:p w14:paraId="62AE1CFB" w14:textId="26DBC9E1" w:rsidR="00912CFE" w:rsidRPr="00CF0CBF" w:rsidRDefault="00912CFE" w:rsidP="00912CFE">
      <w:pPr>
        <w:pStyle w:val="Paragraph"/>
        <w:numPr>
          <w:ilvl w:val="0"/>
          <w:numId w:val="0"/>
        </w:numPr>
        <w:rPr>
          <w:rFonts w:cs="Arial"/>
          <w:b/>
          <w:sz w:val="22"/>
          <w:szCs w:val="22"/>
        </w:rPr>
      </w:pPr>
      <w:r w:rsidRPr="00CF0CBF">
        <w:rPr>
          <w:rFonts w:cs="Arial"/>
          <w:b/>
          <w:sz w:val="22"/>
          <w:szCs w:val="22"/>
        </w:rPr>
        <w:t xml:space="preserve">         </w:t>
      </w:r>
      <w:r w:rsidRPr="00827170">
        <w:rPr>
          <w:rFonts w:cs="Arial"/>
          <w:b/>
          <w:sz w:val="22"/>
          <w:szCs w:val="22"/>
        </w:rPr>
        <w:t>Cuad</w:t>
      </w:r>
      <w:r w:rsidR="00C572B1" w:rsidRPr="00827170">
        <w:rPr>
          <w:rFonts w:cs="Arial"/>
          <w:b/>
          <w:sz w:val="22"/>
          <w:szCs w:val="22"/>
        </w:rPr>
        <w:t xml:space="preserve">ro </w:t>
      </w:r>
      <w:r w:rsidR="00B61817">
        <w:rPr>
          <w:rFonts w:cs="Arial"/>
          <w:b/>
          <w:sz w:val="22"/>
          <w:szCs w:val="22"/>
        </w:rPr>
        <w:t>3</w:t>
      </w:r>
      <w:r w:rsidR="00C572B1" w:rsidRPr="00827170">
        <w:rPr>
          <w:rFonts w:cs="Arial"/>
          <w:b/>
          <w:sz w:val="22"/>
          <w:szCs w:val="22"/>
        </w:rPr>
        <w:t>: Progresos alcanzados en la promoción del acceso a la energía en Zonas No Interconectadas (ZNI)</w:t>
      </w:r>
    </w:p>
    <w:tbl>
      <w:tblPr>
        <w:tblStyle w:val="TableGrid"/>
        <w:tblW w:w="12438" w:type="dxa"/>
        <w:tblInd w:w="18" w:type="dxa"/>
        <w:tblLayout w:type="fixed"/>
        <w:tblLook w:val="04A0" w:firstRow="1" w:lastRow="0" w:firstColumn="1" w:lastColumn="0" w:noHBand="0" w:noVBand="1"/>
      </w:tblPr>
      <w:tblGrid>
        <w:gridCol w:w="2551"/>
        <w:gridCol w:w="4910"/>
        <w:gridCol w:w="4977"/>
      </w:tblGrid>
      <w:tr w:rsidR="00742D1F" w:rsidRPr="00CF0CBF" w14:paraId="62AE1CFF" w14:textId="77777777" w:rsidTr="000278CA">
        <w:trPr>
          <w:tblHeader/>
        </w:trPr>
        <w:tc>
          <w:tcPr>
            <w:tcW w:w="2551" w:type="dxa"/>
            <w:shd w:val="clear" w:color="auto" w:fill="D9D9D9" w:themeFill="background1" w:themeFillShade="D9"/>
            <w:vAlign w:val="center"/>
          </w:tcPr>
          <w:p w14:paraId="62AE1CFC" w14:textId="77777777" w:rsidR="00742D1F" w:rsidRPr="00CF0CBF" w:rsidRDefault="00742D1F" w:rsidP="00AA0978">
            <w:pPr>
              <w:pStyle w:val="Paragraph"/>
              <w:numPr>
                <w:ilvl w:val="0"/>
                <w:numId w:val="0"/>
              </w:numPr>
              <w:spacing w:before="0" w:after="0"/>
              <w:jc w:val="center"/>
              <w:rPr>
                <w:rFonts w:cs="Arial"/>
                <w:b/>
                <w:sz w:val="22"/>
              </w:rPr>
            </w:pPr>
            <w:r w:rsidRPr="00CF0CBF">
              <w:rPr>
                <w:rFonts w:cs="Arial"/>
                <w:b/>
                <w:sz w:val="22"/>
              </w:rPr>
              <w:t>Problemas específicos y sus causas</w:t>
            </w:r>
          </w:p>
        </w:tc>
        <w:tc>
          <w:tcPr>
            <w:tcW w:w="4910" w:type="dxa"/>
            <w:shd w:val="clear" w:color="auto" w:fill="D9D9D9" w:themeFill="background1" w:themeFillShade="D9"/>
            <w:vAlign w:val="center"/>
          </w:tcPr>
          <w:p w14:paraId="62AE1CFD" w14:textId="77777777" w:rsidR="00742D1F" w:rsidRPr="00CF0CBF" w:rsidRDefault="00F346FD" w:rsidP="00F346FD">
            <w:pPr>
              <w:pStyle w:val="Paragraph"/>
              <w:numPr>
                <w:ilvl w:val="0"/>
                <w:numId w:val="0"/>
              </w:numPr>
              <w:spacing w:before="0" w:after="0"/>
              <w:jc w:val="center"/>
              <w:rPr>
                <w:rFonts w:cs="Arial"/>
                <w:b/>
                <w:sz w:val="22"/>
              </w:rPr>
            </w:pPr>
            <w:r w:rsidRPr="00CF0CBF">
              <w:rPr>
                <w:rFonts w:cs="Arial"/>
                <w:b/>
                <w:sz w:val="22"/>
              </w:rPr>
              <w:t>Reformas de Pol</w:t>
            </w:r>
            <w:proofErr w:type="spellStart"/>
            <w:r w:rsidRPr="00CF0CBF">
              <w:rPr>
                <w:rFonts w:cs="Arial"/>
                <w:b/>
                <w:sz w:val="22"/>
                <w:lang w:val="es-ES_tradnl"/>
              </w:rPr>
              <w:t>ítica</w:t>
            </w:r>
            <w:proofErr w:type="spellEnd"/>
            <w:r w:rsidRPr="00CF0CBF">
              <w:rPr>
                <w:rFonts w:cs="Arial"/>
                <w:b/>
                <w:sz w:val="22"/>
                <w:lang w:val="es-ES_tradnl"/>
              </w:rPr>
              <w:t xml:space="preserve"> para atacar el Problema</w:t>
            </w:r>
          </w:p>
        </w:tc>
        <w:tc>
          <w:tcPr>
            <w:tcW w:w="4977" w:type="dxa"/>
            <w:shd w:val="clear" w:color="auto" w:fill="D9D9D9" w:themeFill="background1" w:themeFillShade="D9"/>
            <w:vAlign w:val="center"/>
          </w:tcPr>
          <w:p w14:paraId="62AE1CFE" w14:textId="77777777" w:rsidR="00742D1F" w:rsidRPr="00CF0CBF" w:rsidRDefault="00742D1F" w:rsidP="00AA0978">
            <w:pPr>
              <w:pStyle w:val="Paragraph"/>
              <w:numPr>
                <w:ilvl w:val="0"/>
                <w:numId w:val="0"/>
              </w:numPr>
              <w:spacing w:before="0" w:after="0"/>
              <w:jc w:val="center"/>
              <w:rPr>
                <w:rFonts w:cs="Arial"/>
                <w:b/>
                <w:sz w:val="22"/>
              </w:rPr>
            </w:pPr>
            <w:r w:rsidRPr="00CF0CBF">
              <w:rPr>
                <w:rFonts w:cs="Arial"/>
                <w:b/>
                <w:sz w:val="22"/>
              </w:rPr>
              <w:t>Progresos alcanzados</w:t>
            </w:r>
          </w:p>
        </w:tc>
      </w:tr>
      <w:tr w:rsidR="00742D1F" w:rsidRPr="004F3AC8" w14:paraId="62AE1D13" w14:textId="77777777" w:rsidTr="000278CA">
        <w:tc>
          <w:tcPr>
            <w:tcW w:w="2551" w:type="dxa"/>
          </w:tcPr>
          <w:p w14:paraId="62AE1D00" w14:textId="77777777" w:rsidR="00742D1F" w:rsidRPr="00CF0CBF" w:rsidRDefault="00496E75" w:rsidP="00AA0978">
            <w:pPr>
              <w:pStyle w:val="Paragraph"/>
              <w:numPr>
                <w:ilvl w:val="0"/>
                <w:numId w:val="0"/>
              </w:numPr>
              <w:rPr>
                <w:rFonts w:cs="Arial"/>
                <w:b/>
                <w:sz w:val="22"/>
                <w:lang w:val="es-ES_tradnl"/>
              </w:rPr>
            </w:pPr>
            <w:r w:rsidRPr="00CF0CBF">
              <w:rPr>
                <w:rFonts w:cs="Arial"/>
                <w:b/>
                <w:sz w:val="22"/>
                <w:lang w:val="es-ES_tradnl"/>
              </w:rPr>
              <w:t xml:space="preserve">Baja cobertura eléctrica en las Zonas No Interconectadas – ZNI. </w:t>
            </w:r>
            <w:r w:rsidR="00742D1F" w:rsidRPr="00CF0CBF">
              <w:rPr>
                <w:rFonts w:cs="Arial"/>
                <w:sz w:val="22"/>
              </w:rPr>
              <w:t xml:space="preserve">Las principales causas residen en que: </w:t>
            </w:r>
          </w:p>
          <w:p w14:paraId="62AE1D01" w14:textId="77777777" w:rsidR="00742D1F" w:rsidRPr="00CF0CBF" w:rsidRDefault="00496E75" w:rsidP="00354A10">
            <w:pPr>
              <w:pStyle w:val="Paragraph"/>
              <w:numPr>
                <w:ilvl w:val="1"/>
                <w:numId w:val="9"/>
              </w:numPr>
              <w:tabs>
                <w:tab w:val="clear" w:pos="5400"/>
                <w:tab w:val="num" w:pos="5292"/>
              </w:tabs>
              <w:spacing w:before="60" w:after="60"/>
              <w:ind w:left="259" w:hanging="259"/>
              <w:rPr>
                <w:rFonts w:cs="Arial"/>
                <w:b/>
                <w:sz w:val="22"/>
              </w:rPr>
            </w:pPr>
            <w:r w:rsidRPr="00CF0CBF">
              <w:rPr>
                <w:rFonts w:cs="Arial"/>
                <w:sz w:val="22"/>
              </w:rPr>
              <w:t>La mayor parte de la población se encuentra en áreas muy lejanas del Sistema Interconectado Nacional - SIN</w:t>
            </w:r>
            <w:r w:rsidR="00742D1F" w:rsidRPr="00CF0CBF">
              <w:rPr>
                <w:rFonts w:cs="Arial"/>
                <w:sz w:val="22"/>
              </w:rPr>
              <w:t>;</w:t>
            </w:r>
          </w:p>
          <w:p w14:paraId="62AE1D02" w14:textId="77777777" w:rsidR="00742D1F" w:rsidRPr="00CF0CBF" w:rsidRDefault="00496E75" w:rsidP="00354A10">
            <w:pPr>
              <w:pStyle w:val="Paragraph"/>
              <w:numPr>
                <w:ilvl w:val="1"/>
                <w:numId w:val="9"/>
              </w:numPr>
              <w:tabs>
                <w:tab w:val="clear" w:pos="5400"/>
                <w:tab w:val="num" w:pos="5292"/>
              </w:tabs>
              <w:spacing w:before="60" w:after="60"/>
              <w:ind w:left="259" w:hanging="259"/>
              <w:rPr>
                <w:rFonts w:cs="Arial"/>
                <w:b/>
                <w:sz w:val="22"/>
              </w:rPr>
            </w:pPr>
            <w:r w:rsidRPr="00CF0CBF">
              <w:rPr>
                <w:rFonts w:cs="Arial"/>
                <w:sz w:val="22"/>
              </w:rPr>
              <w:t>Recursos públicos limitados para expandir el servicio y alcanzar cobertura;</w:t>
            </w:r>
          </w:p>
          <w:p w14:paraId="62AE1D03" w14:textId="77777777" w:rsidR="00742D1F" w:rsidRPr="00CF0CBF" w:rsidRDefault="00496E75" w:rsidP="00496E75">
            <w:pPr>
              <w:pStyle w:val="Paragraph"/>
              <w:numPr>
                <w:ilvl w:val="1"/>
                <w:numId w:val="9"/>
              </w:numPr>
              <w:tabs>
                <w:tab w:val="clear" w:pos="5400"/>
                <w:tab w:val="num" w:pos="5292"/>
              </w:tabs>
              <w:spacing w:before="60" w:after="60"/>
              <w:ind w:left="259" w:hanging="259"/>
              <w:rPr>
                <w:rFonts w:cs="Arial"/>
                <w:b/>
                <w:sz w:val="22"/>
              </w:rPr>
            </w:pPr>
            <w:r w:rsidRPr="00CF0CBF">
              <w:rPr>
                <w:rFonts w:cs="Arial"/>
                <w:sz w:val="22"/>
              </w:rPr>
              <w:t>Las ZNI son áreas rurales de bajos re</w:t>
            </w:r>
            <w:r w:rsidRPr="00CF0CBF">
              <w:rPr>
                <w:rFonts w:cs="Arial"/>
                <w:sz w:val="22"/>
              </w:rPr>
              <w:lastRenderedPageBreak/>
              <w:t>cursos, poco rentables, con bajos niveles de consumo eléctrico y dificultad en la gestión del servicio.</w:t>
            </w:r>
          </w:p>
        </w:tc>
        <w:tc>
          <w:tcPr>
            <w:tcW w:w="4910" w:type="dxa"/>
          </w:tcPr>
          <w:p w14:paraId="62AE1D04" w14:textId="77777777" w:rsidR="000278CA" w:rsidRPr="00CF0CBF" w:rsidRDefault="000278CA" w:rsidP="00143224">
            <w:pPr>
              <w:rPr>
                <w:rFonts w:cs="Arial"/>
                <w:sz w:val="22"/>
                <w:lang w:val="es-ES"/>
              </w:rPr>
            </w:pPr>
            <w:r w:rsidRPr="00CF0CBF">
              <w:rPr>
                <w:rFonts w:cs="Arial"/>
                <w:sz w:val="22"/>
                <w:lang w:val="es-ES"/>
              </w:rPr>
              <w:lastRenderedPageBreak/>
              <w:t>Creación y en operación del registro de Proyectos de Generación con FNCER conectables a la red y en ZNI.</w:t>
            </w:r>
          </w:p>
          <w:p w14:paraId="62AE1D05" w14:textId="51CFF9C8" w:rsidR="00F346FD" w:rsidRDefault="00F346FD" w:rsidP="00143224">
            <w:pPr>
              <w:suppressAutoHyphens/>
              <w:rPr>
                <w:rFonts w:cs="Arial"/>
                <w:b/>
                <w:spacing w:val="-2"/>
                <w:sz w:val="22"/>
                <w:lang w:val="es-ES_tradnl"/>
              </w:rPr>
            </w:pPr>
          </w:p>
          <w:p w14:paraId="32AE45B3" w14:textId="62B4A7E9" w:rsidR="00F677B9" w:rsidRDefault="00F677B9" w:rsidP="00143224">
            <w:pPr>
              <w:suppressAutoHyphens/>
              <w:rPr>
                <w:rFonts w:cs="Arial"/>
                <w:b/>
                <w:spacing w:val="-2"/>
                <w:sz w:val="22"/>
                <w:lang w:val="es-ES_tradnl"/>
              </w:rPr>
            </w:pPr>
          </w:p>
          <w:p w14:paraId="479A8536" w14:textId="0DF55438" w:rsidR="00F677B9" w:rsidRDefault="00F677B9" w:rsidP="00143224">
            <w:pPr>
              <w:suppressAutoHyphens/>
              <w:rPr>
                <w:rFonts w:cs="Arial"/>
                <w:b/>
                <w:spacing w:val="-2"/>
                <w:sz w:val="22"/>
                <w:lang w:val="es-ES_tradnl"/>
              </w:rPr>
            </w:pPr>
          </w:p>
          <w:p w14:paraId="17AC9587" w14:textId="52F123D3" w:rsidR="00F677B9" w:rsidRDefault="00F677B9" w:rsidP="00143224">
            <w:pPr>
              <w:suppressAutoHyphens/>
              <w:rPr>
                <w:rFonts w:cs="Arial"/>
                <w:b/>
                <w:spacing w:val="-2"/>
                <w:sz w:val="22"/>
                <w:lang w:val="es-ES_tradnl"/>
              </w:rPr>
            </w:pPr>
          </w:p>
          <w:p w14:paraId="07F82FF2" w14:textId="51E04B77" w:rsidR="00F677B9" w:rsidRDefault="00F677B9" w:rsidP="00143224">
            <w:pPr>
              <w:suppressAutoHyphens/>
              <w:rPr>
                <w:rFonts w:cs="Arial"/>
                <w:b/>
                <w:spacing w:val="-2"/>
                <w:sz w:val="22"/>
                <w:lang w:val="es-ES_tradnl"/>
              </w:rPr>
            </w:pPr>
          </w:p>
          <w:p w14:paraId="24BBFA0F" w14:textId="5A74E584" w:rsidR="00143224" w:rsidRDefault="00143224" w:rsidP="00143224">
            <w:pPr>
              <w:suppressAutoHyphens/>
              <w:rPr>
                <w:rFonts w:cs="Arial"/>
                <w:b/>
                <w:spacing w:val="-2"/>
                <w:sz w:val="22"/>
                <w:lang w:val="es-ES_tradnl"/>
              </w:rPr>
            </w:pPr>
          </w:p>
          <w:p w14:paraId="5195F183" w14:textId="005F1266" w:rsidR="00143224" w:rsidRDefault="00143224" w:rsidP="00143224">
            <w:pPr>
              <w:suppressAutoHyphens/>
              <w:rPr>
                <w:rFonts w:cs="Arial"/>
                <w:b/>
                <w:spacing w:val="-2"/>
                <w:sz w:val="22"/>
                <w:lang w:val="es-ES_tradnl"/>
              </w:rPr>
            </w:pPr>
          </w:p>
          <w:p w14:paraId="5A51846E" w14:textId="045264B4" w:rsidR="00143224" w:rsidRDefault="00143224" w:rsidP="00143224">
            <w:pPr>
              <w:suppressAutoHyphens/>
              <w:rPr>
                <w:rFonts w:cs="Arial"/>
                <w:b/>
                <w:spacing w:val="-2"/>
                <w:sz w:val="22"/>
                <w:lang w:val="es-ES_tradnl"/>
              </w:rPr>
            </w:pPr>
          </w:p>
          <w:p w14:paraId="67EE0F1A" w14:textId="32C63DC0" w:rsidR="00143224" w:rsidRDefault="00143224" w:rsidP="00143224">
            <w:pPr>
              <w:suppressAutoHyphens/>
              <w:rPr>
                <w:rFonts w:cs="Arial"/>
                <w:b/>
                <w:spacing w:val="-2"/>
                <w:sz w:val="22"/>
                <w:lang w:val="es-ES_tradnl"/>
              </w:rPr>
            </w:pPr>
          </w:p>
          <w:p w14:paraId="7A3BB867" w14:textId="601E3676" w:rsidR="00143224" w:rsidRDefault="00143224" w:rsidP="00143224">
            <w:pPr>
              <w:suppressAutoHyphens/>
              <w:rPr>
                <w:rFonts w:cs="Arial"/>
                <w:b/>
                <w:spacing w:val="-2"/>
                <w:sz w:val="22"/>
                <w:lang w:val="es-ES_tradnl"/>
              </w:rPr>
            </w:pPr>
          </w:p>
          <w:p w14:paraId="021C2E34" w14:textId="52B5E7B7" w:rsidR="00143224" w:rsidRDefault="00143224" w:rsidP="00143224">
            <w:pPr>
              <w:suppressAutoHyphens/>
              <w:rPr>
                <w:rFonts w:cs="Arial"/>
                <w:b/>
                <w:spacing w:val="-2"/>
                <w:sz w:val="22"/>
                <w:lang w:val="es-ES_tradnl"/>
              </w:rPr>
            </w:pPr>
          </w:p>
          <w:p w14:paraId="27873E35" w14:textId="0A6A5238" w:rsidR="00143224" w:rsidRDefault="00143224" w:rsidP="00143224">
            <w:pPr>
              <w:suppressAutoHyphens/>
              <w:rPr>
                <w:rFonts w:cs="Arial"/>
                <w:b/>
                <w:spacing w:val="-2"/>
                <w:sz w:val="22"/>
                <w:lang w:val="es-ES_tradnl"/>
              </w:rPr>
            </w:pPr>
          </w:p>
          <w:p w14:paraId="2BE0F574" w14:textId="70352513" w:rsidR="00143224" w:rsidRDefault="00143224" w:rsidP="00143224">
            <w:pPr>
              <w:suppressAutoHyphens/>
              <w:rPr>
                <w:rFonts w:cs="Arial"/>
                <w:b/>
                <w:spacing w:val="-2"/>
                <w:sz w:val="22"/>
                <w:lang w:val="es-ES_tradnl"/>
              </w:rPr>
            </w:pPr>
          </w:p>
          <w:p w14:paraId="62AE1D06" w14:textId="77777777" w:rsidR="000278CA" w:rsidRPr="00CF0CBF" w:rsidRDefault="000278CA" w:rsidP="00143224">
            <w:pPr>
              <w:rPr>
                <w:rFonts w:cs="Arial"/>
                <w:sz w:val="22"/>
                <w:lang w:val="es-ES"/>
              </w:rPr>
            </w:pPr>
            <w:r w:rsidRPr="00CF0CBF">
              <w:rPr>
                <w:rFonts w:cs="Arial"/>
                <w:sz w:val="22"/>
                <w:lang w:val="es-ES"/>
              </w:rPr>
              <w:t>Mecanismos para expansión de cobertura de usuarios interconectables desarrollado</w:t>
            </w:r>
          </w:p>
          <w:p w14:paraId="62AE1D07" w14:textId="453EA84A" w:rsidR="00F346FD" w:rsidRDefault="00F346FD" w:rsidP="00143224">
            <w:pPr>
              <w:suppressAutoHyphens/>
              <w:rPr>
                <w:rFonts w:cs="Arial"/>
                <w:spacing w:val="-2"/>
                <w:sz w:val="22"/>
                <w:lang w:val="es-ES_tradnl"/>
              </w:rPr>
            </w:pPr>
          </w:p>
          <w:p w14:paraId="0FCAFC8C" w14:textId="79473C48" w:rsidR="004B172D" w:rsidRDefault="004B172D" w:rsidP="00143224">
            <w:pPr>
              <w:suppressAutoHyphens/>
              <w:rPr>
                <w:rFonts w:cs="Arial"/>
                <w:spacing w:val="-2"/>
                <w:sz w:val="22"/>
                <w:lang w:val="es-ES_tradnl"/>
              </w:rPr>
            </w:pPr>
          </w:p>
          <w:p w14:paraId="3CE0838D" w14:textId="0C23998F" w:rsidR="004B172D" w:rsidRDefault="004B172D" w:rsidP="00143224">
            <w:pPr>
              <w:suppressAutoHyphens/>
              <w:rPr>
                <w:rFonts w:cs="Arial"/>
                <w:spacing w:val="-2"/>
                <w:sz w:val="22"/>
                <w:lang w:val="es-ES_tradnl"/>
              </w:rPr>
            </w:pPr>
          </w:p>
          <w:p w14:paraId="4CC6B48D" w14:textId="77777777" w:rsidR="004B172D" w:rsidRPr="00CF0CBF" w:rsidRDefault="004B172D" w:rsidP="00143224">
            <w:pPr>
              <w:suppressAutoHyphens/>
              <w:rPr>
                <w:rFonts w:cs="Arial"/>
                <w:spacing w:val="-2"/>
                <w:sz w:val="22"/>
                <w:lang w:val="es-ES_tradnl"/>
              </w:rPr>
            </w:pPr>
          </w:p>
          <w:p w14:paraId="62AE1D08" w14:textId="77777777" w:rsidR="00F346FD" w:rsidRPr="00CF0CBF" w:rsidRDefault="000278CA" w:rsidP="00143224">
            <w:pPr>
              <w:suppressAutoHyphens/>
              <w:rPr>
                <w:rFonts w:cs="Arial"/>
                <w:spacing w:val="-2"/>
                <w:sz w:val="22"/>
                <w:lang w:val="es-ES_tradnl"/>
              </w:rPr>
            </w:pPr>
            <w:r w:rsidRPr="00CF0CBF">
              <w:rPr>
                <w:rFonts w:cs="Arial"/>
                <w:sz w:val="22"/>
                <w:lang w:val="es-ES"/>
              </w:rPr>
              <w:t>Estructuración de la primera APP para ZNI.</w:t>
            </w:r>
          </w:p>
          <w:p w14:paraId="44CF9A14" w14:textId="77777777" w:rsidR="00F346FD" w:rsidRDefault="00F346FD" w:rsidP="00143224">
            <w:pPr>
              <w:suppressAutoHyphens/>
              <w:rPr>
                <w:rFonts w:cs="Arial"/>
                <w:sz w:val="22"/>
                <w:lang w:val="es-ES"/>
              </w:rPr>
            </w:pPr>
          </w:p>
          <w:p w14:paraId="0D728B6E" w14:textId="77777777" w:rsidR="006D1AA3" w:rsidRDefault="006D1AA3" w:rsidP="00143224">
            <w:pPr>
              <w:suppressAutoHyphens/>
              <w:rPr>
                <w:rFonts w:cs="Arial"/>
                <w:sz w:val="22"/>
                <w:lang w:val="es-ES"/>
              </w:rPr>
            </w:pPr>
          </w:p>
          <w:p w14:paraId="62AE1D09" w14:textId="6B94CB3E" w:rsidR="00A40234" w:rsidRPr="00CF0CBF" w:rsidRDefault="00A40234" w:rsidP="00143224">
            <w:pPr>
              <w:suppressAutoHyphens/>
              <w:rPr>
                <w:rFonts w:cs="Arial"/>
                <w:sz w:val="22"/>
                <w:lang w:val="es-ES"/>
              </w:rPr>
            </w:pPr>
            <w:r w:rsidRPr="00A40234">
              <w:rPr>
                <w:rFonts w:cs="Arial"/>
                <w:sz w:val="22"/>
                <w:lang w:val="es-ES"/>
              </w:rPr>
              <w:t xml:space="preserve">Que se hayan adoptado los lineamientos del Plan Nacional de Electrificación Rural 2018-2031 que busca la universalización del servicio de energía eléctrica a nivel nacional en 2031, con un especial énfasis en las áreas de </w:t>
            </w:r>
            <w:proofErr w:type="spellStart"/>
            <w:proofErr w:type="gramStart"/>
            <w:r w:rsidRPr="00A40234">
              <w:rPr>
                <w:rFonts w:cs="Arial"/>
                <w:sz w:val="22"/>
                <w:lang w:val="es-ES"/>
              </w:rPr>
              <w:t>post-conflicto</w:t>
            </w:r>
            <w:proofErr w:type="spellEnd"/>
            <w:proofErr w:type="gramEnd"/>
            <w:r w:rsidRPr="00A40234">
              <w:rPr>
                <w:rFonts w:cs="Arial"/>
                <w:sz w:val="22"/>
                <w:lang w:val="es-ES"/>
              </w:rPr>
              <w:t>.</w:t>
            </w:r>
          </w:p>
        </w:tc>
        <w:tc>
          <w:tcPr>
            <w:tcW w:w="4977" w:type="dxa"/>
          </w:tcPr>
          <w:p w14:paraId="62AE1D0A" w14:textId="77777777" w:rsidR="000278CA" w:rsidRPr="00CF0CBF" w:rsidRDefault="000278CA" w:rsidP="00143224">
            <w:pPr>
              <w:rPr>
                <w:rFonts w:cs="Arial"/>
                <w:sz w:val="22"/>
                <w:lang w:val="es-ES_tradnl"/>
              </w:rPr>
            </w:pPr>
            <w:r w:rsidRPr="00CF0CBF">
              <w:rPr>
                <w:rFonts w:cs="Arial"/>
                <w:sz w:val="22"/>
                <w:lang w:val="es-ES_tradnl"/>
              </w:rPr>
              <w:lastRenderedPageBreak/>
              <w:t>Se creó el registro de proyectos de generación de energía eléctrica en página WEB de la UPME.</w:t>
            </w:r>
          </w:p>
          <w:p w14:paraId="62AE1D0B" w14:textId="77777777" w:rsidR="000278CA" w:rsidRPr="00CF0CBF" w:rsidRDefault="0066056F" w:rsidP="00143224">
            <w:pPr>
              <w:rPr>
                <w:rFonts w:cs="Arial"/>
                <w:b/>
                <w:sz w:val="22"/>
                <w:lang w:val="es-ES_tradnl"/>
              </w:rPr>
            </w:pPr>
            <w:hyperlink r:id="rId17" w:history="1">
              <w:r w:rsidR="000278CA" w:rsidRPr="00CF0CBF">
                <w:rPr>
                  <w:rStyle w:val="Hyperlink"/>
                  <w:rFonts w:cs="Arial"/>
                  <w:sz w:val="22"/>
                  <w:lang w:val="es-ES_tradnl"/>
                </w:rPr>
                <w:t>http://www1.upme.gov.co/Paginas/Inscripcionproyectogenelec.aspx</w:t>
              </w:r>
            </w:hyperlink>
          </w:p>
          <w:p w14:paraId="62AE1D0C" w14:textId="77777777" w:rsidR="000278CA" w:rsidRPr="00CF0CBF" w:rsidRDefault="000278CA" w:rsidP="00143224">
            <w:pPr>
              <w:rPr>
                <w:rFonts w:cs="Arial"/>
                <w:sz w:val="22"/>
                <w:lang w:val="es-ES_tradnl"/>
              </w:rPr>
            </w:pPr>
          </w:p>
          <w:p w14:paraId="62AE1D0D" w14:textId="77777777" w:rsidR="000278CA" w:rsidRPr="00CF0CBF" w:rsidRDefault="000278CA" w:rsidP="00143224">
            <w:pPr>
              <w:rPr>
                <w:rFonts w:cs="Arial"/>
                <w:sz w:val="22"/>
              </w:rPr>
            </w:pPr>
            <w:r w:rsidRPr="00CF0CBF">
              <w:rPr>
                <w:rFonts w:cs="Arial"/>
                <w:noProof/>
                <w:sz w:val="22"/>
                <w:lang w:val="es-ES" w:eastAsia="es-ES"/>
              </w:rPr>
              <w:drawing>
                <wp:inline distT="0" distB="0" distL="0" distR="0" wp14:anchorId="62AE1D15" wp14:editId="2CBBA042">
                  <wp:extent cx="2148840" cy="1277689"/>
                  <wp:effectExtent l="0" t="0" r="3810" b="0"/>
                  <wp:docPr id="1" name="Imagen 1" descr="DD 250:Users:alvaro:Desktop:Captura de pantalla 2018-11-13 a la(s) 9.55.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250:Users:alvaro:Desktop:Captura de pantalla 2018-11-13 a la(s) 9.55.09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4137" cy="1286784"/>
                          </a:xfrm>
                          <a:prstGeom prst="rect">
                            <a:avLst/>
                          </a:prstGeom>
                          <a:noFill/>
                          <a:ln>
                            <a:noFill/>
                          </a:ln>
                        </pic:spPr>
                      </pic:pic>
                    </a:graphicData>
                  </a:graphic>
                </wp:inline>
              </w:drawing>
            </w:r>
          </w:p>
          <w:p w14:paraId="62AE1D0E" w14:textId="77777777" w:rsidR="000278CA" w:rsidRPr="00CF0CBF" w:rsidRDefault="000278CA" w:rsidP="00143224">
            <w:pPr>
              <w:rPr>
                <w:rFonts w:cs="Arial"/>
                <w:sz w:val="22"/>
              </w:rPr>
            </w:pPr>
          </w:p>
          <w:p w14:paraId="62AE1D10" w14:textId="1CBBE3A9" w:rsidR="000278CA" w:rsidRPr="00CF0CBF" w:rsidRDefault="000278CA" w:rsidP="00143224">
            <w:pPr>
              <w:rPr>
                <w:rFonts w:cs="Arial"/>
                <w:sz w:val="22"/>
                <w:lang w:val="es-ES_tradnl"/>
              </w:rPr>
            </w:pPr>
            <w:r w:rsidRPr="00CF0CBF">
              <w:rPr>
                <w:rFonts w:cs="Arial"/>
                <w:sz w:val="22"/>
                <w:lang w:val="es-ES_tradnl"/>
              </w:rPr>
              <w:t xml:space="preserve">Para los mecanismos de expansión de cobertura, la CREG suscribió Resolución CREG 015 de 2018, que otorga incentivos a los operadores de </w:t>
            </w:r>
            <w:r w:rsidRPr="00CF0CBF">
              <w:rPr>
                <w:rFonts w:cs="Arial"/>
                <w:sz w:val="22"/>
                <w:lang w:val="es-ES_tradnl"/>
              </w:rPr>
              <w:lastRenderedPageBreak/>
              <w:t>red para que expanda la cobertura a usuarios no conectados.</w:t>
            </w:r>
          </w:p>
          <w:p w14:paraId="62AE1D11" w14:textId="77777777" w:rsidR="000278CA" w:rsidRPr="00CF0CBF" w:rsidRDefault="000278CA" w:rsidP="00143224">
            <w:pPr>
              <w:rPr>
                <w:rFonts w:cs="Arial"/>
                <w:sz w:val="22"/>
                <w:lang w:val="es-ES_tradnl"/>
              </w:rPr>
            </w:pPr>
          </w:p>
          <w:p w14:paraId="090D0112" w14:textId="496F5845" w:rsidR="000278CA" w:rsidRDefault="000278CA" w:rsidP="00143224">
            <w:pPr>
              <w:rPr>
                <w:rFonts w:cs="Arial"/>
                <w:sz w:val="22"/>
                <w:lang w:val="es-ES_tradnl"/>
              </w:rPr>
            </w:pPr>
            <w:r w:rsidRPr="008E7B29">
              <w:rPr>
                <w:rFonts w:cs="Arial"/>
                <w:sz w:val="22"/>
                <w:lang w:val="es-ES_tradnl"/>
              </w:rPr>
              <w:t>Estudio de estructuración de la APP para ZNI</w:t>
            </w:r>
            <w:r w:rsidR="004B172D" w:rsidRPr="008E7B29">
              <w:rPr>
                <w:rFonts w:cs="Arial"/>
                <w:sz w:val="22"/>
                <w:lang w:val="es-ES_tradnl"/>
              </w:rPr>
              <w:t xml:space="preserve"> fue completado por el D</w:t>
            </w:r>
            <w:r w:rsidR="008E7B29" w:rsidRPr="008E7B29">
              <w:rPr>
                <w:rFonts w:cs="Arial"/>
                <w:sz w:val="22"/>
                <w:lang w:val="es-ES_tradnl"/>
              </w:rPr>
              <w:t>e</w:t>
            </w:r>
            <w:r w:rsidR="004B172D" w:rsidRPr="008E7B29">
              <w:rPr>
                <w:rFonts w:cs="Arial"/>
                <w:sz w:val="22"/>
                <w:lang w:val="es-ES_tradnl"/>
              </w:rPr>
              <w:t>part</w:t>
            </w:r>
            <w:r w:rsidR="008E7B29" w:rsidRPr="008E7B29">
              <w:rPr>
                <w:rFonts w:cs="Arial"/>
                <w:sz w:val="22"/>
                <w:lang w:val="es-ES_tradnl"/>
              </w:rPr>
              <w:t>amento Nacional de Planeación.</w:t>
            </w:r>
          </w:p>
          <w:p w14:paraId="4F9A34F8" w14:textId="77777777" w:rsidR="006D1AA3" w:rsidRDefault="006D1AA3" w:rsidP="00143224">
            <w:pPr>
              <w:rPr>
                <w:rFonts w:cs="Arial"/>
                <w:sz w:val="22"/>
                <w:lang w:val="es-ES_tradnl"/>
              </w:rPr>
            </w:pPr>
          </w:p>
          <w:p w14:paraId="62AE1D12" w14:textId="35FF8165" w:rsidR="00991B28" w:rsidRPr="00CF0CBF" w:rsidRDefault="00991B28" w:rsidP="00143224">
            <w:pPr>
              <w:rPr>
                <w:rFonts w:cs="Arial"/>
                <w:color w:val="FF0000"/>
                <w:sz w:val="22"/>
                <w:lang w:val="es-ES"/>
              </w:rPr>
            </w:pPr>
            <w:r w:rsidRPr="006D1AA3">
              <w:rPr>
                <w:rFonts w:cs="Arial"/>
                <w:sz w:val="22"/>
                <w:lang w:val="es-ES_tradnl"/>
              </w:rPr>
              <w:t>E</w:t>
            </w:r>
            <w:r w:rsidR="006D1AA3">
              <w:rPr>
                <w:rFonts w:cs="Arial"/>
                <w:sz w:val="22"/>
                <w:lang w:val="es-ES_tradnl"/>
              </w:rPr>
              <w:t>l</w:t>
            </w:r>
            <w:r w:rsidRPr="006D1AA3">
              <w:rPr>
                <w:rFonts w:cs="Arial"/>
                <w:sz w:val="22"/>
                <w:lang w:val="es-ES_tradnl"/>
              </w:rPr>
              <w:t xml:space="preserve"> MME expidió la resolución 40809 de 2018, </w:t>
            </w:r>
            <w:r w:rsidR="003B4D4E">
              <w:rPr>
                <w:rFonts w:cs="Arial"/>
                <w:sz w:val="22"/>
                <w:lang w:val="es-ES_tradnl"/>
              </w:rPr>
              <w:t>que adopta</w:t>
            </w:r>
            <w:r w:rsidRPr="006D1AA3">
              <w:rPr>
                <w:rFonts w:cs="Arial"/>
                <w:sz w:val="22"/>
                <w:lang w:val="es-ES_tradnl"/>
              </w:rPr>
              <w:t xml:space="preserve"> los lineamientos del Plan Nacional de Electrificación Rural 2018 - 2031 con focalización en las áreas de posconflicto.</w:t>
            </w:r>
          </w:p>
        </w:tc>
      </w:tr>
    </w:tbl>
    <w:p w14:paraId="62AE1D14" w14:textId="77777777" w:rsidR="00912CFE" w:rsidRPr="00CF0CBF" w:rsidRDefault="00912CFE" w:rsidP="000126F5">
      <w:pPr>
        <w:keepNext/>
        <w:widowControl w:val="0"/>
        <w:suppressAutoHyphens/>
        <w:rPr>
          <w:rFonts w:cs="Arial"/>
          <w:sz w:val="22"/>
          <w:szCs w:val="22"/>
          <w:lang w:val="es-ES_tradnl"/>
        </w:rPr>
      </w:pPr>
    </w:p>
    <w:sectPr w:rsidR="00912CFE" w:rsidRPr="00CF0CBF" w:rsidSect="002D2CD0">
      <w:headerReference w:type="default" r:id="rId19"/>
      <w:footerReference w:type="even" r:id="rId20"/>
      <w:pgSz w:w="15840" w:h="12240" w:orient="landscape"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1F8C" w14:textId="77777777" w:rsidR="00496E75" w:rsidRDefault="00496E75">
      <w:r>
        <w:separator/>
      </w:r>
    </w:p>
  </w:endnote>
  <w:endnote w:type="continuationSeparator" w:id="0">
    <w:p w14:paraId="36F41CDB" w14:textId="77777777" w:rsidR="00496E75" w:rsidRDefault="00496E75">
      <w:r>
        <w:continuationSeparator/>
      </w:r>
    </w:p>
  </w:endnote>
  <w:endnote w:type="continuationNotice" w:id="1">
    <w:p w14:paraId="055F8ABD" w14:textId="77777777" w:rsidR="00496E75" w:rsidRDefault="00496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1D20" w14:textId="77777777" w:rsidR="00496E75" w:rsidRDefault="00496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AE1D21" w14:textId="77777777" w:rsidR="00496E75" w:rsidRDefault="00496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4EAF" w14:textId="77777777" w:rsidR="00496E75" w:rsidRDefault="00496E75">
      <w:r>
        <w:separator/>
      </w:r>
    </w:p>
  </w:footnote>
  <w:footnote w:type="continuationSeparator" w:id="0">
    <w:p w14:paraId="26081530" w14:textId="77777777" w:rsidR="00496E75" w:rsidRDefault="00496E75">
      <w:r>
        <w:continuationSeparator/>
      </w:r>
    </w:p>
  </w:footnote>
  <w:footnote w:type="continuationNotice" w:id="1">
    <w:p w14:paraId="68E3BC96" w14:textId="77777777" w:rsidR="00496E75" w:rsidRDefault="00496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4"/>
      </w:rPr>
      <w:id w:val="1477648756"/>
      <w:docPartObj>
        <w:docPartGallery w:val="Page Numbers (Top of Page)"/>
        <w:docPartUnique/>
      </w:docPartObj>
    </w:sdtPr>
    <w:sdtEndPr/>
    <w:sdtContent>
      <w:p w14:paraId="62AE1D1D" w14:textId="4F9C726D" w:rsidR="00496E75" w:rsidRPr="005B239B" w:rsidRDefault="00496E75">
        <w:pPr>
          <w:pStyle w:val="Header"/>
          <w:jc w:val="right"/>
          <w:rPr>
            <w:sz w:val="20"/>
            <w:szCs w:val="24"/>
            <w:lang w:val="pt-BR"/>
          </w:rPr>
        </w:pPr>
        <w:r w:rsidRPr="005B239B">
          <w:rPr>
            <w:sz w:val="20"/>
            <w:szCs w:val="24"/>
            <w:lang w:val="pt-BR"/>
          </w:rPr>
          <w:t>CO-L1237</w:t>
        </w:r>
      </w:p>
      <w:p w14:paraId="62AE1D1E" w14:textId="77777777" w:rsidR="00496E75" w:rsidRPr="005B239B" w:rsidRDefault="00496E75">
        <w:pPr>
          <w:pStyle w:val="Header"/>
          <w:jc w:val="right"/>
          <w:rPr>
            <w:sz w:val="20"/>
            <w:szCs w:val="24"/>
            <w:lang w:val="pt-BR"/>
          </w:rPr>
        </w:pPr>
        <w:r w:rsidRPr="005B239B">
          <w:rPr>
            <w:sz w:val="20"/>
            <w:szCs w:val="24"/>
            <w:lang w:val="pt-BR"/>
          </w:rPr>
          <w:t xml:space="preserve">Página </w:t>
        </w:r>
        <w:r w:rsidRPr="005B239B">
          <w:rPr>
            <w:bCs/>
            <w:sz w:val="20"/>
            <w:szCs w:val="24"/>
          </w:rPr>
          <w:fldChar w:fldCharType="begin"/>
        </w:r>
        <w:r w:rsidRPr="005B239B">
          <w:rPr>
            <w:bCs/>
            <w:sz w:val="20"/>
            <w:szCs w:val="24"/>
            <w:lang w:val="pt-BR"/>
          </w:rPr>
          <w:instrText xml:space="preserve"> PAGE </w:instrText>
        </w:r>
        <w:r w:rsidRPr="005B239B">
          <w:rPr>
            <w:bCs/>
            <w:sz w:val="20"/>
            <w:szCs w:val="24"/>
          </w:rPr>
          <w:fldChar w:fldCharType="separate"/>
        </w:r>
        <w:r w:rsidR="000278CA" w:rsidRPr="005B239B">
          <w:rPr>
            <w:bCs/>
            <w:noProof/>
            <w:sz w:val="20"/>
            <w:szCs w:val="24"/>
            <w:lang w:val="pt-BR"/>
          </w:rPr>
          <w:t>5</w:t>
        </w:r>
        <w:r w:rsidRPr="005B239B">
          <w:rPr>
            <w:bCs/>
            <w:sz w:val="20"/>
            <w:szCs w:val="24"/>
          </w:rPr>
          <w:fldChar w:fldCharType="end"/>
        </w:r>
        <w:r w:rsidRPr="005B239B">
          <w:rPr>
            <w:sz w:val="20"/>
            <w:szCs w:val="24"/>
            <w:lang w:val="pt-BR"/>
          </w:rPr>
          <w:t xml:space="preserve"> de </w:t>
        </w:r>
        <w:r w:rsidRPr="005B239B">
          <w:rPr>
            <w:bCs/>
            <w:sz w:val="20"/>
            <w:szCs w:val="24"/>
          </w:rPr>
          <w:fldChar w:fldCharType="begin"/>
        </w:r>
        <w:r w:rsidRPr="005B239B">
          <w:rPr>
            <w:bCs/>
            <w:sz w:val="20"/>
            <w:szCs w:val="24"/>
            <w:lang w:val="pt-BR"/>
          </w:rPr>
          <w:instrText xml:space="preserve"> NUMPAGES  </w:instrText>
        </w:r>
        <w:r w:rsidRPr="005B239B">
          <w:rPr>
            <w:bCs/>
            <w:sz w:val="20"/>
            <w:szCs w:val="24"/>
          </w:rPr>
          <w:fldChar w:fldCharType="separate"/>
        </w:r>
        <w:r w:rsidR="000278CA" w:rsidRPr="005B239B">
          <w:rPr>
            <w:bCs/>
            <w:noProof/>
            <w:sz w:val="20"/>
            <w:szCs w:val="24"/>
            <w:lang w:val="pt-BR"/>
          </w:rPr>
          <w:t>5</w:t>
        </w:r>
        <w:r w:rsidRPr="005B239B">
          <w:rPr>
            <w:bCs/>
            <w:sz w:val="20"/>
            <w:szCs w:val="24"/>
          </w:rPr>
          <w:fldChar w:fldCharType="end"/>
        </w:r>
      </w:p>
    </w:sdtContent>
  </w:sdt>
  <w:p w14:paraId="62AE1D1F" w14:textId="77777777" w:rsidR="00496E75" w:rsidRPr="005B239B" w:rsidRDefault="00496E75" w:rsidP="00E21A34">
    <w:pPr>
      <w:pStyle w:val="Header"/>
      <w:rPr>
        <w:sz w:val="14"/>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0CC9"/>
    <w:multiLevelType w:val="hybridMultilevel"/>
    <w:tmpl w:val="58B22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96D96"/>
    <w:multiLevelType w:val="hybridMultilevel"/>
    <w:tmpl w:val="74B22C7C"/>
    <w:lvl w:ilvl="0" w:tplc="EB4C6780">
      <w:start w:val="1"/>
      <w:numFmt w:val="upperRoman"/>
      <w:pStyle w:val="Heading3"/>
      <w:lvlText w:val="%1."/>
      <w:lvlJc w:val="left"/>
      <w:pPr>
        <w:tabs>
          <w:tab w:val="num" w:pos="1080"/>
        </w:tabs>
        <w:ind w:left="1080" w:hanging="720"/>
      </w:pPr>
      <w:rPr>
        <w:rFonts w:hint="default"/>
        <w:b/>
        <w:i w:val="0"/>
        <w:sz w:val="24"/>
      </w:rPr>
    </w:lvl>
    <w:lvl w:ilvl="1" w:tplc="34806F40">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B90379"/>
    <w:multiLevelType w:val="multilevel"/>
    <w:tmpl w:val="7C789332"/>
    <w:lvl w:ilvl="0">
      <w:start w:val="1"/>
      <w:numFmt w:val="decimal"/>
      <w:lvlText w:val="%1."/>
      <w:lvlJc w:val="left"/>
      <w:pPr>
        <w:ind w:left="4824" w:hanging="720"/>
      </w:pPr>
    </w:lvl>
    <w:lvl w:ilvl="1">
      <w:start w:val="1"/>
      <w:numFmt w:val="decimal"/>
      <w:lvlText w:val="%2."/>
      <w:lvlJc w:val="left"/>
      <w:pPr>
        <w:tabs>
          <w:tab w:val="num" w:pos="5400"/>
        </w:tabs>
        <w:ind w:left="5400" w:hanging="576"/>
      </w:pPr>
      <w:rPr>
        <w:rFonts w:hint="default"/>
        <w:b w:val="0"/>
        <w:sz w:val="18"/>
        <w:szCs w:val="20"/>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3" w15:restartNumberingAfterBreak="0">
    <w:nsid w:val="220564D3"/>
    <w:multiLevelType w:val="hybridMultilevel"/>
    <w:tmpl w:val="954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D596A"/>
    <w:multiLevelType w:val="hybridMultilevel"/>
    <w:tmpl w:val="E6A2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6370BB"/>
    <w:multiLevelType w:val="multilevel"/>
    <w:tmpl w:val="EE04BF28"/>
    <w:lvl w:ilvl="0">
      <w:start w:val="1"/>
      <w:numFmt w:val="none"/>
      <w:lvlRestart w:val="0"/>
      <w:suff w:val="nothing"/>
      <w:lvlText w:val=""/>
      <w:lvlJc w:val="left"/>
      <w:pPr>
        <w:ind w:left="4824" w:hanging="720"/>
      </w:pPr>
    </w:lvl>
    <w:lvl w:ilvl="1">
      <w:start w:val="1"/>
      <w:numFmt w:val="decimal"/>
      <w:lvlText w:val="%2."/>
      <w:lvlJc w:val="left"/>
      <w:pPr>
        <w:tabs>
          <w:tab w:val="num" w:pos="5400"/>
        </w:tabs>
        <w:ind w:left="5400" w:hanging="576"/>
      </w:pPr>
      <w:rPr>
        <w:rFonts w:ascii="Arial" w:hAnsi="Arial" w:cs="Arial" w:hint="default"/>
        <w:b w:val="0"/>
        <w:sz w:val="18"/>
        <w:szCs w:val="20"/>
      </w:rPr>
    </w:lvl>
    <w:lvl w:ilvl="2">
      <w:start w:val="1"/>
      <w:numFmt w:val="lowerLetter"/>
      <w:lvlText w:val="%3)"/>
      <w:lvlJc w:val="left"/>
      <w:pPr>
        <w:tabs>
          <w:tab w:val="num" w:pos="5976"/>
        </w:tabs>
        <w:ind w:left="5976" w:hanging="576"/>
      </w:pPr>
      <w:rPr>
        <w:b w:val="0"/>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6" w15:restartNumberingAfterBreak="0">
    <w:nsid w:val="34EA2EFF"/>
    <w:multiLevelType w:val="hybridMultilevel"/>
    <w:tmpl w:val="53A0A8CC"/>
    <w:lvl w:ilvl="0" w:tplc="96A00460">
      <w:start w:val="1"/>
      <w:numFmt w:val="bullet"/>
      <w:pStyle w:val="bull2"/>
      <w:lvlText w:val=""/>
      <w:lvlJc w:val="left"/>
      <w:pPr>
        <w:tabs>
          <w:tab w:val="num" w:pos="540"/>
        </w:tabs>
        <w:ind w:left="540" w:hanging="360"/>
      </w:pPr>
      <w:rPr>
        <w:rFonts w:ascii="Wingdings" w:hAnsi="Wingdings" w:hint="default"/>
      </w:rPr>
    </w:lvl>
    <w:lvl w:ilvl="1" w:tplc="99A60DD8">
      <w:start w:val="1"/>
      <w:numFmt w:val="bullet"/>
      <w:lvlText w:val=""/>
      <w:lvlJc w:val="left"/>
      <w:pPr>
        <w:tabs>
          <w:tab w:val="num" w:pos="360"/>
        </w:tabs>
        <w:ind w:left="360" w:hanging="144"/>
      </w:pPr>
      <w:rPr>
        <w:rFonts w:ascii="Wingdings" w:hAnsi="Wingdings" w:hint="default"/>
      </w:rPr>
    </w:lvl>
    <w:lvl w:ilvl="2" w:tplc="8C74DBAE">
      <w:start w:val="2"/>
      <w:numFmt w:val="bullet"/>
      <w:lvlText w:val="-"/>
      <w:lvlJc w:val="left"/>
      <w:pPr>
        <w:tabs>
          <w:tab w:val="num" w:pos="2160"/>
        </w:tabs>
        <w:ind w:left="2160" w:hanging="360"/>
      </w:pPr>
      <w:rPr>
        <w:rFonts w:ascii="Times New Roman" w:eastAsia="Times New Roman" w:hAnsi="Times New Roman" w:cs="Times New Roman" w:hint="default"/>
      </w:rPr>
    </w:lvl>
    <w:lvl w:ilvl="3" w:tplc="2C50602A">
      <w:start w:val="1"/>
      <w:numFmt w:val="bullet"/>
      <w:lvlText w:val=""/>
      <w:lvlJc w:val="left"/>
      <w:pPr>
        <w:tabs>
          <w:tab w:val="num" w:pos="2880"/>
        </w:tabs>
        <w:ind w:left="2880" w:hanging="360"/>
      </w:pPr>
      <w:rPr>
        <w:rFonts w:ascii="Symbol" w:eastAsia="Times New Roman" w:hAnsi="Symbol"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B4991"/>
    <w:multiLevelType w:val="multilevel"/>
    <w:tmpl w:val="3BCC766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15:restartNumberingAfterBreak="0">
    <w:nsid w:val="43472C70"/>
    <w:multiLevelType w:val="hybridMultilevel"/>
    <w:tmpl w:val="0488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279B3"/>
    <w:multiLevelType w:val="hybridMultilevel"/>
    <w:tmpl w:val="2CDC6E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B06250"/>
    <w:multiLevelType w:val="hybridMultilevel"/>
    <w:tmpl w:val="E6B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914"/>
    <w:multiLevelType w:val="hybridMultilevel"/>
    <w:tmpl w:val="1EB45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8F3F34"/>
    <w:multiLevelType w:val="hybridMultilevel"/>
    <w:tmpl w:val="4E904A02"/>
    <w:lvl w:ilvl="0" w:tplc="139EDBB0">
      <w:start w:val="4"/>
      <w:numFmt w:val="decimal"/>
      <w:lvlText w:val="%1."/>
      <w:lvlJc w:val="left"/>
      <w:pPr>
        <w:tabs>
          <w:tab w:val="num" w:pos="360"/>
        </w:tabs>
        <w:ind w:left="360" w:hanging="360"/>
      </w:pPr>
      <w:rPr>
        <w:rFonts w:hint="default"/>
        <w:b w:val="0"/>
        <w:i w:val="0"/>
        <w:sz w:val="20"/>
      </w:rPr>
    </w:lvl>
    <w:lvl w:ilvl="1" w:tplc="A1AA86A0">
      <w:start w:val="9"/>
      <w:numFmt w:val="decimal"/>
      <w:pStyle w:val="num"/>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6"/>
  </w:num>
  <w:num w:numId="4">
    <w:abstractNumId w:val="8"/>
  </w:num>
  <w:num w:numId="5">
    <w:abstractNumId w:val="10"/>
  </w:num>
  <w:num w:numId="6">
    <w:abstractNumId w:val="7"/>
  </w:num>
  <w:num w:numId="7">
    <w:abstractNumId w:val="3"/>
  </w:num>
  <w:num w:numId="8">
    <w:abstractNumId w:val="5"/>
  </w:num>
  <w:num w:numId="9">
    <w:abstractNumId w:val="2"/>
  </w:num>
  <w:num w:numId="10">
    <w:abstractNumId w:val="0"/>
  </w:num>
  <w:num w:numId="11">
    <w:abstractNumId w:val="11"/>
  </w:num>
  <w:num w:numId="12">
    <w:abstractNumId w:val="9"/>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BE1"/>
    <w:rsid w:val="000011D2"/>
    <w:rsid w:val="0000129F"/>
    <w:rsid w:val="00001D3E"/>
    <w:rsid w:val="00003066"/>
    <w:rsid w:val="00003593"/>
    <w:rsid w:val="00005B60"/>
    <w:rsid w:val="00011ABE"/>
    <w:rsid w:val="000126F5"/>
    <w:rsid w:val="00012917"/>
    <w:rsid w:val="00017439"/>
    <w:rsid w:val="00020439"/>
    <w:rsid w:val="00021313"/>
    <w:rsid w:val="00023324"/>
    <w:rsid w:val="000235D1"/>
    <w:rsid w:val="0002399F"/>
    <w:rsid w:val="0002673E"/>
    <w:rsid w:val="000278CA"/>
    <w:rsid w:val="00027F39"/>
    <w:rsid w:val="0003049C"/>
    <w:rsid w:val="000305D0"/>
    <w:rsid w:val="00030ABE"/>
    <w:rsid w:val="0003287C"/>
    <w:rsid w:val="0004233F"/>
    <w:rsid w:val="00044373"/>
    <w:rsid w:val="00050CA8"/>
    <w:rsid w:val="00055091"/>
    <w:rsid w:val="00055138"/>
    <w:rsid w:val="00055253"/>
    <w:rsid w:val="000561C6"/>
    <w:rsid w:val="0006012D"/>
    <w:rsid w:val="0006213F"/>
    <w:rsid w:val="000628A0"/>
    <w:rsid w:val="00062D5F"/>
    <w:rsid w:val="00073760"/>
    <w:rsid w:val="00075A1D"/>
    <w:rsid w:val="00077B2A"/>
    <w:rsid w:val="0008021C"/>
    <w:rsid w:val="000812CA"/>
    <w:rsid w:val="00081DF6"/>
    <w:rsid w:val="00082019"/>
    <w:rsid w:val="00083E0F"/>
    <w:rsid w:val="0008411D"/>
    <w:rsid w:val="000842A8"/>
    <w:rsid w:val="00084D9A"/>
    <w:rsid w:val="000863DD"/>
    <w:rsid w:val="00087900"/>
    <w:rsid w:val="00087DA3"/>
    <w:rsid w:val="00093BAE"/>
    <w:rsid w:val="0009475E"/>
    <w:rsid w:val="00095478"/>
    <w:rsid w:val="00096510"/>
    <w:rsid w:val="00097C8B"/>
    <w:rsid w:val="000A4DC0"/>
    <w:rsid w:val="000A5103"/>
    <w:rsid w:val="000A5CE5"/>
    <w:rsid w:val="000A71B2"/>
    <w:rsid w:val="000B2A8B"/>
    <w:rsid w:val="000B5A97"/>
    <w:rsid w:val="000B684C"/>
    <w:rsid w:val="000B78E9"/>
    <w:rsid w:val="000D161F"/>
    <w:rsid w:val="000E0000"/>
    <w:rsid w:val="000E040F"/>
    <w:rsid w:val="000E6725"/>
    <w:rsid w:val="000E7988"/>
    <w:rsid w:val="000E7B63"/>
    <w:rsid w:val="000F096A"/>
    <w:rsid w:val="00101ADF"/>
    <w:rsid w:val="00102E36"/>
    <w:rsid w:val="00106F88"/>
    <w:rsid w:val="00107109"/>
    <w:rsid w:val="001108F3"/>
    <w:rsid w:val="00111964"/>
    <w:rsid w:val="00111996"/>
    <w:rsid w:val="001203ED"/>
    <w:rsid w:val="00120B5A"/>
    <w:rsid w:val="0012149B"/>
    <w:rsid w:val="00121B94"/>
    <w:rsid w:val="00124D95"/>
    <w:rsid w:val="00130DE9"/>
    <w:rsid w:val="00132A7A"/>
    <w:rsid w:val="0013738A"/>
    <w:rsid w:val="00142A7F"/>
    <w:rsid w:val="00143224"/>
    <w:rsid w:val="0014460A"/>
    <w:rsid w:val="00145090"/>
    <w:rsid w:val="001466B2"/>
    <w:rsid w:val="00146FA2"/>
    <w:rsid w:val="001479DB"/>
    <w:rsid w:val="00151751"/>
    <w:rsid w:val="00151E3E"/>
    <w:rsid w:val="00154139"/>
    <w:rsid w:val="00154223"/>
    <w:rsid w:val="00156044"/>
    <w:rsid w:val="00156B90"/>
    <w:rsid w:val="001636D9"/>
    <w:rsid w:val="001651CA"/>
    <w:rsid w:val="001716BA"/>
    <w:rsid w:val="00171CA0"/>
    <w:rsid w:val="001742F8"/>
    <w:rsid w:val="00176717"/>
    <w:rsid w:val="00183C13"/>
    <w:rsid w:val="00183FCC"/>
    <w:rsid w:val="0018538D"/>
    <w:rsid w:val="001862B5"/>
    <w:rsid w:val="00190867"/>
    <w:rsid w:val="00190B80"/>
    <w:rsid w:val="00190D29"/>
    <w:rsid w:val="00191659"/>
    <w:rsid w:val="00192115"/>
    <w:rsid w:val="001A3ABB"/>
    <w:rsid w:val="001A6AD1"/>
    <w:rsid w:val="001A7F27"/>
    <w:rsid w:val="001B4E62"/>
    <w:rsid w:val="001B57C5"/>
    <w:rsid w:val="001B5DE2"/>
    <w:rsid w:val="001C0342"/>
    <w:rsid w:val="001C1045"/>
    <w:rsid w:val="001D0125"/>
    <w:rsid w:val="001D020A"/>
    <w:rsid w:val="001D1673"/>
    <w:rsid w:val="001D645B"/>
    <w:rsid w:val="001E11B9"/>
    <w:rsid w:val="001E1F1D"/>
    <w:rsid w:val="001E25EC"/>
    <w:rsid w:val="001E2EB1"/>
    <w:rsid w:val="001E3B51"/>
    <w:rsid w:val="001E4FDC"/>
    <w:rsid w:val="001E6375"/>
    <w:rsid w:val="001E690A"/>
    <w:rsid w:val="001F213D"/>
    <w:rsid w:val="001F46AA"/>
    <w:rsid w:val="001F4FFD"/>
    <w:rsid w:val="001F5D61"/>
    <w:rsid w:val="001F6027"/>
    <w:rsid w:val="001F6A9F"/>
    <w:rsid w:val="001F6C97"/>
    <w:rsid w:val="002000F6"/>
    <w:rsid w:val="00200462"/>
    <w:rsid w:val="00202DFF"/>
    <w:rsid w:val="0020389A"/>
    <w:rsid w:val="00203DAF"/>
    <w:rsid w:val="002045D3"/>
    <w:rsid w:val="00210D56"/>
    <w:rsid w:val="002176DE"/>
    <w:rsid w:val="00217E08"/>
    <w:rsid w:val="00220D9E"/>
    <w:rsid w:val="002230CB"/>
    <w:rsid w:val="00226890"/>
    <w:rsid w:val="00227AE1"/>
    <w:rsid w:val="00231B65"/>
    <w:rsid w:val="00231F25"/>
    <w:rsid w:val="00232F92"/>
    <w:rsid w:val="00232FEB"/>
    <w:rsid w:val="00233E89"/>
    <w:rsid w:val="00236946"/>
    <w:rsid w:val="0023697E"/>
    <w:rsid w:val="00237676"/>
    <w:rsid w:val="00241B30"/>
    <w:rsid w:val="00241C2A"/>
    <w:rsid w:val="00242B31"/>
    <w:rsid w:val="002440F8"/>
    <w:rsid w:val="00246A36"/>
    <w:rsid w:val="002479FA"/>
    <w:rsid w:val="002526DD"/>
    <w:rsid w:val="002537AF"/>
    <w:rsid w:val="002606EC"/>
    <w:rsid w:val="00261922"/>
    <w:rsid w:val="002620E6"/>
    <w:rsid w:val="00263D1D"/>
    <w:rsid w:val="0026494E"/>
    <w:rsid w:val="002728E9"/>
    <w:rsid w:val="00277566"/>
    <w:rsid w:val="002848B3"/>
    <w:rsid w:val="00284EB2"/>
    <w:rsid w:val="00291CA0"/>
    <w:rsid w:val="00292EA1"/>
    <w:rsid w:val="00294049"/>
    <w:rsid w:val="002A029D"/>
    <w:rsid w:val="002A44DB"/>
    <w:rsid w:val="002A499B"/>
    <w:rsid w:val="002A4D26"/>
    <w:rsid w:val="002A55BC"/>
    <w:rsid w:val="002B071F"/>
    <w:rsid w:val="002B10B7"/>
    <w:rsid w:val="002B2077"/>
    <w:rsid w:val="002C306D"/>
    <w:rsid w:val="002C7302"/>
    <w:rsid w:val="002D09E4"/>
    <w:rsid w:val="002D1569"/>
    <w:rsid w:val="002D1667"/>
    <w:rsid w:val="002D2CD0"/>
    <w:rsid w:val="002D35B9"/>
    <w:rsid w:val="002D6FD9"/>
    <w:rsid w:val="002E5B30"/>
    <w:rsid w:val="002E7067"/>
    <w:rsid w:val="002F1ADA"/>
    <w:rsid w:val="002F2922"/>
    <w:rsid w:val="002F3965"/>
    <w:rsid w:val="002F40FC"/>
    <w:rsid w:val="002F77FA"/>
    <w:rsid w:val="00300D17"/>
    <w:rsid w:val="003022FD"/>
    <w:rsid w:val="00303D89"/>
    <w:rsid w:val="00304DFB"/>
    <w:rsid w:val="00313F0F"/>
    <w:rsid w:val="00317CB3"/>
    <w:rsid w:val="00320130"/>
    <w:rsid w:val="00321EC1"/>
    <w:rsid w:val="00321ED9"/>
    <w:rsid w:val="00322BD1"/>
    <w:rsid w:val="00325372"/>
    <w:rsid w:val="00340AAB"/>
    <w:rsid w:val="00340E68"/>
    <w:rsid w:val="00341746"/>
    <w:rsid w:val="00346A12"/>
    <w:rsid w:val="00352259"/>
    <w:rsid w:val="003523D9"/>
    <w:rsid w:val="003535DB"/>
    <w:rsid w:val="00354A10"/>
    <w:rsid w:val="00354F5D"/>
    <w:rsid w:val="00356EC1"/>
    <w:rsid w:val="00370174"/>
    <w:rsid w:val="003720A2"/>
    <w:rsid w:val="00372219"/>
    <w:rsid w:val="00372E0F"/>
    <w:rsid w:val="00381295"/>
    <w:rsid w:val="00384F4D"/>
    <w:rsid w:val="003930B1"/>
    <w:rsid w:val="003962E1"/>
    <w:rsid w:val="00397B43"/>
    <w:rsid w:val="003A42AF"/>
    <w:rsid w:val="003A7C1D"/>
    <w:rsid w:val="003B054B"/>
    <w:rsid w:val="003B080C"/>
    <w:rsid w:val="003B0B3E"/>
    <w:rsid w:val="003B46E3"/>
    <w:rsid w:val="003B4D4E"/>
    <w:rsid w:val="003B7A5E"/>
    <w:rsid w:val="003C10D9"/>
    <w:rsid w:val="003C4CFF"/>
    <w:rsid w:val="003D10CF"/>
    <w:rsid w:val="003D2C53"/>
    <w:rsid w:val="003D6994"/>
    <w:rsid w:val="003D6E76"/>
    <w:rsid w:val="003D7A78"/>
    <w:rsid w:val="003E2570"/>
    <w:rsid w:val="003E2885"/>
    <w:rsid w:val="003E2E33"/>
    <w:rsid w:val="003E4711"/>
    <w:rsid w:val="003F30FA"/>
    <w:rsid w:val="003F3B65"/>
    <w:rsid w:val="003F3C0F"/>
    <w:rsid w:val="003F3E1A"/>
    <w:rsid w:val="003F45F1"/>
    <w:rsid w:val="004007A9"/>
    <w:rsid w:val="00405488"/>
    <w:rsid w:val="004072BB"/>
    <w:rsid w:val="00407C1B"/>
    <w:rsid w:val="00410539"/>
    <w:rsid w:val="00413BAB"/>
    <w:rsid w:val="004151E4"/>
    <w:rsid w:val="00417F45"/>
    <w:rsid w:val="00421A78"/>
    <w:rsid w:val="00424598"/>
    <w:rsid w:val="00425E43"/>
    <w:rsid w:val="00431EC6"/>
    <w:rsid w:val="004349AD"/>
    <w:rsid w:val="0043698F"/>
    <w:rsid w:val="00445FA0"/>
    <w:rsid w:val="004461AD"/>
    <w:rsid w:val="00446287"/>
    <w:rsid w:val="00447B34"/>
    <w:rsid w:val="004569F3"/>
    <w:rsid w:val="00456B21"/>
    <w:rsid w:val="004623A0"/>
    <w:rsid w:val="00463832"/>
    <w:rsid w:val="0046485F"/>
    <w:rsid w:val="00464A47"/>
    <w:rsid w:val="00465299"/>
    <w:rsid w:val="00465719"/>
    <w:rsid w:val="00466CBC"/>
    <w:rsid w:val="00466CCB"/>
    <w:rsid w:val="00467F61"/>
    <w:rsid w:val="00470AF3"/>
    <w:rsid w:val="00470CF8"/>
    <w:rsid w:val="004726E5"/>
    <w:rsid w:val="0047442A"/>
    <w:rsid w:val="00474E5B"/>
    <w:rsid w:val="00475FFC"/>
    <w:rsid w:val="00480B68"/>
    <w:rsid w:val="00480C33"/>
    <w:rsid w:val="00482BA8"/>
    <w:rsid w:val="00483943"/>
    <w:rsid w:val="00485230"/>
    <w:rsid w:val="00491DBB"/>
    <w:rsid w:val="00492D98"/>
    <w:rsid w:val="004937F2"/>
    <w:rsid w:val="00494CA7"/>
    <w:rsid w:val="0049574F"/>
    <w:rsid w:val="00496941"/>
    <w:rsid w:val="00496E75"/>
    <w:rsid w:val="004A25F7"/>
    <w:rsid w:val="004A2DC2"/>
    <w:rsid w:val="004A5BE1"/>
    <w:rsid w:val="004B172D"/>
    <w:rsid w:val="004B1A07"/>
    <w:rsid w:val="004B1D90"/>
    <w:rsid w:val="004B4EF7"/>
    <w:rsid w:val="004C15D8"/>
    <w:rsid w:val="004C1F31"/>
    <w:rsid w:val="004C5C6F"/>
    <w:rsid w:val="004D0412"/>
    <w:rsid w:val="004D0ADB"/>
    <w:rsid w:val="004D0EDE"/>
    <w:rsid w:val="004D1BD4"/>
    <w:rsid w:val="004D43DA"/>
    <w:rsid w:val="004D4960"/>
    <w:rsid w:val="004D539C"/>
    <w:rsid w:val="004D6172"/>
    <w:rsid w:val="004E3854"/>
    <w:rsid w:val="004F29B6"/>
    <w:rsid w:val="004F3AC8"/>
    <w:rsid w:val="004F4892"/>
    <w:rsid w:val="004F66AC"/>
    <w:rsid w:val="004F6F28"/>
    <w:rsid w:val="00501A0E"/>
    <w:rsid w:val="00502F4F"/>
    <w:rsid w:val="0050685E"/>
    <w:rsid w:val="0051031A"/>
    <w:rsid w:val="005111BC"/>
    <w:rsid w:val="005111D6"/>
    <w:rsid w:val="005121CE"/>
    <w:rsid w:val="0051335B"/>
    <w:rsid w:val="00514DA8"/>
    <w:rsid w:val="005157ED"/>
    <w:rsid w:val="00515B5E"/>
    <w:rsid w:val="00517D0C"/>
    <w:rsid w:val="00522495"/>
    <w:rsid w:val="00523B7C"/>
    <w:rsid w:val="00525CA5"/>
    <w:rsid w:val="005375CA"/>
    <w:rsid w:val="005416D6"/>
    <w:rsid w:val="00543C14"/>
    <w:rsid w:val="00546811"/>
    <w:rsid w:val="005502B3"/>
    <w:rsid w:val="00550659"/>
    <w:rsid w:val="00550CF1"/>
    <w:rsid w:val="0055137D"/>
    <w:rsid w:val="00556242"/>
    <w:rsid w:val="00561316"/>
    <w:rsid w:val="00564B8E"/>
    <w:rsid w:val="00564BF4"/>
    <w:rsid w:val="00565F6D"/>
    <w:rsid w:val="0057097E"/>
    <w:rsid w:val="00570D8A"/>
    <w:rsid w:val="005723CB"/>
    <w:rsid w:val="00572C45"/>
    <w:rsid w:val="0057644C"/>
    <w:rsid w:val="0057682F"/>
    <w:rsid w:val="0057784D"/>
    <w:rsid w:val="00581891"/>
    <w:rsid w:val="00582992"/>
    <w:rsid w:val="00582B37"/>
    <w:rsid w:val="0058425F"/>
    <w:rsid w:val="00585BAF"/>
    <w:rsid w:val="00585D74"/>
    <w:rsid w:val="005864C9"/>
    <w:rsid w:val="005904FB"/>
    <w:rsid w:val="00593165"/>
    <w:rsid w:val="005A2362"/>
    <w:rsid w:val="005A4121"/>
    <w:rsid w:val="005A506D"/>
    <w:rsid w:val="005A52DD"/>
    <w:rsid w:val="005B239B"/>
    <w:rsid w:val="005B3061"/>
    <w:rsid w:val="005B38FC"/>
    <w:rsid w:val="005B3A83"/>
    <w:rsid w:val="005B49F1"/>
    <w:rsid w:val="005B6586"/>
    <w:rsid w:val="005C348B"/>
    <w:rsid w:val="005C3A2A"/>
    <w:rsid w:val="005C3A45"/>
    <w:rsid w:val="005C49C3"/>
    <w:rsid w:val="005C573E"/>
    <w:rsid w:val="005C585E"/>
    <w:rsid w:val="005C5977"/>
    <w:rsid w:val="005D160A"/>
    <w:rsid w:val="005E045B"/>
    <w:rsid w:val="005E2D5D"/>
    <w:rsid w:val="005E4CDD"/>
    <w:rsid w:val="005E52AE"/>
    <w:rsid w:val="005E5CBB"/>
    <w:rsid w:val="005F09CC"/>
    <w:rsid w:val="005F3131"/>
    <w:rsid w:val="005F3697"/>
    <w:rsid w:val="005F54CD"/>
    <w:rsid w:val="00601306"/>
    <w:rsid w:val="006015F7"/>
    <w:rsid w:val="006021C1"/>
    <w:rsid w:val="006024FC"/>
    <w:rsid w:val="00604278"/>
    <w:rsid w:val="0060429E"/>
    <w:rsid w:val="00605EE3"/>
    <w:rsid w:val="00607079"/>
    <w:rsid w:val="0060729A"/>
    <w:rsid w:val="00610A7F"/>
    <w:rsid w:val="00610B98"/>
    <w:rsid w:val="006118C9"/>
    <w:rsid w:val="00613614"/>
    <w:rsid w:val="00613865"/>
    <w:rsid w:val="00615A0D"/>
    <w:rsid w:val="00616D5D"/>
    <w:rsid w:val="0062211C"/>
    <w:rsid w:val="0062675A"/>
    <w:rsid w:val="006328FE"/>
    <w:rsid w:val="006333E1"/>
    <w:rsid w:val="006353A7"/>
    <w:rsid w:val="00636CCC"/>
    <w:rsid w:val="00646B3B"/>
    <w:rsid w:val="006506C1"/>
    <w:rsid w:val="00651054"/>
    <w:rsid w:val="00651F20"/>
    <w:rsid w:val="006521D4"/>
    <w:rsid w:val="0065393A"/>
    <w:rsid w:val="00657BC0"/>
    <w:rsid w:val="0066056F"/>
    <w:rsid w:val="0066152A"/>
    <w:rsid w:val="00661C16"/>
    <w:rsid w:val="00667D96"/>
    <w:rsid w:val="006824FE"/>
    <w:rsid w:val="00684740"/>
    <w:rsid w:val="006900E1"/>
    <w:rsid w:val="00690382"/>
    <w:rsid w:val="0069064C"/>
    <w:rsid w:val="0069137F"/>
    <w:rsid w:val="0069298C"/>
    <w:rsid w:val="00692B90"/>
    <w:rsid w:val="00694125"/>
    <w:rsid w:val="00695822"/>
    <w:rsid w:val="00695BAB"/>
    <w:rsid w:val="006A38F8"/>
    <w:rsid w:val="006A5C88"/>
    <w:rsid w:val="006A77A4"/>
    <w:rsid w:val="006B26FC"/>
    <w:rsid w:val="006B3CBF"/>
    <w:rsid w:val="006B5354"/>
    <w:rsid w:val="006B7B80"/>
    <w:rsid w:val="006C3897"/>
    <w:rsid w:val="006C3B84"/>
    <w:rsid w:val="006C7B68"/>
    <w:rsid w:val="006D1AA3"/>
    <w:rsid w:val="006D4B36"/>
    <w:rsid w:val="006E0D71"/>
    <w:rsid w:val="006E10D2"/>
    <w:rsid w:val="006E126B"/>
    <w:rsid w:val="006E1A8E"/>
    <w:rsid w:val="006F1366"/>
    <w:rsid w:val="006F1CD7"/>
    <w:rsid w:val="006F2ED6"/>
    <w:rsid w:val="006F349C"/>
    <w:rsid w:val="007027B7"/>
    <w:rsid w:val="00703609"/>
    <w:rsid w:val="00707853"/>
    <w:rsid w:val="007144A1"/>
    <w:rsid w:val="00715387"/>
    <w:rsid w:val="00722FA1"/>
    <w:rsid w:val="00723051"/>
    <w:rsid w:val="00724703"/>
    <w:rsid w:val="00740771"/>
    <w:rsid w:val="007425AB"/>
    <w:rsid w:val="00742D1F"/>
    <w:rsid w:val="00742D34"/>
    <w:rsid w:val="0074313A"/>
    <w:rsid w:val="00745B7C"/>
    <w:rsid w:val="007470B3"/>
    <w:rsid w:val="00747564"/>
    <w:rsid w:val="0074759B"/>
    <w:rsid w:val="00747C4F"/>
    <w:rsid w:val="0075249D"/>
    <w:rsid w:val="007543B3"/>
    <w:rsid w:val="00757A08"/>
    <w:rsid w:val="00763CE7"/>
    <w:rsid w:val="00764FF8"/>
    <w:rsid w:val="00765665"/>
    <w:rsid w:val="00767042"/>
    <w:rsid w:val="007671B8"/>
    <w:rsid w:val="00767D7D"/>
    <w:rsid w:val="00770EFE"/>
    <w:rsid w:val="007710A5"/>
    <w:rsid w:val="007717A1"/>
    <w:rsid w:val="0077286D"/>
    <w:rsid w:val="0077415E"/>
    <w:rsid w:val="00774A42"/>
    <w:rsid w:val="00777FD8"/>
    <w:rsid w:val="00782A05"/>
    <w:rsid w:val="007837B9"/>
    <w:rsid w:val="00783A16"/>
    <w:rsid w:val="007850E5"/>
    <w:rsid w:val="007903ED"/>
    <w:rsid w:val="00790B6C"/>
    <w:rsid w:val="00790F1B"/>
    <w:rsid w:val="00792516"/>
    <w:rsid w:val="00796965"/>
    <w:rsid w:val="00797BA0"/>
    <w:rsid w:val="007A1092"/>
    <w:rsid w:val="007A1CB9"/>
    <w:rsid w:val="007A1D23"/>
    <w:rsid w:val="007A2DF0"/>
    <w:rsid w:val="007A3CB9"/>
    <w:rsid w:val="007A42BE"/>
    <w:rsid w:val="007B07C4"/>
    <w:rsid w:val="007B0CD3"/>
    <w:rsid w:val="007B3168"/>
    <w:rsid w:val="007B5682"/>
    <w:rsid w:val="007B78F3"/>
    <w:rsid w:val="007C03ED"/>
    <w:rsid w:val="007C0F5D"/>
    <w:rsid w:val="007C3A40"/>
    <w:rsid w:val="007C5A2D"/>
    <w:rsid w:val="007D19D4"/>
    <w:rsid w:val="007D4A92"/>
    <w:rsid w:val="007D4F38"/>
    <w:rsid w:val="007D55C9"/>
    <w:rsid w:val="007D57C6"/>
    <w:rsid w:val="007D5A31"/>
    <w:rsid w:val="007D5FD6"/>
    <w:rsid w:val="007D6E0C"/>
    <w:rsid w:val="007D70F5"/>
    <w:rsid w:val="007D7176"/>
    <w:rsid w:val="007E688B"/>
    <w:rsid w:val="007F1A5E"/>
    <w:rsid w:val="007F316E"/>
    <w:rsid w:val="007F5087"/>
    <w:rsid w:val="007F695B"/>
    <w:rsid w:val="008006EB"/>
    <w:rsid w:val="00803746"/>
    <w:rsid w:val="0080554D"/>
    <w:rsid w:val="00810186"/>
    <w:rsid w:val="008110CE"/>
    <w:rsid w:val="00811B04"/>
    <w:rsid w:val="00811DE8"/>
    <w:rsid w:val="0081272C"/>
    <w:rsid w:val="0081307C"/>
    <w:rsid w:val="00815AA1"/>
    <w:rsid w:val="00822308"/>
    <w:rsid w:val="00822536"/>
    <w:rsid w:val="008256DD"/>
    <w:rsid w:val="0082594E"/>
    <w:rsid w:val="00825D70"/>
    <w:rsid w:val="008262BF"/>
    <w:rsid w:val="00826906"/>
    <w:rsid w:val="00827170"/>
    <w:rsid w:val="008273DD"/>
    <w:rsid w:val="0082760B"/>
    <w:rsid w:val="00836201"/>
    <w:rsid w:val="008364ED"/>
    <w:rsid w:val="00836E27"/>
    <w:rsid w:val="00840CDA"/>
    <w:rsid w:val="00842AFC"/>
    <w:rsid w:val="0084396F"/>
    <w:rsid w:val="008442CD"/>
    <w:rsid w:val="00846D97"/>
    <w:rsid w:val="00846E43"/>
    <w:rsid w:val="0084747F"/>
    <w:rsid w:val="00851D55"/>
    <w:rsid w:val="00856AA1"/>
    <w:rsid w:val="00860787"/>
    <w:rsid w:val="00860A52"/>
    <w:rsid w:val="0086330F"/>
    <w:rsid w:val="00863A7F"/>
    <w:rsid w:val="00863C20"/>
    <w:rsid w:val="00865F0B"/>
    <w:rsid w:val="008712AE"/>
    <w:rsid w:val="0087382B"/>
    <w:rsid w:val="00873885"/>
    <w:rsid w:val="008751E7"/>
    <w:rsid w:val="0088182C"/>
    <w:rsid w:val="00882809"/>
    <w:rsid w:val="00882F67"/>
    <w:rsid w:val="008831B0"/>
    <w:rsid w:val="00885D78"/>
    <w:rsid w:val="0088675C"/>
    <w:rsid w:val="00890FCD"/>
    <w:rsid w:val="00890FF9"/>
    <w:rsid w:val="00891ACF"/>
    <w:rsid w:val="00891E12"/>
    <w:rsid w:val="008921AC"/>
    <w:rsid w:val="00892EF7"/>
    <w:rsid w:val="00893D53"/>
    <w:rsid w:val="00896BC2"/>
    <w:rsid w:val="00897EA4"/>
    <w:rsid w:val="008A094C"/>
    <w:rsid w:val="008A1D89"/>
    <w:rsid w:val="008A2458"/>
    <w:rsid w:val="008A26B1"/>
    <w:rsid w:val="008A3FBC"/>
    <w:rsid w:val="008B29C5"/>
    <w:rsid w:val="008B3ADC"/>
    <w:rsid w:val="008B463E"/>
    <w:rsid w:val="008B541E"/>
    <w:rsid w:val="008C20BD"/>
    <w:rsid w:val="008C5331"/>
    <w:rsid w:val="008E1AB8"/>
    <w:rsid w:val="008E4DF2"/>
    <w:rsid w:val="008E5CA2"/>
    <w:rsid w:val="008E5FB3"/>
    <w:rsid w:val="008E7B29"/>
    <w:rsid w:val="008E7B5A"/>
    <w:rsid w:val="008F09AF"/>
    <w:rsid w:val="008F0A25"/>
    <w:rsid w:val="008F46C7"/>
    <w:rsid w:val="00900C59"/>
    <w:rsid w:val="009016B9"/>
    <w:rsid w:val="00901703"/>
    <w:rsid w:val="00904177"/>
    <w:rsid w:val="009046E7"/>
    <w:rsid w:val="00906FA5"/>
    <w:rsid w:val="00907EFF"/>
    <w:rsid w:val="009125B9"/>
    <w:rsid w:val="00912CFE"/>
    <w:rsid w:val="009153AC"/>
    <w:rsid w:val="00921F99"/>
    <w:rsid w:val="0092547D"/>
    <w:rsid w:val="00926711"/>
    <w:rsid w:val="0092692B"/>
    <w:rsid w:val="009270BD"/>
    <w:rsid w:val="0092778F"/>
    <w:rsid w:val="00930B11"/>
    <w:rsid w:val="009313AC"/>
    <w:rsid w:val="00931C0C"/>
    <w:rsid w:val="00931EC6"/>
    <w:rsid w:val="00931F1A"/>
    <w:rsid w:val="00931F49"/>
    <w:rsid w:val="00937557"/>
    <w:rsid w:val="00942B4C"/>
    <w:rsid w:val="00945853"/>
    <w:rsid w:val="00946E9C"/>
    <w:rsid w:val="00947839"/>
    <w:rsid w:val="009500A8"/>
    <w:rsid w:val="00950CA1"/>
    <w:rsid w:val="009516DC"/>
    <w:rsid w:val="00953196"/>
    <w:rsid w:val="00960FA3"/>
    <w:rsid w:val="009621F7"/>
    <w:rsid w:val="00962F4C"/>
    <w:rsid w:val="00965222"/>
    <w:rsid w:val="009739BD"/>
    <w:rsid w:val="009759AF"/>
    <w:rsid w:val="009774CA"/>
    <w:rsid w:val="00980C71"/>
    <w:rsid w:val="0098109D"/>
    <w:rsid w:val="00983698"/>
    <w:rsid w:val="009876CD"/>
    <w:rsid w:val="00990CC3"/>
    <w:rsid w:val="00991B28"/>
    <w:rsid w:val="009A0ABC"/>
    <w:rsid w:val="009A25D3"/>
    <w:rsid w:val="009B4886"/>
    <w:rsid w:val="009C29B7"/>
    <w:rsid w:val="009C2B43"/>
    <w:rsid w:val="009C39EE"/>
    <w:rsid w:val="009C56B1"/>
    <w:rsid w:val="009C5E06"/>
    <w:rsid w:val="009C770B"/>
    <w:rsid w:val="009D0184"/>
    <w:rsid w:val="009D039F"/>
    <w:rsid w:val="009D0B1B"/>
    <w:rsid w:val="009D1A3A"/>
    <w:rsid w:val="009D4C1E"/>
    <w:rsid w:val="009D5F2B"/>
    <w:rsid w:val="009D714B"/>
    <w:rsid w:val="009D7366"/>
    <w:rsid w:val="009E0582"/>
    <w:rsid w:val="009E09A3"/>
    <w:rsid w:val="009E4A8F"/>
    <w:rsid w:val="009E5158"/>
    <w:rsid w:val="009F3D13"/>
    <w:rsid w:val="009F4506"/>
    <w:rsid w:val="009F4D3E"/>
    <w:rsid w:val="00A052C8"/>
    <w:rsid w:val="00A05AAF"/>
    <w:rsid w:val="00A108FF"/>
    <w:rsid w:val="00A10D63"/>
    <w:rsid w:val="00A126B4"/>
    <w:rsid w:val="00A160D7"/>
    <w:rsid w:val="00A17625"/>
    <w:rsid w:val="00A21406"/>
    <w:rsid w:val="00A224D9"/>
    <w:rsid w:val="00A2432B"/>
    <w:rsid w:val="00A2702E"/>
    <w:rsid w:val="00A278CA"/>
    <w:rsid w:val="00A3209F"/>
    <w:rsid w:val="00A3273E"/>
    <w:rsid w:val="00A34FB6"/>
    <w:rsid w:val="00A40234"/>
    <w:rsid w:val="00A41ED0"/>
    <w:rsid w:val="00A444C6"/>
    <w:rsid w:val="00A4552A"/>
    <w:rsid w:val="00A45C1C"/>
    <w:rsid w:val="00A4709C"/>
    <w:rsid w:val="00A51EF2"/>
    <w:rsid w:val="00A54535"/>
    <w:rsid w:val="00A60977"/>
    <w:rsid w:val="00A63F01"/>
    <w:rsid w:val="00A67A8D"/>
    <w:rsid w:val="00A70B52"/>
    <w:rsid w:val="00A73B3C"/>
    <w:rsid w:val="00A7535F"/>
    <w:rsid w:val="00A7599B"/>
    <w:rsid w:val="00A76D86"/>
    <w:rsid w:val="00A908BD"/>
    <w:rsid w:val="00A917B5"/>
    <w:rsid w:val="00A91FC0"/>
    <w:rsid w:val="00A92617"/>
    <w:rsid w:val="00A92F9E"/>
    <w:rsid w:val="00A93836"/>
    <w:rsid w:val="00A9457C"/>
    <w:rsid w:val="00A95F70"/>
    <w:rsid w:val="00A96BA3"/>
    <w:rsid w:val="00AA0978"/>
    <w:rsid w:val="00AA0E8B"/>
    <w:rsid w:val="00AA13B5"/>
    <w:rsid w:val="00AA1D9A"/>
    <w:rsid w:val="00AA22D7"/>
    <w:rsid w:val="00AA3561"/>
    <w:rsid w:val="00AA38ED"/>
    <w:rsid w:val="00AA3F7A"/>
    <w:rsid w:val="00AA6648"/>
    <w:rsid w:val="00AA66FF"/>
    <w:rsid w:val="00AA7759"/>
    <w:rsid w:val="00AA7B75"/>
    <w:rsid w:val="00AB30AC"/>
    <w:rsid w:val="00AC36B0"/>
    <w:rsid w:val="00AC593B"/>
    <w:rsid w:val="00AC731F"/>
    <w:rsid w:val="00AC7A48"/>
    <w:rsid w:val="00AD0B85"/>
    <w:rsid w:val="00AD277D"/>
    <w:rsid w:val="00AD4D5C"/>
    <w:rsid w:val="00AE1F3D"/>
    <w:rsid w:val="00AE724C"/>
    <w:rsid w:val="00AE77A3"/>
    <w:rsid w:val="00AF22A5"/>
    <w:rsid w:val="00AF2F2A"/>
    <w:rsid w:val="00AF3F62"/>
    <w:rsid w:val="00B06FEC"/>
    <w:rsid w:val="00B13D1D"/>
    <w:rsid w:val="00B1467A"/>
    <w:rsid w:val="00B15144"/>
    <w:rsid w:val="00B153C1"/>
    <w:rsid w:val="00B20444"/>
    <w:rsid w:val="00B22DF2"/>
    <w:rsid w:val="00B24DBA"/>
    <w:rsid w:val="00B2631B"/>
    <w:rsid w:val="00B304D3"/>
    <w:rsid w:val="00B34D89"/>
    <w:rsid w:val="00B41EA7"/>
    <w:rsid w:val="00B44A9A"/>
    <w:rsid w:val="00B450F6"/>
    <w:rsid w:val="00B47296"/>
    <w:rsid w:val="00B55932"/>
    <w:rsid w:val="00B61817"/>
    <w:rsid w:val="00B645DB"/>
    <w:rsid w:val="00B65325"/>
    <w:rsid w:val="00B65667"/>
    <w:rsid w:val="00B6568A"/>
    <w:rsid w:val="00B673BF"/>
    <w:rsid w:val="00B731CB"/>
    <w:rsid w:val="00B73CF4"/>
    <w:rsid w:val="00B747F2"/>
    <w:rsid w:val="00B74E85"/>
    <w:rsid w:val="00B7539F"/>
    <w:rsid w:val="00B757C4"/>
    <w:rsid w:val="00B75CF1"/>
    <w:rsid w:val="00B815C6"/>
    <w:rsid w:val="00B83C43"/>
    <w:rsid w:val="00B85509"/>
    <w:rsid w:val="00B87B2E"/>
    <w:rsid w:val="00B87BD7"/>
    <w:rsid w:val="00B9087F"/>
    <w:rsid w:val="00B93116"/>
    <w:rsid w:val="00B96998"/>
    <w:rsid w:val="00B96C7F"/>
    <w:rsid w:val="00BA2695"/>
    <w:rsid w:val="00BB1EA9"/>
    <w:rsid w:val="00BB2575"/>
    <w:rsid w:val="00BB3675"/>
    <w:rsid w:val="00BB4D28"/>
    <w:rsid w:val="00BB4E38"/>
    <w:rsid w:val="00BB52E6"/>
    <w:rsid w:val="00BB63C2"/>
    <w:rsid w:val="00BC061E"/>
    <w:rsid w:val="00BD1A19"/>
    <w:rsid w:val="00BD6485"/>
    <w:rsid w:val="00BD6CAD"/>
    <w:rsid w:val="00BE08F6"/>
    <w:rsid w:val="00BE41BD"/>
    <w:rsid w:val="00BE61DE"/>
    <w:rsid w:val="00BE6C57"/>
    <w:rsid w:val="00BF08B5"/>
    <w:rsid w:val="00BF0AAA"/>
    <w:rsid w:val="00BF2770"/>
    <w:rsid w:val="00BF2F36"/>
    <w:rsid w:val="00BF4309"/>
    <w:rsid w:val="00BF55E9"/>
    <w:rsid w:val="00BF61AB"/>
    <w:rsid w:val="00BF7381"/>
    <w:rsid w:val="00BF793C"/>
    <w:rsid w:val="00BF7E00"/>
    <w:rsid w:val="00C0565F"/>
    <w:rsid w:val="00C106D1"/>
    <w:rsid w:val="00C143FB"/>
    <w:rsid w:val="00C22D77"/>
    <w:rsid w:val="00C23518"/>
    <w:rsid w:val="00C2591C"/>
    <w:rsid w:val="00C261D4"/>
    <w:rsid w:val="00C27D57"/>
    <w:rsid w:val="00C3251A"/>
    <w:rsid w:val="00C325AD"/>
    <w:rsid w:val="00C32F9B"/>
    <w:rsid w:val="00C344AA"/>
    <w:rsid w:val="00C34809"/>
    <w:rsid w:val="00C44875"/>
    <w:rsid w:val="00C44EAD"/>
    <w:rsid w:val="00C528B4"/>
    <w:rsid w:val="00C54756"/>
    <w:rsid w:val="00C5639A"/>
    <w:rsid w:val="00C572B1"/>
    <w:rsid w:val="00C6051A"/>
    <w:rsid w:val="00C62335"/>
    <w:rsid w:val="00C627E6"/>
    <w:rsid w:val="00C62F52"/>
    <w:rsid w:val="00C7402D"/>
    <w:rsid w:val="00C75429"/>
    <w:rsid w:val="00C768A3"/>
    <w:rsid w:val="00C77E26"/>
    <w:rsid w:val="00C84FC5"/>
    <w:rsid w:val="00C8673C"/>
    <w:rsid w:val="00C873EF"/>
    <w:rsid w:val="00C9134A"/>
    <w:rsid w:val="00C9268C"/>
    <w:rsid w:val="00C956EB"/>
    <w:rsid w:val="00C96C37"/>
    <w:rsid w:val="00CA0E2D"/>
    <w:rsid w:val="00CA201B"/>
    <w:rsid w:val="00CA2809"/>
    <w:rsid w:val="00CA3384"/>
    <w:rsid w:val="00CA379E"/>
    <w:rsid w:val="00CA4BDA"/>
    <w:rsid w:val="00CB178B"/>
    <w:rsid w:val="00CB3B9F"/>
    <w:rsid w:val="00CB74D8"/>
    <w:rsid w:val="00CB797F"/>
    <w:rsid w:val="00CC22C8"/>
    <w:rsid w:val="00CC3995"/>
    <w:rsid w:val="00CC43FA"/>
    <w:rsid w:val="00CD4031"/>
    <w:rsid w:val="00CE4421"/>
    <w:rsid w:val="00CE7F81"/>
    <w:rsid w:val="00CF063E"/>
    <w:rsid w:val="00CF0CBF"/>
    <w:rsid w:val="00CF530B"/>
    <w:rsid w:val="00D00093"/>
    <w:rsid w:val="00D00F9B"/>
    <w:rsid w:val="00D01C06"/>
    <w:rsid w:val="00D0378B"/>
    <w:rsid w:val="00D03F9D"/>
    <w:rsid w:val="00D15239"/>
    <w:rsid w:val="00D15A5A"/>
    <w:rsid w:val="00D20997"/>
    <w:rsid w:val="00D21B43"/>
    <w:rsid w:val="00D275D8"/>
    <w:rsid w:val="00D31902"/>
    <w:rsid w:val="00D34206"/>
    <w:rsid w:val="00D41ED8"/>
    <w:rsid w:val="00D43B0A"/>
    <w:rsid w:val="00D52FD7"/>
    <w:rsid w:val="00D570D3"/>
    <w:rsid w:val="00D572C9"/>
    <w:rsid w:val="00D61840"/>
    <w:rsid w:val="00D61C3B"/>
    <w:rsid w:val="00D6527C"/>
    <w:rsid w:val="00D65D62"/>
    <w:rsid w:val="00D72144"/>
    <w:rsid w:val="00D768E4"/>
    <w:rsid w:val="00D822BF"/>
    <w:rsid w:val="00D9340C"/>
    <w:rsid w:val="00D94A8D"/>
    <w:rsid w:val="00D95402"/>
    <w:rsid w:val="00D96043"/>
    <w:rsid w:val="00D96FFE"/>
    <w:rsid w:val="00D976B7"/>
    <w:rsid w:val="00DA0FEF"/>
    <w:rsid w:val="00DA4B25"/>
    <w:rsid w:val="00DA5677"/>
    <w:rsid w:val="00DA64A4"/>
    <w:rsid w:val="00DA7ABC"/>
    <w:rsid w:val="00DB3FEB"/>
    <w:rsid w:val="00DB5D90"/>
    <w:rsid w:val="00DB64CA"/>
    <w:rsid w:val="00DC15BD"/>
    <w:rsid w:val="00DC41CC"/>
    <w:rsid w:val="00DC6F25"/>
    <w:rsid w:val="00DC70FE"/>
    <w:rsid w:val="00DD2BBE"/>
    <w:rsid w:val="00DE720C"/>
    <w:rsid w:val="00DF06A2"/>
    <w:rsid w:val="00DF2F55"/>
    <w:rsid w:val="00DF34C1"/>
    <w:rsid w:val="00DF3AB0"/>
    <w:rsid w:val="00DF3DDF"/>
    <w:rsid w:val="00DF42BF"/>
    <w:rsid w:val="00DF628F"/>
    <w:rsid w:val="00DF6406"/>
    <w:rsid w:val="00DF74AE"/>
    <w:rsid w:val="00E03ADC"/>
    <w:rsid w:val="00E041BF"/>
    <w:rsid w:val="00E07EF4"/>
    <w:rsid w:val="00E1217B"/>
    <w:rsid w:val="00E1690E"/>
    <w:rsid w:val="00E21A34"/>
    <w:rsid w:val="00E22A31"/>
    <w:rsid w:val="00E33D55"/>
    <w:rsid w:val="00E367B7"/>
    <w:rsid w:val="00E367C6"/>
    <w:rsid w:val="00E37277"/>
    <w:rsid w:val="00E377A1"/>
    <w:rsid w:val="00E44E30"/>
    <w:rsid w:val="00E450DD"/>
    <w:rsid w:val="00E45A38"/>
    <w:rsid w:val="00E53F54"/>
    <w:rsid w:val="00E559A2"/>
    <w:rsid w:val="00E56368"/>
    <w:rsid w:val="00E56520"/>
    <w:rsid w:val="00E57E4B"/>
    <w:rsid w:val="00E62008"/>
    <w:rsid w:val="00E62B14"/>
    <w:rsid w:val="00E62D3E"/>
    <w:rsid w:val="00E65EAE"/>
    <w:rsid w:val="00E67E0A"/>
    <w:rsid w:val="00E745C8"/>
    <w:rsid w:val="00E7575F"/>
    <w:rsid w:val="00E763D8"/>
    <w:rsid w:val="00E809F6"/>
    <w:rsid w:val="00E80D5E"/>
    <w:rsid w:val="00E817F9"/>
    <w:rsid w:val="00E81E30"/>
    <w:rsid w:val="00E85AFB"/>
    <w:rsid w:val="00E91959"/>
    <w:rsid w:val="00E93736"/>
    <w:rsid w:val="00E95952"/>
    <w:rsid w:val="00E96ACE"/>
    <w:rsid w:val="00E97B03"/>
    <w:rsid w:val="00EA211B"/>
    <w:rsid w:val="00EA2366"/>
    <w:rsid w:val="00EA3813"/>
    <w:rsid w:val="00EB3EF8"/>
    <w:rsid w:val="00EB43A6"/>
    <w:rsid w:val="00EB6AC6"/>
    <w:rsid w:val="00EB7F6E"/>
    <w:rsid w:val="00EC0722"/>
    <w:rsid w:val="00EC154C"/>
    <w:rsid w:val="00EC310C"/>
    <w:rsid w:val="00EC4B90"/>
    <w:rsid w:val="00EC686F"/>
    <w:rsid w:val="00ED04C3"/>
    <w:rsid w:val="00ED112B"/>
    <w:rsid w:val="00ED1960"/>
    <w:rsid w:val="00ED2C56"/>
    <w:rsid w:val="00ED3D19"/>
    <w:rsid w:val="00ED4E0F"/>
    <w:rsid w:val="00ED5610"/>
    <w:rsid w:val="00ED70A1"/>
    <w:rsid w:val="00EE0E18"/>
    <w:rsid w:val="00EE3402"/>
    <w:rsid w:val="00EE4517"/>
    <w:rsid w:val="00EE7175"/>
    <w:rsid w:val="00EE772E"/>
    <w:rsid w:val="00EF2C3C"/>
    <w:rsid w:val="00EF7F69"/>
    <w:rsid w:val="00EF7F8B"/>
    <w:rsid w:val="00F00D5C"/>
    <w:rsid w:val="00F027F6"/>
    <w:rsid w:val="00F04F6F"/>
    <w:rsid w:val="00F04FCF"/>
    <w:rsid w:val="00F079FE"/>
    <w:rsid w:val="00F1775A"/>
    <w:rsid w:val="00F2277C"/>
    <w:rsid w:val="00F24FF9"/>
    <w:rsid w:val="00F320BD"/>
    <w:rsid w:val="00F3266F"/>
    <w:rsid w:val="00F331E1"/>
    <w:rsid w:val="00F346FD"/>
    <w:rsid w:val="00F34971"/>
    <w:rsid w:val="00F35D68"/>
    <w:rsid w:val="00F362DF"/>
    <w:rsid w:val="00F37656"/>
    <w:rsid w:val="00F4016C"/>
    <w:rsid w:val="00F40FF4"/>
    <w:rsid w:val="00F448DF"/>
    <w:rsid w:val="00F52503"/>
    <w:rsid w:val="00F56863"/>
    <w:rsid w:val="00F575E4"/>
    <w:rsid w:val="00F61626"/>
    <w:rsid w:val="00F64F81"/>
    <w:rsid w:val="00F66AB3"/>
    <w:rsid w:val="00F677B9"/>
    <w:rsid w:val="00F7077F"/>
    <w:rsid w:val="00F7581F"/>
    <w:rsid w:val="00F76F41"/>
    <w:rsid w:val="00F77E94"/>
    <w:rsid w:val="00F80E73"/>
    <w:rsid w:val="00F9094A"/>
    <w:rsid w:val="00F925CD"/>
    <w:rsid w:val="00FA12E2"/>
    <w:rsid w:val="00FA1A71"/>
    <w:rsid w:val="00FA35C6"/>
    <w:rsid w:val="00FA6CEA"/>
    <w:rsid w:val="00FA70A6"/>
    <w:rsid w:val="00FB01E2"/>
    <w:rsid w:val="00FB03DC"/>
    <w:rsid w:val="00FB128D"/>
    <w:rsid w:val="00FB3654"/>
    <w:rsid w:val="00FB41DE"/>
    <w:rsid w:val="00FB65C2"/>
    <w:rsid w:val="00FB6C8C"/>
    <w:rsid w:val="00FB702A"/>
    <w:rsid w:val="00FB7B21"/>
    <w:rsid w:val="00FC6D9F"/>
    <w:rsid w:val="00FD271D"/>
    <w:rsid w:val="00FE1779"/>
    <w:rsid w:val="00FE1C2A"/>
    <w:rsid w:val="00FE3570"/>
    <w:rsid w:val="00FE5D6E"/>
    <w:rsid w:val="00FE5DBF"/>
    <w:rsid w:val="00FE7262"/>
    <w:rsid w:val="00FF26B7"/>
    <w:rsid w:val="00FF3AD6"/>
    <w:rsid w:val="00FF3EF3"/>
    <w:rsid w:val="5E37CCF7"/>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AE1C6F"/>
  <w15:docId w15:val="{00D80356-BE07-412A-99C9-785E26F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4FE"/>
    <w:pPr>
      <w:jc w:val="both"/>
    </w:pPr>
    <w:rPr>
      <w:rFonts w:ascii="Arial" w:hAnsi="Arial"/>
      <w:sz w:val="18"/>
    </w:rPr>
  </w:style>
  <w:style w:type="paragraph" w:styleId="Heading1">
    <w:name w:val="heading 1"/>
    <w:basedOn w:val="Normal"/>
    <w:next w:val="Normal"/>
    <w:qFormat/>
    <w:rsid w:val="00190D29"/>
    <w:pPr>
      <w:keepNext/>
      <w:outlineLvl w:val="0"/>
    </w:pPr>
    <w:rPr>
      <w:sz w:val="24"/>
    </w:rPr>
  </w:style>
  <w:style w:type="paragraph" w:styleId="Heading2">
    <w:name w:val="heading 2"/>
    <w:basedOn w:val="Normal"/>
    <w:next w:val="Normal"/>
    <w:qFormat/>
    <w:rsid w:val="00190D29"/>
    <w:pPr>
      <w:keepNext/>
      <w:tabs>
        <w:tab w:val="num" w:pos="1080"/>
      </w:tabs>
      <w:ind w:left="1080" w:hanging="720"/>
      <w:outlineLvl w:val="1"/>
    </w:pPr>
    <w:rPr>
      <w:sz w:val="24"/>
    </w:rPr>
  </w:style>
  <w:style w:type="paragraph" w:styleId="Heading3">
    <w:name w:val="heading 3"/>
    <w:basedOn w:val="Normal"/>
    <w:next w:val="Normal"/>
    <w:qFormat/>
    <w:rsid w:val="00190D29"/>
    <w:pPr>
      <w:keepNext/>
      <w:numPr>
        <w:numId w:val="1"/>
      </w:numPr>
      <w:outlineLvl w:val="2"/>
    </w:pPr>
    <w:rPr>
      <w:b/>
      <w:bCs/>
      <w:sz w:val="24"/>
    </w:rPr>
  </w:style>
  <w:style w:type="paragraph" w:styleId="Heading5">
    <w:name w:val="heading 5"/>
    <w:basedOn w:val="Normal"/>
    <w:next w:val="Normal"/>
    <w:qFormat/>
    <w:rsid w:val="008F3F3B"/>
    <w:pPr>
      <w:keepNext/>
      <w:outlineLvl w:val="4"/>
    </w:pPr>
    <w:rPr>
      <w:b/>
      <w:bCs/>
      <w:u w:val="single"/>
    </w:rPr>
  </w:style>
  <w:style w:type="paragraph" w:styleId="Heading6">
    <w:name w:val="heading 6"/>
    <w:basedOn w:val="Normal"/>
    <w:next w:val="Normal"/>
    <w:link w:val="Heading6Char"/>
    <w:unhideWhenUsed/>
    <w:qFormat/>
    <w:rsid w:val="00912CFE"/>
    <w:pPr>
      <w:keepNext/>
      <w:keepLines/>
      <w:spacing w:before="200"/>
      <w:ind w:left="5256" w:hanging="432"/>
      <w:outlineLvl w:val="5"/>
    </w:pPr>
    <w:rPr>
      <w:rFonts w:asciiTheme="majorHAnsi" w:eastAsiaTheme="majorEastAsia" w:hAnsiTheme="majorHAnsi" w:cstheme="majorBidi"/>
      <w:i/>
      <w:iCs/>
      <w:color w:val="243F60" w:themeColor="accent1" w:themeShade="7F"/>
      <w:sz w:val="24"/>
      <w:lang w:val="es-ES_tradnl"/>
    </w:rPr>
  </w:style>
  <w:style w:type="paragraph" w:styleId="Heading7">
    <w:name w:val="heading 7"/>
    <w:basedOn w:val="Normal"/>
    <w:next w:val="Normal"/>
    <w:link w:val="Heading7Char"/>
    <w:unhideWhenUsed/>
    <w:qFormat/>
    <w:rsid w:val="00912CFE"/>
    <w:pPr>
      <w:keepNext/>
      <w:keepLines/>
      <w:spacing w:before="200"/>
      <w:ind w:left="5400" w:hanging="288"/>
      <w:outlineLvl w:val="6"/>
    </w:pPr>
    <w:rPr>
      <w:rFonts w:asciiTheme="majorHAnsi" w:eastAsiaTheme="majorEastAsia" w:hAnsiTheme="majorHAnsi" w:cstheme="majorBidi"/>
      <w:i/>
      <w:iCs/>
      <w:color w:val="404040" w:themeColor="text1" w:themeTint="BF"/>
      <w:sz w:val="24"/>
      <w:lang w:val="es-ES_tradnl"/>
    </w:rPr>
  </w:style>
  <w:style w:type="paragraph" w:styleId="Heading8">
    <w:name w:val="heading 8"/>
    <w:basedOn w:val="Normal"/>
    <w:next w:val="Normal"/>
    <w:link w:val="Heading8Char"/>
    <w:unhideWhenUsed/>
    <w:qFormat/>
    <w:rsid w:val="00912CFE"/>
    <w:pPr>
      <w:keepNext/>
      <w:keepLines/>
      <w:spacing w:before="200"/>
      <w:ind w:left="5544" w:hanging="432"/>
      <w:outlineLvl w:val="7"/>
    </w:pPr>
    <w:rPr>
      <w:rFonts w:asciiTheme="majorHAnsi" w:eastAsiaTheme="majorEastAsia" w:hAnsiTheme="majorHAnsi" w:cstheme="majorBidi"/>
      <w:color w:val="404040" w:themeColor="text1" w:themeTint="BF"/>
      <w:lang w:val="es-ES_tradnl"/>
    </w:rPr>
  </w:style>
  <w:style w:type="paragraph" w:styleId="Heading9">
    <w:name w:val="heading 9"/>
    <w:basedOn w:val="Normal"/>
    <w:next w:val="Normal"/>
    <w:link w:val="Heading9Char"/>
    <w:unhideWhenUsed/>
    <w:qFormat/>
    <w:rsid w:val="00912CFE"/>
    <w:pPr>
      <w:keepNext/>
      <w:keepLines/>
      <w:spacing w:before="200"/>
      <w:ind w:left="5688" w:hanging="144"/>
      <w:outlineLvl w:val="8"/>
    </w:pPr>
    <w:rPr>
      <w:rFonts w:asciiTheme="majorHAnsi" w:eastAsiaTheme="majorEastAsia" w:hAnsiTheme="majorHAnsi" w:cstheme="majorBidi"/>
      <w:i/>
      <w:iCs/>
      <w:color w:val="404040" w:themeColor="text1" w:themeTint="BF"/>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0D29"/>
    <w:pPr>
      <w:tabs>
        <w:tab w:val="center" w:pos="4320"/>
        <w:tab w:val="right" w:pos="8640"/>
      </w:tabs>
    </w:pPr>
  </w:style>
  <w:style w:type="paragraph" w:styleId="Footer">
    <w:name w:val="footer"/>
    <w:basedOn w:val="Normal"/>
    <w:rsid w:val="00190D29"/>
    <w:pPr>
      <w:tabs>
        <w:tab w:val="center" w:pos="4320"/>
        <w:tab w:val="right" w:pos="8640"/>
      </w:tabs>
    </w:pPr>
  </w:style>
  <w:style w:type="character" w:styleId="CommentReference">
    <w:name w:val="annotation reference"/>
    <w:basedOn w:val="DefaultParagraphFont"/>
    <w:semiHidden/>
    <w:rsid w:val="00190D29"/>
    <w:rPr>
      <w:sz w:val="16"/>
      <w:szCs w:val="16"/>
    </w:rPr>
  </w:style>
  <w:style w:type="paragraph" w:styleId="Title">
    <w:name w:val="Title"/>
    <w:basedOn w:val="Normal"/>
    <w:qFormat/>
    <w:rsid w:val="00190D29"/>
    <w:pPr>
      <w:jc w:val="center"/>
    </w:pPr>
    <w:rPr>
      <w:rFonts w:ascii="Times New Roman Bold" w:hAnsi="Times New Roman Bold"/>
      <w:b/>
      <w:bCs/>
      <w:smallCaps/>
      <w:sz w:val="24"/>
    </w:rPr>
  </w:style>
  <w:style w:type="paragraph" w:customStyle="1" w:styleId="bull2">
    <w:name w:val="bull2"/>
    <w:basedOn w:val="Normal"/>
    <w:rsid w:val="00190D29"/>
    <w:pPr>
      <w:numPr>
        <w:numId w:val="3"/>
      </w:numPr>
      <w:tabs>
        <w:tab w:val="left" w:pos="470"/>
      </w:tabs>
      <w:spacing w:after="80"/>
    </w:pPr>
    <w:rPr>
      <w:spacing w:val="-3"/>
      <w:szCs w:val="18"/>
      <w:lang w:eastAsia="es-ES"/>
    </w:rPr>
  </w:style>
  <w:style w:type="paragraph" w:styleId="BodyTextIndent">
    <w:name w:val="Body Text Indent"/>
    <w:basedOn w:val="Normal"/>
    <w:rsid w:val="00190D29"/>
    <w:pPr>
      <w:tabs>
        <w:tab w:val="left" w:pos="375"/>
      </w:tabs>
      <w:ind w:left="375" w:hanging="360"/>
    </w:p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f"/>
    <w:basedOn w:val="Normal"/>
    <w:link w:val="FootnoteTextChar"/>
    <w:rsid w:val="00190D29"/>
    <w:rPr>
      <w:lang w:val="es-ES_tradnl" w:eastAsia="es-ES"/>
    </w:rPr>
  </w:style>
  <w:style w:type="character" w:styleId="FootnoteReference">
    <w:name w:val="footnote reference"/>
    <w:aliases w:val="FC,ftref,Ref,de nota al pie,16 Point,Superscript 6 Point,(Ref. de nota al pie),referencia nota al pie,Fußnotenzeichen DISS,Style 24"/>
    <w:basedOn w:val="DefaultParagraphFont"/>
    <w:uiPriority w:val="99"/>
    <w:rsid w:val="00190D29"/>
    <w:rPr>
      <w:vertAlign w:val="superscript"/>
    </w:rPr>
  </w:style>
  <w:style w:type="character" w:styleId="PageNumber">
    <w:name w:val="page number"/>
    <w:basedOn w:val="DefaultParagraphFont"/>
    <w:rsid w:val="00190D29"/>
  </w:style>
  <w:style w:type="paragraph" w:customStyle="1" w:styleId="num">
    <w:name w:val="num"/>
    <w:basedOn w:val="Normal"/>
    <w:rsid w:val="00190D29"/>
    <w:pPr>
      <w:numPr>
        <w:ilvl w:val="1"/>
        <w:numId w:val="2"/>
      </w:numPr>
      <w:tabs>
        <w:tab w:val="clear" w:pos="1440"/>
        <w:tab w:val="num" w:pos="432"/>
      </w:tabs>
      <w:ind w:left="432" w:hanging="450"/>
    </w:pPr>
    <w:rPr>
      <w:noProof/>
    </w:rPr>
  </w:style>
  <w:style w:type="paragraph" w:styleId="BalloonText">
    <w:name w:val="Balloon Text"/>
    <w:basedOn w:val="Normal"/>
    <w:semiHidden/>
    <w:rsid w:val="00190D29"/>
    <w:rPr>
      <w:rFonts w:ascii="Tahoma" w:hAnsi="Tahoma" w:cs="Tahoma"/>
      <w:sz w:val="16"/>
      <w:szCs w:val="16"/>
    </w:rPr>
  </w:style>
  <w:style w:type="paragraph" w:styleId="ListParagraph">
    <w:name w:val="List Paragraph"/>
    <w:basedOn w:val="Normal"/>
    <w:link w:val="ListParagraphChar"/>
    <w:uiPriority w:val="34"/>
    <w:qFormat/>
    <w:rsid w:val="00C627E6"/>
    <w:pPr>
      <w:ind w:left="720"/>
    </w:pPr>
  </w:style>
  <w:style w:type="character" w:customStyle="1" w:styleId="HeaderChar">
    <w:name w:val="Header Char"/>
    <w:basedOn w:val="DefaultParagraphFont"/>
    <w:link w:val="Header"/>
    <w:uiPriority w:val="99"/>
    <w:rsid w:val="00DF3DDF"/>
  </w:style>
  <w:style w:type="paragraph" w:styleId="CommentText">
    <w:name w:val="annotation text"/>
    <w:basedOn w:val="Normal"/>
    <w:link w:val="CommentTextChar"/>
    <w:rsid w:val="00D6527C"/>
  </w:style>
  <w:style w:type="character" w:customStyle="1" w:styleId="CommentTextChar">
    <w:name w:val="Comment Text Char"/>
    <w:basedOn w:val="DefaultParagraphFont"/>
    <w:link w:val="CommentText"/>
    <w:rsid w:val="00D6527C"/>
  </w:style>
  <w:style w:type="paragraph" w:styleId="CommentSubject">
    <w:name w:val="annotation subject"/>
    <w:basedOn w:val="CommentText"/>
    <w:next w:val="CommentText"/>
    <w:link w:val="CommentSubjectChar"/>
    <w:rsid w:val="009046E7"/>
    <w:rPr>
      <w:b/>
      <w:bCs/>
    </w:rPr>
  </w:style>
  <w:style w:type="character" w:customStyle="1" w:styleId="CommentSubjectChar">
    <w:name w:val="Comment Subject Char"/>
    <w:basedOn w:val="CommentTextChar"/>
    <w:link w:val="CommentSubject"/>
    <w:rsid w:val="009046E7"/>
    <w:rPr>
      <w:b/>
      <w:bCs/>
    </w:rPr>
  </w:style>
  <w:style w:type="paragraph" w:styleId="Revision">
    <w:name w:val="Revision"/>
    <w:hidden/>
    <w:uiPriority w:val="99"/>
    <w:semiHidden/>
    <w:rsid w:val="009046E7"/>
  </w:style>
  <w:style w:type="character" w:customStyle="1" w:styleId="FootnoteTextChar">
    <w:name w:val="Footnote Text Char"/>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rsid w:val="003F3E1A"/>
    <w:rPr>
      <w:rFonts w:ascii="Arial" w:hAnsi="Arial"/>
      <w:lang w:val="es-ES_tradnl" w:eastAsia="es-ES"/>
    </w:rPr>
  </w:style>
  <w:style w:type="paragraph" w:customStyle="1" w:styleId="Chapter">
    <w:name w:val="Chapter"/>
    <w:basedOn w:val="Normal"/>
    <w:next w:val="Normal"/>
    <w:rsid w:val="00912CFE"/>
    <w:pPr>
      <w:keepNext/>
      <w:numPr>
        <w:numId w:val="6"/>
      </w:numPr>
      <w:tabs>
        <w:tab w:val="left" w:pos="1440"/>
      </w:tabs>
      <w:spacing w:before="240" w:after="240"/>
      <w:jc w:val="center"/>
    </w:pPr>
    <w:rPr>
      <w:b/>
      <w:smallCaps/>
      <w:sz w:val="24"/>
      <w:lang w:val="es-ES"/>
    </w:rPr>
  </w:style>
  <w:style w:type="paragraph" w:customStyle="1" w:styleId="Paragraph">
    <w:name w:val="Paragraph"/>
    <w:aliases w:val="paragraph,p,PARAGRAPH,PG,pa,at"/>
    <w:basedOn w:val="BodyTextIndent"/>
    <w:link w:val="ParagraphCar"/>
    <w:rsid w:val="00912CFE"/>
    <w:pPr>
      <w:numPr>
        <w:ilvl w:val="1"/>
        <w:numId w:val="6"/>
      </w:numPr>
      <w:tabs>
        <w:tab w:val="clear" w:pos="375"/>
      </w:tabs>
      <w:spacing w:before="120" w:after="120"/>
      <w:outlineLvl w:val="1"/>
    </w:pPr>
    <w:rPr>
      <w:sz w:val="24"/>
      <w:lang w:val="es-ES"/>
    </w:rPr>
  </w:style>
  <w:style w:type="paragraph" w:customStyle="1" w:styleId="subpar">
    <w:name w:val="subpar"/>
    <w:basedOn w:val="BodyTextIndent3"/>
    <w:rsid w:val="00912CFE"/>
    <w:pPr>
      <w:numPr>
        <w:ilvl w:val="2"/>
        <w:numId w:val="6"/>
      </w:numPr>
      <w:tabs>
        <w:tab w:val="clear" w:pos="2304"/>
        <w:tab w:val="num" w:pos="1440"/>
      </w:tabs>
      <w:spacing w:before="120"/>
      <w:ind w:left="1440" w:hanging="180"/>
      <w:outlineLvl w:val="2"/>
    </w:pPr>
    <w:rPr>
      <w:sz w:val="24"/>
      <w:szCs w:val="20"/>
      <w:lang w:val="es-ES_tradnl"/>
    </w:rPr>
  </w:style>
  <w:style w:type="paragraph" w:customStyle="1" w:styleId="SubSubPar">
    <w:name w:val="SubSubPar"/>
    <w:basedOn w:val="subpar"/>
    <w:rsid w:val="00912CFE"/>
    <w:pPr>
      <w:numPr>
        <w:ilvl w:val="3"/>
      </w:numPr>
      <w:tabs>
        <w:tab w:val="clear" w:pos="2736"/>
        <w:tab w:val="left" w:pos="0"/>
        <w:tab w:val="num" w:pos="1296"/>
        <w:tab w:val="num" w:pos="2160"/>
      </w:tabs>
      <w:ind w:left="1296" w:hanging="360"/>
    </w:pPr>
  </w:style>
  <w:style w:type="table" w:styleId="TableGrid">
    <w:name w:val="Table Grid"/>
    <w:basedOn w:val="TableNormal"/>
    <w:uiPriority w:val="59"/>
    <w:rsid w:val="00912C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ar">
    <w:name w:val="Paragraph Car"/>
    <w:link w:val="Paragraph"/>
    <w:rsid w:val="00912CFE"/>
    <w:rPr>
      <w:sz w:val="24"/>
      <w:lang w:val="es-ES"/>
    </w:rPr>
  </w:style>
  <w:style w:type="paragraph" w:styleId="BodyTextIndent3">
    <w:name w:val="Body Text Indent 3"/>
    <w:basedOn w:val="Normal"/>
    <w:link w:val="BodyTextIndent3Char"/>
    <w:rsid w:val="00912CFE"/>
    <w:pPr>
      <w:spacing w:after="120"/>
      <w:ind w:left="360"/>
    </w:pPr>
    <w:rPr>
      <w:sz w:val="16"/>
      <w:szCs w:val="16"/>
    </w:rPr>
  </w:style>
  <w:style w:type="character" w:customStyle="1" w:styleId="BodyTextIndent3Char">
    <w:name w:val="Body Text Indent 3 Char"/>
    <w:basedOn w:val="DefaultParagraphFont"/>
    <w:link w:val="BodyTextIndent3"/>
    <w:rsid w:val="00912CFE"/>
    <w:rPr>
      <w:sz w:val="16"/>
      <w:szCs w:val="16"/>
    </w:rPr>
  </w:style>
  <w:style w:type="character" w:customStyle="1" w:styleId="Heading6Char">
    <w:name w:val="Heading 6 Char"/>
    <w:basedOn w:val="DefaultParagraphFont"/>
    <w:link w:val="Heading6"/>
    <w:rsid w:val="00912CFE"/>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rsid w:val="00912CFE"/>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912CFE"/>
    <w:rPr>
      <w:rFonts w:asciiTheme="majorHAnsi" w:eastAsiaTheme="majorEastAsia" w:hAnsiTheme="majorHAnsi" w:cstheme="majorBidi"/>
      <w:color w:val="404040" w:themeColor="text1" w:themeTint="BF"/>
      <w:lang w:val="es-ES_tradnl"/>
    </w:rPr>
  </w:style>
  <w:style w:type="character" w:customStyle="1" w:styleId="Heading9Char">
    <w:name w:val="Heading 9 Char"/>
    <w:basedOn w:val="DefaultParagraphFont"/>
    <w:link w:val="Heading9"/>
    <w:rsid w:val="00912CFE"/>
    <w:rPr>
      <w:rFonts w:asciiTheme="majorHAnsi" w:eastAsiaTheme="majorEastAsia" w:hAnsiTheme="majorHAnsi" w:cstheme="majorBidi"/>
      <w:i/>
      <w:iCs/>
      <w:color w:val="404040" w:themeColor="text1" w:themeTint="BF"/>
      <w:lang w:val="es-ES_tradnl"/>
    </w:rPr>
  </w:style>
  <w:style w:type="paragraph" w:customStyle="1" w:styleId="FirstHeading">
    <w:name w:val="FirstHeading"/>
    <w:basedOn w:val="Normal"/>
    <w:next w:val="Normal"/>
    <w:rsid w:val="00912CFE"/>
    <w:pPr>
      <w:keepNext/>
      <w:tabs>
        <w:tab w:val="left" w:pos="0"/>
        <w:tab w:val="left" w:pos="86"/>
      </w:tabs>
      <w:spacing w:before="120" w:after="120"/>
      <w:ind w:left="4824" w:hanging="720"/>
    </w:pPr>
    <w:rPr>
      <w:b/>
      <w:sz w:val="24"/>
      <w:lang w:val="es-ES"/>
    </w:rPr>
  </w:style>
  <w:style w:type="paragraph" w:customStyle="1" w:styleId="SecHeading">
    <w:name w:val="SecHeading"/>
    <w:basedOn w:val="Normal"/>
    <w:next w:val="Paragraph"/>
    <w:rsid w:val="00912CFE"/>
    <w:pPr>
      <w:keepNext/>
      <w:tabs>
        <w:tab w:val="num" w:pos="5400"/>
      </w:tabs>
      <w:spacing w:before="120" w:after="120"/>
      <w:ind w:left="5400" w:hanging="576"/>
    </w:pPr>
    <w:rPr>
      <w:b/>
      <w:sz w:val="24"/>
      <w:lang w:val="es-ES_tradnl"/>
    </w:rPr>
  </w:style>
  <w:style w:type="paragraph" w:customStyle="1" w:styleId="SubHeading1">
    <w:name w:val="SubHeading1"/>
    <w:basedOn w:val="SecHeading"/>
    <w:rsid w:val="00912CFE"/>
    <w:pPr>
      <w:tabs>
        <w:tab w:val="clear" w:pos="5400"/>
        <w:tab w:val="num" w:pos="1872"/>
      </w:tabs>
      <w:ind w:left="1872"/>
    </w:pPr>
  </w:style>
  <w:style w:type="paragraph" w:customStyle="1" w:styleId="Subheading2">
    <w:name w:val="Subheading2"/>
    <w:basedOn w:val="SecHeading"/>
    <w:rsid w:val="00912CFE"/>
    <w:pPr>
      <w:tabs>
        <w:tab w:val="clear" w:pos="5400"/>
        <w:tab w:val="num" w:pos="2376"/>
      </w:tabs>
      <w:ind w:left="2376" w:hanging="288"/>
    </w:pPr>
  </w:style>
  <w:style w:type="paragraph" w:customStyle="1" w:styleId="Default">
    <w:name w:val="Default"/>
    <w:rsid w:val="00354A10"/>
    <w:pPr>
      <w:autoSpaceDE w:val="0"/>
      <w:autoSpaceDN w:val="0"/>
      <w:adjustRightInd w:val="0"/>
    </w:pPr>
    <w:rPr>
      <w:color w:val="000000"/>
      <w:sz w:val="24"/>
      <w:szCs w:val="24"/>
      <w:lang w:val="es-CO" w:eastAsia="es-CO"/>
    </w:rPr>
  </w:style>
  <w:style w:type="character" w:customStyle="1" w:styleId="ListParagraphChar">
    <w:name w:val="List Paragraph Char"/>
    <w:basedOn w:val="DefaultParagraphFont"/>
    <w:link w:val="ListParagraph"/>
    <w:uiPriority w:val="34"/>
    <w:rsid w:val="00354A10"/>
  </w:style>
  <w:style w:type="character" w:styleId="Hyperlink">
    <w:name w:val="Hyperlink"/>
    <w:basedOn w:val="DefaultParagraphFont"/>
    <w:unhideWhenUsed/>
    <w:rsid w:val="00937557"/>
    <w:rPr>
      <w:color w:val="0000FF" w:themeColor="hyperlink"/>
      <w:u w:val="single"/>
    </w:rPr>
  </w:style>
  <w:style w:type="paragraph" w:styleId="NormalWeb">
    <w:name w:val="Normal (Web)"/>
    <w:basedOn w:val="Normal"/>
    <w:uiPriority w:val="99"/>
    <w:semiHidden/>
    <w:unhideWhenUsed/>
    <w:rsid w:val="000278CA"/>
    <w:pPr>
      <w:spacing w:before="100" w:beforeAutospacing="1" w:after="100" w:afterAutospacing="1"/>
      <w:jc w:val="left"/>
    </w:pPr>
    <w:rPr>
      <w:rFonts w:ascii="Times New Roman" w:eastAsiaTheme="minorEastAsia" w:hAnsi="Times New Roman"/>
      <w:sz w:val="24"/>
      <w:szCs w:val="24"/>
      <w:lang w:val="es-CO" w:eastAsia="es-CO"/>
    </w:rPr>
  </w:style>
  <w:style w:type="character" w:styleId="FollowedHyperlink">
    <w:name w:val="FollowedHyperlink"/>
    <w:basedOn w:val="DefaultParagraphFont"/>
    <w:semiHidden/>
    <w:unhideWhenUsed/>
    <w:rsid w:val="00027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8158">
      <w:bodyDiv w:val="1"/>
      <w:marLeft w:val="0"/>
      <w:marRight w:val="0"/>
      <w:marTop w:val="0"/>
      <w:marBottom w:val="0"/>
      <w:divBdr>
        <w:top w:val="none" w:sz="0" w:space="0" w:color="auto"/>
        <w:left w:val="none" w:sz="0" w:space="0" w:color="auto"/>
        <w:bottom w:val="none" w:sz="0" w:space="0" w:color="auto"/>
        <w:right w:val="none" w:sz="0" w:space="0" w:color="auto"/>
      </w:divBdr>
    </w:div>
    <w:div w:id="17896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1.upme.gov.co/Paginas/Inscripcionproyectogenelec.aspx" TargetMode="External"/><Relationship Id="rId20" Type="http://schemas.openxmlformats.org/officeDocument/2006/relationships/footer" Target="footer1.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customXml" Target="../customXml/item1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799A172D4150B24BA8FAA1F3675267D6" ma:contentTypeVersion="1522" ma:contentTypeDescription="The base project type from which other project content types inherit their information." ma:contentTypeScope="" ma:versionID="a0eb494e9be5483d2d935e38462238ef">
  <xsd:schema xmlns:xsd="http://www.w3.org/2001/XMLSchema" xmlns:xs="http://www.w3.org/2001/XMLSchema" xmlns:p="http://schemas.microsoft.com/office/2006/metadata/properties" xmlns:ns2="cdc7663a-08f0-4737-9e8c-148ce897a09c" targetNamespace="http://schemas.microsoft.com/office/2006/metadata/properties" ma:root="true" ma:fieldsID="bdcf96e1c1e9bf014de22bf6d6faed2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40053942</IDBDocs_x0020_Number>
    <TaxCatchAll xmlns="cdc7663a-08f0-4737-9e8c-148ce897a09c">
      <Value>178</Value>
      <Value>39</Value>
      <Value>31</Value>
      <Value>1</Value>
      <Value>27</Value>
    </TaxCatchAll>
    <Phase xmlns="cdc7663a-08f0-4737-9e8c-148ce897a09c" xsi:nil="true"/>
    <SISCOR_x0020_Number xmlns="cdc7663a-08f0-4737-9e8c-148ce897a09c" xsi:nil="true"/>
    <Division_x0020_or_x0020_Unit xmlns="cdc7663a-08f0-4737-9e8c-148ce897a09c">INE/ENE</Division_x0020_or_x0020_Unit>
    <Approval_x0020_Number xmlns="cdc7663a-08f0-4737-9e8c-148ce897a09c">4773/OC-CO;</Approval_x0020_Number>
    <Document_x0020_Author xmlns="cdc7663a-08f0-4737-9e8c-148ce897a09c">Suber, Stephanie Anne</Document_x0020_Author>
    <Fiscal_x0020_Year_x0020_IDB xmlns="cdc7663a-08f0-4737-9e8c-148ce897a09c">2019</Fiscal_x0020_Year_x0020_IDB>
    <Other_x0020_Author xmlns="cdc7663a-08f0-4737-9e8c-148ce897a09c" xsi:nil="true"/>
    <Project_x0020_Number xmlns="cdc7663a-08f0-4737-9e8c-148ce897a09c">CO-L1237;</Project_x0020_Number>
    <Package_x0020_Code xmlns="cdc7663a-08f0-4737-9e8c-148ce897a09c" xsi:nil="true"/>
    <Key_x0020_Document xmlns="cdc7663a-08f0-4737-9e8c-148ce897a09c">false</Key_x0020_Document>
    <Migration_x0020_Info xmlns="cdc7663a-08f0-4737-9e8c-148ce897a09c">MS WORDLPLoan Proposal0NPO-PN-L1119-GS1182056204</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INSTITUTIONAL STRENGTHENING AND CAPACITY BUILDING</TermName>
          <TermId xmlns="http://schemas.microsoft.com/office/infopath/2007/PartnerControls">83f37b93-89a4-4e9a-88eb-1c116bee7b97</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_dlc_DocId xmlns="cdc7663a-08f0-4737-9e8c-148ce897a09c">EZSHARE-661587386-9</_dlc_DocId>
    <_dlc_DocIdUrl xmlns="cdc7663a-08f0-4737-9e8c-148ce897a09c">
      <Url>https://idbg.sharepoint.com/teams/EZ-CO-LON/CO-L1237/_layouts/15/DocIdRedir.aspx?ID=EZSHARE-661587386-9</Url>
      <Description>EZSHARE-661587386-9</Description>
    </_dlc_DocIdUrl>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Transportation</Webtopic>
    <Abstract xmlns="cdc7663a-08f0-4737-9e8c-148ce897a09c" xsi:nil="true"/>
    <Publishing_x0020_House xmlns="cdc7663a-08f0-4737-9e8c-148ce897a09c"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13747F26F6C93F4EA513C0E2139DAFE2" ma:contentTypeVersion="1695" ma:contentTypeDescription="A content type to manage public (operations) IDB documents" ma:contentTypeScope="" ma:versionID="90c66f737c2ed59b768ff68623cad987">
  <xsd:schema xmlns:xsd="http://www.w3.org/2001/XMLSchema" xmlns:xs="http://www.w3.org/2001/XMLSchema" xmlns:p="http://schemas.microsoft.com/office/2006/metadata/properties" xmlns:ns2="cdc7663a-08f0-4737-9e8c-148ce897a09c" targetNamespace="http://schemas.microsoft.com/office/2006/metadata/properties" ma:root="true" ma:fieldsID="03ba89b40a77feed9da0b1ece8bee66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409B27-8655-4235-8D38-58265911943C}">
  <ds:schemaRefs>
    <ds:schemaRef ds:uri="http://schemas.microsoft.com/sharepoint/v3/contenttype/forms"/>
  </ds:schemaRefs>
</ds:datastoreItem>
</file>

<file path=customXml/itemProps10.xml><?xml version="1.0" encoding="utf-8"?>
<ds:datastoreItem xmlns:ds="http://schemas.openxmlformats.org/officeDocument/2006/customXml" ds:itemID="{F94C54C0-DC45-426E-B163-53F5C3FB8104}">
  <ds:schemaRefs>
    <ds:schemaRef ds:uri="http://schemas.openxmlformats.org/officeDocument/2006/bibliography"/>
  </ds:schemaRefs>
</ds:datastoreItem>
</file>

<file path=customXml/itemProps11.xml><?xml version="1.0" encoding="utf-8"?>
<ds:datastoreItem xmlns:ds="http://schemas.openxmlformats.org/officeDocument/2006/customXml" ds:itemID="{ED30DB65-8A63-4ECF-9854-B52979BB8F04}"/>
</file>

<file path=customXml/itemProps2.xml><?xml version="1.0" encoding="utf-8"?>
<ds:datastoreItem xmlns:ds="http://schemas.openxmlformats.org/officeDocument/2006/customXml" ds:itemID="{D7E69A0E-E38B-4DD8-A54D-62E69871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B3126-A479-4BA3-8B4C-B863F151D950}"/>
</file>

<file path=customXml/itemProps4.xml><?xml version="1.0" encoding="utf-8"?>
<ds:datastoreItem xmlns:ds="http://schemas.openxmlformats.org/officeDocument/2006/customXml" ds:itemID="{29A7204F-2708-408F-8BFA-5C3DB16D18D2}">
  <ds:schemaRefs>
    <ds:schemaRef ds:uri="http://schemas.openxmlformats.org/officeDocument/2006/bibliography"/>
  </ds:schemaRefs>
</ds:datastoreItem>
</file>

<file path=customXml/itemProps5.xml><?xml version="1.0" encoding="utf-8"?>
<ds:datastoreItem xmlns:ds="http://schemas.openxmlformats.org/officeDocument/2006/customXml" ds:itemID="{86DD4890-A44B-4D97-B030-610F67DD206A}">
  <ds:schemaRefs>
    <ds:schemaRef ds:uri="http://schemas.openxmlformats.org/officeDocument/2006/bibliography"/>
  </ds:schemaRefs>
</ds:datastoreItem>
</file>

<file path=customXml/itemProps6.xml><?xml version="1.0" encoding="utf-8"?>
<ds:datastoreItem xmlns:ds="http://schemas.openxmlformats.org/officeDocument/2006/customXml" ds:itemID="{436F9119-A670-4BB9-89B5-C763F135F247}">
  <ds:schemaRefs>
    <ds:schemaRef ds:uri="http://schemas.openxmlformats.org/package/2006/metadata/core-properties"/>
    <ds:schemaRef ds:uri="http://purl.org/dc/dcmitype/"/>
    <ds:schemaRef ds:uri="cdc7663a-08f0-4737-9e8c-148ce897a09c"/>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7.xml><?xml version="1.0" encoding="utf-8"?>
<ds:datastoreItem xmlns:ds="http://schemas.openxmlformats.org/officeDocument/2006/customXml" ds:itemID="{DD9B621D-8D34-4086-BFFA-C4F05D5B4333}">
  <ds:schemaRefs>
    <ds:schemaRef ds:uri="http://schemas.microsoft.com/sharepoint/events"/>
  </ds:schemaRefs>
</ds:datastoreItem>
</file>

<file path=customXml/itemProps8.xml><?xml version="1.0" encoding="utf-8"?>
<ds:datastoreItem xmlns:ds="http://schemas.openxmlformats.org/officeDocument/2006/customXml" ds:itemID="{0A34F543-775E-4A64-9ACB-CAF299A0BDCA}"/>
</file>

<file path=customXml/itemProps9.xml><?xml version="1.0" encoding="utf-8"?>
<ds:datastoreItem xmlns:ds="http://schemas.openxmlformats.org/officeDocument/2006/customXml" ds:itemID="{1E2766B9-9EA6-4910-84C0-923E5F4E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2053</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EEO14_ Progresos Alcanzados</vt:lpstr>
    </vt:vector>
  </TitlesOfParts>
  <Company>Inter-American Development Bank</Company>
  <LinksUpToDate>false</LinksUpToDate>
  <CharactersWithSpaces>13323</CharactersWithSpaces>
  <SharedDoc>false</SharedDoc>
  <HyperlinkBase/>
  <HLinks>
    <vt:vector size="6" baseType="variant">
      <vt:variant>
        <vt:i4>7995517</vt:i4>
      </vt:variant>
      <vt:variant>
        <vt:i4>0</vt:i4>
      </vt:variant>
      <vt:variant>
        <vt:i4>0</vt:i4>
      </vt:variant>
      <vt:variant>
        <vt:i4>5</vt:i4>
      </vt:variant>
      <vt:variant>
        <vt:lpwstr>http://www1.upme.gov.co/Paginas/Inscripcionproyectogenelec.aspx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EEO14_ Progresos Alcanzados</dc:title>
  <dc:creator>GONZALOAF</dc:creator>
  <cp:keywords/>
  <cp:lastModifiedBy>Ana Seminario Horna</cp:lastModifiedBy>
  <cp:revision>99</cp:revision>
  <cp:lastPrinted>2015-04-22T15:29:00Z</cp:lastPrinted>
  <dcterms:created xsi:type="dcterms:W3CDTF">2018-11-06T15:32:00Z</dcterms:created>
  <dcterms:modified xsi:type="dcterms:W3CDTF">2019-03-18T20:54:00Z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9;#Procurement Administration|d8145667-6247-4db3-9e42-91a14331cc81</vt:lpwstr>
  </property>
  <property fmtid="{D5CDD505-2E9C-101B-9397-08002B2CF9AE}" pid="7" name="Country">
    <vt:lpwstr>27;#Colombia|c7d386d6-75f3-4fc0-bde8-e021ccd68f5c</vt:lpwstr>
  </property>
  <property fmtid="{D5CDD505-2E9C-101B-9397-08002B2CF9AE}" pid="8" name="Fund IDB">
    <vt:lpwstr>31;#ORC|c028a4b2-ad8b-4cf4-9cac-a2ae6a778e23</vt:lpwstr>
  </property>
  <property fmtid="{D5CDD505-2E9C-101B-9397-08002B2CF9AE}" pid="9" name="Series_x0020_Operations_x0020_IDB">
    <vt:lpwstr>9;#Procurement Administration|d8145667-6247-4db3-9e42-91a14331cc81</vt:lpwstr>
  </property>
  <property fmtid="{D5CDD505-2E9C-101B-9397-08002B2CF9AE}" pid="10" name="To:">
    <vt:lpwstr/>
  </property>
  <property fmtid="{D5CDD505-2E9C-101B-9397-08002B2CF9AE}" pid="11" name="From:">
    <vt:lpwstr/>
  </property>
  <property fmtid="{D5CDD505-2E9C-101B-9397-08002B2CF9AE}" pid="12" name="Sector IDB">
    <vt:lpwstr>39;#ENERGY|4fed196a-cd0b-4970-87de-42da17f9b203</vt:lpwstr>
  </property>
  <property fmtid="{D5CDD505-2E9C-101B-9397-08002B2CF9AE}" pid="13" name="Function Operations IDB">
    <vt:lpwstr>1;#Project Preparation, Planning and Design|29ca0c72-1fc4-435f-a09c-28585cb5eac9</vt:lpwstr>
  </property>
  <property fmtid="{D5CDD505-2E9C-101B-9397-08002B2CF9AE}" pid="14" name="Sub-Sector">
    <vt:lpwstr>178;#ENERGY INSTITUTIONAL STRENGTHENING AND CAPACITY BUILDING|83f37b93-89a4-4e9a-88eb-1c116bee7b97</vt:lpwstr>
  </property>
  <property fmtid="{D5CDD505-2E9C-101B-9397-08002B2CF9AE}" pid="15" name="Order">
    <vt:r8>6100</vt:r8>
  </property>
  <property fmtid="{D5CDD505-2E9C-101B-9397-08002B2CF9AE}" pid="16" name="ATI Undisclose Document Workflow">
    <vt:lpwstr/>
  </property>
  <property fmtid="{D5CDD505-2E9C-101B-9397-08002B2CF9AE}" pid="17" name="ATI Disclose Document Workflow v5">
    <vt:lpwstr/>
  </property>
  <property fmtid="{D5CDD505-2E9C-101B-9397-08002B2CF9AE}" pid="18" name="Disclosure Activity">
    <vt:lpwstr>Loan Proposal</vt:lpwstr>
  </property>
  <property fmtid="{D5CDD505-2E9C-101B-9397-08002B2CF9AE}" pid="19" name="Webtopic">
    <vt:lpwstr>Transportation</vt:lpwstr>
  </property>
  <property fmtid="{D5CDD505-2E9C-101B-9397-08002B2CF9AE}" pid="20" name="Disclosed">
    <vt:bool>false</vt:bool>
  </property>
  <property fmtid="{D5CDD505-2E9C-101B-9397-08002B2CF9AE}" pid="21" name="_dlc_DocIdItemGuid">
    <vt:lpwstr>aabc3db2-c86c-4b6a-ad82-3c1e8946f468</vt:lpwstr>
  </property>
  <property fmtid="{D5CDD505-2E9C-101B-9397-08002B2CF9AE}" pid="22" name="AuthorIds_UIVersion_3">
    <vt:lpwstr>207</vt:lpwstr>
  </property>
  <property fmtid="{D5CDD505-2E9C-101B-9397-08002B2CF9AE}" pid="23" name="AuthorIds_UIVersion_6">
    <vt:lpwstr>207</vt:lpwstr>
  </property>
  <property fmtid="{D5CDD505-2E9C-101B-9397-08002B2CF9AE}" pid="24" name="AuthorIds_UIVersion_7">
    <vt:lpwstr>207</vt:lpwstr>
  </property>
  <property fmtid="{D5CDD505-2E9C-101B-9397-08002B2CF9AE}" pid="25" name="AuthorIds_UIVersion_8">
    <vt:lpwstr>207</vt:lpwstr>
  </property>
  <property fmtid="{D5CDD505-2E9C-101B-9397-08002B2CF9AE}" pid="26" name="AuthorIds_UIVersion_9">
    <vt:lpwstr>207</vt:lpwstr>
  </property>
  <property fmtid="{D5CDD505-2E9C-101B-9397-08002B2CF9AE}" pid="27" name="AuthorIds_UIVersion_11">
    <vt:lpwstr>207</vt:lpwstr>
  </property>
  <property fmtid="{D5CDD505-2E9C-101B-9397-08002B2CF9AE}" pid="29" name="AuthorIds_UIVersion_13">
    <vt:lpwstr>1186</vt:lpwstr>
  </property>
  <property fmtid="{D5CDD505-2E9C-101B-9397-08002B2CF9AE}" pid="30" name="ContentTypeId">
    <vt:lpwstr>0x0101001A458A224826124E8B45B1D613300CFC0013747F26F6C93F4EA513C0E2139DAFE2</vt:lpwstr>
  </property>
</Properties>
</file>