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67" w:rsidRPr="00FE26CF" w:rsidRDefault="00F15B67" w:rsidP="00F15B67">
      <w:pPr>
        <w:spacing w:after="200" w:line="276" w:lineRule="auto"/>
        <w:rPr>
          <w:rFonts w:cs="Arial"/>
          <w:b/>
          <w:lang w:val="es-ES"/>
        </w:rPr>
      </w:pPr>
      <w:r w:rsidRPr="00FE26CF">
        <w:rPr>
          <w:rFonts w:cs="Arial"/>
          <w:noProof/>
        </w:rPr>
        <mc:AlternateContent>
          <mc:Choice Requires="wps">
            <w:drawing>
              <wp:anchor distT="36576" distB="36576" distL="36576" distR="36576" simplePos="0" relativeHeight="251661824" behindDoc="0" locked="0" layoutInCell="1" allowOverlap="1" wp14:anchorId="285B4A73" wp14:editId="5143D8AC">
                <wp:simplePos x="0" y="0"/>
                <wp:positionH relativeFrom="column">
                  <wp:posOffset>3538855</wp:posOffset>
                </wp:positionH>
                <wp:positionV relativeFrom="page">
                  <wp:posOffset>0</wp:posOffset>
                </wp:positionV>
                <wp:extent cx="3319145" cy="10125075"/>
                <wp:effectExtent l="0" t="0" r="8255" b="9525"/>
                <wp:wrapTight wrapText="bothSides">
                  <wp:wrapPolygon edited="0">
                    <wp:start x="0" y="0"/>
                    <wp:lineTo x="0" y="21566"/>
                    <wp:lineTo x="21488" y="21566"/>
                    <wp:lineTo x="21488" y="0"/>
                    <wp:lineTo x="0" y="0"/>
                  </wp:wrapPolygon>
                </wp:wrapTight>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145" cy="10125075"/>
                        </a:xfrm>
                        <a:prstGeom prst="rect">
                          <a:avLst/>
                        </a:prstGeom>
                        <a:solidFill>
                          <a:srgbClr val="153B5E"/>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8.65pt;margin-top:0;width:261.35pt;height:797.2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" fillcolor="#153b5e" stroked="f">
                <v:textbox inset="2.88pt,2.88pt,2.88pt,2.88pt"/>
                <w10:wrap type="tight" anchory="page"/>
              </v:rect>
            </w:pict>
          </mc:Fallback>
        </mc:AlternateContent>
      </w:r>
    </w:p>
    <w:p w:rsidR="00F15B67" w:rsidRPr="00FE26CF" w:rsidRDefault="00F15B67" w:rsidP="00F15B67">
      <w:pPr>
        <w:rPr>
          <w:rFonts w:cs="Arial"/>
          <w:lang w:val="es-ES"/>
        </w:rPr>
      </w:pPr>
      <w:r w:rsidRPr="00FE26CF">
        <w:rPr>
          <w:rFonts w:cs="Arial"/>
          <w:noProof/>
        </w:rPr>
        <w:drawing>
          <wp:inline distT="0" distB="0" distL="0" distR="0" wp14:anchorId="32DC0F7C" wp14:editId="3F4AC916">
            <wp:extent cx="2971800" cy="1371600"/>
            <wp:effectExtent l="0" t="0" r="0" b="0"/>
            <wp:docPr id="5" name="Picture 5" descr="logo_email_english"/>
            <wp:cNvGraphicFramePr/>
            <a:graphic xmlns:a="http://schemas.openxmlformats.org/drawingml/2006/main">
              <a:graphicData uri="http://schemas.openxmlformats.org/drawingml/2006/picture">
                <pic:pic xmlns:pic="http://schemas.openxmlformats.org/drawingml/2006/picture">
                  <pic:nvPicPr>
                    <pic:cNvPr id="1" name="Picture 1" descr="logo_email_english"/>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1371600"/>
                    </a:xfrm>
                    <a:prstGeom prst="rect">
                      <a:avLst/>
                    </a:prstGeom>
                    <a:noFill/>
                    <a:ln>
                      <a:noFill/>
                    </a:ln>
                  </pic:spPr>
                </pic:pic>
              </a:graphicData>
            </a:graphic>
          </wp:inline>
        </w:drawing>
      </w:r>
      <w:bookmarkStart w:id="0" w:name="_GoBack"/>
      <w:bookmarkEnd w:id="0"/>
    </w:p>
    <w:p w:rsidR="00F15B67" w:rsidRPr="00FE26CF" w:rsidRDefault="00F15B67" w:rsidP="00F15B67">
      <w:pPr>
        <w:rPr>
          <w:rFonts w:cs="Arial"/>
          <w:lang w:val="es-ES"/>
        </w:rPr>
      </w:pPr>
    </w:p>
    <w:p w:rsidR="00F15B67" w:rsidRPr="00FE26CF" w:rsidRDefault="00F15B67" w:rsidP="00F15B67">
      <w:pPr>
        <w:rPr>
          <w:rFonts w:cs="Arial"/>
          <w:lang w:val="es-ES"/>
        </w:rPr>
      </w:pPr>
    </w:p>
    <w:p w:rsidR="00F15B67" w:rsidRPr="00FE26CF" w:rsidRDefault="00F15B67" w:rsidP="00F15B67">
      <w:pPr>
        <w:rPr>
          <w:rFonts w:cs="Arial"/>
          <w:lang w:val="es-ES"/>
        </w:rPr>
      </w:pPr>
    </w:p>
    <w:p w:rsidR="00F15B67" w:rsidRPr="00FE26CF" w:rsidRDefault="00F15B67" w:rsidP="00F15B67">
      <w:pPr>
        <w:rPr>
          <w:rFonts w:cs="Arial"/>
          <w:lang w:val="es-ES"/>
        </w:rPr>
      </w:pPr>
    </w:p>
    <w:p w:rsidR="00F15B67" w:rsidRPr="00FE26CF" w:rsidRDefault="00F15B67" w:rsidP="00F15B67">
      <w:pPr>
        <w:rPr>
          <w:rFonts w:cs="Arial"/>
          <w:lang w:val="es-ES"/>
        </w:rPr>
      </w:pPr>
    </w:p>
    <w:p w:rsidR="00F15B67" w:rsidRPr="00FE26CF" w:rsidRDefault="00F15B67" w:rsidP="00F15B67">
      <w:pPr>
        <w:rPr>
          <w:rFonts w:cs="Arial"/>
          <w:lang w:val="es-ES"/>
        </w:rPr>
      </w:pPr>
    </w:p>
    <w:p w:rsidR="00F15B67" w:rsidRPr="00FE26CF" w:rsidRDefault="00F15B67" w:rsidP="00F15B67">
      <w:pPr>
        <w:rPr>
          <w:rFonts w:cs="Arial"/>
          <w:lang w:val="es-ES"/>
        </w:rPr>
      </w:pPr>
    </w:p>
    <w:p w:rsidR="00F15B67" w:rsidRPr="00FE26CF" w:rsidRDefault="00F15B67" w:rsidP="00F15B67">
      <w:pPr>
        <w:rPr>
          <w:rFonts w:cs="Arial"/>
          <w:lang w:val="es-ES"/>
        </w:rPr>
      </w:pPr>
    </w:p>
    <w:p w:rsidR="00F15B67" w:rsidRPr="00FE26CF" w:rsidRDefault="00F15B67" w:rsidP="00F15B67">
      <w:pPr>
        <w:rPr>
          <w:rFonts w:cs="Arial"/>
          <w:lang w:val="es-ES"/>
        </w:rPr>
      </w:pPr>
    </w:p>
    <w:p w:rsidR="00F15B67" w:rsidRPr="00FE26CF" w:rsidRDefault="00F15B67" w:rsidP="00F15B67">
      <w:pPr>
        <w:rPr>
          <w:rFonts w:cs="Arial"/>
          <w:lang w:val="es-ES"/>
        </w:rPr>
      </w:pPr>
    </w:p>
    <w:p w:rsidR="00F15B67" w:rsidRPr="00FE26CF" w:rsidRDefault="00F15B67" w:rsidP="00F15B67">
      <w:pPr>
        <w:rPr>
          <w:rFonts w:cs="Arial"/>
          <w:lang w:val="es-ES"/>
        </w:rPr>
      </w:pPr>
    </w:p>
    <w:p w:rsidR="00F15B67" w:rsidRPr="00FE26CF" w:rsidRDefault="00F15B67" w:rsidP="00F15B67">
      <w:pPr>
        <w:rPr>
          <w:rFonts w:cs="Arial"/>
          <w:lang w:val="es-ES"/>
        </w:rPr>
      </w:pPr>
      <w:r w:rsidRPr="00FE26CF">
        <w:rPr>
          <w:rFonts w:cs="Arial"/>
          <w:noProof/>
        </w:rPr>
        <mc:AlternateContent>
          <mc:Choice Requires="wps">
            <w:drawing>
              <wp:anchor distT="0" distB="0" distL="114300" distR="114300" simplePos="0" relativeHeight="251663872" behindDoc="0" locked="0" layoutInCell="1" allowOverlap="1" wp14:anchorId="33111DF2" wp14:editId="32B6954C">
                <wp:simplePos x="0" y="0"/>
                <wp:positionH relativeFrom="column">
                  <wp:posOffset>-381000</wp:posOffset>
                </wp:positionH>
                <wp:positionV relativeFrom="paragraph">
                  <wp:posOffset>-1812925</wp:posOffset>
                </wp:positionV>
                <wp:extent cx="3352800" cy="277177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771775"/>
                        </a:xfrm>
                        <a:prstGeom prst="rect">
                          <a:avLst/>
                        </a:prstGeom>
                        <a:noFill/>
                        <a:ln>
                          <a:noFill/>
                        </a:ln>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AF1" w:rsidRPr="00740026" w:rsidRDefault="00064AF1" w:rsidP="00F15B67">
                            <w:pPr>
                              <w:spacing w:before="120" w:after="120"/>
                              <w:rPr>
                                <w:rFonts w:cs="Arial"/>
                                <w:b/>
                                <w:bCs/>
                                <w:sz w:val="44"/>
                                <w:lang w:val="es-ES"/>
                              </w:rPr>
                            </w:pPr>
                            <w:r w:rsidRPr="00740026">
                              <w:rPr>
                                <w:rFonts w:cs="Arial"/>
                                <w:b/>
                                <w:bCs/>
                                <w:sz w:val="44"/>
                                <w:lang w:val="es-ES"/>
                              </w:rPr>
                              <w:t>Análisis Económico</w:t>
                            </w:r>
                          </w:p>
                          <w:p w:rsidR="00064AF1" w:rsidRPr="0039667A" w:rsidRDefault="00064AF1" w:rsidP="00F15B67">
                            <w:pPr>
                              <w:spacing w:before="120" w:after="120" w:line="240" w:lineRule="auto"/>
                              <w:rPr>
                                <w:rFonts w:cs="Arial"/>
                                <w:smallCaps/>
                                <w:sz w:val="32"/>
                                <w:szCs w:val="32"/>
                                <w:lang w:val="es-ES_tradnl"/>
                              </w:rPr>
                            </w:pPr>
                            <w:r w:rsidRPr="0039667A">
                              <w:rPr>
                                <w:rFonts w:cs="Arial"/>
                                <w:smallCaps/>
                                <w:sz w:val="32"/>
                                <w:szCs w:val="32"/>
                                <w:lang w:val="es-ES_tradnl"/>
                              </w:rPr>
                              <w:t xml:space="preserve">BR-L1408 </w:t>
                            </w:r>
                          </w:p>
                          <w:p w:rsidR="00064AF1" w:rsidRPr="0039667A" w:rsidRDefault="00064AF1" w:rsidP="00F15B67">
                            <w:pPr>
                              <w:spacing w:before="120" w:after="120" w:line="240" w:lineRule="auto"/>
                              <w:rPr>
                                <w:rFonts w:cs="Arial"/>
                                <w:smallCaps/>
                                <w:sz w:val="32"/>
                                <w:szCs w:val="32"/>
                                <w:lang w:val="es-ES_tradnl"/>
                              </w:rPr>
                            </w:pPr>
                            <w:r w:rsidRPr="0039667A">
                              <w:rPr>
                                <w:rFonts w:cs="Arial"/>
                                <w:smallCaps/>
                                <w:sz w:val="32"/>
                                <w:szCs w:val="32"/>
                                <w:lang w:val="es-ES_tradnl"/>
                              </w:rPr>
                              <w:t>PROGRAMA DE EXPANSIÓN Y MEJORA DE LA ATENCIÓN ESPECIALIZADA EN SALUD EN EL ESTADO DE CEARÁ II</w:t>
                            </w:r>
                          </w:p>
                          <w:p w:rsidR="00064AF1" w:rsidRPr="00740026" w:rsidRDefault="00064AF1" w:rsidP="00F15B67">
                            <w:pPr>
                              <w:spacing w:before="120" w:after="120"/>
                              <w:rPr>
                                <w:rFonts w:cs="Arial"/>
                                <w:bCs/>
                                <w:sz w:val="44"/>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pt;margin-top:-142.75pt;width:264pt;height:21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" filled="f" fillcolor="navy" stroked="f">
                <v:textbox>
                  <w:txbxContent>
                    <w:p w:rsidR="00064AF1" w:rsidRPr="00740026" w:rsidRDefault="00064AF1" w:rsidP="00F15B67">
                      <w:pPr>
                        <w:spacing w:before="120" w:after="120"/>
                        <w:rPr>
                          <w:rFonts w:cs="Arial"/>
                          <w:b/>
                          <w:bCs/>
                          <w:sz w:val="44"/>
                          <w:lang w:val="es-ES"/>
                        </w:rPr>
                      </w:pPr>
                      <w:r w:rsidRPr="00740026">
                        <w:rPr>
                          <w:rFonts w:cs="Arial"/>
                          <w:b/>
                          <w:bCs/>
                          <w:sz w:val="44"/>
                          <w:lang w:val="es-ES"/>
                        </w:rPr>
                        <w:t>Análisis Económico</w:t>
                      </w:r>
                    </w:p>
                    <w:p w:rsidR="00064AF1" w:rsidRPr="0039667A" w:rsidRDefault="00064AF1" w:rsidP="00F15B67">
                      <w:pPr>
                        <w:spacing w:before="120" w:after="120" w:line="240" w:lineRule="auto"/>
                        <w:rPr>
                          <w:rFonts w:cs="Arial"/>
                          <w:smallCaps/>
                          <w:sz w:val="32"/>
                          <w:szCs w:val="32"/>
                          <w:lang w:val="es-ES_tradnl"/>
                        </w:rPr>
                      </w:pPr>
                      <w:r w:rsidRPr="0039667A">
                        <w:rPr>
                          <w:rFonts w:cs="Arial"/>
                          <w:smallCaps/>
                          <w:sz w:val="32"/>
                          <w:szCs w:val="32"/>
                          <w:lang w:val="es-ES_tradnl"/>
                        </w:rPr>
                        <w:t xml:space="preserve">BR-L1408 </w:t>
                      </w:r>
                    </w:p>
                    <w:p w:rsidR="00064AF1" w:rsidRPr="0039667A" w:rsidRDefault="00064AF1" w:rsidP="00F15B67">
                      <w:pPr>
                        <w:spacing w:before="120" w:after="120" w:line="240" w:lineRule="auto"/>
                        <w:rPr>
                          <w:rFonts w:cs="Arial"/>
                          <w:smallCaps/>
                          <w:sz w:val="32"/>
                          <w:szCs w:val="32"/>
                          <w:lang w:val="es-ES_tradnl"/>
                        </w:rPr>
                      </w:pPr>
                      <w:r w:rsidRPr="0039667A">
                        <w:rPr>
                          <w:rFonts w:cs="Arial"/>
                          <w:smallCaps/>
                          <w:sz w:val="32"/>
                          <w:szCs w:val="32"/>
                          <w:lang w:val="es-ES_tradnl"/>
                        </w:rPr>
                        <w:t>PROGRAMA DE EXPANSIÓN Y MEJORA DE LA ATENCIÓN ESPECIALIZADA EN SALUD EN EL ESTADO DE CEARÁ II</w:t>
                      </w:r>
                    </w:p>
                    <w:p w:rsidR="00064AF1" w:rsidRPr="00740026" w:rsidRDefault="00064AF1" w:rsidP="00F15B67">
                      <w:pPr>
                        <w:spacing w:before="120" w:after="120"/>
                        <w:rPr>
                          <w:rFonts w:cs="Arial"/>
                          <w:bCs/>
                          <w:sz w:val="44"/>
                          <w:lang w:val="es-ES_tradnl"/>
                        </w:rPr>
                      </w:pPr>
                    </w:p>
                  </w:txbxContent>
                </v:textbox>
                <w10:wrap type="square"/>
              </v:shape>
            </w:pict>
          </mc:Fallback>
        </mc:AlternateContent>
      </w:r>
    </w:p>
    <w:p w:rsidR="00F15B67" w:rsidRPr="00FE26CF" w:rsidRDefault="00F15B67" w:rsidP="00F15B67">
      <w:pPr>
        <w:rPr>
          <w:rFonts w:cs="Arial"/>
          <w:lang w:val="es-ES"/>
        </w:rPr>
      </w:pPr>
    </w:p>
    <w:p w:rsidR="00F15B67" w:rsidRPr="00FE26CF" w:rsidRDefault="00F15B67" w:rsidP="00F15B67">
      <w:pPr>
        <w:rPr>
          <w:rFonts w:cs="Arial"/>
          <w:lang w:val="es-ES"/>
        </w:rPr>
      </w:pPr>
    </w:p>
    <w:p w:rsidR="00F15B67" w:rsidRPr="00FE26CF" w:rsidRDefault="00F15B67" w:rsidP="00F15B67">
      <w:pPr>
        <w:rPr>
          <w:rFonts w:cs="Arial"/>
          <w:lang w:val="es-ES"/>
        </w:rPr>
      </w:pPr>
    </w:p>
    <w:p w:rsidR="00F15B67" w:rsidRPr="00FE26CF" w:rsidRDefault="00F15B67" w:rsidP="00F15B67">
      <w:pPr>
        <w:rPr>
          <w:rFonts w:cs="Arial"/>
          <w:lang w:val="es-ES"/>
        </w:rPr>
      </w:pPr>
    </w:p>
    <w:p w:rsidR="00F15B67" w:rsidRPr="00FE26CF" w:rsidRDefault="00F15B67" w:rsidP="00F15B67">
      <w:pPr>
        <w:rPr>
          <w:rFonts w:cs="Arial"/>
          <w:lang w:val="es-ES"/>
        </w:rPr>
      </w:pPr>
    </w:p>
    <w:p w:rsidR="00F15B67" w:rsidRPr="00FE26CF" w:rsidRDefault="00F15B67" w:rsidP="00F15B67">
      <w:pPr>
        <w:tabs>
          <w:tab w:val="left" w:pos="1440"/>
          <w:tab w:val="left" w:pos="3060"/>
        </w:tabs>
        <w:spacing w:before="120" w:after="120" w:line="240" w:lineRule="auto"/>
        <w:jc w:val="both"/>
        <w:rPr>
          <w:rFonts w:cs="Arial"/>
          <w:b/>
          <w:smallCaps/>
          <w:szCs w:val="24"/>
          <w:lang w:val="es-ES"/>
        </w:rPr>
      </w:pPr>
      <w:r w:rsidRPr="00FE26CF">
        <w:rPr>
          <w:rFonts w:cs="Arial"/>
          <w:b/>
          <w:smallCaps/>
          <w:szCs w:val="24"/>
          <w:lang w:val="es-ES"/>
        </w:rPr>
        <w:t>Junio 2015</w:t>
      </w:r>
    </w:p>
    <w:p w:rsidR="00F15B67" w:rsidRPr="00FE26CF" w:rsidRDefault="00F15B67" w:rsidP="00F15B67">
      <w:pPr>
        <w:rPr>
          <w:rFonts w:cs="Arial"/>
          <w:lang w:val="es-ES"/>
        </w:rPr>
      </w:pPr>
    </w:p>
    <w:p w:rsidR="00F15B67" w:rsidRPr="00FE26CF" w:rsidRDefault="00AD709D" w:rsidP="00AD709D">
      <w:pPr>
        <w:spacing w:after="0"/>
        <w:rPr>
          <w:rFonts w:cs="Arial"/>
          <w:lang w:val="es-ES"/>
        </w:rPr>
      </w:pPr>
      <w:r w:rsidRPr="00FE26CF">
        <w:rPr>
          <w:rFonts w:cs="Arial"/>
          <w:lang w:val="es-ES"/>
        </w:rPr>
        <w:t>Documento preparado por Nadin Medellín</w:t>
      </w:r>
    </w:p>
    <w:p w:rsidR="00AD709D" w:rsidRPr="00FE26CF" w:rsidRDefault="00AD709D" w:rsidP="00AD709D">
      <w:pPr>
        <w:spacing w:after="0"/>
        <w:rPr>
          <w:rFonts w:cs="Arial"/>
          <w:lang w:val="es-ES"/>
        </w:rPr>
      </w:pPr>
      <w:r w:rsidRPr="00FE26CF">
        <w:rPr>
          <w:rFonts w:cs="Arial"/>
          <w:lang w:val="es-ES"/>
        </w:rPr>
        <w:t xml:space="preserve">y Pablo Ibarrarán </w:t>
      </w:r>
    </w:p>
    <w:p w:rsidR="00A719A7" w:rsidRPr="00FE26CF" w:rsidRDefault="00A719A7" w:rsidP="00F15B67">
      <w:pPr>
        <w:tabs>
          <w:tab w:val="left" w:pos="1440"/>
          <w:tab w:val="left" w:pos="3060"/>
        </w:tabs>
        <w:jc w:val="center"/>
        <w:rPr>
          <w:rFonts w:cs="Arial"/>
          <w:b/>
          <w:smallCaps/>
          <w:szCs w:val="24"/>
          <w:lang w:val="es-ES"/>
        </w:rPr>
      </w:pPr>
    </w:p>
    <w:p w:rsidR="00A719A7" w:rsidRPr="00FE26CF" w:rsidRDefault="00A719A7" w:rsidP="00F15B67">
      <w:pPr>
        <w:tabs>
          <w:tab w:val="left" w:pos="1440"/>
          <w:tab w:val="left" w:pos="3060"/>
        </w:tabs>
        <w:jc w:val="center"/>
        <w:rPr>
          <w:rFonts w:cs="Arial"/>
          <w:b/>
          <w:smallCaps/>
          <w:sz w:val="22"/>
          <w:lang w:val="es-ES"/>
        </w:rPr>
      </w:pPr>
    </w:p>
    <w:p w:rsidR="00CD308E" w:rsidRPr="00FE26CF" w:rsidRDefault="00361A79" w:rsidP="00A719A7">
      <w:pPr>
        <w:tabs>
          <w:tab w:val="left" w:pos="1440"/>
          <w:tab w:val="left" w:pos="3060"/>
        </w:tabs>
        <w:jc w:val="center"/>
        <w:rPr>
          <w:rFonts w:cs="Arial"/>
          <w:noProof/>
          <w:sz w:val="22"/>
          <w:lang w:val="es-ES"/>
        </w:rPr>
      </w:pPr>
      <w:r w:rsidRPr="00FE26CF">
        <w:rPr>
          <w:rFonts w:cs="Arial"/>
          <w:b/>
          <w:smallCaps/>
          <w:sz w:val="22"/>
          <w:lang w:val="es-ES"/>
        </w:rPr>
        <w:t>Tabla de Contenido</w:t>
      </w:r>
      <w:r w:rsidRPr="00FE26CF">
        <w:rPr>
          <w:rFonts w:cs="Arial"/>
          <w:smallCaps/>
          <w:sz w:val="22"/>
          <w:lang w:val="es-ES"/>
        </w:rPr>
        <w:fldChar w:fldCharType="begin"/>
      </w:r>
      <w:r w:rsidRPr="00FE26CF">
        <w:rPr>
          <w:rFonts w:cs="Arial"/>
          <w:smallCaps/>
          <w:sz w:val="22"/>
          <w:lang w:val="es-ES"/>
        </w:rPr>
        <w:instrText xml:space="preserve"> TOC \o "1-3" </w:instrText>
      </w:r>
      <w:r w:rsidRPr="00FE26CF">
        <w:rPr>
          <w:rFonts w:cs="Arial"/>
          <w:smallCaps/>
          <w:sz w:val="22"/>
          <w:lang w:val="es-ES"/>
        </w:rPr>
        <w:fldChar w:fldCharType="separate"/>
      </w:r>
    </w:p>
    <w:p w:rsidR="00CD308E" w:rsidRPr="00FE26CF" w:rsidRDefault="00CD308E">
      <w:pPr>
        <w:pStyle w:val="TOC1"/>
        <w:tabs>
          <w:tab w:val="right" w:pos="9350"/>
        </w:tabs>
        <w:rPr>
          <w:rFonts w:ascii="Arial" w:eastAsiaTheme="minorEastAsia" w:hAnsi="Arial" w:cs="Arial"/>
          <w:b w:val="0"/>
          <w:noProof/>
          <w:lang w:val="es-ES"/>
        </w:rPr>
      </w:pPr>
      <w:r w:rsidRPr="00FE26CF">
        <w:rPr>
          <w:rFonts w:ascii="Arial" w:hAnsi="Arial" w:cs="Arial"/>
          <w:noProof/>
          <w:lang w:val="es-ES"/>
        </w:rPr>
        <w:t>Resumen</w:t>
      </w:r>
      <w:r w:rsidRPr="00FE26CF">
        <w:rPr>
          <w:rFonts w:ascii="Arial" w:hAnsi="Arial" w:cs="Arial"/>
          <w:noProof/>
          <w:lang w:val="es-ES"/>
        </w:rPr>
        <w:tab/>
      </w:r>
      <w:r w:rsidRPr="00FE26CF">
        <w:rPr>
          <w:rFonts w:ascii="Arial" w:hAnsi="Arial" w:cs="Arial"/>
          <w:noProof/>
          <w:lang w:val="es-ES"/>
        </w:rPr>
        <w:fldChar w:fldCharType="begin"/>
      </w:r>
      <w:r w:rsidRPr="00FE26CF">
        <w:rPr>
          <w:rFonts w:ascii="Arial" w:hAnsi="Arial" w:cs="Arial"/>
          <w:noProof/>
          <w:lang w:val="es-ES"/>
        </w:rPr>
        <w:instrText xml:space="preserve"> PAGEREF _Toc422838010 \h </w:instrText>
      </w:r>
      <w:r w:rsidRPr="00FE26CF">
        <w:rPr>
          <w:rFonts w:ascii="Arial" w:hAnsi="Arial" w:cs="Arial"/>
          <w:noProof/>
          <w:lang w:val="es-ES"/>
        </w:rPr>
      </w:r>
      <w:r w:rsidRPr="00FE26CF">
        <w:rPr>
          <w:rFonts w:ascii="Arial" w:hAnsi="Arial" w:cs="Arial"/>
          <w:noProof/>
          <w:lang w:val="es-ES"/>
        </w:rPr>
        <w:fldChar w:fldCharType="separate"/>
      </w:r>
      <w:r w:rsidRPr="00FE26CF">
        <w:rPr>
          <w:rFonts w:ascii="Arial" w:hAnsi="Arial" w:cs="Arial"/>
          <w:noProof/>
          <w:lang w:val="es-ES"/>
        </w:rPr>
        <w:t>- 2 -</w:t>
      </w:r>
      <w:r w:rsidRPr="00FE26CF">
        <w:rPr>
          <w:rFonts w:ascii="Arial" w:hAnsi="Arial" w:cs="Arial"/>
          <w:noProof/>
          <w:lang w:val="es-ES"/>
        </w:rPr>
        <w:fldChar w:fldCharType="end"/>
      </w:r>
    </w:p>
    <w:p w:rsidR="00CD308E" w:rsidRPr="00FE26CF" w:rsidRDefault="00CD308E">
      <w:pPr>
        <w:pStyle w:val="TOC1"/>
        <w:tabs>
          <w:tab w:val="right" w:pos="9350"/>
        </w:tabs>
        <w:rPr>
          <w:rFonts w:ascii="Arial" w:eastAsiaTheme="minorEastAsia" w:hAnsi="Arial" w:cs="Arial"/>
          <w:b w:val="0"/>
          <w:noProof/>
          <w:lang w:val="es-ES"/>
        </w:rPr>
      </w:pPr>
      <w:r w:rsidRPr="00FE26CF">
        <w:rPr>
          <w:rFonts w:ascii="Arial" w:hAnsi="Arial" w:cs="Arial"/>
          <w:noProof/>
          <w:lang w:val="es-ES"/>
        </w:rPr>
        <w:t>I. Introducción</w:t>
      </w:r>
      <w:r w:rsidRPr="00FE26CF">
        <w:rPr>
          <w:rFonts w:ascii="Arial" w:hAnsi="Arial" w:cs="Arial"/>
          <w:noProof/>
          <w:lang w:val="es-ES"/>
        </w:rPr>
        <w:tab/>
      </w:r>
      <w:r w:rsidRPr="00FE26CF">
        <w:rPr>
          <w:rFonts w:ascii="Arial" w:hAnsi="Arial" w:cs="Arial"/>
          <w:noProof/>
          <w:lang w:val="es-ES"/>
        </w:rPr>
        <w:fldChar w:fldCharType="begin"/>
      </w:r>
      <w:r w:rsidRPr="00FE26CF">
        <w:rPr>
          <w:rFonts w:ascii="Arial" w:hAnsi="Arial" w:cs="Arial"/>
          <w:noProof/>
          <w:lang w:val="es-ES"/>
        </w:rPr>
        <w:instrText xml:space="preserve"> PAGEREF _Toc422838011 \h </w:instrText>
      </w:r>
      <w:r w:rsidRPr="00FE26CF">
        <w:rPr>
          <w:rFonts w:ascii="Arial" w:hAnsi="Arial" w:cs="Arial"/>
          <w:noProof/>
          <w:lang w:val="es-ES"/>
        </w:rPr>
      </w:r>
      <w:r w:rsidRPr="00FE26CF">
        <w:rPr>
          <w:rFonts w:ascii="Arial" w:hAnsi="Arial" w:cs="Arial"/>
          <w:noProof/>
          <w:lang w:val="es-ES"/>
        </w:rPr>
        <w:fldChar w:fldCharType="separate"/>
      </w:r>
      <w:r w:rsidRPr="00FE26CF">
        <w:rPr>
          <w:rFonts w:ascii="Arial" w:hAnsi="Arial" w:cs="Arial"/>
          <w:noProof/>
          <w:lang w:val="es-ES"/>
        </w:rPr>
        <w:t>- 3 -</w:t>
      </w:r>
      <w:r w:rsidRPr="00FE26CF">
        <w:rPr>
          <w:rFonts w:ascii="Arial" w:hAnsi="Arial" w:cs="Arial"/>
          <w:noProof/>
          <w:lang w:val="es-ES"/>
        </w:rPr>
        <w:fldChar w:fldCharType="end"/>
      </w:r>
    </w:p>
    <w:p w:rsidR="00CD308E" w:rsidRPr="00FE26CF" w:rsidRDefault="00CD308E">
      <w:pPr>
        <w:pStyle w:val="TOC2"/>
        <w:tabs>
          <w:tab w:val="left" w:pos="720"/>
          <w:tab w:val="right" w:pos="9350"/>
        </w:tabs>
        <w:rPr>
          <w:rFonts w:ascii="Arial" w:eastAsiaTheme="minorEastAsia" w:hAnsi="Arial" w:cs="Arial"/>
          <w:i w:val="0"/>
          <w:noProof/>
          <w:lang w:val="es-ES"/>
        </w:rPr>
      </w:pPr>
      <w:r w:rsidRPr="00FE26CF">
        <w:rPr>
          <w:rFonts w:ascii="Arial" w:hAnsi="Arial" w:cs="Arial"/>
          <w:b/>
          <w:i w:val="0"/>
          <w:noProof/>
          <w:lang w:val="es-ES"/>
        </w:rPr>
        <w:t>A.</w:t>
      </w:r>
      <w:r w:rsidRPr="00FE26CF">
        <w:rPr>
          <w:rFonts w:ascii="Arial" w:eastAsiaTheme="minorEastAsia" w:hAnsi="Arial" w:cs="Arial"/>
          <w:i w:val="0"/>
          <w:noProof/>
          <w:lang w:val="es-ES"/>
        </w:rPr>
        <w:tab/>
      </w:r>
      <w:r w:rsidRPr="00FE26CF">
        <w:rPr>
          <w:rFonts w:ascii="Arial" w:hAnsi="Arial" w:cs="Arial"/>
          <w:b/>
          <w:i w:val="0"/>
          <w:noProof/>
          <w:lang w:val="es-ES"/>
        </w:rPr>
        <w:t xml:space="preserve">Antecedentes: el reto en materia de salud </w:t>
      </w:r>
      <w:r w:rsidR="00620E0A" w:rsidRPr="00FE26CF">
        <w:rPr>
          <w:rFonts w:ascii="Arial" w:hAnsi="Arial" w:cs="Arial"/>
          <w:b/>
          <w:i w:val="0"/>
          <w:noProof/>
          <w:lang w:val="es-ES"/>
        </w:rPr>
        <w:t>en Ceará</w:t>
      </w:r>
      <w:r w:rsidRPr="00FE26CF">
        <w:rPr>
          <w:rFonts w:ascii="Arial" w:hAnsi="Arial" w:cs="Arial"/>
          <w:i w:val="0"/>
          <w:noProof/>
          <w:lang w:val="es-ES"/>
        </w:rPr>
        <w:tab/>
      </w:r>
      <w:r w:rsidRPr="00FE26CF">
        <w:rPr>
          <w:rFonts w:ascii="Arial" w:hAnsi="Arial" w:cs="Arial"/>
          <w:i w:val="0"/>
          <w:noProof/>
          <w:lang w:val="es-ES"/>
        </w:rPr>
        <w:fldChar w:fldCharType="begin"/>
      </w:r>
      <w:r w:rsidRPr="00FE26CF">
        <w:rPr>
          <w:rFonts w:ascii="Arial" w:hAnsi="Arial" w:cs="Arial"/>
          <w:i w:val="0"/>
          <w:noProof/>
          <w:lang w:val="es-ES"/>
        </w:rPr>
        <w:instrText xml:space="preserve"> PAGEREF _Toc422838012 \h </w:instrText>
      </w:r>
      <w:r w:rsidRPr="00FE26CF">
        <w:rPr>
          <w:rFonts w:ascii="Arial" w:hAnsi="Arial" w:cs="Arial"/>
          <w:i w:val="0"/>
          <w:noProof/>
          <w:lang w:val="es-ES"/>
        </w:rPr>
      </w:r>
      <w:r w:rsidRPr="00FE26CF">
        <w:rPr>
          <w:rFonts w:ascii="Arial" w:hAnsi="Arial" w:cs="Arial"/>
          <w:i w:val="0"/>
          <w:noProof/>
          <w:lang w:val="es-ES"/>
        </w:rPr>
        <w:fldChar w:fldCharType="separate"/>
      </w:r>
      <w:r w:rsidRPr="00FE26CF">
        <w:rPr>
          <w:rFonts w:ascii="Arial" w:hAnsi="Arial" w:cs="Arial"/>
          <w:i w:val="0"/>
          <w:noProof/>
          <w:lang w:val="es-ES"/>
        </w:rPr>
        <w:t>- 3 -</w:t>
      </w:r>
      <w:r w:rsidRPr="00FE26CF">
        <w:rPr>
          <w:rFonts w:ascii="Arial" w:hAnsi="Arial" w:cs="Arial"/>
          <w:i w:val="0"/>
          <w:noProof/>
          <w:lang w:val="es-ES"/>
        </w:rPr>
        <w:fldChar w:fldCharType="end"/>
      </w:r>
    </w:p>
    <w:p w:rsidR="00CD308E" w:rsidRPr="00FE26CF" w:rsidRDefault="00CD308E">
      <w:pPr>
        <w:pStyle w:val="TOC2"/>
        <w:tabs>
          <w:tab w:val="left" w:pos="720"/>
          <w:tab w:val="right" w:pos="9350"/>
        </w:tabs>
        <w:rPr>
          <w:rFonts w:ascii="Arial" w:eastAsiaTheme="minorEastAsia" w:hAnsi="Arial" w:cs="Arial"/>
          <w:i w:val="0"/>
          <w:noProof/>
          <w:lang w:val="es-ES"/>
        </w:rPr>
      </w:pPr>
      <w:r w:rsidRPr="00FE26CF">
        <w:rPr>
          <w:rFonts w:ascii="Arial" w:hAnsi="Arial" w:cs="Arial"/>
          <w:b/>
          <w:i w:val="0"/>
          <w:noProof/>
          <w:lang w:val="es-ES"/>
        </w:rPr>
        <w:t>B.</w:t>
      </w:r>
      <w:r w:rsidRPr="00FE26CF">
        <w:rPr>
          <w:rFonts w:ascii="Arial" w:eastAsiaTheme="minorEastAsia" w:hAnsi="Arial" w:cs="Arial"/>
          <w:i w:val="0"/>
          <w:noProof/>
          <w:lang w:val="es-ES"/>
        </w:rPr>
        <w:tab/>
      </w:r>
      <w:r w:rsidR="00620E0A" w:rsidRPr="00FE26CF">
        <w:rPr>
          <w:rFonts w:ascii="Arial" w:hAnsi="Arial" w:cs="Arial"/>
          <w:b/>
          <w:i w:val="0"/>
          <w:lang w:val="es-ES"/>
        </w:rPr>
        <w:t>Objetivos, Componentes y Costo</w:t>
      </w:r>
      <w:r w:rsidRPr="00FE26CF">
        <w:rPr>
          <w:rFonts w:ascii="Arial" w:hAnsi="Arial" w:cs="Arial"/>
          <w:i w:val="0"/>
          <w:noProof/>
          <w:lang w:val="es-ES"/>
        </w:rPr>
        <w:tab/>
      </w:r>
      <w:r w:rsidRPr="00FE26CF">
        <w:rPr>
          <w:rFonts w:ascii="Arial" w:hAnsi="Arial" w:cs="Arial"/>
          <w:i w:val="0"/>
          <w:noProof/>
          <w:lang w:val="es-ES"/>
        </w:rPr>
        <w:fldChar w:fldCharType="begin"/>
      </w:r>
      <w:r w:rsidRPr="00FE26CF">
        <w:rPr>
          <w:rFonts w:ascii="Arial" w:hAnsi="Arial" w:cs="Arial"/>
          <w:i w:val="0"/>
          <w:noProof/>
          <w:lang w:val="es-ES"/>
        </w:rPr>
        <w:instrText xml:space="preserve"> PAGEREF _Toc422838013 \h </w:instrText>
      </w:r>
      <w:r w:rsidRPr="00FE26CF">
        <w:rPr>
          <w:rFonts w:ascii="Arial" w:hAnsi="Arial" w:cs="Arial"/>
          <w:i w:val="0"/>
          <w:noProof/>
          <w:lang w:val="es-ES"/>
        </w:rPr>
      </w:r>
      <w:r w:rsidRPr="00FE26CF">
        <w:rPr>
          <w:rFonts w:ascii="Arial" w:hAnsi="Arial" w:cs="Arial"/>
          <w:i w:val="0"/>
          <w:noProof/>
          <w:lang w:val="es-ES"/>
        </w:rPr>
        <w:fldChar w:fldCharType="separate"/>
      </w:r>
      <w:r w:rsidRPr="00FE26CF">
        <w:rPr>
          <w:rFonts w:ascii="Arial" w:hAnsi="Arial" w:cs="Arial"/>
          <w:i w:val="0"/>
          <w:noProof/>
          <w:lang w:val="es-ES"/>
        </w:rPr>
        <w:t xml:space="preserve">- </w:t>
      </w:r>
      <w:r w:rsidR="00620E0A" w:rsidRPr="00FE26CF">
        <w:rPr>
          <w:rFonts w:ascii="Arial" w:hAnsi="Arial" w:cs="Arial"/>
          <w:i w:val="0"/>
          <w:noProof/>
          <w:lang w:val="es-ES"/>
        </w:rPr>
        <w:t>5</w:t>
      </w:r>
      <w:r w:rsidRPr="00FE26CF">
        <w:rPr>
          <w:rFonts w:ascii="Arial" w:hAnsi="Arial" w:cs="Arial"/>
          <w:i w:val="0"/>
          <w:noProof/>
          <w:lang w:val="es-ES"/>
        </w:rPr>
        <w:t xml:space="preserve"> -</w:t>
      </w:r>
      <w:r w:rsidRPr="00FE26CF">
        <w:rPr>
          <w:rFonts w:ascii="Arial" w:hAnsi="Arial" w:cs="Arial"/>
          <w:i w:val="0"/>
          <w:noProof/>
          <w:lang w:val="es-ES"/>
        </w:rPr>
        <w:fldChar w:fldCharType="end"/>
      </w:r>
    </w:p>
    <w:p w:rsidR="00CD308E" w:rsidRPr="00FE26CF" w:rsidRDefault="00CD308E">
      <w:pPr>
        <w:pStyle w:val="TOC1"/>
        <w:tabs>
          <w:tab w:val="right" w:pos="9350"/>
        </w:tabs>
        <w:rPr>
          <w:rFonts w:ascii="Arial" w:eastAsiaTheme="minorEastAsia" w:hAnsi="Arial" w:cs="Arial"/>
          <w:b w:val="0"/>
          <w:noProof/>
          <w:lang w:val="es-ES"/>
        </w:rPr>
      </w:pPr>
      <w:r w:rsidRPr="00FE26CF">
        <w:rPr>
          <w:rFonts w:ascii="Arial" w:hAnsi="Arial" w:cs="Arial"/>
          <w:noProof/>
          <w:lang w:val="es-ES"/>
        </w:rPr>
        <w:t>II. Análisis económico del proyecto</w:t>
      </w:r>
      <w:r w:rsidRPr="00FE26CF">
        <w:rPr>
          <w:rFonts w:ascii="Arial" w:hAnsi="Arial" w:cs="Arial"/>
          <w:noProof/>
          <w:lang w:val="es-ES"/>
        </w:rPr>
        <w:tab/>
      </w:r>
      <w:r w:rsidRPr="00FE26CF">
        <w:rPr>
          <w:rFonts w:ascii="Arial" w:hAnsi="Arial" w:cs="Arial"/>
          <w:noProof/>
          <w:lang w:val="es-ES"/>
        </w:rPr>
        <w:fldChar w:fldCharType="begin"/>
      </w:r>
      <w:r w:rsidRPr="00FE26CF">
        <w:rPr>
          <w:rFonts w:ascii="Arial" w:hAnsi="Arial" w:cs="Arial"/>
          <w:noProof/>
          <w:lang w:val="es-ES"/>
        </w:rPr>
        <w:instrText xml:space="preserve"> PAGEREF _Toc422838014 \h </w:instrText>
      </w:r>
      <w:r w:rsidRPr="00FE26CF">
        <w:rPr>
          <w:rFonts w:ascii="Arial" w:hAnsi="Arial" w:cs="Arial"/>
          <w:noProof/>
          <w:lang w:val="es-ES"/>
        </w:rPr>
      </w:r>
      <w:r w:rsidRPr="00FE26CF">
        <w:rPr>
          <w:rFonts w:ascii="Arial" w:hAnsi="Arial" w:cs="Arial"/>
          <w:noProof/>
          <w:lang w:val="es-ES"/>
        </w:rPr>
        <w:fldChar w:fldCharType="separate"/>
      </w:r>
      <w:r w:rsidRPr="00FE26CF">
        <w:rPr>
          <w:rFonts w:ascii="Arial" w:hAnsi="Arial" w:cs="Arial"/>
          <w:noProof/>
          <w:lang w:val="es-ES"/>
        </w:rPr>
        <w:t xml:space="preserve">- </w:t>
      </w:r>
      <w:r w:rsidR="00620E0A" w:rsidRPr="00FE26CF">
        <w:rPr>
          <w:rFonts w:ascii="Arial" w:hAnsi="Arial" w:cs="Arial"/>
          <w:noProof/>
          <w:lang w:val="es-ES"/>
        </w:rPr>
        <w:t>6</w:t>
      </w:r>
      <w:r w:rsidRPr="00FE26CF">
        <w:rPr>
          <w:rFonts w:ascii="Arial" w:hAnsi="Arial" w:cs="Arial"/>
          <w:noProof/>
          <w:lang w:val="es-ES"/>
        </w:rPr>
        <w:t xml:space="preserve"> -</w:t>
      </w:r>
      <w:r w:rsidRPr="00FE26CF">
        <w:rPr>
          <w:rFonts w:ascii="Arial" w:hAnsi="Arial" w:cs="Arial"/>
          <w:noProof/>
          <w:lang w:val="es-ES"/>
        </w:rPr>
        <w:fldChar w:fldCharType="end"/>
      </w:r>
    </w:p>
    <w:p w:rsidR="00CD308E" w:rsidRPr="00FE26CF" w:rsidRDefault="00620E0A">
      <w:pPr>
        <w:pStyle w:val="TOC2"/>
        <w:tabs>
          <w:tab w:val="left" w:pos="720"/>
          <w:tab w:val="right" w:pos="9350"/>
        </w:tabs>
        <w:rPr>
          <w:rFonts w:ascii="Arial" w:eastAsiaTheme="minorEastAsia" w:hAnsi="Arial" w:cs="Arial"/>
          <w:i w:val="0"/>
          <w:noProof/>
          <w:lang w:val="es-ES"/>
        </w:rPr>
      </w:pPr>
      <w:r w:rsidRPr="00FE26CF">
        <w:rPr>
          <w:rFonts w:ascii="Arial" w:hAnsi="Arial" w:cs="Arial"/>
          <w:b/>
          <w:i w:val="0"/>
          <w:noProof/>
          <w:lang w:val="es-ES"/>
        </w:rPr>
        <w:t>A</w:t>
      </w:r>
      <w:r w:rsidR="00CD308E" w:rsidRPr="00FE26CF">
        <w:rPr>
          <w:rFonts w:ascii="Arial" w:hAnsi="Arial" w:cs="Arial"/>
          <w:b/>
          <w:i w:val="0"/>
          <w:noProof/>
          <w:lang w:val="es-ES"/>
        </w:rPr>
        <w:t>.</w:t>
      </w:r>
      <w:r w:rsidR="00CD308E" w:rsidRPr="00FE26CF">
        <w:rPr>
          <w:rFonts w:ascii="Arial" w:eastAsiaTheme="minorEastAsia" w:hAnsi="Arial" w:cs="Arial"/>
          <w:i w:val="0"/>
          <w:noProof/>
          <w:lang w:val="es-ES"/>
        </w:rPr>
        <w:tab/>
      </w:r>
      <w:r w:rsidR="00CD308E" w:rsidRPr="00FE26CF">
        <w:rPr>
          <w:rFonts w:ascii="Arial" w:hAnsi="Arial" w:cs="Arial"/>
          <w:b/>
          <w:i w:val="0"/>
          <w:noProof/>
          <w:lang w:val="es-ES"/>
        </w:rPr>
        <w:t>Medida de efectividad Años de Vida Ajustados por Discapacidad</w:t>
      </w:r>
      <w:r w:rsidR="00CD308E" w:rsidRPr="00FE26CF">
        <w:rPr>
          <w:rFonts w:ascii="Arial" w:hAnsi="Arial" w:cs="Arial"/>
          <w:i w:val="0"/>
          <w:noProof/>
          <w:lang w:val="es-ES"/>
        </w:rPr>
        <w:tab/>
      </w:r>
      <w:r w:rsidR="00CD308E" w:rsidRPr="00FE26CF">
        <w:rPr>
          <w:rFonts w:ascii="Arial" w:hAnsi="Arial" w:cs="Arial"/>
          <w:i w:val="0"/>
          <w:noProof/>
          <w:lang w:val="es-ES"/>
        </w:rPr>
        <w:fldChar w:fldCharType="begin"/>
      </w:r>
      <w:r w:rsidR="00CD308E" w:rsidRPr="00FE26CF">
        <w:rPr>
          <w:rFonts w:ascii="Arial" w:hAnsi="Arial" w:cs="Arial"/>
          <w:i w:val="0"/>
          <w:noProof/>
          <w:lang w:val="es-ES"/>
        </w:rPr>
        <w:instrText xml:space="preserve"> PAGEREF _Toc422838015 \h </w:instrText>
      </w:r>
      <w:r w:rsidR="00CD308E" w:rsidRPr="00FE26CF">
        <w:rPr>
          <w:rFonts w:ascii="Arial" w:hAnsi="Arial" w:cs="Arial"/>
          <w:i w:val="0"/>
          <w:noProof/>
          <w:lang w:val="es-ES"/>
        </w:rPr>
      </w:r>
      <w:r w:rsidR="00CD308E" w:rsidRPr="00FE26CF">
        <w:rPr>
          <w:rFonts w:ascii="Arial" w:hAnsi="Arial" w:cs="Arial"/>
          <w:i w:val="0"/>
          <w:noProof/>
          <w:lang w:val="es-ES"/>
        </w:rPr>
        <w:fldChar w:fldCharType="separate"/>
      </w:r>
      <w:r w:rsidR="00CD308E" w:rsidRPr="00FE26CF">
        <w:rPr>
          <w:rFonts w:ascii="Arial" w:hAnsi="Arial" w:cs="Arial"/>
          <w:i w:val="0"/>
          <w:noProof/>
          <w:lang w:val="es-ES"/>
        </w:rPr>
        <w:t xml:space="preserve">- </w:t>
      </w:r>
      <w:r w:rsidRPr="00FE26CF">
        <w:rPr>
          <w:rFonts w:ascii="Arial" w:hAnsi="Arial" w:cs="Arial"/>
          <w:i w:val="0"/>
          <w:noProof/>
          <w:lang w:val="es-ES"/>
        </w:rPr>
        <w:t>7</w:t>
      </w:r>
      <w:r w:rsidR="00CD308E" w:rsidRPr="00FE26CF">
        <w:rPr>
          <w:rFonts w:ascii="Arial" w:hAnsi="Arial" w:cs="Arial"/>
          <w:i w:val="0"/>
          <w:noProof/>
          <w:lang w:val="es-ES"/>
        </w:rPr>
        <w:t xml:space="preserve"> -</w:t>
      </w:r>
      <w:r w:rsidR="00CD308E" w:rsidRPr="00FE26CF">
        <w:rPr>
          <w:rFonts w:ascii="Arial" w:hAnsi="Arial" w:cs="Arial"/>
          <w:i w:val="0"/>
          <w:noProof/>
          <w:lang w:val="es-ES"/>
        </w:rPr>
        <w:fldChar w:fldCharType="end"/>
      </w:r>
    </w:p>
    <w:p w:rsidR="00CD308E" w:rsidRPr="00FE26CF" w:rsidRDefault="00620E0A">
      <w:pPr>
        <w:pStyle w:val="TOC2"/>
        <w:tabs>
          <w:tab w:val="left" w:pos="720"/>
          <w:tab w:val="right" w:pos="9350"/>
        </w:tabs>
        <w:rPr>
          <w:rFonts w:ascii="Arial" w:eastAsiaTheme="minorEastAsia" w:hAnsi="Arial" w:cs="Arial"/>
          <w:i w:val="0"/>
          <w:noProof/>
          <w:lang w:val="es-ES"/>
        </w:rPr>
      </w:pPr>
      <w:r w:rsidRPr="00FE26CF">
        <w:rPr>
          <w:rFonts w:ascii="Arial" w:hAnsi="Arial" w:cs="Arial"/>
          <w:b/>
          <w:i w:val="0"/>
          <w:noProof/>
          <w:lang w:val="es-ES"/>
        </w:rPr>
        <w:t>B</w:t>
      </w:r>
      <w:r w:rsidR="00CD308E" w:rsidRPr="00FE26CF">
        <w:rPr>
          <w:rFonts w:ascii="Arial" w:hAnsi="Arial" w:cs="Arial"/>
          <w:b/>
          <w:i w:val="0"/>
          <w:noProof/>
          <w:lang w:val="es-ES"/>
        </w:rPr>
        <w:t>.</w:t>
      </w:r>
      <w:r w:rsidR="00CD308E" w:rsidRPr="00FE26CF">
        <w:rPr>
          <w:rFonts w:ascii="Arial" w:eastAsiaTheme="minorEastAsia" w:hAnsi="Arial" w:cs="Arial"/>
          <w:i w:val="0"/>
          <w:noProof/>
          <w:lang w:val="es-ES"/>
        </w:rPr>
        <w:tab/>
      </w:r>
      <w:r w:rsidR="00CD308E" w:rsidRPr="00FE26CF">
        <w:rPr>
          <w:rFonts w:ascii="Arial" w:hAnsi="Arial" w:cs="Arial"/>
          <w:b/>
          <w:i w:val="0"/>
          <w:noProof/>
          <w:lang w:val="es-ES"/>
        </w:rPr>
        <w:t>Procedimiento para la evaluación económica</w:t>
      </w:r>
      <w:r w:rsidR="00CD308E" w:rsidRPr="00FE26CF">
        <w:rPr>
          <w:rFonts w:ascii="Arial" w:hAnsi="Arial" w:cs="Arial"/>
          <w:i w:val="0"/>
          <w:noProof/>
          <w:lang w:val="es-ES"/>
        </w:rPr>
        <w:tab/>
      </w:r>
      <w:r w:rsidR="00CD308E" w:rsidRPr="00FE26CF">
        <w:rPr>
          <w:rFonts w:ascii="Arial" w:hAnsi="Arial" w:cs="Arial"/>
          <w:i w:val="0"/>
          <w:noProof/>
          <w:lang w:val="es-ES"/>
        </w:rPr>
        <w:fldChar w:fldCharType="begin"/>
      </w:r>
      <w:r w:rsidR="00CD308E" w:rsidRPr="00FE26CF">
        <w:rPr>
          <w:rFonts w:ascii="Arial" w:hAnsi="Arial" w:cs="Arial"/>
          <w:i w:val="0"/>
          <w:noProof/>
          <w:lang w:val="es-ES"/>
        </w:rPr>
        <w:instrText xml:space="preserve"> PAGEREF _Toc422838016 \h </w:instrText>
      </w:r>
      <w:r w:rsidR="00CD308E" w:rsidRPr="00FE26CF">
        <w:rPr>
          <w:rFonts w:ascii="Arial" w:hAnsi="Arial" w:cs="Arial"/>
          <w:i w:val="0"/>
          <w:noProof/>
          <w:lang w:val="es-ES"/>
        </w:rPr>
      </w:r>
      <w:r w:rsidR="00CD308E" w:rsidRPr="00FE26CF">
        <w:rPr>
          <w:rFonts w:ascii="Arial" w:hAnsi="Arial" w:cs="Arial"/>
          <w:i w:val="0"/>
          <w:noProof/>
          <w:lang w:val="es-ES"/>
        </w:rPr>
        <w:fldChar w:fldCharType="separate"/>
      </w:r>
      <w:r w:rsidR="00CD308E" w:rsidRPr="00FE26CF">
        <w:rPr>
          <w:rFonts w:ascii="Arial" w:hAnsi="Arial" w:cs="Arial"/>
          <w:i w:val="0"/>
          <w:noProof/>
          <w:lang w:val="es-ES"/>
        </w:rPr>
        <w:t xml:space="preserve">- </w:t>
      </w:r>
      <w:r w:rsidRPr="00FE26CF">
        <w:rPr>
          <w:rFonts w:ascii="Arial" w:hAnsi="Arial" w:cs="Arial"/>
          <w:i w:val="0"/>
          <w:noProof/>
          <w:lang w:val="es-ES"/>
        </w:rPr>
        <w:t>10</w:t>
      </w:r>
      <w:r w:rsidR="00CD308E" w:rsidRPr="00FE26CF">
        <w:rPr>
          <w:rFonts w:ascii="Arial" w:hAnsi="Arial" w:cs="Arial"/>
          <w:i w:val="0"/>
          <w:noProof/>
          <w:lang w:val="es-ES"/>
        </w:rPr>
        <w:t xml:space="preserve"> -</w:t>
      </w:r>
      <w:r w:rsidR="00CD308E" w:rsidRPr="00FE26CF">
        <w:rPr>
          <w:rFonts w:ascii="Arial" w:hAnsi="Arial" w:cs="Arial"/>
          <w:i w:val="0"/>
          <w:noProof/>
          <w:lang w:val="es-ES"/>
        </w:rPr>
        <w:fldChar w:fldCharType="end"/>
      </w:r>
    </w:p>
    <w:p w:rsidR="00CD308E" w:rsidRPr="00FE26CF" w:rsidRDefault="00620E0A">
      <w:pPr>
        <w:pStyle w:val="TOC2"/>
        <w:tabs>
          <w:tab w:val="left" w:pos="720"/>
          <w:tab w:val="right" w:pos="9350"/>
        </w:tabs>
        <w:rPr>
          <w:rFonts w:ascii="Arial" w:eastAsiaTheme="minorEastAsia" w:hAnsi="Arial" w:cs="Arial"/>
          <w:i w:val="0"/>
          <w:noProof/>
          <w:lang w:val="es-ES"/>
        </w:rPr>
      </w:pPr>
      <w:r w:rsidRPr="00FE26CF">
        <w:rPr>
          <w:rFonts w:ascii="Arial" w:hAnsi="Arial" w:cs="Arial"/>
          <w:b/>
          <w:i w:val="0"/>
          <w:noProof/>
          <w:lang w:val="es-ES"/>
        </w:rPr>
        <w:t>C</w:t>
      </w:r>
      <w:r w:rsidR="00CD308E" w:rsidRPr="00FE26CF">
        <w:rPr>
          <w:rFonts w:ascii="Arial" w:hAnsi="Arial" w:cs="Arial"/>
          <w:b/>
          <w:i w:val="0"/>
          <w:noProof/>
          <w:lang w:val="es-ES"/>
        </w:rPr>
        <w:t>.</w:t>
      </w:r>
      <w:r w:rsidR="00CD308E" w:rsidRPr="00FE26CF">
        <w:rPr>
          <w:rFonts w:ascii="Arial" w:eastAsiaTheme="minorEastAsia" w:hAnsi="Arial" w:cs="Arial"/>
          <w:i w:val="0"/>
          <w:noProof/>
          <w:lang w:val="es-ES"/>
        </w:rPr>
        <w:tab/>
      </w:r>
      <w:r w:rsidR="00CD308E" w:rsidRPr="00FE26CF">
        <w:rPr>
          <w:rFonts w:ascii="Arial" w:hAnsi="Arial" w:cs="Arial"/>
          <w:b/>
          <w:i w:val="0"/>
          <w:noProof/>
          <w:lang w:val="es-ES"/>
        </w:rPr>
        <w:t>Costos y Análisis Costo – Beneficio</w:t>
      </w:r>
      <w:r w:rsidR="00CD308E" w:rsidRPr="00FE26CF">
        <w:rPr>
          <w:rFonts w:ascii="Arial" w:hAnsi="Arial" w:cs="Arial"/>
          <w:i w:val="0"/>
          <w:noProof/>
          <w:lang w:val="es-ES"/>
        </w:rPr>
        <w:tab/>
      </w:r>
      <w:r w:rsidR="00CD308E" w:rsidRPr="00FE26CF">
        <w:rPr>
          <w:rFonts w:ascii="Arial" w:hAnsi="Arial" w:cs="Arial"/>
          <w:i w:val="0"/>
          <w:noProof/>
          <w:lang w:val="es-ES"/>
        </w:rPr>
        <w:fldChar w:fldCharType="begin"/>
      </w:r>
      <w:r w:rsidR="00CD308E" w:rsidRPr="00FE26CF">
        <w:rPr>
          <w:rFonts w:ascii="Arial" w:hAnsi="Arial" w:cs="Arial"/>
          <w:i w:val="0"/>
          <w:noProof/>
          <w:lang w:val="es-ES"/>
        </w:rPr>
        <w:instrText xml:space="preserve"> PAGEREF _Toc422838017 \h </w:instrText>
      </w:r>
      <w:r w:rsidR="00CD308E" w:rsidRPr="00FE26CF">
        <w:rPr>
          <w:rFonts w:ascii="Arial" w:hAnsi="Arial" w:cs="Arial"/>
          <w:i w:val="0"/>
          <w:noProof/>
          <w:lang w:val="es-ES"/>
        </w:rPr>
      </w:r>
      <w:r w:rsidR="00CD308E" w:rsidRPr="00FE26CF">
        <w:rPr>
          <w:rFonts w:ascii="Arial" w:hAnsi="Arial" w:cs="Arial"/>
          <w:i w:val="0"/>
          <w:noProof/>
          <w:lang w:val="es-ES"/>
        </w:rPr>
        <w:fldChar w:fldCharType="separate"/>
      </w:r>
      <w:r w:rsidR="00CD308E" w:rsidRPr="00FE26CF">
        <w:rPr>
          <w:rFonts w:ascii="Arial" w:hAnsi="Arial" w:cs="Arial"/>
          <w:i w:val="0"/>
          <w:noProof/>
          <w:lang w:val="es-ES"/>
        </w:rPr>
        <w:t>- 1</w:t>
      </w:r>
      <w:r w:rsidRPr="00FE26CF">
        <w:rPr>
          <w:rFonts w:ascii="Arial" w:hAnsi="Arial" w:cs="Arial"/>
          <w:i w:val="0"/>
          <w:noProof/>
          <w:lang w:val="es-ES"/>
        </w:rPr>
        <w:t>2</w:t>
      </w:r>
      <w:r w:rsidR="00CD308E" w:rsidRPr="00FE26CF">
        <w:rPr>
          <w:rFonts w:ascii="Arial" w:hAnsi="Arial" w:cs="Arial"/>
          <w:i w:val="0"/>
          <w:noProof/>
          <w:lang w:val="es-ES"/>
        </w:rPr>
        <w:t xml:space="preserve"> -</w:t>
      </w:r>
      <w:r w:rsidR="00CD308E" w:rsidRPr="00FE26CF">
        <w:rPr>
          <w:rFonts w:ascii="Arial" w:hAnsi="Arial" w:cs="Arial"/>
          <w:i w:val="0"/>
          <w:noProof/>
          <w:lang w:val="es-ES"/>
        </w:rPr>
        <w:fldChar w:fldCharType="end"/>
      </w:r>
    </w:p>
    <w:p w:rsidR="00CD308E" w:rsidRPr="00FE26CF" w:rsidRDefault="00CD308E">
      <w:pPr>
        <w:pStyle w:val="TOC1"/>
        <w:tabs>
          <w:tab w:val="right" w:pos="9350"/>
        </w:tabs>
        <w:rPr>
          <w:rFonts w:ascii="Arial" w:eastAsiaTheme="minorEastAsia" w:hAnsi="Arial" w:cs="Arial"/>
          <w:b w:val="0"/>
          <w:noProof/>
          <w:lang w:val="es-ES"/>
        </w:rPr>
      </w:pPr>
      <w:r w:rsidRPr="00FE26CF">
        <w:rPr>
          <w:rFonts w:ascii="Arial" w:hAnsi="Arial" w:cs="Arial"/>
          <w:noProof/>
          <w:lang w:val="es-ES"/>
        </w:rPr>
        <w:t>Referencias</w:t>
      </w:r>
      <w:r w:rsidRPr="00FE26CF">
        <w:rPr>
          <w:rFonts w:ascii="Arial" w:hAnsi="Arial" w:cs="Arial"/>
          <w:noProof/>
          <w:lang w:val="es-ES"/>
        </w:rPr>
        <w:tab/>
      </w:r>
      <w:r w:rsidRPr="00FE26CF">
        <w:rPr>
          <w:rFonts w:ascii="Arial" w:hAnsi="Arial" w:cs="Arial"/>
          <w:noProof/>
          <w:lang w:val="es-ES"/>
        </w:rPr>
        <w:fldChar w:fldCharType="begin"/>
      </w:r>
      <w:r w:rsidRPr="00FE26CF">
        <w:rPr>
          <w:rFonts w:ascii="Arial" w:hAnsi="Arial" w:cs="Arial"/>
          <w:noProof/>
          <w:lang w:val="es-ES"/>
        </w:rPr>
        <w:instrText xml:space="preserve"> PAGEREF _Toc422838018 \h </w:instrText>
      </w:r>
      <w:r w:rsidRPr="00FE26CF">
        <w:rPr>
          <w:rFonts w:ascii="Arial" w:hAnsi="Arial" w:cs="Arial"/>
          <w:noProof/>
          <w:lang w:val="es-ES"/>
        </w:rPr>
      </w:r>
      <w:r w:rsidRPr="00FE26CF">
        <w:rPr>
          <w:rFonts w:ascii="Arial" w:hAnsi="Arial" w:cs="Arial"/>
          <w:noProof/>
          <w:lang w:val="es-ES"/>
        </w:rPr>
        <w:fldChar w:fldCharType="separate"/>
      </w:r>
      <w:r w:rsidRPr="00FE26CF">
        <w:rPr>
          <w:rFonts w:ascii="Arial" w:hAnsi="Arial" w:cs="Arial"/>
          <w:noProof/>
          <w:lang w:val="es-ES"/>
        </w:rPr>
        <w:t>- 1</w:t>
      </w:r>
      <w:r w:rsidR="00620E0A" w:rsidRPr="00FE26CF">
        <w:rPr>
          <w:rFonts w:ascii="Arial" w:hAnsi="Arial" w:cs="Arial"/>
          <w:noProof/>
          <w:lang w:val="es-ES"/>
        </w:rPr>
        <w:t>5</w:t>
      </w:r>
      <w:r w:rsidRPr="00FE26CF">
        <w:rPr>
          <w:rFonts w:ascii="Arial" w:hAnsi="Arial" w:cs="Arial"/>
          <w:noProof/>
          <w:lang w:val="es-ES"/>
        </w:rPr>
        <w:t xml:space="preserve"> -</w:t>
      </w:r>
      <w:r w:rsidRPr="00FE26CF">
        <w:rPr>
          <w:rFonts w:ascii="Arial" w:hAnsi="Arial" w:cs="Arial"/>
          <w:noProof/>
          <w:lang w:val="es-ES"/>
        </w:rPr>
        <w:fldChar w:fldCharType="end"/>
      </w:r>
    </w:p>
    <w:p w:rsidR="00361A79" w:rsidRPr="00FE26CF" w:rsidRDefault="00361A79" w:rsidP="00F15B67">
      <w:pPr>
        <w:tabs>
          <w:tab w:val="left" w:pos="1440"/>
          <w:tab w:val="left" w:pos="3060"/>
        </w:tabs>
        <w:jc w:val="center"/>
        <w:rPr>
          <w:rFonts w:cs="Arial"/>
          <w:b/>
          <w:smallCaps/>
          <w:szCs w:val="24"/>
          <w:lang w:val="es-ES"/>
        </w:rPr>
      </w:pPr>
      <w:r w:rsidRPr="00FE26CF">
        <w:rPr>
          <w:rFonts w:cs="Arial"/>
          <w:b/>
          <w:smallCaps/>
          <w:sz w:val="22"/>
          <w:lang w:val="es-ES"/>
        </w:rPr>
        <w:fldChar w:fldCharType="end"/>
      </w:r>
    </w:p>
    <w:p w:rsidR="00F15B67" w:rsidRPr="00FE26CF" w:rsidRDefault="00A719A7" w:rsidP="00A719A7">
      <w:pPr>
        <w:spacing w:after="0" w:line="240" w:lineRule="auto"/>
        <w:rPr>
          <w:rFonts w:eastAsia="Arial Unicode MS" w:cs="Arial"/>
          <w:bCs/>
          <w:smallCaps/>
          <w:szCs w:val="24"/>
          <w:lang w:val="es-ES"/>
        </w:rPr>
      </w:pPr>
      <w:r w:rsidRPr="00FE26CF">
        <w:rPr>
          <w:rFonts w:eastAsia="Arial Unicode MS" w:cs="Arial"/>
          <w:bCs/>
          <w:smallCaps/>
          <w:szCs w:val="24"/>
          <w:lang w:val="es-ES"/>
        </w:rPr>
        <w:br w:type="page"/>
      </w:r>
    </w:p>
    <w:p w:rsidR="008242ED" w:rsidRPr="00FE26CF" w:rsidRDefault="008242ED" w:rsidP="006310AF">
      <w:pPr>
        <w:pStyle w:val="Heading1"/>
        <w:rPr>
          <w:sz w:val="22"/>
          <w:szCs w:val="22"/>
          <w:lang w:val="es-ES"/>
        </w:rPr>
      </w:pPr>
      <w:bookmarkStart w:id="1" w:name="_Toc296257181"/>
      <w:bookmarkStart w:id="2" w:name="_Toc422838010"/>
      <w:r w:rsidRPr="00FE26CF">
        <w:rPr>
          <w:sz w:val="22"/>
          <w:szCs w:val="22"/>
          <w:lang w:val="es-ES"/>
        </w:rPr>
        <w:lastRenderedPageBreak/>
        <w:t>Resumen</w:t>
      </w:r>
      <w:bookmarkEnd w:id="1"/>
      <w:bookmarkEnd w:id="2"/>
    </w:p>
    <w:p w:rsidR="009B305D" w:rsidRPr="00FE26CF" w:rsidRDefault="008242ED" w:rsidP="006D2FB5">
      <w:pPr>
        <w:spacing w:before="120" w:after="120" w:line="240" w:lineRule="auto"/>
        <w:jc w:val="both"/>
        <w:rPr>
          <w:rFonts w:cs="Arial"/>
          <w:sz w:val="22"/>
          <w:lang w:val="es-ES"/>
        </w:rPr>
      </w:pPr>
      <w:r w:rsidRPr="00FE26CF">
        <w:rPr>
          <w:rFonts w:cs="Arial"/>
          <w:sz w:val="22"/>
          <w:lang w:val="es-ES"/>
        </w:rPr>
        <w:t xml:space="preserve">Este documento presenta el análisis económico que sustenta </w:t>
      </w:r>
      <w:r w:rsidR="009B305D" w:rsidRPr="00FE26CF">
        <w:rPr>
          <w:rFonts w:cs="Arial"/>
          <w:sz w:val="22"/>
          <w:lang w:val="es-ES"/>
        </w:rPr>
        <w:t>el Programa de Expansión y Mejora de la Atención Especializada en Salud en el Estado de Ceará</w:t>
      </w:r>
      <w:r w:rsidR="00C23B2D" w:rsidRPr="00FE26CF">
        <w:rPr>
          <w:rFonts w:cs="Arial"/>
          <w:sz w:val="22"/>
          <w:lang w:val="es-ES"/>
        </w:rPr>
        <w:t xml:space="preserve"> (PROEXMAES II). El programa cuenta con tres componentes, el primero está orientado mejorar la gestión de las redes y garantizar la </w:t>
      </w:r>
      <w:r w:rsidR="000E2612" w:rsidRPr="00FE26CF">
        <w:rPr>
          <w:rFonts w:cs="Arial"/>
          <w:sz w:val="22"/>
          <w:lang w:val="es-ES"/>
        </w:rPr>
        <w:t>mejorar</w:t>
      </w:r>
      <w:r w:rsidR="00C23B2D" w:rsidRPr="00FE26CF">
        <w:rPr>
          <w:rFonts w:cs="Arial"/>
          <w:sz w:val="22"/>
          <w:lang w:val="es-ES"/>
        </w:rPr>
        <w:t xml:space="preserve"> de la calidad de los servicios en todos los niveles de atención. El segundo para ampliar y consolidar las Redes de Atención de Salud dirigido a financiar equipamiento. El último se enfoca en apoyar al</w:t>
      </w:r>
      <w:r w:rsidR="000E2612" w:rsidRPr="00FE26CF">
        <w:rPr>
          <w:rFonts w:cs="Arial"/>
          <w:sz w:val="22"/>
          <w:lang w:val="es-ES"/>
        </w:rPr>
        <w:t xml:space="preserve"> ejecutor; la</w:t>
      </w:r>
      <w:r w:rsidR="00C23B2D" w:rsidRPr="00FE26CF">
        <w:rPr>
          <w:rFonts w:cs="Arial"/>
          <w:sz w:val="22"/>
          <w:lang w:val="es-ES"/>
        </w:rPr>
        <w:t xml:space="preserve"> Secretaría de Estado de Salud de Ceará (SESA)</w:t>
      </w:r>
      <w:r w:rsidR="000E2612" w:rsidRPr="00FE26CF">
        <w:rPr>
          <w:rFonts w:cs="Arial"/>
          <w:sz w:val="22"/>
          <w:lang w:val="es-ES"/>
        </w:rPr>
        <w:t xml:space="preserve">; a ejecutar el programa y dar seguimiento a los resultados previstos. </w:t>
      </w:r>
    </w:p>
    <w:p w:rsidR="008242ED" w:rsidRPr="00FE26CF" w:rsidRDefault="00FB6F63" w:rsidP="006D2FB5">
      <w:pPr>
        <w:spacing w:before="120" w:after="120" w:line="240" w:lineRule="auto"/>
        <w:jc w:val="both"/>
        <w:rPr>
          <w:rFonts w:cs="Arial"/>
          <w:sz w:val="22"/>
          <w:lang w:val="es-ES"/>
        </w:rPr>
      </w:pPr>
      <w:r w:rsidRPr="00FE26CF">
        <w:rPr>
          <w:rFonts w:cs="Arial"/>
          <w:sz w:val="22"/>
          <w:lang w:val="es-ES"/>
        </w:rPr>
        <w:t>La lógica del análisis económico se basa en que PROEXMAES II fortalecerá la gestión y la calidad de los servicios de salud lo que a su vez robustecerá la actual Red de Salud.</w:t>
      </w:r>
      <w:r w:rsidR="00A719A7" w:rsidRPr="00FE26CF">
        <w:rPr>
          <w:rFonts w:cs="Arial"/>
          <w:sz w:val="22"/>
          <w:lang w:val="es-ES"/>
        </w:rPr>
        <w:t xml:space="preserve"> </w:t>
      </w:r>
      <w:r w:rsidR="008242ED" w:rsidRPr="00FE26CF">
        <w:rPr>
          <w:rFonts w:cs="Arial"/>
          <w:sz w:val="22"/>
          <w:lang w:val="es-ES"/>
        </w:rPr>
        <w:t>Los principales beneficios esperados, que están basados en evaluaciones de impacto de intervenciones similares en Brasil, son los siguientes:</w:t>
      </w:r>
    </w:p>
    <w:p w:rsidR="008242ED" w:rsidRPr="00FE26CF" w:rsidRDefault="008242ED" w:rsidP="006D2FB5">
      <w:pPr>
        <w:pStyle w:val="ColorfulList-Accent11"/>
        <w:numPr>
          <w:ilvl w:val="0"/>
          <w:numId w:val="27"/>
        </w:numPr>
        <w:spacing w:before="120" w:after="120" w:line="240" w:lineRule="auto"/>
        <w:jc w:val="both"/>
        <w:rPr>
          <w:rFonts w:cs="Arial"/>
          <w:sz w:val="22"/>
          <w:lang w:val="es-ES"/>
        </w:rPr>
      </w:pPr>
      <w:r w:rsidRPr="00FE26CF">
        <w:rPr>
          <w:rFonts w:cs="Arial"/>
          <w:sz w:val="22"/>
          <w:lang w:val="es-ES"/>
        </w:rPr>
        <w:t>Hospitalizaciones prevenibles: son las</w:t>
      </w:r>
      <w:r w:rsidR="000E2612" w:rsidRPr="00FE26CF">
        <w:rPr>
          <w:rFonts w:cs="Arial"/>
          <w:sz w:val="22"/>
          <w:lang w:val="es-ES"/>
        </w:rPr>
        <w:t xml:space="preserve"> hospitalizaciones debidas a padecimientos que pueden ser prevenidos como consecuencia del fortalecimiento de la gestión de redes, de la mejora en la calidad</w:t>
      </w:r>
      <w:r w:rsidR="00DF5C00" w:rsidRPr="00FE26CF">
        <w:rPr>
          <w:rFonts w:cs="Arial"/>
          <w:sz w:val="22"/>
          <w:lang w:val="es-ES"/>
        </w:rPr>
        <w:t xml:space="preserve"> de los servicios de salud</w:t>
      </w:r>
      <w:r w:rsidR="000E2612" w:rsidRPr="00FE26CF">
        <w:rPr>
          <w:rFonts w:cs="Arial"/>
          <w:sz w:val="22"/>
          <w:lang w:val="es-ES"/>
        </w:rPr>
        <w:t xml:space="preserve"> y </w:t>
      </w:r>
      <w:r w:rsidR="00DF5C00" w:rsidRPr="00FE26CF">
        <w:rPr>
          <w:rFonts w:cs="Arial"/>
          <w:sz w:val="22"/>
          <w:lang w:val="es-ES"/>
        </w:rPr>
        <w:t>la ampliación de la cobertura</w:t>
      </w:r>
      <w:r w:rsidRPr="00FE26CF">
        <w:rPr>
          <w:rFonts w:cs="Arial"/>
          <w:sz w:val="22"/>
          <w:lang w:val="es-ES"/>
        </w:rPr>
        <w:t xml:space="preserve">. </w:t>
      </w:r>
      <w:r w:rsidR="00DF5C00" w:rsidRPr="00FE26CF">
        <w:rPr>
          <w:rFonts w:cs="Arial"/>
          <w:sz w:val="22"/>
          <w:lang w:val="es-ES"/>
        </w:rPr>
        <w:t>Lo anterior genera ganancias por:</w:t>
      </w:r>
    </w:p>
    <w:p w:rsidR="008242ED" w:rsidRPr="00FE26CF" w:rsidRDefault="008242ED" w:rsidP="006D2FB5">
      <w:pPr>
        <w:pStyle w:val="ColorfulList-Accent11"/>
        <w:numPr>
          <w:ilvl w:val="1"/>
          <w:numId w:val="27"/>
        </w:numPr>
        <w:spacing w:before="120" w:after="120" w:line="240" w:lineRule="auto"/>
        <w:jc w:val="both"/>
        <w:rPr>
          <w:rFonts w:cs="Arial"/>
          <w:sz w:val="22"/>
          <w:lang w:val="es-ES"/>
        </w:rPr>
      </w:pPr>
      <w:r w:rsidRPr="00FE26CF">
        <w:rPr>
          <w:rFonts w:cs="Arial"/>
          <w:sz w:val="22"/>
          <w:lang w:val="es-ES"/>
        </w:rPr>
        <w:t>Ahorro en gasto sanitario, el costo directo de las hospitalizaciones</w:t>
      </w:r>
    </w:p>
    <w:p w:rsidR="008242ED" w:rsidRPr="00FE26CF" w:rsidRDefault="008242ED" w:rsidP="006D2FB5">
      <w:pPr>
        <w:pStyle w:val="ColorfulList-Accent11"/>
        <w:numPr>
          <w:ilvl w:val="1"/>
          <w:numId w:val="27"/>
        </w:numPr>
        <w:spacing w:before="120" w:after="120" w:line="240" w:lineRule="auto"/>
        <w:jc w:val="both"/>
        <w:rPr>
          <w:rFonts w:cs="Arial"/>
          <w:sz w:val="22"/>
          <w:lang w:val="es-ES"/>
        </w:rPr>
      </w:pPr>
      <w:r w:rsidRPr="00FE26CF">
        <w:rPr>
          <w:rFonts w:cs="Arial"/>
          <w:sz w:val="22"/>
          <w:lang w:val="es-ES"/>
        </w:rPr>
        <w:t xml:space="preserve">Ganancia en productividad, al evitarse días laborales perdidos. </w:t>
      </w:r>
    </w:p>
    <w:p w:rsidR="00E017D2" w:rsidRPr="00FE26CF" w:rsidRDefault="00E017D2" w:rsidP="006D2FB5">
      <w:pPr>
        <w:pStyle w:val="ColorfulList-Accent11"/>
        <w:numPr>
          <w:ilvl w:val="0"/>
          <w:numId w:val="27"/>
        </w:numPr>
        <w:spacing w:before="120" w:after="120" w:line="240" w:lineRule="auto"/>
        <w:jc w:val="both"/>
        <w:rPr>
          <w:rFonts w:cs="Arial"/>
          <w:sz w:val="22"/>
          <w:lang w:val="es-ES"/>
        </w:rPr>
      </w:pPr>
      <w:r w:rsidRPr="00FE26CF">
        <w:rPr>
          <w:rFonts w:cs="Arial"/>
          <w:sz w:val="22"/>
          <w:lang w:val="es-ES"/>
        </w:rPr>
        <w:t xml:space="preserve">Reducción en mortalidad: la implementación de un esquema sólido de </w:t>
      </w:r>
      <w:r w:rsidR="006573B6" w:rsidRPr="00FE26CF">
        <w:rPr>
          <w:rFonts w:cs="Arial"/>
          <w:sz w:val="22"/>
          <w:lang w:val="es-ES"/>
        </w:rPr>
        <w:t>RISS siguiendo el modelo del SUS</w:t>
      </w:r>
      <w:r w:rsidR="000E2612" w:rsidRPr="00FE26CF">
        <w:rPr>
          <w:rFonts w:cs="Arial"/>
          <w:sz w:val="22"/>
          <w:lang w:val="es-ES"/>
        </w:rPr>
        <w:t xml:space="preserve">, ha demostrado </w:t>
      </w:r>
      <w:r w:rsidRPr="00FE26CF">
        <w:rPr>
          <w:rFonts w:cs="Arial"/>
          <w:sz w:val="22"/>
          <w:lang w:val="es-ES"/>
        </w:rPr>
        <w:t>tener impactos significativos en</w:t>
      </w:r>
      <w:r w:rsidR="000E2612" w:rsidRPr="00FE26CF">
        <w:rPr>
          <w:rFonts w:cs="Arial"/>
          <w:sz w:val="22"/>
          <w:lang w:val="es-ES"/>
        </w:rPr>
        <w:t xml:space="preserve"> la reducción de la mortalidad en Brasil.</w:t>
      </w:r>
    </w:p>
    <w:p w:rsidR="00E017D2" w:rsidRPr="00FE26CF" w:rsidRDefault="00E017D2" w:rsidP="006D2FB5">
      <w:pPr>
        <w:pStyle w:val="ColorfulList-Accent11"/>
        <w:numPr>
          <w:ilvl w:val="1"/>
          <w:numId w:val="27"/>
        </w:numPr>
        <w:spacing w:before="120" w:after="120" w:line="240" w:lineRule="auto"/>
        <w:jc w:val="both"/>
        <w:rPr>
          <w:rFonts w:cs="Arial"/>
          <w:sz w:val="22"/>
          <w:lang w:val="es-ES"/>
        </w:rPr>
      </w:pPr>
      <w:r w:rsidRPr="00FE26CF">
        <w:rPr>
          <w:rFonts w:cs="Arial"/>
          <w:sz w:val="22"/>
          <w:lang w:val="es-ES"/>
        </w:rPr>
        <w:t xml:space="preserve">Los años de vida salvados por la reducción en la </w:t>
      </w:r>
      <w:r w:rsidR="000E2612" w:rsidRPr="00FE26CF">
        <w:rPr>
          <w:rFonts w:cs="Arial"/>
          <w:sz w:val="22"/>
          <w:lang w:val="es-ES"/>
        </w:rPr>
        <w:t>morbilidad</w:t>
      </w:r>
      <w:r w:rsidRPr="00FE26CF">
        <w:rPr>
          <w:rFonts w:cs="Arial"/>
          <w:sz w:val="22"/>
          <w:lang w:val="es-ES"/>
        </w:rPr>
        <w:t xml:space="preserve"> tienen beneficios cuantificados por</w:t>
      </w:r>
      <w:r w:rsidR="000E2612" w:rsidRPr="00FE26CF">
        <w:rPr>
          <w:rFonts w:cs="Arial"/>
          <w:sz w:val="22"/>
          <w:lang w:val="es-ES"/>
        </w:rPr>
        <w:t xml:space="preserve"> ganancias en productividad, es decir que pueden estimarse utilizando el PIB per cápita.</w:t>
      </w:r>
    </w:p>
    <w:p w:rsidR="00E017D2" w:rsidRPr="00FE26CF" w:rsidRDefault="00E017D2" w:rsidP="006D2FB5">
      <w:pPr>
        <w:pStyle w:val="ColorfulList-Accent11"/>
        <w:numPr>
          <w:ilvl w:val="0"/>
          <w:numId w:val="27"/>
        </w:numPr>
        <w:spacing w:before="120" w:after="120" w:line="240" w:lineRule="auto"/>
        <w:jc w:val="both"/>
        <w:rPr>
          <w:rFonts w:cs="Arial"/>
          <w:sz w:val="22"/>
          <w:lang w:val="es-ES"/>
        </w:rPr>
      </w:pPr>
      <w:r w:rsidRPr="00FE26CF">
        <w:rPr>
          <w:rFonts w:cs="Arial"/>
          <w:sz w:val="22"/>
          <w:lang w:val="es-ES"/>
        </w:rPr>
        <w:t xml:space="preserve">Implementación de líneas de cuidado: existe fuerte evidencia tanto de la Organización Mundial de la Salud como del Centro para el Control de Enfermedades sobre las ganancias en </w:t>
      </w:r>
      <w:r w:rsidR="00472B16" w:rsidRPr="00FE26CF">
        <w:rPr>
          <w:rFonts w:cs="Arial"/>
          <w:sz w:val="22"/>
          <w:lang w:val="es-ES"/>
        </w:rPr>
        <w:t>Años de Vida Ajustados por Discapacidad (AVADs)</w:t>
      </w:r>
      <w:r w:rsidRPr="00FE26CF">
        <w:rPr>
          <w:rFonts w:cs="Arial"/>
          <w:sz w:val="22"/>
          <w:lang w:val="es-ES"/>
        </w:rPr>
        <w:t xml:space="preserve"> por la implementación de intervenciones de probada eficacia. Así, </w:t>
      </w:r>
      <w:r w:rsidR="000E2612" w:rsidRPr="00FE26CF">
        <w:rPr>
          <w:rFonts w:cs="Arial"/>
          <w:sz w:val="22"/>
          <w:lang w:val="es-ES"/>
        </w:rPr>
        <w:t>el fortalecimiento y mejora de la calidad</w:t>
      </w:r>
      <w:r w:rsidRPr="00FE26CF">
        <w:rPr>
          <w:rFonts w:cs="Arial"/>
          <w:sz w:val="22"/>
          <w:lang w:val="es-ES"/>
        </w:rPr>
        <w:t xml:space="preserve"> de líneas de cuidado genera las siguientes ganancias:</w:t>
      </w:r>
    </w:p>
    <w:p w:rsidR="00E017D2" w:rsidRPr="00FE26CF" w:rsidRDefault="00E017D2" w:rsidP="006D2FB5">
      <w:pPr>
        <w:pStyle w:val="ColorfulList-Accent11"/>
        <w:numPr>
          <w:ilvl w:val="1"/>
          <w:numId w:val="27"/>
        </w:numPr>
        <w:spacing w:before="120" w:after="120" w:line="240" w:lineRule="auto"/>
        <w:jc w:val="both"/>
        <w:rPr>
          <w:rFonts w:cs="Arial"/>
          <w:sz w:val="22"/>
          <w:lang w:val="es-ES"/>
        </w:rPr>
      </w:pPr>
      <w:r w:rsidRPr="00FE26CF">
        <w:rPr>
          <w:rFonts w:cs="Arial"/>
          <w:sz w:val="22"/>
          <w:lang w:val="es-ES"/>
        </w:rPr>
        <w:t xml:space="preserve">Ganancias en </w:t>
      </w:r>
      <w:r w:rsidR="00472B16" w:rsidRPr="00FE26CF">
        <w:rPr>
          <w:rFonts w:cs="Arial"/>
          <w:sz w:val="22"/>
          <w:lang w:val="es-ES"/>
        </w:rPr>
        <w:t>AVADs</w:t>
      </w:r>
      <w:r w:rsidRPr="00FE26CF">
        <w:rPr>
          <w:rFonts w:cs="Arial"/>
          <w:sz w:val="22"/>
          <w:lang w:val="es-ES"/>
        </w:rPr>
        <w:t xml:space="preserve"> de acuerdo con </w:t>
      </w:r>
      <w:r w:rsidR="000E2612" w:rsidRPr="00FE26CF">
        <w:rPr>
          <w:rFonts w:cs="Arial"/>
          <w:sz w:val="22"/>
          <w:lang w:val="es-ES"/>
        </w:rPr>
        <w:t>las líneas de acción</w:t>
      </w:r>
      <w:r w:rsidRPr="00FE26CF">
        <w:rPr>
          <w:rFonts w:cs="Arial"/>
          <w:sz w:val="22"/>
          <w:lang w:val="es-ES"/>
        </w:rPr>
        <w:t xml:space="preserve"> y</w:t>
      </w:r>
      <w:r w:rsidR="00BC2101" w:rsidRPr="00FE26CF">
        <w:rPr>
          <w:rFonts w:cs="Arial"/>
          <w:sz w:val="22"/>
          <w:lang w:val="es-ES"/>
        </w:rPr>
        <w:t xml:space="preserve"> aumento de la</w:t>
      </w:r>
      <w:r w:rsidRPr="00FE26CF">
        <w:rPr>
          <w:rFonts w:cs="Arial"/>
          <w:sz w:val="22"/>
          <w:lang w:val="es-ES"/>
        </w:rPr>
        <w:t xml:space="preserve"> cobertura</w:t>
      </w:r>
      <w:r w:rsidR="00BC2101" w:rsidRPr="00FE26CF">
        <w:rPr>
          <w:rFonts w:cs="Arial"/>
          <w:sz w:val="22"/>
          <w:lang w:val="es-ES"/>
        </w:rPr>
        <w:t xml:space="preserve"> efectiva</w:t>
      </w:r>
      <w:r w:rsidRPr="00FE26CF">
        <w:rPr>
          <w:rFonts w:cs="Arial"/>
          <w:sz w:val="22"/>
          <w:lang w:val="es-ES"/>
        </w:rPr>
        <w:t>, que son valoradas mediante el PIB per cápita.</w:t>
      </w:r>
    </w:p>
    <w:p w:rsidR="00A719A7" w:rsidRPr="00FE26CF" w:rsidRDefault="00A719A7" w:rsidP="006D2FB5">
      <w:pPr>
        <w:spacing w:before="120" w:after="120" w:line="240" w:lineRule="auto"/>
        <w:jc w:val="both"/>
        <w:rPr>
          <w:rFonts w:cs="Arial"/>
          <w:sz w:val="22"/>
          <w:lang w:val="es-ES"/>
        </w:rPr>
      </w:pPr>
    </w:p>
    <w:p w:rsidR="001102CE" w:rsidRPr="00FE26CF" w:rsidRDefault="00E017D2" w:rsidP="006D2FB5">
      <w:pPr>
        <w:spacing w:before="120" w:after="120" w:line="240" w:lineRule="auto"/>
        <w:jc w:val="both"/>
        <w:rPr>
          <w:rFonts w:cs="Arial"/>
          <w:sz w:val="22"/>
          <w:lang w:val="es-ES"/>
        </w:rPr>
      </w:pPr>
      <w:r w:rsidRPr="00FE26CF">
        <w:rPr>
          <w:rFonts w:cs="Arial"/>
          <w:sz w:val="22"/>
          <w:lang w:val="es-ES"/>
        </w:rPr>
        <w:t>Con estos elementos, y usando valores conservadores</w:t>
      </w:r>
      <w:r w:rsidR="001102CE" w:rsidRPr="00FE26CF">
        <w:rPr>
          <w:rFonts w:cs="Arial"/>
          <w:sz w:val="22"/>
          <w:lang w:val="es-ES"/>
        </w:rPr>
        <w:t xml:space="preserve"> en el tiempo que se demora el sistema de salud en generar los beneficios y considerando los aumentos marginales en la cobertura de la actual red de salud </w:t>
      </w:r>
      <w:r w:rsidRPr="00FE26CF">
        <w:rPr>
          <w:rFonts w:cs="Arial"/>
          <w:sz w:val="22"/>
          <w:lang w:val="es-ES"/>
        </w:rPr>
        <w:t xml:space="preserve">se encuentra que la razón beneficio/costo en un horizonte de </w:t>
      </w:r>
      <w:r w:rsidR="00A27BB4" w:rsidRPr="00FE26CF">
        <w:rPr>
          <w:rFonts w:cs="Arial"/>
          <w:sz w:val="22"/>
          <w:lang w:val="es-ES"/>
        </w:rPr>
        <w:t>5</w:t>
      </w:r>
      <w:r w:rsidRPr="00FE26CF">
        <w:rPr>
          <w:rFonts w:cs="Arial"/>
          <w:sz w:val="22"/>
          <w:lang w:val="es-ES"/>
        </w:rPr>
        <w:t xml:space="preserve"> a</w:t>
      </w:r>
      <w:r w:rsidR="002A67A0" w:rsidRPr="00FE26CF">
        <w:rPr>
          <w:rFonts w:cs="Arial"/>
          <w:sz w:val="22"/>
          <w:lang w:val="es-ES"/>
        </w:rPr>
        <w:t>ños es de</w:t>
      </w:r>
      <w:r w:rsidR="001102CE" w:rsidRPr="00FE26CF">
        <w:rPr>
          <w:rFonts w:cs="Arial"/>
          <w:sz w:val="22"/>
          <w:lang w:val="es-ES"/>
        </w:rPr>
        <w:t xml:space="preserve"> 1.33. Adicionalmente, la razón de beneficio/costo </w:t>
      </w:r>
      <w:r w:rsidR="00472B16" w:rsidRPr="00FE26CF">
        <w:rPr>
          <w:rFonts w:cs="Arial"/>
          <w:sz w:val="22"/>
          <w:lang w:val="es-ES"/>
        </w:rPr>
        <w:t xml:space="preserve">superior a 1 en </w:t>
      </w:r>
      <w:r w:rsidR="000A0162" w:rsidRPr="00FE26CF">
        <w:rPr>
          <w:rFonts w:cs="Arial"/>
          <w:sz w:val="22"/>
          <w:lang w:val="es-ES"/>
        </w:rPr>
        <w:t xml:space="preserve">la mayoría </w:t>
      </w:r>
      <w:r w:rsidR="00DA23EC" w:rsidRPr="00FE26CF">
        <w:rPr>
          <w:rFonts w:cs="Arial"/>
          <w:sz w:val="22"/>
          <w:lang w:val="es-ES"/>
        </w:rPr>
        <w:t>de los escenarios considerados</w:t>
      </w:r>
      <w:r w:rsidR="001102CE" w:rsidRPr="00FE26CF">
        <w:rPr>
          <w:rFonts w:cs="Arial"/>
          <w:sz w:val="22"/>
          <w:lang w:val="es-ES"/>
        </w:rPr>
        <w:t xml:space="preserve"> en </w:t>
      </w:r>
      <w:r w:rsidR="000A0162" w:rsidRPr="00FE26CF">
        <w:rPr>
          <w:rFonts w:cs="Arial"/>
          <w:sz w:val="22"/>
          <w:lang w:val="es-ES"/>
        </w:rPr>
        <w:t xml:space="preserve">el análisis de </w:t>
      </w:r>
      <w:r w:rsidR="002B639C" w:rsidRPr="00FE26CF">
        <w:rPr>
          <w:rFonts w:cs="Arial"/>
          <w:sz w:val="22"/>
          <w:lang w:val="es-ES"/>
        </w:rPr>
        <w:t>sensibilidad</w:t>
      </w:r>
      <w:r w:rsidR="00DA23EC" w:rsidRPr="00FE26CF">
        <w:rPr>
          <w:rFonts w:cs="Arial"/>
          <w:sz w:val="22"/>
          <w:lang w:val="es-ES"/>
        </w:rPr>
        <w:t>.</w:t>
      </w:r>
      <w:r w:rsidR="002A67A0" w:rsidRPr="00FE26CF">
        <w:rPr>
          <w:rFonts w:cs="Arial"/>
          <w:sz w:val="22"/>
          <w:lang w:val="es-ES"/>
        </w:rPr>
        <w:t xml:space="preserve"> </w:t>
      </w:r>
    </w:p>
    <w:p w:rsidR="00E017D2" w:rsidRPr="00FE26CF" w:rsidRDefault="002A67A0" w:rsidP="006D2FB5">
      <w:pPr>
        <w:spacing w:before="120" w:after="120" w:line="240" w:lineRule="auto"/>
        <w:jc w:val="both"/>
        <w:rPr>
          <w:rFonts w:cs="Arial"/>
          <w:sz w:val="22"/>
          <w:lang w:val="es-ES"/>
        </w:rPr>
      </w:pPr>
      <w:r w:rsidRPr="00FE26CF">
        <w:rPr>
          <w:rFonts w:cs="Arial"/>
          <w:sz w:val="22"/>
          <w:lang w:val="es-ES"/>
        </w:rPr>
        <w:t>Es importante destacar que, para evitar doble contabilidad en los beneficios, se consideran únicamente los beneficios por la</w:t>
      </w:r>
      <w:r w:rsidR="008C6F70" w:rsidRPr="00FE26CF">
        <w:rPr>
          <w:rFonts w:cs="Arial"/>
          <w:sz w:val="22"/>
          <w:lang w:val="es-ES"/>
        </w:rPr>
        <w:t xml:space="preserve"> mejora en la eficiencia de la implementación</w:t>
      </w:r>
      <w:r w:rsidRPr="00FE26CF">
        <w:rPr>
          <w:rFonts w:cs="Arial"/>
          <w:sz w:val="22"/>
          <w:lang w:val="es-ES"/>
        </w:rPr>
        <w:t xml:space="preserve"> </w:t>
      </w:r>
      <w:r w:rsidR="00AD709D" w:rsidRPr="00FE26CF">
        <w:rPr>
          <w:rFonts w:cs="Arial"/>
          <w:sz w:val="22"/>
          <w:lang w:val="es-ES"/>
        </w:rPr>
        <w:t xml:space="preserve">comprehensiva e integral </w:t>
      </w:r>
      <w:r w:rsidRPr="00FE26CF">
        <w:rPr>
          <w:rFonts w:cs="Arial"/>
          <w:sz w:val="22"/>
          <w:lang w:val="es-ES"/>
        </w:rPr>
        <w:t xml:space="preserve">de las líneas de cuidado, pues los </w:t>
      </w:r>
      <w:r w:rsidR="00472B16" w:rsidRPr="00FE26CF">
        <w:rPr>
          <w:rFonts w:cs="Arial"/>
          <w:sz w:val="22"/>
          <w:lang w:val="es-ES"/>
        </w:rPr>
        <w:t>AVADs</w:t>
      </w:r>
      <w:r w:rsidRPr="00FE26CF">
        <w:rPr>
          <w:rFonts w:cs="Arial"/>
          <w:sz w:val="22"/>
          <w:lang w:val="es-ES"/>
        </w:rPr>
        <w:t xml:space="preserve"> se calculan precisamente a partir de las ganancias en productividad por la mejor situación de salud de la población.</w:t>
      </w:r>
      <w:r w:rsidR="00AD709D" w:rsidRPr="00FE26CF">
        <w:rPr>
          <w:rFonts w:cs="Arial"/>
          <w:sz w:val="22"/>
          <w:lang w:val="es-ES"/>
        </w:rPr>
        <w:t xml:space="preserve"> Para poder implementar adecuadamente las líneas de cuidado y generar las ganancias potenciales que han sido documentadas es necesario que las redes funcionen adecuadamente y contar con los recursos humanos, físicos y financieros necesarios.</w:t>
      </w:r>
    </w:p>
    <w:p w:rsidR="00DA23EC" w:rsidRPr="00FE26CF" w:rsidRDefault="00BB436F" w:rsidP="006D2FB5">
      <w:pPr>
        <w:spacing w:before="120" w:after="120" w:line="240" w:lineRule="auto"/>
        <w:jc w:val="both"/>
        <w:rPr>
          <w:rFonts w:cs="Arial"/>
          <w:sz w:val="22"/>
          <w:lang w:val="es-ES"/>
        </w:rPr>
      </w:pPr>
      <w:r w:rsidRPr="00FE26CF">
        <w:rPr>
          <w:rFonts w:cs="Arial"/>
          <w:sz w:val="22"/>
          <w:lang w:val="es-ES"/>
        </w:rPr>
        <w:t xml:space="preserve">El documento se organiza en </w:t>
      </w:r>
      <w:r w:rsidR="004C5824" w:rsidRPr="00FE26CF">
        <w:rPr>
          <w:rFonts w:cs="Arial"/>
          <w:sz w:val="22"/>
          <w:lang w:val="es-ES"/>
        </w:rPr>
        <w:t>dos</w:t>
      </w:r>
      <w:r w:rsidR="00FC2B5D" w:rsidRPr="00FE26CF">
        <w:rPr>
          <w:rFonts w:cs="Arial"/>
          <w:sz w:val="22"/>
          <w:lang w:val="es-ES"/>
        </w:rPr>
        <w:t xml:space="preserve"> </w:t>
      </w:r>
      <w:r w:rsidRPr="00FE26CF">
        <w:rPr>
          <w:rFonts w:cs="Arial"/>
          <w:sz w:val="22"/>
          <w:lang w:val="es-ES"/>
        </w:rPr>
        <w:t>secciones. La primera</w:t>
      </w:r>
      <w:r w:rsidR="00DA23EC" w:rsidRPr="00FE26CF">
        <w:rPr>
          <w:rFonts w:cs="Arial"/>
          <w:sz w:val="22"/>
          <w:lang w:val="es-ES"/>
        </w:rPr>
        <w:t xml:space="preserve"> presenta una descripción del </w:t>
      </w:r>
      <w:r w:rsidRPr="00FE26CF">
        <w:rPr>
          <w:rFonts w:cs="Arial"/>
          <w:sz w:val="22"/>
          <w:lang w:val="es-ES"/>
        </w:rPr>
        <w:t xml:space="preserve">proyecto en la Introducción </w:t>
      </w:r>
      <w:r w:rsidR="00DA23EC" w:rsidRPr="00FE26CF">
        <w:rPr>
          <w:rFonts w:cs="Arial"/>
          <w:sz w:val="22"/>
          <w:lang w:val="es-ES"/>
        </w:rPr>
        <w:t xml:space="preserve">que puede </w:t>
      </w:r>
      <w:r w:rsidR="008C6F70" w:rsidRPr="00FE26CF">
        <w:rPr>
          <w:rFonts w:cs="Arial"/>
          <w:sz w:val="22"/>
          <w:lang w:val="es-ES"/>
        </w:rPr>
        <w:t>omitirse</w:t>
      </w:r>
      <w:r w:rsidR="00DA23EC" w:rsidRPr="00FE26CF">
        <w:rPr>
          <w:rFonts w:cs="Arial"/>
          <w:sz w:val="22"/>
          <w:lang w:val="es-ES"/>
        </w:rPr>
        <w:t xml:space="preserve"> en caso de haber revis</w:t>
      </w:r>
      <w:r w:rsidRPr="00FE26CF">
        <w:rPr>
          <w:rFonts w:cs="Arial"/>
          <w:sz w:val="22"/>
          <w:lang w:val="es-ES"/>
        </w:rPr>
        <w:t xml:space="preserve">ado el documento del proyecto. La segunda desarrolla el análisis </w:t>
      </w:r>
      <w:r w:rsidR="00AB57E7" w:rsidRPr="00FE26CF">
        <w:rPr>
          <w:rFonts w:cs="Arial"/>
          <w:sz w:val="22"/>
          <w:lang w:val="es-ES"/>
        </w:rPr>
        <w:t>económico del proyecto</w:t>
      </w:r>
      <w:r w:rsidRPr="00FE26CF">
        <w:rPr>
          <w:rFonts w:cs="Arial"/>
          <w:sz w:val="22"/>
          <w:lang w:val="es-ES"/>
        </w:rPr>
        <w:t>.</w:t>
      </w:r>
      <w:r w:rsidR="00361A79" w:rsidRPr="00FE26CF">
        <w:rPr>
          <w:rFonts w:cs="Arial"/>
          <w:sz w:val="22"/>
          <w:lang w:val="es-ES"/>
        </w:rPr>
        <w:t xml:space="preserve"> </w:t>
      </w:r>
    </w:p>
    <w:p w:rsidR="002356B7" w:rsidRPr="00FE26CF" w:rsidRDefault="00BB436F" w:rsidP="00477FBF">
      <w:pPr>
        <w:pStyle w:val="Heading1"/>
        <w:rPr>
          <w:sz w:val="22"/>
          <w:szCs w:val="22"/>
          <w:lang w:val="es-ES"/>
        </w:rPr>
      </w:pPr>
      <w:bookmarkStart w:id="3" w:name="_Toc296257182"/>
      <w:bookmarkStart w:id="4" w:name="_Toc422838011"/>
      <w:r w:rsidRPr="00FE26CF">
        <w:rPr>
          <w:rFonts w:eastAsia="Calibri"/>
          <w:sz w:val="22"/>
          <w:szCs w:val="22"/>
          <w:lang w:val="es-ES"/>
        </w:rPr>
        <w:lastRenderedPageBreak/>
        <w:t>I.</w:t>
      </w:r>
      <w:r w:rsidR="008242ED" w:rsidRPr="00FE26CF">
        <w:rPr>
          <w:rFonts w:eastAsia="Calibri"/>
          <w:sz w:val="22"/>
          <w:szCs w:val="22"/>
          <w:lang w:val="es-ES"/>
        </w:rPr>
        <w:t xml:space="preserve"> </w:t>
      </w:r>
      <w:r w:rsidR="002356B7" w:rsidRPr="00FE26CF">
        <w:rPr>
          <w:rFonts w:eastAsia="Calibri"/>
          <w:sz w:val="22"/>
          <w:szCs w:val="22"/>
          <w:lang w:val="es-ES"/>
        </w:rPr>
        <w:t>Introducción</w:t>
      </w:r>
      <w:r w:rsidR="002356B7" w:rsidRPr="00FE26CF">
        <w:rPr>
          <w:sz w:val="22"/>
          <w:szCs w:val="22"/>
          <w:vertAlign w:val="superscript"/>
          <w:lang w:val="es-ES"/>
        </w:rPr>
        <w:footnoteReference w:id="1"/>
      </w:r>
      <w:bookmarkEnd w:id="3"/>
      <w:bookmarkEnd w:id="4"/>
      <w:r w:rsidR="00AF07E7" w:rsidRPr="00FE26CF">
        <w:rPr>
          <w:sz w:val="22"/>
          <w:szCs w:val="22"/>
          <w:lang w:val="es-ES"/>
        </w:rPr>
        <w:t xml:space="preserve"> </w:t>
      </w:r>
    </w:p>
    <w:p w:rsidR="00D0597E" w:rsidRPr="00FE26CF" w:rsidRDefault="00620E0A" w:rsidP="00620E0A">
      <w:pPr>
        <w:pStyle w:val="Heading2"/>
        <w:rPr>
          <w:lang w:val="es-ES"/>
        </w:rPr>
      </w:pPr>
      <w:bookmarkStart w:id="5" w:name="_Toc389607247"/>
      <w:bookmarkStart w:id="6" w:name="_Toc296257183"/>
      <w:bookmarkStart w:id="7" w:name="_Toc422838012"/>
      <w:r w:rsidRPr="00FE26CF">
        <w:rPr>
          <w:lang w:val="es-ES"/>
        </w:rPr>
        <w:t>A</w:t>
      </w:r>
      <w:r w:rsidRPr="00FE26CF">
        <w:rPr>
          <w:lang w:val="es-ES"/>
        </w:rPr>
        <w:tab/>
      </w:r>
      <w:r w:rsidR="00D0597E" w:rsidRPr="00FE26CF">
        <w:rPr>
          <w:lang w:val="es-ES"/>
        </w:rPr>
        <w:t>Antecedentes</w:t>
      </w:r>
      <w:bookmarkEnd w:id="5"/>
      <w:r w:rsidR="00D0597E" w:rsidRPr="00FE26CF">
        <w:rPr>
          <w:lang w:val="es-ES"/>
        </w:rPr>
        <w:t xml:space="preserve">: el reto en materia de salud </w:t>
      </w:r>
      <w:bookmarkEnd w:id="6"/>
      <w:bookmarkEnd w:id="7"/>
      <w:r w:rsidR="00C02D3A" w:rsidRPr="00FE26CF">
        <w:rPr>
          <w:lang w:val="es-ES"/>
        </w:rPr>
        <w:t xml:space="preserve">en Ceará </w:t>
      </w:r>
    </w:p>
    <w:p w:rsidR="00C02D3A" w:rsidRPr="00FE26CF" w:rsidRDefault="00C02D3A" w:rsidP="00C02D3A">
      <w:pPr>
        <w:pStyle w:val="Paragraph"/>
        <w:tabs>
          <w:tab w:val="clear" w:pos="720"/>
        </w:tabs>
        <w:ind w:left="0" w:firstLine="0"/>
        <w:rPr>
          <w:rFonts w:ascii="Arial" w:hAnsi="Arial" w:cs="Arial"/>
          <w:sz w:val="22"/>
        </w:rPr>
      </w:pPr>
      <w:r w:rsidRPr="00FE26CF">
        <w:rPr>
          <w:rFonts w:ascii="Arial" w:hAnsi="Arial" w:cs="Arial"/>
          <w:b/>
          <w:sz w:val="22"/>
        </w:rPr>
        <w:t>Contexto socioeconómico.</w:t>
      </w:r>
      <w:r w:rsidRPr="00FE26CF">
        <w:rPr>
          <w:rFonts w:ascii="Arial" w:hAnsi="Arial" w:cs="Arial"/>
          <w:sz w:val="22"/>
        </w:rPr>
        <w:t xml:space="preserve"> El Estado de Ceará tiene 8.842.791 habitantes, 75% en áreas urbanas y 30% en su capital, Fortaleza. Desde 2002, la tasa de crecimiento económico de Ceará ha sido superior a la de Brasil, alcanzando 4,36% en 2014 cuando el PIB de Brasil creció 0,1%. El buen desempeño de la economía ha sido acompañado de avances en los indicadores sociales. Así, la pobreza se redujo de 48% en 2002 a 21,3% en 2012, y la esperanza de vida al nacer aumentó de 67,8 años a 72,3 años entre 2000 y 2013. Con estos resultados, Ceará es el segundo estado de la región nordeste del país con mayor Índice de Desarrollo Humano (IDH)</w:t>
      </w:r>
      <w:r w:rsidRPr="00FE26CF">
        <w:rPr>
          <w:rStyle w:val="FootnoteReference"/>
          <w:rFonts w:ascii="Arial" w:hAnsi="Arial" w:cs="Arial"/>
          <w:sz w:val="22"/>
        </w:rPr>
        <w:footnoteReference w:id="2"/>
      </w:r>
      <w:r w:rsidRPr="00FE26CF">
        <w:rPr>
          <w:rFonts w:ascii="Arial" w:hAnsi="Arial" w:cs="Arial"/>
          <w:sz w:val="22"/>
        </w:rPr>
        <w:t xml:space="preserve"> y con la mejor calidad de vida del norte-nordeste</w:t>
      </w:r>
      <w:r w:rsidRPr="00FE26CF">
        <w:rPr>
          <w:rStyle w:val="FootnoteReference"/>
          <w:rFonts w:ascii="Arial" w:hAnsi="Arial" w:cs="Arial"/>
          <w:sz w:val="22"/>
        </w:rPr>
        <w:footnoteReference w:id="3"/>
      </w:r>
      <w:r w:rsidRPr="00FE26CF">
        <w:rPr>
          <w:rFonts w:ascii="Arial" w:hAnsi="Arial" w:cs="Arial"/>
          <w:sz w:val="22"/>
        </w:rPr>
        <w:t>. Pese a estos avances, Ceará presenta todavía muchas desigualdades sociales e inequidades regionales. Cerca de 8,5% de su población total y 18% de la población rural viven en pobreza extrema</w:t>
      </w:r>
      <w:r w:rsidRPr="00FE26CF">
        <w:rPr>
          <w:rStyle w:val="FootnoteReference"/>
          <w:rFonts w:ascii="Arial" w:hAnsi="Arial" w:cs="Arial"/>
          <w:sz w:val="22"/>
        </w:rPr>
        <w:footnoteReference w:id="4"/>
      </w:r>
      <w:r w:rsidRPr="00FE26CF">
        <w:rPr>
          <w:rFonts w:ascii="Arial" w:hAnsi="Arial" w:cs="Arial"/>
          <w:sz w:val="22"/>
        </w:rPr>
        <w:t>. El 61% de los hogares carecen de acceso adecuado al saneamiento básico (promedio nacional es 38%), y el 16,3% de la población es analfabeta (8,7% de todo Brasil)</w:t>
      </w:r>
      <w:r w:rsidRPr="00FE26CF">
        <w:rPr>
          <w:rStyle w:val="FootnoteReference"/>
          <w:rFonts w:ascii="Arial" w:hAnsi="Arial" w:cs="Arial"/>
          <w:sz w:val="22"/>
        </w:rPr>
        <w:footnoteReference w:id="5"/>
      </w:r>
      <w:r w:rsidRPr="00FE26CF">
        <w:rPr>
          <w:rFonts w:ascii="Arial" w:hAnsi="Arial" w:cs="Arial"/>
          <w:sz w:val="22"/>
        </w:rPr>
        <w:t>. Además, casi un tercio de los municipios presentan bajo IDH</w:t>
      </w:r>
      <w:r w:rsidRPr="00FE26CF">
        <w:rPr>
          <w:rStyle w:val="FootnoteReference"/>
          <w:rFonts w:ascii="Arial" w:hAnsi="Arial" w:cs="Arial"/>
          <w:sz w:val="22"/>
        </w:rPr>
        <w:footnoteReference w:id="6"/>
      </w:r>
      <w:r w:rsidRPr="00FE26CF">
        <w:rPr>
          <w:rFonts w:ascii="Arial" w:hAnsi="Arial" w:cs="Arial"/>
          <w:sz w:val="22"/>
        </w:rPr>
        <w:t xml:space="preserve"> y hay gran heterogeneidad en cuanto al Producto Interno Bruto (PIB) </w:t>
      </w:r>
      <w:r w:rsidRPr="00FE26CF">
        <w:rPr>
          <w:rFonts w:ascii="Arial" w:hAnsi="Arial" w:cs="Arial"/>
          <w:i/>
          <w:sz w:val="22"/>
        </w:rPr>
        <w:t>per cápita</w:t>
      </w:r>
      <w:r w:rsidRPr="00FE26CF">
        <w:rPr>
          <w:rFonts w:ascii="Arial" w:hAnsi="Arial" w:cs="Arial"/>
          <w:sz w:val="22"/>
        </w:rPr>
        <w:t xml:space="preserve"> municipal y en la concentración de la riqueza</w:t>
      </w:r>
      <w:r w:rsidRPr="00FE26CF">
        <w:rPr>
          <w:rStyle w:val="FootnoteReference"/>
          <w:rFonts w:ascii="Arial" w:hAnsi="Arial" w:cs="Arial"/>
          <w:sz w:val="22"/>
        </w:rPr>
        <w:footnoteReference w:id="7"/>
      </w:r>
      <w:r w:rsidRPr="00FE26CF">
        <w:rPr>
          <w:rFonts w:ascii="Arial" w:hAnsi="Arial" w:cs="Arial"/>
          <w:sz w:val="22"/>
        </w:rPr>
        <w:t xml:space="preserve">. </w:t>
      </w:r>
    </w:p>
    <w:p w:rsidR="00C02D3A" w:rsidRPr="00FE26CF" w:rsidRDefault="00C02D3A" w:rsidP="00C02D3A">
      <w:pPr>
        <w:pStyle w:val="Paragraph"/>
        <w:tabs>
          <w:tab w:val="clear" w:pos="720"/>
        </w:tabs>
        <w:ind w:left="0" w:firstLine="0"/>
        <w:rPr>
          <w:rFonts w:ascii="Arial" w:hAnsi="Arial" w:cs="Arial"/>
          <w:sz w:val="22"/>
        </w:rPr>
      </w:pPr>
      <w:r w:rsidRPr="00FE26CF">
        <w:rPr>
          <w:rFonts w:ascii="Arial" w:hAnsi="Arial" w:cs="Arial"/>
          <w:b/>
          <w:sz w:val="22"/>
        </w:rPr>
        <w:t>Perfil epidemiológico y desafíos de salud pública.</w:t>
      </w:r>
      <w:r w:rsidRPr="00FE26CF">
        <w:rPr>
          <w:rFonts w:ascii="Arial" w:hAnsi="Arial" w:cs="Arial"/>
          <w:sz w:val="22"/>
        </w:rPr>
        <w:t xml:space="preserve"> Siguiendo la tendencia nacional y regional, Ceará vive una transición demográfica y epidemiológica. Entre 2000 y 2012, las muertes por enfermedades circulatorias —primera causa de muerte— pasaron de 23,3% a 26,5%, el 21% en menores de 60 años. En el mismo periodo, la importancia relativa de cáncer aumentó y las muertes por neoplasias pasaron de 11,6% a 15% de la mortalidad total</w:t>
      </w:r>
      <w:r w:rsidRPr="00FE26CF">
        <w:rPr>
          <w:rFonts w:ascii="Arial" w:hAnsi="Arial" w:cs="Arial"/>
          <w:sz w:val="22"/>
          <w:vertAlign w:val="superscript"/>
        </w:rPr>
        <w:footnoteReference w:id="8"/>
      </w:r>
      <w:r w:rsidRPr="00FE26CF">
        <w:rPr>
          <w:rFonts w:ascii="Arial" w:hAnsi="Arial" w:cs="Arial"/>
          <w:sz w:val="22"/>
        </w:rPr>
        <w:t xml:space="preserve">. El alza de la mortalidad prematura (menores de 60 años) por </w:t>
      </w:r>
      <w:r w:rsidRPr="00FE26CF">
        <w:rPr>
          <w:rFonts w:ascii="Arial" w:hAnsi="Arial" w:cs="Arial"/>
          <w:iCs/>
          <w:sz w:val="22"/>
        </w:rPr>
        <w:t>Enfermedades Crónicas no Transmisibles</w:t>
      </w:r>
      <w:r w:rsidRPr="00FE26CF">
        <w:rPr>
          <w:rFonts w:ascii="Arial" w:hAnsi="Arial" w:cs="Arial"/>
          <w:sz w:val="22"/>
        </w:rPr>
        <w:t xml:space="preserve"> (ECNT), destaca la importancia de atender los factores de riesgo de las ECNT. Hay amplia evidencia de que la obesidad, tabaquismo, consumo excesivo de alcohol y la inactividad física conllevan a cambios fisiológicos y metabólicos que contribuyen significativamente a la incidencia y carga de las ECNT. En la Capital, Fortaleza, entre 2006 y 2013, la obesidad se incrementó en 60%, siendo que entre las mujeres este aumento fue de 67% y entre los hombres 12%</w:t>
      </w:r>
      <w:r w:rsidRPr="00FE26CF">
        <w:rPr>
          <w:rFonts w:ascii="Arial" w:hAnsi="Arial" w:cs="Arial"/>
          <w:sz w:val="22"/>
          <w:vertAlign w:val="superscript"/>
        </w:rPr>
        <w:footnoteReference w:id="9"/>
      </w:r>
      <w:r w:rsidRPr="00FE26CF">
        <w:rPr>
          <w:rFonts w:ascii="Arial" w:hAnsi="Arial" w:cs="Arial"/>
          <w:sz w:val="22"/>
        </w:rPr>
        <w:t xml:space="preserve">, lo que indica la necesidad del abordaje de género en los servicios de promoción de la salud y prevención de las ECNT. Asimismo, la evidencia internacional muestra que para enfrentar los factores de riesgo que causan las ECNT y para tratar a los pacientes que ya presentan alguna condición crónica, la mejor alternativa es la atención de redes integradas sólidas (con primer nivel consolidado y resolutivo y niveles más </w:t>
      </w:r>
      <w:r w:rsidRPr="00FE26CF">
        <w:rPr>
          <w:rFonts w:ascii="Arial" w:hAnsi="Arial" w:cs="Arial"/>
          <w:sz w:val="22"/>
        </w:rPr>
        <w:lastRenderedPageBreak/>
        <w:t>complejos de atención que garanticen cuidado continuo y oportuno)</w:t>
      </w:r>
      <w:r w:rsidRPr="00FE26CF">
        <w:rPr>
          <w:rStyle w:val="FootnoteReference"/>
          <w:rFonts w:ascii="Arial" w:eastAsiaTheme="majorEastAsia" w:hAnsi="Arial" w:cs="Arial"/>
          <w:sz w:val="22"/>
        </w:rPr>
        <w:footnoteReference w:id="10"/>
      </w:r>
      <w:r w:rsidRPr="00FE26CF">
        <w:rPr>
          <w:rFonts w:ascii="Arial" w:hAnsi="Arial" w:cs="Arial"/>
          <w:sz w:val="22"/>
        </w:rPr>
        <w:t>. También es importante considerar que las diferencias biológicas y la determinación cultural de los roles de género condicionan el diferente acceso y uso de los servicios de salud por parte de hombres y mujeres, así como su adhesión a los planes de cuidado de la salud. Determinar tratamientos efectivos requiere que los sistemas de salud tengan la capacidad de analizar los determinantes de género y los diferentes factores de riesgo asociados</w:t>
      </w:r>
      <w:r w:rsidRPr="00FE26CF">
        <w:rPr>
          <w:rFonts w:ascii="Arial" w:hAnsi="Arial" w:cs="Arial"/>
          <w:sz w:val="22"/>
          <w:vertAlign w:val="superscript"/>
        </w:rPr>
        <w:footnoteReference w:id="11"/>
      </w:r>
      <w:r w:rsidRPr="00FE26CF">
        <w:rPr>
          <w:rFonts w:ascii="Arial" w:hAnsi="Arial" w:cs="Arial"/>
          <w:sz w:val="22"/>
        </w:rPr>
        <w:t>.</w:t>
      </w:r>
    </w:p>
    <w:p w:rsidR="00C02D3A" w:rsidRPr="00FE26CF" w:rsidRDefault="00C02D3A" w:rsidP="00C02D3A">
      <w:pPr>
        <w:pStyle w:val="Paragraph"/>
        <w:tabs>
          <w:tab w:val="clear" w:pos="720"/>
        </w:tabs>
        <w:ind w:left="0" w:firstLine="0"/>
        <w:rPr>
          <w:rFonts w:ascii="Arial" w:hAnsi="Arial" w:cs="Arial"/>
          <w:sz w:val="22"/>
        </w:rPr>
      </w:pPr>
      <w:r w:rsidRPr="00FE26CF">
        <w:rPr>
          <w:rFonts w:ascii="Arial" w:hAnsi="Arial" w:cs="Arial"/>
          <w:sz w:val="22"/>
        </w:rPr>
        <w:t>En temas de salud materna e infantil, Ceará logró una significativa reducción (80%) de la Tasa de Mortalidad Infantil (TMI), que pasó de 66,8 a 13,8</w:t>
      </w:r>
      <w:r w:rsidRPr="00FE26CF">
        <w:rPr>
          <w:rStyle w:val="FootnoteReference"/>
          <w:rFonts w:ascii="Arial" w:hAnsi="Arial" w:cs="Arial"/>
          <w:sz w:val="22"/>
        </w:rPr>
        <w:footnoteReference w:id="12"/>
      </w:r>
      <w:r w:rsidRPr="00FE26CF">
        <w:rPr>
          <w:rFonts w:ascii="Arial" w:hAnsi="Arial" w:cs="Arial"/>
          <w:sz w:val="22"/>
        </w:rPr>
        <w:t xml:space="preserve"> por 1.000 nacidos vivos (NV) entre 1991 y 2013. No obstante, la mortalidad neonatal (hasta los 28 días) no se redujo en la misma proporción que la mortalidad posneonatal</w:t>
      </w:r>
      <w:r w:rsidRPr="00FE26CF">
        <w:rPr>
          <w:rStyle w:val="FootnoteReference"/>
          <w:rFonts w:ascii="Arial" w:hAnsi="Arial" w:cs="Arial"/>
          <w:sz w:val="22"/>
        </w:rPr>
        <w:footnoteReference w:id="13"/>
      </w:r>
      <w:r w:rsidRPr="00FE26CF">
        <w:rPr>
          <w:rFonts w:ascii="Arial" w:hAnsi="Arial" w:cs="Arial"/>
          <w:sz w:val="22"/>
        </w:rPr>
        <w:t>. La mortalidad neonatal es relacionada con causas prevenibles, como el bajo peso, septicemias, deficiencias en los cuidados brindados durante la etapa prenatal, el parto, el puerperio y la atención al neonato, así como transmisión en la cadena séptica.</w:t>
      </w:r>
    </w:p>
    <w:p w:rsidR="00C02D3A" w:rsidRPr="00FE26CF" w:rsidRDefault="00C02D3A" w:rsidP="00C02D3A">
      <w:pPr>
        <w:pStyle w:val="Paragraph"/>
        <w:tabs>
          <w:tab w:val="clear" w:pos="720"/>
        </w:tabs>
        <w:ind w:left="0" w:firstLine="0"/>
        <w:rPr>
          <w:rFonts w:ascii="Arial" w:hAnsi="Arial" w:cs="Arial"/>
          <w:sz w:val="22"/>
        </w:rPr>
      </w:pPr>
      <w:r w:rsidRPr="00FE26CF">
        <w:rPr>
          <w:rFonts w:ascii="Arial" w:hAnsi="Arial" w:cs="Arial"/>
          <w:sz w:val="22"/>
        </w:rPr>
        <w:t>Por su parte, persisten retos importantes de salud materna en Ceará. Si bien ha aumentado el porcentaje de nacidos vivos de madres con siete o más consultas prenatales entre 2008 y 2014 (de 50,1% a 63,4%), subsisten las altas tasas de mortalidad materna. En 2013 la Razón de la Mortalidad Materna (RMM) en Ceará fue de 81,6 por 100.000 NV (frente a una tasa de 69 para todo Brasil), y un 70% de estas muertes fueron debido a las causas obstétricas directas</w:t>
      </w:r>
      <w:r w:rsidRPr="00FE26CF">
        <w:rPr>
          <w:rFonts w:ascii="Arial" w:hAnsi="Arial" w:cs="Arial"/>
          <w:sz w:val="22"/>
          <w:vertAlign w:val="superscript"/>
        </w:rPr>
        <w:footnoteReference w:id="14"/>
      </w:r>
      <w:r w:rsidRPr="00FE26CF">
        <w:rPr>
          <w:rFonts w:ascii="Arial" w:hAnsi="Arial" w:cs="Arial"/>
          <w:sz w:val="22"/>
        </w:rPr>
        <w:t>,</w:t>
      </w:r>
      <w:r w:rsidRPr="00FE26CF">
        <w:rPr>
          <w:rFonts w:ascii="Arial" w:hAnsi="Arial" w:cs="Arial"/>
          <w:sz w:val="22"/>
          <w:vertAlign w:val="superscript"/>
        </w:rPr>
        <w:t xml:space="preserve"> </w:t>
      </w:r>
      <w:r w:rsidRPr="00FE26CF">
        <w:rPr>
          <w:rFonts w:ascii="Arial" w:hAnsi="Arial" w:cs="Arial"/>
          <w:sz w:val="22"/>
        </w:rPr>
        <w:t>consecuencia de complicaciones durante el embarazo, parto o puerperio ocasionados por errores en las intervenciones, tratamientos incorrectos, omisiones, u otros factores asociados. Las brechas de calidad en la atención son evidentes desde la etapa prenatal, cuando se esperaría detección y clasificación temprana de riesgo para impedir complicaciones en cuadros de riesgo y para brindar tratamientos oportunos. Una muestra de estos déficits es la alta incidencia de sífilis congénita, que en 2011 fue de 7,1 por 1.000 NV, más del doble del promedio nacional</w:t>
      </w:r>
      <w:r w:rsidRPr="00FE26CF">
        <w:rPr>
          <w:rStyle w:val="FootnoteReference"/>
          <w:rFonts w:ascii="Arial" w:hAnsi="Arial" w:cs="Arial"/>
          <w:sz w:val="22"/>
        </w:rPr>
        <w:t xml:space="preserve"> </w:t>
      </w:r>
      <w:r w:rsidRPr="00FE26CF">
        <w:rPr>
          <w:rFonts w:ascii="Arial" w:hAnsi="Arial" w:cs="Arial"/>
          <w:sz w:val="22"/>
        </w:rPr>
        <w:t xml:space="preserve"> de 3,3.</w:t>
      </w:r>
    </w:p>
    <w:p w:rsidR="009A7589" w:rsidRPr="00FE26CF" w:rsidRDefault="009A7589" w:rsidP="009A7589">
      <w:pPr>
        <w:pStyle w:val="Paragraph"/>
        <w:tabs>
          <w:tab w:val="clear" w:pos="720"/>
        </w:tabs>
        <w:ind w:left="0" w:firstLine="0"/>
        <w:rPr>
          <w:rFonts w:ascii="Arial" w:hAnsi="Arial" w:cs="Arial"/>
          <w:sz w:val="22"/>
        </w:rPr>
      </w:pPr>
      <w:bookmarkStart w:id="8" w:name="_Ref422738928"/>
      <w:r w:rsidRPr="00FE26CF">
        <w:rPr>
          <w:rFonts w:ascii="Arial" w:hAnsi="Arial" w:cs="Arial"/>
          <w:b/>
          <w:sz w:val="22"/>
        </w:rPr>
        <w:t xml:space="preserve">La estructuración del </w:t>
      </w:r>
      <w:r w:rsidRPr="00FE26CF">
        <w:rPr>
          <w:rFonts w:ascii="Arial" w:hAnsi="Arial" w:cs="Arial"/>
          <w:iCs/>
          <w:sz w:val="22"/>
        </w:rPr>
        <w:t>Sistema Único de Salud</w:t>
      </w:r>
      <w:r w:rsidRPr="00FE26CF">
        <w:rPr>
          <w:rFonts w:ascii="Arial" w:hAnsi="Arial" w:cs="Arial"/>
          <w:b/>
          <w:sz w:val="22"/>
        </w:rPr>
        <w:t xml:space="preserve"> (SUS) en Ceará y el impulso a las Redes de Atención en Salud (RAS)</w:t>
      </w:r>
      <w:r w:rsidRPr="00FE26CF">
        <w:rPr>
          <w:rFonts w:ascii="Arial" w:hAnsi="Arial" w:cs="Arial"/>
          <w:b/>
          <w:sz w:val="22"/>
          <w:vertAlign w:val="superscript"/>
        </w:rPr>
        <w:footnoteReference w:id="15"/>
      </w:r>
      <w:r w:rsidRPr="00FE26CF">
        <w:rPr>
          <w:rFonts w:ascii="Arial" w:hAnsi="Arial" w:cs="Arial"/>
          <w:b/>
          <w:sz w:val="22"/>
        </w:rPr>
        <w:t>.</w:t>
      </w:r>
      <w:r w:rsidRPr="00FE26CF">
        <w:rPr>
          <w:rFonts w:ascii="Arial" w:hAnsi="Arial" w:cs="Arial"/>
          <w:sz w:val="22"/>
        </w:rPr>
        <w:t xml:space="preserve"> Ceará se destaca por ser el precursor del Programa Salud Familiar (PSF) en Brasil</w:t>
      </w:r>
      <w:r w:rsidRPr="00FE26CF">
        <w:rPr>
          <w:rFonts w:ascii="Arial" w:hAnsi="Arial" w:cs="Arial"/>
          <w:sz w:val="22"/>
          <w:vertAlign w:val="superscript"/>
        </w:rPr>
        <w:footnoteReference w:id="16"/>
      </w:r>
      <w:r w:rsidRPr="00FE26CF">
        <w:rPr>
          <w:rFonts w:ascii="Arial" w:hAnsi="Arial" w:cs="Arial"/>
          <w:sz w:val="22"/>
        </w:rPr>
        <w:t xml:space="preserve"> y por contar con altos niveles de cobertura de Atención Primaria de Salud (APS)</w:t>
      </w:r>
      <w:r w:rsidRPr="00FE26CF">
        <w:rPr>
          <w:rStyle w:val="FootnoteReference"/>
          <w:rFonts w:ascii="Arial" w:hAnsi="Arial" w:cs="Arial"/>
          <w:sz w:val="22"/>
        </w:rPr>
        <w:footnoteReference w:id="17"/>
      </w:r>
      <w:r w:rsidRPr="00FE26CF">
        <w:rPr>
          <w:rFonts w:ascii="Arial" w:hAnsi="Arial" w:cs="Arial"/>
          <w:sz w:val="22"/>
        </w:rPr>
        <w:t>. El modelo de las RAS en Brasil, define a la atención básica como la puerta de entrada del sistema y como la ordenadora del cuidado, lo que ha mostrado resultados positivos con el PSF</w:t>
      </w:r>
      <w:r w:rsidRPr="00FE26CF">
        <w:rPr>
          <w:rFonts w:ascii="Arial" w:hAnsi="Arial" w:cs="Arial"/>
          <w:sz w:val="22"/>
          <w:vertAlign w:val="superscript"/>
        </w:rPr>
        <w:footnoteReference w:id="18"/>
      </w:r>
      <w:r w:rsidRPr="00FE26CF">
        <w:rPr>
          <w:rFonts w:ascii="Arial" w:hAnsi="Arial" w:cs="Arial"/>
          <w:sz w:val="22"/>
        </w:rPr>
        <w:t>. Es así que con el primer nivel estructurado, el Estado pudo avanzar, desde finales de los 90, en la organización de la salud en las RAS</w:t>
      </w:r>
      <w:r w:rsidRPr="00FE26CF" w:rsidDel="000D053A">
        <w:rPr>
          <w:rFonts w:ascii="Arial" w:hAnsi="Arial" w:cs="Arial"/>
          <w:sz w:val="22"/>
        </w:rPr>
        <w:t xml:space="preserve"> </w:t>
      </w:r>
      <w:r w:rsidRPr="00FE26CF">
        <w:rPr>
          <w:rFonts w:ascii="Arial" w:hAnsi="Arial" w:cs="Arial"/>
          <w:sz w:val="22"/>
        </w:rPr>
        <w:t xml:space="preserve">jerarquizadas en macro y micro </w:t>
      </w:r>
      <w:r w:rsidRPr="00FE26CF">
        <w:rPr>
          <w:rFonts w:ascii="Arial" w:hAnsi="Arial" w:cs="Arial"/>
          <w:sz w:val="22"/>
        </w:rPr>
        <w:lastRenderedPageBreak/>
        <w:t>regiones</w:t>
      </w:r>
      <w:r w:rsidRPr="00FE26CF">
        <w:rPr>
          <w:rStyle w:val="FootnoteReference"/>
          <w:rFonts w:ascii="Arial" w:hAnsi="Arial" w:cs="Arial"/>
          <w:sz w:val="22"/>
        </w:rPr>
        <w:footnoteReference w:id="19"/>
      </w:r>
      <w:r w:rsidRPr="00FE26CF">
        <w:rPr>
          <w:rFonts w:ascii="Arial" w:hAnsi="Arial" w:cs="Arial"/>
          <w:sz w:val="22"/>
        </w:rPr>
        <w:t>, de manera de racionalizar el acceso a la atención de media y alta complejidad, creando puntos de referencia y contra referencia regionales</w:t>
      </w:r>
      <w:r w:rsidRPr="00FE26CF">
        <w:rPr>
          <w:rStyle w:val="FootnoteReference"/>
          <w:rFonts w:ascii="Arial" w:hAnsi="Arial" w:cs="Arial"/>
          <w:sz w:val="22"/>
        </w:rPr>
        <w:footnoteReference w:id="20"/>
      </w:r>
      <w:r w:rsidRPr="00FE26CF">
        <w:rPr>
          <w:rFonts w:ascii="Arial" w:hAnsi="Arial" w:cs="Arial"/>
          <w:sz w:val="22"/>
        </w:rPr>
        <w:t>.</w:t>
      </w:r>
      <w:bookmarkEnd w:id="8"/>
      <w:r w:rsidRPr="00FE26CF">
        <w:rPr>
          <w:rFonts w:ascii="Arial" w:hAnsi="Arial" w:cs="Arial"/>
          <w:sz w:val="22"/>
        </w:rPr>
        <w:t xml:space="preserve"> </w:t>
      </w:r>
    </w:p>
    <w:p w:rsidR="009A7589" w:rsidRPr="00FE26CF" w:rsidRDefault="009A7589" w:rsidP="009A7589">
      <w:pPr>
        <w:pStyle w:val="Paragraph"/>
        <w:tabs>
          <w:tab w:val="clear" w:pos="720"/>
        </w:tabs>
        <w:ind w:left="0" w:firstLine="0"/>
        <w:rPr>
          <w:rFonts w:ascii="Arial" w:hAnsi="Arial" w:cs="Arial"/>
          <w:sz w:val="22"/>
        </w:rPr>
      </w:pPr>
      <w:r w:rsidRPr="00FE26CF">
        <w:rPr>
          <w:rFonts w:ascii="Arial" w:hAnsi="Arial" w:cs="Arial"/>
          <w:sz w:val="22"/>
        </w:rPr>
        <w:t>Desde 2008 el Gobierno de Ceará ha invertido en la ampliación de la oferta y de la calidad de los servicios de las RAS para superar el obstáculo de las brechas de acceso a los servicios de mayor complejidad, equilibrar recursos entre las regiones y garantizar la integralidad de la atención en todo el Estado. En este contexto, fue clave el apoyo del Banco al Estado, por medio del Programa de Expansión y Mejora de los Servicios de Salud Especializada en Ceará—PROEXMAES (2137-OC/BR)</w:t>
      </w:r>
      <w:r w:rsidRPr="00FE26CF">
        <w:rPr>
          <w:rStyle w:val="FootnoteReference"/>
          <w:rFonts w:ascii="Arial" w:hAnsi="Arial" w:cs="Arial"/>
          <w:sz w:val="22"/>
        </w:rPr>
        <w:footnoteReference w:id="21"/>
      </w:r>
      <w:r w:rsidRPr="00FE26CF">
        <w:rPr>
          <w:rFonts w:ascii="Arial" w:hAnsi="Arial" w:cs="Arial"/>
          <w:sz w:val="22"/>
        </w:rPr>
        <w:t xml:space="preserve"> que cofinanció la construcción y equipamientos de 20 policlínicas, 16 Centros de Especialidades Odontológicas (CEOs) y dos hospitales regionales, además de acciones de capacitación gerencial y clínica, y apoyo a la gestión para avanzar en la implementación del modelo de redes. Asimismo, el Estado ha expandido el acceso a los servicios y la eficiencia en el manejo de la capacidad instalada a través del fortalecimiento del sistema de regulación.  </w:t>
      </w:r>
    </w:p>
    <w:p w:rsidR="009A7589" w:rsidRPr="00FE26CF" w:rsidRDefault="00620E0A" w:rsidP="000B185D">
      <w:pPr>
        <w:pStyle w:val="FirstHeading"/>
        <w:numPr>
          <w:ilvl w:val="0"/>
          <w:numId w:val="38"/>
        </w:numPr>
        <w:spacing w:before="240" w:after="240"/>
        <w:ind w:left="720"/>
        <w:rPr>
          <w:rFonts w:ascii="Arial" w:hAnsi="Arial" w:cs="Arial"/>
          <w:sz w:val="22"/>
        </w:rPr>
      </w:pPr>
      <w:bookmarkStart w:id="9" w:name="_Toc422751911"/>
      <w:bookmarkStart w:id="10" w:name="_Ref285380113"/>
      <w:r w:rsidRPr="00FE26CF">
        <w:rPr>
          <w:rFonts w:ascii="Arial" w:hAnsi="Arial" w:cs="Arial"/>
          <w:sz w:val="22"/>
        </w:rPr>
        <w:t>B.</w:t>
      </w:r>
      <w:r w:rsidRPr="00FE26CF">
        <w:rPr>
          <w:rFonts w:ascii="Arial" w:hAnsi="Arial" w:cs="Arial"/>
          <w:sz w:val="22"/>
        </w:rPr>
        <w:tab/>
      </w:r>
      <w:r w:rsidR="009A7589" w:rsidRPr="00FE26CF">
        <w:rPr>
          <w:rFonts w:ascii="Arial" w:hAnsi="Arial" w:cs="Arial"/>
          <w:sz w:val="22"/>
        </w:rPr>
        <w:t>Objetivos, Componentes y Costo</w:t>
      </w:r>
      <w:bookmarkEnd w:id="9"/>
    </w:p>
    <w:p w:rsidR="009A7589" w:rsidRPr="00FE26CF" w:rsidRDefault="009A7589" w:rsidP="009A7589">
      <w:pPr>
        <w:pStyle w:val="Paragraph"/>
        <w:tabs>
          <w:tab w:val="clear" w:pos="720"/>
        </w:tabs>
        <w:ind w:left="0" w:firstLine="0"/>
        <w:rPr>
          <w:rFonts w:ascii="Arial" w:hAnsi="Arial" w:cs="Arial"/>
          <w:sz w:val="22"/>
        </w:rPr>
      </w:pPr>
      <w:r w:rsidRPr="00FE26CF">
        <w:rPr>
          <w:rFonts w:ascii="Arial" w:hAnsi="Arial" w:cs="Arial"/>
          <w:sz w:val="22"/>
        </w:rPr>
        <w:t>El objetivo del programa es contribuir a mejorar las condiciones de salud de la población de Ceará por medio del incremento del acceso y de la calidad de los servicios, y por la mejora del desempeño del sistema, consolidando el enfoque de las RAS en el Estado. La operación se estructura en tres componentes:</w:t>
      </w:r>
    </w:p>
    <w:p w:rsidR="009A7589" w:rsidRPr="00FE26CF" w:rsidRDefault="009A7589" w:rsidP="009A7589">
      <w:pPr>
        <w:pStyle w:val="Paragraph"/>
        <w:tabs>
          <w:tab w:val="clear" w:pos="720"/>
        </w:tabs>
        <w:ind w:left="0" w:firstLine="0"/>
        <w:rPr>
          <w:rFonts w:ascii="Arial" w:hAnsi="Arial" w:cs="Arial"/>
          <w:sz w:val="22"/>
        </w:rPr>
      </w:pPr>
      <w:r w:rsidRPr="00FE26CF">
        <w:rPr>
          <w:rFonts w:ascii="Arial" w:hAnsi="Arial" w:cs="Arial"/>
          <w:b/>
          <w:sz w:val="22"/>
        </w:rPr>
        <w:t>Componente 1. Fortalecimiento de la gestión y mejora de la calidad de los servicios (BID US$</w:t>
      </w:r>
      <w:r w:rsidR="00AB4ABA" w:rsidRPr="00FE26CF">
        <w:rPr>
          <w:rFonts w:ascii="Arial" w:hAnsi="Arial" w:cs="Arial"/>
          <w:b/>
          <w:sz w:val="22"/>
        </w:rPr>
        <w:t>27,3</w:t>
      </w:r>
      <w:r w:rsidRPr="00FE26CF">
        <w:rPr>
          <w:rFonts w:ascii="Arial" w:hAnsi="Arial" w:cs="Arial"/>
          <w:b/>
          <w:sz w:val="22"/>
        </w:rPr>
        <w:t xml:space="preserve"> millones). </w:t>
      </w:r>
      <w:r w:rsidRPr="00FE26CF">
        <w:rPr>
          <w:rFonts w:ascii="Arial" w:hAnsi="Arial" w:cs="Arial"/>
          <w:sz w:val="22"/>
        </w:rPr>
        <w:t>El objetivo de este componente es incrementar la eficiencia de las redes regionalizadas de salud y la calidad de sus servicios, por medio de la mejora de los aspectos logísticos y de la gestión clínica y gerencial. Se financiarán: (i) consultorías para planificación de procesos, sistemas y recursos para la gestión de las redes</w:t>
      </w:r>
      <w:r w:rsidRPr="00FE26CF">
        <w:rPr>
          <w:rFonts w:ascii="Arial" w:hAnsi="Arial" w:cs="Arial"/>
          <w:sz w:val="22"/>
          <w:vertAlign w:val="superscript"/>
        </w:rPr>
        <w:footnoteReference w:id="22"/>
      </w:r>
      <w:r w:rsidRPr="00FE26CF">
        <w:rPr>
          <w:rFonts w:ascii="Arial" w:hAnsi="Arial" w:cs="Arial"/>
          <w:sz w:val="22"/>
        </w:rPr>
        <w:t>; (ii) reforma y ampliación de las instalaciones de la SESA y de sus coordinaciones regionales; (iii) diseño e infraestructura del Centro de Logística de la Salud; (iv) reestructuración de procesos e informatización de la gestión de toda la red hospitalaria propia; (v) fortalecimiento de los sistemas de regulación del acceso; (vi) elaboración e implementación de protocolos clínicos y líneas de cuidado prioritarias</w:t>
      </w:r>
      <w:r w:rsidRPr="00FE26CF">
        <w:rPr>
          <w:rFonts w:ascii="Arial" w:hAnsi="Arial" w:cs="Arial"/>
          <w:sz w:val="22"/>
          <w:vertAlign w:val="superscript"/>
        </w:rPr>
        <w:footnoteReference w:id="23"/>
      </w:r>
      <w:r w:rsidRPr="00FE26CF">
        <w:rPr>
          <w:rFonts w:ascii="Arial" w:hAnsi="Arial" w:cs="Arial"/>
          <w:sz w:val="22"/>
          <w:vertAlign w:val="superscript"/>
        </w:rPr>
        <w:t>;</w:t>
      </w:r>
      <w:r w:rsidRPr="00FE26CF">
        <w:rPr>
          <w:rFonts w:ascii="Arial" w:hAnsi="Arial" w:cs="Arial"/>
          <w:sz w:val="22"/>
        </w:rPr>
        <w:t>(vii) acreditación de 29 unidades de salud de media complejidad (policlínicas y CEOS) y 3 unidades hospitalarias propias; y (viii) formación de recursos humanos.</w:t>
      </w:r>
    </w:p>
    <w:p w:rsidR="009A7589" w:rsidRPr="00FE26CF" w:rsidRDefault="009A7589" w:rsidP="009A7589">
      <w:pPr>
        <w:pStyle w:val="Paragraph"/>
        <w:tabs>
          <w:tab w:val="clear" w:pos="720"/>
        </w:tabs>
        <w:ind w:left="0" w:firstLine="0"/>
        <w:rPr>
          <w:rFonts w:ascii="Arial" w:hAnsi="Arial" w:cs="Arial"/>
          <w:sz w:val="22"/>
        </w:rPr>
      </w:pPr>
      <w:r w:rsidRPr="00FE26CF">
        <w:rPr>
          <w:rFonts w:ascii="Arial" w:hAnsi="Arial" w:cs="Arial"/>
          <w:b/>
          <w:sz w:val="22"/>
        </w:rPr>
        <w:t>Componente 2. Ampliación del acceso y consolidación de las RAS (BID US$8</w:t>
      </w:r>
      <w:r w:rsidR="00AB4ABA" w:rsidRPr="00FE26CF">
        <w:rPr>
          <w:rFonts w:ascii="Arial" w:hAnsi="Arial" w:cs="Arial"/>
          <w:b/>
          <w:sz w:val="22"/>
        </w:rPr>
        <w:t>5,8</w:t>
      </w:r>
      <w:r w:rsidR="000B185D" w:rsidRPr="00FE26CF">
        <w:rPr>
          <w:rFonts w:ascii="Arial" w:hAnsi="Arial" w:cs="Arial"/>
          <w:b/>
          <w:sz w:val="22"/>
        </w:rPr>
        <w:t> </w:t>
      </w:r>
      <w:r w:rsidRPr="00FE26CF">
        <w:rPr>
          <w:rFonts w:ascii="Arial" w:hAnsi="Arial" w:cs="Arial"/>
          <w:b/>
          <w:sz w:val="22"/>
        </w:rPr>
        <w:t>millones, Local US$55</w:t>
      </w:r>
      <w:r w:rsidR="00064AF1">
        <w:rPr>
          <w:rFonts w:ascii="Arial" w:hAnsi="Arial" w:cs="Arial"/>
          <w:b/>
          <w:sz w:val="22"/>
        </w:rPr>
        <w:t>,5</w:t>
      </w:r>
      <w:r w:rsidRPr="00FE26CF">
        <w:rPr>
          <w:rFonts w:ascii="Arial" w:hAnsi="Arial" w:cs="Arial"/>
          <w:b/>
          <w:sz w:val="22"/>
        </w:rPr>
        <w:t xml:space="preserve"> millones).</w:t>
      </w:r>
      <w:r w:rsidRPr="00FE26CF">
        <w:rPr>
          <w:rFonts w:ascii="Arial" w:hAnsi="Arial" w:cs="Arial"/>
          <w:sz w:val="22"/>
        </w:rPr>
        <w:t xml:space="preserve"> Este componente tiene como objetivo ampliar el acceso a servicios de media y alta complejidad en regiones prioritarias, asegurando su integración con la APS y garantizando un cuidado integral. Se financiarán: (i) la construcción y equipamiento del Hospital Regional de Litoral-Jaguaribe; (ii) la construcción y equipamiento del Hospital Metropolitano- PPP; (iii) la construcción y equipamiento de una policlínica en Fortaleza; y (iv) reformas y equipamiento de servicios de atención al parto en las macro regiones de Fortaleza, Cariri, Sobral y Litoral-Jaguaribe</w:t>
      </w:r>
      <w:r w:rsidRPr="00FE26CF">
        <w:rPr>
          <w:rStyle w:val="FootnoteReference"/>
          <w:rFonts w:ascii="Arial" w:hAnsi="Arial" w:cs="Arial"/>
          <w:sz w:val="22"/>
        </w:rPr>
        <w:footnoteReference w:id="24"/>
      </w:r>
      <w:r w:rsidRPr="00FE26CF">
        <w:rPr>
          <w:rFonts w:ascii="Arial" w:hAnsi="Arial" w:cs="Arial"/>
          <w:sz w:val="22"/>
        </w:rPr>
        <w:t>.</w:t>
      </w:r>
    </w:p>
    <w:p w:rsidR="009A7589" w:rsidRPr="00FE26CF" w:rsidRDefault="009A7589" w:rsidP="009A7589">
      <w:pPr>
        <w:pStyle w:val="Paragraph"/>
        <w:tabs>
          <w:tab w:val="clear" w:pos="720"/>
        </w:tabs>
        <w:ind w:left="0" w:firstLine="0"/>
        <w:rPr>
          <w:rFonts w:ascii="Arial" w:hAnsi="Arial" w:cs="Arial"/>
          <w:sz w:val="22"/>
        </w:rPr>
      </w:pPr>
      <w:r w:rsidRPr="00FE26CF">
        <w:rPr>
          <w:rFonts w:ascii="Arial" w:hAnsi="Arial" w:cs="Arial"/>
          <w:b/>
          <w:sz w:val="22"/>
        </w:rPr>
        <w:lastRenderedPageBreak/>
        <w:t>Componente 3. Administración y evaluación (BID US$</w:t>
      </w:r>
      <w:r w:rsidR="00AB4ABA" w:rsidRPr="00FE26CF">
        <w:rPr>
          <w:rFonts w:ascii="Arial" w:hAnsi="Arial" w:cs="Arial"/>
          <w:b/>
          <w:sz w:val="22"/>
        </w:rPr>
        <w:t>9,9</w:t>
      </w:r>
      <w:r w:rsidRPr="00FE26CF">
        <w:rPr>
          <w:rFonts w:ascii="Arial" w:hAnsi="Arial" w:cs="Arial"/>
          <w:b/>
          <w:sz w:val="22"/>
        </w:rPr>
        <w:t> millones).</w:t>
      </w:r>
      <w:r w:rsidRPr="00FE26CF">
        <w:rPr>
          <w:rFonts w:ascii="Arial" w:hAnsi="Arial" w:cs="Arial"/>
          <w:sz w:val="22"/>
        </w:rPr>
        <w:t xml:space="preserve"> Este componente apoyará a la SESA a ejecutar el programa y a dar seguimiento a los resultados previstos. Serán financiados servicios técnicos especializados y consultorías para la gestión del programa; servicios de supervisión y control de calidad de las obras y estudios de evaluación de la implementación e impacto del programa.</w:t>
      </w:r>
    </w:p>
    <w:p w:rsidR="009A7589" w:rsidRPr="00FE26CF" w:rsidRDefault="009A7589" w:rsidP="000B185D">
      <w:pPr>
        <w:pStyle w:val="Paragraph"/>
        <w:tabs>
          <w:tab w:val="clear" w:pos="720"/>
        </w:tabs>
        <w:spacing w:before="240"/>
        <w:ind w:left="0" w:firstLine="0"/>
        <w:jc w:val="center"/>
        <w:rPr>
          <w:rFonts w:ascii="Arial" w:hAnsi="Arial" w:cs="Arial"/>
          <w:b/>
          <w:sz w:val="22"/>
          <w:highlight w:val="yellow"/>
        </w:rPr>
      </w:pPr>
      <w:r w:rsidRPr="00FE26CF">
        <w:rPr>
          <w:rFonts w:ascii="Arial" w:hAnsi="Arial" w:cs="Arial"/>
          <w:b/>
          <w:sz w:val="22"/>
        </w:rPr>
        <w:t>Cuadro I.1. Costos de la operación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1318"/>
        <w:gridCol w:w="1231"/>
        <w:gridCol w:w="1318"/>
      </w:tblGrid>
      <w:tr w:rsidR="009A7589" w:rsidRPr="00FE26CF" w:rsidTr="0039667A">
        <w:tc>
          <w:tcPr>
            <w:tcW w:w="4701" w:type="dxa"/>
            <w:shd w:val="clear" w:color="auto" w:fill="8DB3E2"/>
          </w:tcPr>
          <w:p w:rsidR="009A7589" w:rsidRPr="00FE26CF" w:rsidRDefault="009A7589" w:rsidP="0039667A">
            <w:pPr>
              <w:jc w:val="center"/>
              <w:rPr>
                <w:rFonts w:cs="Arial"/>
                <w:b/>
                <w:sz w:val="18"/>
                <w:szCs w:val="18"/>
                <w:lang w:val="es-ES"/>
              </w:rPr>
            </w:pPr>
            <w:r w:rsidRPr="00FE26CF">
              <w:rPr>
                <w:rFonts w:cs="Arial"/>
                <w:b/>
                <w:sz w:val="18"/>
                <w:szCs w:val="18"/>
                <w:lang w:val="es-ES"/>
              </w:rPr>
              <w:t>Componentes</w:t>
            </w:r>
          </w:p>
        </w:tc>
        <w:tc>
          <w:tcPr>
            <w:tcW w:w="1318" w:type="dxa"/>
            <w:shd w:val="clear" w:color="auto" w:fill="8DB3E2"/>
          </w:tcPr>
          <w:p w:rsidR="009A7589" w:rsidRPr="00FE26CF" w:rsidRDefault="009A7589" w:rsidP="0039667A">
            <w:pPr>
              <w:jc w:val="center"/>
              <w:rPr>
                <w:rFonts w:cs="Arial"/>
                <w:b/>
                <w:sz w:val="18"/>
                <w:szCs w:val="18"/>
                <w:lang w:val="es-ES"/>
              </w:rPr>
            </w:pPr>
            <w:r w:rsidRPr="00FE26CF">
              <w:rPr>
                <w:rFonts w:cs="Arial"/>
                <w:b/>
                <w:sz w:val="18"/>
                <w:szCs w:val="18"/>
                <w:lang w:val="es-ES"/>
              </w:rPr>
              <w:t>BID (US$)</w:t>
            </w:r>
          </w:p>
        </w:tc>
        <w:tc>
          <w:tcPr>
            <w:tcW w:w="1231" w:type="dxa"/>
            <w:shd w:val="clear" w:color="auto" w:fill="8DB3E2"/>
          </w:tcPr>
          <w:p w:rsidR="009A7589" w:rsidRPr="00FE26CF" w:rsidRDefault="009A7589" w:rsidP="0039667A">
            <w:pPr>
              <w:jc w:val="center"/>
              <w:rPr>
                <w:rFonts w:cs="Arial"/>
                <w:b/>
                <w:sz w:val="18"/>
                <w:szCs w:val="18"/>
                <w:lang w:val="es-ES"/>
              </w:rPr>
            </w:pPr>
            <w:r w:rsidRPr="00FE26CF">
              <w:rPr>
                <w:rFonts w:cs="Arial"/>
                <w:b/>
                <w:sz w:val="18"/>
                <w:szCs w:val="18"/>
                <w:lang w:val="es-ES"/>
              </w:rPr>
              <w:t>Local (US$)</w:t>
            </w:r>
          </w:p>
        </w:tc>
        <w:tc>
          <w:tcPr>
            <w:tcW w:w="1318" w:type="dxa"/>
            <w:shd w:val="clear" w:color="auto" w:fill="8DB3E2"/>
          </w:tcPr>
          <w:p w:rsidR="009A7589" w:rsidRPr="00FE26CF" w:rsidRDefault="009A7589" w:rsidP="0039667A">
            <w:pPr>
              <w:jc w:val="center"/>
              <w:rPr>
                <w:rFonts w:cs="Arial"/>
                <w:b/>
                <w:sz w:val="18"/>
                <w:szCs w:val="18"/>
                <w:lang w:val="es-ES"/>
              </w:rPr>
            </w:pPr>
            <w:r w:rsidRPr="00FE26CF">
              <w:rPr>
                <w:rFonts w:cs="Arial"/>
                <w:b/>
                <w:sz w:val="18"/>
                <w:szCs w:val="18"/>
                <w:lang w:val="es-ES"/>
              </w:rPr>
              <w:t>Total (US$)</w:t>
            </w:r>
          </w:p>
        </w:tc>
      </w:tr>
      <w:tr w:rsidR="009A7589" w:rsidRPr="00FE26CF" w:rsidTr="0039667A">
        <w:tc>
          <w:tcPr>
            <w:tcW w:w="4701" w:type="dxa"/>
            <w:shd w:val="clear" w:color="auto" w:fill="auto"/>
          </w:tcPr>
          <w:p w:rsidR="009A7589" w:rsidRPr="00FE26CF" w:rsidRDefault="009A7589" w:rsidP="0039667A">
            <w:pPr>
              <w:rPr>
                <w:rFonts w:cs="Arial"/>
                <w:sz w:val="18"/>
                <w:szCs w:val="18"/>
                <w:lang w:val="es-ES"/>
              </w:rPr>
            </w:pPr>
            <w:r w:rsidRPr="00FE26CF">
              <w:rPr>
                <w:rFonts w:cs="Arial"/>
                <w:sz w:val="18"/>
                <w:szCs w:val="18"/>
                <w:lang w:val="es-ES"/>
              </w:rPr>
              <w:t xml:space="preserve">Componente 1. Fortalecimiento de la gestión y mejora de la calidad de los servicios </w:t>
            </w:r>
          </w:p>
        </w:tc>
        <w:tc>
          <w:tcPr>
            <w:tcW w:w="1318" w:type="dxa"/>
            <w:shd w:val="clear" w:color="auto" w:fill="auto"/>
          </w:tcPr>
          <w:p w:rsidR="009A7589" w:rsidRPr="00FE26CF" w:rsidRDefault="009A7589" w:rsidP="0039667A">
            <w:pPr>
              <w:jc w:val="right"/>
              <w:rPr>
                <w:rFonts w:cs="Arial"/>
                <w:sz w:val="18"/>
                <w:szCs w:val="18"/>
                <w:lang w:val="es-ES"/>
              </w:rPr>
            </w:pPr>
            <w:r w:rsidRPr="00FE26CF">
              <w:rPr>
                <w:rFonts w:cs="Arial"/>
                <w:sz w:val="18"/>
                <w:szCs w:val="18"/>
                <w:lang w:val="es-ES"/>
              </w:rPr>
              <w:t>27.338.203</w:t>
            </w:r>
          </w:p>
        </w:tc>
        <w:tc>
          <w:tcPr>
            <w:tcW w:w="1231" w:type="dxa"/>
            <w:shd w:val="clear" w:color="auto" w:fill="auto"/>
          </w:tcPr>
          <w:p w:rsidR="009A7589" w:rsidRPr="00FE26CF" w:rsidRDefault="009A7589" w:rsidP="0039667A">
            <w:pPr>
              <w:jc w:val="center"/>
              <w:rPr>
                <w:rFonts w:cs="Arial"/>
                <w:sz w:val="18"/>
                <w:szCs w:val="18"/>
                <w:lang w:val="es-ES"/>
              </w:rPr>
            </w:pPr>
            <w:r w:rsidRPr="00FE26CF">
              <w:rPr>
                <w:rFonts w:cs="Arial"/>
                <w:sz w:val="18"/>
                <w:szCs w:val="18"/>
                <w:lang w:val="es-ES"/>
              </w:rPr>
              <w:t>0</w:t>
            </w:r>
          </w:p>
        </w:tc>
        <w:tc>
          <w:tcPr>
            <w:tcW w:w="1318" w:type="dxa"/>
            <w:shd w:val="clear" w:color="auto" w:fill="auto"/>
          </w:tcPr>
          <w:p w:rsidR="009A7589" w:rsidRPr="00FE26CF" w:rsidRDefault="009A7589" w:rsidP="0039667A">
            <w:pPr>
              <w:jc w:val="right"/>
              <w:rPr>
                <w:rFonts w:cs="Arial"/>
                <w:sz w:val="18"/>
                <w:szCs w:val="18"/>
                <w:lang w:val="es-ES"/>
              </w:rPr>
            </w:pPr>
            <w:r w:rsidRPr="00FE26CF">
              <w:rPr>
                <w:rFonts w:cs="Arial"/>
                <w:sz w:val="18"/>
                <w:szCs w:val="18"/>
                <w:lang w:val="es-ES"/>
              </w:rPr>
              <w:t>27.338.203</w:t>
            </w:r>
          </w:p>
        </w:tc>
      </w:tr>
      <w:tr w:rsidR="009A7589" w:rsidRPr="00FE26CF" w:rsidTr="0039667A">
        <w:tc>
          <w:tcPr>
            <w:tcW w:w="4701" w:type="dxa"/>
            <w:shd w:val="clear" w:color="auto" w:fill="auto"/>
          </w:tcPr>
          <w:p w:rsidR="009A7589" w:rsidRPr="00FE26CF" w:rsidRDefault="009A7589" w:rsidP="0039667A">
            <w:pPr>
              <w:rPr>
                <w:rFonts w:cs="Arial"/>
                <w:sz w:val="18"/>
                <w:szCs w:val="18"/>
                <w:lang w:val="es-ES"/>
              </w:rPr>
            </w:pPr>
            <w:r w:rsidRPr="00FE26CF">
              <w:rPr>
                <w:rFonts w:cs="Arial"/>
                <w:sz w:val="18"/>
                <w:szCs w:val="18"/>
                <w:lang w:val="es-ES"/>
              </w:rPr>
              <w:t>Componente 2. Ampliación del acceso y consolidación de las RAS</w:t>
            </w:r>
          </w:p>
        </w:tc>
        <w:tc>
          <w:tcPr>
            <w:tcW w:w="1318" w:type="dxa"/>
            <w:shd w:val="clear" w:color="auto" w:fill="auto"/>
          </w:tcPr>
          <w:p w:rsidR="009A7589" w:rsidRPr="00FE26CF" w:rsidRDefault="009A7589" w:rsidP="0039667A">
            <w:pPr>
              <w:jc w:val="right"/>
              <w:rPr>
                <w:rFonts w:cs="Arial"/>
                <w:sz w:val="18"/>
                <w:szCs w:val="18"/>
                <w:lang w:val="es-ES"/>
              </w:rPr>
            </w:pPr>
            <w:r w:rsidRPr="00FE26CF">
              <w:rPr>
                <w:rFonts w:cs="Arial"/>
                <w:sz w:val="18"/>
                <w:szCs w:val="18"/>
                <w:lang w:val="es-ES"/>
              </w:rPr>
              <w:t>85.761</w:t>
            </w:r>
            <w:r w:rsidR="00AB4ABA" w:rsidRPr="00FE26CF">
              <w:rPr>
                <w:rFonts w:cs="Arial"/>
                <w:sz w:val="18"/>
                <w:szCs w:val="18"/>
                <w:lang w:val="es-ES"/>
              </w:rPr>
              <w:t>.</w:t>
            </w:r>
            <w:r w:rsidRPr="00FE26CF">
              <w:rPr>
                <w:rFonts w:cs="Arial"/>
                <w:sz w:val="18"/>
                <w:szCs w:val="18"/>
                <w:lang w:val="es-ES"/>
              </w:rPr>
              <w:t>797</w:t>
            </w:r>
          </w:p>
        </w:tc>
        <w:tc>
          <w:tcPr>
            <w:tcW w:w="1231" w:type="dxa"/>
            <w:shd w:val="clear" w:color="auto" w:fill="auto"/>
          </w:tcPr>
          <w:p w:rsidR="009A7589" w:rsidRPr="00FE26CF" w:rsidRDefault="009A7589" w:rsidP="0039667A">
            <w:pPr>
              <w:jc w:val="right"/>
              <w:rPr>
                <w:rFonts w:cs="Arial"/>
                <w:sz w:val="18"/>
                <w:szCs w:val="18"/>
                <w:lang w:val="es-ES"/>
              </w:rPr>
            </w:pPr>
            <w:r w:rsidRPr="00FE26CF">
              <w:rPr>
                <w:rFonts w:cs="Arial"/>
                <w:sz w:val="18"/>
                <w:szCs w:val="18"/>
                <w:lang w:val="es-ES"/>
              </w:rPr>
              <w:t>55.</w:t>
            </w:r>
            <w:r w:rsidR="00064AF1">
              <w:rPr>
                <w:rFonts w:cs="Arial"/>
                <w:sz w:val="18"/>
                <w:szCs w:val="18"/>
                <w:lang w:val="es-ES"/>
              </w:rPr>
              <w:t>5</w:t>
            </w:r>
            <w:r w:rsidRPr="00FE26CF">
              <w:rPr>
                <w:rFonts w:cs="Arial"/>
                <w:sz w:val="18"/>
                <w:szCs w:val="18"/>
                <w:lang w:val="es-ES"/>
              </w:rPr>
              <w:t>00.000</w:t>
            </w:r>
          </w:p>
        </w:tc>
        <w:tc>
          <w:tcPr>
            <w:tcW w:w="1318" w:type="dxa"/>
            <w:shd w:val="clear" w:color="auto" w:fill="auto"/>
          </w:tcPr>
          <w:p w:rsidR="009A7589" w:rsidRPr="00FE26CF" w:rsidRDefault="009A7589" w:rsidP="0039667A">
            <w:pPr>
              <w:jc w:val="right"/>
              <w:rPr>
                <w:rFonts w:cs="Arial"/>
                <w:sz w:val="18"/>
                <w:szCs w:val="18"/>
                <w:lang w:val="es-ES"/>
              </w:rPr>
            </w:pPr>
            <w:r w:rsidRPr="00FE26CF">
              <w:rPr>
                <w:rFonts w:cs="Arial"/>
                <w:sz w:val="18"/>
                <w:szCs w:val="18"/>
                <w:lang w:val="es-ES"/>
              </w:rPr>
              <w:t>14</w:t>
            </w:r>
            <w:r w:rsidR="00064AF1">
              <w:rPr>
                <w:rFonts w:cs="Arial"/>
                <w:sz w:val="18"/>
                <w:szCs w:val="18"/>
                <w:lang w:val="es-ES"/>
              </w:rPr>
              <w:t>1</w:t>
            </w:r>
            <w:r w:rsidRPr="00FE26CF">
              <w:rPr>
                <w:rFonts w:cs="Arial"/>
                <w:sz w:val="18"/>
                <w:szCs w:val="18"/>
                <w:lang w:val="es-ES"/>
              </w:rPr>
              <w:t>.</w:t>
            </w:r>
            <w:r w:rsidR="00064AF1">
              <w:rPr>
                <w:rFonts w:cs="Arial"/>
                <w:sz w:val="18"/>
                <w:szCs w:val="18"/>
                <w:lang w:val="es-ES"/>
              </w:rPr>
              <w:t>2</w:t>
            </w:r>
            <w:r w:rsidRPr="00FE26CF">
              <w:rPr>
                <w:rFonts w:cs="Arial"/>
                <w:sz w:val="18"/>
                <w:szCs w:val="18"/>
                <w:lang w:val="es-ES"/>
              </w:rPr>
              <w:t>61.797</w:t>
            </w:r>
          </w:p>
        </w:tc>
      </w:tr>
      <w:tr w:rsidR="009A7589" w:rsidRPr="00FE26CF" w:rsidTr="0039667A">
        <w:tc>
          <w:tcPr>
            <w:tcW w:w="4701" w:type="dxa"/>
            <w:shd w:val="clear" w:color="auto" w:fill="auto"/>
          </w:tcPr>
          <w:p w:rsidR="009A7589" w:rsidRPr="00FE26CF" w:rsidRDefault="009A7589" w:rsidP="0039667A">
            <w:pPr>
              <w:rPr>
                <w:rFonts w:cs="Arial"/>
                <w:sz w:val="18"/>
                <w:szCs w:val="18"/>
                <w:lang w:val="es-ES"/>
              </w:rPr>
            </w:pPr>
            <w:r w:rsidRPr="00FE26CF">
              <w:rPr>
                <w:rFonts w:cs="Arial"/>
                <w:sz w:val="18"/>
                <w:szCs w:val="18"/>
                <w:lang w:val="es-ES"/>
              </w:rPr>
              <w:t>Componente 3. Administración y evaluación del programa</w:t>
            </w:r>
          </w:p>
        </w:tc>
        <w:tc>
          <w:tcPr>
            <w:tcW w:w="1318" w:type="dxa"/>
            <w:shd w:val="clear" w:color="auto" w:fill="auto"/>
          </w:tcPr>
          <w:p w:rsidR="009A7589" w:rsidRPr="00FE26CF" w:rsidRDefault="009A7589" w:rsidP="0039667A">
            <w:pPr>
              <w:jc w:val="right"/>
              <w:rPr>
                <w:rFonts w:cs="Arial"/>
                <w:sz w:val="18"/>
                <w:szCs w:val="18"/>
                <w:lang w:val="es-ES"/>
              </w:rPr>
            </w:pPr>
            <w:r w:rsidRPr="00FE26CF">
              <w:rPr>
                <w:rFonts w:cs="Arial"/>
                <w:sz w:val="18"/>
                <w:szCs w:val="18"/>
                <w:lang w:val="es-ES"/>
              </w:rPr>
              <w:t>9.900.000</w:t>
            </w:r>
          </w:p>
        </w:tc>
        <w:tc>
          <w:tcPr>
            <w:tcW w:w="1231" w:type="dxa"/>
            <w:shd w:val="clear" w:color="auto" w:fill="auto"/>
          </w:tcPr>
          <w:p w:rsidR="009A7589" w:rsidRPr="00FE26CF" w:rsidRDefault="009A7589" w:rsidP="0039667A">
            <w:pPr>
              <w:jc w:val="center"/>
              <w:rPr>
                <w:rFonts w:cs="Arial"/>
                <w:sz w:val="18"/>
                <w:szCs w:val="18"/>
                <w:lang w:val="es-ES"/>
              </w:rPr>
            </w:pPr>
            <w:r w:rsidRPr="00FE26CF">
              <w:rPr>
                <w:rFonts w:cs="Arial"/>
                <w:sz w:val="18"/>
                <w:szCs w:val="18"/>
                <w:lang w:val="es-ES"/>
              </w:rPr>
              <w:t>0</w:t>
            </w:r>
          </w:p>
        </w:tc>
        <w:tc>
          <w:tcPr>
            <w:tcW w:w="1318" w:type="dxa"/>
            <w:shd w:val="clear" w:color="auto" w:fill="auto"/>
          </w:tcPr>
          <w:p w:rsidR="009A7589" w:rsidRPr="00FE26CF" w:rsidRDefault="009A7589" w:rsidP="0039667A">
            <w:pPr>
              <w:jc w:val="right"/>
              <w:rPr>
                <w:rFonts w:cs="Arial"/>
                <w:sz w:val="18"/>
                <w:szCs w:val="18"/>
                <w:lang w:val="es-ES"/>
              </w:rPr>
            </w:pPr>
            <w:r w:rsidRPr="00FE26CF">
              <w:rPr>
                <w:rFonts w:cs="Arial"/>
                <w:sz w:val="18"/>
                <w:szCs w:val="18"/>
                <w:lang w:val="es-ES"/>
              </w:rPr>
              <w:t>9.900.000</w:t>
            </w:r>
          </w:p>
        </w:tc>
      </w:tr>
      <w:tr w:rsidR="009A7589" w:rsidRPr="00FE26CF" w:rsidTr="0039667A">
        <w:tc>
          <w:tcPr>
            <w:tcW w:w="4701" w:type="dxa"/>
            <w:shd w:val="clear" w:color="auto" w:fill="auto"/>
          </w:tcPr>
          <w:p w:rsidR="009A7589" w:rsidRPr="00FE26CF" w:rsidRDefault="009A7589" w:rsidP="0039667A">
            <w:pPr>
              <w:rPr>
                <w:rFonts w:cs="Arial"/>
                <w:b/>
                <w:sz w:val="18"/>
                <w:szCs w:val="18"/>
                <w:lang w:val="es-ES"/>
              </w:rPr>
            </w:pPr>
            <w:r w:rsidRPr="00FE26CF">
              <w:rPr>
                <w:rFonts w:cs="Arial"/>
                <w:b/>
                <w:sz w:val="18"/>
                <w:szCs w:val="18"/>
                <w:lang w:val="es-ES"/>
              </w:rPr>
              <w:t>TOTAL</w:t>
            </w:r>
          </w:p>
        </w:tc>
        <w:tc>
          <w:tcPr>
            <w:tcW w:w="1318" w:type="dxa"/>
            <w:shd w:val="clear" w:color="auto" w:fill="auto"/>
          </w:tcPr>
          <w:p w:rsidR="009A7589" w:rsidRPr="00FE26CF" w:rsidRDefault="009A7589" w:rsidP="0039667A">
            <w:pPr>
              <w:jc w:val="right"/>
              <w:rPr>
                <w:rFonts w:cs="Arial"/>
                <w:b/>
                <w:sz w:val="18"/>
                <w:szCs w:val="18"/>
                <w:lang w:val="es-ES"/>
              </w:rPr>
            </w:pPr>
            <w:r w:rsidRPr="00FE26CF">
              <w:rPr>
                <w:rFonts w:cs="Arial"/>
                <w:b/>
                <w:sz w:val="18"/>
                <w:szCs w:val="18"/>
                <w:lang w:val="es-ES"/>
              </w:rPr>
              <w:t>123.000.000</w:t>
            </w:r>
          </w:p>
        </w:tc>
        <w:tc>
          <w:tcPr>
            <w:tcW w:w="1231" w:type="dxa"/>
            <w:shd w:val="clear" w:color="auto" w:fill="auto"/>
          </w:tcPr>
          <w:p w:rsidR="009A7589" w:rsidRPr="00FE26CF" w:rsidRDefault="009A7589" w:rsidP="0039667A">
            <w:pPr>
              <w:jc w:val="right"/>
              <w:rPr>
                <w:rFonts w:cs="Arial"/>
                <w:b/>
                <w:sz w:val="18"/>
                <w:szCs w:val="18"/>
                <w:lang w:val="es-ES"/>
              </w:rPr>
            </w:pPr>
            <w:r w:rsidRPr="00FE26CF">
              <w:rPr>
                <w:rFonts w:cs="Arial"/>
                <w:b/>
                <w:sz w:val="18"/>
                <w:szCs w:val="18"/>
                <w:lang w:val="es-ES"/>
              </w:rPr>
              <w:t>55.</w:t>
            </w:r>
            <w:r w:rsidR="00064AF1">
              <w:rPr>
                <w:rFonts w:cs="Arial"/>
                <w:b/>
                <w:sz w:val="18"/>
                <w:szCs w:val="18"/>
                <w:lang w:val="es-ES"/>
              </w:rPr>
              <w:t>5</w:t>
            </w:r>
            <w:r w:rsidRPr="00FE26CF">
              <w:rPr>
                <w:rFonts w:cs="Arial"/>
                <w:b/>
                <w:sz w:val="18"/>
                <w:szCs w:val="18"/>
                <w:lang w:val="es-ES"/>
              </w:rPr>
              <w:t>00.000</w:t>
            </w:r>
          </w:p>
        </w:tc>
        <w:tc>
          <w:tcPr>
            <w:tcW w:w="1318" w:type="dxa"/>
            <w:shd w:val="clear" w:color="auto" w:fill="auto"/>
          </w:tcPr>
          <w:p w:rsidR="009A7589" w:rsidRPr="00FE26CF" w:rsidRDefault="009A7589" w:rsidP="0039667A">
            <w:pPr>
              <w:jc w:val="right"/>
              <w:rPr>
                <w:rFonts w:cs="Arial"/>
                <w:b/>
                <w:sz w:val="18"/>
                <w:szCs w:val="18"/>
                <w:lang w:val="es-ES"/>
              </w:rPr>
            </w:pPr>
            <w:r w:rsidRPr="00FE26CF">
              <w:rPr>
                <w:rFonts w:cs="Arial"/>
                <w:b/>
                <w:sz w:val="18"/>
                <w:szCs w:val="18"/>
                <w:lang w:val="es-ES"/>
              </w:rPr>
              <w:t>178.</w:t>
            </w:r>
            <w:r w:rsidR="00064AF1">
              <w:rPr>
                <w:rFonts w:cs="Arial"/>
                <w:b/>
                <w:sz w:val="18"/>
                <w:szCs w:val="18"/>
                <w:lang w:val="es-ES"/>
              </w:rPr>
              <w:t>5</w:t>
            </w:r>
            <w:r w:rsidRPr="00FE26CF">
              <w:rPr>
                <w:rFonts w:cs="Arial"/>
                <w:b/>
                <w:sz w:val="18"/>
                <w:szCs w:val="18"/>
                <w:lang w:val="es-ES"/>
              </w:rPr>
              <w:t>00.000</w:t>
            </w:r>
          </w:p>
        </w:tc>
      </w:tr>
      <w:bookmarkEnd w:id="10"/>
    </w:tbl>
    <w:p w:rsidR="0062575A" w:rsidRPr="00FE26CF" w:rsidRDefault="0062575A" w:rsidP="0062575A">
      <w:pPr>
        <w:rPr>
          <w:sz w:val="22"/>
          <w:lang w:val="es-ES"/>
        </w:rPr>
      </w:pPr>
    </w:p>
    <w:p w:rsidR="00D3685E" w:rsidRPr="00FE26CF" w:rsidRDefault="008242ED" w:rsidP="008C30C9">
      <w:pPr>
        <w:pStyle w:val="Heading1"/>
        <w:tabs>
          <w:tab w:val="left" w:pos="450"/>
        </w:tabs>
        <w:spacing w:after="240"/>
        <w:rPr>
          <w:sz w:val="22"/>
          <w:szCs w:val="22"/>
          <w:lang w:val="es-ES"/>
        </w:rPr>
      </w:pPr>
      <w:bookmarkStart w:id="11" w:name="_Toc296257185"/>
      <w:bookmarkStart w:id="12" w:name="_Toc422838014"/>
      <w:r w:rsidRPr="00FE26CF">
        <w:rPr>
          <w:sz w:val="22"/>
          <w:szCs w:val="22"/>
          <w:lang w:val="es-ES"/>
        </w:rPr>
        <w:t>I</w:t>
      </w:r>
      <w:r w:rsidR="002356B7" w:rsidRPr="00FE26CF">
        <w:rPr>
          <w:sz w:val="22"/>
          <w:szCs w:val="22"/>
          <w:lang w:val="es-ES"/>
        </w:rPr>
        <w:t xml:space="preserve">I. </w:t>
      </w:r>
      <w:r w:rsidR="008C30C9" w:rsidRPr="00FE26CF">
        <w:rPr>
          <w:sz w:val="22"/>
          <w:szCs w:val="22"/>
          <w:lang w:val="es-ES"/>
        </w:rPr>
        <w:tab/>
      </w:r>
      <w:r w:rsidR="00BB436F" w:rsidRPr="00FE26CF">
        <w:rPr>
          <w:sz w:val="22"/>
          <w:szCs w:val="22"/>
          <w:lang w:val="es-ES"/>
        </w:rPr>
        <w:t>A</w:t>
      </w:r>
      <w:r w:rsidR="00D3685E" w:rsidRPr="00FE26CF">
        <w:rPr>
          <w:sz w:val="22"/>
          <w:szCs w:val="22"/>
          <w:lang w:val="es-ES"/>
        </w:rPr>
        <w:t>nálisis económico</w:t>
      </w:r>
      <w:r w:rsidR="00477FBF" w:rsidRPr="00FE26CF">
        <w:rPr>
          <w:sz w:val="22"/>
          <w:szCs w:val="22"/>
          <w:lang w:val="es-ES"/>
        </w:rPr>
        <w:t xml:space="preserve"> </w:t>
      </w:r>
      <w:r w:rsidR="006310AF" w:rsidRPr="00FE26CF">
        <w:rPr>
          <w:sz w:val="22"/>
          <w:szCs w:val="22"/>
          <w:lang w:val="es-ES"/>
        </w:rPr>
        <w:t>del proyecto</w:t>
      </w:r>
      <w:bookmarkEnd w:id="11"/>
      <w:bookmarkEnd w:id="12"/>
    </w:p>
    <w:p w:rsidR="0075717A" w:rsidRPr="00FE26CF" w:rsidRDefault="00FA34E2" w:rsidP="00361A79">
      <w:pPr>
        <w:autoSpaceDE w:val="0"/>
        <w:autoSpaceDN w:val="0"/>
        <w:adjustRightInd w:val="0"/>
        <w:spacing w:before="120" w:after="120" w:line="240" w:lineRule="auto"/>
        <w:contextualSpacing/>
        <w:jc w:val="both"/>
        <w:rPr>
          <w:rFonts w:cs="Arial"/>
          <w:sz w:val="22"/>
          <w:lang w:val="es-ES"/>
        </w:rPr>
      </w:pPr>
      <w:r w:rsidRPr="00FE26CF">
        <w:rPr>
          <w:rFonts w:cs="Arial"/>
          <w:sz w:val="22"/>
          <w:lang w:val="es-ES"/>
        </w:rPr>
        <w:t>Los beneficios</w:t>
      </w:r>
      <w:r w:rsidR="0075717A" w:rsidRPr="00FE26CF">
        <w:rPr>
          <w:rFonts w:cs="Arial"/>
          <w:sz w:val="22"/>
          <w:lang w:val="es-ES"/>
        </w:rPr>
        <w:t xml:space="preserve"> del préstamo BR-L1408</w:t>
      </w:r>
      <w:r w:rsidRPr="00FE26CF">
        <w:rPr>
          <w:rFonts w:cs="Arial"/>
          <w:sz w:val="22"/>
          <w:lang w:val="es-ES"/>
        </w:rPr>
        <w:t xml:space="preserve"> se obtienen </w:t>
      </w:r>
      <w:r w:rsidR="0075717A" w:rsidRPr="00FE26CF">
        <w:rPr>
          <w:rFonts w:cs="Arial"/>
          <w:sz w:val="22"/>
          <w:lang w:val="es-ES"/>
        </w:rPr>
        <w:t>a partir del fortalecimiento de la gestión y la mejora de la calidad de los servicios de salud y por la ampliación del acce</w:t>
      </w:r>
      <w:r w:rsidR="001B329F" w:rsidRPr="00FE26CF">
        <w:rPr>
          <w:rFonts w:cs="Arial"/>
          <w:sz w:val="22"/>
          <w:lang w:val="es-ES"/>
        </w:rPr>
        <w:t>so y la consolidación de las Redes de Salud</w:t>
      </w:r>
      <w:r w:rsidR="0075717A" w:rsidRPr="00FE26CF">
        <w:rPr>
          <w:rFonts w:cs="Arial"/>
          <w:sz w:val="22"/>
          <w:lang w:val="es-ES"/>
        </w:rPr>
        <w:t xml:space="preserve">. Este proyecto promueve mejoras sustantivas a la manera en que se gestionan actualmente las </w:t>
      </w:r>
      <w:r w:rsidR="001B329F" w:rsidRPr="00FE26CF">
        <w:rPr>
          <w:rFonts w:cs="Arial"/>
          <w:sz w:val="22"/>
          <w:lang w:val="es-ES"/>
        </w:rPr>
        <w:t>RAS</w:t>
      </w:r>
      <w:r w:rsidR="00EB393D" w:rsidRPr="00FE26CF">
        <w:rPr>
          <w:rFonts w:cs="Arial"/>
          <w:sz w:val="22"/>
          <w:lang w:val="es-ES"/>
        </w:rPr>
        <w:t xml:space="preserve"> lo que tendrá un efecto positivo en la calidad de los servicios de salud </w:t>
      </w:r>
      <w:r w:rsidR="001B329F" w:rsidRPr="00FE26CF">
        <w:rPr>
          <w:rFonts w:cs="Arial"/>
          <w:sz w:val="22"/>
          <w:lang w:val="es-ES"/>
        </w:rPr>
        <w:t xml:space="preserve">ofrecidos </w:t>
      </w:r>
      <w:r w:rsidR="00E12586">
        <w:rPr>
          <w:rFonts w:cs="Arial"/>
          <w:sz w:val="22"/>
          <w:lang w:val="es-ES"/>
        </w:rPr>
        <w:t xml:space="preserve">por el SUS </w:t>
      </w:r>
      <w:r w:rsidR="001B329F" w:rsidRPr="00FE26CF">
        <w:rPr>
          <w:rFonts w:cs="Arial"/>
          <w:sz w:val="22"/>
          <w:lang w:val="es-ES"/>
        </w:rPr>
        <w:t>en</w:t>
      </w:r>
      <w:r w:rsidR="00EB393D" w:rsidRPr="00FE26CF">
        <w:rPr>
          <w:rFonts w:cs="Arial"/>
          <w:sz w:val="22"/>
          <w:lang w:val="es-ES"/>
        </w:rPr>
        <w:t xml:space="preserve"> Ceará</w:t>
      </w:r>
      <w:r w:rsidR="0075717A" w:rsidRPr="00FE26CF">
        <w:rPr>
          <w:rFonts w:cs="Arial"/>
          <w:sz w:val="22"/>
          <w:lang w:val="es-ES"/>
        </w:rPr>
        <w:t xml:space="preserve">. </w:t>
      </w:r>
    </w:p>
    <w:p w:rsidR="00EB393D" w:rsidRPr="00FE26CF" w:rsidRDefault="00EB393D" w:rsidP="00361A79">
      <w:pPr>
        <w:autoSpaceDE w:val="0"/>
        <w:autoSpaceDN w:val="0"/>
        <w:adjustRightInd w:val="0"/>
        <w:spacing w:before="120" w:after="120" w:line="240" w:lineRule="auto"/>
        <w:contextualSpacing/>
        <w:jc w:val="both"/>
        <w:rPr>
          <w:rFonts w:cs="Arial"/>
          <w:sz w:val="22"/>
          <w:lang w:val="es-ES"/>
        </w:rPr>
      </w:pPr>
    </w:p>
    <w:p w:rsidR="00FA34E2" w:rsidRPr="00FE26CF" w:rsidRDefault="00C74449" w:rsidP="00A719A7">
      <w:pPr>
        <w:autoSpaceDE w:val="0"/>
        <w:autoSpaceDN w:val="0"/>
        <w:adjustRightInd w:val="0"/>
        <w:spacing w:before="120" w:after="120" w:line="240" w:lineRule="auto"/>
        <w:contextualSpacing/>
        <w:jc w:val="both"/>
        <w:rPr>
          <w:sz w:val="22"/>
          <w:lang w:val="es-ES"/>
        </w:rPr>
      </w:pPr>
      <w:r w:rsidRPr="00FE26CF">
        <w:rPr>
          <w:rFonts w:cs="Arial"/>
          <w:sz w:val="22"/>
          <w:lang w:val="es-ES"/>
        </w:rPr>
        <w:t xml:space="preserve">Dada la naturaleza del proyecto se </w:t>
      </w:r>
      <w:r w:rsidR="00DD65DC" w:rsidRPr="00FE26CF">
        <w:rPr>
          <w:rFonts w:cs="Arial"/>
          <w:sz w:val="22"/>
          <w:lang w:val="es-ES"/>
        </w:rPr>
        <w:t>esperan</w:t>
      </w:r>
      <w:r w:rsidRPr="00FE26CF">
        <w:rPr>
          <w:rFonts w:cs="Arial"/>
          <w:sz w:val="22"/>
          <w:lang w:val="es-ES"/>
        </w:rPr>
        <w:t xml:space="preserve"> mejoras en la cobertura y en la calidad de </w:t>
      </w:r>
      <w:r w:rsidR="00367757" w:rsidRPr="00FE26CF">
        <w:rPr>
          <w:rFonts w:cs="Arial"/>
          <w:sz w:val="22"/>
          <w:lang w:val="es-ES"/>
        </w:rPr>
        <w:t xml:space="preserve">varias de </w:t>
      </w:r>
      <w:r w:rsidRPr="00FE26CF">
        <w:rPr>
          <w:rFonts w:cs="Arial"/>
          <w:sz w:val="22"/>
          <w:lang w:val="es-ES"/>
        </w:rPr>
        <w:t>las líneas de cuidado que integran la red de servicio</w:t>
      </w:r>
      <w:r w:rsidR="007328D7" w:rsidRPr="00FE26CF">
        <w:rPr>
          <w:rFonts w:cs="Arial"/>
          <w:sz w:val="22"/>
          <w:lang w:val="es-ES"/>
        </w:rPr>
        <w:t>s de salud</w:t>
      </w:r>
      <w:r w:rsidR="00367757" w:rsidRPr="00FE26CF">
        <w:rPr>
          <w:rFonts w:cs="Arial"/>
          <w:sz w:val="22"/>
          <w:lang w:val="es-ES"/>
        </w:rPr>
        <w:t>. Aquí destaca la red de salud materno-infantil (</w:t>
      </w:r>
      <w:r w:rsidR="007328D7" w:rsidRPr="00FE26CF">
        <w:rPr>
          <w:rFonts w:cs="Arial"/>
          <w:sz w:val="22"/>
          <w:lang w:val="es-ES"/>
        </w:rPr>
        <w:t>Red Cigüeña</w:t>
      </w:r>
      <w:r w:rsidR="00367757" w:rsidRPr="00FE26CF">
        <w:rPr>
          <w:rFonts w:cs="Arial"/>
          <w:sz w:val="22"/>
          <w:lang w:val="es-ES"/>
        </w:rPr>
        <w:t>, que incluye también aspectos de salud sexual y reproductiva)) así como para ECNT (diabetes e hipertensión)</w:t>
      </w:r>
      <w:r w:rsidR="007328D7" w:rsidRPr="00FE26CF">
        <w:rPr>
          <w:rFonts w:cs="Arial"/>
          <w:sz w:val="22"/>
          <w:lang w:val="es-ES"/>
        </w:rPr>
        <w:t xml:space="preserve">. Y que dichas mejoras en la cobertura efectiva </w:t>
      </w:r>
      <w:r w:rsidR="00367757" w:rsidRPr="00FE26CF">
        <w:rPr>
          <w:rFonts w:cs="Arial"/>
          <w:sz w:val="22"/>
          <w:lang w:val="es-ES"/>
        </w:rPr>
        <w:t xml:space="preserve">(entendida como el porcentaje de la población que tiene acceso efectivo a los servicios, procedimientos y cuidados definidos en los protocolos que sustentan las líneas de cuidado y para los cuales hay evidencia de su efectividad) </w:t>
      </w:r>
      <w:r w:rsidR="007328D7" w:rsidRPr="00FE26CF">
        <w:rPr>
          <w:rFonts w:cs="Arial"/>
          <w:sz w:val="22"/>
          <w:lang w:val="es-ES"/>
        </w:rPr>
        <w:t xml:space="preserve">sean más pronunciadas en los municipios que no pertenecen a la zona metropolitana de Fortaleza, que es donde se presentan mayores desafíos. </w:t>
      </w:r>
      <w:r w:rsidR="00A719A7" w:rsidRPr="00FE26CF">
        <w:rPr>
          <w:rFonts w:cs="Arial"/>
          <w:sz w:val="22"/>
          <w:lang w:val="es-ES"/>
        </w:rPr>
        <w:t xml:space="preserve">El proyecto tendrá efecto en toda la red de servicios incluyendo el </w:t>
      </w:r>
      <w:r w:rsidR="00FA34E2" w:rsidRPr="00FE26CF">
        <w:rPr>
          <w:sz w:val="22"/>
          <w:lang w:val="es-ES"/>
        </w:rPr>
        <w:t xml:space="preserve"> </w:t>
      </w:r>
      <w:r w:rsidR="00A719A7" w:rsidRPr="00FE26CF">
        <w:rPr>
          <w:sz w:val="22"/>
          <w:lang w:val="es-ES"/>
        </w:rPr>
        <w:t xml:space="preserve">primer nivel de atención, y los </w:t>
      </w:r>
      <w:r w:rsidR="00FA34E2" w:rsidRPr="00FE26CF">
        <w:rPr>
          <w:sz w:val="22"/>
          <w:lang w:val="es-ES"/>
        </w:rPr>
        <w:t>procesos de referencia y contra-referencia eficientes hacia niveles de mayor complejidad.</w:t>
      </w:r>
      <w:r w:rsidR="00A719A7" w:rsidRPr="00FE26CF">
        <w:rPr>
          <w:sz w:val="22"/>
          <w:lang w:val="es-ES"/>
        </w:rPr>
        <w:t xml:space="preserve"> </w:t>
      </w:r>
    </w:p>
    <w:p w:rsidR="00A719A7" w:rsidRPr="00FE26CF" w:rsidRDefault="00A719A7" w:rsidP="00A719A7">
      <w:pPr>
        <w:autoSpaceDE w:val="0"/>
        <w:autoSpaceDN w:val="0"/>
        <w:adjustRightInd w:val="0"/>
        <w:spacing w:before="120" w:after="120" w:line="240" w:lineRule="auto"/>
        <w:contextualSpacing/>
        <w:jc w:val="both"/>
        <w:rPr>
          <w:sz w:val="22"/>
          <w:lang w:val="es-ES"/>
        </w:rPr>
      </w:pPr>
    </w:p>
    <w:p w:rsidR="00FA34E2" w:rsidRDefault="00FA34E2" w:rsidP="00361A79">
      <w:pPr>
        <w:jc w:val="both"/>
        <w:rPr>
          <w:sz w:val="22"/>
          <w:lang w:val="es-ES"/>
        </w:rPr>
      </w:pPr>
      <w:bookmarkStart w:id="13" w:name="_Toc296257186"/>
      <w:r w:rsidRPr="00FE26CF">
        <w:rPr>
          <w:sz w:val="22"/>
          <w:lang w:val="es-ES"/>
        </w:rPr>
        <w:t xml:space="preserve">Como se mencionó en la introducción, existe evidencia de que la atención en redes genera mejores resultados en salud, en particular para el perfil epidemiológico </w:t>
      </w:r>
      <w:r w:rsidR="007328D7" w:rsidRPr="00FE26CF">
        <w:rPr>
          <w:sz w:val="22"/>
          <w:lang w:val="es-ES"/>
        </w:rPr>
        <w:t>del estado de Ceará</w:t>
      </w:r>
      <w:r w:rsidRPr="00FE26CF">
        <w:rPr>
          <w:sz w:val="22"/>
          <w:lang w:val="es-ES"/>
        </w:rPr>
        <w:t>. Si bien</w:t>
      </w:r>
      <w:r w:rsidR="007328D7" w:rsidRPr="00FE26CF">
        <w:rPr>
          <w:sz w:val="22"/>
          <w:lang w:val="es-ES"/>
        </w:rPr>
        <w:t xml:space="preserve"> aún no existen</w:t>
      </w:r>
      <w:r w:rsidRPr="00FE26CF">
        <w:rPr>
          <w:sz w:val="22"/>
          <w:lang w:val="es-ES"/>
        </w:rPr>
        <w:t xml:space="preserve"> evaluaciones de impacto</w:t>
      </w:r>
      <w:r w:rsidR="007328D7" w:rsidRPr="00FE26CF">
        <w:rPr>
          <w:sz w:val="22"/>
          <w:lang w:val="es-ES"/>
        </w:rPr>
        <w:t xml:space="preserve"> sobre la efectividad de las redes de servicios de salud</w:t>
      </w:r>
      <w:r w:rsidRPr="00FE26CF">
        <w:rPr>
          <w:sz w:val="22"/>
          <w:lang w:val="es-ES"/>
        </w:rPr>
        <w:t>, este modelo de reforma sanitaria puede verse como un elemento que refuerz</w:t>
      </w:r>
      <w:r w:rsidR="007328D7" w:rsidRPr="00FE26CF">
        <w:rPr>
          <w:sz w:val="22"/>
          <w:lang w:val="es-ES"/>
        </w:rPr>
        <w:t>a el programa de APS brasileño</w:t>
      </w:r>
      <w:r w:rsidRPr="00FE26CF">
        <w:rPr>
          <w:sz w:val="22"/>
          <w:lang w:val="es-ES"/>
        </w:rPr>
        <w:t>, cuyos éxitos e impacto ha sido extensamen</w:t>
      </w:r>
      <w:r w:rsidR="00DD65DC" w:rsidRPr="00FE26CF">
        <w:rPr>
          <w:sz w:val="22"/>
          <w:lang w:val="es-ES"/>
        </w:rPr>
        <w:t>te documentado en la literatura</w:t>
      </w:r>
      <w:r w:rsidR="00EE0369" w:rsidRPr="00FE26CF">
        <w:rPr>
          <w:sz w:val="22"/>
          <w:lang w:val="es-ES"/>
        </w:rPr>
        <w:t xml:space="preserve"> </w:t>
      </w:r>
      <w:r w:rsidR="00A719A7" w:rsidRPr="00FE26CF">
        <w:rPr>
          <w:sz w:val="22"/>
          <w:lang w:val="es-ES"/>
        </w:rPr>
        <w:fldChar w:fldCharType="begin" w:fldLock="1"/>
      </w:r>
      <w:r w:rsidR="00CE70F0" w:rsidRPr="00FE26CF">
        <w:rPr>
          <w:sz w:val="22"/>
          <w:lang w:val="es-ES"/>
        </w:rPr>
        <w:instrText>ADDIN CSL_CITATION { "citationItems" : [ { "id" : "ITEM-1", "itemData" : { "DOI" : "10.1097/JAC.0b013e31819942e51", "ISSN" : "0148-9917", "PMID" : "19305223", "abstract" : "This article provides evidence of the effectiveness of family-based, community-oriented primary healthcare programs on the reduction of ambulatory care sensitive hospitalizations in Brazil. Between 1998 and 2002, expansions of the Family Health Program were associated with reductions in hospitalizations for diabetes mellitus and respiratory problems and Community Health Agents Program expansions were associated with reductions in circulatory conditions hospitalizations. Results were significant for only the female population only, suggesting that these programs were more effective in reaching women than men. Program coverage may have contributed to an estimated 126 000 fewer hospitalizations between 1999 and 2002, corresponding to potential savings of 63 million US dollars.", "author" : [ { "dropping-particle" : "", "family" : "Guanais", "given" : "Frederico", "non-dropping-particle" : "", "parse-names" : false, "suffix" : "" }, { "dropping-particle" : "", "family" : "Macinko", "given" : "James", "non-dropping-particle" : "", "parse-names" : false, "suffix" : "" } ], "container-title" : "The Journal of ambulatory care management", "id" : "ITEM-1", "issue" : "2", "issued" : { "date-parts" : [ [ "0", "1" ] ] }, "page" : "115-22", "title" : "Primary care and avoidable hospitalizations: evidence from Brazil.", "type" : "article-journal", "volume" : "32" }, "uris" : [ "http://www.mendeley.com/documents/?uuid=cda6cef4-b5c8-448e-b917-2252fe157e0d" ] }, { "id" : "ITEM-2", "itemData" : { "DOI" : "10.1056/NEJMp1501140", "author" : [ { "dropping-particle" : "", "family" : "Macinko", "given" : "James", "non-dropping-particle" : "", "parse-names" : false, "suffix" : "" }, { "dropping-particle" : "", "family" : "Harris", "given" : "Matthew", "non-dropping-particle" : "", "parse-names" : false, "suffix" : "" } ], "container-title" : "The New England Journal of medicine", "id" : "ITEM-2", "issue" : "23", "issued" : { "date-parts" : [ [ "2015" ] ] }, "page" : "2177-2181", "title" : "Brazil's Family Health Strategy \u2014 Delivering Community-Based Primary Care in a Universal Health System", "type" : "article-journal", "volume" : "372" }, "uris" : [ "http://www.mendeley.com/documents/?uuid=7bd46ae8-b9b2-4792-8747-4ae25651ffa7" ] }, { "id" : "ITEM-3", "itemData" : { "DOI" : "10.2105/AJPH.2010.198887", "ISSN" : "1541-0048", "PMID" : "21330584", "abstract" : "OBJECTIVES: We assessed the influence of changes in primary care and hospital supply on rates of ambulatory care-sensitive (ACS) hospitalizations among adults in Brazil.\n\nMETHODS: We aggregated data on nearly 60 million public sector hospitalizations between 1999 and 2007 to Brazil's 558 microregions. We modeled adult ACS hospitalization rates as a function of area-level socioeconomic factors, health services supply, Family Health Program (FHP) availability, and health needs by using dynamic panel estimation techniques to control for endogenous explanatory variables.\n\nRESULTS: The ACS hospitalization rates declined by more than 5% annually. When we controlled for other factors, FHP availability was associated with lower ACS hospitalization rates, whereas private or nonprofit hospital beds were associated with higher rates. Areas with highest predicted ACS hospitalization rates were those with the highest private or nonprofit hospital bed supply and with low (&lt; 25%) FHP coverage. The lowest predicted rates were seen for areas with high (&gt; 75%) FHP coverage and very few private or nonprofit hospital beds.\n\nCONCLUSIONS: These results highlight the contribution of the FHP to improved health system performance and reflect the complexity of the health reform processes under way in Brazil.", "author" : [ { "dropping-particle" : "", "family" : "Macinko", "given" : "James", "non-dropping-particle" : "", "parse-names" : false, "suffix" : "" }, { "dropping-particle" : "", "family" : "Oliveira", "given" : "Veneza B", "non-dropping-particle" : "de", "parse-names" : false, "suffix" : "" }, { "dropping-particle" : "", "family" : "Turci", "given" : "Maria A", "non-dropping-particle" : "", "parse-names" : false, "suffix" : "" }, { "dropping-particle" : "", "family" : "Guanais", "given" : "Frederico C", "non-dropping-particle" : "", "parse-names" : false, "suffix" : "" }, { "dropping-particle" : "", "family" : "Bonolo", "given" : "Palmira F", "non-dropping-particle" : "", "parse-names" : false, "suffix" : "" }, { "dropping-particle" : "", "family" : "Lima-Costa", "given" : "Maria F", "non-dropping-particle" : "", "parse-names" : false, "suffix" : "" } ], "container-title" : "American journal of public health", "id" : "ITEM-3", "issue" : "10", "issued" : { "date-parts" : [ [ "2011", "10" ] ] }, "page" : "1963-70", "title" : "The influence of primary care and hospital supply on ambulatory care-sensitive hospitalizations among adults in Brazil, 1999-2007.", "type" : "article-journal", "volume" : "101" }, "uris" : [ "http://www.mendeley.com/documents/?uuid=28ed881a-dc66-4705-8893-c0e6e5bef055" ] } ], "mendeley" : { "formattedCitation" : "(Guanais and Macinko; Macinko and Harris 2015; Macinko et al. 2011)", "manualFormatting" : "(Guanais y Macinko; Macinko y Harris 2015; Macinko et al. 2011)", "plainTextFormattedCitation" : "(Guanais and Macinko; Macinko and Harris 2015; Macinko et al. 2011)", "previouslyFormattedCitation" : "(Guanais and Macinko; Macinko and Harris 2015; Macinko et al. 2011)" }, "properties" : { "noteIndex" : 0 }, "schema" : "https://github.com/citation-style-language/schema/raw/master/csl-citation.json" }</w:instrText>
      </w:r>
      <w:r w:rsidR="00A719A7" w:rsidRPr="00FE26CF">
        <w:rPr>
          <w:sz w:val="22"/>
          <w:lang w:val="es-ES"/>
        </w:rPr>
        <w:fldChar w:fldCharType="separate"/>
      </w:r>
      <w:r w:rsidR="00A719A7" w:rsidRPr="00FE26CF">
        <w:rPr>
          <w:noProof/>
          <w:sz w:val="22"/>
          <w:lang w:val="es-ES"/>
        </w:rPr>
        <w:t>(Guanais y Macinko; Macinko y Harris 2015; Macinko et al. 2011)</w:t>
      </w:r>
      <w:r w:rsidR="00A719A7" w:rsidRPr="00FE26CF">
        <w:rPr>
          <w:sz w:val="22"/>
          <w:lang w:val="es-ES"/>
        </w:rPr>
        <w:fldChar w:fldCharType="end"/>
      </w:r>
      <w:bookmarkEnd w:id="13"/>
      <w:r w:rsidR="00940453" w:rsidRPr="00FE26CF">
        <w:rPr>
          <w:sz w:val="22"/>
          <w:lang w:val="es-ES"/>
        </w:rPr>
        <w:t>.</w:t>
      </w:r>
    </w:p>
    <w:p w:rsidR="00114E8C" w:rsidRPr="00FE26CF" w:rsidRDefault="00114E8C" w:rsidP="00361A79">
      <w:pPr>
        <w:jc w:val="both"/>
        <w:rPr>
          <w:sz w:val="22"/>
          <w:lang w:val="es-ES"/>
        </w:rPr>
      </w:pPr>
    </w:p>
    <w:p w:rsidR="00FA34E2" w:rsidRPr="00FE26CF" w:rsidRDefault="00FA34E2" w:rsidP="00620E0A">
      <w:pPr>
        <w:pStyle w:val="Heading2"/>
        <w:numPr>
          <w:ilvl w:val="0"/>
          <w:numId w:val="39"/>
        </w:numPr>
        <w:rPr>
          <w:i/>
          <w:lang w:val="es-ES"/>
        </w:rPr>
      </w:pPr>
      <w:bookmarkStart w:id="14" w:name="_Toc296257187"/>
      <w:bookmarkStart w:id="15" w:name="_Toc422838015"/>
      <w:r w:rsidRPr="00FE26CF">
        <w:rPr>
          <w:lang w:val="es-ES"/>
        </w:rPr>
        <w:lastRenderedPageBreak/>
        <w:t>Medida de efectividad</w:t>
      </w:r>
      <w:r w:rsidR="00472B16" w:rsidRPr="00FE26CF">
        <w:rPr>
          <w:lang w:val="es-ES"/>
        </w:rPr>
        <w:t xml:space="preserve"> </w:t>
      </w:r>
      <w:r w:rsidRPr="00FE26CF">
        <w:rPr>
          <w:lang w:val="es-ES"/>
        </w:rPr>
        <w:t>Años de Vida Ajustados por Discapacidad -AVAD</w:t>
      </w:r>
      <w:r w:rsidR="00230803" w:rsidRPr="00FE26CF">
        <w:rPr>
          <w:lang w:val="es-ES"/>
        </w:rPr>
        <w:t>s</w:t>
      </w:r>
      <w:bookmarkEnd w:id="14"/>
      <w:bookmarkEnd w:id="15"/>
    </w:p>
    <w:p w:rsidR="00255476" w:rsidRPr="00FE26CF" w:rsidRDefault="00255476" w:rsidP="006D2FB5">
      <w:pPr>
        <w:pStyle w:val="ColorfulList-Accent11"/>
        <w:spacing w:before="120" w:after="120" w:line="240" w:lineRule="auto"/>
        <w:ind w:left="0"/>
        <w:jc w:val="both"/>
        <w:rPr>
          <w:rFonts w:cs="Arial"/>
          <w:i/>
          <w:sz w:val="22"/>
          <w:lang w:val="es-ES"/>
        </w:rPr>
      </w:pPr>
    </w:p>
    <w:p w:rsidR="00FA34E2" w:rsidRPr="00FE26CF" w:rsidRDefault="00FA34E2" w:rsidP="006D2FB5">
      <w:pPr>
        <w:pStyle w:val="ColorfulList-Accent11"/>
        <w:spacing w:before="120" w:after="120" w:line="240" w:lineRule="auto"/>
        <w:ind w:left="0"/>
        <w:jc w:val="both"/>
        <w:rPr>
          <w:rFonts w:cs="Arial"/>
          <w:sz w:val="22"/>
          <w:lang w:val="es-ES"/>
        </w:rPr>
      </w:pPr>
      <w:r w:rsidRPr="00FE26CF">
        <w:rPr>
          <w:rFonts w:cs="Arial"/>
          <w:sz w:val="22"/>
          <w:lang w:val="es-ES"/>
        </w:rPr>
        <w:t xml:space="preserve">Dado que los beneficios en salud obtenidos de las intervenciones </w:t>
      </w:r>
      <w:r w:rsidR="00940453" w:rsidRPr="00FE26CF">
        <w:rPr>
          <w:rFonts w:cs="Arial"/>
          <w:sz w:val="22"/>
          <w:lang w:val="es-ES"/>
        </w:rPr>
        <w:t xml:space="preserve">provienen de las mejoras en gestión en una serie de líneas de atención, en diferentes niveles  </w:t>
      </w:r>
      <w:r w:rsidRPr="00FE26CF">
        <w:rPr>
          <w:rFonts w:cs="Arial"/>
          <w:sz w:val="22"/>
          <w:lang w:val="es-ES"/>
        </w:rPr>
        <w:t>y de diferente naturaleza, es necesario utilizar una medida de efectividad que proporcione una métrica común para cuantificar los beneficios de las diferentes intervenciones que se f</w:t>
      </w:r>
      <w:r w:rsidR="007328D7" w:rsidRPr="00FE26CF">
        <w:rPr>
          <w:rFonts w:cs="Arial"/>
          <w:sz w:val="22"/>
          <w:lang w:val="es-ES"/>
        </w:rPr>
        <w:t>inanciarán por medio del BR-L1408</w:t>
      </w:r>
      <w:r w:rsidRPr="00FE26CF">
        <w:rPr>
          <w:rFonts w:cs="Arial"/>
          <w:sz w:val="22"/>
          <w:lang w:val="es-ES"/>
        </w:rPr>
        <w:t>. Los</w:t>
      </w:r>
      <w:r w:rsidR="005B08FD" w:rsidRPr="00FE26CF">
        <w:rPr>
          <w:rFonts w:cs="Arial"/>
          <w:sz w:val="22"/>
          <w:lang w:val="es-ES"/>
        </w:rPr>
        <w:t xml:space="preserve"> </w:t>
      </w:r>
      <w:r w:rsidRPr="00FE26CF">
        <w:rPr>
          <w:rFonts w:cs="Arial"/>
          <w:sz w:val="22"/>
          <w:lang w:val="es-ES"/>
        </w:rPr>
        <w:t>años de vida ajustados por discapacidad</w:t>
      </w:r>
      <w:r w:rsidR="005B08FD" w:rsidRPr="00FE26CF">
        <w:rPr>
          <w:rFonts w:cs="Arial"/>
          <w:sz w:val="22"/>
          <w:lang w:val="es-ES"/>
        </w:rPr>
        <w:t xml:space="preserve"> (AVAD)</w:t>
      </w:r>
      <w:r w:rsidRPr="00FE26CF">
        <w:rPr>
          <w:rFonts w:cs="Arial"/>
          <w:sz w:val="22"/>
          <w:lang w:val="es-ES"/>
        </w:rPr>
        <w:t xml:space="preserve"> son un indicador sintético que combina años de vida perdidos por muerte prematura, y años vividos con discapacidad de severidad y duración específica. </w:t>
      </w:r>
    </w:p>
    <w:p w:rsidR="00FA34E2" w:rsidRPr="00FE26CF" w:rsidRDefault="00FA34E2" w:rsidP="006D2FB5">
      <w:pPr>
        <w:spacing w:before="120" w:after="120" w:line="240" w:lineRule="auto"/>
        <w:contextualSpacing/>
        <w:jc w:val="both"/>
        <w:rPr>
          <w:rFonts w:cs="Arial"/>
          <w:sz w:val="22"/>
          <w:lang w:val="es-ES"/>
        </w:rPr>
      </w:pPr>
      <w:r w:rsidRPr="00FE26CF">
        <w:rPr>
          <w:rFonts w:cs="Arial"/>
          <w:sz w:val="22"/>
          <w:lang w:val="es-ES"/>
        </w:rPr>
        <w:t xml:space="preserve">Un AVAD se interpreta como un indicador de algo que se “pierde” en lugar de algo que se “gana,” de tal manera que se busca su reducción. La primera vez que se utilizó fue en el Informe de Desarrollo Mundial 1993 del Banco Mundial </w:t>
      </w:r>
      <w:r w:rsidR="0055093D" w:rsidRPr="00FE26CF">
        <w:rPr>
          <w:rFonts w:cs="Arial"/>
          <w:sz w:val="22"/>
          <w:lang w:val="es-ES"/>
        </w:rPr>
        <w:fldChar w:fldCharType="begin" w:fldLock="1"/>
      </w:r>
      <w:r w:rsidR="0055093D" w:rsidRPr="00FE26CF">
        <w:rPr>
          <w:rFonts w:cs="Arial"/>
          <w:sz w:val="22"/>
          <w:lang w:val="es-ES"/>
        </w:rPr>
        <w:instrText>ADDIN CSL_CITATION { "citationItems" : [ { "id" : "ITEM-1", "itemData" : { "abstract" : "This is the sixteenth in the annual series and examines the interplay between human health, health policy and economic development. Because good health increases the economic productivity of individuals and the economic growth rate of countries, investing in health is one means of accelerating development. More important, good health is a goal in itself. During the past forty years life expectancy in the developing world has risen and child mortality has decreased, sometimes dramatically. But progress is only one side of the picture. The toll from childhood and tropical diseases remains high even as new problems - including AIDS and the diseases of aging populations - appear on the scene. And all countries are struggling with the problems of controlling health expenditures and making health care accessible to the broad population. This report examines the controversial questions surrounding health care and health policy. Its findings are based in large part on innovative research, including estimation of the global burden of disease and the cost-effectiveness of interventions. These assessments can help in setting priorities for health spending. The report advocates a threefold approach to health policy for governments in developing countries and in the formerly socialist countries. First, to foster an economic environment that will enable households to improve their own health. Policies for economic growth that ensure income gains for the poor are essential. So, too, is expanded investment in schooling, particulary for girls. Second, redirect government spending away from specialized care and toward such low-cost and highly effective activities such as immunization, programs to combat micronutrient deficiencies, and control and treatment of infectious diseases. By adopting the packages of public health measures and essential clinical care dsecribed in the report, developing countries could reduce their burden of disease by 25 percent. Third, encourage greater diversity and competition in the provision of health services by decentralizing government services, promoting competitive procurement practices, fostering greater involvement by nongovernmental and other private organizations, and regulating insurance markets. These reforms could translate into longer, healthier, and more productive lives for people around the world, and especially for the more than 1 billion poor. As in previous editions, this report includes the World Development Indicators, wh\u2026", "author" : [ { "dropping-particle" : "", "family" : "Berkley", "given" : "Seth", "non-dropping-particle" : "", "parse-names" : false, "suffix" : "" }, { "dropping-particle" : "", "family" : "Murray", "given" : "Christopher J. L.", "non-dropping-particle" : "", "parse-names" : false, "suffix" : "" }, { "dropping-particle" : "", "family" : "Hecht", "given" : "Robert", "non-dropping-particle" : "", "parse-names" : false, "suffix" : "" }, { "dropping-particle" : "", "family" : "Saxenian", "given" : "Helen", "non-dropping-particle" : "", "parse-names" : false, "suffix" : "" }, { "dropping-particle" : "", "family" : "Musgrove", "given" : "Philip", "non-dropping-particle" : "", "parse-names" : false, "suffix" : "" }, { "dropping-particle" : "", "family" : "Tan", "given" : "Jee-Peng", "non-dropping-particle" : "", "parse-names" : false, "suffix" : "" }, { "dropping-particle" : "", "family" : "Bobadilla", "given" : "Jose-Luis", "non-dropping-particle" : "", "parse-names" : false, "suffix" : "" }, { "dropping-particle" : "", "family" : "Hill", "given" : "Kenneth", "non-dropping-particle" : "", "parse-names" : false, "suffix" : "" }, { "dropping-particle" : "", "family" : "Jamison", "given" : "Dean T.", "non-dropping-particle" : "", "parse-names" : false, "suffix" : "" } ], "id" : "ITEM-1", "issued" : { "date-parts" : [ [ "1993", "7", "1" ] ] }, "language" : "es", "page" : "1-351", "title" : "Informe sobre el desarrollo mundial 1993 : investir en salud", "type" : "article-journal" }, "uris" : [ "http://www.mendeley.com/documents/?uuid=aca2a692-f864-422d-882c-49c255a22f2c" ] } ], "mendeley" : { "formattedCitation" : "(Berkley et al. 1993)", "plainTextFormattedCitation" : "(Berkley et al. 1993)", "previouslyFormattedCitation" : "(Berkley et al. 1993)" }, "properties" : { "noteIndex" : 0 }, "schema" : "https://github.com/citation-style-language/schema/raw/master/csl-citation.json" }</w:instrText>
      </w:r>
      <w:r w:rsidR="0055093D" w:rsidRPr="00FE26CF">
        <w:rPr>
          <w:rFonts w:cs="Arial"/>
          <w:sz w:val="22"/>
          <w:lang w:val="es-ES"/>
        </w:rPr>
        <w:fldChar w:fldCharType="separate"/>
      </w:r>
      <w:r w:rsidR="0055093D" w:rsidRPr="00FE26CF">
        <w:rPr>
          <w:rFonts w:cs="Arial"/>
          <w:noProof/>
          <w:sz w:val="22"/>
          <w:lang w:val="es-ES"/>
        </w:rPr>
        <w:t>(Berkley et al. 1993)</w:t>
      </w:r>
      <w:r w:rsidR="0055093D" w:rsidRPr="00FE26CF">
        <w:rPr>
          <w:rFonts w:cs="Arial"/>
          <w:sz w:val="22"/>
          <w:lang w:val="es-ES"/>
        </w:rPr>
        <w:fldChar w:fldCharType="end"/>
      </w:r>
      <w:r w:rsidR="0055093D" w:rsidRPr="00FE26CF">
        <w:rPr>
          <w:rFonts w:cs="Arial"/>
          <w:sz w:val="22"/>
          <w:lang w:val="es-ES"/>
        </w:rPr>
        <w:t xml:space="preserve"> </w:t>
      </w:r>
      <w:r w:rsidRPr="00FE26CF">
        <w:rPr>
          <w:rFonts w:cs="Arial"/>
          <w:sz w:val="22"/>
          <w:lang w:val="es-ES"/>
        </w:rPr>
        <w:t xml:space="preserve">y en el respectivo libro de referencia </w:t>
      </w:r>
      <w:r w:rsidRPr="00FE26CF">
        <w:rPr>
          <w:rFonts w:cs="Arial"/>
          <w:i/>
          <w:iCs/>
          <w:sz w:val="22"/>
          <w:lang w:val="es-ES"/>
        </w:rPr>
        <w:t>Disease Control Priorities in Developing</w:t>
      </w:r>
      <w:r w:rsidRPr="00FE26CF">
        <w:rPr>
          <w:rFonts w:cs="Arial"/>
          <w:sz w:val="22"/>
          <w:lang w:val="es-ES"/>
        </w:rPr>
        <w:t xml:space="preserve"> </w:t>
      </w:r>
      <w:r w:rsidRPr="00FE26CF">
        <w:rPr>
          <w:rFonts w:cs="Arial"/>
          <w:i/>
          <w:iCs/>
          <w:sz w:val="22"/>
          <w:lang w:val="es-ES"/>
        </w:rPr>
        <w:t xml:space="preserve">Countries </w:t>
      </w:r>
      <w:r w:rsidR="0055093D" w:rsidRPr="00FE26CF">
        <w:rPr>
          <w:rFonts w:cs="Arial"/>
          <w:i/>
          <w:iCs/>
          <w:sz w:val="22"/>
          <w:lang w:val="es-ES"/>
        </w:rPr>
        <w:fldChar w:fldCharType="begin" w:fldLock="1"/>
      </w:r>
      <w:r w:rsidR="00D85DA0" w:rsidRPr="00FE26CF">
        <w:rPr>
          <w:rFonts w:cs="Arial"/>
          <w:i/>
          <w:iCs/>
          <w:sz w:val="22"/>
          <w:lang w:val="es-ES"/>
        </w:rPr>
        <w:instrText>ADDIN CSL_CITATION { "citationItems" : [ { "id" : "ITEM-1", "itemData" : { "PMID" : "21250309", "author" : [ { "dropping-particle" : "", "family" : "Jamison", "given" : "Dean T", "non-dropping-particle" : "", "parse-names" : false, "suffix" : "" }, { "dropping-particle" : "", "family" : "Breman", "given" : "Joel G", "non-dropping-particle" : "", "parse-names" : false, "suffix" : "" }, { "dropping-particle" : "", "family" : "Measham", "given" : "Anthony R", "non-dropping-particle" : "", "parse-names" : false, "suffix" : "" }, { "dropping-particle" : "", "family" : "Alleyne", "given" : "George", "non-dropping-particle" : "", "parse-names" : false, "suffix" : "" }, { "dropping-particle" : "", "family" : "Claeson", "given" : "Mariam", "non-dropping-particle" : "", "parse-names" : false, "suffix" : "" }, { "dropping-particle" : "", "family" : "Evans", "given" : "David B", "non-dropping-particle" : "", "parse-names" : false, "suffix" : "" }, { "dropping-particle" : "", "family" : "Jha", "given" : "Prabhat", "non-dropping-particle" : "", "parse-names" : false, "suffix" : "" }, { "dropping-particle" : "", "family" : "Mills", "given" : "Anne", "non-dropping-particle" : "", "parse-names" : false, "suffix" : "" }, { "dropping-particle" : "", "family" : "Musgrove", "given" : "Philip", "non-dropping-particle" : "", "parse-names" : false, "suffix" : "" } ], "id" : "ITEM-1", "issued" : { "date-parts" : [ [ "2006" ] ] }, "language" : "en", "publisher" : "World Bank", "title" : "Disease Control Priorities in Developing Countries", "type" : "article" }, "uris" : [ "http://www.mendeley.com/documents/?uuid=64a8ed3c-bb59-4fc6-ab56-b821ebef995e" ] } ], "mendeley" : { "formattedCitation" : "(Jamison et al. 2006)", "plainTextFormattedCitation" : "(Jamison et al. 2006)", "previouslyFormattedCitation" : "(Jamison et al. 2006)" }, "properties" : { "noteIndex" : 0 }, "schema" : "https://github.com/citation-style-language/schema/raw/master/csl-citation.json" }</w:instrText>
      </w:r>
      <w:r w:rsidR="0055093D" w:rsidRPr="00FE26CF">
        <w:rPr>
          <w:rFonts w:cs="Arial"/>
          <w:i/>
          <w:iCs/>
          <w:sz w:val="22"/>
          <w:lang w:val="es-ES"/>
        </w:rPr>
        <w:fldChar w:fldCharType="separate"/>
      </w:r>
      <w:r w:rsidR="0055093D" w:rsidRPr="00FE26CF">
        <w:rPr>
          <w:rFonts w:cs="Arial"/>
          <w:iCs/>
          <w:noProof/>
          <w:sz w:val="22"/>
          <w:lang w:val="es-ES"/>
        </w:rPr>
        <w:t>(Jamison et al. 2006)</w:t>
      </w:r>
      <w:r w:rsidR="0055093D" w:rsidRPr="00FE26CF">
        <w:rPr>
          <w:rFonts w:cs="Arial"/>
          <w:i/>
          <w:iCs/>
          <w:sz w:val="22"/>
          <w:lang w:val="es-ES"/>
        </w:rPr>
        <w:fldChar w:fldCharType="end"/>
      </w:r>
      <w:r w:rsidRPr="00FE26CF">
        <w:rPr>
          <w:rFonts w:cs="Arial"/>
          <w:sz w:val="22"/>
          <w:lang w:val="es-ES"/>
        </w:rPr>
        <w:t>. Hoy en día es un indicador ampliamente usado en el ámbito internacional  para estimar la carga mundial de enfermedad  y para estudios comparativos de costo-efectividad. El uso como medida de salud de los AVAD permite cuantificar el estado de salud de una población con las siguientes propiedades:</w:t>
      </w:r>
    </w:p>
    <w:p w:rsidR="00FA34E2" w:rsidRPr="00FE26CF" w:rsidRDefault="00FA34E2" w:rsidP="006D2FB5">
      <w:pPr>
        <w:spacing w:before="120" w:after="120" w:line="240" w:lineRule="auto"/>
        <w:contextualSpacing/>
        <w:jc w:val="both"/>
        <w:rPr>
          <w:rFonts w:cs="Arial"/>
          <w:sz w:val="22"/>
          <w:lang w:val="es-ES"/>
        </w:rPr>
      </w:pPr>
    </w:p>
    <w:p w:rsidR="00FA34E2" w:rsidRPr="00FE26CF" w:rsidRDefault="00FA34E2" w:rsidP="006D2FB5">
      <w:pPr>
        <w:numPr>
          <w:ilvl w:val="0"/>
          <w:numId w:val="30"/>
        </w:numPr>
        <w:spacing w:before="120" w:after="120" w:line="240" w:lineRule="auto"/>
        <w:contextualSpacing/>
        <w:jc w:val="both"/>
        <w:rPr>
          <w:rFonts w:eastAsia="Times New Roman" w:cs="Arial"/>
          <w:sz w:val="22"/>
          <w:lang w:val="es-ES"/>
        </w:rPr>
      </w:pPr>
      <w:r w:rsidRPr="00FE26CF">
        <w:rPr>
          <w:rFonts w:eastAsia="Times New Roman" w:cs="Arial"/>
          <w:sz w:val="22"/>
          <w:lang w:val="es-ES"/>
        </w:rPr>
        <w:t>Incorporar condiciones no fatales en las evaluaciones de los estados de salud.</w:t>
      </w:r>
    </w:p>
    <w:p w:rsidR="00FA34E2" w:rsidRPr="00FE26CF" w:rsidRDefault="00FA34E2" w:rsidP="006D2FB5">
      <w:pPr>
        <w:numPr>
          <w:ilvl w:val="0"/>
          <w:numId w:val="30"/>
        </w:numPr>
        <w:spacing w:before="120" w:after="120" w:line="240" w:lineRule="auto"/>
        <w:contextualSpacing/>
        <w:jc w:val="both"/>
        <w:rPr>
          <w:rFonts w:eastAsia="Times New Roman" w:cs="Arial"/>
          <w:sz w:val="22"/>
          <w:lang w:val="es-ES"/>
        </w:rPr>
      </w:pPr>
      <w:r w:rsidRPr="00FE26CF">
        <w:rPr>
          <w:rFonts w:eastAsia="Times New Roman" w:cs="Arial"/>
          <w:sz w:val="22"/>
          <w:lang w:val="es-ES"/>
        </w:rPr>
        <w:t>Obtener estimaciones objetivas y plausibles de las cargas de condiciones y enfermedades particulares.</w:t>
      </w:r>
    </w:p>
    <w:p w:rsidR="00FA34E2" w:rsidRPr="00FE26CF" w:rsidRDefault="00FA34E2" w:rsidP="006D2FB5">
      <w:pPr>
        <w:numPr>
          <w:ilvl w:val="0"/>
          <w:numId w:val="30"/>
        </w:numPr>
        <w:spacing w:before="120" w:after="120" w:line="240" w:lineRule="auto"/>
        <w:contextualSpacing/>
        <w:jc w:val="both"/>
        <w:rPr>
          <w:rFonts w:eastAsia="Times New Roman" w:cs="Arial"/>
          <w:sz w:val="22"/>
          <w:lang w:val="es-ES"/>
        </w:rPr>
      </w:pPr>
      <w:r w:rsidRPr="00FE26CF">
        <w:rPr>
          <w:rFonts w:eastAsia="Times New Roman" w:cs="Arial"/>
          <w:sz w:val="22"/>
          <w:lang w:val="es-ES"/>
        </w:rPr>
        <w:t>Medir la carga de enfermedades y daños físicos en una unidad que permita también evaluar el costo/efectividad de las intervenciones, en términos de costo por unidad de carga de enfermedad eliminada.</w:t>
      </w:r>
    </w:p>
    <w:p w:rsidR="00FA34E2" w:rsidRPr="00FE26CF" w:rsidRDefault="00FA34E2" w:rsidP="006D2FB5">
      <w:pPr>
        <w:spacing w:before="120" w:after="120" w:line="240" w:lineRule="auto"/>
        <w:ind w:left="360"/>
        <w:contextualSpacing/>
        <w:jc w:val="both"/>
        <w:rPr>
          <w:rFonts w:eastAsia="Times New Roman" w:cs="Arial"/>
          <w:sz w:val="22"/>
          <w:lang w:val="es-ES"/>
        </w:rPr>
      </w:pPr>
    </w:p>
    <w:p w:rsidR="00FA34E2" w:rsidRPr="00FE26CF" w:rsidRDefault="00940453" w:rsidP="006D2FB5">
      <w:pPr>
        <w:spacing w:before="120" w:after="120" w:line="240" w:lineRule="auto"/>
        <w:contextualSpacing/>
        <w:jc w:val="both"/>
        <w:rPr>
          <w:rFonts w:cs="Arial"/>
          <w:sz w:val="22"/>
          <w:lang w:val="es-ES"/>
        </w:rPr>
      </w:pPr>
      <w:r w:rsidRPr="00FE26CF">
        <w:rPr>
          <w:rFonts w:cs="Arial"/>
          <w:sz w:val="22"/>
          <w:lang w:val="es-ES"/>
        </w:rPr>
        <w:t>El impacto de las mejoras en la gestión</w:t>
      </w:r>
      <w:r w:rsidR="005B08FD" w:rsidRPr="00FE26CF">
        <w:rPr>
          <w:rFonts w:cs="Arial"/>
          <w:sz w:val="22"/>
          <w:lang w:val="es-ES"/>
        </w:rPr>
        <w:t xml:space="preserve"> con este enfoque</w:t>
      </w:r>
      <w:r w:rsidR="00FA34E2" w:rsidRPr="00FE26CF">
        <w:rPr>
          <w:rFonts w:cs="Arial"/>
          <w:sz w:val="22"/>
          <w:lang w:val="es-ES"/>
        </w:rPr>
        <w:t xml:space="preserve"> se mide al calcular los AVAD en dos escenarios: con y sin la intervención. Generalmente los años de vida perdidos por cada muerte se establecen en función de la Esperanza de Vida a la edad de cada muerte obtenida de tablas de vida estándar de baja mortalidad. Un AVAD representa la pérdida de un año que equivale a un año de completa salud, o equivalente a la pérdida de un año </w:t>
      </w:r>
      <w:r w:rsidR="00917F3C" w:rsidRPr="00FE26CF">
        <w:rPr>
          <w:rFonts w:cs="Arial"/>
          <w:sz w:val="22"/>
          <w:lang w:val="es-ES"/>
        </w:rPr>
        <w:t>totalmente</w:t>
      </w:r>
      <w:r w:rsidR="00FA34E2" w:rsidRPr="00FE26CF">
        <w:rPr>
          <w:rFonts w:cs="Arial"/>
          <w:sz w:val="22"/>
          <w:lang w:val="es-ES"/>
        </w:rPr>
        <w:t xml:space="preserve"> saludable. </w:t>
      </w:r>
    </w:p>
    <w:p w:rsidR="00FE36C0" w:rsidRPr="00FE26CF" w:rsidRDefault="00FE36C0" w:rsidP="006D2FB5">
      <w:pPr>
        <w:spacing w:before="120" w:after="120" w:line="240" w:lineRule="auto"/>
        <w:contextualSpacing/>
        <w:jc w:val="both"/>
        <w:rPr>
          <w:rFonts w:cs="Arial"/>
          <w:sz w:val="22"/>
          <w:lang w:val="es-ES"/>
        </w:rPr>
      </w:pPr>
    </w:p>
    <w:p w:rsidR="00FE36C0" w:rsidRPr="00FE26CF" w:rsidRDefault="00FE36C0" w:rsidP="006D2FB5">
      <w:pPr>
        <w:spacing w:before="120" w:after="120" w:line="240" w:lineRule="auto"/>
        <w:contextualSpacing/>
        <w:jc w:val="both"/>
        <w:rPr>
          <w:rFonts w:cs="Arial"/>
          <w:sz w:val="22"/>
          <w:lang w:val="es-ES"/>
        </w:rPr>
      </w:pPr>
      <w:bookmarkStart w:id="16" w:name="f1"/>
      <w:bookmarkEnd w:id="16"/>
      <w:r w:rsidRPr="00FE26CF">
        <w:rPr>
          <w:rFonts w:cs="Arial"/>
          <w:sz w:val="22"/>
          <w:lang w:val="es-ES"/>
        </w:rPr>
        <w:t>En términos generales los A</w:t>
      </w:r>
      <w:r w:rsidR="005B08FD" w:rsidRPr="00FE26CF">
        <w:rPr>
          <w:rFonts w:cs="Arial"/>
          <w:sz w:val="22"/>
          <w:lang w:val="es-ES"/>
        </w:rPr>
        <w:t>V</w:t>
      </w:r>
      <w:r w:rsidR="00917F3C" w:rsidRPr="00FE26CF">
        <w:rPr>
          <w:rFonts w:cs="Arial"/>
          <w:sz w:val="22"/>
          <w:lang w:val="es-ES"/>
        </w:rPr>
        <w:t>A</w:t>
      </w:r>
      <w:r w:rsidRPr="00FE26CF">
        <w:rPr>
          <w:rFonts w:cs="Arial"/>
          <w:sz w:val="22"/>
          <w:lang w:val="es-ES"/>
        </w:rPr>
        <w:t>D dependen de los siguientes parámetros: AVD: total Años Vividos con Discapacidad. N</w:t>
      </w:r>
      <w:r w:rsidRPr="00FE26CF">
        <w:rPr>
          <w:rFonts w:cs="Arial"/>
          <w:sz w:val="22"/>
          <w:vertAlign w:val="subscript"/>
          <w:lang w:val="es-ES"/>
        </w:rPr>
        <w:t>j</w:t>
      </w:r>
      <w:r w:rsidRPr="00FE26CF">
        <w:rPr>
          <w:rFonts w:cs="Arial"/>
          <w:sz w:val="22"/>
          <w:lang w:val="es-ES"/>
        </w:rPr>
        <w:t>: Población susceptible de enfermar a cada edad (0 - L). I</w:t>
      </w:r>
      <w:r w:rsidRPr="00FE26CF">
        <w:rPr>
          <w:rFonts w:cs="Arial"/>
          <w:sz w:val="22"/>
          <w:vertAlign w:val="subscript"/>
          <w:lang w:val="es-ES"/>
        </w:rPr>
        <w:t>j</w:t>
      </w:r>
      <w:r w:rsidRPr="00FE26CF">
        <w:rPr>
          <w:rFonts w:cs="Arial"/>
          <w:sz w:val="22"/>
          <w:lang w:val="es-ES"/>
        </w:rPr>
        <w:t>: Incidencia de la enfermedad a cada edad (0 - L). T</w:t>
      </w:r>
      <w:r w:rsidRPr="00FE26CF">
        <w:rPr>
          <w:rFonts w:cs="Arial"/>
          <w:sz w:val="22"/>
          <w:vertAlign w:val="subscript"/>
          <w:lang w:val="es-ES"/>
        </w:rPr>
        <w:t>j</w:t>
      </w:r>
      <w:r w:rsidRPr="00FE26CF">
        <w:rPr>
          <w:rFonts w:cs="Arial"/>
          <w:sz w:val="22"/>
          <w:lang w:val="es-ES"/>
        </w:rPr>
        <w:t>: Duración media de la enfermedad desde la edad de inicio (0 - L). D: Valor que pondera la discapacidad entre valores de "0 = salud perfecta" y "1 = máxima discapacidad o equivalente al estado de muerte". El método para establecer las escalas de severidad o ponderación de la discapacidad usada para los AVAD es el de Equivalencia de personas (Murray</w:t>
      </w:r>
      <w:r w:rsidR="00073909" w:rsidRPr="00FE26CF">
        <w:rPr>
          <w:rFonts w:cs="Arial"/>
          <w:sz w:val="22"/>
          <w:lang w:val="es-ES"/>
        </w:rPr>
        <w:t xml:space="preserve"> y </w:t>
      </w:r>
      <w:r w:rsidR="0088018B" w:rsidRPr="00FE26CF">
        <w:rPr>
          <w:rFonts w:cs="Arial"/>
          <w:sz w:val="22"/>
          <w:lang w:val="es-ES"/>
        </w:rPr>
        <w:t>López</w:t>
      </w:r>
      <w:r w:rsidRPr="00FE26CF">
        <w:rPr>
          <w:rFonts w:cs="Arial"/>
          <w:sz w:val="22"/>
          <w:lang w:val="es-ES"/>
        </w:rPr>
        <w:t xml:space="preserve"> 1994).</w:t>
      </w:r>
    </w:p>
    <w:p w:rsidR="00FE36C0" w:rsidRPr="00FE26CF" w:rsidRDefault="00FE36C0" w:rsidP="006D2FB5">
      <w:pPr>
        <w:spacing w:before="120" w:after="120" w:line="240" w:lineRule="auto"/>
        <w:contextualSpacing/>
        <w:jc w:val="both"/>
        <w:rPr>
          <w:rFonts w:eastAsia="Times New Roman" w:cs="Arial"/>
          <w:sz w:val="22"/>
          <w:lang w:val="es-ES"/>
        </w:rPr>
      </w:pPr>
    </w:p>
    <w:p w:rsidR="00FE36C0" w:rsidRPr="00FE26CF" w:rsidRDefault="00FE36C0" w:rsidP="006D2FB5">
      <w:pPr>
        <w:spacing w:before="120" w:after="120" w:line="240" w:lineRule="auto"/>
        <w:contextualSpacing/>
        <w:jc w:val="both"/>
        <w:rPr>
          <w:rFonts w:eastAsia="Times New Roman" w:cs="Arial"/>
          <w:sz w:val="22"/>
          <w:lang w:val="es-ES"/>
        </w:rPr>
      </w:pPr>
      <w:r w:rsidRPr="00FE26CF">
        <w:rPr>
          <w:rFonts w:eastAsia="Times New Roman" w:cs="Arial"/>
          <w:sz w:val="22"/>
          <w:lang w:val="es-ES"/>
        </w:rPr>
        <w:t>Como discu</w:t>
      </w:r>
      <w:r w:rsidR="005B08FD" w:rsidRPr="00FE26CF">
        <w:rPr>
          <w:rFonts w:eastAsia="Times New Roman" w:cs="Arial"/>
          <w:sz w:val="22"/>
          <w:lang w:val="es-ES"/>
        </w:rPr>
        <w:t xml:space="preserve">ten </w:t>
      </w:r>
      <w:r w:rsidR="00D85DA0" w:rsidRPr="00FE26CF">
        <w:rPr>
          <w:rFonts w:eastAsia="Times New Roman" w:cs="Arial"/>
          <w:sz w:val="22"/>
          <w:lang w:val="es-ES"/>
        </w:rPr>
        <w:fldChar w:fldCharType="begin" w:fldLock="1"/>
      </w:r>
      <w:r w:rsidR="00A04E82" w:rsidRPr="00FE26CF">
        <w:rPr>
          <w:rFonts w:eastAsia="Times New Roman" w:cs="Arial"/>
          <w:sz w:val="22"/>
          <w:lang w:val="es-ES"/>
        </w:rPr>
        <w:instrText>ADDIN CSL_CITATION { "citationItems" : [ { "id" : "ITEM-1", "itemData" : { "DOI" : "10.4067/S0034-98872010001000005", "ISSN" : "0034-9887", "author" : [ { "dropping-particle" : "", "family" : "Alvis", "given" : "Nelson", "non-dropping-particle" : "", "parse-names" : false, "suffix" : "" }, { "dropping-particle" : "", "family" : "Valenzuela", "given" : "Mar\u00eda Teresa", "non-dropping-particle" : "", "parse-names" : false, "suffix" : "" } ], "container-title" : "Revista m\u00e9dica de Chile", "id" : "ITEM-1", "issued" : { "date-parts" : [ [ "2010", "9" ] ] }, "page" : "83-87", "publisher" : "Sociedad M\u00e9dica de Santiago", "title" : "Los QALYs y DALYs como indicadores sint\u00e9ticos de salud", "type" : "article-journal", "volume" : "138" }, "uris" : [ "http://www.mendeley.com/documents/?uuid=1d14ce35-712c-4909-bd3b-a2eecdfe3e42" ] } ], "mendeley" : { "formattedCitation" : "(Alvis and Valenzuela 2010)", "manualFormatting" : "Alvis y Valenzuela (2010)", "plainTextFormattedCitation" : "(Alvis and Valenzuela 2010)", "previouslyFormattedCitation" : "(Alvis and Valenzuela 2010)" }, "properties" : { "noteIndex" : 0 }, "schema" : "https://github.com/citation-style-language/schema/raw/master/csl-citation.json" }</w:instrText>
      </w:r>
      <w:r w:rsidR="00D85DA0" w:rsidRPr="00FE26CF">
        <w:rPr>
          <w:rFonts w:eastAsia="Times New Roman" w:cs="Arial"/>
          <w:sz w:val="22"/>
          <w:lang w:val="es-ES"/>
        </w:rPr>
        <w:fldChar w:fldCharType="separate"/>
      </w:r>
      <w:r w:rsidR="00D85DA0" w:rsidRPr="00FE26CF">
        <w:rPr>
          <w:rFonts w:eastAsia="Times New Roman" w:cs="Arial"/>
          <w:noProof/>
          <w:sz w:val="22"/>
          <w:lang w:val="es-ES"/>
        </w:rPr>
        <w:t>Alvis</w:t>
      </w:r>
      <w:r w:rsidR="00073909" w:rsidRPr="00FE26CF">
        <w:rPr>
          <w:rFonts w:eastAsia="Times New Roman" w:cs="Arial"/>
          <w:noProof/>
          <w:sz w:val="22"/>
          <w:lang w:val="es-ES"/>
        </w:rPr>
        <w:t xml:space="preserve"> y </w:t>
      </w:r>
      <w:r w:rsidR="00D85DA0" w:rsidRPr="00FE26CF">
        <w:rPr>
          <w:rFonts w:eastAsia="Times New Roman" w:cs="Arial"/>
          <w:noProof/>
          <w:sz w:val="22"/>
          <w:lang w:val="es-ES"/>
        </w:rPr>
        <w:t>Valenzuela (2010)</w:t>
      </w:r>
      <w:r w:rsidR="00D85DA0" w:rsidRPr="00FE26CF">
        <w:rPr>
          <w:rFonts w:eastAsia="Times New Roman" w:cs="Arial"/>
          <w:sz w:val="22"/>
          <w:lang w:val="es-ES"/>
        </w:rPr>
        <w:fldChar w:fldCharType="end"/>
      </w:r>
      <w:r w:rsidR="005B08FD" w:rsidRPr="00FE26CF">
        <w:rPr>
          <w:rFonts w:eastAsia="Times New Roman" w:cs="Arial"/>
          <w:sz w:val="22"/>
          <w:lang w:val="es-ES"/>
        </w:rPr>
        <w:t xml:space="preserve">, </w:t>
      </w:r>
      <w:r w:rsidR="00D85DA0" w:rsidRPr="00FE26CF">
        <w:rPr>
          <w:rFonts w:eastAsia="Times New Roman" w:cs="Arial"/>
          <w:sz w:val="22"/>
          <w:lang w:val="es-ES"/>
        </w:rPr>
        <w:fldChar w:fldCharType="begin" w:fldLock="1"/>
      </w:r>
      <w:r w:rsidR="00C55B87" w:rsidRPr="00FE26CF">
        <w:rPr>
          <w:rFonts w:eastAsia="Times New Roman" w:cs="Arial"/>
          <w:sz w:val="22"/>
          <w:lang w:val="es-ES"/>
        </w:rPr>
        <w:instrText>ADDIN CSL_CITATION { "citationItems" : [ { "id" : "ITEM-1", "itemData" : { "editor" : [ { "dropping-particle" : "", "family" : "Mathers", "given" : "Colin", "non-dropping-particle" : "", "parse-names" : false, "suffix" : "" }, { "dropping-particle" : "", "family" : "Vos", "given" : "THeo", "non-dropping-particle" : "", "parse-names" : false, "suffix" : "" }, { "dropping-particle" : "", "family" : "Lopez", "given" : "Alan", "non-dropping-particle" : "", "parse-names" : false, "suffix" : "" }, { "dropping-particle" : "", "family" : "Salomon", "given" : "Josh", "non-dropping-particle" : "", "parse-names" : false, "suffix" : "" }, { "dropping-particle" : "", "family" : "Ezzati", "given" : "Majid", "non-dropping-particle" : "", "parse-names" : false, "suffix" : "" } ], "id" : "ITEM-1", "issued" : { "date-parts" : [ [ "2001" ] ] }, "publisher" : "Organizaci\u00f3n Mundial de la Salud", "publisher-place" : "Giinebra, Suiza", "title" : "National Burden of Disease Studies: A Practical Guide. Edition 2.0", "type" : "book" }, "uris" : [ "http://www.mendeley.com/documents/?uuid=93efaa13-0271-4d8d-b569-cd766b3b6008" ] } ], "mendeley" : { "formattedCitation" : "(Mathers et al. 2001)", "manualFormatting" : "Mathers et al. (2001)", "plainTextFormattedCitation" : "(Mathers et al. 2001)", "previouslyFormattedCitation" : "(Mathers et al. 2001)" }, "properties" : { "noteIndex" : 0 }, "schema" : "https://github.com/citation-style-language/schema/raw/master/csl-citation.json" }</w:instrText>
      </w:r>
      <w:r w:rsidR="00D85DA0" w:rsidRPr="00FE26CF">
        <w:rPr>
          <w:rFonts w:eastAsia="Times New Roman" w:cs="Arial"/>
          <w:sz w:val="22"/>
          <w:lang w:val="es-ES"/>
        </w:rPr>
        <w:fldChar w:fldCharType="separate"/>
      </w:r>
      <w:r w:rsidR="00D85DA0" w:rsidRPr="00FE26CF">
        <w:rPr>
          <w:rFonts w:eastAsia="Times New Roman" w:cs="Arial"/>
          <w:noProof/>
          <w:sz w:val="22"/>
          <w:lang w:val="es-ES"/>
        </w:rPr>
        <w:t>Mathers et al. (2001)</w:t>
      </w:r>
      <w:r w:rsidR="00D85DA0" w:rsidRPr="00FE26CF">
        <w:rPr>
          <w:rFonts w:eastAsia="Times New Roman" w:cs="Arial"/>
          <w:sz w:val="22"/>
          <w:lang w:val="es-ES"/>
        </w:rPr>
        <w:fldChar w:fldCharType="end"/>
      </w:r>
      <w:r w:rsidR="00D85DA0" w:rsidRPr="00FE26CF">
        <w:rPr>
          <w:rFonts w:eastAsia="Times New Roman" w:cs="Arial"/>
          <w:sz w:val="22"/>
          <w:lang w:val="es-ES"/>
        </w:rPr>
        <w:t xml:space="preserve"> </w:t>
      </w:r>
      <w:r w:rsidR="00C55B87" w:rsidRPr="00FE26CF">
        <w:rPr>
          <w:rFonts w:eastAsia="Times New Roman" w:cs="Arial"/>
          <w:sz w:val="22"/>
          <w:lang w:val="es-ES"/>
        </w:rPr>
        <w:t xml:space="preserve">y </w:t>
      </w:r>
      <w:r w:rsidR="00C55B87" w:rsidRPr="00FE26CF">
        <w:rPr>
          <w:rFonts w:eastAsia="Times New Roman" w:cs="Arial"/>
          <w:sz w:val="22"/>
          <w:lang w:val="es-ES"/>
        </w:rPr>
        <w:fldChar w:fldCharType="begin" w:fldLock="1"/>
      </w:r>
      <w:r w:rsidR="0046041E" w:rsidRPr="00FE26CF">
        <w:rPr>
          <w:rFonts w:eastAsia="Times New Roman" w:cs="Arial"/>
          <w:sz w:val="22"/>
          <w:lang w:val="es-ES"/>
        </w:rPr>
        <w:instrText>ADDIN CSL_CITATION { "citationItems" : [ { "id" : "ITEM-1", "itemData" : { "editor" : [ { "dropping-particle" : "", "family" : "Tan-Torres Edejer", "given" : "T", "non-dropping-particle" : "", "parse-names" : false, "suffix" : "" }, { "dropping-particle" : "", "family" : "Baltussen", "given" : "R.", "non-dropping-particle" : "", "parse-names" : false, "suffix" : "" }, { "dropping-particle" : "", "family" : "Adam", "given" : "T", "non-dropping-particle" : "", "parse-names" : false, "suffix" : "" }, { "dropping-particle" : "", "family" : "Hutubessy", "given" : "R", "non-dropping-particle" : "", "parse-names" : false, "suffix" : "" }, { "dropping-particle" : "", "family" : "Acharya", "given" : "A.", "non-dropping-particle" : "", "parse-names" : false, "suffix" : "" }, { "dropping-particle" : "", "family" : "Evans", "given" : "D.B.", "non-dropping-particle" : "", "parse-names" : false, "suffix" : "" }, { "dropping-particle" : "", "family" : "Murray", "given" : "C.J.L.", "non-dropping-particle" : "", "parse-names" : false, "suffix" : "" } ], "id" : "ITEM-1", "issued" : { "date-parts" : [ [ "2003" ] ] }, "publisher" : "Organizaci\u00f3n Mundial de la Salud", "publisher-place" : "Ginebra, Suiza", "title" : "Making Choices in Health:WHO Guide to Cost-Effectiveness Analysis", "type" : "book" }, "uris" : [ "http://www.mendeley.com/documents/?uuid=25a26c8b-dbda-4a68-ae1c-4aef5e08e5d1" ] } ], "mendeley" : { "formattedCitation" : "(Tan-Torres Edejer et al. 2003)", "manualFormatting" : "Tan-Torres Edeker et al. (2003)", "plainTextFormattedCitation" : "(Tan-Torres Edejer et al. 2003)", "previouslyFormattedCitation" : "(Tan-Torres Edejer et al. 2003)" }, "properties" : { "noteIndex" : 0 }, "schema" : "https://github.com/citation-style-language/schema/raw/master/csl-citation.json" }</w:instrText>
      </w:r>
      <w:r w:rsidR="00C55B87" w:rsidRPr="00FE26CF">
        <w:rPr>
          <w:rFonts w:eastAsia="Times New Roman" w:cs="Arial"/>
          <w:sz w:val="22"/>
          <w:lang w:val="es-ES"/>
        </w:rPr>
        <w:fldChar w:fldCharType="separate"/>
      </w:r>
      <w:r w:rsidR="00C55B87" w:rsidRPr="00FE26CF">
        <w:rPr>
          <w:rFonts w:eastAsia="Times New Roman" w:cs="Arial"/>
          <w:noProof/>
          <w:sz w:val="22"/>
          <w:lang w:val="es-ES"/>
        </w:rPr>
        <w:t>Tan-Torres Edeker et al. (2003)</w:t>
      </w:r>
      <w:r w:rsidR="00C55B87" w:rsidRPr="00FE26CF">
        <w:rPr>
          <w:rFonts w:eastAsia="Times New Roman" w:cs="Arial"/>
          <w:sz w:val="22"/>
          <w:lang w:val="es-ES"/>
        </w:rPr>
        <w:fldChar w:fldCharType="end"/>
      </w:r>
      <w:r w:rsidRPr="00FE26CF">
        <w:rPr>
          <w:rFonts w:eastAsia="Times New Roman" w:cs="Arial"/>
          <w:sz w:val="22"/>
          <w:lang w:val="es-ES"/>
        </w:rPr>
        <w:t>, entre muchos otras referencias, los AVAD resumen, mediante estudios de carga de la enfermedad, el impacto de la mortalidad y discapacidad asociada a enfermedades específicas, en distintas comunidades; los AVAD son comúnmente utilizados como medidas de resultado en los estudios de evaluación económica midiendo el impacto de acciones o intervenciones específicas para reve</w:t>
      </w:r>
      <w:r w:rsidR="005B08FD" w:rsidRPr="00FE26CF">
        <w:rPr>
          <w:rFonts w:eastAsia="Times New Roman" w:cs="Arial"/>
          <w:sz w:val="22"/>
          <w:lang w:val="es-ES"/>
        </w:rPr>
        <w:t xml:space="preserve">rtir la carga de la enfermedad. </w:t>
      </w:r>
      <w:r w:rsidRPr="00FE26CF">
        <w:rPr>
          <w:rFonts w:eastAsia="Times New Roman" w:cs="Arial"/>
          <w:sz w:val="22"/>
          <w:lang w:val="es-ES"/>
        </w:rPr>
        <w:t>Su carácter genérico permite comparar el impacto de intervenciones de salud entre diferentes enfermedades.</w:t>
      </w:r>
    </w:p>
    <w:p w:rsidR="00FE36C0" w:rsidRPr="00FE26CF" w:rsidRDefault="00FE36C0" w:rsidP="006D2FB5">
      <w:pPr>
        <w:spacing w:before="120" w:after="120" w:line="240" w:lineRule="auto"/>
        <w:contextualSpacing/>
        <w:jc w:val="both"/>
        <w:rPr>
          <w:rFonts w:eastAsia="Times New Roman" w:cs="Arial"/>
          <w:sz w:val="22"/>
          <w:lang w:val="es-ES"/>
        </w:rPr>
      </w:pPr>
    </w:p>
    <w:p w:rsidR="00FE36C0" w:rsidRPr="00FE26CF" w:rsidRDefault="00FE36C0" w:rsidP="006D2FB5">
      <w:pPr>
        <w:spacing w:before="120" w:after="120" w:line="240" w:lineRule="auto"/>
        <w:contextualSpacing/>
        <w:jc w:val="both"/>
        <w:rPr>
          <w:rFonts w:eastAsia="Times New Roman" w:cs="Arial"/>
          <w:sz w:val="22"/>
          <w:lang w:val="es-ES"/>
        </w:rPr>
      </w:pPr>
      <w:r w:rsidRPr="00FE26CF">
        <w:rPr>
          <w:rFonts w:eastAsia="Times New Roman" w:cs="Arial"/>
          <w:sz w:val="22"/>
          <w:lang w:val="es-ES"/>
        </w:rPr>
        <w:t>De acuerdo a la metodología original, el cálculo de los AVADs requiere ponderar los años vividos a cada edad (</w:t>
      </w:r>
      <w:r w:rsidR="00917F3C" w:rsidRPr="00FE26CF">
        <w:rPr>
          <w:rFonts w:eastAsia="Times New Roman" w:cs="Arial"/>
          <w:sz w:val="22"/>
          <w:lang w:val="es-ES"/>
        </w:rPr>
        <w:fldChar w:fldCharType="begin"/>
      </w:r>
      <w:r w:rsidR="00917F3C" w:rsidRPr="00FE26CF">
        <w:rPr>
          <w:rFonts w:eastAsia="Times New Roman" w:cs="Arial"/>
          <w:sz w:val="22"/>
          <w:lang w:val="es-ES"/>
        </w:rPr>
        <w:instrText xml:space="preserve"> REF _Ref296067896 \h </w:instrText>
      </w:r>
      <w:r w:rsidR="000B185D" w:rsidRPr="00FE26CF">
        <w:rPr>
          <w:rFonts w:eastAsia="Times New Roman" w:cs="Arial"/>
          <w:sz w:val="22"/>
          <w:lang w:val="es-ES"/>
        </w:rPr>
        <w:instrText xml:space="preserve"> \* MERGEFORMAT </w:instrText>
      </w:r>
      <w:r w:rsidR="00917F3C" w:rsidRPr="00FE26CF">
        <w:rPr>
          <w:rFonts w:eastAsia="Times New Roman" w:cs="Arial"/>
          <w:sz w:val="22"/>
          <w:lang w:val="es-ES"/>
        </w:rPr>
      </w:r>
      <w:r w:rsidR="00917F3C" w:rsidRPr="00FE26CF">
        <w:rPr>
          <w:rFonts w:eastAsia="Times New Roman" w:cs="Arial"/>
          <w:sz w:val="22"/>
          <w:lang w:val="es-ES"/>
        </w:rPr>
        <w:fldChar w:fldCharType="separate"/>
      </w:r>
      <w:r w:rsidR="0088018B" w:rsidRPr="00FE26CF">
        <w:rPr>
          <w:rFonts w:cs="Arial"/>
          <w:sz w:val="22"/>
          <w:lang w:val="es-ES"/>
        </w:rPr>
        <w:t xml:space="preserve">Figura </w:t>
      </w:r>
      <w:r w:rsidR="0088018B" w:rsidRPr="00FE26CF">
        <w:rPr>
          <w:rFonts w:cs="Arial"/>
          <w:noProof/>
          <w:sz w:val="22"/>
          <w:lang w:val="es-ES"/>
        </w:rPr>
        <w:t>1</w:t>
      </w:r>
      <w:r w:rsidR="00917F3C" w:rsidRPr="00FE26CF">
        <w:rPr>
          <w:rFonts w:eastAsia="Times New Roman" w:cs="Arial"/>
          <w:sz w:val="22"/>
          <w:lang w:val="es-ES"/>
        </w:rPr>
        <w:fldChar w:fldCharType="end"/>
      </w:r>
      <w:r w:rsidRPr="00FE26CF">
        <w:rPr>
          <w:rFonts w:eastAsia="Times New Roman" w:cs="Arial"/>
          <w:sz w:val="22"/>
          <w:lang w:val="es-ES"/>
        </w:rPr>
        <w:t xml:space="preserve">), lo cual se sustenta por el hecho de que en los años medios de la vida, las personas no sólo sostienen económicamente a los más jóvenes y ancianos, sino </w:t>
      </w:r>
      <w:r w:rsidRPr="00FE26CF">
        <w:rPr>
          <w:rFonts w:eastAsia="Times New Roman" w:cs="Arial"/>
          <w:sz w:val="22"/>
          <w:lang w:val="es-ES"/>
        </w:rPr>
        <w:lastRenderedPageBreak/>
        <w:t xml:space="preserve">que realizan una serie de funciones sociales que repercuten favorablemente en la salud de los individuos de otras edades. Para una explicación detallada sobre la metodología de AVAD se recomienda ver el capítulo 3 de la Guía Práctica para Estudios Nacionales de Carga de Enfermedad </w:t>
      </w:r>
      <w:r w:rsidR="0046041E" w:rsidRPr="00FE26CF">
        <w:rPr>
          <w:rFonts w:eastAsia="Times New Roman" w:cs="Arial"/>
          <w:sz w:val="22"/>
          <w:lang w:val="es-ES"/>
        </w:rPr>
        <w:fldChar w:fldCharType="begin" w:fldLock="1"/>
      </w:r>
      <w:r w:rsidR="0046041E" w:rsidRPr="00FE26CF">
        <w:rPr>
          <w:rFonts w:eastAsia="Times New Roman" w:cs="Arial"/>
          <w:sz w:val="22"/>
          <w:lang w:val="es-ES"/>
        </w:rPr>
        <w:instrText>ADDIN CSL_CITATION { "citationItems" : [ { "id" : "ITEM-1", "itemData" : { "editor" : [ { "dropping-particle" : "", "family" : "Mathers", "given" : "Colin", "non-dropping-particle" : "", "parse-names" : false, "suffix" : "" }, { "dropping-particle" : "", "family" : "Vos", "given" : "THeo", "non-dropping-particle" : "", "parse-names" : false, "suffix" : "" }, { "dropping-particle" : "", "family" : "Lopez", "given" : "Alan", "non-dropping-particle" : "", "parse-names" : false, "suffix" : "" }, { "dropping-particle" : "", "family" : "Salomon", "given" : "Josh", "non-dropping-particle" : "", "parse-names" : false, "suffix" : "" }, { "dropping-particle" : "", "family" : "Ezzati", "given" : "Majid", "non-dropping-particle" : "", "parse-names" : false, "suffix" : "" } ], "id" : "ITEM-1", "issued" : { "date-parts" : [ [ "2001" ] ] }, "publisher" : "Organizaci\u00f3n Mundial de la Salud", "publisher-place" : "Giinebra, Suiza", "title" : "National Burden of Disease Studies: A Practical Guide. Edition 2.0", "type" : "book" }, "uris" : [ "http://www.mendeley.com/documents/?uuid=93efaa13-0271-4d8d-b569-cd766b3b6008" ] } ], "mendeley" : { "formattedCitation" : "(Mathers et al. 2001)", "plainTextFormattedCitation" : "(Mathers et al. 2001)", "previouslyFormattedCitation" : "(Mathers et al. 2001)" }, "properties" : { "noteIndex" : 0 }, "schema" : "https://github.com/citation-style-language/schema/raw/master/csl-citation.json" }</w:instrText>
      </w:r>
      <w:r w:rsidR="0046041E" w:rsidRPr="00FE26CF">
        <w:rPr>
          <w:rFonts w:eastAsia="Times New Roman" w:cs="Arial"/>
          <w:sz w:val="22"/>
          <w:lang w:val="es-ES"/>
        </w:rPr>
        <w:fldChar w:fldCharType="separate"/>
      </w:r>
      <w:r w:rsidR="0046041E" w:rsidRPr="00FE26CF">
        <w:rPr>
          <w:rFonts w:eastAsia="Times New Roman" w:cs="Arial"/>
          <w:noProof/>
          <w:sz w:val="22"/>
          <w:lang w:val="es-ES"/>
        </w:rPr>
        <w:t>(Mathers et al. 2001)</w:t>
      </w:r>
      <w:r w:rsidR="0046041E" w:rsidRPr="00FE26CF">
        <w:rPr>
          <w:rFonts w:eastAsia="Times New Roman" w:cs="Arial"/>
          <w:sz w:val="22"/>
          <w:lang w:val="es-ES"/>
        </w:rPr>
        <w:fldChar w:fldCharType="end"/>
      </w:r>
      <w:r w:rsidR="00106632" w:rsidRPr="00FE26CF">
        <w:rPr>
          <w:rFonts w:eastAsia="Times New Roman" w:cs="Arial"/>
          <w:sz w:val="22"/>
          <w:lang w:val="es-ES"/>
        </w:rPr>
        <w:t xml:space="preserve"> </w:t>
      </w:r>
      <w:r w:rsidRPr="00FE26CF">
        <w:rPr>
          <w:rFonts w:eastAsia="Times New Roman" w:cs="Arial"/>
          <w:sz w:val="22"/>
          <w:lang w:val="es-ES"/>
        </w:rPr>
        <w:t xml:space="preserve">así como el texto de </w:t>
      </w:r>
      <w:r w:rsidR="00E73783" w:rsidRPr="00FE26CF">
        <w:rPr>
          <w:rFonts w:eastAsia="Times New Roman" w:cs="Arial"/>
          <w:sz w:val="22"/>
          <w:lang w:val="es-ES"/>
        </w:rPr>
        <w:fldChar w:fldCharType="begin" w:fldLock="1"/>
      </w:r>
      <w:r w:rsidR="00180E1B" w:rsidRPr="00FE26CF">
        <w:rPr>
          <w:rFonts w:eastAsia="Times New Roman" w:cs="Arial"/>
          <w:sz w:val="22"/>
          <w:lang w:val="es-ES"/>
        </w:rPr>
        <w:instrText>ADDIN CSL_CITATION { "citationItems" : [ { "id" : "ITEM-1", "itemData" : { "DOI" : "10.4067/S0034-98872010001000005", "ISSN" : "0034-9887", "author" : [ { "dropping-particle" : "", "family" : "Alvis", "given" : "Nelson", "non-dropping-particle" : "", "parse-names" : false, "suffix" : "" }, { "dropping-particle" : "", "family" : "Valenzuela", "given" : "Mar\u00eda Teresa", "non-dropping-particle" : "", "parse-names" : false, "suffix" : "" } ], "container-title" : "Revista m\u00e9dica de Chile", "id" : "ITEM-1", "issued" : { "date-parts" : [ [ "2010", "9" ] ] }, "page" : "83-87", "publisher" : "Sociedad M\u00e9dica de Santiago", "title" : "Los QALYs y DALYs como indicadores sint\u00e9ticos de salud", "type" : "article-journal", "volume" : "138" }, "uris" : [ "http://www.mendeley.com/documents/?uuid=1d14ce35-712c-4909-bd3b-a2eecdfe3e42" ] } ], "mendeley" : { "formattedCitation" : "(Alvis and Valenzuela 2010)", "manualFormatting" : "Alvis y Valenzuela (2010)", "plainTextFormattedCitation" : "(Alvis and Valenzuela 2010)", "previouslyFormattedCitation" : "(Alvis and Valenzuela 2010)" }, "properties" : { "noteIndex" : 0 }, "schema" : "https://github.com/citation-style-language/schema/raw/master/csl-citation.json" }</w:instrText>
      </w:r>
      <w:r w:rsidR="00E73783" w:rsidRPr="00FE26CF">
        <w:rPr>
          <w:rFonts w:eastAsia="Times New Roman" w:cs="Arial"/>
          <w:sz w:val="22"/>
          <w:lang w:val="es-ES"/>
        </w:rPr>
        <w:fldChar w:fldCharType="separate"/>
      </w:r>
      <w:r w:rsidR="00E73783" w:rsidRPr="00FE26CF">
        <w:rPr>
          <w:rFonts w:eastAsia="Times New Roman" w:cs="Arial"/>
          <w:noProof/>
          <w:sz w:val="22"/>
          <w:lang w:val="es-ES"/>
        </w:rPr>
        <w:t>Alvis y Valenzuela (2010)</w:t>
      </w:r>
      <w:r w:rsidR="00E73783" w:rsidRPr="00FE26CF">
        <w:rPr>
          <w:rFonts w:eastAsia="Times New Roman" w:cs="Arial"/>
          <w:sz w:val="22"/>
          <w:lang w:val="es-ES"/>
        </w:rPr>
        <w:fldChar w:fldCharType="end"/>
      </w:r>
      <w:r w:rsidR="00E73783" w:rsidRPr="00FE26CF">
        <w:rPr>
          <w:rFonts w:eastAsia="Times New Roman" w:cs="Arial"/>
          <w:sz w:val="22"/>
          <w:lang w:val="es-ES"/>
        </w:rPr>
        <w:t xml:space="preserve"> </w:t>
      </w:r>
      <w:r w:rsidRPr="00FE26CF">
        <w:rPr>
          <w:rFonts w:eastAsia="Times New Roman" w:cs="Arial"/>
          <w:sz w:val="22"/>
          <w:lang w:val="es-ES"/>
        </w:rPr>
        <w:t xml:space="preserve">y para un ejemplo de su aplicación detallado, se recomienda revisar </w:t>
      </w:r>
      <w:r w:rsidR="0046041E" w:rsidRPr="00FE26CF">
        <w:rPr>
          <w:rFonts w:eastAsia="Times New Roman" w:cs="Arial"/>
          <w:sz w:val="22"/>
          <w:lang w:val="es-ES"/>
        </w:rPr>
        <w:fldChar w:fldCharType="begin" w:fldLock="1"/>
      </w:r>
      <w:r w:rsidR="00E73783" w:rsidRPr="00FE26CF">
        <w:rPr>
          <w:rFonts w:eastAsia="Times New Roman" w:cs="Arial"/>
          <w:sz w:val="22"/>
          <w:lang w:val="es-ES"/>
        </w:rPr>
        <w:instrText>ADDIN CSL_CITATION { "citationItems" : [ { "id" : "ITEM-1", "itemData" : { "ISSN" : "0268-1080", "PMID" : "11527874", "abstract" : "Disability adjusted life years (DALYs) are the sum of the present value of future years of lifetime lost through premature mortality, and the present value of years of future lifetime adjusted for the average severity (frequency and intensity) of any mental or physical disability caused by a disease or injury. They have been used as an outcome indicator in micro economic evaluations as well as sectoral prioritization exercises using league tables of cost-effectiveness. However, many of the current analyses are not comparable or transferable because either the assumptions used differ or are unclear, and because results are not presented in a way that allows researchers or policy-makers to re-calculate and re-interpret findings for use in an alternative context. However, at times there have also been miscalculations. This may happen either because evaluators disagree with the assumptions behind DALYs or because the methods of calculation have not been set out clearly. This paper shows how to calculate DALYs for cost-effectiveness analysis using a worked example. It also shows the impact of changing the age weighting and discount rates on estimates of cost-effectiveness, and suggests a set of minimum reporting criteria for using DALYs in cost-effectiveness analysis. Finally, readers are introduced briefly to a selected literature arguing for and against the use of DALYs.", "author" : [ { "dropping-particle" : "", "family" : "Fox-Rushby", "given" : "J A", "non-dropping-particle" : "", "parse-names" : false, "suffix" : "" }, { "dropping-particle" : "", "family" : "Hanson", "given" : "K", "non-dropping-particle" : "", "parse-names" : false, "suffix" : "" } ], "container-title" : "Health policy and planning", "id" : "ITEM-1", "issue" : "3", "issued" : { "date-parts" : [ [ "2001", "9" ] ] }, "page" : "326-31", "title" : "Calculating and presenting disability adjusted life years (DALYs) in cost-effectiveness analysis.", "type" : "article-journal", "volume" : "16" }, "uris" : [ "http://www.mendeley.com/documents/?uuid=4661134f-192c-4cf3-945b-d4be155de855" ] } ], "mendeley" : { "formattedCitation" : "(Fox-Rushby and Hanson 2001)", "manualFormatting" : "Fox-Rushby y Hanson (2001)", "plainTextFormattedCitation" : "(Fox-Rushby and Hanson 2001)", "previouslyFormattedCitation" : "(Fox-Rushby and Hanson 2001)" }, "properties" : { "noteIndex" : 0 }, "schema" : "https://github.com/citation-style-language/schema/raw/master/csl-citation.json" }</w:instrText>
      </w:r>
      <w:r w:rsidR="0046041E" w:rsidRPr="00FE26CF">
        <w:rPr>
          <w:rFonts w:eastAsia="Times New Roman" w:cs="Arial"/>
          <w:sz w:val="22"/>
          <w:lang w:val="es-ES"/>
        </w:rPr>
        <w:fldChar w:fldCharType="separate"/>
      </w:r>
      <w:r w:rsidR="0046041E" w:rsidRPr="00FE26CF">
        <w:rPr>
          <w:rFonts w:eastAsia="Times New Roman" w:cs="Arial"/>
          <w:noProof/>
          <w:sz w:val="22"/>
          <w:lang w:val="es-ES"/>
        </w:rPr>
        <w:t>Fox-Rushby y Hanson (2001)</w:t>
      </w:r>
      <w:r w:rsidR="0046041E" w:rsidRPr="00FE26CF">
        <w:rPr>
          <w:rFonts w:eastAsia="Times New Roman" w:cs="Arial"/>
          <w:sz w:val="22"/>
          <w:lang w:val="es-ES"/>
        </w:rPr>
        <w:fldChar w:fldCharType="end"/>
      </w:r>
      <w:r w:rsidR="00E73783" w:rsidRPr="00FE26CF">
        <w:rPr>
          <w:rFonts w:eastAsia="Times New Roman" w:cs="Arial"/>
          <w:sz w:val="22"/>
          <w:lang w:val="es-ES"/>
        </w:rPr>
        <w:t>.</w:t>
      </w:r>
    </w:p>
    <w:p w:rsidR="00106632" w:rsidRPr="00FE26CF" w:rsidRDefault="00106632" w:rsidP="008C30C9">
      <w:pPr>
        <w:pStyle w:val="Caption"/>
        <w:rPr>
          <w:lang w:val="es-ES"/>
        </w:rPr>
      </w:pPr>
      <w:bookmarkStart w:id="17" w:name="_Ref296067896"/>
      <w:r w:rsidRPr="00FE26CF">
        <w:rPr>
          <w:noProof/>
          <w:lang w:val="en-US"/>
        </w:rPr>
        <w:drawing>
          <wp:anchor distT="0" distB="0" distL="114300" distR="114300" simplePos="0" relativeHeight="251659776" behindDoc="0" locked="0" layoutInCell="1" allowOverlap="1" wp14:anchorId="736FDCE1" wp14:editId="257999C1">
            <wp:simplePos x="0" y="0"/>
            <wp:positionH relativeFrom="column">
              <wp:posOffset>918845</wp:posOffset>
            </wp:positionH>
            <wp:positionV relativeFrom="paragraph">
              <wp:posOffset>748030</wp:posOffset>
            </wp:positionV>
            <wp:extent cx="3482340" cy="2268855"/>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2340" cy="2268855"/>
                    </a:xfrm>
                    <a:prstGeom prst="rect">
                      <a:avLst/>
                    </a:prstGeom>
                    <a:noFill/>
                    <a:ln>
                      <a:noFill/>
                    </a:ln>
                  </pic:spPr>
                </pic:pic>
              </a:graphicData>
            </a:graphic>
            <wp14:sizeRelH relativeFrom="page">
              <wp14:pctWidth>0</wp14:pctWidth>
            </wp14:sizeRelH>
            <wp14:sizeRelV relativeFrom="page">
              <wp14:pctHeight>0</wp14:pctHeight>
            </wp14:sizeRelV>
          </wp:anchor>
        </w:drawing>
      </w:r>
      <w:r w:rsidR="00917F3C" w:rsidRPr="00FE26CF">
        <w:rPr>
          <w:lang w:val="es-ES"/>
        </w:rPr>
        <w:t xml:space="preserve">Figura </w:t>
      </w:r>
      <w:r w:rsidR="00917F3C" w:rsidRPr="00FE26CF">
        <w:rPr>
          <w:lang w:val="es-ES"/>
        </w:rPr>
        <w:fldChar w:fldCharType="begin"/>
      </w:r>
      <w:r w:rsidR="00917F3C" w:rsidRPr="00FE26CF">
        <w:rPr>
          <w:lang w:val="es-ES"/>
        </w:rPr>
        <w:instrText xml:space="preserve"> SEQ Figura \* ARABIC </w:instrText>
      </w:r>
      <w:r w:rsidR="00917F3C" w:rsidRPr="00FE26CF">
        <w:rPr>
          <w:lang w:val="es-ES"/>
        </w:rPr>
        <w:fldChar w:fldCharType="separate"/>
      </w:r>
      <w:r w:rsidR="0088018B" w:rsidRPr="00FE26CF">
        <w:rPr>
          <w:noProof/>
          <w:lang w:val="es-ES"/>
        </w:rPr>
        <w:t>1</w:t>
      </w:r>
      <w:r w:rsidR="00917F3C" w:rsidRPr="00FE26CF">
        <w:rPr>
          <w:lang w:val="es-ES"/>
        </w:rPr>
        <w:fldChar w:fldCharType="end"/>
      </w:r>
      <w:bookmarkEnd w:id="17"/>
      <w:r w:rsidR="00477FBF" w:rsidRPr="00FE26CF">
        <w:rPr>
          <w:lang w:val="es-ES"/>
        </w:rPr>
        <w:t xml:space="preserve">. </w:t>
      </w:r>
      <w:r w:rsidR="00FA34E2" w:rsidRPr="00FE26CF">
        <w:rPr>
          <w:lang w:val="es-ES"/>
        </w:rPr>
        <w:t>Valor relativo de un año de la vida vivido en diversas edades,</w:t>
      </w:r>
      <w:r w:rsidR="00477FBF" w:rsidRPr="00FE26CF">
        <w:rPr>
          <w:lang w:val="es-ES"/>
        </w:rPr>
        <w:t xml:space="preserve"> según lo ponderado en AVADs</w:t>
      </w:r>
    </w:p>
    <w:p w:rsidR="008C30C9" w:rsidRPr="00FE26CF" w:rsidRDefault="008C30C9" w:rsidP="00106632">
      <w:pPr>
        <w:spacing w:before="120" w:after="120" w:line="240" w:lineRule="auto"/>
        <w:jc w:val="center"/>
        <w:rPr>
          <w:rFonts w:cs="Arial"/>
          <w:sz w:val="18"/>
          <w:szCs w:val="18"/>
          <w:lang w:val="es-ES"/>
        </w:rPr>
      </w:pPr>
    </w:p>
    <w:p w:rsidR="00FA34E2" w:rsidRPr="00FE26CF" w:rsidRDefault="00FA34E2" w:rsidP="008C30C9">
      <w:pPr>
        <w:spacing w:before="240" w:after="120" w:line="240" w:lineRule="auto"/>
        <w:jc w:val="center"/>
        <w:rPr>
          <w:rFonts w:cs="Arial"/>
          <w:sz w:val="18"/>
          <w:szCs w:val="18"/>
          <w:lang w:val="es-ES"/>
        </w:rPr>
      </w:pPr>
      <w:r w:rsidRPr="00FE26CF">
        <w:rPr>
          <w:rFonts w:cs="Arial"/>
          <w:sz w:val="18"/>
          <w:szCs w:val="18"/>
          <w:lang w:val="es-ES"/>
        </w:rPr>
        <w:t xml:space="preserve">Fuente: </w:t>
      </w:r>
      <w:bookmarkStart w:id="18" w:name="t1"/>
      <w:bookmarkEnd w:id="18"/>
      <w:r w:rsidR="005F0471" w:rsidRPr="00FE26CF">
        <w:rPr>
          <w:rFonts w:cs="Arial"/>
          <w:sz w:val="18"/>
          <w:szCs w:val="18"/>
          <w:lang w:val="es-ES"/>
        </w:rPr>
        <w:fldChar w:fldCharType="begin" w:fldLock="1"/>
      </w:r>
      <w:r w:rsidR="00616D26" w:rsidRPr="00FE26CF">
        <w:rPr>
          <w:rFonts w:cs="Arial"/>
          <w:sz w:val="18"/>
          <w:szCs w:val="18"/>
          <w:lang w:val="es-ES"/>
        </w:rPr>
        <w:instrText>ADDIN CSL_CITATION { "citationItems" : [ { "id" : "ITEM-1", "itemData" : { "DOI" : "10.4067/S0034-98872010001000005", "ISSN" : "0034-9887", "author" : [ { "dropping-particle" : "", "family" : "Alvis", "given" : "Nelson", "non-dropping-particle" : "", "parse-names" : false, "suffix" : "" }, { "dropping-particle" : "", "family" : "Valenzuela", "given" : "Mar\u00eda Teresa", "non-dropping-particle" : "", "parse-names" : false, "suffix" : "" } ], "container-title" : "Revista m\u00e9dica de Chile", "id" : "ITEM-1", "issued" : { "date-parts" : [ [ "2010", "9" ] ] }, "page" : "83-87", "publisher" : "Sociedad M\u00e9dica de Santiago", "title" : "Los QALYs y DALYs como indicadores sint\u00e9ticos de salud", "type" : "article-journal", "volume" : "138" }, "uris" : [ "http://www.mendeley.com/documents/?uuid=1d14ce35-712c-4909-bd3b-a2eecdfe3e42" ] } ], "mendeley" : { "formattedCitation" : "(Alvis and Valenzuela 2010)", "manualFormatting" : "Alvis y Valenzuela 2010.", "plainTextFormattedCitation" : "(Alvis and Valenzuela 2010)", "previouslyFormattedCitation" : "(Alvis and Valenzuela 2010)" }, "properties" : { "noteIndex" : 0 }, "schema" : "https://github.com/citation-style-language/schema/raw/master/csl-citation.json" }</w:instrText>
      </w:r>
      <w:r w:rsidR="005F0471" w:rsidRPr="00FE26CF">
        <w:rPr>
          <w:rFonts w:cs="Arial"/>
          <w:sz w:val="18"/>
          <w:szCs w:val="18"/>
          <w:lang w:val="es-ES"/>
        </w:rPr>
        <w:fldChar w:fldCharType="separate"/>
      </w:r>
      <w:r w:rsidR="005F0471" w:rsidRPr="00FE26CF">
        <w:rPr>
          <w:rFonts w:cs="Arial"/>
          <w:noProof/>
          <w:sz w:val="18"/>
          <w:szCs w:val="18"/>
          <w:lang w:val="es-ES"/>
        </w:rPr>
        <w:t>Alvis</w:t>
      </w:r>
      <w:r w:rsidR="00CE70F0" w:rsidRPr="00FE26CF">
        <w:rPr>
          <w:rFonts w:cs="Arial"/>
          <w:noProof/>
          <w:sz w:val="18"/>
          <w:szCs w:val="18"/>
          <w:lang w:val="es-ES"/>
        </w:rPr>
        <w:t xml:space="preserve"> y </w:t>
      </w:r>
      <w:r w:rsidR="005F0471" w:rsidRPr="00FE26CF">
        <w:rPr>
          <w:rFonts w:cs="Arial"/>
          <w:noProof/>
          <w:sz w:val="18"/>
          <w:szCs w:val="18"/>
          <w:lang w:val="es-ES"/>
        </w:rPr>
        <w:t>Valenzuela 2010.</w:t>
      </w:r>
      <w:r w:rsidR="005F0471" w:rsidRPr="00FE26CF">
        <w:rPr>
          <w:rFonts w:cs="Arial"/>
          <w:sz w:val="18"/>
          <w:szCs w:val="18"/>
          <w:lang w:val="es-ES"/>
        </w:rPr>
        <w:fldChar w:fldCharType="end"/>
      </w:r>
    </w:p>
    <w:p w:rsidR="00FA34E2" w:rsidRPr="00FE26CF" w:rsidRDefault="00FA34E2" w:rsidP="006D2FB5">
      <w:pPr>
        <w:pStyle w:val="ColorfulList-Accent11"/>
        <w:spacing w:before="120" w:after="120" w:line="240" w:lineRule="auto"/>
        <w:ind w:left="0"/>
        <w:jc w:val="both"/>
        <w:rPr>
          <w:rFonts w:cs="Arial"/>
          <w:szCs w:val="24"/>
          <w:lang w:val="es-ES"/>
        </w:rPr>
      </w:pPr>
    </w:p>
    <w:p w:rsidR="00FE36C0" w:rsidRPr="00FE26CF" w:rsidRDefault="00FE36C0" w:rsidP="006D2FB5">
      <w:pPr>
        <w:pStyle w:val="ColorfulList-Accent11"/>
        <w:spacing w:before="120" w:after="120" w:line="240" w:lineRule="auto"/>
        <w:ind w:left="0"/>
        <w:jc w:val="both"/>
        <w:rPr>
          <w:rFonts w:cs="Arial"/>
          <w:sz w:val="22"/>
          <w:lang w:val="es-ES"/>
        </w:rPr>
      </w:pPr>
      <w:r w:rsidRPr="00FE26CF">
        <w:rPr>
          <w:rFonts w:cs="Arial"/>
          <w:sz w:val="22"/>
          <w:lang w:val="es-ES"/>
        </w:rPr>
        <w:t>Se utiliza como fuente para calcular los AVADs las estimaciones disponibles en la literatura internacional. Una de las fuentes utilizadas es el programa CHOICE de la O</w:t>
      </w:r>
      <w:r w:rsidR="00180E1B" w:rsidRPr="00FE26CF">
        <w:rPr>
          <w:rFonts w:cs="Arial"/>
          <w:sz w:val="22"/>
          <w:lang w:val="es-ES"/>
        </w:rPr>
        <w:t xml:space="preserve">rganización Mundial de la Salud </w:t>
      </w:r>
      <w:r w:rsidR="00180E1B" w:rsidRPr="00FE26CF">
        <w:rPr>
          <w:rFonts w:cs="Arial"/>
          <w:sz w:val="22"/>
          <w:lang w:val="es-ES"/>
        </w:rPr>
        <w:fldChar w:fldCharType="begin" w:fldLock="1"/>
      </w:r>
      <w:r w:rsidR="00180E1B" w:rsidRPr="00FE26CF">
        <w:rPr>
          <w:rFonts w:cs="Arial"/>
          <w:sz w:val="22"/>
          <w:lang w:val="es-ES"/>
        </w:rPr>
        <w:instrText>ADDIN CSL_CITATION { "citationItems" : [ { "id" : "ITEM-1", "itemData" : { "author" : [ { "dropping-particle" : "", "family" : "Organizaci\u00f3n Mundial de la Salud", "given" : "", "non-dropping-particle" : "", "parse-names" : false, "suffix" : "" } ], "id" : "ITEM-1", "issued" : { "date-parts" : [ [ "2015" ] ] }, "publisher" : "Organizaci\u00f3n Mundial de la Salud", "publisher-place" : "Ginebra, Suiza", "title" : "Cost effectiveness and strategic planning (WHO-CHOICE)", "type" : "article" }, "uris" : [ "http://www.mendeley.com/documents/?uuid=dd380e87-cfdc-4683-b24b-8c760371b7c2" ] } ], "mendeley" : { "formattedCitation" : "(Organizaci\u00f3n Mundial de la Salud 2015)", "manualFormatting" : "(2015)", "plainTextFormattedCitation" : "(Organizaci\u00f3n Mundial de la Salud 2015)", "previouslyFormattedCitation" : "(Organizaci\u00f3n Mundial de la Salud 2015)" }, "properties" : { "noteIndex" : 0 }, "schema" : "https://github.com/citation-style-language/schema/raw/master/csl-citation.json" }</w:instrText>
      </w:r>
      <w:r w:rsidR="00180E1B" w:rsidRPr="00FE26CF">
        <w:rPr>
          <w:rFonts w:cs="Arial"/>
          <w:sz w:val="22"/>
          <w:lang w:val="es-ES"/>
        </w:rPr>
        <w:fldChar w:fldCharType="separate"/>
      </w:r>
      <w:r w:rsidR="00180E1B" w:rsidRPr="00FE26CF">
        <w:rPr>
          <w:rFonts w:cs="Arial"/>
          <w:noProof/>
          <w:sz w:val="22"/>
          <w:lang w:val="es-ES"/>
        </w:rPr>
        <w:t>(2015)</w:t>
      </w:r>
      <w:r w:rsidR="00180E1B" w:rsidRPr="00FE26CF">
        <w:rPr>
          <w:rFonts w:cs="Arial"/>
          <w:sz w:val="22"/>
          <w:lang w:val="es-ES"/>
        </w:rPr>
        <w:fldChar w:fldCharType="end"/>
      </w:r>
      <w:r w:rsidRPr="00FE26CF">
        <w:rPr>
          <w:rFonts w:cs="Arial"/>
          <w:sz w:val="22"/>
          <w:lang w:val="es-ES"/>
        </w:rPr>
        <w:t>, que estima el efecto de la inclusión gradual de intervenciones en un paquete de servicios sobre la incidencia, remisión y mortalidad. En cuanto al grupo de país considerado, utilizados el de “América B,” en el cual se encuentra agregada</w:t>
      </w:r>
      <w:r w:rsidR="00917F3C" w:rsidRPr="00FE26CF">
        <w:rPr>
          <w:rFonts w:cs="Arial"/>
          <w:sz w:val="22"/>
          <w:lang w:val="es-ES"/>
        </w:rPr>
        <w:t xml:space="preserve"> la información de Brasil</w:t>
      </w:r>
      <w:r w:rsidRPr="00FE26CF">
        <w:rPr>
          <w:rFonts w:cs="Arial"/>
          <w:sz w:val="22"/>
          <w:lang w:val="es-ES"/>
        </w:rPr>
        <w:t>. Para otras intervenciones para las que no existe evidencia generada en los países de esta categoría, se utilizó la información para el nivel global. Se toman en cuenta las intervenciones de probada eficacia que serán incorporadas en las líneas de cuidado.</w:t>
      </w:r>
    </w:p>
    <w:p w:rsidR="00FE36C0" w:rsidRPr="00FE26CF" w:rsidRDefault="00FE36C0" w:rsidP="006D2FB5">
      <w:pPr>
        <w:pStyle w:val="ColorfulList-Accent11"/>
        <w:spacing w:before="120" w:after="120" w:line="240" w:lineRule="auto"/>
        <w:ind w:left="0"/>
        <w:jc w:val="both"/>
        <w:rPr>
          <w:rFonts w:cs="Arial"/>
          <w:sz w:val="22"/>
          <w:lang w:val="es-ES"/>
        </w:rPr>
      </w:pPr>
    </w:p>
    <w:p w:rsidR="00FA34E2" w:rsidRPr="00FE26CF" w:rsidRDefault="00FE36C0" w:rsidP="006D2FB5">
      <w:pPr>
        <w:pStyle w:val="ColorfulList-Accent11"/>
        <w:spacing w:before="120" w:after="120" w:line="240" w:lineRule="auto"/>
        <w:ind w:left="0"/>
        <w:jc w:val="both"/>
        <w:rPr>
          <w:rFonts w:cs="Arial"/>
          <w:sz w:val="22"/>
          <w:lang w:val="es-ES"/>
        </w:rPr>
      </w:pPr>
      <w:r w:rsidRPr="00FE26CF">
        <w:rPr>
          <w:rFonts w:cs="Arial"/>
          <w:sz w:val="22"/>
          <w:lang w:val="es-ES"/>
        </w:rPr>
        <w:t xml:space="preserve">Los beneficios totales asociados a cada paquete, medidos en términos de AVAD por millón de habitantes se presentan en </w:t>
      </w:r>
      <w:r w:rsidR="00477FBF" w:rsidRPr="00FE26CF">
        <w:rPr>
          <w:rFonts w:cs="Arial"/>
          <w:sz w:val="22"/>
          <w:lang w:val="es-ES"/>
        </w:rPr>
        <w:t xml:space="preserve">la </w:t>
      </w:r>
      <w:r w:rsidR="00477FBF" w:rsidRPr="00FE26CF">
        <w:rPr>
          <w:rFonts w:cs="Arial"/>
          <w:sz w:val="22"/>
          <w:lang w:val="es-ES"/>
        </w:rPr>
        <w:fldChar w:fldCharType="begin"/>
      </w:r>
      <w:r w:rsidR="00477FBF" w:rsidRPr="00FE26CF">
        <w:rPr>
          <w:rFonts w:cs="Arial"/>
          <w:sz w:val="22"/>
          <w:lang w:val="es-ES"/>
        </w:rPr>
        <w:instrText xml:space="preserve"> REF _Ref285380310 \h </w:instrText>
      </w:r>
      <w:r w:rsidR="000B185D" w:rsidRPr="00FE26CF">
        <w:rPr>
          <w:rFonts w:cs="Arial"/>
          <w:sz w:val="22"/>
          <w:lang w:val="es-ES"/>
        </w:rPr>
        <w:instrText xml:space="preserve"> \* MERGEFORMAT </w:instrText>
      </w:r>
      <w:r w:rsidR="00477FBF" w:rsidRPr="00FE26CF">
        <w:rPr>
          <w:rFonts w:cs="Arial"/>
          <w:sz w:val="22"/>
          <w:lang w:val="es-ES"/>
        </w:rPr>
      </w:r>
      <w:r w:rsidR="00477FBF" w:rsidRPr="00FE26CF">
        <w:rPr>
          <w:rFonts w:cs="Arial"/>
          <w:sz w:val="22"/>
          <w:lang w:val="es-ES"/>
        </w:rPr>
        <w:fldChar w:fldCharType="separate"/>
      </w:r>
      <w:r w:rsidR="0088018B" w:rsidRPr="00FE26CF">
        <w:rPr>
          <w:rFonts w:cs="Arial"/>
          <w:sz w:val="22"/>
          <w:lang w:val="es-ES"/>
        </w:rPr>
        <w:t xml:space="preserve">Tabla </w:t>
      </w:r>
      <w:r w:rsidR="0088018B" w:rsidRPr="00FE26CF">
        <w:rPr>
          <w:rFonts w:cs="Arial"/>
          <w:noProof/>
          <w:sz w:val="22"/>
          <w:lang w:val="es-ES"/>
        </w:rPr>
        <w:t>2</w:t>
      </w:r>
      <w:r w:rsidR="00477FBF" w:rsidRPr="00FE26CF">
        <w:rPr>
          <w:rFonts w:cs="Arial"/>
          <w:sz w:val="22"/>
          <w:lang w:val="es-ES"/>
        </w:rPr>
        <w:fldChar w:fldCharType="end"/>
      </w:r>
      <w:r w:rsidR="00477FBF" w:rsidRPr="00FE26CF">
        <w:rPr>
          <w:rFonts w:cs="Arial"/>
          <w:sz w:val="22"/>
          <w:lang w:val="es-ES"/>
        </w:rPr>
        <w:t>.</w:t>
      </w:r>
    </w:p>
    <w:p w:rsidR="00FA34E2" w:rsidRPr="00FE26CF" w:rsidRDefault="00FA34E2" w:rsidP="006D2FB5">
      <w:pPr>
        <w:pStyle w:val="ColorfulList-Accent11"/>
        <w:spacing w:before="120" w:after="120" w:line="240" w:lineRule="auto"/>
        <w:ind w:left="0"/>
        <w:jc w:val="both"/>
        <w:rPr>
          <w:rFonts w:cs="Arial"/>
          <w:sz w:val="22"/>
          <w:lang w:val="es-ES"/>
        </w:rPr>
      </w:pPr>
    </w:p>
    <w:p w:rsidR="00FA34E2" w:rsidRPr="00FE26CF" w:rsidRDefault="00FA34E2" w:rsidP="008C30C9">
      <w:pPr>
        <w:pStyle w:val="Caption"/>
        <w:rPr>
          <w:lang w:val="es-ES"/>
        </w:rPr>
      </w:pPr>
      <w:r w:rsidRPr="00FE26CF">
        <w:rPr>
          <w:noProof/>
          <w:lang w:val="es-ES"/>
        </w:rPr>
        <w:br w:type="page"/>
      </w:r>
      <w:bookmarkStart w:id="19" w:name="_Ref285380310"/>
      <w:r w:rsidR="00477FBF" w:rsidRPr="00FE26CF">
        <w:rPr>
          <w:lang w:val="es-ES"/>
        </w:rPr>
        <w:lastRenderedPageBreak/>
        <w:t xml:space="preserve">Tabla </w:t>
      </w:r>
      <w:r w:rsidR="00477FBF" w:rsidRPr="00FE26CF">
        <w:rPr>
          <w:lang w:val="es-ES"/>
        </w:rPr>
        <w:fldChar w:fldCharType="begin"/>
      </w:r>
      <w:r w:rsidR="00477FBF" w:rsidRPr="00FE26CF">
        <w:rPr>
          <w:lang w:val="es-ES"/>
        </w:rPr>
        <w:instrText xml:space="preserve"> SEQ Tabla \* ARABIC </w:instrText>
      </w:r>
      <w:r w:rsidR="00477FBF" w:rsidRPr="00FE26CF">
        <w:rPr>
          <w:lang w:val="es-ES"/>
        </w:rPr>
        <w:fldChar w:fldCharType="separate"/>
      </w:r>
      <w:r w:rsidR="0088018B" w:rsidRPr="00FE26CF">
        <w:rPr>
          <w:noProof/>
          <w:lang w:val="es-ES"/>
        </w:rPr>
        <w:t>2</w:t>
      </w:r>
      <w:r w:rsidR="00477FBF" w:rsidRPr="00FE26CF">
        <w:rPr>
          <w:lang w:val="es-ES"/>
        </w:rPr>
        <w:fldChar w:fldCharType="end"/>
      </w:r>
      <w:bookmarkEnd w:id="19"/>
      <w:r w:rsidR="00477FBF" w:rsidRPr="00FE26CF">
        <w:rPr>
          <w:lang w:val="es-ES"/>
        </w:rPr>
        <w:t>.</w:t>
      </w:r>
      <w:r w:rsidRPr="00FE26CF">
        <w:rPr>
          <w:noProof/>
          <w:lang w:val="es-ES"/>
        </w:rPr>
        <w:t xml:space="preserve"> Líneas de cuidado, intervenciones y efectividad en AVADs por millón</w:t>
      </w:r>
    </w:p>
    <w:tbl>
      <w:tblPr>
        <w:tblStyle w:val="LightShading-Accent1"/>
        <w:tblW w:w="0" w:type="auto"/>
        <w:tblLook w:val="04A0" w:firstRow="1" w:lastRow="0" w:firstColumn="1" w:lastColumn="0" w:noHBand="0" w:noVBand="1"/>
      </w:tblPr>
      <w:tblGrid>
        <w:gridCol w:w="1447"/>
        <w:gridCol w:w="3849"/>
        <w:gridCol w:w="1016"/>
        <w:gridCol w:w="824"/>
        <w:gridCol w:w="2440"/>
      </w:tblGrid>
      <w:tr w:rsidR="009E4400" w:rsidRPr="00FE26CF" w:rsidTr="000D3F77">
        <w:trPr>
          <w:gridAfter w:val="3"/>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0" w:type="auto"/>
            <w:hideMark/>
          </w:tcPr>
          <w:p w:rsidR="009E4400" w:rsidRPr="00FE26CF" w:rsidRDefault="009E4400" w:rsidP="00805ED8">
            <w:pPr>
              <w:spacing w:after="0" w:line="240" w:lineRule="auto"/>
              <w:jc w:val="center"/>
              <w:rPr>
                <w:rFonts w:eastAsia="Times New Roman" w:cs="Arial"/>
                <w:bCs w:val="0"/>
                <w:color w:val="auto"/>
                <w:sz w:val="16"/>
                <w:szCs w:val="16"/>
                <w:lang w:val="es-ES"/>
              </w:rPr>
            </w:pPr>
            <w:r w:rsidRPr="00FE26CF">
              <w:rPr>
                <w:rFonts w:eastAsia="Times New Roman" w:cs="Arial"/>
                <w:bCs w:val="0"/>
                <w:color w:val="auto"/>
                <w:sz w:val="16"/>
                <w:szCs w:val="16"/>
                <w:lang w:val="es-ES"/>
              </w:rPr>
              <w:t>Dolencia o condición</w:t>
            </w:r>
          </w:p>
        </w:tc>
        <w:tc>
          <w:tcPr>
            <w:tcW w:w="0" w:type="auto"/>
            <w:hideMark/>
          </w:tcPr>
          <w:p w:rsidR="009E4400" w:rsidRPr="00FE26CF" w:rsidRDefault="009E4400" w:rsidP="00805ED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auto"/>
                <w:sz w:val="16"/>
                <w:szCs w:val="16"/>
                <w:lang w:val="es-ES"/>
              </w:rPr>
            </w:pPr>
            <w:r w:rsidRPr="00FE26CF">
              <w:rPr>
                <w:rFonts w:eastAsia="Times New Roman" w:cs="Arial"/>
                <w:bCs w:val="0"/>
                <w:color w:val="auto"/>
                <w:sz w:val="16"/>
                <w:szCs w:val="16"/>
                <w:lang w:val="es-ES"/>
              </w:rPr>
              <w:t>Descripción de las intervenciones</w:t>
            </w:r>
          </w:p>
        </w:tc>
      </w:tr>
      <w:tr w:rsidR="009E4400" w:rsidRPr="00FE26CF" w:rsidTr="000D3F7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0" w:type="auto"/>
            <w:hideMark/>
          </w:tcPr>
          <w:p w:rsidR="009E4400" w:rsidRPr="00FE26CF" w:rsidRDefault="009E4400" w:rsidP="00805ED8">
            <w:pPr>
              <w:spacing w:after="0" w:line="240" w:lineRule="auto"/>
              <w:jc w:val="center"/>
              <w:rPr>
                <w:rFonts w:eastAsia="Times New Roman" w:cs="Arial"/>
                <w:b w:val="0"/>
                <w:bCs w:val="0"/>
                <w:color w:val="auto"/>
                <w:sz w:val="16"/>
                <w:szCs w:val="16"/>
                <w:lang w:val="es-ES"/>
              </w:rPr>
            </w:pPr>
            <w:r w:rsidRPr="00FE26CF">
              <w:rPr>
                <w:rFonts w:eastAsia="Times New Roman" w:cs="Arial"/>
                <w:b w:val="0"/>
                <w:bCs w:val="0"/>
                <w:color w:val="auto"/>
                <w:sz w:val="16"/>
                <w:szCs w:val="16"/>
                <w:lang w:val="es-ES"/>
              </w:rPr>
              <w:t> </w:t>
            </w:r>
          </w:p>
        </w:tc>
        <w:tc>
          <w:tcPr>
            <w:tcW w:w="0" w:type="auto"/>
            <w:hideMark/>
          </w:tcPr>
          <w:p w:rsidR="009E4400" w:rsidRPr="00FE26CF" w:rsidRDefault="009E4400" w:rsidP="00805E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auto"/>
                <w:sz w:val="16"/>
                <w:szCs w:val="16"/>
                <w:lang w:val="es-ES"/>
              </w:rPr>
            </w:pPr>
            <w:r w:rsidRPr="00FE26CF">
              <w:rPr>
                <w:rFonts w:eastAsia="Times New Roman" w:cs="Arial"/>
                <w:b/>
                <w:bCs/>
                <w:color w:val="auto"/>
                <w:sz w:val="16"/>
                <w:szCs w:val="16"/>
                <w:lang w:val="es-ES"/>
              </w:rPr>
              <w:t> </w:t>
            </w:r>
          </w:p>
        </w:tc>
        <w:tc>
          <w:tcPr>
            <w:tcW w:w="0" w:type="auto"/>
            <w:hideMark/>
          </w:tcPr>
          <w:p w:rsidR="009E4400" w:rsidRPr="00FE26CF" w:rsidRDefault="009E4400" w:rsidP="00805E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auto"/>
                <w:sz w:val="16"/>
                <w:szCs w:val="16"/>
                <w:lang w:val="es-ES"/>
              </w:rPr>
            </w:pPr>
            <w:r w:rsidRPr="00FE26CF">
              <w:rPr>
                <w:rFonts w:eastAsia="Times New Roman" w:cs="Arial"/>
                <w:b/>
                <w:bCs/>
                <w:color w:val="auto"/>
                <w:sz w:val="16"/>
                <w:szCs w:val="16"/>
                <w:lang w:val="es-ES"/>
              </w:rPr>
              <w:t>Atención Primaria</w:t>
            </w:r>
          </w:p>
        </w:tc>
        <w:tc>
          <w:tcPr>
            <w:tcW w:w="0" w:type="auto"/>
            <w:hideMark/>
          </w:tcPr>
          <w:p w:rsidR="009E4400" w:rsidRPr="00FE26CF" w:rsidRDefault="009E4400" w:rsidP="00805E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auto"/>
                <w:sz w:val="16"/>
                <w:szCs w:val="16"/>
                <w:lang w:val="es-ES"/>
              </w:rPr>
            </w:pPr>
            <w:r w:rsidRPr="00FE26CF">
              <w:rPr>
                <w:rFonts w:eastAsia="Times New Roman" w:cs="Arial"/>
                <w:b/>
                <w:bCs/>
                <w:color w:val="auto"/>
                <w:sz w:val="16"/>
                <w:szCs w:val="16"/>
                <w:lang w:val="es-ES"/>
              </w:rPr>
              <w:t>Redes de Salud</w:t>
            </w:r>
          </w:p>
        </w:tc>
        <w:tc>
          <w:tcPr>
            <w:tcW w:w="0" w:type="auto"/>
            <w:noWrap/>
            <w:hideMark/>
          </w:tcPr>
          <w:p w:rsidR="009E4400" w:rsidRPr="00FE26CF" w:rsidRDefault="009E4400" w:rsidP="00805E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auto"/>
                <w:sz w:val="16"/>
                <w:szCs w:val="16"/>
                <w:lang w:val="es-ES"/>
              </w:rPr>
            </w:pPr>
            <w:r w:rsidRPr="00FE26CF">
              <w:rPr>
                <w:rFonts w:eastAsia="Times New Roman" w:cs="Arial"/>
                <w:b/>
                <w:bCs/>
                <w:color w:val="auto"/>
                <w:sz w:val="16"/>
                <w:szCs w:val="16"/>
                <w:lang w:val="es-ES"/>
              </w:rPr>
              <w:t>Fuente</w:t>
            </w:r>
          </w:p>
        </w:tc>
      </w:tr>
      <w:tr w:rsidR="009E4400" w:rsidRPr="00FE26CF" w:rsidTr="000D3F77">
        <w:trPr>
          <w:trHeight w:val="251"/>
        </w:trPr>
        <w:tc>
          <w:tcPr>
            <w:cnfStyle w:val="001000000000" w:firstRow="0" w:lastRow="0" w:firstColumn="1" w:lastColumn="0" w:oddVBand="0" w:evenVBand="0" w:oddHBand="0" w:evenHBand="0" w:firstRowFirstColumn="0" w:firstRowLastColumn="0" w:lastRowFirstColumn="0" w:lastRowLastColumn="0"/>
            <w:tcW w:w="0" w:type="auto"/>
            <w:hideMark/>
          </w:tcPr>
          <w:p w:rsidR="009E4400" w:rsidRPr="00FE26CF" w:rsidRDefault="009E4400" w:rsidP="00805ED8">
            <w:pPr>
              <w:spacing w:after="0" w:line="240" w:lineRule="auto"/>
              <w:rPr>
                <w:rFonts w:eastAsia="Times New Roman" w:cs="Arial"/>
                <w:b w:val="0"/>
                <w:bCs w:val="0"/>
                <w:color w:val="auto"/>
                <w:sz w:val="16"/>
                <w:szCs w:val="16"/>
                <w:lang w:val="es-ES"/>
              </w:rPr>
            </w:pPr>
            <w:r w:rsidRPr="00FE26CF">
              <w:rPr>
                <w:rFonts w:eastAsia="Times New Roman" w:cs="Arial"/>
                <w:b w:val="0"/>
                <w:bCs w:val="0"/>
                <w:color w:val="auto"/>
                <w:sz w:val="16"/>
                <w:szCs w:val="16"/>
                <w:lang w:val="es-ES"/>
              </w:rPr>
              <w:t> TOTAL</w:t>
            </w:r>
          </w:p>
        </w:tc>
        <w:tc>
          <w:tcPr>
            <w:tcW w:w="0" w:type="auto"/>
            <w:hideMark/>
          </w:tcPr>
          <w:p w:rsidR="009E4400" w:rsidRPr="00FE26CF" w:rsidRDefault="009E4400" w:rsidP="00805ED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auto"/>
                <w:sz w:val="16"/>
                <w:szCs w:val="16"/>
                <w:lang w:val="es-ES"/>
              </w:rPr>
            </w:pPr>
            <w:r w:rsidRPr="00FE26CF">
              <w:rPr>
                <w:rFonts w:eastAsia="Times New Roman" w:cs="Arial"/>
                <w:b/>
                <w:bCs/>
                <w:color w:val="auto"/>
                <w:sz w:val="16"/>
                <w:szCs w:val="16"/>
                <w:lang w:val="es-ES"/>
              </w:rPr>
              <w:t>Total del conjunto de intervenciones</w:t>
            </w:r>
          </w:p>
        </w:tc>
        <w:tc>
          <w:tcPr>
            <w:tcW w:w="0" w:type="auto"/>
            <w:hideMark/>
          </w:tcPr>
          <w:p w:rsidR="009E4400" w:rsidRPr="00FE26CF" w:rsidRDefault="009E4400" w:rsidP="00805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auto"/>
                <w:sz w:val="16"/>
                <w:szCs w:val="16"/>
                <w:lang w:val="es-ES"/>
              </w:rPr>
            </w:pPr>
            <w:r w:rsidRPr="00FE26CF">
              <w:rPr>
                <w:rFonts w:eastAsia="Times New Roman" w:cs="Arial"/>
                <w:b/>
                <w:bCs/>
                <w:color w:val="auto"/>
                <w:sz w:val="16"/>
                <w:szCs w:val="16"/>
                <w:lang w:val="es-ES"/>
              </w:rPr>
              <w:t>100,098</w:t>
            </w:r>
          </w:p>
        </w:tc>
        <w:tc>
          <w:tcPr>
            <w:tcW w:w="0" w:type="auto"/>
            <w:hideMark/>
          </w:tcPr>
          <w:p w:rsidR="009E4400" w:rsidRPr="00FE26CF" w:rsidRDefault="009E4400" w:rsidP="00805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auto"/>
                <w:sz w:val="16"/>
                <w:szCs w:val="16"/>
                <w:lang w:val="es-ES"/>
              </w:rPr>
            </w:pPr>
            <w:r w:rsidRPr="00FE26CF">
              <w:rPr>
                <w:rFonts w:eastAsia="Times New Roman" w:cs="Arial"/>
                <w:b/>
                <w:bCs/>
                <w:color w:val="auto"/>
                <w:sz w:val="16"/>
                <w:szCs w:val="16"/>
                <w:lang w:val="es-ES"/>
              </w:rPr>
              <w:t>24,480</w:t>
            </w:r>
          </w:p>
        </w:tc>
        <w:tc>
          <w:tcPr>
            <w:tcW w:w="0" w:type="auto"/>
            <w:noWrap/>
            <w:hideMark/>
          </w:tcPr>
          <w:p w:rsidR="009E4400" w:rsidRPr="00FE26CF" w:rsidRDefault="009E4400" w:rsidP="00805ED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auto"/>
                <w:sz w:val="16"/>
                <w:szCs w:val="16"/>
                <w:lang w:val="es-ES"/>
              </w:rPr>
            </w:pPr>
            <w:r w:rsidRPr="00FE26CF">
              <w:rPr>
                <w:rFonts w:eastAsia="Times New Roman" w:cs="Arial"/>
                <w:b/>
                <w:bCs/>
                <w:color w:val="auto"/>
                <w:sz w:val="16"/>
                <w:szCs w:val="16"/>
                <w:lang w:val="es-ES"/>
              </w:rPr>
              <w:t> </w:t>
            </w:r>
          </w:p>
        </w:tc>
      </w:tr>
      <w:tr w:rsidR="009E4400" w:rsidRPr="00FE26CF" w:rsidTr="000D3F77">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0" w:type="auto"/>
            <w:hideMark/>
          </w:tcPr>
          <w:p w:rsidR="009E4400" w:rsidRPr="00FE26CF" w:rsidRDefault="009E4400" w:rsidP="00805ED8">
            <w:pPr>
              <w:spacing w:after="0" w:line="240" w:lineRule="auto"/>
              <w:rPr>
                <w:rFonts w:eastAsia="Times New Roman" w:cs="Arial"/>
                <w:b w:val="0"/>
                <w:bCs w:val="0"/>
                <w:color w:val="auto"/>
                <w:sz w:val="16"/>
                <w:szCs w:val="16"/>
                <w:lang w:val="es-ES"/>
              </w:rPr>
            </w:pPr>
            <w:r w:rsidRPr="00FE26CF">
              <w:rPr>
                <w:rFonts w:eastAsia="Times New Roman" w:cs="Arial"/>
                <w:b w:val="0"/>
                <w:bCs w:val="0"/>
                <w:color w:val="auto"/>
                <w:sz w:val="16"/>
                <w:szCs w:val="16"/>
                <w:lang w:val="es-ES"/>
              </w:rPr>
              <w:t>Red Cigüeña</w:t>
            </w:r>
          </w:p>
        </w:tc>
        <w:tc>
          <w:tcPr>
            <w:tcW w:w="0" w:type="auto"/>
            <w:hideMark/>
          </w:tcPr>
          <w:p w:rsidR="009E4400" w:rsidRPr="005867C5" w:rsidRDefault="009E4400" w:rsidP="00805ED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rPr>
            </w:pPr>
            <w:r w:rsidRPr="005867C5">
              <w:rPr>
                <w:rFonts w:eastAsia="Times New Roman" w:cs="Arial"/>
                <w:color w:val="auto"/>
                <w:sz w:val="16"/>
                <w:szCs w:val="16"/>
              </w:rPr>
              <w:t xml:space="preserve">MNH-164: Atención integral recién nacido+CPN+ ENC+SMNC+ </w:t>
            </w:r>
            <w:r w:rsidRPr="005867C5">
              <w:rPr>
                <w:rFonts w:eastAsia="Times New Roman" w:cs="Arial"/>
                <w:i/>
                <w:color w:val="auto"/>
                <w:sz w:val="16"/>
                <w:szCs w:val="16"/>
              </w:rPr>
              <w:t>Treatment of severe PEE+ Management of OL+ Steroids pre-term+Maternal sepsis+ Antibiotics pPROM+ PPH referral+ Community-based pneumonia care</w:t>
            </w:r>
          </w:p>
        </w:tc>
        <w:tc>
          <w:tcPr>
            <w:tcW w:w="0" w:type="auto"/>
            <w:hideMark/>
          </w:tcPr>
          <w:p w:rsidR="009E4400" w:rsidRPr="005867C5" w:rsidRDefault="009E4400" w:rsidP="00805E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rPr>
            </w:pPr>
            <w:r w:rsidRPr="005867C5">
              <w:rPr>
                <w:rFonts w:eastAsia="Times New Roman" w:cs="Arial"/>
                <w:color w:val="auto"/>
                <w:sz w:val="16"/>
                <w:szCs w:val="16"/>
              </w:rPr>
              <w:t> </w:t>
            </w:r>
          </w:p>
        </w:tc>
        <w:tc>
          <w:tcPr>
            <w:tcW w:w="0" w:type="auto"/>
            <w:hideMark/>
          </w:tcPr>
          <w:p w:rsidR="009E4400" w:rsidRPr="00FE26CF" w:rsidRDefault="009E4400" w:rsidP="00805E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9,021</w:t>
            </w:r>
          </w:p>
        </w:tc>
        <w:tc>
          <w:tcPr>
            <w:tcW w:w="0" w:type="auto"/>
            <w:noWrap/>
            <w:hideMark/>
          </w:tcPr>
          <w:p w:rsidR="009E4400" w:rsidRPr="00FE26CF" w:rsidRDefault="009E4400" w:rsidP="00805ED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sz w:val="16"/>
                <w:szCs w:val="16"/>
                <w:lang w:val="es-ES"/>
              </w:rPr>
              <w:fldChar w:fldCharType="begin" w:fldLock="1"/>
            </w:r>
            <w:r w:rsidRPr="00FE26CF">
              <w:rPr>
                <w:rFonts w:eastAsia="Times New Roman" w:cs="Arial"/>
                <w:color w:val="auto"/>
                <w:sz w:val="16"/>
                <w:szCs w:val="16"/>
                <w:lang w:val="es-ES"/>
              </w:rPr>
              <w:instrText>ADDIN CSL_CITATION { "citationItems" : [ { "id" : "ITEM-1", "itemData" : { "author" : [ { "dropping-particle" : "", "family" : "Organizaci\u00f3n Mundial de la Salud", "given" : "", "non-dropping-particle" : "", "parse-names" : false, "suffix" : "" } ], "id" : "ITEM-1", "issued" : { "date-parts" : [ [ "2015" ] ] }, "publisher" : "Organizaci\u00f3n Mundial de la Salud", "publisher-place" : "Ginebra, Suiza", "title" : "Cost effectiveness and strategic planning (WHO-CHOICE)", "type" : "article" }, "uris" : [ "http://www.mendeley.com/documents/?uuid=dd380e87-cfdc-4683-b24b-8c760371b7c2" ] } ], "mendeley" : { "formattedCitation" : "(Organizaci\u00f3n Mundial de la Salud 2015)", "manualFormatting" : "WHO-CHOICE (OMS  2015)", "plainTextFormattedCitation" : "(Organizaci\u00f3n Mundial de la Salud 2015)", "previouslyFormattedCitation" : "(Organizaci\u00f3n Mundial de la Salud 2015)" }, "properties" : { "noteIndex" : 0 }, "schema" : "https://github.com/citation-style-language/schema/raw/master/csl-citation.json" }</w:instrText>
            </w:r>
            <w:r w:rsidRPr="00FE26CF">
              <w:rPr>
                <w:rFonts w:eastAsia="Times New Roman" w:cs="Arial"/>
                <w:sz w:val="16"/>
                <w:szCs w:val="16"/>
                <w:lang w:val="es-ES"/>
              </w:rPr>
              <w:fldChar w:fldCharType="separate"/>
            </w:r>
            <w:r w:rsidRPr="00FE26CF">
              <w:rPr>
                <w:rFonts w:eastAsia="Times New Roman" w:cs="Arial"/>
                <w:noProof/>
                <w:color w:val="auto"/>
                <w:sz w:val="16"/>
                <w:szCs w:val="16"/>
                <w:lang w:val="es-ES"/>
              </w:rPr>
              <w:t xml:space="preserve">WHO-CHOICE </w:t>
            </w:r>
            <w:r w:rsidRPr="00FE26CF">
              <w:rPr>
                <w:rFonts w:eastAsia="Times New Roman" w:cs="Arial"/>
                <w:noProof/>
                <w:sz w:val="16"/>
                <w:szCs w:val="16"/>
                <w:lang w:val="es-ES"/>
              </w:rPr>
              <w:fldChar w:fldCharType="begin" w:fldLock="1"/>
            </w:r>
            <w:r w:rsidRPr="00FE26CF">
              <w:rPr>
                <w:rFonts w:eastAsia="Times New Roman" w:cs="Arial"/>
                <w:noProof/>
                <w:color w:val="auto"/>
                <w:sz w:val="16"/>
                <w:szCs w:val="16"/>
                <w:lang w:val="es-ES"/>
              </w:rPr>
              <w:instrText>ADDIN CSL_CITATION { "citationItems" : [ { "id" : "ITEM-1", "itemData" : { "author" : [ { "dropping-particle" : "", "family" : "Organizaci\u00f3n Mundial de la Salud", "given" : "", "non-dropping-particle" : "", "parse-names" : false, "suffix" : "" } ], "id" : "ITEM-1", "issued" : { "date-parts" : [ [ "2015" ] ] }, "publisher" : "Organizaci\u00f3n Mundial de la Salud", "publisher-place" : "Ginebra, Suiza", "title" : "Cost effectiveness and strategic planning (WHO-CHOICE)", "type" : "article" }, "uris" : [ "http://www.mendeley.com/documents/?uuid=dd380e87-cfdc-4683-b24b-8c760371b7c2" ] } ], "mendeley" : { "formattedCitation" : "(Organizaci\u00f3n Mundial de la Salud 2015)", "manualFormatting" : "(OMS  2015)", "plainTextFormattedCitation" : "(Organizaci\u00f3n Mundial de la Salud 2015)", "previouslyFormattedCitation" : "(Organizaci\u00f3n Mundial de la Salud 2015)" }, "properties" : { "noteIndex" : 0 }, "schema" : "https://github.com/citation-style-language/schema/raw/master/csl-citation.json" }</w:instrText>
            </w:r>
            <w:r w:rsidRPr="00FE26CF">
              <w:rPr>
                <w:rFonts w:eastAsia="Times New Roman" w:cs="Arial"/>
                <w:noProof/>
                <w:sz w:val="16"/>
                <w:szCs w:val="16"/>
                <w:lang w:val="es-ES"/>
              </w:rPr>
              <w:fldChar w:fldCharType="separate"/>
            </w:r>
            <w:r w:rsidRPr="00FE26CF">
              <w:rPr>
                <w:rFonts w:eastAsia="Times New Roman" w:cs="Arial"/>
                <w:noProof/>
                <w:color w:val="auto"/>
                <w:sz w:val="16"/>
                <w:szCs w:val="16"/>
                <w:lang w:val="es-ES"/>
              </w:rPr>
              <w:t>(OMS  2015)</w:t>
            </w:r>
            <w:r w:rsidRPr="00FE26CF">
              <w:rPr>
                <w:rFonts w:eastAsia="Times New Roman" w:cs="Arial"/>
                <w:noProof/>
                <w:sz w:val="16"/>
                <w:szCs w:val="16"/>
                <w:lang w:val="es-ES"/>
              </w:rPr>
              <w:fldChar w:fldCharType="end"/>
            </w:r>
            <w:r w:rsidRPr="00FE26CF">
              <w:rPr>
                <w:rFonts w:eastAsia="Times New Roman" w:cs="Arial"/>
                <w:sz w:val="16"/>
                <w:szCs w:val="16"/>
                <w:lang w:val="es-ES"/>
              </w:rPr>
              <w:fldChar w:fldCharType="end"/>
            </w:r>
          </w:p>
        </w:tc>
      </w:tr>
      <w:tr w:rsidR="009E4400" w:rsidRPr="00FE26CF" w:rsidTr="000D3F77">
        <w:trPr>
          <w:trHeight w:val="280"/>
        </w:trPr>
        <w:tc>
          <w:tcPr>
            <w:cnfStyle w:val="001000000000" w:firstRow="0" w:lastRow="0" w:firstColumn="1" w:lastColumn="0" w:oddVBand="0" w:evenVBand="0" w:oddHBand="0" w:evenHBand="0" w:firstRowFirstColumn="0" w:firstRowLastColumn="0" w:lastRowFirstColumn="0" w:lastRowLastColumn="0"/>
            <w:tcW w:w="0" w:type="auto"/>
            <w:hideMark/>
          </w:tcPr>
          <w:p w:rsidR="009E4400" w:rsidRPr="00FE26CF" w:rsidRDefault="009E4400" w:rsidP="00805ED8">
            <w:pPr>
              <w:spacing w:after="0" w:line="240" w:lineRule="auto"/>
              <w:rPr>
                <w:rFonts w:eastAsia="Times New Roman" w:cs="Arial"/>
                <w:b w:val="0"/>
                <w:bCs w:val="0"/>
                <w:color w:val="auto"/>
                <w:sz w:val="16"/>
                <w:szCs w:val="16"/>
                <w:lang w:val="es-ES"/>
              </w:rPr>
            </w:pPr>
            <w:r w:rsidRPr="00FE26CF">
              <w:rPr>
                <w:rFonts w:eastAsia="Times New Roman" w:cs="Arial"/>
                <w:b w:val="0"/>
                <w:bCs w:val="0"/>
                <w:color w:val="auto"/>
                <w:sz w:val="16"/>
                <w:szCs w:val="16"/>
                <w:lang w:val="es-ES"/>
              </w:rPr>
              <w:t>Cáncer de mama</w:t>
            </w:r>
          </w:p>
        </w:tc>
        <w:tc>
          <w:tcPr>
            <w:tcW w:w="0" w:type="auto"/>
            <w:hideMark/>
          </w:tcPr>
          <w:p w:rsidR="009E4400" w:rsidRPr="00FE26CF" w:rsidRDefault="009E4400" w:rsidP="00805ED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BRE-6: Tratamiento estados I-IV cáncer + mamografía bianual</w:t>
            </w:r>
          </w:p>
        </w:tc>
        <w:tc>
          <w:tcPr>
            <w:tcW w:w="0" w:type="auto"/>
            <w:hideMark/>
          </w:tcPr>
          <w:p w:rsidR="009E4400" w:rsidRPr="00FE26CF" w:rsidRDefault="009E4400" w:rsidP="00805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313</w:t>
            </w:r>
          </w:p>
        </w:tc>
        <w:tc>
          <w:tcPr>
            <w:tcW w:w="0" w:type="auto"/>
            <w:hideMark/>
          </w:tcPr>
          <w:p w:rsidR="009E4400" w:rsidRPr="00FE26CF" w:rsidRDefault="009E4400" w:rsidP="00805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 </w:t>
            </w:r>
          </w:p>
        </w:tc>
        <w:tc>
          <w:tcPr>
            <w:tcW w:w="0" w:type="auto"/>
            <w:noWrap/>
            <w:hideMark/>
          </w:tcPr>
          <w:p w:rsidR="009E4400" w:rsidRPr="00FE26CF" w:rsidRDefault="009E4400" w:rsidP="00805ED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 xml:space="preserve">WHO-CHOICE </w:t>
            </w:r>
            <w:r w:rsidRPr="00FE26CF">
              <w:rPr>
                <w:rFonts w:eastAsia="Times New Roman" w:cs="Arial"/>
                <w:sz w:val="16"/>
                <w:szCs w:val="16"/>
                <w:lang w:val="es-ES"/>
              </w:rPr>
              <w:fldChar w:fldCharType="begin" w:fldLock="1"/>
            </w:r>
            <w:r w:rsidRPr="00FE26CF">
              <w:rPr>
                <w:rFonts w:eastAsia="Times New Roman" w:cs="Arial"/>
                <w:color w:val="auto"/>
                <w:sz w:val="16"/>
                <w:szCs w:val="16"/>
                <w:lang w:val="es-ES"/>
              </w:rPr>
              <w:instrText>ADDIN CSL_CITATION { "citationItems" : [ { "id" : "ITEM-1", "itemData" : { "author" : [ { "dropping-particle" : "", "family" : "Organizaci\u00f3n Mundial de la Salud", "given" : "", "non-dropping-particle" : "", "parse-names" : false, "suffix" : "" } ], "id" : "ITEM-1", "issued" : { "date-parts" : [ [ "2015" ] ] }, "publisher" : "Organizaci\u00f3n Mundial de la Salud", "publisher-place" : "Ginebra, Suiza", "title" : "Cost effectiveness and strategic planning (WHO-CHOICE)", "type" : "article" }, "uris" : [ "http://www.mendeley.com/documents/?uuid=dd380e87-cfdc-4683-b24b-8c760371b7c2" ] } ], "mendeley" : { "formattedCitation" : "(Organizaci\u00f3n Mundial de la Salud 2015)", "manualFormatting" : "(OMS  2015)", "plainTextFormattedCitation" : "(Organizaci\u00f3n Mundial de la Salud 2015)", "previouslyFormattedCitation" : "(Organizaci\u00f3n Mundial de la Salud 2015)" }, "properties" : { "noteIndex" : 0 }, "schema" : "https://github.com/citation-style-language/schema/raw/master/csl-citation.json" }</w:instrText>
            </w:r>
            <w:r w:rsidRPr="00FE26CF">
              <w:rPr>
                <w:rFonts w:eastAsia="Times New Roman" w:cs="Arial"/>
                <w:sz w:val="16"/>
                <w:szCs w:val="16"/>
                <w:lang w:val="es-ES"/>
              </w:rPr>
              <w:fldChar w:fldCharType="separate"/>
            </w:r>
            <w:r w:rsidRPr="00FE26CF">
              <w:rPr>
                <w:rFonts w:eastAsia="Times New Roman" w:cs="Arial"/>
                <w:noProof/>
                <w:color w:val="auto"/>
                <w:sz w:val="16"/>
                <w:szCs w:val="16"/>
                <w:lang w:val="es-ES"/>
              </w:rPr>
              <w:t>(OMS  2015)</w:t>
            </w:r>
            <w:r w:rsidRPr="00FE26CF">
              <w:rPr>
                <w:rFonts w:eastAsia="Times New Roman" w:cs="Arial"/>
                <w:sz w:val="16"/>
                <w:szCs w:val="16"/>
                <w:lang w:val="es-ES"/>
              </w:rPr>
              <w:fldChar w:fldCharType="end"/>
            </w:r>
          </w:p>
        </w:tc>
      </w:tr>
      <w:tr w:rsidR="009E4400" w:rsidRPr="00FE26CF" w:rsidTr="000D3F77">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0" w:type="auto"/>
            <w:hideMark/>
          </w:tcPr>
          <w:p w:rsidR="009E4400" w:rsidRPr="00FE26CF" w:rsidRDefault="009E4400" w:rsidP="00805ED8">
            <w:pPr>
              <w:spacing w:after="0" w:line="240" w:lineRule="auto"/>
              <w:rPr>
                <w:rFonts w:eastAsia="Times New Roman" w:cs="Arial"/>
                <w:b w:val="0"/>
                <w:bCs w:val="0"/>
                <w:color w:val="auto"/>
                <w:sz w:val="16"/>
                <w:szCs w:val="16"/>
                <w:lang w:val="es-ES"/>
              </w:rPr>
            </w:pPr>
            <w:r w:rsidRPr="00FE26CF">
              <w:rPr>
                <w:rFonts w:eastAsia="Times New Roman" w:cs="Arial"/>
                <w:b w:val="0"/>
                <w:bCs w:val="0"/>
                <w:color w:val="auto"/>
                <w:sz w:val="16"/>
                <w:szCs w:val="16"/>
                <w:lang w:val="es-ES"/>
              </w:rPr>
              <w:t>Cáncer colorectal</w:t>
            </w:r>
          </w:p>
        </w:tc>
        <w:tc>
          <w:tcPr>
            <w:tcW w:w="0" w:type="auto"/>
            <w:hideMark/>
          </w:tcPr>
          <w:p w:rsidR="009E4400" w:rsidRPr="00FE26CF" w:rsidRDefault="009E4400" w:rsidP="00805ED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 xml:space="preserve">CRC-15: Sangre oculta anual+ sigmoidoscopia con remoción </w:t>
            </w:r>
            <w:r w:rsidR="00FE26CF" w:rsidRPr="00FE26CF">
              <w:rPr>
                <w:rFonts w:eastAsia="Times New Roman" w:cs="Arial"/>
                <w:color w:val="auto"/>
                <w:sz w:val="16"/>
                <w:szCs w:val="16"/>
                <w:lang w:val="es-ES"/>
              </w:rPr>
              <w:t>quirúrgica</w:t>
            </w:r>
            <w:r w:rsidRPr="00FE26CF">
              <w:rPr>
                <w:rFonts w:eastAsia="Times New Roman" w:cs="Arial"/>
                <w:color w:val="auto"/>
                <w:sz w:val="16"/>
                <w:szCs w:val="16"/>
                <w:lang w:val="es-ES"/>
              </w:rPr>
              <w:t xml:space="preserve"> de pólipos+ tratamiento de cáncer</w:t>
            </w:r>
          </w:p>
        </w:tc>
        <w:tc>
          <w:tcPr>
            <w:tcW w:w="0" w:type="auto"/>
            <w:hideMark/>
          </w:tcPr>
          <w:p w:rsidR="009E4400" w:rsidRPr="00FE26CF" w:rsidRDefault="009E4400" w:rsidP="00805E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 </w:t>
            </w:r>
          </w:p>
        </w:tc>
        <w:tc>
          <w:tcPr>
            <w:tcW w:w="0" w:type="auto"/>
            <w:hideMark/>
          </w:tcPr>
          <w:p w:rsidR="009E4400" w:rsidRPr="00FE26CF" w:rsidRDefault="009E4400" w:rsidP="00805E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1,153</w:t>
            </w:r>
          </w:p>
        </w:tc>
        <w:tc>
          <w:tcPr>
            <w:tcW w:w="0" w:type="auto"/>
            <w:noWrap/>
            <w:hideMark/>
          </w:tcPr>
          <w:p w:rsidR="009E4400" w:rsidRPr="00FE26CF" w:rsidRDefault="009E4400" w:rsidP="00805ED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 xml:space="preserve">WHO-CHOICE </w:t>
            </w:r>
            <w:r w:rsidRPr="00FE26CF">
              <w:rPr>
                <w:rFonts w:eastAsia="Times New Roman" w:cs="Arial"/>
                <w:sz w:val="16"/>
                <w:szCs w:val="16"/>
                <w:lang w:val="es-ES"/>
              </w:rPr>
              <w:fldChar w:fldCharType="begin" w:fldLock="1"/>
            </w:r>
            <w:r w:rsidRPr="00FE26CF">
              <w:rPr>
                <w:rFonts w:eastAsia="Times New Roman" w:cs="Arial"/>
                <w:color w:val="auto"/>
                <w:sz w:val="16"/>
                <w:szCs w:val="16"/>
                <w:lang w:val="es-ES"/>
              </w:rPr>
              <w:instrText>ADDIN CSL_CITATION { "citationItems" : [ { "id" : "ITEM-1", "itemData" : { "author" : [ { "dropping-particle" : "", "family" : "Organizaci\u00f3n Mundial de la Salud", "given" : "", "non-dropping-particle" : "", "parse-names" : false, "suffix" : "" } ], "id" : "ITEM-1", "issued" : { "date-parts" : [ [ "2015" ] ] }, "publisher" : "Organizaci\u00f3n Mundial de la Salud", "publisher-place" : "Ginebra, Suiza", "title" : "Cost effectiveness and strategic planning (WHO-CHOICE)", "type" : "article" }, "uris" : [ "http://www.mendeley.com/documents/?uuid=dd380e87-cfdc-4683-b24b-8c760371b7c2" ] } ], "mendeley" : { "formattedCitation" : "(Organizaci\u00f3n Mundial de la Salud 2015)", "manualFormatting" : "(OMS  2015)", "plainTextFormattedCitation" : "(Organizaci\u00f3n Mundial de la Salud 2015)", "previouslyFormattedCitation" : "(Organizaci\u00f3n Mundial de la Salud 2015)" }, "properties" : { "noteIndex" : 0 }, "schema" : "https://github.com/citation-style-language/schema/raw/master/csl-citation.json" }</w:instrText>
            </w:r>
            <w:r w:rsidRPr="00FE26CF">
              <w:rPr>
                <w:rFonts w:eastAsia="Times New Roman" w:cs="Arial"/>
                <w:sz w:val="16"/>
                <w:szCs w:val="16"/>
                <w:lang w:val="es-ES"/>
              </w:rPr>
              <w:fldChar w:fldCharType="separate"/>
            </w:r>
            <w:r w:rsidRPr="00FE26CF">
              <w:rPr>
                <w:rFonts w:eastAsia="Times New Roman" w:cs="Arial"/>
                <w:noProof/>
                <w:color w:val="auto"/>
                <w:sz w:val="16"/>
                <w:szCs w:val="16"/>
                <w:lang w:val="es-ES"/>
              </w:rPr>
              <w:t>(OMS  2015)</w:t>
            </w:r>
            <w:r w:rsidRPr="00FE26CF">
              <w:rPr>
                <w:rFonts w:eastAsia="Times New Roman" w:cs="Arial"/>
                <w:sz w:val="16"/>
                <w:szCs w:val="16"/>
                <w:lang w:val="es-ES"/>
              </w:rPr>
              <w:fldChar w:fldCharType="end"/>
            </w:r>
          </w:p>
        </w:tc>
      </w:tr>
      <w:tr w:rsidR="009E4400" w:rsidRPr="00FE26CF" w:rsidTr="000D3F77">
        <w:trPr>
          <w:trHeight w:val="280"/>
        </w:trPr>
        <w:tc>
          <w:tcPr>
            <w:cnfStyle w:val="001000000000" w:firstRow="0" w:lastRow="0" w:firstColumn="1" w:lastColumn="0" w:oddVBand="0" w:evenVBand="0" w:oddHBand="0" w:evenHBand="0" w:firstRowFirstColumn="0" w:firstRowLastColumn="0" w:lastRowFirstColumn="0" w:lastRowLastColumn="0"/>
            <w:tcW w:w="0" w:type="auto"/>
            <w:hideMark/>
          </w:tcPr>
          <w:p w:rsidR="009E4400" w:rsidRPr="00FE26CF" w:rsidRDefault="009E4400" w:rsidP="00805ED8">
            <w:pPr>
              <w:spacing w:after="0" w:line="240" w:lineRule="auto"/>
              <w:rPr>
                <w:rFonts w:eastAsia="Times New Roman" w:cs="Arial"/>
                <w:b w:val="0"/>
                <w:bCs w:val="0"/>
                <w:color w:val="auto"/>
                <w:sz w:val="16"/>
                <w:szCs w:val="16"/>
                <w:lang w:val="es-ES"/>
              </w:rPr>
            </w:pPr>
            <w:r w:rsidRPr="00FE26CF">
              <w:rPr>
                <w:rFonts w:eastAsia="Times New Roman" w:cs="Arial"/>
                <w:b w:val="0"/>
                <w:bCs w:val="0"/>
                <w:color w:val="auto"/>
                <w:sz w:val="16"/>
                <w:szCs w:val="16"/>
                <w:lang w:val="es-ES"/>
              </w:rPr>
              <w:t>Obesidad</w:t>
            </w:r>
          </w:p>
        </w:tc>
        <w:tc>
          <w:tcPr>
            <w:tcW w:w="0" w:type="auto"/>
            <w:hideMark/>
          </w:tcPr>
          <w:p w:rsidR="009E4400" w:rsidRPr="00FE26CF" w:rsidRDefault="009E4400" w:rsidP="00805ED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Consejería por personal de APS</w:t>
            </w:r>
          </w:p>
        </w:tc>
        <w:tc>
          <w:tcPr>
            <w:tcW w:w="0" w:type="auto"/>
            <w:hideMark/>
          </w:tcPr>
          <w:p w:rsidR="009E4400" w:rsidRPr="00FE26CF" w:rsidRDefault="009E4400" w:rsidP="00805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2,085</w:t>
            </w:r>
          </w:p>
        </w:tc>
        <w:tc>
          <w:tcPr>
            <w:tcW w:w="0" w:type="auto"/>
            <w:hideMark/>
          </w:tcPr>
          <w:p w:rsidR="009E4400" w:rsidRPr="00FE26CF" w:rsidRDefault="009E4400" w:rsidP="00805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 </w:t>
            </w:r>
          </w:p>
        </w:tc>
        <w:tc>
          <w:tcPr>
            <w:tcW w:w="0" w:type="auto"/>
            <w:noWrap/>
            <w:hideMark/>
          </w:tcPr>
          <w:p w:rsidR="009E4400" w:rsidRPr="00FE26CF" w:rsidRDefault="009E4400" w:rsidP="00805ED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sz w:val="16"/>
                <w:szCs w:val="16"/>
                <w:lang w:val="es-ES"/>
              </w:rPr>
              <w:fldChar w:fldCharType="begin" w:fldLock="1"/>
            </w:r>
            <w:r w:rsidRPr="00FE26CF">
              <w:rPr>
                <w:rFonts w:eastAsia="Times New Roman" w:cs="Arial"/>
                <w:color w:val="auto"/>
                <w:sz w:val="16"/>
                <w:szCs w:val="16"/>
                <w:lang w:val="es-ES"/>
              </w:rPr>
              <w:instrText>ADDIN CSL_CITATION { "citationItems" : [ { "id" : "ITEM-1", "itemData" : { "author" : [ { "dropping-particle" : "", "family" : "Cecchini", "given" : "M", "non-dropping-particle" : "", "parse-names" : false, "suffix" : "" }, { "dropping-particle" : "", "family" : "Sassi", "given" : "F", "non-dropping-particle" : "", "parse-names" : false, "suffix" : "" }, { "dropping-particle" : "", "family" : "Lauer", "given" : "JA", "non-dropping-particle" : "", "parse-names" : false, "suffix" : "" } ], "container-title" : "The Lancet", "id" : "ITEM-1", "issued" : { "date-parts" : [ [ "2010" ] ] }, "title" : "Tackling of unhealthy diets, physical inactivity, and obesity: health effects and cost-effectiveness", "type" : "article-journal" }, "uris" : [ "http://www.mendeley.com/documents/?uuid=421ed6c3-c8bf-4fc2-abd6-146ae7dae6ec" ] } ], "mendeley" : { "formattedCitation" : "(Cecchini, Sassi, and Lauer 2010)", "manualFormatting" : "(Cecchini, Sassi, y Lauer 2010)", "plainTextFormattedCitation" : "(Cecchini, Sassi, and Lauer 2010)", "previouslyFormattedCitation" : "(Cecchini, Sassi, and Lauer 2010)" }, "properties" : { "noteIndex" : 0 }, "schema" : "https://github.com/citation-style-language/schema/raw/master/csl-citation.json" }</w:instrText>
            </w:r>
            <w:r w:rsidRPr="00FE26CF">
              <w:rPr>
                <w:rFonts w:eastAsia="Times New Roman" w:cs="Arial"/>
                <w:sz w:val="16"/>
                <w:szCs w:val="16"/>
                <w:lang w:val="es-ES"/>
              </w:rPr>
              <w:fldChar w:fldCharType="separate"/>
            </w:r>
            <w:r w:rsidRPr="00FE26CF">
              <w:rPr>
                <w:rFonts w:eastAsia="Times New Roman" w:cs="Arial"/>
                <w:noProof/>
                <w:color w:val="auto"/>
                <w:sz w:val="16"/>
                <w:szCs w:val="16"/>
                <w:lang w:val="es-ES"/>
              </w:rPr>
              <w:t>(Cecchini, Sassi, y Lauer 2010)</w:t>
            </w:r>
            <w:r w:rsidRPr="00FE26CF">
              <w:rPr>
                <w:rFonts w:eastAsia="Times New Roman" w:cs="Arial"/>
                <w:sz w:val="16"/>
                <w:szCs w:val="16"/>
                <w:lang w:val="es-ES"/>
              </w:rPr>
              <w:fldChar w:fldCharType="end"/>
            </w:r>
          </w:p>
        </w:tc>
      </w:tr>
      <w:tr w:rsidR="009E4400" w:rsidRPr="00E95B43" w:rsidTr="000D3F77">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0" w:type="auto"/>
            <w:hideMark/>
          </w:tcPr>
          <w:p w:rsidR="009E4400" w:rsidRPr="00FE26CF" w:rsidRDefault="009E4400" w:rsidP="00805ED8">
            <w:pPr>
              <w:spacing w:after="0" w:line="240" w:lineRule="auto"/>
              <w:rPr>
                <w:rFonts w:eastAsia="Times New Roman" w:cs="Arial"/>
                <w:b w:val="0"/>
                <w:bCs w:val="0"/>
                <w:color w:val="auto"/>
                <w:sz w:val="16"/>
                <w:szCs w:val="16"/>
                <w:lang w:val="es-ES"/>
              </w:rPr>
            </w:pPr>
            <w:r w:rsidRPr="00FE26CF">
              <w:rPr>
                <w:rFonts w:eastAsia="Times New Roman" w:cs="Arial"/>
                <w:b w:val="0"/>
                <w:bCs w:val="0"/>
                <w:color w:val="auto"/>
                <w:sz w:val="16"/>
                <w:szCs w:val="16"/>
                <w:lang w:val="es-ES"/>
              </w:rPr>
              <w:t>Enfermedad pulmonar obstructiva crónica</w:t>
            </w:r>
          </w:p>
        </w:tc>
        <w:tc>
          <w:tcPr>
            <w:tcW w:w="0" w:type="auto"/>
            <w:hideMark/>
          </w:tcPr>
          <w:p w:rsidR="009E4400" w:rsidRPr="00FE26CF" w:rsidRDefault="009E4400" w:rsidP="00805ED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Tratamiento de exacerbaciones severas</w:t>
            </w:r>
          </w:p>
        </w:tc>
        <w:tc>
          <w:tcPr>
            <w:tcW w:w="0" w:type="auto"/>
            <w:hideMark/>
          </w:tcPr>
          <w:p w:rsidR="009E4400" w:rsidRPr="00FE26CF" w:rsidRDefault="009E4400" w:rsidP="00805E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3</w:t>
            </w:r>
          </w:p>
        </w:tc>
        <w:tc>
          <w:tcPr>
            <w:tcW w:w="0" w:type="auto"/>
            <w:hideMark/>
          </w:tcPr>
          <w:p w:rsidR="009E4400" w:rsidRPr="00FE26CF" w:rsidRDefault="009E4400" w:rsidP="00805E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 </w:t>
            </w:r>
          </w:p>
        </w:tc>
        <w:tc>
          <w:tcPr>
            <w:tcW w:w="0" w:type="auto"/>
            <w:noWrap/>
            <w:hideMark/>
          </w:tcPr>
          <w:p w:rsidR="009E4400" w:rsidRPr="00FE26CF" w:rsidRDefault="009E4400" w:rsidP="00805ED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sz w:val="16"/>
                <w:szCs w:val="16"/>
                <w:lang w:val="es-ES"/>
              </w:rPr>
              <w:fldChar w:fldCharType="begin" w:fldLock="1"/>
            </w:r>
            <w:r w:rsidRPr="00FE26CF">
              <w:rPr>
                <w:rFonts w:eastAsia="Times New Roman" w:cs="Arial"/>
                <w:color w:val="auto"/>
                <w:sz w:val="16"/>
                <w:szCs w:val="16"/>
                <w:lang w:val="es-ES"/>
              </w:rPr>
              <w:instrText>ADDIN CSL_CITATION { "citationItems" : [ { "id" : "ITEM-1", "itemData" : { "DOI" : "10.1136/bmj.e355", "ISSN" : "1756-1833", "PMID" : "22389335", "abstract" : "OBJECTIVE: To inform decision making regarding intervention strategies against non-communicable diseases in Mexico, in the context of health reform.\n\nDESIGN: Cost effectiveness analysis based on epidemiological modelling.\n\nINTERVENTIONS: 101 intervention strategies relating to nine major clusters of non-communicable disease: depression, heavy alcohol use, tobacco use, cataracts, breast cancer, cervical cancer, chronic obstructive pulmonary disease, cardiovascular disease, and diabetes.\n\nDATA SOURCES: Mexican data sources were used for most key input parameters, including administrative registries; disease burden and population estimates; household surveys; and drug price databases. These sources were supplemented as needed with estimates for Mexico from the WHO-CHOICE unit cost database or with estimates extrapolated from the published literature.\n\nMAIN OUTCOME MEASURES: Population health outcomes, measured in disability adjusted life years (DALYs); costs in 2005 international dollars ($Int); and costs per DALY.\n\nRESULTS: Across 101 intervention strategies examined in this study, average yearly costs at the population level would range from around \u2264$Int1m (such as for cataract surgeries) to &gt;$Int1bn for certain strategies for primary prevention in cardiovascular disease. Wide variation also appeared in total population health benefits, from &lt;1000 DALYs averted a year (for some components of cancer treatments or aspirin for acute ischaemic stroke) to &gt;300,000 averted DALYs (for aggressive combinations of interventions to deal with alcohol use or cardiovascular risks). Interventions in this study spanned a wide range of average cost effectiveness ratios, differing by more than three orders of magnitude between the lowest and highest ratios. Overall, community and public health interventions such as non-personal interventions for alcohol use, tobacco use, and cardiovascular risks tended to have lower cost effectiveness ratios than many clinical interventions (of varying complexity). Even within the community and public health interventions, however, there was a 200-fold difference between the most and least cost effective strategies examined. Likewise, several clinical interventions appeared among the strategies with the lowest average cost effectiveness ratios-for example, cataract surgeries.\n\nCONCLUSIONS: Wide variations in costs and effects exist within and across intervention categories. For every major disease area examined, at least some strategies p\u2026", "author" : [ { "dropping-particle" : "", "family" : "Salomon", "given" : "Joshua A", "non-dropping-particle" : "", "parse-names" : false, "suffix" : "" }, { "dropping-particle" : "", "family" : "Carvalho", "given" : "Natalie", "non-dropping-particle" : "", "parse-names" : false, "suffix" : "" }, { "dropping-particle" : "", "family" : "Guti\u00e9rrez-Delgado", "given" : "Cristina", "non-dropping-particle" : "", "parse-names" : false, "suffix" : "" }, { "dropping-particle" : "", "family" : "Orozco", "given" : "Ricardo", "non-dropping-particle" : "", "parse-names" : false, "suffix" : "" }, { "dropping-particle" : "", "family" : "Mancuso", "given" : "Anna", "non-dropping-particle" : "", "parse-names" : false, "suffix" : "" }, { "dropping-particle" : "", "family" : "Hogan", "given" : "Daniel R", "non-dropping-particle" : "", "parse-names" : false, "suffix" : "" }, { "dropping-particle" : "", "family" : "Lee", "given" : "Diana", "non-dropping-particle" : "", "parse-names" : false, "suffix" : "" }, { "dropping-particle" : "", "family" : "Murakami", "given" : "Yuki", "non-dropping-particle" : "", "parse-names" : false, "suffix" : "" }, { "dropping-particle" : "", "family" : "Sridharan", "given" : "Lakshmi", "non-dropping-particle" : "", "parse-names" : false, "suffix" : "" }, { "dropping-particle" : "", "family" : "Medina-Mora", "given" : "Mar\u00eda Elena", "non-dropping-particle" : "", "parse-names" : false, "suffix" : "" }, { "dropping-particle" : "", "family" : "Gonz\u00e1lez-Pier", "given" : "Eduardo", "non-dropping-particle" : "", "parse-names" : false, "suffix" : "" } ], "container-title" : "BMJ (Clinical research ed.)", "id" : "ITEM-1", "issue" : "mar02_1", "issued" : { "date-parts" : [ [ "2012", "1", "2" ] ] }, "page" : "e355", "title" : "Intervention strategies to reduce the burden of non-communicable diseases in Mexico: cost effectiveness analysis.", "type" : "article-journal", "volume" : "344" }, "uris" : [ "http://www.mendeley.com/documents/?uuid=b65f8e93-ffb6-479f-a2d9-ee62f2c1ab4c" ] } ], "mendeley" : { "formattedCitation" : "(Salomon et al. 2012)", "plainTextFormattedCitation" : "(Salomon et al. 2012)", "previouslyFormattedCitation" : "(Salomon et al. 2012)" }, "properties" : { "noteIndex" : 0 }, "schema" : "https://github.com/citation-style-language/schema/raw/master/csl-citation.json" }</w:instrText>
            </w:r>
            <w:r w:rsidRPr="00FE26CF">
              <w:rPr>
                <w:rFonts w:eastAsia="Times New Roman" w:cs="Arial"/>
                <w:sz w:val="16"/>
                <w:szCs w:val="16"/>
                <w:lang w:val="es-ES"/>
              </w:rPr>
              <w:fldChar w:fldCharType="separate"/>
            </w:r>
            <w:r w:rsidRPr="00FE26CF">
              <w:rPr>
                <w:rFonts w:eastAsia="Times New Roman" w:cs="Arial"/>
                <w:noProof/>
                <w:color w:val="auto"/>
                <w:sz w:val="16"/>
                <w:szCs w:val="16"/>
                <w:lang w:val="es-ES"/>
              </w:rPr>
              <w:t>(Salomon et al. 2012)</w:t>
            </w:r>
            <w:r w:rsidRPr="00FE26CF">
              <w:rPr>
                <w:rFonts w:eastAsia="Times New Roman" w:cs="Arial"/>
                <w:sz w:val="16"/>
                <w:szCs w:val="16"/>
                <w:lang w:val="es-ES"/>
              </w:rPr>
              <w:fldChar w:fldCharType="end"/>
            </w:r>
          </w:p>
        </w:tc>
      </w:tr>
      <w:tr w:rsidR="009E4400" w:rsidRPr="00E95B43" w:rsidTr="000D3F77">
        <w:trPr>
          <w:trHeight w:val="280"/>
        </w:trPr>
        <w:tc>
          <w:tcPr>
            <w:cnfStyle w:val="001000000000" w:firstRow="0" w:lastRow="0" w:firstColumn="1" w:lastColumn="0" w:oddVBand="0" w:evenVBand="0" w:oddHBand="0" w:evenHBand="0" w:firstRowFirstColumn="0" w:firstRowLastColumn="0" w:lastRowFirstColumn="0" w:lastRowLastColumn="0"/>
            <w:tcW w:w="0" w:type="auto"/>
            <w:hideMark/>
          </w:tcPr>
          <w:p w:rsidR="009E4400" w:rsidRPr="00FE26CF" w:rsidRDefault="009E4400" w:rsidP="00805ED8">
            <w:pPr>
              <w:spacing w:after="0" w:line="240" w:lineRule="auto"/>
              <w:rPr>
                <w:rFonts w:eastAsia="Times New Roman" w:cs="Arial"/>
                <w:b w:val="0"/>
                <w:bCs w:val="0"/>
                <w:color w:val="auto"/>
                <w:sz w:val="16"/>
                <w:szCs w:val="16"/>
                <w:lang w:val="es-ES"/>
              </w:rPr>
            </w:pPr>
            <w:r w:rsidRPr="00FE26CF">
              <w:rPr>
                <w:rFonts w:eastAsia="Times New Roman" w:cs="Arial"/>
                <w:b w:val="0"/>
                <w:bCs w:val="0"/>
                <w:color w:val="auto"/>
                <w:sz w:val="16"/>
                <w:szCs w:val="16"/>
                <w:lang w:val="es-ES"/>
              </w:rPr>
              <w:t> </w:t>
            </w:r>
          </w:p>
        </w:tc>
        <w:tc>
          <w:tcPr>
            <w:tcW w:w="0" w:type="auto"/>
            <w:hideMark/>
          </w:tcPr>
          <w:p w:rsidR="009E4400" w:rsidRPr="00FE26CF" w:rsidRDefault="009E4400" w:rsidP="00805ED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Terapia de oxígeno y medicación para estados severos-IV</w:t>
            </w:r>
          </w:p>
        </w:tc>
        <w:tc>
          <w:tcPr>
            <w:tcW w:w="0" w:type="auto"/>
            <w:hideMark/>
          </w:tcPr>
          <w:p w:rsidR="009E4400" w:rsidRPr="00FE26CF" w:rsidRDefault="009E4400" w:rsidP="00805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 </w:t>
            </w:r>
          </w:p>
        </w:tc>
        <w:tc>
          <w:tcPr>
            <w:tcW w:w="0" w:type="auto"/>
            <w:hideMark/>
          </w:tcPr>
          <w:p w:rsidR="009E4400" w:rsidRPr="00FE26CF" w:rsidRDefault="009E4400" w:rsidP="00805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10</w:t>
            </w:r>
          </w:p>
        </w:tc>
        <w:tc>
          <w:tcPr>
            <w:tcW w:w="0" w:type="auto"/>
            <w:noWrap/>
            <w:hideMark/>
          </w:tcPr>
          <w:p w:rsidR="009E4400" w:rsidRPr="00FE26CF" w:rsidRDefault="009E4400" w:rsidP="00805ED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sz w:val="16"/>
                <w:szCs w:val="16"/>
                <w:lang w:val="es-ES"/>
              </w:rPr>
              <w:fldChar w:fldCharType="begin" w:fldLock="1"/>
            </w:r>
            <w:r w:rsidRPr="00FE26CF">
              <w:rPr>
                <w:rFonts w:eastAsia="Times New Roman" w:cs="Arial"/>
                <w:color w:val="auto"/>
                <w:sz w:val="16"/>
                <w:szCs w:val="16"/>
                <w:lang w:val="es-ES"/>
              </w:rPr>
              <w:instrText>ADDIN CSL_CITATION { "citationItems" : [ { "id" : "ITEM-1", "itemData" : { "DOI" : "10.1136/bmj.e355", "ISSN" : "1756-1833", "PMID" : "22389335", "abstract" : "OBJECTIVE: To inform decision making regarding intervention strategies against non-communicable diseases in Mexico, in the context of health reform.\n\nDESIGN: Cost effectiveness analysis based on epidemiological modelling.\n\nINTERVENTIONS: 101 intervention strategies relating to nine major clusters of non-communicable disease: depression, heavy alcohol use, tobacco use, cataracts, breast cancer, cervical cancer, chronic obstructive pulmonary disease, cardiovascular disease, and diabetes.\n\nDATA SOURCES: Mexican data sources were used for most key input parameters, including administrative registries; disease burden and population estimates; household surveys; and drug price databases. These sources were supplemented as needed with estimates for Mexico from the WHO-CHOICE unit cost database or with estimates extrapolated from the published literature.\n\nMAIN OUTCOME MEASURES: Population health outcomes, measured in disability adjusted life years (DALYs); costs in 2005 international dollars ($Int); and costs per DALY.\n\nRESULTS: Across 101 intervention strategies examined in this study, average yearly costs at the population level would range from around \u2264$Int1m (such as for cataract surgeries) to &gt;$Int1bn for certain strategies for primary prevention in cardiovascular disease. Wide variation also appeared in total population health benefits, from &lt;1000 DALYs averted a year (for some components of cancer treatments or aspirin for acute ischaemic stroke) to &gt;300,000 averted DALYs (for aggressive combinations of interventions to deal with alcohol use or cardiovascular risks). Interventions in this study spanned a wide range of average cost effectiveness ratios, differing by more than three orders of magnitude between the lowest and highest ratios. Overall, community and public health interventions such as non-personal interventions for alcohol use, tobacco use, and cardiovascular risks tended to have lower cost effectiveness ratios than many clinical interventions (of varying complexity). Even within the community and public health interventions, however, there was a 200-fold difference between the most and least cost effective strategies examined. Likewise, several clinical interventions appeared among the strategies with the lowest average cost effectiveness ratios-for example, cataract surgeries.\n\nCONCLUSIONS: Wide variations in costs and effects exist within and across intervention categories. For every major disease area examined, at least some strategies p\u2026", "author" : [ { "dropping-particle" : "", "family" : "Salomon", "given" : "Joshua A", "non-dropping-particle" : "", "parse-names" : false, "suffix" : "" }, { "dropping-particle" : "", "family" : "Carvalho", "given" : "Natalie", "non-dropping-particle" : "", "parse-names" : false, "suffix" : "" }, { "dropping-particle" : "", "family" : "Guti\u00e9rrez-Delgado", "given" : "Cristina", "non-dropping-particle" : "", "parse-names" : false, "suffix" : "" }, { "dropping-particle" : "", "family" : "Orozco", "given" : "Ricardo", "non-dropping-particle" : "", "parse-names" : false, "suffix" : "" }, { "dropping-particle" : "", "family" : "Mancuso", "given" : "Anna", "non-dropping-particle" : "", "parse-names" : false, "suffix" : "" }, { "dropping-particle" : "", "family" : "Hogan", "given" : "Daniel R", "non-dropping-particle" : "", "parse-names" : false, "suffix" : "" }, { "dropping-particle" : "", "family" : "Lee", "given" : "Diana", "non-dropping-particle" : "", "parse-names" : false, "suffix" : "" }, { "dropping-particle" : "", "family" : "Murakami", "given" : "Yuki", "non-dropping-particle" : "", "parse-names" : false, "suffix" : "" }, { "dropping-particle" : "", "family" : "Sridharan", "given" : "Lakshmi", "non-dropping-particle" : "", "parse-names" : false, "suffix" : "" }, { "dropping-particle" : "", "family" : "Medina-Mora", "given" : "Mar\u00eda Elena", "non-dropping-particle" : "", "parse-names" : false, "suffix" : "" }, { "dropping-particle" : "", "family" : "Gonz\u00e1lez-Pier", "given" : "Eduardo", "non-dropping-particle" : "", "parse-names" : false, "suffix" : "" } ], "container-title" : "BMJ (Clinical research ed.)", "id" : "ITEM-1", "issue" : "mar02_1", "issued" : { "date-parts" : [ [ "2012", "1", "2" ] ] }, "page" : "e355", "title" : "Intervention strategies to reduce the burden of non-communicable diseases in Mexico: cost effectiveness analysis.", "type" : "article-journal", "volume" : "344" }, "uris" : [ "http://www.mendeley.com/documents/?uuid=b65f8e93-ffb6-479f-a2d9-ee62f2c1ab4c" ] } ], "mendeley" : { "formattedCitation" : "(Salomon et al. 2012)", "plainTextFormattedCitation" : "(Salomon et al. 2012)", "previouslyFormattedCitation" : "(Salomon et al. 2012)" }, "properties" : { "noteIndex" : 0 }, "schema" : "https://github.com/citation-style-language/schema/raw/master/csl-citation.json" }</w:instrText>
            </w:r>
            <w:r w:rsidRPr="00FE26CF">
              <w:rPr>
                <w:rFonts w:eastAsia="Times New Roman" w:cs="Arial"/>
                <w:sz w:val="16"/>
                <w:szCs w:val="16"/>
                <w:lang w:val="es-ES"/>
              </w:rPr>
              <w:fldChar w:fldCharType="separate"/>
            </w:r>
            <w:r w:rsidRPr="00FE26CF">
              <w:rPr>
                <w:rFonts w:eastAsia="Times New Roman" w:cs="Arial"/>
                <w:noProof/>
                <w:color w:val="auto"/>
                <w:sz w:val="16"/>
                <w:szCs w:val="16"/>
                <w:lang w:val="es-ES"/>
              </w:rPr>
              <w:t>(Salomon et al. 2012)</w:t>
            </w:r>
            <w:r w:rsidRPr="00FE26CF">
              <w:rPr>
                <w:rFonts w:eastAsia="Times New Roman" w:cs="Arial"/>
                <w:sz w:val="16"/>
                <w:szCs w:val="16"/>
                <w:lang w:val="es-ES"/>
              </w:rPr>
              <w:fldChar w:fldCharType="end"/>
            </w:r>
          </w:p>
        </w:tc>
      </w:tr>
      <w:tr w:rsidR="009E4400" w:rsidRPr="00FE26CF" w:rsidTr="000D3F7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hideMark/>
          </w:tcPr>
          <w:p w:rsidR="009E4400" w:rsidRPr="00FE26CF" w:rsidRDefault="009E4400" w:rsidP="00805ED8">
            <w:pPr>
              <w:spacing w:after="0" w:line="240" w:lineRule="auto"/>
              <w:rPr>
                <w:rFonts w:eastAsia="Times New Roman" w:cs="Arial"/>
                <w:b w:val="0"/>
                <w:bCs w:val="0"/>
                <w:color w:val="auto"/>
                <w:sz w:val="16"/>
                <w:szCs w:val="16"/>
                <w:lang w:val="es-ES"/>
              </w:rPr>
            </w:pPr>
            <w:r w:rsidRPr="00FE26CF">
              <w:rPr>
                <w:rFonts w:eastAsia="Times New Roman" w:cs="Arial"/>
                <w:b w:val="0"/>
                <w:bCs w:val="0"/>
                <w:color w:val="auto"/>
                <w:sz w:val="16"/>
                <w:szCs w:val="16"/>
                <w:lang w:val="es-ES"/>
              </w:rPr>
              <w:t> </w:t>
            </w:r>
          </w:p>
        </w:tc>
        <w:tc>
          <w:tcPr>
            <w:tcW w:w="0" w:type="auto"/>
            <w:hideMark/>
          </w:tcPr>
          <w:p w:rsidR="009E4400" w:rsidRPr="00FE26CF" w:rsidRDefault="009E4400" w:rsidP="00805ED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Broncodilatador inhalado y corticoides (estado II-IV)</w:t>
            </w:r>
          </w:p>
        </w:tc>
        <w:tc>
          <w:tcPr>
            <w:tcW w:w="0" w:type="auto"/>
            <w:hideMark/>
          </w:tcPr>
          <w:p w:rsidR="009E4400" w:rsidRPr="00FE26CF" w:rsidRDefault="009E4400" w:rsidP="00805E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 </w:t>
            </w:r>
          </w:p>
        </w:tc>
        <w:tc>
          <w:tcPr>
            <w:tcW w:w="0" w:type="auto"/>
            <w:hideMark/>
          </w:tcPr>
          <w:p w:rsidR="009E4400" w:rsidRPr="00FE26CF" w:rsidRDefault="009E4400" w:rsidP="00805E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31</w:t>
            </w:r>
          </w:p>
        </w:tc>
        <w:tc>
          <w:tcPr>
            <w:tcW w:w="0" w:type="auto"/>
            <w:noWrap/>
            <w:hideMark/>
          </w:tcPr>
          <w:p w:rsidR="009E4400" w:rsidRPr="00FE26CF" w:rsidRDefault="009E4400" w:rsidP="00805ED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sz w:val="16"/>
                <w:szCs w:val="16"/>
                <w:lang w:val="es-ES"/>
              </w:rPr>
              <w:fldChar w:fldCharType="begin" w:fldLock="1"/>
            </w:r>
            <w:r w:rsidRPr="00FE26CF">
              <w:rPr>
                <w:rFonts w:eastAsia="Times New Roman" w:cs="Arial"/>
                <w:color w:val="auto"/>
                <w:sz w:val="16"/>
                <w:szCs w:val="16"/>
                <w:lang w:val="es-ES"/>
              </w:rPr>
              <w:instrText>ADDIN CSL_CITATION { "citationItems" : [ { "id" : "ITEM-1", "itemData" : { "DOI" : "10.1136/bmj.e355", "ISSN" : "1756-1833", "PMID" : "22389335", "abstract" : "OBJECTIVE: To inform decision making regarding intervention strategies against non-communicable diseases in Mexico, in the context of health reform.\n\nDESIGN: Cost effectiveness analysis based on epidemiological modelling.\n\nINTERVENTIONS: 101 intervention strategies relating to nine major clusters of non-communicable disease: depression, heavy alcohol use, tobacco use, cataracts, breast cancer, cervical cancer, chronic obstructive pulmonary disease, cardiovascular disease, and diabetes.\n\nDATA SOURCES: Mexican data sources were used for most key input parameters, including administrative registries; disease burden and population estimates; household surveys; and drug price databases. These sources were supplemented as needed with estimates for Mexico from the WHO-CHOICE unit cost database or with estimates extrapolated from the published literature.\n\nMAIN OUTCOME MEASURES: Population health outcomes, measured in disability adjusted life years (DALYs); costs in 2005 international dollars ($Int); and costs per DALY.\n\nRESULTS: Across 101 intervention strategies examined in this study, average yearly costs at the population level would range from around \u2264$Int1m (such as for cataract surgeries) to &gt;$Int1bn for certain strategies for primary prevention in cardiovascular disease. Wide variation also appeared in total population health benefits, from &lt;1000 DALYs averted a year (for some components of cancer treatments or aspirin for acute ischaemic stroke) to &gt;300,000 averted DALYs (for aggressive combinations of interventions to deal with alcohol use or cardiovascular risks). Interventions in this study spanned a wide range of average cost effectiveness ratios, differing by more than three orders of magnitude between the lowest and highest ratios. Overall, community and public health interventions such as non-personal interventions for alcohol use, tobacco use, and cardiovascular risks tended to have lower cost effectiveness ratios than many clinical interventions (of varying complexity). Even within the community and public health interventions, however, there was a 200-fold difference between the most and least cost effective strategies examined. Likewise, several clinical interventions appeared among the strategies with the lowest average cost effectiveness ratios-for example, cataract surgeries.\n\nCONCLUSIONS: Wide variations in costs and effects exist within and across intervention categories. For every major disease area examined, at least some strategies p\u2026", "author" : [ { "dropping-particle" : "", "family" : "Salomon", "given" : "Joshua A", "non-dropping-particle" : "", "parse-names" : false, "suffix" : "" }, { "dropping-particle" : "", "family" : "Carvalho", "given" : "Natalie", "non-dropping-particle" : "", "parse-names" : false, "suffix" : "" }, { "dropping-particle" : "", "family" : "Guti\u00e9rrez-Delgado", "given" : "Cristina", "non-dropping-particle" : "", "parse-names" : false, "suffix" : "" }, { "dropping-particle" : "", "family" : "Orozco", "given" : "Ricardo", "non-dropping-particle" : "", "parse-names" : false, "suffix" : "" }, { "dropping-particle" : "", "family" : "Mancuso", "given" : "Anna", "non-dropping-particle" : "", "parse-names" : false, "suffix" : "" }, { "dropping-particle" : "", "family" : "Hogan", "given" : "Daniel R", "non-dropping-particle" : "", "parse-names" : false, "suffix" : "" }, { "dropping-particle" : "", "family" : "Lee", "given" : "Diana", "non-dropping-particle" : "", "parse-names" : false, "suffix" : "" }, { "dropping-particle" : "", "family" : "Murakami", "given" : "Yuki", "non-dropping-particle" : "", "parse-names" : false, "suffix" : "" }, { "dropping-particle" : "", "family" : "Sridharan", "given" : "Lakshmi", "non-dropping-particle" : "", "parse-names" : false, "suffix" : "" }, { "dropping-particle" : "", "family" : "Medina-Mora", "given" : "Mar\u00eda Elena", "non-dropping-particle" : "", "parse-names" : false, "suffix" : "" }, { "dropping-particle" : "", "family" : "Gonz\u00e1lez-Pier", "given" : "Eduardo", "non-dropping-particle" : "", "parse-names" : false, "suffix" : "" } ], "container-title" : "BMJ (Clinical research ed.)", "id" : "ITEM-1", "issue" : "mar02_1", "issued" : { "date-parts" : [ [ "2012", "1", "2" ] ] }, "page" : "e355", "title" : "Intervention strategies to reduce the burden of non-communicable diseases in Mexico: cost effectiveness analysis.", "type" : "article-journal", "volume" : "344" }, "uris" : [ "http://www.mendeley.com/documents/?uuid=b65f8e93-ffb6-479f-a2d9-ee62f2c1ab4c" ] } ], "mendeley" : { "formattedCitation" : "(Salomon et al. 2012)", "plainTextFormattedCitation" : "(Salomon et al. 2012)", "previouslyFormattedCitation" : "(Salomon et al. 2012)" }, "properties" : { "noteIndex" : 0 }, "schema" : "https://github.com/citation-style-language/schema/raw/master/csl-citation.json" }</w:instrText>
            </w:r>
            <w:r w:rsidRPr="00FE26CF">
              <w:rPr>
                <w:rFonts w:eastAsia="Times New Roman" w:cs="Arial"/>
                <w:sz w:val="16"/>
                <w:szCs w:val="16"/>
                <w:lang w:val="es-ES"/>
              </w:rPr>
              <w:fldChar w:fldCharType="separate"/>
            </w:r>
            <w:r w:rsidRPr="00FE26CF">
              <w:rPr>
                <w:rFonts w:eastAsia="Times New Roman" w:cs="Arial"/>
                <w:noProof/>
                <w:color w:val="auto"/>
                <w:sz w:val="16"/>
                <w:szCs w:val="16"/>
                <w:lang w:val="es-ES"/>
              </w:rPr>
              <w:t>(Salomon et al. 2012)</w:t>
            </w:r>
            <w:r w:rsidRPr="00FE26CF">
              <w:rPr>
                <w:rFonts w:eastAsia="Times New Roman" w:cs="Arial"/>
                <w:sz w:val="16"/>
                <w:szCs w:val="16"/>
                <w:lang w:val="es-ES"/>
              </w:rPr>
              <w:fldChar w:fldCharType="end"/>
            </w:r>
          </w:p>
        </w:tc>
      </w:tr>
      <w:tr w:rsidR="009E4400" w:rsidRPr="00FE26CF" w:rsidTr="000D3F77">
        <w:trPr>
          <w:trHeight w:val="280"/>
        </w:trPr>
        <w:tc>
          <w:tcPr>
            <w:cnfStyle w:val="001000000000" w:firstRow="0" w:lastRow="0" w:firstColumn="1" w:lastColumn="0" w:oddVBand="0" w:evenVBand="0" w:oddHBand="0" w:evenHBand="0" w:firstRowFirstColumn="0" w:firstRowLastColumn="0" w:lastRowFirstColumn="0" w:lastRowLastColumn="0"/>
            <w:tcW w:w="0" w:type="auto"/>
            <w:hideMark/>
          </w:tcPr>
          <w:p w:rsidR="009E4400" w:rsidRPr="00FE26CF" w:rsidRDefault="009E4400" w:rsidP="00805ED8">
            <w:pPr>
              <w:spacing w:after="0" w:line="240" w:lineRule="auto"/>
              <w:rPr>
                <w:rFonts w:eastAsia="Times New Roman" w:cs="Arial"/>
                <w:b w:val="0"/>
                <w:bCs w:val="0"/>
                <w:color w:val="auto"/>
                <w:sz w:val="16"/>
                <w:szCs w:val="16"/>
                <w:lang w:val="es-ES"/>
              </w:rPr>
            </w:pPr>
            <w:r w:rsidRPr="00FE26CF">
              <w:rPr>
                <w:rFonts w:eastAsia="Times New Roman" w:cs="Arial"/>
                <w:b w:val="0"/>
                <w:bCs w:val="0"/>
                <w:color w:val="auto"/>
                <w:sz w:val="16"/>
                <w:szCs w:val="16"/>
                <w:lang w:val="es-ES"/>
              </w:rPr>
              <w:t> </w:t>
            </w:r>
          </w:p>
        </w:tc>
        <w:tc>
          <w:tcPr>
            <w:tcW w:w="0" w:type="auto"/>
            <w:hideMark/>
          </w:tcPr>
          <w:p w:rsidR="009E4400" w:rsidRPr="00FE26CF" w:rsidRDefault="009E4400" w:rsidP="00805ED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Vacuna de influenza</w:t>
            </w:r>
          </w:p>
        </w:tc>
        <w:tc>
          <w:tcPr>
            <w:tcW w:w="0" w:type="auto"/>
            <w:hideMark/>
          </w:tcPr>
          <w:p w:rsidR="009E4400" w:rsidRPr="00FE26CF" w:rsidRDefault="009E4400" w:rsidP="00805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37</w:t>
            </w:r>
          </w:p>
        </w:tc>
        <w:tc>
          <w:tcPr>
            <w:tcW w:w="0" w:type="auto"/>
            <w:hideMark/>
          </w:tcPr>
          <w:p w:rsidR="009E4400" w:rsidRPr="00FE26CF" w:rsidRDefault="009E4400" w:rsidP="00805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 </w:t>
            </w:r>
          </w:p>
        </w:tc>
        <w:tc>
          <w:tcPr>
            <w:tcW w:w="0" w:type="auto"/>
            <w:noWrap/>
            <w:hideMark/>
          </w:tcPr>
          <w:p w:rsidR="009E4400" w:rsidRPr="00FE26CF" w:rsidRDefault="009E4400" w:rsidP="00805ED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sz w:val="16"/>
                <w:szCs w:val="16"/>
                <w:lang w:val="es-ES"/>
              </w:rPr>
              <w:fldChar w:fldCharType="begin" w:fldLock="1"/>
            </w:r>
            <w:r w:rsidRPr="00FE26CF">
              <w:rPr>
                <w:rFonts w:eastAsia="Times New Roman" w:cs="Arial"/>
                <w:color w:val="auto"/>
                <w:sz w:val="16"/>
                <w:szCs w:val="16"/>
                <w:lang w:val="es-ES"/>
              </w:rPr>
              <w:instrText>ADDIN CSL_CITATION { "citationItems" : [ { "id" : "ITEM-1", "itemData" : { "DOI" : "10.1136/bmj.e355", "ISSN" : "1756-1833", "PMID" : "22389335", "abstract" : "OBJECTIVE: To inform decision making regarding intervention strategies against non-communicable diseases in Mexico, in the context of health reform.\n\nDESIGN: Cost effectiveness analysis based on epidemiological modelling.\n\nINTERVENTIONS: 101 intervention strategies relating to nine major clusters of non-communicable disease: depression, heavy alcohol use, tobacco use, cataracts, breast cancer, cervical cancer, chronic obstructive pulmonary disease, cardiovascular disease, and diabetes.\n\nDATA SOURCES: Mexican data sources were used for most key input parameters, including administrative registries; disease burden and population estimates; household surveys; and drug price databases. These sources were supplemented as needed with estimates for Mexico from the WHO-CHOICE unit cost database or with estimates extrapolated from the published literature.\n\nMAIN OUTCOME MEASURES: Population health outcomes, measured in disability adjusted life years (DALYs); costs in 2005 international dollars ($Int); and costs per DALY.\n\nRESULTS: Across 101 intervention strategies examined in this study, average yearly costs at the population level would range from around \u2264$Int1m (such as for cataract surgeries) to &gt;$Int1bn for certain strategies for primary prevention in cardiovascular disease. Wide variation also appeared in total population health benefits, from &lt;1000 DALYs averted a year (for some components of cancer treatments or aspirin for acute ischaemic stroke) to &gt;300,000 averted DALYs (for aggressive combinations of interventions to deal with alcohol use or cardiovascular risks). Interventions in this study spanned a wide range of average cost effectiveness ratios, differing by more than three orders of magnitude between the lowest and highest ratios. Overall, community and public health interventions such as non-personal interventions for alcohol use, tobacco use, and cardiovascular risks tended to have lower cost effectiveness ratios than many clinical interventions (of varying complexity). Even within the community and public health interventions, however, there was a 200-fold difference between the most and least cost effective strategies examined. Likewise, several clinical interventions appeared among the strategies with the lowest average cost effectiveness ratios-for example, cataract surgeries.\n\nCONCLUSIONS: Wide variations in costs and effects exist within and across intervention categories. For every major disease area examined, at least some strategies p\u2026", "author" : [ { "dropping-particle" : "", "family" : "Salomon", "given" : "Joshua A", "non-dropping-particle" : "", "parse-names" : false, "suffix" : "" }, { "dropping-particle" : "", "family" : "Carvalho", "given" : "Natalie", "non-dropping-particle" : "", "parse-names" : false, "suffix" : "" }, { "dropping-particle" : "", "family" : "Guti\u00e9rrez-Delgado", "given" : "Cristina", "non-dropping-particle" : "", "parse-names" : false, "suffix" : "" }, { "dropping-particle" : "", "family" : "Orozco", "given" : "Ricardo", "non-dropping-particle" : "", "parse-names" : false, "suffix" : "" }, { "dropping-particle" : "", "family" : "Mancuso", "given" : "Anna", "non-dropping-particle" : "", "parse-names" : false, "suffix" : "" }, { "dropping-particle" : "", "family" : "Hogan", "given" : "Daniel R", "non-dropping-particle" : "", "parse-names" : false, "suffix" : "" }, { "dropping-particle" : "", "family" : "Lee", "given" : "Diana", "non-dropping-particle" : "", "parse-names" : false, "suffix" : "" }, { "dropping-particle" : "", "family" : "Murakami", "given" : "Yuki", "non-dropping-particle" : "", "parse-names" : false, "suffix" : "" }, { "dropping-particle" : "", "family" : "Sridharan", "given" : "Lakshmi", "non-dropping-particle" : "", "parse-names" : false, "suffix" : "" }, { "dropping-particle" : "", "family" : "Medina-Mora", "given" : "Mar\u00eda Elena", "non-dropping-particle" : "", "parse-names" : false, "suffix" : "" }, { "dropping-particle" : "", "family" : "Gonz\u00e1lez-Pier", "given" : "Eduardo", "non-dropping-particle" : "", "parse-names" : false, "suffix" : "" } ], "container-title" : "BMJ (Clinical research ed.)", "id" : "ITEM-1", "issue" : "mar02_1", "issued" : { "date-parts" : [ [ "2012", "1", "2" ] ] }, "page" : "e355", "title" : "Intervention strategies to reduce the burden of non-communicable diseases in Mexico: cost effectiveness analysis.", "type" : "article-journal", "volume" : "344" }, "uris" : [ "http://www.mendeley.com/documents/?uuid=b65f8e93-ffb6-479f-a2d9-ee62f2c1ab4c" ] } ], "mendeley" : { "formattedCitation" : "(Salomon et al. 2012)", "plainTextFormattedCitation" : "(Salomon et al. 2012)", "previouslyFormattedCitation" : "(Salomon et al. 2012)" }, "properties" : { "noteIndex" : 0 }, "schema" : "https://github.com/citation-style-language/schema/raw/master/csl-citation.json" }</w:instrText>
            </w:r>
            <w:r w:rsidRPr="00FE26CF">
              <w:rPr>
                <w:rFonts w:eastAsia="Times New Roman" w:cs="Arial"/>
                <w:sz w:val="16"/>
                <w:szCs w:val="16"/>
                <w:lang w:val="es-ES"/>
              </w:rPr>
              <w:fldChar w:fldCharType="separate"/>
            </w:r>
            <w:r w:rsidRPr="00FE26CF">
              <w:rPr>
                <w:rFonts w:eastAsia="Times New Roman" w:cs="Arial"/>
                <w:noProof/>
                <w:color w:val="auto"/>
                <w:sz w:val="16"/>
                <w:szCs w:val="16"/>
                <w:lang w:val="es-ES"/>
              </w:rPr>
              <w:t>(Salomon et al. 2012)</w:t>
            </w:r>
            <w:r w:rsidRPr="00FE26CF">
              <w:rPr>
                <w:rFonts w:eastAsia="Times New Roman" w:cs="Arial"/>
                <w:sz w:val="16"/>
                <w:szCs w:val="16"/>
                <w:lang w:val="es-ES"/>
              </w:rPr>
              <w:fldChar w:fldCharType="end"/>
            </w:r>
          </w:p>
        </w:tc>
      </w:tr>
      <w:tr w:rsidR="009E4400" w:rsidRPr="00E95B43" w:rsidTr="000D3F7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hideMark/>
          </w:tcPr>
          <w:p w:rsidR="009E4400" w:rsidRPr="00FE26CF" w:rsidRDefault="009E4400" w:rsidP="00805ED8">
            <w:pPr>
              <w:spacing w:after="0" w:line="240" w:lineRule="auto"/>
              <w:rPr>
                <w:rFonts w:eastAsia="Times New Roman" w:cs="Arial"/>
                <w:b w:val="0"/>
                <w:bCs w:val="0"/>
                <w:color w:val="auto"/>
                <w:sz w:val="16"/>
                <w:szCs w:val="16"/>
                <w:lang w:val="es-ES"/>
              </w:rPr>
            </w:pPr>
            <w:r w:rsidRPr="00FE26CF">
              <w:rPr>
                <w:rFonts w:eastAsia="Times New Roman" w:cs="Arial"/>
                <w:b w:val="0"/>
                <w:bCs w:val="0"/>
                <w:color w:val="auto"/>
                <w:sz w:val="16"/>
                <w:szCs w:val="16"/>
                <w:lang w:val="es-ES"/>
              </w:rPr>
              <w:t> </w:t>
            </w:r>
          </w:p>
        </w:tc>
        <w:tc>
          <w:tcPr>
            <w:tcW w:w="0" w:type="auto"/>
            <w:hideMark/>
          </w:tcPr>
          <w:p w:rsidR="009E4400" w:rsidRPr="00FE26CF" w:rsidRDefault="009E4400" w:rsidP="00805ED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Consejería para dejar de fumar</w:t>
            </w:r>
          </w:p>
        </w:tc>
        <w:tc>
          <w:tcPr>
            <w:tcW w:w="0" w:type="auto"/>
            <w:hideMark/>
          </w:tcPr>
          <w:p w:rsidR="009E4400" w:rsidRPr="00FE26CF" w:rsidRDefault="009E4400" w:rsidP="00805E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63</w:t>
            </w:r>
          </w:p>
        </w:tc>
        <w:tc>
          <w:tcPr>
            <w:tcW w:w="0" w:type="auto"/>
            <w:hideMark/>
          </w:tcPr>
          <w:p w:rsidR="009E4400" w:rsidRPr="00FE26CF" w:rsidRDefault="009E4400" w:rsidP="00805E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 </w:t>
            </w:r>
          </w:p>
        </w:tc>
        <w:tc>
          <w:tcPr>
            <w:tcW w:w="0" w:type="auto"/>
            <w:noWrap/>
            <w:hideMark/>
          </w:tcPr>
          <w:p w:rsidR="009E4400" w:rsidRPr="00FE26CF" w:rsidRDefault="009E4400" w:rsidP="00805ED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sz w:val="16"/>
                <w:szCs w:val="16"/>
                <w:lang w:val="es-ES"/>
              </w:rPr>
              <w:fldChar w:fldCharType="begin" w:fldLock="1"/>
            </w:r>
            <w:r w:rsidRPr="00FE26CF">
              <w:rPr>
                <w:rFonts w:eastAsia="Times New Roman" w:cs="Arial"/>
                <w:color w:val="auto"/>
                <w:sz w:val="16"/>
                <w:szCs w:val="16"/>
                <w:lang w:val="es-ES"/>
              </w:rPr>
              <w:instrText>ADDIN CSL_CITATION { "citationItems" : [ { "id" : "ITEM-1", "itemData" : { "DOI" : "10.1136/bmj.e355", "ISSN" : "1756-1833", "PMID" : "22389335", "abstract" : "OBJECTIVE: To inform decision making regarding intervention strategies against non-communicable diseases in Mexico, in the context of health reform.\n\nDESIGN: Cost effectiveness analysis based on epidemiological modelling.\n\nINTERVENTIONS: 101 intervention strategies relating to nine major clusters of non-communicable disease: depression, heavy alcohol use, tobacco use, cataracts, breast cancer, cervical cancer, chronic obstructive pulmonary disease, cardiovascular disease, and diabetes.\n\nDATA SOURCES: Mexican data sources were used for most key input parameters, including administrative registries; disease burden and population estimates; household surveys; and drug price databases. These sources were supplemented as needed with estimates for Mexico from the WHO-CHOICE unit cost database or with estimates extrapolated from the published literature.\n\nMAIN OUTCOME MEASURES: Population health outcomes, measured in disability adjusted life years (DALYs); costs in 2005 international dollars ($Int); and costs per DALY.\n\nRESULTS: Across 101 intervention strategies examined in this study, average yearly costs at the population level would range from around \u2264$Int1m (such as for cataract surgeries) to &gt;$Int1bn for certain strategies for primary prevention in cardiovascular disease. Wide variation also appeared in total population health benefits, from &lt;1000 DALYs averted a year (for some components of cancer treatments or aspirin for acute ischaemic stroke) to &gt;300,000 averted DALYs (for aggressive combinations of interventions to deal with alcohol use or cardiovascular risks). Interventions in this study spanned a wide range of average cost effectiveness ratios, differing by more than three orders of magnitude between the lowest and highest ratios. Overall, community and public health interventions such as non-personal interventions for alcohol use, tobacco use, and cardiovascular risks tended to have lower cost effectiveness ratios than many clinical interventions (of varying complexity). Even within the community and public health interventions, however, there was a 200-fold difference between the most and least cost effective strategies examined. Likewise, several clinical interventions appeared among the strategies with the lowest average cost effectiveness ratios-for example, cataract surgeries.\n\nCONCLUSIONS: Wide variations in costs and effects exist within and across intervention categories. For every major disease area examined, at least some strategies p\u2026", "author" : [ { "dropping-particle" : "", "family" : "Salomon", "given" : "Joshua A", "non-dropping-particle" : "", "parse-names" : false, "suffix" : "" }, { "dropping-particle" : "", "family" : "Carvalho", "given" : "Natalie", "non-dropping-particle" : "", "parse-names" : false, "suffix" : "" }, { "dropping-particle" : "", "family" : "Guti\u00e9rrez-Delgado", "given" : "Cristina", "non-dropping-particle" : "", "parse-names" : false, "suffix" : "" }, { "dropping-particle" : "", "family" : "Orozco", "given" : "Ricardo", "non-dropping-particle" : "", "parse-names" : false, "suffix" : "" }, { "dropping-particle" : "", "family" : "Mancuso", "given" : "Anna", "non-dropping-particle" : "", "parse-names" : false, "suffix" : "" }, { "dropping-particle" : "", "family" : "Hogan", "given" : "Daniel R", "non-dropping-particle" : "", "parse-names" : false, "suffix" : "" }, { "dropping-particle" : "", "family" : "Lee", "given" : "Diana", "non-dropping-particle" : "", "parse-names" : false, "suffix" : "" }, { "dropping-particle" : "", "family" : "Murakami", "given" : "Yuki", "non-dropping-particle" : "", "parse-names" : false, "suffix" : "" }, { "dropping-particle" : "", "family" : "Sridharan", "given" : "Lakshmi", "non-dropping-particle" : "", "parse-names" : false, "suffix" : "" }, { "dropping-particle" : "", "family" : "Medina-Mora", "given" : "Mar\u00eda Elena", "non-dropping-particle" : "", "parse-names" : false, "suffix" : "" }, { "dropping-particle" : "", "family" : "Gonz\u00e1lez-Pier", "given" : "Eduardo", "non-dropping-particle" : "", "parse-names" : false, "suffix" : "" } ], "container-title" : "BMJ (Clinical research ed.)", "id" : "ITEM-1", "issue" : "mar02_1", "issued" : { "date-parts" : [ [ "2012", "1", "2" ] ] }, "page" : "e355", "title" : "Intervention strategies to reduce the burden of non-communicable diseases in Mexico: cost effectiveness analysis.", "type" : "article-journal", "volume" : "344" }, "uris" : [ "http://www.mendeley.com/documents/?uuid=b65f8e93-ffb6-479f-a2d9-ee62f2c1ab4c" ] } ], "mendeley" : { "formattedCitation" : "(Salomon et al. 2012)", "plainTextFormattedCitation" : "(Salomon et al. 2012)", "previouslyFormattedCitation" : "(Salomon et al. 2012)" }, "properties" : { "noteIndex" : 0 }, "schema" : "https://github.com/citation-style-language/schema/raw/master/csl-citation.json" }</w:instrText>
            </w:r>
            <w:r w:rsidRPr="00FE26CF">
              <w:rPr>
                <w:rFonts w:eastAsia="Times New Roman" w:cs="Arial"/>
                <w:sz w:val="16"/>
                <w:szCs w:val="16"/>
                <w:lang w:val="es-ES"/>
              </w:rPr>
              <w:fldChar w:fldCharType="separate"/>
            </w:r>
            <w:r w:rsidRPr="00FE26CF">
              <w:rPr>
                <w:rFonts w:eastAsia="Times New Roman" w:cs="Arial"/>
                <w:noProof/>
                <w:color w:val="auto"/>
                <w:sz w:val="16"/>
                <w:szCs w:val="16"/>
                <w:lang w:val="es-ES"/>
              </w:rPr>
              <w:t>(Salomon et al. 2012)</w:t>
            </w:r>
            <w:r w:rsidRPr="00FE26CF">
              <w:rPr>
                <w:rFonts w:eastAsia="Times New Roman" w:cs="Arial"/>
                <w:sz w:val="16"/>
                <w:szCs w:val="16"/>
                <w:lang w:val="es-ES"/>
              </w:rPr>
              <w:fldChar w:fldCharType="end"/>
            </w:r>
          </w:p>
        </w:tc>
      </w:tr>
      <w:tr w:rsidR="009E4400" w:rsidRPr="00E95B43" w:rsidTr="000D3F77">
        <w:trPr>
          <w:trHeight w:val="560"/>
        </w:trPr>
        <w:tc>
          <w:tcPr>
            <w:cnfStyle w:val="001000000000" w:firstRow="0" w:lastRow="0" w:firstColumn="1" w:lastColumn="0" w:oddVBand="0" w:evenVBand="0" w:oddHBand="0" w:evenHBand="0" w:firstRowFirstColumn="0" w:firstRowLastColumn="0" w:lastRowFirstColumn="0" w:lastRowLastColumn="0"/>
            <w:tcW w:w="0" w:type="auto"/>
            <w:hideMark/>
          </w:tcPr>
          <w:p w:rsidR="009E4400" w:rsidRPr="00FE26CF" w:rsidRDefault="009E4400" w:rsidP="00805ED8">
            <w:pPr>
              <w:spacing w:after="0" w:line="240" w:lineRule="auto"/>
              <w:rPr>
                <w:rFonts w:eastAsia="Times New Roman" w:cs="Arial"/>
                <w:b w:val="0"/>
                <w:bCs w:val="0"/>
                <w:color w:val="auto"/>
                <w:sz w:val="16"/>
                <w:szCs w:val="16"/>
                <w:lang w:val="es-ES"/>
              </w:rPr>
            </w:pPr>
            <w:r w:rsidRPr="00FE26CF">
              <w:rPr>
                <w:rFonts w:eastAsia="Times New Roman" w:cs="Arial"/>
                <w:b w:val="0"/>
                <w:bCs w:val="0"/>
                <w:color w:val="auto"/>
                <w:sz w:val="16"/>
                <w:szCs w:val="16"/>
                <w:lang w:val="es-ES"/>
              </w:rPr>
              <w:t>Diabetes</w:t>
            </w:r>
          </w:p>
        </w:tc>
        <w:tc>
          <w:tcPr>
            <w:tcW w:w="0" w:type="auto"/>
            <w:hideMark/>
          </w:tcPr>
          <w:p w:rsidR="009E4400" w:rsidRPr="00FE26CF" w:rsidRDefault="009E4400" w:rsidP="00805ED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Detección de retinopatía + fotocoagulación+ control estándar de glucemia</w:t>
            </w:r>
          </w:p>
        </w:tc>
        <w:tc>
          <w:tcPr>
            <w:tcW w:w="0" w:type="auto"/>
            <w:hideMark/>
          </w:tcPr>
          <w:p w:rsidR="009E4400" w:rsidRPr="00FE26CF" w:rsidRDefault="009E4400" w:rsidP="00805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2,233</w:t>
            </w:r>
          </w:p>
        </w:tc>
        <w:tc>
          <w:tcPr>
            <w:tcW w:w="0" w:type="auto"/>
            <w:hideMark/>
          </w:tcPr>
          <w:p w:rsidR="009E4400" w:rsidRPr="00FE26CF" w:rsidRDefault="009E4400" w:rsidP="00805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 </w:t>
            </w:r>
          </w:p>
        </w:tc>
        <w:tc>
          <w:tcPr>
            <w:tcW w:w="0" w:type="auto"/>
            <w:noWrap/>
            <w:hideMark/>
          </w:tcPr>
          <w:p w:rsidR="009E4400" w:rsidRPr="00FE26CF" w:rsidRDefault="009E4400" w:rsidP="00805ED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 xml:space="preserve">WHO-CHOICE </w:t>
            </w:r>
            <w:r w:rsidRPr="00FE26CF">
              <w:rPr>
                <w:rFonts w:eastAsia="Times New Roman" w:cs="Arial"/>
                <w:sz w:val="16"/>
                <w:szCs w:val="16"/>
                <w:lang w:val="es-ES"/>
              </w:rPr>
              <w:fldChar w:fldCharType="begin" w:fldLock="1"/>
            </w:r>
            <w:r w:rsidRPr="00FE26CF">
              <w:rPr>
                <w:rFonts w:eastAsia="Times New Roman" w:cs="Arial"/>
                <w:color w:val="auto"/>
                <w:sz w:val="16"/>
                <w:szCs w:val="16"/>
                <w:lang w:val="es-ES"/>
              </w:rPr>
              <w:instrText>ADDIN CSL_CITATION { "citationItems" : [ { "id" : "ITEM-1", "itemData" : { "author" : [ { "dropping-particle" : "", "family" : "Organizaci\u00f3n Mundial de la Salud", "given" : "", "non-dropping-particle" : "", "parse-names" : false, "suffix" : "" } ], "id" : "ITEM-1", "issued" : { "date-parts" : [ [ "2015" ] ] }, "publisher" : "Organizaci\u00f3n Mundial de la Salud", "publisher-place" : "Ginebra, Suiza", "title" : "Cost effectiveness and strategic planning (WHO-CHOICE)", "type" : "article" }, "uris" : [ "http://www.mendeley.com/documents/?uuid=dd380e87-cfdc-4683-b24b-8c760371b7c2" ] } ], "mendeley" : { "formattedCitation" : "(Organizaci\u00f3n Mundial de la Salud 2015)", "manualFormatting" : "(OMS  2015)", "plainTextFormattedCitation" : "(Organizaci\u00f3n Mundial de la Salud 2015)", "previouslyFormattedCitation" : "(Organizaci\u00f3n Mundial de la Salud 2015)" }, "properties" : { "noteIndex" : 0 }, "schema" : "https://github.com/citation-style-language/schema/raw/master/csl-citation.json" }</w:instrText>
            </w:r>
            <w:r w:rsidRPr="00FE26CF">
              <w:rPr>
                <w:rFonts w:eastAsia="Times New Roman" w:cs="Arial"/>
                <w:sz w:val="16"/>
                <w:szCs w:val="16"/>
                <w:lang w:val="es-ES"/>
              </w:rPr>
              <w:fldChar w:fldCharType="separate"/>
            </w:r>
            <w:r w:rsidRPr="00FE26CF">
              <w:rPr>
                <w:rFonts w:eastAsia="Times New Roman" w:cs="Arial"/>
                <w:noProof/>
                <w:color w:val="auto"/>
                <w:sz w:val="16"/>
                <w:szCs w:val="16"/>
                <w:lang w:val="es-ES"/>
              </w:rPr>
              <w:t>(OMS  2015)</w:t>
            </w:r>
            <w:r w:rsidRPr="00FE26CF">
              <w:rPr>
                <w:rFonts w:eastAsia="Times New Roman" w:cs="Arial"/>
                <w:sz w:val="16"/>
                <w:szCs w:val="16"/>
                <w:lang w:val="es-ES"/>
              </w:rPr>
              <w:fldChar w:fldCharType="end"/>
            </w:r>
          </w:p>
        </w:tc>
      </w:tr>
      <w:tr w:rsidR="009E4400" w:rsidRPr="00E95B43" w:rsidTr="000D3F7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hideMark/>
          </w:tcPr>
          <w:p w:rsidR="009E4400" w:rsidRPr="00FE26CF" w:rsidRDefault="009E4400" w:rsidP="00805ED8">
            <w:pPr>
              <w:spacing w:after="0" w:line="240" w:lineRule="auto"/>
              <w:rPr>
                <w:rFonts w:eastAsia="Times New Roman" w:cs="Arial"/>
                <w:b w:val="0"/>
                <w:bCs w:val="0"/>
                <w:color w:val="auto"/>
                <w:sz w:val="16"/>
                <w:szCs w:val="16"/>
                <w:lang w:val="es-ES"/>
              </w:rPr>
            </w:pPr>
            <w:r w:rsidRPr="00FE26CF">
              <w:rPr>
                <w:rFonts w:eastAsia="Times New Roman" w:cs="Arial"/>
                <w:b w:val="0"/>
                <w:bCs w:val="0"/>
                <w:color w:val="auto"/>
                <w:sz w:val="16"/>
                <w:szCs w:val="16"/>
                <w:lang w:val="es-ES"/>
              </w:rPr>
              <w:t> </w:t>
            </w:r>
          </w:p>
        </w:tc>
        <w:tc>
          <w:tcPr>
            <w:tcW w:w="0" w:type="auto"/>
            <w:hideMark/>
          </w:tcPr>
          <w:p w:rsidR="009E4400" w:rsidRPr="00FE26CF" w:rsidRDefault="009E4400" w:rsidP="00805ED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Control glicemia convencional</w:t>
            </w:r>
          </w:p>
        </w:tc>
        <w:tc>
          <w:tcPr>
            <w:tcW w:w="0" w:type="auto"/>
            <w:hideMark/>
          </w:tcPr>
          <w:p w:rsidR="009E4400" w:rsidRPr="00FE26CF" w:rsidRDefault="009E4400" w:rsidP="00805E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 </w:t>
            </w:r>
          </w:p>
        </w:tc>
        <w:tc>
          <w:tcPr>
            <w:tcW w:w="0" w:type="auto"/>
            <w:hideMark/>
          </w:tcPr>
          <w:p w:rsidR="009E4400" w:rsidRPr="00FE26CF" w:rsidRDefault="009E4400" w:rsidP="00805E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333</w:t>
            </w:r>
          </w:p>
        </w:tc>
        <w:tc>
          <w:tcPr>
            <w:tcW w:w="0" w:type="auto"/>
            <w:noWrap/>
            <w:hideMark/>
          </w:tcPr>
          <w:p w:rsidR="009E4400" w:rsidRPr="00FE26CF" w:rsidRDefault="009E4400" w:rsidP="00805ED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sz w:val="16"/>
                <w:szCs w:val="16"/>
                <w:lang w:val="es-ES"/>
              </w:rPr>
              <w:fldChar w:fldCharType="begin" w:fldLock="1"/>
            </w:r>
            <w:r w:rsidRPr="00FE26CF">
              <w:rPr>
                <w:rFonts w:eastAsia="Times New Roman" w:cs="Arial"/>
                <w:color w:val="auto"/>
                <w:sz w:val="16"/>
                <w:szCs w:val="16"/>
                <w:lang w:val="es-ES"/>
              </w:rPr>
              <w:instrText>ADDIN CSL_CITATION { "citationItems" : [ { "id" : "ITEM-1", "itemData" : { "DOI" : "10.1136/bmj.e355", "ISSN" : "1756-1833", "PMID" : "22389335", "abstract" : "OBJECTIVE: To inform decision making regarding intervention strategies against non-communicable diseases in Mexico, in the context of health reform.\n\nDESIGN: Cost effectiveness analysis based on epidemiological modelling.\n\nINTERVENTIONS: 101 intervention strategies relating to nine major clusters of non-communicable disease: depression, heavy alcohol use, tobacco use, cataracts, breast cancer, cervical cancer, chronic obstructive pulmonary disease, cardiovascular disease, and diabetes.\n\nDATA SOURCES: Mexican data sources were used for most key input parameters, including administrative registries; disease burden and population estimates; household surveys; and drug price databases. These sources were supplemented as needed with estimates for Mexico from the WHO-CHOICE unit cost database or with estimates extrapolated from the published literature.\n\nMAIN OUTCOME MEASURES: Population health outcomes, measured in disability adjusted life years (DALYs); costs in 2005 international dollars ($Int); and costs per DALY.\n\nRESULTS: Across 101 intervention strategies examined in this study, average yearly costs at the population level would range from around \u2264$Int1m (such as for cataract surgeries) to &gt;$Int1bn for certain strategies for primary prevention in cardiovascular disease. Wide variation also appeared in total population health benefits, from &lt;1000 DALYs averted a year (for some components of cancer treatments or aspirin for acute ischaemic stroke) to &gt;300,000 averted DALYs (for aggressive combinations of interventions to deal with alcohol use or cardiovascular risks). Interventions in this study spanned a wide range of average cost effectiveness ratios, differing by more than three orders of magnitude between the lowest and highest ratios. Overall, community and public health interventions such as non-personal interventions for alcohol use, tobacco use, and cardiovascular risks tended to have lower cost effectiveness ratios than many clinical interventions (of varying complexity). Even within the community and public health interventions, however, there was a 200-fold difference between the most and least cost effective strategies examined. Likewise, several clinical interventions appeared among the strategies with the lowest average cost effectiveness ratios-for example, cataract surgeries.\n\nCONCLUSIONS: Wide variations in costs and effects exist within and across intervention categories. For every major disease area examined, at least some strategies p\u2026", "author" : [ { "dropping-particle" : "", "family" : "Salomon", "given" : "Joshua A", "non-dropping-particle" : "", "parse-names" : false, "suffix" : "" }, { "dropping-particle" : "", "family" : "Carvalho", "given" : "Natalie", "non-dropping-particle" : "", "parse-names" : false, "suffix" : "" }, { "dropping-particle" : "", "family" : "Guti\u00e9rrez-Delgado", "given" : "Cristina", "non-dropping-particle" : "", "parse-names" : false, "suffix" : "" }, { "dropping-particle" : "", "family" : "Orozco", "given" : "Ricardo", "non-dropping-particle" : "", "parse-names" : false, "suffix" : "" }, { "dropping-particle" : "", "family" : "Mancuso", "given" : "Anna", "non-dropping-particle" : "", "parse-names" : false, "suffix" : "" }, { "dropping-particle" : "", "family" : "Hogan", "given" : "Daniel R", "non-dropping-particle" : "", "parse-names" : false, "suffix" : "" }, { "dropping-particle" : "", "family" : "Lee", "given" : "Diana", "non-dropping-particle" : "", "parse-names" : false, "suffix" : "" }, { "dropping-particle" : "", "family" : "Murakami", "given" : "Yuki", "non-dropping-particle" : "", "parse-names" : false, "suffix" : "" }, { "dropping-particle" : "", "family" : "Sridharan", "given" : "Lakshmi", "non-dropping-particle" : "", "parse-names" : false, "suffix" : "" }, { "dropping-particle" : "", "family" : "Medina-Mora", "given" : "Mar\u00eda Elena", "non-dropping-particle" : "", "parse-names" : false, "suffix" : "" }, { "dropping-particle" : "", "family" : "Gonz\u00e1lez-Pier", "given" : "Eduardo", "non-dropping-particle" : "", "parse-names" : false, "suffix" : "" } ], "container-title" : "BMJ (Clinical research ed.)", "id" : "ITEM-1", "issue" : "mar02_1", "issued" : { "date-parts" : [ [ "2012", "1", "2" ] ] }, "page" : "e355", "title" : "Intervention strategies to reduce the burden of non-communicable diseases in Mexico: cost effectiveness analysis.", "type" : "article-journal", "volume" : "344" }, "uris" : [ "http://www.mendeley.com/documents/?uuid=b65f8e93-ffb6-479f-a2d9-ee62f2c1ab4c" ] } ], "mendeley" : { "formattedCitation" : "(Salomon et al. 2012)", "plainTextFormattedCitation" : "(Salomon et al. 2012)", "previouslyFormattedCitation" : "(Salomon et al. 2012)" }, "properties" : { "noteIndex" : 0 }, "schema" : "https://github.com/citation-style-language/schema/raw/master/csl-citation.json" }</w:instrText>
            </w:r>
            <w:r w:rsidRPr="00FE26CF">
              <w:rPr>
                <w:rFonts w:eastAsia="Times New Roman" w:cs="Arial"/>
                <w:sz w:val="16"/>
                <w:szCs w:val="16"/>
                <w:lang w:val="es-ES"/>
              </w:rPr>
              <w:fldChar w:fldCharType="separate"/>
            </w:r>
            <w:r w:rsidRPr="00FE26CF">
              <w:rPr>
                <w:rFonts w:eastAsia="Times New Roman" w:cs="Arial"/>
                <w:noProof/>
                <w:color w:val="auto"/>
                <w:sz w:val="16"/>
                <w:szCs w:val="16"/>
                <w:lang w:val="es-ES"/>
              </w:rPr>
              <w:t>(Salomon et al. 2012)</w:t>
            </w:r>
            <w:r w:rsidRPr="00FE26CF">
              <w:rPr>
                <w:rFonts w:eastAsia="Times New Roman" w:cs="Arial"/>
                <w:sz w:val="16"/>
                <w:szCs w:val="16"/>
                <w:lang w:val="es-ES"/>
              </w:rPr>
              <w:fldChar w:fldCharType="end"/>
            </w:r>
          </w:p>
        </w:tc>
      </w:tr>
      <w:tr w:rsidR="009E4400" w:rsidRPr="00FE26CF" w:rsidTr="000D3F77">
        <w:trPr>
          <w:trHeight w:val="280"/>
        </w:trPr>
        <w:tc>
          <w:tcPr>
            <w:cnfStyle w:val="001000000000" w:firstRow="0" w:lastRow="0" w:firstColumn="1" w:lastColumn="0" w:oddVBand="0" w:evenVBand="0" w:oddHBand="0" w:evenHBand="0" w:firstRowFirstColumn="0" w:firstRowLastColumn="0" w:lastRowFirstColumn="0" w:lastRowLastColumn="0"/>
            <w:tcW w:w="0" w:type="auto"/>
            <w:hideMark/>
          </w:tcPr>
          <w:p w:rsidR="009E4400" w:rsidRPr="00FE26CF" w:rsidRDefault="009E4400" w:rsidP="00805ED8">
            <w:pPr>
              <w:spacing w:after="0" w:line="240" w:lineRule="auto"/>
              <w:rPr>
                <w:rFonts w:eastAsia="Times New Roman" w:cs="Arial"/>
                <w:b w:val="0"/>
                <w:bCs w:val="0"/>
                <w:color w:val="auto"/>
                <w:sz w:val="16"/>
                <w:szCs w:val="16"/>
                <w:lang w:val="es-ES"/>
              </w:rPr>
            </w:pPr>
            <w:r w:rsidRPr="00FE26CF">
              <w:rPr>
                <w:rFonts w:eastAsia="Times New Roman" w:cs="Arial"/>
                <w:b w:val="0"/>
                <w:bCs w:val="0"/>
                <w:color w:val="auto"/>
                <w:sz w:val="16"/>
                <w:szCs w:val="16"/>
                <w:lang w:val="es-ES"/>
              </w:rPr>
              <w:t>Detección y manejo HTA</w:t>
            </w:r>
          </w:p>
        </w:tc>
        <w:tc>
          <w:tcPr>
            <w:tcW w:w="0" w:type="auto"/>
            <w:hideMark/>
          </w:tcPr>
          <w:p w:rsidR="009E4400" w:rsidRPr="00FE26CF" w:rsidRDefault="009E4400" w:rsidP="00805ED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Tratamiento estándar con B bloqueador o diurético</w:t>
            </w:r>
          </w:p>
        </w:tc>
        <w:tc>
          <w:tcPr>
            <w:tcW w:w="0" w:type="auto"/>
            <w:hideMark/>
          </w:tcPr>
          <w:p w:rsidR="009E4400" w:rsidRPr="00FE26CF" w:rsidRDefault="009E4400" w:rsidP="00805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470</w:t>
            </w:r>
          </w:p>
        </w:tc>
        <w:tc>
          <w:tcPr>
            <w:tcW w:w="0" w:type="auto"/>
            <w:hideMark/>
          </w:tcPr>
          <w:p w:rsidR="009E4400" w:rsidRPr="00FE26CF" w:rsidRDefault="009E4400" w:rsidP="00805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 </w:t>
            </w:r>
          </w:p>
        </w:tc>
        <w:tc>
          <w:tcPr>
            <w:tcW w:w="0" w:type="auto"/>
            <w:noWrap/>
            <w:hideMark/>
          </w:tcPr>
          <w:p w:rsidR="009E4400" w:rsidRPr="00FE26CF" w:rsidRDefault="009E4400" w:rsidP="00805ED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sz w:val="16"/>
                <w:szCs w:val="16"/>
                <w:lang w:val="es-ES"/>
              </w:rPr>
              <w:fldChar w:fldCharType="begin" w:fldLock="1"/>
            </w:r>
            <w:r w:rsidRPr="00FE26CF">
              <w:rPr>
                <w:rFonts w:eastAsia="Times New Roman" w:cs="Arial"/>
                <w:color w:val="auto"/>
                <w:sz w:val="16"/>
                <w:szCs w:val="16"/>
                <w:lang w:val="es-ES"/>
              </w:rPr>
              <w:instrText>ADDIN CSL_CITATION { "citationItems" : [ { "id" : "ITEM-1", "itemData" : { "DOI" : "10.1016/S0140-6736(03)12655-4", "ISSN" : "0140-6736", "PMID" : "12620735", "abstract" : "BACKGROUND: Cardiovascular disease accounts for much morbidity and mortality in developed countries and is becoming increasingly important in less developed regions. Systolic blood pressure above 115 mm Hg accounts for two-thirds of strokes and almost half of ischaemic heart disease cases, and cholesterol concentrations exceeding 3.8 mmol/L for 18% and 55%, respectively. We report estimates of the population health effects, and costs of selected interventions to reduce the risks associated with high cholesterol concentrations and blood pressure in areas of the world with differing epidemiological profiles. METHODS: Effect sizes were derived from systematic reviews or meta-analyses, and the effect on health outcomes projected over time for populations with differing age, sex, and epidemiological profiles. Incidence data from estimates of burden of disease were used in a four-state longitudinal population model to calculate disability-adjusted life years (DALYs) averted and patients treated. Costs were taken from previous publications, or estimated by local experts, in 14 regions. FINDINGS: Non-personal health interventions, including government action to stimulate a reduction in the salt content of processed foods, are cost-effective ways to limit cardiovascular disease and could avert over 21 million DALYs per year worldwide. Combination treatment for people whose risk of a cardiovascular event over the next 10 years is above 35% is also cost effective leading to substantial additional health benefits by averting an additional 63 million DALYs per year worldwide. INTERPRETATION: The combination of personal and non-personal health interventions evaluated here could lower the global incidence of cardiovascular events by as much as 50%.", "author" : [ { "dropping-particle" : "", "family" : "Murray", "given" : "Christopher J L", "non-dropping-particle" : "", "parse-names" : false, "suffix" : "" }, { "dropping-particle" : "", "family" : "Lauer", "given" : "Jeremy A", "non-dropping-particle" : "", "parse-names" : false, "suffix" : "" }, { "dropping-particle" : "", "family" : "Hutubessy", "given" : "Raymond C W", "non-dropping-particle" : "", "parse-names" : false, "suffix" : "" }, { "dropping-particle" : "", "family" : "Niessen", "given" : "Louis", "non-dropping-particle" : "", "parse-names" : false, "suffix" : "" }, { "dropping-particle" : "", "family" : "Tomijima", "given" : "Niels", "non-dropping-particle" : "", "parse-names" : false, "suffix" : "" }, { "dropping-particle" : "", "family" : "Rodgers", "given" : "Anthony", "non-dropping-particle" : "", "parse-names" : false, "suffix" : "" }, { "dropping-particle" : "", "family" : "Lawes", "given" : "Carlene M M", "non-dropping-particle" : "", "parse-names" : false, "suffix" : "" }, { "dropping-particle" : "", "family" : "Evans", "given" : "David B", "non-dropping-particle" : "", "parse-names" : false, "suffix" : "" } ], "container-title" : "Lancet", "id" : "ITEM-1", "issue" : "9359", "issued" : { "date-parts" : [ [ "2003", "3", "1" ] ] }, "page" : "717-25", "title" : "Effectiveness and costs of interventions to lower systolic blood pressure and cholesterol: a global and regional analysis on reduction of cardiovascular-disease risk.", "type" : "article-journal", "volume" : "361" }, "uris" : [ "http://www.mendeley.com/documents/?uuid=db047832-667f-4b85-b317-4961302960e1" ] } ], "mendeley" : { "formattedCitation" : "(Murray et al. 2003)", "plainTextFormattedCitation" : "(Murray et al. 2003)", "previouslyFormattedCitation" : "(Murray et al. 2003)" }, "properties" : { "noteIndex" : 0 }, "schema" : "https://github.com/citation-style-language/schema/raw/master/csl-citation.json" }</w:instrText>
            </w:r>
            <w:r w:rsidRPr="00FE26CF">
              <w:rPr>
                <w:rFonts w:eastAsia="Times New Roman" w:cs="Arial"/>
                <w:sz w:val="16"/>
                <w:szCs w:val="16"/>
                <w:lang w:val="es-ES"/>
              </w:rPr>
              <w:fldChar w:fldCharType="separate"/>
            </w:r>
            <w:r w:rsidRPr="00FE26CF">
              <w:rPr>
                <w:rFonts w:eastAsia="Times New Roman" w:cs="Arial"/>
                <w:noProof/>
                <w:color w:val="auto"/>
                <w:sz w:val="16"/>
                <w:szCs w:val="16"/>
                <w:lang w:val="es-ES"/>
              </w:rPr>
              <w:t>(Murray et al. 2003)</w:t>
            </w:r>
            <w:r w:rsidRPr="00FE26CF">
              <w:rPr>
                <w:rFonts w:eastAsia="Times New Roman" w:cs="Arial"/>
                <w:sz w:val="16"/>
                <w:szCs w:val="16"/>
                <w:lang w:val="es-ES"/>
              </w:rPr>
              <w:fldChar w:fldCharType="end"/>
            </w:r>
            <w:r w:rsidRPr="00FE26CF">
              <w:rPr>
                <w:rFonts w:eastAsia="Times New Roman" w:cs="Arial"/>
                <w:color w:val="auto"/>
                <w:sz w:val="16"/>
                <w:szCs w:val="16"/>
                <w:lang w:val="es-ES"/>
              </w:rPr>
              <w:t>M</w:t>
            </w:r>
          </w:p>
        </w:tc>
      </w:tr>
      <w:tr w:rsidR="009E4400" w:rsidRPr="00FE26CF" w:rsidTr="000D3F77">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0" w:type="auto"/>
            <w:hideMark/>
          </w:tcPr>
          <w:p w:rsidR="009E4400" w:rsidRPr="00FE26CF" w:rsidRDefault="009E4400" w:rsidP="00805ED8">
            <w:pPr>
              <w:spacing w:after="0" w:line="240" w:lineRule="auto"/>
              <w:rPr>
                <w:rFonts w:eastAsia="Times New Roman" w:cs="Arial"/>
                <w:b w:val="0"/>
                <w:bCs w:val="0"/>
                <w:color w:val="auto"/>
                <w:sz w:val="16"/>
                <w:szCs w:val="16"/>
                <w:lang w:val="es-ES"/>
              </w:rPr>
            </w:pPr>
            <w:r w:rsidRPr="00FE26CF">
              <w:rPr>
                <w:rFonts w:eastAsia="Times New Roman" w:cs="Arial"/>
                <w:b w:val="0"/>
                <w:bCs w:val="0"/>
                <w:color w:val="auto"/>
                <w:sz w:val="16"/>
                <w:szCs w:val="16"/>
                <w:lang w:val="es-ES"/>
              </w:rPr>
              <w:t>Insuficiencia cardíaca congestiva</w:t>
            </w:r>
          </w:p>
        </w:tc>
        <w:tc>
          <w:tcPr>
            <w:tcW w:w="0" w:type="auto"/>
            <w:hideMark/>
          </w:tcPr>
          <w:p w:rsidR="009E4400" w:rsidRPr="00FE26CF" w:rsidRDefault="009E4400" w:rsidP="00805ED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Inhibidor de la ECA</w:t>
            </w:r>
          </w:p>
        </w:tc>
        <w:tc>
          <w:tcPr>
            <w:tcW w:w="0" w:type="auto"/>
            <w:hideMark/>
          </w:tcPr>
          <w:p w:rsidR="009E4400" w:rsidRPr="00FE26CF" w:rsidRDefault="009E4400" w:rsidP="00805E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52</w:t>
            </w:r>
          </w:p>
        </w:tc>
        <w:tc>
          <w:tcPr>
            <w:tcW w:w="0" w:type="auto"/>
            <w:hideMark/>
          </w:tcPr>
          <w:p w:rsidR="009E4400" w:rsidRPr="00FE26CF" w:rsidRDefault="009E4400" w:rsidP="00805E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 </w:t>
            </w:r>
          </w:p>
        </w:tc>
        <w:tc>
          <w:tcPr>
            <w:tcW w:w="0" w:type="auto"/>
            <w:noWrap/>
            <w:hideMark/>
          </w:tcPr>
          <w:p w:rsidR="009E4400" w:rsidRPr="00FE26CF" w:rsidRDefault="009E4400" w:rsidP="00805ED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sz w:val="16"/>
                <w:szCs w:val="16"/>
                <w:lang w:val="es-ES"/>
              </w:rPr>
              <w:fldChar w:fldCharType="begin" w:fldLock="1"/>
            </w:r>
            <w:r w:rsidRPr="00FE26CF">
              <w:rPr>
                <w:rFonts w:eastAsia="Times New Roman" w:cs="Arial"/>
                <w:color w:val="auto"/>
                <w:sz w:val="16"/>
                <w:szCs w:val="16"/>
                <w:lang w:val="es-ES"/>
              </w:rPr>
              <w:instrText>ADDIN CSL_CITATION { "citationItems" : [ { "id" : "ITEM-1", "itemData" : { "DOI" : "10.1136/bmj.e355", "ISSN" : "1756-1833", "PMID" : "22389335", "abstract" : "OBJECTIVE: To inform decision making regarding intervention strategies against non-communicable diseases in Mexico, in the context of health reform.\n\nDESIGN: Cost effectiveness analysis based on epidemiological modelling.\n\nINTERVENTIONS: 101 intervention strategies relating to nine major clusters of non-communicable disease: depression, heavy alcohol use, tobacco use, cataracts, breast cancer, cervical cancer, chronic obstructive pulmonary disease, cardiovascular disease, and diabetes.\n\nDATA SOURCES: Mexican data sources were used for most key input parameters, including administrative registries; disease burden and population estimates; household surveys; and drug price databases. These sources were supplemented as needed with estimates for Mexico from the WHO-CHOICE unit cost database or with estimates extrapolated from the published literature.\n\nMAIN OUTCOME MEASURES: Population health outcomes, measured in disability adjusted life years (DALYs); costs in 2005 international dollars ($Int); and costs per DALY.\n\nRESULTS: Across 101 intervention strategies examined in this study, average yearly costs at the population level would range from around \u2264$Int1m (such as for cataract surgeries) to &gt;$Int1bn for certain strategies for primary prevention in cardiovascular disease. Wide variation also appeared in total population health benefits, from &lt;1000 DALYs averted a year (for some components of cancer treatments or aspirin for acute ischaemic stroke) to &gt;300,000 averted DALYs (for aggressive combinations of interventions to deal with alcohol use or cardiovascular risks). Interventions in this study spanned a wide range of average cost effectiveness ratios, differing by more than three orders of magnitude between the lowest and highest ratios. Overall, community and public health interventions such as non-personal interventions for alcohol use, tobacco use, and cardiovascular risks tended to have lower cost effectiveness ratios than many clinical interventions (of varying complexity). Even within the community and public health interventions, however, there was a 200-fold difference between the most and least cost effective strategies examined. Likewise, several clinical interventions appeared among the strategies with the lowest average cost effectiveness ratios-for example, cataract surgeries.\n\nCONCLUSIONS: Wide variations in costs and effects exist within and across intervention categories. For every major disease area examined, at least some strategies p\u2026", "author" : [ { "dropping-particle" : "", "family" : "Salomon", "given" : "Joshua A", "non-dropping-particle" : "", "parse-names" : false, "suffix" : "" }, { "dropping-particle" : "", "family" : "Carvalho", "given" : "Natalie", "non-dropping-particle" : "", "parse-names" : false, "suffix" : "" }, { "dropping-particle" : "", "family" : "Guti\u00e9rrez-Delgado", "given" : "Cristina", "non-dropping-particle" : "", "parse-names" : false, "suffix" : "" }, { "dropping-particle" : "", "family" : "Orozco", "given" : "Ricardo", "non-dropping-particle" : "", "parse-names" : false, "suffix" : "" }, { "dropping-particle" : "", "family" : "Mancuso", "given" : "Anna", "non-dropping-particle" : "", "parse-names" : false, "suffix" : "" }, { "dropping-particle" : "", "family" : "Hogan", "given" : "Daniel R", "non-dropping-particle" : "", "parse-names" : false, "suffix" : "" }, { "dropping-particle" : "", "family" : "Lee", "given" : "Diana", "non-dropping-particle" : "", "parse-names" : false, "suffix" : "" }, { "dropping-particle" : "", "family" : "Murakami", "given" : "Yuki", "non-dropping-particle" : "", "parse-names" : false, "suffix" : "" }, { "dropping-particle" : "", "family" : "Sridharan", "given" : "Lakshmi", "non-dropping-particle" : "", "parse-names" : false, "suffix" : "" }, { "dropping-particle" : "", "family" : "Medina-Mora", "given" : "Mar\u00eda Elena", "non-dropping-particle" : "", "parse-names" : false, "suffix" : "" }, { "dropping-particle" : "", "family" : "Gonz\u00e1lez-Pier", "given" : "Eduardo", "non-dropping-particle" : "", "parse-names" : false, "suffix" : "" } ], "container-title" : "BMJ (Clinical research ed.)", "id" : "ITEM-1", "issue" : "mar02_1", "issued" : { "date-parts" : [ [ "2012", "1", "2" ] ] }, "page" : "e355", "title" : "Intervention strategies to reduce the burden of non-communicable diseases in Mexico: cost effectiveness analysis.", "type" : "article-journal", "volume" : "344" }, "uris" : [ "http://www.mendeley.com/documents/?uuid=b65f8e93-ffb6-479f-a2d9-ee62f2c1ab4c" ] } ], "mendeley" : { "formattedCitation" : "(Salomon et al. 2012)", "plainTextFormattedCitation" : "(Salomon et al. 2012)", "previouslyFormattedCitation" : "(Salomon et al. 2012)" }, "properties" : { "noteIndex" : 0 }, "schema" : "https://github.com/citation-style-language/schema/raw/master/csl-citation.json" }</w:instrText>
            </w:r>
            <w:r w:rsidRPr="00FE26CF">
              <w:rPr>
                <w:rFonts w:eastAsia="Times New Roman" w:cs="Arial"/>
                <w:sz w:val="16"/>
                <w:szCs w:val="16"/>
                <w:lang w:val="es-ES"/>
              </w:rPr>
              <w:fldChar w:fldCharType="separate"/>
            </w:r>
            <w:r w:rsidRPr="00FE26CF">
              <w:rPr>
                <w:rFonts w:eastAsia="Times New Roman" w:cs="Arial"/>
                <w:noProof/>
                <w:color w:val="auto"/>
                <w:sz w:val="16"/>
                <w:szCs w:val="16"/>
                <w:lang w:val="es-ES"/>
              </w:rPr>
              <w:t>(Salomon et al. 2012)</w:t>
            </w:r>
            <w:r w:rsidRPr="00FE26CF">
              <w:rPr>
                <w:rFonts w:eastAsia="Times New Roman" w:cs="Arial"/>
                <w:sz w:val="16"/>
                <w:szCs w:val="16"/>
                <w:lang w:val="es-ES"/>
              </w:rPr>
              <w:fldChar w:fldCharType="end"/>
            </w:r>
          </w:p>
        </w:tc>
      </w:tr>
      <w:tr w:rsidR="009E4400" w:rsidRPr="00FE26CF" w:rsidTr="000D3F77">
        <w:trPr>
          <w:trHeight w:val="280"/>
        </w:trPr>
        <w:tc>
          <w:tcPr>
            <w:cnfStyle w:val="001000000000" w:firstRow="0" w:lastRow="0" w:firstColumn="1" w:lastColumn="0" w:oddVBand="0" w:evenVBand="0" w:oddHBand="0" w:evenHBand="0" w:firstRowFirstColumn="0" w:firstRowLastColumn="0" w:lastRowFirstColumn="0" w:lastRowLastColumn="0"/>
            <w:tcW w:w="0" w:type="auto"/>
            <w:hideMark/>
          </w:tcPr>
          <w:p w:rsidR="009E4400" w:rsidRPr="00FE26CF" w:rsidRDefault="009E4400" w:rsidP="00805ED8">
            <w:pPr>
              <w:spacing w:after="0" w:line="240" w:lineRule="auto"/>
              <w:rPr>
                <w:rFonts w:eastAsia="Times New Roman" w:cs="Arial"/>
                <w:b w:val="0"/>
                <w:bCs w:val="0"/>
                <w:color w:val="auto"/>
                <w:sz w:val="16"/>
                <w:szCs w:val="16"/>
                <w:lang w:val="es-ES"/>
              </w:rPr>
            </w:pPr>
            <w:r w:rsidRPr="00FE26CF">
              <w:rPr>
                <w:rFonts w:eastAsia="Times New Roman" w:cs="Arial"/>
                <w:b w:val="0"/>
                <w:bCs w:val="0"/>
                <w:color w:val="auto"/>
                <w:sz w:val="16"/>
                <w:szCs w:val="16"/>
                <w:lang w:val="es-ES"/>
              </w:rPr>
              <w:t> </w:t>
            </w:r>
          </w:p>
        </w:tc>
        <w:tc>
          <w:tcPr>
            <w:tcW w:w="0" w:type="auto"/>
            <w:hideMark/>
          </w:tcPr>
          <w:p w:rsidR="009E4400" w:rsidRPr="00FE26CF" w:rsidRDefault="009E4400" w:rsidP="00805ED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Entrenamiento ejercicio</w:t>
            </w:r>
          </w:p>
        </w:tc>
        <w:tc>
          <w:tcPr>
            <w:tcW w:w="0" w:type="auto"/>
            <w:hideMark/>
          </w:tcPr>
          <w:p w:rsidR="009E4400" w:rsidRPr="00FE26CF" w:rsidRDefault="009E4400" w:rsidP="00805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 </w:t>
            </w:r>
          </w:p>
        </w:tc>
        <w:tc>
          <w:tcPr>
            <w:tcW w:w="0" w:type="auto"/>
            <w:hideMark/>
          </w:tcPr>
          <w:p w:rsidR="009E4400" w:rsidRPr="00FE26CF" w:rsidRDefault="009E4400" w:rsidP="00805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176</w:t>
            </w:r>
          </w:p>
        </w:tc>
        <w:tc>
          <w:tcPr>
            <w:tcW w:w="0" w:type="auto"/>
            <w:noWrap/>
            <w:hideMark/>
          </w:tcPr>
          <w:p w:rsidR="009E4400" w:rsidRPr="00FE26CF" w:rsidRDefault="009E4400" w:rsidP="00805ED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sz w:val="16"/>
                <w:szCs w:val="16"/>
                <w:lang w:val="es-ES"/>
              </w:rPr>
              <w:fldChar w:fldCharType="begin" w:fldLock="1"/>
            </w:r>
            <w:r w:rsidRPr="00FE26CF">
              <w:rPr>
                <w:rFonts w:eastAsia="Times New Roman" w:cs="Arial"/>
                <w:color w:val="auto"/>
                <w:sz w:val="16"/>
                <w:szCs w:val="16"/>
                <w:lang w:val="es-ES"/>
              </w:rPr>
              <w:instrText>ADDIN CSL_CITATION { "citationItems" : [ { "id" : "ITEM-1", "itemData" : { "DOI" : "10.1136/bmj.e355", "ISSN" : "1756-1833", "PMID" : "22389335", "abstract" : "OBJECTIVE: To inform decision making regarding intervention strategies against non-communicable diseases in Mexico, in the context of health reform.\n\nDESIGN: Cost effectiveness analysis based on epidemiological modelling.\n\nINTERVENTIONS: 101 intervention strategies relating to nine major clusters of non-communicable disease: depression, heavy alcohol use, tobacco use, cataracts, breast cancer, cervical cancer, chronic obstructive pulmonary disease, cardiovascular disease, and diabetes.\n\nDATA SOURCES: Mexican data sources were used for most key input parameters, including administrative registries; disease burden and population estimates; household surveys; and drug price databases. These sources were supplemented as needed with estimates for Mexico from the WHO-CHOICE unit cost database or with estimates extrapolated from the published literature.\n\nMAIN OUTCOME MEASURES: Population health outcomes, measured in disability adjusted life years (DALYs); costs in 2005 international dollars ($Int); and costs per DALY.\n\nRESULTS: Across 101 intervention strategies examined in this study, average yearly costs at the population level would range from around \u2264$Int1m (such as for cataract surgeries) to &gt;$Int1bn for certain strategies for primary prevention in cardiovascular disease. Wide variation also appeared in total population health benefits, from &lt;1000 DALYs averted a year (for some components of cancer treatments or aspirin for acute ischaemic stroke) to &gt;300,000 averted DALYs (for aggressive combinations of interventions to deal with alcohol use or cardiovascular risks). Interventions in this study spanned a wide range of average cost effectiveness ratios, differing by more than three orders of magnitude between the lowest and highest ratios. Overall, community and public health interventions such as non-personal interventions for alcohol use, tobacco use, and cardiovascular risks tended to have lower cost effectiveness ratios than many clinical interventions (of varying complexity). Even within the community and public health interventions, however, there was a 200-fold difference between the most and least cost effective strategies examined. Likewise, several clinical interventions appeared among the strategies with the lowest average cost effectiveness ratios-for example, cataract surgeries.\n\nCONCLUSIONS: Wide variations in costs and effects exist within and across intervention categories. For every major disease area examined, at least some strategies p\u2026", "author" : [ { "dropping-particle" : "", "family" : "Salomon", "given" : "Joshua A", "non-dropping-particle" : "", "parse-names" : false, "suffix" : "" }, { "dropping-particle" : "", "family" : "Carvalho", "given" : "Natalie", "non-dropping-particle" : "", "parse-names" : false, "suffix" : "" }, { "dropping-particle" : "", "family" : "Guti\u00e9rrez-Delgado", "given" : "Cristina", "non-dropping-particle" : "", "parse-names" : false, "suffix" : "" }, { "dropping-particle" : "", "family" : "Orozco", "given" : "Ricardo", "non-dropping-particle" : "", "parse-names" : false, "suffix" : "" }, { "dropping-particle" : "", "family" : "Mancuso", "given" : "Anna", "non-dropping-particle" : "", "parse-names" : false, "suffix" : "" }, { "dropping-particle" : "", "family" : "Hogan", "given" : "Daniel R", "non-dropping-particle" : "", "parse-names" : false, "suffix" : "" }, { "dropping-particle" : "", "family" : "Lee", "given" : "Diana", "non-dropping-particle" : "", "parse-names" : false, "suffix" : "" }, { "dropping-particle" : "", "family" : "Murakami", "given" : "Yuki", "non-dropping-particle" : "", "parse-names" : false, "suffix" : "" }, { "dropping-particle" : "", "family" : "Sridharan", "given" : "Lakshmi", "non-dropping-particle" : "", "parse-names" : false, "suffix" : "" }, { "dropping-particle" : "", "family" : "Medina-Mora", "given" : "Mar\u00eda Elena", "non-dropping-particle" : "", "parse-names" : false, "suffix" : "" }, { "dropping-particle" : "", "family" : "Gonz\u00e1lez-Pier", "given" : "Eduardo", "non-dropping-particle" : "", "parse-names" : false, "suffix" : "" } ], "container-title" : "BMJ (Clinical research ed.)", "id" : "ITEM-1", "issue" : "mar02_1", "issued" : { "date-parts" : [ [ "2012", "1", "2" ] ] }, "page" : "e355", "title" : "Intervention strategies to reduce the burden of non-communicable diseases in Mexico: cost effectiveness analysis.", "type" : "article-journal", "volume" : "344" }, "uris" : [ "http://www.mendeley.com/documents/?uuid=b65f8e93-ffb6-479f-a2d9-ee62f2c1ab4c" ] } ], "mendeley" : { "formattedCitation" : "(Salomon et al. 2012)", "plainTextFormattedCitation" : "(Salomon et al. 2012)", "previouslyFormattedCitation" : "(Salomon et al. 2012)" }, "properties" : { "noteIndex" : 0 }, "schema" : "https://github.com/citation-style-language/schema/raw/master/csl-citation.json" }</w:instrText>
            </w:r>
            <w:r w:rsidRPr="00FE26CF">
              <w:rPr>
                <w:rFonts w:eastAsia="Times New Roman" w:cs="Arial"/>
                <w:sz w:val="16"/>
                <w:szCs w:val="16"/>
                <w:lang w:val="es-ES"/>
              </w:rPr>
              <w:fldChar w:fldCharType="separate"/>
            </w:r>
            <w:r w:rsidRPr="00FE26CF">
              <w:rPr>
                <w:rFonts w:eastAsia="Times New Roman" w:cs="Arial"/>
                <w:noProof/>
                <w:color w:val="auto"/>
                <w:sz w:val="16"/>
                <w:szCs w:val="16"/>
                <w:lang w:val="es-ES"/>
              </w:rPr>
              <w:t>(Salomon et al. 2012)</w:t>
            </w:r>
            <w:r w:rsidRPr="00FE26CF">
              <w:rPr>
                <w:rFonts w:eastAsia="Times New Roman" w:cs="Arial"/>
                <w:sz w:val="16"/>
                <w:szCs w:val="16"/>
                <w:lang w:val="es-ES"/>
              </w:rPr>
              <w:fldChar w:fldCharType="end"/>
            </w:r>
          </w:p>
        </w:tc>
      </w:tr>
      <w:tr w:rsidR="009E4400" w:rsidRPr="00FE26CF" w:rsidTr="000D3F7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hideMark/>
          </w:tcPr>
          <w:p w:rsidR="009E4400" w:rsidRPr="00FE26CF" w:rsidRDefault="009E4400" w:rsidP="00805ED8">
            <w:pPr>
              <w:spacing w:after="0" w:line="240" w:lineRule="auto"/>
              <w:rPr>
                <w:rFonts w:eastAsia="Times New Roman" w:cs="Arial"/>
                <w:b w:val="0"/>
                <w:bCs w:val="0"/>
                <w:color w:val="auto"/>
                <w:sz w:val="16"/>
                <w:szCs w:val="16"/>
                <w:lang w:val="es-ES"/>
              </w:rPr>
            </w:pPr>
            <w:r w:rsidRPr="00FE26CF">
              <w:rPr>
                <w:rFonts w:eastAsia="Times New Roman" w:cs="Arial"/>
                <w:b w:val="0"/>
                <w:bCs w:val="0"/>
                <w:color w:val="auto"/>
                <w:sz w:val="16"/>
                <w:szCs w:val="16"/>
                <w:lang w:val="es-ES"/>
              </w:rPr>
              <w:t> </w:t>
            </w:r>
          </w:p>
        </w:tc>
        <w:tc>
          <w:tcPr>
            <w:tcW w:w="0" w:type="auto"/>
            <w:hideMark/>
          </w:tcPr>
          <w:p w:rsidR="009E4400" w:rsidRPr="00FE26CF" w:rsidRDefault="009E4400" w:rsidP="00805ED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Diurético</w:t>
            </w:r>
          </w:p>
        </w:tc>
        <w:tc>
          <w:tcPr>
            <w:tcW w:w="0" w:type="auto"/>
            <w:hideMark/>
          </w:tcPr>
          <w:p w:rsidR="009E4400" w:rsidRPr="00FE26CF" w:rsidRDefault="009E4400" w:rsidP="00805E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392</w:t>
            </w:r>
          </w:p>
        </w:tc>
        <w:tc>
          <w:tcPr>
            <w:tcW w:w="0" w:type="auto"/>
            <w:hideMark/>
          </w:tcPr>
          <w:p w:rsidR="009E4400" w:rsidRPr="00FE26CF" w:rsidRDefault="009E4400" w:rsidP="00805E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 </w:t>
            </w:r>
          </w:p>
        </w:tc>
        <w:tc>
          <w:tcPr>
            <w:tcW w:w="0" w:type="auto"/>
            <w:noWrap/>
            <w:hideMark/>
          </w:tcPr>
          <w:p w:rsidR="009E4400" w:rsidRPr="00FE26CF" w:rsidRDefault="009E4400" w:rsidP="00805ED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sz w:val="16"/>
                <w:szCs w:val="16"/>
                <w:lang w:val="es-ES"/>
              </w:rPr>
              <w:fldChar w:fldCharType="begin" w:fldLock="1"/>
            </w:r>
            <w:r w:rsidRPr="00FE26CF">
              <w:rPr>
                <w:rFonts w:eastAsia="Times New Roman" w:cs="Arial"/>
                <w:color w:val="auto"/>
                <w:sz w:val="16"/>
                <w:szCs w:val="16"/>
                <w:lang w:val="es-ES"/>
              </w:rPr>
              <w:instrText>ADDIN CSL_CITATION { "citationItems" : [ { "id" : "ITEM-1", "itemData" : { "DOI" : "10.1136/bmj.e355", "ISSN" : "1756-1833", "PMID" : "22389335", "abstract" : "OBJECTIVE: To inform decision making regarding intervention strategies against non-communicable diseases in Mexico, in the context of health reform.\n\nDESIGN: Cost effectiveness analysis based on epidemiological modelling.\n\nINTERVENTIONS: 101 intervention strategies relating to nine major clusters of non-communicable disease: depression, heavy alcohol use, tobacco use, cataracts, breast cancer, cervical cancer, chronic obstructive pulmonary disease, cardiovascular disease, and diabetes.\n\nDATA SOURCES: Mexican data sources were used for most key input parameters, including administrative registries; disease burden and population estimates; household surveys; and drug price databases. These sources were supplemented as needed with estimates for Mexico from the WHO-CHOICE unit cost database or with estimates extrapolated from the published literature.\n\nMAIN OUTCOME MEASURES: Population health outcomes, measured in disability adjusted life years (DALYs); costs in 2005 international dollars ($Int); and costs per DALY.\n\nRESULTS: Across 101 intervention strategies examined in this study, average yearly costs at the population level would range from around \u2264$Int1m (such as for cataract surgeries) to &gt;$Int1bn for certain strategies for primary prevention in cardiovascular disease. Wide variation also appeared in total population health benefits, from &lt;1000 DALYs averted a year (for some components of cancer treatments or aspirin for acute ischaemic stroke) to &gt;300,000 averted DALYs (for aggressive combinations of interventions to deal with alcohol use or cardiovascular risks). Interventions in this study spanned a wide range of average cost effectiveness ratios, differing by more than three orders of magnitude between the lowest and highest ratios. Overall, community and public health interventions such as non-personal interventions for alcohol use, tobacco use, and cardiovascular risks tended to have lower cost effectiveness ratios than many clinical interventions (of varying complexity). Even within the community and public health interventions, however, there was a 200-fold difference between the most and least cost effective strategies examined. Likewise, several clinical interventions appeared among the strategies with the lowest average cost effectiveness ratios-for example, cataract surgeries.\n\nCONCLUSIONS: Wide variations in costs and effects exist within and across intervention categories. For every major disease area examined, at least some strategies p\u2026", "author" : [ { "dropping-particle" : "", "family" : "Salomon", "given" : "Joshua A", "non-dropping-particle" : "", "parse-names" : false, "suffix" : "" }, { "dropping-particle" : "", "family" : "Carvalho", "given" : "Natalie", "non-dropping-particle" : "", "parse-names" : false, "suffix" : "" }, { "dropping-particle" : "", "family" : "Guti\u00e9rrez-Delgado", "given" : "Cristina", "non-dropping-particle" : "", "parse-names" : false, "suffix" : "" }, { "dropping-particle" : "", "family" : "Orozco", "given" : "Ricardo", "non-dropping-particle" : "", "parse-names" : false, "suffix" : "" }, { "dropping-particle" : "", "family" : "Mancuso", "given" : "Anna", "non-dropping-particle" : "", "parse-names" : false, "suffix" : "" }, { "dropping-particle" : "", "family" : "Hogan", "given" : "Daniel R", "non-dropping-particle" : "", "parse-names" : false, "suffix" : "" }, { "dropping-particle" : "", "family" : "Lee", "given" : "Diana", "non-dropping-particle" : "", "parse-names" : false, "suffix" : "" }, { "dropping-particle" : "", "family" : "Murakami", "given" : "Yuki", "non-dropping-particle" : "", "parse-names" : false, "suffix" : "" }, { "dropping-particle" : "", "family" : "Sridharan", "given" : "Lakshmi", "non-dropping-particle" : "", "parse-names" : false, "suffix" : "" }, { "dropping-particle" : "", "family" : "Medina-Mora", "given" : "Mar\u00eda Elena", "non-dropping-particle" : "", "parse-names" : false, "suffix" : "" }, { "dropping-particle" : "", "family" : "Gonz\u00e1lez-Pier", "given" : "Eduardo", "non-dropping-particle" : "", "parse-names" : false, "suffix" : "" } ], "container-title" : "BMJ (Clinical research ed.)", "id" : "ITEM-1", "issue" : "mar02_1", "issued" : { "date-parts" : [ [ "2012", "1", "2" ] ] }, "page" : "e355", "title" : "Intervention strategies to reduce the burden of non-communicable diseases in Mexico: cost effectiveness analysis.", "type" : "article-journal", "volume" : "344" }, "uris" : [ "http://www.mendeley.com/documents/?uuid=b65f8e93-ffb6-479f-a2d9-ee62f2c1ab4c" ] } ], "mendeley" : { "formattedCitation" : "(Salomon et al. 2012)", "plainTextFormattedCitation" : "(Salomon et al. 2012)", "previouslyFormattedCitation" : "(Salomon et al. 2012)" }, "properties" : { "noteIndex" : 0 }, "schema" : "https://github.com/citation-style-language/schema/raw/master/csl-citation.json" }</w:instrText>
            </w:r>
            <w:r w:rsidRPr="00FE26CF">
              <w:rPr>
                <w:rFonts w:eastAsia="Times New Roman" w:cs="Arial"/>
                <w:sz w:val="16"/>
                <w:szCs w:val="16"/>
                <w:lang w:val="es-ES"/>
              </w:rPr>
              <w:fldChar w:fldCharType="separate"/>
            </w:r>
            <w:r w:rsidRPr="00FE26CF">
              <w:rPr>
                <w:rFonts w:eastAsia="Times New Roman" w:cs="Arial"/>
                <w:noProof/>
                <w:color w:val="auto"/>
                <w:sz w:val="16"/>
                <w:szCs w:val="16"/>
                <w:lang w:val="es-ES"/>
              </w:rPr>
              <w:t>(Salomon et al. 2012)</w:t>
            </w:r>
            <w:r w:rsidRPr="00FE26CF">
              <w:rPr>
                <w:rFonts w:eastAsia="Times New Roman" w:cs="Arial"/>
                <w:sz w:val="16"/>
                <w:szCs w:val="16"/>
                <w:lang w:val="es-ES"/>
              </w:rPr>
              <w:fldChar w:fldCharType="end"/>
            </w:r>
          </w:p>
        </w:tc>
      </w:tr>
      <w:tr w:rsidR="009E4400" w:rsidRPr="00E95B43" w:rsidTr="000D3F77">
        <w:trPr>
          <w:trHeight w:val="280"/>
        </w:trPr>
        <w:tc>
          <w:tcPr>
            <w:cnfStyle w:val="001000000000" w:firstRow="0" w:lastRow="0" w:firstColumn="1" w:lastColumn="0" w:oddVBand="0" w:evenVBand="0" w:oddHBand="0" w:evenHBand="0" w:firstRowFirstColumn="0" w:firstRowLastColumn="0" w:lastRowFirstColumn="0" w:lastRowLastColumn="0"/>
            <w:tcW w:w="0" w:type="auto"/>
            <w:hideMark/>
          </w:tcPr>
          <w:p w:rsidR="009E4400" w:rsidRPr="00FE26CF" w:rsidRDefault="009E4400" w:rsidP="00805ED8">
            <w:pPr>
              <w:spacing w:after="0" w:line="240" w:lineRule="auto"/>
              <w:rPr>
                <w:rFonts w:eastAsia="Times New Roman" w:cs="Arial"/>
                <w:b w:val="0"/>
                <w:bCs w:val="0"/>
                <w:color w:val="auto"/>
                <w:sz w:val="16"/>
                <w:szCs w:val="16"/>
                <w:lang w:val="es-ES"/>
              </w:rPr>
            </w:pPr>
            <w:r w:rsidRPr="00FE26CF">
              <w:rPr>
                <w:rFonts w:eastAsia="Times New Roman" w:cs="Arial"/>
                <w:b w:val="0"/>
                <w:bCs w:val="0"/>
                <w:color w:val="auto"/>
                <w:sz w:val="16"/>
                <w:szCs w:val="16"/>
                <w:lang w:val="es-ES"/>
              </w:rPr>
              <w:t> </w:t>
            </w:r>
          </w:p>
        </w:tc>
        <w:tc>
          <w:tcPr>
            <w:tcW w:w="0" w:type="auto"/>
            <w:hideMark/>
          </w:tcPr>
          <w:p w:rsidR="009E4400" w:rsidRPr="00FE26CF" w:rsidRDefault="009E4400" w:rsidP="00805ED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Todas las intervenciones para ICC</w:t>
            </w:r>
          </w:p>
        </w:tc>
        <w:tc>
          <w:tcPr>
            <w:tcW w:w="0" w:type="auto"/>
            <w:hideMark/>
          </w:tcPr>
          <w:p w:rsidR="009E4400" w:rsidRPr="00FE26CF" w:rsidRDefault="009E4400" w:rsidP="00805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 </w:t>
            </w:r>
          </w:p>
        </w:tc>
        <w:tc>
          <w:tcPr>
            <w:tcW w:w="0" w:type="auto"/>
            <w:hideMark/>
          </w:tcPr>
          <w:p w:rsidR="009E4400" w:rsidRPr="00FE26CF" w:rsidRDefault="009E4400" w:rsidP="00805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471</w:t>
            </w:r>
          </w:p>
        </w:tc>
        <w:tc>
          <w:tcPr>
            <w:tcW w:w="0" w:type="auto"/>
            <w:noWrap/>
            <w:hideMark/>
          </w:tcPr>
          <w:p w:rsidR="009E4400" w:rsidRPr="00FE26CF" w:rsidRDefault="009E4400" w:rsidP="00805ED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sz w:val="16"/>
                <w:szCs w:val="16"/>
                <w:lang w:val="es-ES"/>
              </w:rPr>
              <w:fldChar w:fldCharType="begin" w:fldLock="1"/>
            </w:r>
            <w:r w:rsidRPr="00FE26CF">
              <w:rPr>
                <w:rFonts w:eastAsia="Times New Roman" w:cs="Arial"/>
                <w:color w:val="auto"/>
                <w:sz w:val="16"/>
                <w:szCs w:val="16"/>
                <w:lang w:val="es-ES"/>
              </w:rPr>
              <w:instrText>ADDIN CSL_CITATION { "citationItems" : [ { "id" : "ITEM-1", "itemData" : { "DOI" : "10.1136/bmj.e355", "ISSN" : "1756-1833", "PMID" : "22389335", "abstract" : "OBJECTIVE: To inform decision making regarding intervention strategies against non-communicable diseases in Mexico, in the context of health reform.\n\nDESIGN: Cost effectiveness analysis based on epidemiological modelling.\n\nINTERVENTIONS: 101 intervention strategies relating to nine major clusters of non-communicable disease: depression, heavy alcohol use, tobacco use, cataracts, breast cancer, cervical cancer, chronic obstructive pulmonary disease, cardiovascular disease, and diabetes.\n\nDATA SOURCES: Mexican data sources were used for most key input parameters, including administrative registries; disease burden and population estimates; household surveys; and drug price databases. These sources were supplemented as needed with estimates for Mexico from the WHO-CHOICE unit cost database or with estimates extrapolated from the published literature.\n\nMAIN OUTCOME MEASURES: Population health outcomes, measured in disability adjusted life years (DALYs); costs in 2005 international dollars ($Int); and costs per DALY.\n\nRESULTS: Across 101 intervention strategies examined in this study, average yearly costs at the population level would range from around \u2264$Int1m (such as for cataract surgeries) to &gt;$Int1bn for certain strategies for primary prevention in cardiovascular disease. Wide variation also appeared in total population health benefits, from &lt;1000 DALYs averted a year (for some components of cancer treatments or aspirin for acute ischaemic stroke) to &gt;300,000 averted DALYs (for aggressive combinations of interventions to deal with alcohol use or cardiovascular risks). Interventions in this study spanned a wide range of average cost effectiveness ratios, differing by more than three orders of magnitude between the lowest and highest ratios. Overall, community and public health interventions such as non-personal interventions for alcohol use, tobacco use, and cardiovascular risks tended to have lower cost effectiveness ratios than many clinical interventions (of varying complexity). Even within the community and public health interventions, however, there was a 200-fold difference between the most and least cost effective strategies examined. Likewise, several clinical interventions appeared among the strategies with the lowest average cost effectiveness ratios-for example, cataract surgeries.\n\nCONCLUSIONS: Wide variations in costs and effects exist within and across intervention categories. For every major disease area examined, at least some strategies p\u2026", "author" : [ { "dropping-particle" : "", "family" : "Salomon", "given" : "Joshua A", "non-dropping-particle" : "", "parse-names" : false, "suffix" : "" }, { "dropping-particle" : "", "family" : "Carvalho", "given" : "Natalie", "non-dropping-particle" : "", "parse-names" : false, "suffix" : "" }, { "dropping-particle" : "", "family" : "Guti\u00e9rrez-Delgado", "given" : "Cristina", "non-dropping-particle" : "", "parse-names" : false, "suffix" : "" }, { "dropping-particle" : "", "family" : "Orozco", "given" : "Ricardo", "non-dropping-particle" : "", "parse-names" : false, "suffix" : "" }, { "dropping-particle" : "", "family" : "Mancuso", "given" : "Anna", "non-dropping-particle" : "", "parse-names" : false, "suffix" : "" }, { "dropping-particle" : "", "family" : "Hogan", "given" : "Daniel R", "non-dropping-particle" : "", "parse-names" : false, "suffix" : "" }, { "dropping-particle" : "", "family" : "Lee", "given" : "Diana", "non-dropping-particle" : "", "parse-names" : false, "suffix" : "" }, { "dropping-particle" : "", "family" : "Murakami", "given" : "Yuki", "non-dropping-particle" : "", "parse-names" : false, "suffix" : "" }, { "dropping-particle" : "", "family" : "Sridharan", "given" : "Lakshmi", "non-dropping-particle" : "", "parse-names" : false, "suffix" : "" }, { "dropping-particle" : "", "family" : "Medina-Mora", "given" : "Mar\u00eda Elena", "non-dropping-particle" : "", "parse-names" : false, "suffix" : "" }, { "dropping-particle" : "", "family" : "Gonz\u00e1lez-Pier", "given" : "Eduardo", "non-dropping-particle" : "", "parse-names" : false, "suffix" : "" } ], "container-title" : "BMJ (Clinical research ed.)", "id" : "ITEM-1", "issue" : "mar02_1", "issued" : { "date-parts" : [ [ "2012", "1", "2" ] ] }, "page" : "e355", "title" : "Intervention strategies to reduce the burden of non-communicable diseases in Mexico: cost effectiveness analysis.", "type" : "article-journal", "volume" : "344" }, "uris" : [ "http://www.mendeley.com/documents/?uuid=b65f8e93-ffb6-479f-a2d9-ee62f2c1ab4c" ] } ], "mendeley" : { "formattedCitation" : "(Salomon et al. 2012)", "plainTextFormattedCitation" : "(Salomon et al. 2012)", "previouslyFormattedCitation" : "(Salomon et al. 2012)" }, "properties" : { "noteIndex" : 0 }, "schema" : "https://github.com/citation-style-language/schema/raw/master/csl-citation.json" }</w:instrText>
            </w:r>
            <w:r w:rsidRPr="00FE26CF">
              <w:rPr>
                <w:rFonts w:eastAsia="Times New Roman" w:cs="Arial"/>
                <w:sz w:val="16"/>
                <w:szCs w:val="16"/>
                <w:lang w:val="es-ES"/>
              </w:rPr>
              <w:fldChar w:fldCharType="separate"/>
            </w:r>
            <w:r w:rsidRPr="00FE26CF">
              <w:rPr>
                <w:rFonts w:eastAsia="Times New Roman" w:cs="Arial"/>
                <w:noProof/>
                <w:color w:val="auto"/>
                <w:sz w:val="16"/>
                <w:szCs w:val="16"/>
                <w:lang w:val="es-ES"/>
              </w:rPr>
              <w:t>(Salomon et al. 2012)</w:t>
            </w:r>
            <w:r w:rsidRPr="00FE26CF">
              <w:rPr>
                <w:rFonts w:eastAsia="Times New Roman" w:cs="Arial"/>
                <w:sz w:val="16"/>
                <w:szCs w:val="16"/>
                <w:lang w:val="es-ES"/>
              </w:rPr>
              <w:fldChar w:fldCharType="end"/>
            </w:r>
          </w:p>
        </w:tc>
      </w:tr>
      <w:tr w:rsidR="009E4400" w:rsidRPr="00FE26CF" w:rsidTr="000D3F77">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0" w:type="auto"/>
            <w:hideMark/>
          </w:tcPr>
          <w:p w:rsidR="009E4400" w:rsidRPr="00FE26CF" w:rsidRDefault="009E4400" w:rsidP="00805ED8">
            <w:pPr>
              <w:spacing w:after="0" w:line="240" w:lineRule="auto"/>
              <w:rPr>
                <w:rFonts w:eastAsia="Times New Roman" w:cs="Arial"/>
                <w:b w:val="0"/>
                <w:bCs w:val="0"/>
                <w:color w:val="auto"/>
                <w:sz w:val="16"/>
                <w:szCs w:val="16"/>
                <w:lang w:val="es-ES"/>
              </w:rPr>
            </w:pPr>
            <w:r w:rsidRPr="00FE26CF">
              <w:rPr>
                <w:rFonts w:eastAsia="Times New Roman" w:cs="Arial"/>
                <w:b w:val="0"/>
                <w:bCs w:val="0"/>
                <w:color w:val="auto"/>
                <w:sz w:val="16"/>
                <w:szCs w:val="16"/>
                <w:lang w:val="es-ES"/>
              </w:rPr>
              <w:t>Enfermedad isquémica del corazón</w:t>
            </w:r>
          </w:p>
        </w:tc>
        <w:tc>
          <w:tcPr>
            <w:tcW w:w="0" w:type="auto"/>
            <w:hideMark/>
          </w:tcPr>
          <w:p w:rsidR="009E4400" w:rsidRPr="00FE26CF" w:rsidRDefault="009E4400" w:rsidP="00805ED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Beta bloqueador (post-agudo)+ aspirina (post-agudo) + esta tina (post-agudo)</w:t>
            </w:r>
          </w:p>
        </w:tc>
        <w:tc>
          <w:tcPr>
            <w:tcW w:w="0" w:type="auto"/>
            <w:hideMark/>
          </w:tcPr>
          <w:p w:rsidR="009E4400" w:rsidRPr="00FE26CF" w:rsidRDefault="009E4400" w:rsidP="00805E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343</w:t>
            </w:r>
          </w:p>
        </w:tc>
        <w:tc>
          <w:tcPr>
            <w:tcW w:w="0" w:type="auto"/>
            <w:hideMark/>
          </w:tcPr>
          <w:p w:rsidR="009E4400" w:rsidRPr="00FE26CF" w:rsidRDefault="009E4400" w:rsidP="00805E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 </w:t>
            </w:r>
          </w:p>
        </w:tc>
        <w:tc>
          <w:tcPr>
            <w:tcW w:w="0" w:type="auto"/>
            <w:noWrap/>
            <w:hideMark/>
          </w:tcPr>
          <w:p w:rsidR="009E4400" w:rsidRPr="00FE26CF" w:rsidRDefault="009E4400" w:rsidP="00805ED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sz w:val="16"/>
                <w:szCs w:val="16"/>
                <w:lang w:val="es-ES"/>
              </w:rPr>
              <w:fldChar w:fldCharType="begin" w:fldLock="1"/>
            </w:r>
            <w:r w:rsidRPr="00FE26CF">
              <w:rPr>
                <w:rFonts w:eastAsia="Times New Roman" w:cs="Arial"/>
                <w:color w:val="auto"/>
                <w:sz w:val="16"/>
                <w:szCs w:val="16"/>
                <w:lang w:val="es-ES"/>
              </w:rPr>
              <w:instrText>ADDIN CSL_CITATION { "citationItems" : [ { "id" : "ITEM-1", "itemData" : { "DOI" : "10.1136/bmj.e355", "ISSN" : "1756-1833", "PMID" : "22389335", "abstract" : "OBJECTIVE: To inform decision making regarding intervention strategies against non-communicable diseases in Mexico, in the context of health reform.\n\nDESIGN: Cost effectiveness analysis based on epidemiological modelling.\n\nINTERVENTIONS: 101 intervention strategies relating to nine major clusters of non-communicable disease: depression, heavy alcohol use, tobacco use, cataracts, breast cancer, cervical cancer, chronic obstructive pulmonary disease, cardiovascular disease, and diabetes.\n\nDATA SOURCES: Mexican data sources were used for most key input parameters, including administrative registries; disease burden and population estimates; household surveys; and drug price databases. These sources were supplemented as needed with estimates for Mexico from the WHO-CHOICE unit cost database or with estimates extrapolated from the published literature.\n\nMAIN OUTCOME MEASURES: Population health outcomes, measured in disability adjusted life years (DALYs); costs in 2005 international dollars ($Int); and costs per DALY.\n\nRESULTS: Across 101 intervention strategies examined in this study, average yearly costs at the population level would range from around \u2264$Int1m (such as for cataract surgeries) to &gt;$Int1bn for certain strategies for primary prevention in cardiovascular disease. Wide variation also appeared in total population health benefits, from &lt;1000 DALYs averted a year (for some components of cancer treatments or aspirin for acute ischaemic stroke) to &gt;300,000 averted DALYs (for aggressive combinations of interventions to deal with alcohol use or cardiovascular risks). Interventions in this study spanned a wide range of average cost effectiveness ratios, differing by more than three orders of magnitude between the lowest and highest ratios. Overall, community and public health interventions such as non-personal interventions for alcohol use, tobacco use, and cardiovascular risks tended to have lower cost effectiveness ratios than many clinical interventions (of varying complexity). Even within the community and public health interventions, however, there was a 200-fold difference between the most and least cost effective strategies examined. Likewise, several clinical interventions appeared among the strategies with the lowest average cost effectiveness ratios-for example, cataract surgeries.\n\nCONCLUSIONS: Wide variations in costs and effects exist within and across intervention categories. For every major disease area examined, at least some strategies p\u2026", "author" : [ { "dropping-particle" : "", "family" : "Salomon", "given" : "Joshua A", "non-dropping-particle" : "", "parse-names" : false, "suffix" : "" }, { "dropping-particle" : "", "family" : "Carvalho", "given" : "Natalie", "non-dropping-particle" : "", "parse-names" : false, "suffix" : "" }, { "dropping-particle" : "", "family" : "Guti\u00e9rrez-Delgado", "given" : "Cristina", "non-dropping-particle" : "", "parse-names" : false, "suffix" : "" }, { "dropping-particle" : "", "family" : "Orozco", "given" : "Ricardo", "non-dropping-particle" : "", "parse-names" : false, "suffix" : "" }, { "dropping-particle" : "", "family" : "Mancuso", "given" : "Anna", "non-dropping-particle" : "", "parse-names" : false, "suffix" : "" }, { "dropping-particle" : "", "family" : "Hogan", "given" : "Daniel R", "non-dropping-particle" : "", "parse-names" : false, "suffix" : "" }, { "dropping-particle" : "", "family" : "Lee", "given" : "Diana", "non-dropping-particle" : "", "parse-names" : false, "suffix" : "" }, { "dropping-particle" : "", "family" : "Murakami", "given" : "Yuki", "non-dropping-particle" : "", "parse-names" : false, "suffix" : "" }, { "dropping-particle" : "", "family" : "Sridharan", "given" : "Lakshmi", "non-dropping-particle" : "", "parse-names" : false, "suffix" : "" }, { "dropping-particle" : "", "family" : "Medina-Mora", "given" : "Mar\u00eda Elena", "non-dropping-particle" : "", "parse-names" : false, "suffix" : "" }, { "dropping-particle" : "", "family" : "Gonz\u00e1lez-Pier", "given" : "Eduardo", "non-dropping-particle" : "", "parse-names" : false, "suffix" : "" } ], "container-title" : "BMJ (Clinical research ed.)", "id" : "ITEM-1", "issue" : "mar02_1", "issued" : { "date-parts" : [ [ "2012", "1", "2" ] ] }, "page" : "e355", "title" : "Intervention strategies to reduce the burden of non-communicable diseases in Mexico: cost effectiveness analysis.", "type" : "article-journal", "volume" : "344" }, "uris" : [ "http://www.mendeley.com/documents/?uuid=b65f8e93-ffb6-479f-a2d9-ee62f2c1ab4c" ] } ], "mendeley" : { "formattedCitation" : "(Salomon et al. 2012)", "plainTextFormattedCitation" : "(Salomon et al. 2012)", "previouslyFormattedCitation" : "(Salomon et al. 2012)" }, "properties" : { "noteIndex" : 0 }, "schema" : "https://github.com/citation-style-language/schema/raw/master/csl-citation.json" }</w:instrText>
            </w:r>
            <w:r w:rsidRPr="00FE26CF">
              <w:rPr>
                <w:rFonts w:eastAsia="Times New Roman" w:cs="Arial"/>
                <w:sz w:val="16"/>
                <w:szCs w:val="16"/>
                <w:lang w:val="es-ES"/>
              </w:rPr>
              <w:fldChar w:fldCharType="separate"/>
            </w:r>
            <w:r w:rsidRPr="00FE26CF">
              <w:rPr>
                <w:rFonts w:eastAsia="Times New Roman" w:cs="Arial"/>
                <w:noProof/>
                <w:color w:val="auto"/>
                <w:sz w:val="16"/>
                <w:szCs w:val="16"/>
                <w:lang w:val="es-ES"/>
              </w:rPr>
              <w:t>(Salomon et al. 2012)</w:t>
            </w:r>
            <w:r w:rsidRPr="00FE26CF">
              <w:rPr>
                <w:rFonts w:eastAsia="Times New Roman" w:cs="Arial"/>
                <w:sz w:val="16"/>
                <w:szCs w:val="16"/>
                <w:lang w:val="es-ES"/>
              </w:rPr>
              <w:fldChar w:fldCharType="end"/>
            </w:r>
          </w:p>
        </w:tc>
      </w:tr>
      <w:tr w:rsidR="009E4400" w:rsidRPr="00FE26CF" w:rsidTr="000D3F77">
        <w:trPr>
          <w:trHeight w:val="560"/>
        </w:trPr>
        <w:tc>
          <w:tcPr>
            <w:cnfStyle w:val="001000000000" w:firstRow="0" w:lastRow="0" w:firstColumn="1" w:lastColumn="0" w:oddVBand="0" w:evenVBand="0" w:oddHBand="0" w:evenHBand="0" w:firstRowFirstColumn="0" w:firstRowLastColumn="0" w:lastRowFirstColumn="0" w:lastRowLastColumn="0"/>
            <w:tcW w:w="0" w:type="auto"/>
            <w:hideMark/>
          </w:tcPr>
          <w:p w:rsidR="009E4400" w:rsidRPr="00FE26CF" w:rsidRDefault="009E4400" w:rsidP="00805ED8">
            <w:pPr>
              <w:spacing w:after="0" w:line="240" w:lineRule="auto"/>
              <w:rPr>
                <w:rFonts w:eastAsia="Times New Roman" w:cs="Arial"/>
                <w:b w:val="0"/>
                <w:bCs w:val="0"/>
                <w:color w:val="auto"/>
                <w:sz w:val="16"/>
                <w:szCs w:val="16"/>
                <w:lang w:val="es-ES"/>
              </w:rPr>
            </w:pPr>
            <w:r w:rsidRPr="00FE26CF">
              <w:rPr>
                <w:rFonts w:eastAsia="Times New Roman" w:cs="Arial"/>
                <w:b w:val="0"/>
                <w:bCs w:val="0"/>
                <w:color w:val="auto"/>
                <w:sz w:val="16"/>
                <w:szCs w:val="16"/>
                <w:lang w:val="es-ES"/>
              </w:rPr>
              <w:t>Infarto agudo del miocardio</w:t>
            </w:r>
          </w:p>
        </w:tc>
        <w:tc>
          <w:tcPr>
            <w:tcW w:w="0" w:type="auto"/>
            <w:hideMark/>
          </w:tcPr>
          <w:p w:rsidR="009E4400" w:rsidRPr="00E0614F" w:rsidRDefault="009E4400" w:rsidP="00805ED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pt-BR"/>
              </w:rPr>
            </w:pPr>
            <w:r w:rsidRPr="00E0614F">
              <w:rPr>
                <w:rFonts w:eastAsia="Times New Roman" w:cs="Arial"/>
                <w:sz w:val="16"/>
                <w:szCs w:val="16"/>
                <w:lang w:val="pt-BR"/>
              </w:rPr>
              <w:t>Aspirina (IAM) + bata bloqueador (IAM) + inhibidora de la ECA (IAM) + PTCA</w:t>
            </w:r>
          </w:p>
        </w:tc>
        <w:tc>
          <w:tcPr>
            <w:tcW w:w="0" w:type="auto"/>
            <w:hideMark/>
          </w:tcPr>
          <w:p w:rsidR="009E4400" w:rsidRPr="00E0614F" w:rsidRDefault="009E4400" w:rsidP="00805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pt-BR"/>
              </w:rPr>
            </w:pPr>
            <w:r w:rsidRPr="00E0614F">
              <w:rPr>
                <w:rFonts w:eastAsia="Times New Roman" w:cs="Arial"/>
                <w:sz w:val="16"/>
                <w:szCs w:val="16"/>
                <w:lang w:val="pt-BR"/>
              </w:rPr>
              <w:t> </w:t>
            </w:r>
          </w:p>
        </w:tc>
        <w:tc>
          <w:tcPr>
            <w:tcW w:w="0" w:type="auto"/>
            <w:hideMark/>
          </w:tcPr>
          <w:p w:rsidR="009E4400" w:rsidRPr="00FE26CF" w:rsidRDefault="009E4400" w:rsidP="00805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294</w:t>
            </w:r>
          </w:p>
        </w:tc>
        <w:tc>
          <w:tcPr>
            <w:tcW w:w="0" w:type="auto"/>
            <w:noWrap/>
            <w:hideMark/>
          </w:tcPr>
          <w:p w:rsidR="009E4400" w:rsidRPr="00FE26CF" w:rsidRDefault="009E4400" w:rsidP="00805ED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sz w:val="16"/>
                <w:szCs w:val="16"/>
                <w:lang w:val="es-ES"/>
              </w:rPr>
              <w:fldChar w:fldCharType="begin" w:fldLock="1"/>
            </w:r>
            <w:r w:rsidRPr="00FE26CF">
              <w:rPr>
                <w:rFonts w:eastAsia="Times New Roman" w:cs="Arial"/>
                <w:color w:val="auto"/>
                <w:sz w:val="16"/>
                <w:szCs w:val="16"/>
                <w:lang w:val="es-ES"/>
              </w:rPr>
              <w:instrText>ADDIN CSL_CITATION { "citationItems" : [ { "id" : "ITEM-1", "itemData" : { "DOI" : "10.1136/bmj.e355", "ISSN" : "1756-1833", "PMID" : "22389335", "abstract" : "OBJECTIVE: To inform decision making regarding intervention strategies against non-communicable diseases in Mexico, in the context of health reform.\n\nDESIGN: Cost effectiveness analysis based on epidemiological modelling.\n\nINTERVENTIONS: 101 intervention strategies relating to nine major clusters of non-communicable disease: depression, heavy alcohol use, tobacco use, cataracts, breast cancer, cervical cancer, chronic obstructive pulmonary disease, cardiovascular disease, and diabetes.\n\nDATA SOURCES: Mexican data sources were used for most key input parameters, including administrative registries; disease burden and population estimates; household surveys; and drug price databases. These sources were supplemented as needed with estimates for Mexico from the WHO-CHOICE unit cost database or with estimates extrapolated from the published literature.\n\nMAIN OUTCOME MEASURES: Population health outcomes, measured in disability adjusted life years (DALYs); costs in 2005 international dollars ($Int); and costs per DALY.\n\nRESULTS: Across 101 intervention strategies examined in this study, average yearly costs at the population level would range from around \u2264$Int1m (such as for cataract surgeries) to &gt;$Int1bn for certain strategies for primary prevention in cardiovascular disease. Wide variation also appeared in total population health benefits, from &lt;1000 DALYs averted a year (for some components of cancer treatments or aspirin for acute ischaemic stroke) to &gt;300,000 averted DALYs (for aggressive combinations of interventions to deal with alcohol use or cardiovascular risks). Interventions in this study spanned a wide range of average cost effectiveness ratios, differing by more than three orders of magnitude between the lowest and highest ratios. Overall, community and public health interventions such as non-personal interventions for alcohol use, tobacco use, and cardiovascular risks tended to have lower cost effectiveness ratios than many clinical interventions (of varying complexity). Even within the community and public health interventions, however, there was a 200-fold difference between the most and least cost effective strategies examined. Likewise, several clinical interventions appeared among the strategies with the lowest average cost effectiveness ratios-for example, cataract surgeries.\n\nCONCLUSIONS: Wide variations in costs and effects exist within and across intervention categories. For every major disease area examined, at least some strategies p\u2026", "author" : [ { "dropping-particle" : "", "family" : "Salomon", "given" : "Joshua A", "non-dropping-particle" : "", "parse-names" : false, "suffix" : "" }, { "dropping-particle" : "", "family" : "Carvalho", "given" : "Natalie", "non-dropping-particle" : "", "parse-names" : false, "suffix" : "" }, { "dropping-particle" : "", "family" : "Guti\u00e9rrez-Delgado", "given" : "Cristina", "non-dropping-particle" : "", "parse-names" : false, "suffix" : "" }, { "dropping-particle" : "", "family" : "Orozco", "given" : "Ricardo", "non-dropping-particle" : "", "parse-names" : false, "suffix" : "" }, { "dropping-particle" : "", "family" : "Mancuso", "given" : "Anna", "non-dropping-particle" : "", "parse-names" : false, "suffix" : "" }, { "dropping-particle" : "", "family" : "Hogan", "given" : "Daniel R", "non-dropping-particle" : "", "parse-names" : false, "suffix" : "" }, { "dropping-particle" : "", "family" : "Lee", "given" : "Diana", "non-dropping-particle" : "", "parse-names" : false, "suffix" : "" }, { "dropping-particle" : "", "family" : "Murakami", "given" : "Yuki", "non-dropping-particle" : "", "parse-names" : false, "suffix" : "" }, { "dropping-particle" : "", "family" : "Sridharan", "given" : "Lakshmi", "non-dropping-particle" : "", "parse-names" : false, "suffix" : "" }, { "dropping-particle" : "", "family" : "Medina-Mora", "given" : "Mar\u00eda Elena", "non-dropping-particle" : "", "parse-names" : false, "suffix" : "" }, { "dropping-particle" : "", "family" : "Gonz\u00e1lez-Pier", "given" : "Eduardo", "non-dropping-particle" : "", "parse-names" : false, "suffix" : "" } ], "container-title" : "BMJ (Clinical research ed.)", "id" : "ITEM-1", "issue" : "mar02_1", "issued" : { "date-parts" : [ [ "2012", "1", "2" ] ] }, "page" : "e355", "title" : "Intervention strategies to reduce the burden of non-communicable diseases in Mexico: cost effectiveness analysis.", "type" : "article-journal", "volume" : "344" }, "uris" : [ "http://www.mendeley.com/documents/?uuid=b65f8e93-ffb6-479f-a2d9-ee62f2c1ab4c" ] } ], "mendeley" : { "formattedCitation" : "(Salomon et al. 2012)", "plainTextFormattedCitation" : "(Salomon et al. 2012)", "previouslyFormattedCitation" : "(Salomon et al. 2012)" }, "properties" : { "noteIndex" : 0 }, "schema" : "https://github.com/citation-style-language/schema/raw/master/csl-citation.json" }</w:instrText>
            </w:r>
            <w:r w:rsidRPr="00FE26CF">
              <w:rPr>
                <w:rFonts w:eastAsia="Times New Roman" w:cs="Arial"/>
                <w:sz w:val="16"/>
                <w:szCs w:val="16"/>
                <w:lang w:val="es-ES"/>
              </w:rPr>
              <w:fldChar w:fldCharType="separate"/>
            </w:r>
            <w:r w:rsidRPr="00FE26CF">
              <w:rPr>
                <w:rFonts w:eastAsia="Times New Roman" w:cs="Arial"/>
                <w:noProof/>
                <w:color w:val="auto"/>
                <w:sz w:val="16"/>
                <w:szCs w:val="16"/>
                <w:lang w:val="es-ES"/>
              </w:rPr>
              <w:t>(Salomon et al. 2012)</w:t>
            </w:r>
            <w:r w:rsidRPr="00FE26CF">
              <w:rPr>
                <w:rFonts w:eastAsia="Times New Roman" w:cs="Arial"/>
                <w:sz w:val="16"/>
                <w:szCs w:val="16"/>
                <w:lang w:val="es-ES"/>
              </w:rPr>
              <w:fldChar w:fldCharType="end"/>
            </w:r>
          </w:p>
        </w:tc>
      </w:tr>
      <w:tr w:rsidR="009E4400" w:rsidRPr="00FE26CF" w:rsidTr="000D3F7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hideMark/>
          </w:tcPr>
          <w:p w:rsidR="009E4400" w:rsidRPr="00FE26CF" w:rsidRDefault="009E4400" w:rsidP="00805ED8">
            <w:pPr>
              <w:spacing w:after="0" w:line="240" w:lineRule="auto"/>
              <w:rPr>
                <w:rFonts w:eastAsia="Times New Roman" w:cs="Arial"/>
                <w:b w:val="0"/>
                <w:bCs w:val="0"/>
                <w:color w:val="auto"/>
                <w:sz w:val="16"/>
                <w:szCs w:val="16"/>
                <w:lang w:val="es-ES"/>
              </w:rPr>
            </w:pPr>
            <w:r w:rsidRPr="00FE26CF">
              <w:rPr>
                <w:rFonts w:eastAsia="Times New Roman" w:cs="Arial"/>
                <w:b w:val="0"/>
                <w:bCs w:val="0"/>
                <w:color w:val="auto"/>
                <w:sz w:val="16"/>
                <w:szCs w:val="16"/>
                <w:lang w:val="es-ES"/>
              </w:rPr>
              <w:t> </w:t>
            </w:r>
          </w:p>
        </w:tc>
        <w:tc>
          <w:tcPr>
            <w:tcW w:w="0" w:type="auto"/>
            <w:hideMark/>
          </w:tcPr>
          <w:p w:rsidR="009E4400" w:rsidRPr="00FE26CF" w:rsidRDefault="009E4400" w:rsidP="00805ED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Toda la prevención secundaria farmacológica</w:t>
            </w:r>
          </w:p>
        </w:tc>
        <w:tc>
          <w:tcPr>
            <w:tcW w:w="0" w:type="auto"/>
            <w:hideMark/>
          </w:tcPr>
          <w:p w:rsidR="009E4400" w:rsidRPr="00FE26CF" w:rsidRDefault="009E4400" w:rsidP="00805E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 </w:t>
            </w:r>
          </w:p>
        </w:tc>
        <w:tc>
          <w:tcPr>
            <w:tcW w:w="0" w:type="auto"/>
            <w:hideMark/>
          </w:tcPr>
          <w:p w:rsidR="009E4400" w:rsidRPr="00FE26CF" w:rsidRDefault="009E4400" w:rsidP="00805E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510</w:t>
            </w:r>
          </w:p>
        </w:tc>
        <w:tc>
          <w:tcPr>
            <w:tcW w:w="0" w:type="auto"/>
            <w:noWrap/>
            <w:hideMark/>
          </w:tcPr>
          <w:p w:rsidR="009E4400" w:rsidRPr="00FE26CF" w:rsidRDefault="009E4400" w:rsidP="00805ED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sz w:val="16"/>
                <w:szCs w:val="16"/>
                <w:lang w:val="es-ES"/>
              </w:rPr>
              <w:fldChar w:fldCharType="begin" w:fldLock="1"/>
            </w:r>
            <w:r w:rsidRPr="00FE26CF">
              <w:rPr>
                <w:rFonts w:eastAsia="Times New Roman" w:cs="Arial"/>
                <w:color w:val="auto"/>
                <w:sz w:val="16"/>
                <w:szCs w:val="16"/>
                <w:lang w:val="es-ES"/>
              </w:rPr>
              <w:instrText>ADDIN CSL_CITATION { "citationItems" : [ { "id" : "ITEM-1", "itemData" : { "DOI" : "10.1136/bmj.e355", "ISSN" : "1756-1833", "PMID" : "22389335", "abstract" : "OBJECTIVE: To inform decision making regarding intervention strategies against non-communicable diseases in Mexico, in the context of health reform.\n\nDESIGN: Cost effectiveness analysis based on epidemiological modelling.\n\nINTERVENTIONS: 101 intervention strategies relating to nine major clusters of non-communicable disease: depression, heavy alcohol use, tobacco use, cataracts, breast cancer, cervical cancer, chronic obstructive pulmonary disease, cardiovascular disease, and diabetes.\n\nDATA SOURCES: Mexican data sources were used for most key input parameters, including administrative registries; disease burden and population estimates; household surveys; and drug price databases. These sources were supplemented as needed with estimates for Mexico from the WHO-CHOICE unit cost database or with estimates extrapolated from the published literature.\n\nMAIN OUTCOME MEASURES: Population health outcomes, measured in disability adjusted life years (DALYs); costs in 2005 international dollars ($Int); and costs per DALY.\n\nRESULTS: Across 101 intervention strategies examined in this study, average yearly costs at the population level would range from around \u2264$Int1m (such as for cataract surgeries) to &gt;$Int1bn for certain strategies for primary prevention in cardiovascular disease. Wide variation also appeared in total population health benefits, from &lt;1000 DALYs averted a year (for some components of cancer treatments or aspirin for acute ischaemic stroke) to &gt;300,000 averted DALYs (for aggressive combinations of interventions to deal with alcohol use or cardiovascular risks). Interventions in this study spanned a wide range of average cost effectiveness ratios, differing by more than three orders of magnitude between the lowest and highest ratios. Overall, community and public health interventions such as non-personal interventions for alcohol use, tobacco use, and cardiovascular risks tended to have lower cost effectiveness ratios than many clinical interventions (of varying complexity). Even within the community and public health interventions, however, there was a 200-fold difference between the most and least cost effective strategies examined. Likewise, several clinical interventions appeared among the strategies with the lowest average cost effectiveness ratios-for example, cataract surgeries.\n\nCONCLUSIONS: Wide variations in costs and effects exist within and across intervention categories. For every major disease area examined, at least some strategies p\u2026", "author" : [ { "dropping-particle" : "", "family" : "Salomon", "given" : "Joshua A", "non-dropping-particle" : "", "parse-names" : false, "suffix" : "" }, { "dropping-particle" : "", "family" : "Carvalho", "given" : "Natalie", "non-dropping-particle" : "", "parse-names" : false, "suffix" : "" }, { "dropping-particle" : "", "family" : "Guti\u00e9rrez-Delgado", "given" : "Cristina", "non-dropping-particle" : "", "parse-names" : false, "suffix" : "" }, { "dropping-particle" : "", "family" : "Orozco", "given" : "Ricardo", "non-dropping-particle" : "", "parse-names" : false, "suffix" : "" }, { "dropping-particle" : "", "family" : "Mancuso", "given" : "Anna", "non-dropping-particle" : "", "parse-names" : false, "suffix" : "" }, { "dropping-particle" : "", "family" : "Hogan", "given" : "Daniel R", "non-dropping-particle" : "", "parse-names" : false, "suffix" : "" }, { "dropping-particle" : "", "family" : "Lee", "given" : "Diana", "non-dropping-particle" : "", "parse-names" : false, "suffix" : "" }, { "dropping-particle" : "", "family" : "Murakami", "given" : "Yuki", "non-dropping-particle" : "", "parse-names" : false, "suffix" : "" }, { "dropping-particle" : "", "family" : "Sridharan", "given" : "Lakshmi", "non-dropping-particle" : "", "parse-names" : false, "suffix" : "" }, { "dropping-particle" : "", "family" : "Medina-Mora", "given" : "Mar\u00eda Elena", "non-dropping-particle" : "", "parse-names" : false, "suffix" : "" }, { "dropping-particle" : "", "family" : "Gonz\u00e1lez-Pier", "given" : "Eduardo", "non-dropping-particle" : "", "parse-names" : false, "suffix" : "" } ], "container-title" : "BMJ (Clinical research ed.)", "id" : "ITEM-1", "issue" : "mar02_1", "issued" : { "date-parts" : [ [ "2012", "1", "2" ] ] }, "page" : "e355", "title" : "Intervention strategies to reduce the burden of non-communicable diseases in Mexico: cost effectiveness analysis.", "type" : "article-journal", "volume" : "344" }, "uris" : [ "http://www.mendeley.com/documents/?uuid=b65f8e93-ffb6-479f-a2d9-ee62f2c1ab4c" ] } ], "mendeley" : { "formattedCitation" : "(Salomon et al. 2012)", "plainTextFormattedCitation" : "(Salomon et al. 2012)", "previouslyFormattedCitation" : "(Salomon et al. 2012)" }, "properties" : { "noteIndex" : 0 }, "schema" : "https://github.com/citation-style-language/schema/raw/master/csl-citation.json" }</w:instrText>
            </w:r>
            <w:r w:rsidRPr="00FE26CF">
              <w:rPr>
                <w:rFonts w:eastAsia="Times New Roman" w:cs="Arial"/>
                <w:sz w:val="16"/>
                <w:szCs w:val="16"/>
                <w:lang w:val="es-ES"/>
              </w:rPr>
              <w:fldChar w:fldCharType="separate"/>
            </w:r>
            <w:r w:rsidRPr="00FE26CF">
              <w:rPr>
                <w:rFonts w:eastAsia="Times New Roman" w:cs="Arial"/>
                <w:noProof/>
                <w:color w:val="auto"/>
                <w:sz w:val="16"/>
                <w:szCs w:val="16"/>
                <w:lang w:val="es-ES"/>
              </w:rPr>
              <w:t>(Salomon et al. 2012)</w:t>
            </w:r>
            <w:r w:rsidRPr="00FE26CF">
              <w:rPr>
                <w:rFonts w:eastAsia="Times New Roman" w:cs="Arial"/>
                <w:sz w:val="16"/>
                <w:szCs w:val="16"/>
                <w:lang w:val="es-ES"/>
              </w:rPr>
              <w:fldChar w:fldCharType="end"/>
            </w:r>
          </w:p>
        </w:tc>
      </w:tr>
      <w:tr w:rsidR="009E4400" w:rsidRPr="00E95B43" w:rsidTr="000D3F77">
        <w:trPr>
          <w:trHeight w:val="280"/>
        </w:trPr>
        <w:tc>
          <w:tcPr>
            <w:cnfStyle w:val="001000000000" w:firstRow="0" w:lastRow="0" w:firstColumn="1" w:lastColumn="0" w:oddVBand="0" w:evenVBand="0" w:oddHBand="0" w:evenHBand="0" w:firstRowFirstColumn="0" w:firstRowLastColumn="0" w:lastRowFirstColumn="0" w:lastRowLastColumn="0"/>
            <w:tcW w:w="0" w:type="auto"/>
            <w:hideMark/>
          </w:tcPr>
          <w:p w:rsidR="009E4400" w:rsidRPr="00FE26CF" w:rsidRDefault="009E4400" w:rsidP="00805ED8">
            <w:pPr>
              <w:spacing w:after="0" w:line="240" w:lineRule="auto"/>
              <w:rPr>
                <w:rFonts w:eastAsia="Times New Roman" w:cs="Arial"/>
                <w:b w:val="0"/>
                <w:bCs w:val="0"/>
                <w:color w:val="auto"/>
                <w:sz w:val="16"/>
                <w:szCs w:val="16"/>
                <w:lang w:val="es-ES"/>
              </w:rPr>
            </w:pPr>
            <w:r w:rsidRPr="00FE26CF">
              <w:rPr>
                <w:rFonts w:eastAsia="Times New Roman" w:cs="Arial"/>
                <w:b w:val="0"/>
                <w:bCs w:val="0"/>
                <w:color w:val="auto"/>
                <w:sz w:val="16"/>
                <w:szCs w:val="16"/>
                <w:lang w:val="es-ES"/>
              </w:rPr>
              <w:t> </w:t>
            </w:r>
          </w:p>
        </w:tc>
        <w:tc>
          <w:tcPr>
            <w:tcW w:w="0" w:type="auto"/>
            <w:hideMark/>
          </w:tcPr>
          <w:p w:rsidR="009E4400" w:rsidRPr="00FE26CF" w:rsidRDefault="009E4400" w:rsidP="00805ED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Rehabilitación cardíaca</w:t>
            </w:r>
          </w:p>
        </w:tc>
        <w:tc>
          <w:tcPr>
            <w:tcW w:w="0" w:type="auto"/>
            <w:hideMark/>
          </w:tcPr>
          <w:p w:rsidR="009E4400" w:rsidRPr="00FE26CF" w:rsidRDefault="009E4400" w:rsidP="00805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 </w:t>
            </w:r>
          </w:p>
        </w:tc>
        <w:tc>
          <w:tcPr>
            <w:tcW w:w="0" w:type="auto"/>
            <w:hideMark/>
          </w:tcPr>
          <w:p w:rsidR="009E4400" w:rsidRPr="00FE26CF" w:rsidRDefault="009E4400" w:rsidP="00805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265</w:t>
            </w:r>
          </w:p>
        </w:tc>
        <w:tc>
          <w:tcPr>
            <w:tcW w:w="0" w:type="auto"/>
            <w:noWrap/>
            <w:hideMark/>
          </w:tcPr>
          <w:p w:rsidR="009E4400" w:rsidRPr="00FE26CF" w:rsidRDefault="009E4400" w:rsidP="00805ED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sz w:val="16"/>
                <w:szCs w:val="16"/>
                <w:lang w:val="es-ES"/>
              </w:rPr>
              <w:fldChar w:fldCharType="begin" w:fldLock="1"/>
            </w:r>
            <w:r w:rsidRPr="00FE26CF">
              <w:rPr>
                <w:rFonts w:eastAsia="Times New Roman" w:cs="Arial"/>
                <w:color w:val="auto"/>
                <w:sz w:val="16"/>
                <w:szCs w:val="16"/>
                <w:lang w:val="es-ES"/>
              </w:rPr>
              <w:instrText>ADDIN CSL_CITATION { "citationItems" : [ { "id" : "ITEM-1", "itemData" : { "DOI" : "10.1136/bmj.e355", "ISSN" : "1756-1833", "PMID" : "22389335", "abstract" : "OBJECTIVE: To inform decision making regarding intervention strategies against non-communicable diseases in Mexico, in the context of health reform.\n\nDESIGN: Cost effectiveness analysis based on epidemiological modelling.\n\nINTERVENTIONS: 101 intervention strategies relating to nine major clusters of non-communicable disease: depression, heavy alcohol use, tobacco use, cataracts, breast cancer, cervical cancer, chronic obstructive pulmonary disease, cardiovascular disease, and diabetes.\n\nDATA SOURCES: Mexican data sources were used for most key input parameters, including administrative registries; disease burden and population estimates; household surveys; and drug price databases. These sources were supplemented as needed with estimates for Mexico from the WHO-CHOICE unit cost database or with estimates extrapolated from the published literature.\n\nMAIN OUTCOME MEASURES: Population health outcomes, measured in disability adjusted life years (DALYs); costs in 2005 international dollars ($Int); and costs per DALY.\n\nRESULTS: Across 101 intervention strategies examined in this study, average yearly costs at the population level would range from around \u2264$Int1m (such as for cataract surgeries) to &gt;$Int1bn for certain strategies for primary prevention in cardiovascular disease. Wide variation also appeared in total population health benefits, from &lt;1000 DALYs averted a year (for some components of cancer treatments or aspirin for acute ischaemic stroke) to &gt;300,000 averted DALYs (for aggressive combinations of interventions to deal with alcohol use or cardiovascular risks). Interventions in this study spanned a wide range of average cost effectiveness ratios, differing by more than three orders of magnitude between the lowest and highest ratios. Overall, community and public health interventions such as non-personal interventions for alcohol use, tobacco use, and cardiovascular risks tended to have lower cost effectiveness ratios than many clinical interventions (of varying complexity). Even within the community and public health interventions, however, there was a 200-fold difference between the most and least cost effective strategies examined. Likewise, several clinical interventions appeared among the strategies with the lowest average cost effectiveness ratios-for example, cataract surgeries.\n\nCONCLUSIONS: Wide variations in costs and effects exist within and across intervention categories. For every major disease area examined, at least some strategies p\u2026", "author" : [ { "dropping-particle" : "", "family" : "Salomon", "given" : "Joshua A", "non-dropping-particle" : "", "parse-names" : false, "suffix" : "" }, { "dropping-particle" : "", "family" : "Carvalho", "given" : "Natalie", "non-dropping-particle" : "", "parse-names" : false, "suffix" : "" }, { "dropping-particle" : "", "family" : "Guti\u00e9rrez-Delgado", "given" : "Cristina", "non-dropping-particle" : "", "parse-names" : false, "suffix" : "" }, { "dropping-particle" : "", "family" : "Orozco", "given" : "Ricardo", "non-dropping-particle" : "", "parse-names" : false, "suffix" : "" }, { "dropping-particle" : "", "family" : "Mancuso", "given" : "Anna", "non-dropping-particle" : "", "parse-names" : false, "suffix" : "" }, { "dropping-particle" : "", "family" : "Hogan", "given" : "Daniel R", "non-dropping-particle" : "", "parse-names" : false, "suffix" : "" }, { "dropping-particle" : "", "family" : "Lee", "given" : "Diana", "non-dropping-particle" : "", "parse-names" : false, "suffix" : "" }, { "dropping-particle" : "", "family" : "Murakami", "given" : "Yuki", "non-dropping-particle" : "", "parse-names" : false, "suffix" : "" }, { "dropping-particle" : "", "family" : "Sridharan", "given" : "Lakshmi", "non-dropping-particle" : "", "parse-names" : false, "suffix" : "" }, { "dropping-particle" : "", "family" : "Medina-Mora", "given" : "Mar\u00eda Elena", "non-dropping-particle" : "", "parse-names" : false, "suffix" : "" }, { "dropping-particle" : "", "family" : "Gonz\u00e1lez-Pier", "given" : "Eduardo", "non-dropping-particle" : "", "parse-names" : false, "suffix" : "" } ], "container-title" : "BMJ (Clinical research ed.)", "id" : "ITEM-1", "issue" : "mar02_1", "issued" : { "date-parts" : [ [ "2012", "1", "2" ] ] }, "page" : "e355", "title" : "Intervention strategies to reduce the burden of non-communicable diseases in Mexico: cost effectiveness analysis.", "type" : "article-journal", "volume" : "344" }, "uris" : [ "http://www.mendeley.com/documents/?uuid=b65f8e93-ffb6-479f-a2d9-ee62f2c1ab4c" ] } ], "mendeley" : { "formattedCitation" : "(Salomon et al. 2012)", "plainTextFormattedCitation" : "(Salomon et al. 2012)", "previouslyFormattedCitation" : "(Salomon et al. 2012)" }, "properties" : { "noteIndex" : 0 }, "schema" : "https://github.com/citation-style-language/schema/raw/master/csl-citation.json" }</w:instrText>
            </w:r>
            <w:r w:rsidRPr="00FE26CF">
              <w:rPr>
                <w:rFonts w:eastAsia="Times New Roman" w:cs="Arial"/>
                <w:sz w:val="16"/>
                <w:szCs w:val="16"/>
                <w:lang w:val="es-ES"/>
              </w:rPr>
              <w:fldChar w:fldCharType="separate"/>
            </w:r>
            <w:r w:rsidRPr="00FE26CF">
              <w:rPr>
                <w:rFonts w:eastAsia="Times New Roman" w:cs="Arial"/>
                <w:noProof/>
                <w:color w:val="auto"/>
                <w:sz w:val="16"/>
                <w:szCs w:val="16"/>
                <w:lang w:val="es-ES"/>
              </w:rPr>
              <w:t>(Salomon et al. 2012)</w:t>
            </w:r>
            <w:r w:rsidRPr="00FE26CF">
              <w:rPr>
                <w:rFonts w:eastAsia="Times New Roman" w:cs="Arial"/>
                <w:sz w:val="16"/>
                <w:szCs w:val="16"/>
                <w:lang w:val="es-ES"/>
              </w:rPr>
              <w:fldChar w:fldCharType="end"/>
            </w:r>
          </w:p>
        </w:tc>
      </w:tr>
      <w:tr w:rsidR="009E4400" w:rsidRPr="00FE26CF" w:rsidTr="000D3F77">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0" w:type="auto"/>
            <w:hideMark/>
          </w:tcPr>
          <w:p w:rsidR="009E4400" w:rsidRPr="00FE26CF" w:rsidRDefault="009E4400" w:rsidP="00805ED8">
            <w:pPr>
              <w:spacing w:after="0" w:line="240" w:lineRule="auto"/>
              <w:rPr>
                <w:rFonts w:eastAsia="Times New Roman" w:cs="Arial"/>
                <w:b w:val="0"/>
                <w:bCs w:val="0"/>
                <w:color w:val="auto"/>
                <w:sz w:val="16"/>
                <w:szCs w:val="16"/>
                <w:lang w:val="es-ES"/>
              </w:rPr>
            </w:pPr>
            <w:r w:rsidRPr="00FE26CF">
              <w:rPr>
                <w:rFonts w:eastAsia="Times New Roman" w:cs="Arial"/>
                <w:b w:val="0"/>
                <w:bCs w:val="0"/>
                <w:color w:val="auto"/>
                <w:sz w:val="16"/>
                <w:szCs w:val="16"/>
                <w:lang w:val="es-ES"/>
              </w:rPr>
              <w:t>Accidente isquémico cerebro</w:t>
            </w:r>
          </w:p>
        </w:tc>
        <w:tc>
          <w:tcPr>
            <w:tcW w:w="0" w:type="auto"/>
            <w:hideMark/>
          </w:tcPr>
          <w:p w:rsidR="009E4400" w:rsidRPr="00FE26CF" w:rsidRDefault="009E4400" w:rsidP="00805ED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Inhibidor de la ECA + diurético post-ACV</w:t>
            </w:r>
          </w:p>
        </w:tc>
        <w:tc>
          <w:tcPr>
            <w:tcW w:w="0" w:type="auto"/>
            <w:hideMark/>
          </w:tcPr>
          <w:p w:rsidR="009E4400" w:rsidRPr="00FE26CF" w:rsidRDefault="009E4400" w:rsidP="00805E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461</w:t>
            </w:r>
          </w:p>
        </w:tc>
        <w:tc>
          <w:tcPr>
            <w:tcW w:w="0" w:type="auto"/>
            <w:hideMark/>
          </w:tcPr>
          <w:p w:rsidR="009E4400" w:rsidRPr="00FE26CF" w:rsidRDefault="009E4400" w:rsidP="00805E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 </w:t>
            </w:r>
          </w:p>
        </w:tc>
        <w:tc>
          <w:tcPr>
            <w:tcW w:w="0" w:type="auto"/>
            <w:noWrap/>
            <w:hideMark/>
          </w:tcPr>
          <w:p w:rsidR="009E4400" w:rsidRPr="00FE26CF" w:rsidRDefault="009E4400" w:rsidP="00180E1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sz w:val="16"/>
                <w:szCs w:val="16"/>
                <w:lang w:val="es-ES"/>
              </w:rPr>
              <w:fldChar w:fldCharType="begin" w:fldLock="1"/>
            </w:r>
            <w:r w:rsidRPr="00FE26CF">
              <w:rPr>
                <w:rFonts w:eastAsia="Times New Roman" w:cs="Arial"/>
                <w:color w:val="auto"/>
                <w:sz w:val="16"/>
                <w:szCs w:val="16"/>
                <w:lang w:val="es-ES"/>
              </w:rPr>
              <w:instrText>ADDIN CSL_CITATION { "citationItems" : [ { "id" : "ITEM-1", "itemData" : { "DOI" : "10.1136/bmj.e355", "ISSN" : "1756-1833", "PMID" : "22389335", "abstract" : "OBJECTIVE: To inform decision making regarding intervention strategies against non-communicable diseases in Mexico, in the context of health reform.\n\nDESIGN: Cost effectiveness analysis based on epidemiological modelling.\n\nINTERVENTIONS: 101 intervention strategies relating to nine major clusters of non-communicable disease: depression, heavy alcohol use, tobacco use, cataracts, breast cancer, cervical cancer, chronic obstructive pulmonary disease, cardiovascular disease, and diabetes.\n\nDATA SOURCES: Mexican data sources were used for most key input parameters, including administrative registries; disease burden and population estimates; household surveys; and drug price databases. These sources were supplemented as needed with estimates for Mexico from the WHO-CHOICE unit cost database or with estimates extrapolated from the published literature.\n\nMAIN OUTCOME MEASURES: Population health outcomes, measured in disability adjusted life years (DALYs); costs in 2005 international dollars ($Int); and costs per DALY.\n\nRESULTS: Across 101 intervention strategies examined in this study, average yearly costs at the population level would range from around \u2264$Int1m (such as for cataract surgeries) to &gt;$Int1bn for certain strategies for primary prevention in cardiovascular disease. Wide variation also appeared in total population health benefits, from &lt;1000 DALYs averted a year (for some components of cancer treatments or aspirin for acute ischaemic stroke) to &gt;300,000 averted DALYs (for aggressive combinations of interventions to deal with alcohol use or cardiovascular risks). Interventions in this study spanned a wide range of average cost effectiveness ratios, differing by more than three orders of magnitude between the lowest and highest ratios. Overall, community and public health interventions such as non-personal interventions for alcohol use, tobacco use, and cardiovascular risks tended to have lower cost effectiveness ratios than many clinical interventions (of varying complexity). Even within the community and public health interventions, however, there was a 200-fold difference between the most and least cost effective strategies examined. Likewise, several clinical interventions appeared among the strategies with the lowest average cost effectiveness ratios-for example, cataract surgeries.\n\nCONCLUSIONS: Wide variations in costs and effects exist within and across intervention categories. For every major disease area examined, at least some strategies p\u2026", "author" : [ { "dropping-particle" : "", "family" : "Salomon", "given" : "Joshua A", "non-dropping-particle" : "", "parse-names" : false, "suffix" : "" }, { "dropping-particle" : "", "family" : "Carvalho", "given" : "Natalie", "non-dropping-particle" : "", "parse-names" : false, "suffix" : "" }, { "dropping-particle" : "", "family" : "Guti\u00e9rrez-Delgado", "given" : "Cristina", "non-dropping-particle" : "", "parse-names" : false, "suffix" : "" }, { "dropping-particle" : "", "family" : "Orozco", "given" : "Ricardo", "non-dropping-particle" : "", "parse-names" : false, "suffix" : "" }, { "dropping-particle" : "", "family" : "Mancuso", "given" : "Anna", "non-dropping-particle" : "", "parse-names" : false, "suffix" : "" }, { "dropping-particle" : "", "family" : "Hogan", "given" : "Daniel R", "non-dropping-particle" : "", "parse-names" : false, "suffix" : "" }, { "dropping-particle" : "", "family" : "Lee", "given" : "Diana", "non-dropping-particle" : "", "parse-names" : false, "suffix" : "" }, { "dropping-particle" : "", "family" : "Murakami", "given" : "Yuki", "non-dropping-particle" : "", "parse-names" : false, "suffix" : "" }, { "dropping-particle" : "", "family" : "Sridharan", "given" : "Lakshmi", "non-dropping-particle" : "", "parse-names" : false, "suffix" : "" }, { "dropping-particle" : "", "family" : "Medina-Mora", "given" : "Mar\u00eda Elena", "non-dropping-particle" : "", "parse-names" : false, "suffix" : "" }, { "dropping-particle" : "", "family" : "Gonz\u00e1lez-Pier", "given" : "Eduardo", "non-dropping-particle" : "", "parse-names" : false, "suffix" : "" } ], "container-title" : "BMJ (Clinical research ed.)", "id" : "ITEM-1", "issue" : "mar02_1", "issued" : { "date-parts" : [ [ "2012", "1", "2" ] ] }, "page" : "e355", "title" : "Intervention strategies to reduce the burden of non-communicable diseases in Mexico: cost effectiveness analysis.", "type" : "article-journal", "volume" : "344" }, "uris" : [ "http://www.mendeley.com/documents/?uuid=b65f8e93-ffb6-479f-a2d9-ee62f2c1ab4c" ] } ], "mendeley" : { "formattedCitation" : "(Salomon et al. 2012)", "plainTextFormattedCitation" : "(Salomon et al. 2012)", "previouslyFormattedCitation" : "(Salomon et al. 2012)" }, "properties" : { "noteIndex" : 0 }, "schema" : "https://github.com/citation-style-language/schema/raw/master/csl-citation.json" }</w:instrText>
            </w:r>
            <w:r w:rsidRPr="00FE26CF">
              <w:rPr>
                <w:rFonts w:eastAsia="Times New Roman" w:cs="Arial"/>
                <w:sz w:val="16"/>
                <w:szCs w:val="16"/>
                <w:lang w:val="es-ES"/>
              </w:rPr>
              <w:fldChar w:fldCharType="separate"/>
            </w:r>
            <w:r w:rsidRPr="00FE26CF">
              <w:rPr>
                <w:rFonts w:eastAsia="Times New Roman" w:cs="Arial"/>
                <w:noProof/>
                <w:color w:val="auto"/>
                <w:sz w:val="16"/>
                <w:szCs w:val="16"/>
                <w:lang w:val="es-ES"/>
              </w:rPr>
              <w:t>(Salomon et al. 2012)</w:t>
            </w:r>
            <w:r w:rsidRPr="00FE26CF">
              <w:rPr>
                <w:rFonts w:eastAsia="Times New Roman" w:cs="Arial"/>
                <w:sz w:val="16"/>
                <w:szCs w:val="16"/>
                <w:lang w:val="es-ES"/>
              </w:rPr>
              <w:fldChar w:fldCharType="end"/>
            </w:r>
          </w:p>
        </w:tc>
      </w:tr>
      <w:tr w:rsidR="009E4400" w:rsidRPr="00FE26CF" w:rsidTr="000D3F77">
        <w:trPr>
          <w:trHeight w:val="280"/>
        </w:trPr>
        <w:tc>
          <w:tcPr>
            <w:cnfStyle w:val="001000000000" w:firstRow="0" w:lastRow="0" w:firstColumn="1" w:lastColumn="0" w:oddVBand="0" w:evenVBand="0" w:oddHBand="0" w:evenHBand="0" w:firstRowFirstColumn="0" w:firstRowLastColumn="0" w:lastRowFirstColumn="0" w:lastRowLastColumn="0"/>
            <w:tcW w:w="0" w:type="auto"/>
            <w:hideMark/>
          </w:tcPr>
          <w:p w:rsidR="009E4400" w:rsidRPr="00FE26CF" w:rsidRDefault="009E4400" w:rsidP="00805ED8">
            <w:pPr>
              <w:spacing w:after="0" w:line="240" w:lineRule="auto"/>
              <w:rPr>
                <w:rFonts w:eastAsia="Times New Roman" w:cs="Arial"/>
                <w:b w:val="0"/>
                <w:bCs w:val="0"/>
                <w:color w:val="auto"/>
                <w:sz w:val="16"/>
                <w:szCs w:val="16"/>
                <w:lang w:val="es-ES"/>
              </w:rPr>
            </w:pPr>
            <w:r w:rsidRPr="00FE26CF">
              <w:rPr>
                <w:rFonts w:eastAsia="Times New Roman" w:cs="Arial"/>
                <w:b w:val="0"/>
                <w:bCs w:val="0"/>
                <w:color w:val="auto"/>
                <w:sz w:val="16"/>
                <w:szCs w:val="16"/>
                <w:lang w:val="es-ES"/>
              </w:rPr>
              <w:t> </w:t>
            </w:r>
          </w:p>
        </w:tc>
        <w:tc>
          <w:tcPr>
            <w:tcW w:w="0" w:type="auto"/>
            <w:hideMark/>
          </w:tcPr>
          <w:p w:rsidR="009E4400" w:rsidRPr="00FE26CF" w:rsidRDefault="009E4400" w:rsidP="00805ED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Unidad de ACV organizada</w:t>
            </w:r>
          </w:p>
        </w:tc>
        <w:tc>
          <w:tcPr>
            <w:tcW w:w="0" w:type="auto"/>
            <w:hideMark/>
          </w:tcPr>
          <w:p w:rsidR="009E4400" w:rsidRPr="00FE26CF" w:rsidRDefault="009E4400" w:rsidP="00805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 </w:t>
            </w:r>
          </w:p>
        </w:tc>
        <w:tc>
          <w:tcPr>
            <w:tcW w:w="0" w:type="auto"/>
            <w:hideMark/>
          </w:tcPr>
          <w:p w:rsidR="009E4400" w:rsidRPr="00FE26CF" w:rsidRDefault="009E4400" w:rsidP="00805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42</w:t>
            </w:r>
          </w:p>
        </w:tc>
        <w:tc>
          <w:tcPr>
            <w:tcW w:w="0" w:type="auto"/>
            <w:noWrap/>
            <w:hideMark/>
          </w:tcPr>
          <w:p w:rsidR="009E4400" w:rsidRPr="00FE26CF" w:rsidRDefault="009E4400" w:rsidP="00805ED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sz w:val="16"/>
                <w:szCs w:val="16"/>
                <w:lang w:val="es-ES"/>
              </w:rPr>
              <w:fldChar w:fldCharType="begin" w:fldLock="1"/>
            </w:r>
            <w:r w:rsidRPr="00FE26CF">
              <w:rPr>
                <w:rFonts w:eastAsia="Times New Roman" w:cs="Arial"/>
                <w:color w:val="auto"/>
                <w:sz w:val="16"/>
                <w:szCs w:val="16"/>
                <w:lang w:val="es-ES"/>
              </w:rPr>
              <w:instrText>ADDIN CSL_CITATION { "citationItems" : [ { "id" : "ITEM-1", "itemData" : { "DOI" : "10.1136/bmj.e355", "ISSN" : "1756-1833", "PMID" : "22389335", "abstract" : "OBJECTIVE: To inform decision making regarding intervention strategies against non-communicable diseases in Mexico, in the context of health reform.\n\nDESIGN: Cost effectiveness analysis based on epidemiological modelling.\n\nINTERVENTIONS: 101 intervention strategies relating to nine major clusters of non-communicable disease: depression, heavy alcohol use, tobacco use, cataracts, breast cancer, cervical cancer, chronic obstructive pulmonary disease, cardiovascular disease, and diabetes.\n\nDATA SOURCES: Mexican data sources were used for most key input parameters, including administrative registries; disease burden and population estimates; household surveys; and drug price databases. These sources were supplemented as needed with estimates for Mexico from the WHO-CHOICE unit cost database or with estimates extrapolated from the published literature.\n\nMAIN OUTCOME MEASURES: Population health outcomes, measured in disability adjusted life years (DALYs); costs in 2005 international dollars ($Int); and costs per DALY.\n\nRESULTS: Across 101 intervention strategies examined in this study, average yearly costs at the population level would range from around \u2264$Int1m (such as for cataract surgeries) to &gt;$Int1bn for certain strategies for primary prevention in cardiovascular disease. Wide variation also appeared in total population health benefits, from &lt;1000 DALYs averted a year (for some components of cancer treatments or aspirin for acute ischaemic stroke) to &gt;300,000 averted DALYs (for aggressive combinations of interventions to deal with alcohol use or cardiovascular risks). Interventions in this study spanned a wide range of average cost effectiveness ratios, differing by more than three orders of magnitude between the lowest and highest ratios. Overall, community and public health interventions such as non-personal interventions for alcohol use, tobacco use, and cardiovascular risks tended to have lower cost effectiveness ratios than many clinical interventions (of varying complexity). Even within the community and public health interventions, however, there was a 200-fold difference between the most and least cost effective strategies examined. Likewise, several clinical interventions appeared among the strategies with the lowest average cost effectiveness ratios-for example, cataract surgeries.\n\nCONCLUSIONS: Wide variations in costs and effects exist within and across intervention categories. For every major disease area examined, at least some strategies p\u2026", "author" : [ { "dropping-particle" : "", "family" : "Salomon", "given" : "Joshua A", "non-dropping-particle" : "", "parse-names" : false, "suffix" : "" }, { "dropping-particle" : "", "family" : "Carvalho", "given" : "Natalie", "non-dropping-particle" : "", "parse-names" : false, "suffix" : "" }, { "dropping-particle" : "", "family" : "Guti\u00e9rrez-Delgado", "given" : "Cristina", "non-dropping-particle" : "", "parse-names" : false, "suffix" : "" }, { "dropping-particle" : "", "family" : "Orozco", "given" : "Ricardo", "non-dropping-particle" : "", "parse-names" : false, "suffix" : "" }, { "dropping-particle" : "", "family" : "Mancuso", "given" : "Anna", "non-dropping-particle" : "", "parse-names" : false, "suffix" : "" }, { "dropping-particle" : "", "family" : "Hogan", "given" : "Daniel R", "non-dropping-particle" : "", "parse-names" : false, "suffix" : "" }, { "dropping-particle" : "", "family" : "Lee", "given" : "Diana", "non-dropping-particle" : "", "parse-names" : false, "suffix" : "" }, { "dropping-particle" : "", "family" : "Murakami", "given" : "Yuki", "non-dropping-particle" : "", "parse-names" : false, "suffix" : "" }, { "dropping-particle" : "", "family" : "Sridharan", "given" : "Lakshmi", "non-dropping-particle" : "", "parse-names" : false, "suffix" : "" }, { "dropping-particle" : "", "family" : "Medina-Mora", "given" : "Mar\u00eda Elena", "non-dropping-particle" : "", "parse-names" : false, "suffix" : "" }, { "dropping-particle" : "", "family" : "Gonz\u00e1lez-Pier", "given" : "Eduardo", "non-dropping-particle" : "", "parse-names" : false, "suffix" : "" } ], "container-title" : "BMJ (Clinical research ed.)", "id" : "ITEM-1", "issue" : "mar02_1", "issued" : { "date-parts" : [ [ "2012", "1", "2" ] ] }, "page" : "e355", "title" : "Intervention strategies to reduce the burden of non-communicable diseases in Mexico: cost effectiveness analysis.", "type" : "article-journal", "volume" : "344" }, "uris" : [ "http://www.mendeley.com/documents/?uuid=b65f8e93-ffb6-479f-a2d9-ee62f2c1ab4c" ] } ], "mendeley" : { "formattedCitation" : "(Salomon et al. 2012)", "plainTextFormattedCitation" : "(Salomon et al. 2012)", "previouslyFormattedCitation" : "(Salomon et al. 2012)" }, "properties" : { "noteIndex" : 0 }, "schema" : "https://github.com/citation-style-language/schema/raw/master/csl-citation.json" }</w:instrText>
            </w:r>
            <w:r w:rsidRPr="00FE26CF">
              <w:rPr>
                <w:rFonts w:eastAsia="Times New Roman" w:cs="Arial"/>
                <w:sz w:val="16"/>
                <w:szCs w:val="16"/>
                <w:lang w:val="es-ES"/>
              </w:rPr>
              <w:fldChar w:fldCharType="separate"/>
            </w:r>
            <w:r w:rsidRPr="00FE26CF">
              <w:rPr>
                <w:rFonts w:eastAsia="Times New Roman" w:cs="Arial"/>
                <w:noProof/>
                <w:color w:val="auto"/>
                <w:sz w:val="16"/>
                <w:szCs w:val="16"/>
                <w:lang w:val="es-ES"/>
              </w:rPr>
              <w:t>(Salomon et al. 2012)</w:t>
            </w:r>
            <w:r w:rsidRPr="00FE26CF">
              <w:rPr>
                <w:rFonts w:eastAsia="Times New Roman" w:cs="Arial"/>
                <w:sz w:val="16"/>
                <w:szCs w:val="16"/>
                <w:lang w:val="es-ES"/>
              </w:rPr>
              <w:fldChar w:fldCharType="end"/>
            </w:r>
          </w:p>
        </w:tc>
      </w:tr>
      <w:tr w:rsidR="009E4400" w:rsidRPr="00FE26CF" w:rsidTr="000D3F7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hideMark/>
          </w:tcPr>
          <w:p w:rsidR="009E4400" w:rsidRPr="00FE26CF" w:rsidRDefault="009E4400" w:rsidP="00805ED8">
            <w:pPr>
              <w:spacing w:after="0" w:line="240" w:lineRule="auto"/>
              <w:rPr>
                <w:rFonts w:eastAsia="Times New Roman" w:cs="Arial"/>
                <w:b w:val="0"/>
                <w:bCs w:val="0"/>
                <w:color w:val="auto"/>
                <w:sz w:val="16"/>
                <w:szCs w:val="16"/>
                <w:lang w:val="es-ES"/>
              </w:rPr>
            </w:pPr>
            <w:r w:rsidRPr="00FE26CF">
              <w:rPr>
                <w:rFonts w:eastAsia="Times New Roman" w:cs="Arial"/>
                <w:b w:val="0"/>
                <w:bCs w:val="0"/>
                <w:color w:val="auto"/>
                <w:sz w:val="16"/>
                <w:szCs w:val="16"/>
                <w:lang w:val="es-ES"/>
              </w:rPr>
              <w:t> </w:t>
            </w:r>
          </w:p>
        </w:tc>
        <w:tc>
          <w:tcPr>
            <w:tcW w:w="0" w:type="auto"/>
            <w:hideMark/>
          </w:tcPr>
          <w:p w:rsidR="009E4400" w:rsidRPr="00FE26CF" w:rsidRDefault="009E4400" w:rsidP="00805ED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Toda la prevención secundaria de ACV</w:t>
            </w:r>
          </w:p>
        </w:tc>
        <w:tc>
          <w:tcPr>
            <w:tcW w:w="0" w:type="auto"/>
            <w:hideMark/>
          </w:tcPr>
          <w:p w:rsidR="009E4400" w:rsidRPr="00FE26CF" w:rsidRDefault="009E4400" w:rsidP="00805E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 </w:t>
            </w:r>
          </w:p>
        </w:tc>
        <w:tc>
          <w:tcPr>
            <w:tcW w:w="0" w:type="auto"/>
            <w:hideMark/>
          </w:tcPr>
          <w:p w:rsidR="009E4400" w:rsidRPr="00FE26CF" w:rsidRDefault="009E4400" w:rsidP="00805E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990</w:t>
            </w:r>
          </w:p>
        </w:tc>
        <w:tc>
          <w:tcPr>
            <w:tcW w:w="0" w:type="auto"/>
            <w:noWrap/>
            <w:hideMark/>
          </w:tcPr>
          <w:p w:rsidR="009E4400" w:rsidRPr="00FE26CF" w:rsidRDefault="009E4400" w:rsidP="00805ED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16"/>
                <w:szCs w:val="16"/>
                <w:lang w:val="es-ES"/>
              </w:rPr>
            </w:pPr>
            <w:r w:rsidRPr="00FE26CF">
              <w:rPr>
                <w:rFonts w:eastAsia="Times New Roman" w:cs="Arial"/>
                <w:sz w:val="16"/>
                <w:szCs w:val="16"/>
                <w:lang w:val="es-ES"/>
              </w:rPr>
              <w:fldChar w:fldCharType="begin" w:fldLock="1"/>
            </w:r>
            <w:r w:rsidRPr="00FE26CF">
              <w:rPr>
                <w:rFonts w:eastAsia="Times New Roman" w:cs="Arial"/>
                <w:color w:val="auto"/>
                <w:sz w:val="16"/>
                <w:szCs w:val="16"/>
                <w:lang w:val="es-ES"/>
              </w:rPr>
              <w:instrText>ADDIN CSL_CITATION { "citationItems" : [ { "id" : "ITEM-1", "itemData" : { "DOI" : "10.1136/bmj.e355", "ISSN" : "1756-1833", "PMID" : "22389335", "abstract" : "OBJECTIVE: To inform decision making regarding intervention strategies against non-communicable diseases in Mexico, in the context of health reform.\n\nDESIGN: Cost effectiveness analysis based on epidemiological modelling.\n\nINTERVENTIONS: 101 intervention strategies relating to nine major clusters of non-communicable disease: depression, heavy alcohol use, tobacco use, cataracts, breast cancer, cervical cancer, chronic obstructive pulmonary disease, cardiovascular disease, and diabetes.\n\nDATA SOURCES: Mexican data sources were used for most key input parameters, including administrative registries; disease burden and population estimates; household surveys; and drug price databases. These sources were supplemented as needed with estimates for Mexico from the WHO-CHOICE unit cost database or with estimates extrapolated from the published literature.\n\nMAIN OUTCOME MEASURES: Population health outcomes, measured in disability adjusted life years (DALYs); costs in 2005 international dollars ($Int); and costs per DALY.\n\nRESULTS: Across 101 intervention strategies examined in this study, average yearly costs at the population level would range from around \u2264$Int1m (such as for cataract surgeries) to &gt;$Int1bn for certain strategies for primary prevention in cardiovascular disease. Wide variation also appeared in total population health benefits, from &lt;1000 DALYs averted a year (for some components of cancer treatments or aspirin for acute ischaemic stroke) to &gt;300,000 averted DALYs (for aggressive combinations of interventions to deal with alcohol use or cardiovascular risks). Interventions in this study spanned a wide range of average cost effectiveness ratios, differing by more than three orders of magnitude between the lowest and highest ratios. Overall, community and public health interventions such as non-personal interventions for alcohol use, tobacco use, and cardiovascular risks tended to have lower cost effectiveness ratios than many clinical interventions (of varying complexity). Even within the community and public health interventions, however, there was a 200-fold difference between the most and least cost effective strategies examined. Likewise, several clinical interventions appeared among the strategies with the lowest average cost effectiveness ratios-for example, cataract surgeries.\n\nCONCLUSIONS: Wide variations in costs and effects exist within and across intervention categories. For every major disease area examined, at least some strategies p\u2026", "author" : [ { "dropping-particle" : "", "family" : "Salomon", "given" : "Joshua A", "non-dropping-particle" : "", "parse-names" : false, "suffix" : "" }, { "dropping-particle" : "", "family" : "Carvalho", "given" : "Natalie", "non-dropping-particle" : "", "parse-names" : false, "suffix" : "" }, { "dropping-particle" : "", "family" : "Guti\u00e9rrez-Delgado", "given" : "Cristina", "non-dropping-particle" : "", "parse-names" : false, "suffix" : "" }, { "dropping-particle" : "", "family" : "Orozco", "given" : "Ricardo", "non-dropping-particle" : "", "parse-names" : false, "suffix" : "" }, { "dropping-particle" : "", "family" : "Mancuso", "given" : "Anna", "non-dropping-particle" : "", "parse-names" : false, "suffix" : "" }, { "dropping-particle" : "", "family" : "Hogan", "given" : "Daniel R", "non-dropping-particle" : "", "parse-names" : false, "suffix" : "" }, { "dropping-particle" : "", "family" : "Lee", "given" : "Diana", "non-dropping-particle" : "", "parse-names" : false, "suffix" : "" }, { "dropping-particle" : "", "family" : "Murakami", "given" : "Yuki", "non-dropping-particle" : "", "parse-names" : false, "suffix" : "" }, { "dropping-particle" : "", "family" : "Sridharan", "given" : "Lakshmi", "non-dropping-particle" : "", "parse-names" : false, "suffix" : "" }, { "dropping-particle" : "", "family" : "Medina-Mora", "given" : "Mar\u00eda Elena", "non-dropping-particle" : "", "parse-names" : false, "suffix" : "" }, { "dropping-particle" : "", "family" : "Gonz\u00e1lez-Pier", "given" : "Eduardo", "non-dropping-particle" : "", "parse-names" : false, "suffix" : "" } ], "container-title" : "BMJ (Clinical research ed.)", "id" : "ITEM-1", "issue" : "mar02_1", "issued" : { "date-parts" : [ [ "2012", "1", "2" ] ] }, "page" : "e355", "title" : "Intervention strategies to reduce the burden of non-communicable diseases in Mexico: cost effectiveness analysis.", "type" : "article-journal", "volume" : "344" }, "uris" : [ "http://www.mendeley.com/documents/?uuid=b65f8e93-ffb6-479f-a2d9-ee62f2c1ab4c" ] } ], "mendeley" : { "formattedCitation" : "(Salomon et al. 2012)", "plainTextFormattedCitation" : "(Salomon et al. 2012)", "previouslyFormattedCitation" : "(Salomon et al. 2012)" }, "properties" : { "noteIndex" : 0 }, "schema" : "https://github.com/citation-style-language/schema/raw/master/csl-citation.json" }</w:instrText>
            </w:r>
            <w:r w:rsidRPr="00FE26CF">
              <w:rPr>
                <w:rFonts w:eastAsia="Times New Roman" w:cs="Arial"/>
                <w:sz w:val="16"/>
                <w:szCs w:val="16"/>
                <w:lang w:val="es-ES"/>
              </w:rPr>
              <w:fldChar w:fldCharType="separate"/>
            </w:r>
            <w:r w:rsidRPr="00FE26CF">
              <w:rPr>
                <w:rFonts w:eastAsia="Times New Roman" w:cs="Arial"/>
                <w:noProof/>
                <w:color w:val="auto"/>
                <w:sz w:val="16"/>
                <w:szCs w:val="16"/>
                <w:lang w:val="es-ES"/>
              </w:rPr>
              <w:t>(Salomon et al. 2012)</w:t>
            </w:r>
            <w:r w:rsidRPr="00FE26CF">
              <w:rPr>
                <w:rFonts w:eastAsia="Times New Roman" w:cs="Arial"/>
                <w:sz w:val="16"/>
                <w:szCs w:val="16"/>
                <w:lang w:val="es-ES"/>
              </w:rPr>
              <w:fldChar w:fldCharType="end"/>
            </w:r>
          </w:p>
        </w:tc>
      </w:tr>
      <w:tr w:rsidR="009E4400" w:rsidRPr="00FE26CF" w:rsidTr="000D3F77">
        <w:trPr>
          <w:trHeight w:val="280"/>
        </w:trPr>
        <w:tc>
          <w:tcPr>
            <w:cnfStyle w:val="001000000000" w:firstRow="0" w:lastRow="0" w:firstColumn="1" w:lastColumn="0" w:oddVBand="0" w:evenVBand="0" w:oddHBand="0" w:evenHBand="0" w:firstRowFirstColumn="0" w:firstRowLastColumn="0" w:lastRowFirstColumn="0" w:lastRowLastColumn="0"/>
            <w:tcW w:w="0" w:type="auto"/>
            <w:hideMark/>
          </w:tcPr>
          <w:p w:rsidR="009E4400" w:rsidRPr="00FE26CF" w:rsidRDefault="009E4400" w:rsidP="00805ED8">
            <w:pPr>
              <w:spacing w:after="0" w:line="240" w:lineRule="auto"/>
              <w:rPr>
                <w:rFonts w:eastAsia="Times New Roman" w:cs="Arial"/>
                <w:b w:val="0"/>
                <w:bCs w:val="0"/>
                <w:color w:val="auto"/>
                <w:sz w:val="16"/>
                <w:szCs w:val="16"/>
                <w:lang w:val="es-ES"/>
              </w:rPr>
            </w:pPr>
            <w:r w:rsidRPr="00FE26CF">
              <w:rPr>
                <w:rFonts w:eastAsia="Times New Roman" w:cs="Arial"/>
                <w:b w:val="0"/>
                <w:bCs w:val="0"/>
                <w:color w:val="auto"/>
                <w:sz w:val="16"/>
                <w:szCs w:val="16"/>
                <w:lang w:val="es-ES"/>
              </w:rPr>
              <w:t> </w:t>
            </w:r>
          </w:p>
        </w:tc>
        <w:tc>
          <w:tcPr>
            <w:tcW w:w="0" w:type="auto"/>
            <w:hideMark/>
          </w:tcPr>
          <w:p w:rsidR="009E4400" w:rsidRPr="00FE26CF" w:rsidRDefault="009E4400" w:rsidP="00805ED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Endarterectomía carotidea</w:t>
            </w:r>
          </w:p>
        </w:tc>
        <w:tc>
          <w:tcPr>
            <w:tcW w:w="0" w:type="auto"/>
            <w:hideMark/>
          </w:tcPr>
          <w:p w:rsidR="009E4400" w:rsidRPr="00FE26CF" w:rsidRDefault="009E4400" w:rsidP="00805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 </w:t>
            </w:r>
          </w:p>
        </w:tc>
        <w:tc>
          <w:tcPr>
            <w:tcW w:w="0" w:type="auto"/>
            <w:hideMark/>
          </w:tcPr>
          <w:p w:rsidR="009E4400" w:rsidRPr="00FE26CF" w:rsidRDefault="009E4400" w:rsidP="00805E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493</w:t>
            </w:r>
          </w:p>
        </w:tc>
        <w:tc>
          <w:tcPr>
            <w:tcW w:w="0" w:type="auto"/>
            <w:noWrap/>
            <w:hideMark/>
          </w:tcPr>
          <w:p w:rsidR="009E4400" w:rsidRPr="00FE26CF" w:rsidRDefault="009E4400" w:rsidP="00805ED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sz w:val="16"/>
                <w:szCs w:val="16"/>
                <w:lang w:val="es-ES"/>
              </w:rPr>
            </w:pPr>
            <w:r w:rsidRPr="00FE26CF">
              <w:rPr>
                <w:rFonts w:eastAsia="Times New Roman" w:cs="Arial"/>
                <w:color w:val="auto"/>
                <w:sz w:val="16"/>
                <w:szCs w:val="16"/>
                <w:lang w:val="es-ES"/>
              </w:rPr>
              <w:t xml:space="preserve">DCP2 </w:t>
            </w:r>
            <w:r w:rsidRPr="00FE26CF">
              <w:rPr>
                <w:rFonts w:eastAsia="Times New Roman" w:cs="Arial"/>
                <w:sz w:val="16"/>
                <w:szCs w:val="16"/>
                <w:lang w:val="es-ES"/>
              </w:rPr>
              <w:fldChar w:fldCharType="begin" w:fldLock="1"/>
            </w:r>
            <w:r w:rsidRPr="00FE26CF">
              <w:rPr>
                <w:rFonts w:eastAsia="Times New Roman" w:cs="Arial"/>
                <w:color w:val="auto"/>
                <w:sz w:val="16"/>
                <w:szCs w:val="16"/>
                <w:lang w:val="es-ES"/>
              </w:rPr>
              <w:instrText>ADDIN CSL_CITATION { "citationItems" : [ { "id" : "ITEM-1", "itemData" : { "PMID" : "21250309", "author" : [ { "dropping-particle" : "", "family" : "Jamison", "given" : "Dean T", "non-dropping-particle" : "", "parse-names" : false, "suffix" : "" }, { "dropping-particle" : "", "family" : "Breman", "given" : "Joel G", "non-dropping-particle" : "", "parse-names" : false, "suffix" : "" }, { "dropping-particle" : "", "family" : "Measham", "given" : "Anthony R", "non-dropping-particle" : "", "parse-names" : false, "suffix" : "" }, { "dropping-particle" : "", "family" : "Alleyne", "given" : "George", "non-dropping-particle" : "", "parse-names" : false, "suffix" : "" }, { "dropping-particle" : "", "family" : "Claeson", "given" : "Mariam", "non-dropping-particle" : "", "parse-names" : false, "suffix" : "" }, { "dropping-particle" : "", "family" : "Evans", "given" : "David B", "non-dropping-particle" : "", "parse-names" : false, "suffix" : "" }, { "dropping-particle" : "", "family" : "Jha", "given" : "Prabhat", "non-dropping-particle" : "", "parse-names" : false, "suffix" : "" }, { "dropping-particle" : "", "family" : "Mills", "given" : "Anne", "non-dropping-particle" : "", "parse-names" : false, "suffix" : "" }, { "dropping-particle" : "", "family" : "Musgrove", "given" : "Philip", "non-dropping-particle" : "", "parse-names" : false, "suffix" : "" } ], "id" : "ITEM-1", "issued" : { "date-parts" : [ [ "2006" ] ] }, "language" : "en", "publisher" : "World Bank", "title" : "Disease Control Priorities in Developing Countries", "type" : "article" }, "uris" : [ "http://www.mendeley.com/documents/?uuid=64a8ed3c-bb59-4fc6-ab56-b821ebef995e" ] } ], "mendeley" : { "formattedCitation" : "(Jamison et al. 2006)", "plainTextFormattedCitation" : "(Jamison et al. 2006)", "previouslyFormattedCitation" : "(Jamison et al. 2006)" }, "properties" : { "noteIndex" : 0 }, "schema" : "https://github.com/citation-style-language/schema/raw/master/csl-citation.json" }</w:instrText>
            </w:r>
            <w:r w:rsidRPr="00FE26CF">
              <w:rPr>
                <w:rFonts w:eastAsia="Times New Roman" w:cs="Arial"/>
                <w:sz w:val="16"/>
                <w:szCs w:val="16"/>
                <w:lang w:val="es-ES"/>
              </w:rPr>
              <w:fldChar w:fldCharType="separate"/>
            </w:r>
            <w:r w:rsidRPr="00FE26CF">
              <w:rPr>
                <w:rFonts w:eastAsia="Times New Roman" w:cs="Arial"/>
                <w:noProof/>
                <w:color w:val="auto"/>
                <w:sz w:val="16"/>
                <w:szCs w:val="16"/>
                <w:lang w:val="es-ES"/>
              </w:rPr>
              <w:t>(Jamison et al. 2006)</w:t>
            </w:r>
            <w:r w:rsidRPr="00FE26CF">
              <w:rPr>
                <w:rFonts w:eastAsia="Times New Roman" w:cs="Arial"/>
                <w:sz w:val="16"/>
                <w:szCs w:val="16"/>
                <w:lang w:val="es-ES"/>
              </w:rPr>
              <w:fldChar w:fldCharType="end"/>
            </w:r>
          </w:p>
        </w:tc>
      </w:tr>
    </w:tbl>
    <w:p w:rsidR="00230803" w:rsidRPr="00FE26CF" w:rsidRDefault="00FA34E2" w:rsidP="00230803">
      <w:pPr>
        <w:autoSpaceDE w:val="0"/>
        <w:autoSpaceDN w:val="0"/>
        <w:adjustRightInd w:val="0"/>
        <w:spacing w:before="120" w:after="120" w:line="240" w:lineRule="auto"/>
        <w:jc w:val="both"/>
        <w:rPr>
          <w:rFonts w:cs="Arial"/>
          <w:sz w:val="20"/>
          <w:szCs w:val="20"/>
          <w:lang w:val="es-ES"/>
        </w:rPr>
      </w:pPr>
      <w:r w:rsidRPr="00FE26CF">
        <w:rPr>
          <w:rFonts w:cs="Arial"/>
          <w:i/>
          <w:sz w:val="20"/>
          <w:szCs w:val="20"/>
          <w:lang w:val="es-ES"/>
        </w:rPr>
        <w:t>Fuente</w:t>
      </w:r>
      <w:r w:rsidRPr="00FE26CF">
        <w:rPr>
          <w:rFonts w:cs="Arial"/>
          <w:sz w:val="20"/>
          <w:szCs w:val="20"/>
          <w:lang w:val="es-ES"/>
        </w:rPr>
        <w:t xml:space="preserve">: elaboración propia a partir de referencias </w:t>
      </w:r>
      <w:r w:rsidR="00893637" w:rsidRPr="00FE26CF">
        <w:rPr>
          <w:rFonts w:cs="Arial"/>
          <w:sz w:val="20"/>
          <w:szCs w:val="20"/>
          <w:lang w:val="es-ES"/>
        </w:rPr>
        <w:t>indicadas en la tabla</w:t>
      </w:r>
      <w:r w:rsidR="00AA3F6C">
        <w:rPr>
          <w:rFonts w:cs="Arial"/>
          <w:sz w:val="20"/>
          <w:szCs w:val="20"/>
          <w:lang w:val="es-ES"/>
        </w:rPr>
        <w:t>; en el caso de WHO-CHOICE se toman como referencia los valores para la región América B, que incluye a Brasil.</w:t>
      </w:r>
    </w:p>
    <w:p w:rsidR="00230803" w:rsidRPr="00FE26CF" w:rsidRDefault="00230803" w:rsidP="00620E0A">
      <w:pPr>
        <w:pStyle w:val="Heading2"/>
        <w:numPr>
          <w:ilvl w:val="0"/>
          <w:numId w:val="39"/>
        </w:numPr>
        <w:rPr>
          <w:lang w:val="es-ES"/>
        </w:rPr>
      </w:pPr>
      <w:bookmarkStart w:id="20" w:name="_Toc296257188"/>
      <w:bookmarkStart w:id="21" w:name="_Toc422838016"/>
      <w:r w:rsidRPr="00FE26CF">
        <w:rPr>
          <w:lang w:val="es-ES"/>
        </w:rPr>
        <w:lastRenderedPageBreak/>
        <w:t>Procedimiento para la evaluación</w:t>
      </w:r>
      <w:bookmarkEnd w:id="20"/>
      <w:r w:rsidR="009E4400" w:rsidRPr="00FE26CF">
        <w:rPr>
          <w:lang w:val="es-ES"/>
        </w:rPr>
        <w:t xml:space="preserve"> económica</w:t>
      </w:r>
      <w:bookmarkEnd w:id="21"/>
    </w:p>
    <w:p w:rsidR="007C5B35" w:rsidRPr="00FE26CF" w:rsidRDefault="007C5B35" w:rsidP="00C20229">
      <w:pPr>
        <w:spacing w:before="120" w:after="120" w:line="240" w:lineRule="auto"/>
        <w:jc w:val="both"/>
        <w:rPr>
          <w:rFonts w:cs="Arial"/>
          <w:sz w:val="22"/>
          <w:lang w:val="es-ES"/>
        </w:rPr>
      </w:pPr>
      <w:r w:rsidRPr="00FE26CF">
        <w:rPr>
          <w:rFonts w:cs="Arial"/>
          <w:sz w:val="22"/>
          <w:lang w:val="es-ES"/>
        </w:rPr>
        <w:t>Para calcular el efecto del proyecto en la población de Ceará se asume que si bien parte la población ya está cubierta, las mejoras en la gestión y la inversión en equipamiento tendrá</w:t>
      </w:r>
      <w:r w:rsidR="004C3CAF" w:rsidRPr="00FE26CF">
        <w:rPr>
          <w:rFonts w:cs="Arial"/>
          <w:sz w:val="22"/>
          <w:lang w:val="es-ES"/>
        </w:rPr>
        <w:t>n</w:t>
      </w:r>
      <w:r w:rsidRPr="00FE26CF">
        <w:rPr>
          <w:rFonts w:cs="Arial"/>
          <w:sz w:val="22"/>
          <w:lang w:val="es-ES"/>
        </w:rPr>
        <w:t xml:space="preserve"> un impacto positivo en la cobertura de los servicios de salud</w:t>
      </w:r>
      <w:r w:rsidR="00C20229" w:rsidRPr="00FE26CF">
        <w:rPr>
          <w:rFonts w:cs="Arial"/>
          <w:sz w:val="22"/>
          <w:lang w:val="es-ES"/>
        </w:rPr>
        <w:t xml:space="preserve">. </w:t>
      </w:r>
      <w:r w:rsidRPr="00FE26CF">
        <w:rPr>
          <w:rFonts w:cs="Arial"/>
          <w:sz w:val="22"/>
          <w:lang w:val="es-ES"/>
        </w:rPr>
        <w:t xml:space="preserve">Por tanto, se define un parámetro de efectividad marginal de las intervenciones, que representa el incremento intensivo y extensivo de la cobertura efectiva. Por ejemplo, </w:t>
      </w:r>
      <w:r w:rsidR="00C20229" w:rsidRPr="00FE26CF">
        <w:rPr>
          <w:rFonts w:cs="Arial"/>
          <w:sz w:val="22"/>
          <w:lang w:val="es-ES"/>
        </w:rPr>
        <w:t xml:space="preserve">para que el factor marginal de las intervenciones sea igual a 1 se requiere una línea de cuidado nueva (incluyendo la infraestructura y los protocolos de atención) con cobertura efectiva </w:t>
      </w:r>
      <w:r w:rsidR="009E4400" w:rsidRPr="00FE26CF">
        <w:rPr>
          <w:rFonts w:cs="Arial"/>
          <w:sz w:val="22"/>
          <w:lang w:val="es-ES"/>
        </w:rPr>
        <w:t>al 100% de la población</w:t>
      </w:r>
      <w:r w:rsidR="00C20229" w:rsidRPr="00E95B43">
        <w:rPr>
          <w:rFonts w:cs="Arial"/>
          <w:sz w:val="22"/>
          <w:lang w:val="es-ES"/>
        </w:rPr>
        <w:t xml:space="preserve">. En este proyecto no se consideran </w:t>
      </w:r>
      <w:r w:rsidR="002A3D8F" w:rsidRPr="00E95B43">
        <w:rPr>
          <w:rFonts w:cs="Arial"/>
          <w:sz w:val="22"/>
          <w:lang w:val="es-ES"/>
        </w:rPr>
        <w:t>intervenciones para condiciones previamente desatendidas</w:t>
      </w:r>
      <w:r w:rsidR="00C20229" w:rsidRPr="00E95B43">
        <w:rPr>
          <w:rFonts w:cs="Arial"/>
          <w:sz w:val="22"/>
          <w:lang w:val="es-ES"/>
        </w:rPr>
        <w:t xml:space="preserve">, </w:t>
      </w:r>
      <w:r w:rsidR="00E0614F" w:rsidRPr="00E95B43">
        <w:rPr>
          <w:rFonts w:cs="Arial"/>
          <w:sz w:val="22"/>
          <w:lang w:val="es-ES"/>
        </w:rPr>
        <w:t>sino</w:t>
      </w:r>
      <w:r w:rsidR="00FC3670" w:rsidRPr="00E95B43">
        <w:rPr>
          <w:rFonts w:cs="Arial"/>
          <w:sz w:val="22"/>
          <w:lang w:val="es-ES"/>
        </w:rPr>
        <w:t xml:space="preserve"> una </w:t>
      </w:r>
      <w:r w:rsidR="00E0614F" w:rsidRPr="00E95B43">
        <w:rPr>
          <w:rFonts w:cs="Arial"/>
          <w:sz w:val="22"/>
          <w:lang w:val="es-ES"/>
        </w:rPr>
        <w:t>ampliación</w:t>
      </w:r>
      <w:r w:rsidR="00FC3670" w:rsidRPr="00E95B43">
        <w:rPr>
          <w:rFonts w:cs="Arial"/>
          <w:sz w:val="22"/>
          <w:lang w:val="es-ES_tradnl"/>
        </w:rPr>
        <w:t xml:space="preserve"> en la cobertura así como</w:t>
      </w:r>
      <w:r w:rsidR="00C20229" w:rsidRPr="00E95B43">
        <w:rPr>
          <w:rFonts w:cs="Arial"/>
          <w:sz w:val="22"/>
          <w:lang w:val="es-ES"/>
        </w:rPr>
        <w:t xml:space="preserve"> el fortalecimiento de la gestión y la mejora de protocolos </w:t>
      </w:r>
      <w:r w:rsidR="002A3D8F" w:rsidRPr="00E95B43">
        <w:rPr>
          <w:rFonts w:cs="Arial"/>
          <w:sz w:val="22"/>
          <w:lang w:val="es-ES"/>
        </w:rPr>
        <w:t xml:space="preserve">mediante el trabajo con líneas de cuidado </w:t>
      </w:r>
      <w:r w:rsidR="00C20229" w:rsidRPr="00E95B43">
        <w:rPr>
          <w:rFonts w:cs="Arial"/>
          <w:sz w:val="22"/>
          <w:lang w:val="es-ES"/>
        </w:rPr>
        <w:t>por lo que ningún valor es igual a 1.</w:t>
      </w:r>
      <w:r w:rsidR="00C20229" w:rsidRPr="00FE26CF">
        <w:rPr>
          <w:rFonts w:cs="Arial"/>
          <w:sz w:val="22"/>
          <w:lang w:val="es-ES"/>
        </w:rPr>
        <w:t xml:space="preserve"> Para este análisis se consideran tres escenarios de cobertura efectiva que se basan en e</w:t>
      </w:r>
      <w:r w:rsidR="00B956BE" w:rsidRPr="00FE26CF">
        <w:rPr>
          <w:rFonts w:cs="Arial"/>
          <w:sz w:val="22"/>
          <w:lang w:val="es-ES"/>
        </w:rPr>
        <w:t>l factor de eficiencia marginal. Adicionalmente se considera que los efectos serán diferentes en los municipios de la región metropolitana de Fortaleza que en el resto del estado y que la Red Cigüeña tendrá un incremento menor que el resto de las líneas de cuidado</w:t>
      </w:r>
      <w:r w:rsidR="009E4400" w:rsidRPr="00FE26CF">
        <w:rPr>
          <w:rFonts w:cs="Arial"/>
          <w:sz w:val="22"/>
          <w:lang w:val="es-ES"/>
        </w:rPr>
        <w:t>, pues es un tema que el estado de Ceará ha estado trabajando desde hace varios años</w:t>
      </w:r>
      <w:r w:rsidR="00B956BE" w:rsidRPr="00FE26CF">
        <w:rPr>
          <w:rFonts w:cs="Arial"/>
          <w:sz w:val="22"/>
          <w:lang w:val="es-ES"/>
        </w:rPr>
        <w:t xml:space="preserve">. Los parámetros específicos se muestran en la </w:t>
      </w:r>
      <w:r w:rsidR="009A7753" w:rsidRPr="00FE26CF">
        <w:rPr>
          <w:rFonts w:cs="Arial"/>
          <w:sz w:val="22"/>
          <w:lang w:val="es-ES"/>
        </w:rPr>
        <w:fldChar w:fldCharType="begin"/>
      </w:r>
      <w:r w:rsidR="009A7753" w:rsidRPr="00FE26CF">
        <w:rPr>
          <w:rFonts w:cs="Arial"/>
          <w:sz w:val="22"/>
          <w:lang w:val="es-ES"/>
        </w:rPr>
        <w:instrText xml:space="preserve"> REF _Ref296084206 \h </w:instrText>
      </w:r>
      <w:r w:rsidR="000B185D" w:rsidRPr="00FE26CF">
        <w:rPr>
          <w:rFonts w:cs="Arial"/>
          <w:sz w:val="22"/>
          <w:lang w:val="es-ES"/>
        </w:rPr>
        <w:instrText xml:space="preserve"> \* MERGEFORMAT </w:instrText>
      </w:r>
      <w:r w:rsidR="009A7753" w:rsidRPr="00FE26CF">
        <w:rPr>
          <w:rFonts w:cs="Arial"/>
          <w:sz w:val="22"/>
          <w:lang w:val="es-ES"/>
        </w:rPr>
      </w:r>
      <w:r w:rsidR="009A7753" w:rsidRPr="00FE26CF">
        <w:rPr>
          <w:rFonts w:cs="Arial"/>
          <w:sz w:val="22"/>
          <w:lang w:val="es-ES"/>
        </w:rPr>
        <w:fldChar w:fldCharType="separate"/>
      </w:r>
      <w:r w:rsidR="0088018B" w:rsidRPr="00FE26CF">
        <w:rPr>
          <w:rFonts w:cs="Arial"/>
          <w:sz w:val="22"/>
          <w:lang w:val="es-ES"/>
        </w:rPr>
        <w:t xml:space="preserve">Tabla </w:t>
      </w:r>
      <w:r w:rsidR="0088018B" w:rsidRPr="00FE26CF">
        <w:rPr>
          <w:rFonts w:cs="Arial"/>
          <w:noProof/>
          <w:sz w:val="22"/>
          <w:lang w:val="es-ES"/>
        </w:rPr>
        <w:t>3</w:t>
      </w:r>
      <w:r w:rsidR="009A7753" w:rsidRPr="00FE26CF">
        <w:rPr>
          <w:rFonts w:cs="Arial"/>
          <w:sz w:val="22"/>
          <w:lang w:val="es-ES"/>
        </w:rPr>
        <w:fldChar w:fldCharType="end"/>
      </w:r>
      <w:r w:rsidR="009A7753" w:rsidRPr="00FE26CF">
        <w:rPr>
          <w:rFonts w:cs="Arial"/>
          <w:sz w:val="22"/>
          <w:lang w:val="es-ES"/>
        </w:rPr>
        <w:t>.</w:t>
      </w:r>
    </w:p>
    <w:p w:rsidR="00B956BE" w:rsidRPr="00FE26CF" w:rsidRDefault="00B956BE" w:rsidP="008C30C9">
      <w:pPr>
        <w:pStyle w:val="Caption"/>
        <w:rPr>
          <w:lang w:val="es-ES"/>
        </w:rPr>
      </w:pPr>
      <w:bookmarkStart w:id="22" w:name="_Ref296084206"/>
      <w:r w:rsidRPr="00FE26CF">
        <w:rPr>
          <w:lang w:val="es-ES"/>
        </w:rPr>
        <w:t xml:space="preserve">Tabla </w:t>
      </w:r>
      <w:r w:rsidRPr="00FE26CF">
        <w:rPr>
          <w:lang w:val="es-ES"/>
        </w:rPr>
        <w:fldChar w:fldCharType="begin"/>
      </w:r>
      <w:r w:rsidRPr="00FE26CF">
        <w:rPr>
          <w:lang w:val="es-ES"/>
        </w:rPr>
        <w:instrText xml:space="preserve"> SEQ Tabla \* ARABIC </w:instrText>
      </w:r>
      <w:r w:rsidRPr="00FE26CF">
        <w:rPr>
          <w:lang w:val="es-ES"/>
        </w:rPr>
        <w:fldChar w:fldCharType="separate"/>
      </w:r>
      <w:r w:rsidR="0088018B" w:rsidRPr="00FE26CF">
        <w:rPr>
          <w:noProof/>
          <w:lang w:val="es-ES"/>
        </w:rPr>
        <w:t>3</w:t>
      </w:r>
      <w:r w:rsidRPr="00FE26CF">
        <w:rPr>
          <w:lang w:val="es-ES"/>
        </w:rPr>
        <w:fldChar w:fldCharType="end"/>
      </w:r>
      <w:bookmarkEnd w:id="22"/>
      <w:r w:rsidRPr="00FE26CF">
        <w:rPr>
          <w:lang w:val="es-ES"/>
        </w:rPr>
        <w:t>. Escenarios de cobertura efectiva basados en el factor de eficiencia marginal</w:t>
      </w:r>
    </w:p>
    <w:tbl>
      <w:tblPr>
        <w:tblStyle w:val="MediumGrid3-Accent1"/>
        <w:tblW w:w="0" w:type="auto"/>
        <w:tblLook w:val="04A0" w:firstRow="1" w:lastRow="0" w:firstColumn="1" w:lastColumn="0" w:noHBand="0" w:noVBand="1"/>
      </w:tblPr>
      <w:tblGrid>
        <w:gridCol w:w="2178"/>
        <w:gridCol w:w="1225"/>
        <w:gridCol w:w="2474"/>
        <w:gridCol w:w="1225"/>
        <w:gridCol w:w="2474"/>
      </w:tblGrid>
      <w:tr w:rsidR="00B956BE" w:rsidRPr="00FE26CF" w:rsidTr="000B185D">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0" w:type="auto"/>
            <w:shd w:val="clear" w:color="auto" w:fill="548DD4" w:themeFill="text2" w:themeFillTint="99"/>
            <w:vAlign w:val="center"/>
            <w:hideMark/>
          </w:tcPr>
          <w:p w:rsidR="00B956BE" w:rsidRPr="00FE26CF" w:rsidRDefault="0039667A" w:rsidP="0039667A">
            <w:pPr>
              <w:spacing w:after="0" w:line="240" w:lineRule="auto"/>
              <w:jc w:val="center"/>
              <w:rPr>
                <w:rFonts w:eastAsia="Times New Roman" w:cs="Arial"/>
                <w:color w:val="000000"/>
                <w:sz w:val="18"/>
                <w:szCs w:val="18"/>
                <w:lang w:val="es-ES"/>
              </w:rPr>
            </w:pPr>
            <w:r w:rsidRPr="00FE26CF">
              <w:rPr>
                <w:rFonts w:eastAsia="Times New Roman" w:cs="Arial"/>
                <w:color w:val="000000"/>
                <w:sz w:val="18"/>
                <w:szCs w:val="18"/>
                <w:lang w:val="es-ES"/>
              </w:rPr>
              <w:t>Escenarios</w:t>
            </w:r>
          </w:p>
        </w:tc>
        <w:tc>
          <w:tcPr>
            <w:tcW w:w="0" w:type="auto"/>
            <w:gridSpan w:val="2"/>
            <w:shd w:val="clear" w:color="auto" w:fill="548DD4" w:themeFill="text2" w:themeFillTint="99"/>
            <w:vAlign w:val="center"/>
            <w:hideMark/>
          </w:tcPr>
          <w:p w:rsidR="00B956BE" w:rsidRPr="00FE26CF" w:rsidRDefault="00B956BE" w:rsidP="00B956B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lang w:val="es-ES"/>
              </w:rPr>
            </w:pPr>
            <w:r w:rsidRPr="00FE26CF">
              <w:rPr>
                <w:rFonts w:eastAsia="Times New Roman" w:cs="Arial"/>
                <w:color w:val="000000"/>
                <w:sz w:val="18"/>
                <w:szCs w:val="18"/>
                <w:lang w:val="es-ES"/>
              </w:rPr>
              <w:t>Fortaleza metropolitana</w:t>
            </w:r>
          </w:p>
        </w:tc>
        <w:tc>
          <w:tcPr>
            <w:tcW w:w="0" w:type="auto"/>
            <w:gridSpan w:val="2"/>
            <w:shd w:val="clear" w:color="auto" w:fill="548DD4" w:themeFill="text2" w:themeFillTint="99"/>
            <w:noWrap/>
            <w:vAlign w:val="center"/>
            <w:hideMark/>
          </w:tcPr>
          <w:p w:rsidR="00B956BE" w:rsidRPr="00FE26CF" w:rsidRDefault="00B956BE" w:rsidP="00B956B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lang w:val="es-ES"/>
              </w:rPr>
            </w:pPr>
            <w:r w:rsidRPr="00FE26CF">
              <w:rPr>
                <w:rFonts w:eastAsia="Times New Roman" w:cs="Arial"/>
                <w:color w:val="000000"/>
                <w:sz w:val="18"/>
                <w:szCs w:val="18"/>
                <w:lang w:val="es-ES"/>
              </w:rPr>
              <w:t>Resto de Ceará</w:t>
            </w:r>
          </w:p>
        </w:tc>
      </w:tr>
      <w:tr w:rsidR="00B956BE" w:rsidRPr="00064AF1" w:rsidTr="008C30C9">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0" w:type="auto"/>
            <w:shd w:val="clear" w:color="auto" w:fill="8DB3E2" w:themeFill="text2" w:themeFillTint="66"/>
            <w:noWrap/>
            <w:hideMark/>
          </w:tcPr>
          <w:p w:rsidR="00B956BE" w:rsidRPr="00FE26CF" w:rsidRDefault="00B956BE" w:rsidP="00B956BE">
            <w:pPr>
              <w:spacing w:after="0" w:line="240" w:lineRule="auto"/>
              <w:rPr>
                <w:rFonts w:eastAsia="Times New Roman" w:cs="Arial"/>
                <w:color w:val="000000"/>
                <w:sz w:val="18"/>
                <w:szCs w:val="18"/>
                <w:lang w:val="es-ES"/>
              </w:rPr>
            </w:pPr>
            <w:r w:rsidRPr="00FE26CF">
              <w:rPr>
                <w:rFonts w:eastAsia="Times New Roman" w:cs="Arial"/>
                <w:color w:val="000000"/>
                <w:sz w:val="18"/>
                <w:szCs w:val="18"/>
                <w:lang w:val="es-ES"/>
              </w:rPr>
              <w:t> </w:t>
            </w:r>
          </w:p>
        </w:tc>
        <w:tc>
          <w:tcPr>
            <w:tcW w:w="0" w:type="auto"/>
            <w:hideMark/>
          </w:tcPr>
          <w:p w:rsidR="00B956BE" w:rsidRPr="00FE26CF" w:rsidRDefault="00B956BE" w:rsidP="00B956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es-ES"/>
              </w:rPr>
            </w:pPr>
            <w:r w:rsidRPr="00FE26CF">
              <w:rPr>
                <w:rFonts w:eastAsia="Times New Roman" w:cs="Arial"/>
                <w:color w:val="000000"/>
                <w:sz w:val="18"/>
                <w:szCs w:val="18"/>
                <w:lang w:val="es-ES"/>
              </w:rPr>
              <w:t>Red Cigüeña</w:t>
            </w:r>
          </w:p>
        </w:tc>
        <w:tc>
          <w:tcPr>
            <w:tcW w:w="0" w:type="auto"/>
            <w:hideMark/>
          </w:tcPr>
          <w:p w:rsidR="00B956BE" w:rsidRPr="00FE26CF" w:rsidRDefault="00B956BE" w:rsidP="00B956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es-ES"/>
              </w:rPr>
            </w:pPr>
            <w:r w:rsidRPr="00FE26CF">
              <w:rPr>
                <w:rFonts w:eastAsia="Times New Roman" w:cs="Arial"/>
                <w:color w:val="000000"/>
                <w:sz w:val="18"/>
                <w:szCs w:val="18"/>
                <w:lang w:val="es-ES"/>
              </w:rPr>
              <w:t>Resto de las líneas de cuidado</w:t>
            </w:r>
          </w:p>
        </w:tc>
        <w:tc>
          <w:tcPr>
            <w:tcW w:w="0" w:type="auto"/>
            <w:hideMark/>
          </w:tcPr>
          <w:p w:rsidR="00B956BE" w:rsidRPr="00FE26CF" w:rsidRDefault="00B956BE" w:rsidP="00B956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es-ES"/>
              </w:rPr>
            </w:pPr>
            <w:r w:rsidRPr="00FE26CF">
              <w:rPr>
                <w:rFonts w:eastAsia="Times New Roman" w:cs="Arial"/>
                <w:color w:val="000000"/>
                <w:sz w:val="18"/>
                <w:szCs w:val="18"/>
                <w:lang w:val="es-ES"/>
              </w:rPr>
              <w:t>Red Cigüeña</w:t>
            </w:r>
          </w:p>
        </w:tc>
        <w:tc>
          <w:tcPr>
            <w:tcW w:w="0" w:type="auto"/>
            <w:hideMark/>
          </w:tcPr>
          <w:p w:rsidR="00B956BE" w:rsidRPr="00FE26CF" w:rsidRDefault="00B956BE" w:rsidP="00B956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es-ES"/>
              </w:rPr>
            </w:pPr>
            <w:r w:rsidRPr="00FE26CF">
              <w:rPr>
                <w:rFonts w:eastAsia="Times New Roman" w:cs="Arial"/>
                <w:color w:val="000000"/>
                <w:sz w:val="18"/>
                <w:szCs w:val="18"/>
                <w:lang w:val="es-ES"/>
              </w:rPr>
              <w:t>Resto de las líneas de cuidado</w:t>
            </w:r>
          </w:p>
        </w:tc>
      </w:tr>
      <w:tr w:rsidR="00B956BE" w:rsidRPr="00FE26CF" w:rsidTr="008C30C9">
        <w:trPr>
          <w:trHeight w:val="280"/>
        </w:trPr>
        <w:tc>
          <w:tcPr>
            <w:cnfStyle w:val="001000000000" w:firstRow="0" w:lastRow="0" w:firstColumn="1" w:lastColumn="0" w:oddVBand="0" w:evenVBand="0" w:oddHBand="0" w:evenHBand="0" w:firstRowFirstColumn="0" w:firstRowLastColumn="0" w:lastRowFirstColumn="0" w:lastRowLastColumn="0"/>
            <w:tcW w:w="0" w:type="auto"/>
            <w:shd w:val="clear" w:color="auto" w:fill="8DB3E2" w:themeFill="text2" w:themeFillTint="66"/>
            <w:noWrap/>
            <w:hideMark/>
          </w:tcPr>
          <w:p w:rsidR="00B956BE" w:rsidRPr="00FE26CF" w:rsidRDefault="00B956BE" w:rsidP="00B956BE">
            <w:pPr>
              <w:spacing w:after="0" w:line="240" w:lineRule="auto"/>
              <w:rPr>
                <w:rFonts w:eastAsia="Times New Roman" w:cs="Arial"/>
                <w:color w:val="000000"/>
                <w:sz w:val="18"/>
                <w:szCs w:val="18"/>
                <w:lang w:val="es-ES"/>
              </w:rPr>
            </w:pPr>
            <w:r w:rsidRPr="00FE26CF">
              <w:rPr>
                <w:rFonts w:eastAsia="Times New Roman" w:cs="Arial"/>
                <w:color w:val="000000"/>
                <w:sz w:val="18"/>
                <w:szCs w:val="18"/>
                <w:lang w:val="es-ES"/>
              </w:rPr>
              <w:t>Escenario 1: Pesimista</w:t>
            </w:r>
          </w:p>
        </w:tc>
        <w:tc>
          <w:tcPr>
            <w:tcW w:w="0" w:type="auto"/>
            <w:noWrap/>
            <w:hideMark/>
          </w:tcPr>
          <w:p w:rsidR="00B956BE" w:rsidRPr="00FE26CF" w:rsidRDefault="00FC3670" w:rsidP="00FC36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s-ES"/>
              </w:rPr>
            </w:pPr>
            <w:r>
              <w:rPr>
                <w:rFonts w:eastAsia="Times New Roman" w:cs="Arial"/>
                <w:color w:val="000000"/>
                <w:sz w:val="18"/>
                <w:szCs w:val="18"/>
                <w:lang w:val="es-ES"/>
              </w:rPr>
              <w:t>10</w:t>
            </w:r>
            <w:r w:rsidR="00B956BE" w:rsidRPr="00FE26CF">
              <w:rPr>
                <w:rFonts w:eastAsia="Times New Roman" w:cs="Arial"/>
                <w:color w:val="000000"/>
                <w:sz w:val="18"/>
                <w:szCs w:val="18"/>
                <w:lang w:val="es-ES"/>
              </w:rPr>
              <w:t>%</w:t>
            </w:r>
          </w:p>
        </w:tc>
        <w:tc>
          <w:tcPr>
            <w:tcW w:w="0" w:type="auto"/>
            <w:noWrap/>
            <w:hideMark/>
          </w:tcPr>
          <w:p w:rsidR="00B956BE" w:rsidRPr="00FE26CF" w:rsidRDefault="00B956BE" w:rsidP="00B956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s-ES"/>
              </w:rPr>
            </w:pPr>
            <w:r w:rsidRPr="00FE26CF">
              <w:rPr>
                <w:rFonts w:eastAsia="Times New Roman" w:cs="Arial"/>
                <w:color w:val="000000"/>
                <w:sz w:val="18"/>
                <w:szCs w:val="18"/>
                <w:lang w:val="es-ES"/>
              </w:rPr>
              <w:t>5%</w:t>
            </w:r>
          </w:p>
        </w:tc>
        <w:tc>
          <w:tcPr>
            <w:tcW w:w="0" w:type="auto"/>
            <w:noWrap/>
            <w:hideMark/>
          </w:tcPr>
          <w:p w:rsidR="00B956BE" w:rsidRPr="00FE26CF" w:rsidRDefault="00B956BE" w:rsidP="00B956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s-ES"/>
              </w:rPr>
            </w:pPr>
            <w:r w:rsidRPr="00FE26CF">
              <w:rPr>
                <w:rFonts w:eastAsia="Times New Roman" w:cs="Arial"/>
                <w:color w:val="000000"/>
                <w:sz w:val="18"/>
                <w:szCs w:val="18"/>
                <w:lang w:val="es-ES"/>
              </w:rPr>
              <w:t>10%</w:t>
            </w:r>
          </w:p>
        </w:tc>
        <w:tc>
          <w:tcPr>
            <w:tcW w:w="0" w:type="auto"/>
            <w:noWrap/>
            <w:hideMark/>
          </w:tcPr>
          <w:p w:rsidR="00B956BE" w:rsidRPr="00FE26CF" w:rsidRDefault="002A3D8F" w:rsidP="00B956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s-ES"/>
              </w:rPr>
            </w:pPr>
            <w:r>
              <w:rPr>
                <w:rFonts w:eastAsia="Times New Roman" w:cs="Arial"/>
                <w:color w:val="000000"/>
                <w:sz w:val="18"/>
                <w:szCs w:val="18"/>
                <w:lang w:val="es-ES"/>
              </w:rPr>
              <w:t>2</w:t>
            </w:r>
            <w:r w:rsidR="00B956BE" w:rsidRPr="00FE26CF">
              <w:rPr>
                <w:rFonts w:eastAsia="Times New Roman" w:cs="Arial"/>
                <w:color w:val="000000"/>
                <w:sz w:val="18"/>
                <w:szCs w:val="18"/>
                <w:lang w:val="es-ES"/>
              </w:rPr>
              <w:t>0%</w:t>
            </w:r>
          </w:p>
        </w:tc>
      </w:tr>
      <w:tr w:rsidR="00B956BE" w:rsidRPr="00FE26CF" w:rsidTr="008C30C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shd w:val="clear" w:color="auto" w:fill="8DB3E2" w:themeFill="text2" w:themeFillTint="66"/>
            <w:noWrap/>
            <w:hideMark/>
          </w:tcPr>
          <w:p w:rsidR="00B956BE" w:rsidRPr="00FE26CF" w:rsidRDefault="00B956BE" w:rsidP="00B956BE">
            <w:pPr>
              <w:spacing w:after="0" w:line="240" w:lineRule="auto"/>
              <w:rPr>
                <w:rFonts w:eastAsia="Times New Roman" w:cs="Arial"/>
                <w:color w:val="000000"/>
                <w:sz w:val="18"/>
                <w:szCs w:val="18"/>
                <w:lang w:val="es-ES"/>
              </w:rPr>
            </w:pPr>
            <w:r w:rsidRPr="00FE26CF">
              <w:rPr>
                <w:rFonts w:eastAsia="Times New Roman" w:cs="Arial"/>
                <w:color w:val="000000"/>
                <w:sz w:val="18"/>
                <w:szCs w:val="18"/>
                <w:lang w:val="es-ES"/>
              </w:rPr>
              <w:t>Escenario 2: Medio</w:t>
            </w:r>
          </w:p>
        </w:tc>
        <w:tc>
          <w:tcPr>
            <w:tcW w:w="0" w:type="auto"/>
            <w:noWrap/>
            <w:hideMark/>
          </w:tcPr>
          <w:p w:rsidR="00B956BE" w:rsidRPr="00FE26CF" w:rsidRDefault="002A3D8F" w:rsidP="00B956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ES"/>
              </w:rPr>
            </w:pPr>
            <w:r>
              <w:rPr>
                <w:rFonts w:eastAsia="Times New Roman" w:cs="Arial"/>
                <w:sz w:val="18"/>
                <w:szCs w:val="18"/>
                <w:lang w:val="es-ES"/>
              </w:rPr>
              <w:t>1</w:t>
            </w:r>
            <w:r w:rsidR="00FC3670">
              <w:rPr>
                <w:rFonts w:eastAsia="Times New Roman" w:cs="Arial"/>
                <w:sz w:val="18"/>
                <w:szCs w:val="18"/>
                <w:lang w:val="es-ES"/>
              </w:rPr>
              <w:t>5</w:t>
            </w:r>
            <w:r w:rsidR="00B956BE" w:rsidRPr="00FE26CF">
              <w:rPr>
                <w:rFonts w:eastAsia="Times New Roman" w:cs="Arial"/>
                <w:sz w:val="18"/>
                <w:szCs w:val="18"/>
                <w:lang w:val="es-ES"/>
              </w:rPr>
              <w:t>%</w:t>
            </w:r>
          </w:p>
        </w:tc>
        <w:tc>
          <w:tcPr>
            <w:tcW w:w="0" w:type="auto"/>
            <w:noWrap/>
            <w:hideMark/>
          </w:tcPr>
          <w:p w:rsidR="00B956BE" w:rsidRPr="00FE26CF" w:rsidRDefault="00B956BE" w:rsidP="00B956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ES"/>
              </w:rPr>
            </w:pPr>
            <w:r w:rsidRPr="00FE26CF">
              <w:rPr>
                <w:rFonts w:eastAsia="Times New Roman" w:cs="Arial"/>
                <w:sz w:val="18"/>
                <w:szCs w:val="18"/>
                <w:lang w:val="es-ES"/>
              </w:rPr>
              <w:t>10%</w:t>
            </w:r>
          </w:p>
        </w:tc>
        <w:tc>
          <w:tcPr>
            <w:tcW w:w="0" w:type="auto"/>
            <w:noWrap/>
            <w:hideMark/>
          </w:tcPr>
          <w:p w:rsidR="00B956BE" w:rsidRPr="00FE26CF" w:rsidRDefault="00B956BE" w:rsidP="00B956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ES"/>
              </w:rPr>
            </w:pPr>
            <w:r w:rsidRPr="00FE26CF">
              <w:rPr>
                <w:rFonts w:eastAsia="Times New Roman" w:cs="Arial"/>
                <w:sz w:val="18"/>
                <w:szCs w:val="18"/>
                <w:lang w:val="es-ES"/>
              </w:rPr>
              <w:t>15%</w:t>
            </w:r>
          </w:p>
        </w:tc>
        <w:tc>
          <w:tcPr>
            <w:tcW w:w="0" w:type="auto"/>
            <w:noWrap/>
            <w:hideMark/>
          </w:tcPr>
          <w:p w:rsidR="00B956BE" w:rsidRPr="00FE26CF" w:rsidRDefault="00B956BE" w:rsidP="002A3D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ES"/>
              </w:rPr>
            </w:pPr>
            <w:r w:rsidRPr="00FE26CF">
              <w:rPr>
                <w:rFonts w:eastAsia="Times New Roman" w:cs="Arial"/>
                <w:sz w:val="18"/>
                <w:szCs w:val="18"/>
                <w:lang w:val="es-ES"/>
              </w:rPr>
              <w:t>3</w:t>
            </w:r>
            <w:r w:rsidR="002A3D8F">
              <w:rPr>
                <w:rFonts w:eastAsia="Times New Roman" w:cs="Arial"/>
                <w:sz w:val="18"/>
                <w:szCs w:val="18"/>
                <w:lang w:val="es-ES"/>
              </w:rPr>
              <w:t>0</w:t>
            </w:r>
            <w:r w:rsidRPr="00FE26CF">
              <w:rPr>
                <w:rFonts w:eastAsia="Times New Roman" w:cs="Arial"/>
                <w:sz w:val="18"/>
                <w:szCs w:val="18"/>
                <w:lang w:val="es-ES"/>
              </w:rPr>
              <w:t>%</w:t>
            </w:r>
          </w:p>
        </w:tc>
      </w:tr>
      <w:tr w:rsidR="00B956BE" w:rsidRPr="00FE26CF" w:rsidTr="008C30C9">
        <w:trPr>
          <w:trHeight w:val="280"/>
        </w:trPr>
        <w:tc>
          <w:tcPr>
            <w:cnfStyle w:val="001000000000" w:firstRow="0" w:lastRow="0" w:firstColumn="1" w:lastColumn="0" w:oddVBand="0" w:evenVBand="0" w:oddHBand="0" w:evenHBand="0" w:firstRowFirstColumn="0" w:firstRowLastColumn="0" w:lastRowFirstColumn="0" w:lastRowLastColumn="0"/>
            <w:tcW w:w="0" w:type="auto"/>
            <w:shd w:val="clear" w:color="auto" w:fill="8DB3E2" w:themeFill="text2" w:themeFillTint="66"/>
            <w:noWrap/>
            <w:hideMark/>
          </w:tcPr>
          <w:p w:rsidR="00B956BE" w:rsidRPr="00FE26CF" w:rsidRDefault="00B956BE" w:rsidP="00B956BE">
            <w:pPr>
              <w:spacing w:after="0" w:line="240" w:lineRule="auto"/>
              <w:rPr>
                <w:rFonts w:eastAsia="Times New Roman" w:cs="Arial"/>
                <w:color w:val="000000"/>
                <w:sz w:val="18"/>
                <w:szCs w:val="18"/>
                <w:lang w:val="es-ES"/>
              </w:rPr>
            </w:pPr>
            <w:r w:rsidRPr="00FE26CF">
              <w:rPr>
                <w:rFonts w:eastAsia="Times New Roman" w:cs="Arial"/>
                <w:color w:val="000000"/>
                <w:sz w:val="18"/>
                <w:szCs w:val="18"/>
                <w:lang w:val="es-ES"/>
              </w:rPr>
              <w:t>Escenario 3: Optimista</w:t>
            </w:r>
          </w:p>
        </w:tc>
        <w:tc>
          <w:tcPr>
            <w:tcW w:w="0" w:type="auto"/>
            <w:noWrap/>
            <w:hideMark/>
          </w:tcPr>
          <w:p w:rsidR="00B956BE" w:rsidRPr="00FE26CF" w:rsidRDefault="0071353F" w:rsidP="007135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s-ES"/>
              </w:rPr>
            </w:pPr>
            <w:r>
              <w:rPr>
                <w:rFonts w:eastAsia="Times New Roman" w:cs="Arial"/>
                <w:sz w:val="18"/>
                <w:szCs w:val="18"/>
                <w:lang w:val="es-ES"/>
              </w:rPr>
              <w:t>20</w:t>
            </w:r>
            <w:r w:rsidR="00B956BE" w:rsidRPr="00FE26CF">
              <w:rPr>
                <w:rFonts w:eastAsia="Times New Roman" w:cs="Arial"/>
                <w:sz w:val="18"/>
                <w:szCs w:val="18"/>
                <w:lang w:val="es-ES"/>
              </w:rPr>
              <w:t>%</w:t>
            </w:r>
          </w:p>
        </w:tc>
        <w:tc>
          <w:tcPr>
            <w:tcW w:w="0" w:type="auto"/>
            <w:noWrap/>
            <w:hideMark/>
          </w:tcPr>
          <w:p w:rsidR="00B956BE" w:rsidRPr="00FE26CF" w:rsidRDefault="00B956BE" w:rsidP="00B956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s-ES"/>
              </w:rPr>
            </w:pPr>
            <w:r w:rsidRPr="00FE26CF">
              <w:rPr>
                <w:rFonts w:eastAsia="Times New Roman" w:cs="Arial"/>
                <w:sz w:val="18"/>
                <w:szCs w:val="18"/>
                <w:lang w:val="es-ES"/>
              </w:rPr>
              <w:t>15%</w:t>
            </w:r>
          </w:p>
        </w:tc>
        <w:tc>
          <w:tcPr>
            <w:tcW w:w="0" w:type="auto"/>
            <w:noWrap/>
            <w:hideMark/>
          </w:tcPr>
          <w:p w:rsidR="00B956BE" w:rsidRPr="00FE26CF" w:rsidRDefault="00B956BE" w:rsidP="00B956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s-ES"/>
              </w:rPr>
            </w:pPr>
            <w:r w:rsidRPr="00FE26CF">
              <w:rPr>
                <w:rFonts w:eastAsia="Times New Roman" w:cs="Arial"/>
                <w:sz w:val="18"/>
                <w:szCs w:val="18"/>
                <w:lang w:val="es-ES"/>
              </w:rPr>
              <w:t>20%</w:t>
            </w:r>
          </w:p>
        </w:tc>
        <w:tc>
          <w:tcPr>
            <w:tcW w:w="0" w:type="auto"/>
            <w:noWrap/>
            <w:hideMark/>
          </w:tcPr>
          <w:p w:rsidR="00B956BE" w:rsidRPr="00FE26CF" w:rsidRDefault="00B956BE" w:rsidP="002A3D8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s-ES"/>
              </w:rPr>
            </w:pPr>
            <w:r w:rsidRPr="00FE26CF">
              <w:rPr>
                <w:rFonts w:eastAsia="Times New Roman" w:cs="Arial"/>
                <w:sz w:val="18"/>
                <w:szCs w:val="18"/>
                <w:lang w:val="es-ES"/>
              </w:rPr>
              <w:t>4</w:t>
            </w:r>
            <w:r w:rsidR="002A3D8F">
              <w:rPr>
                <w:rFonts w:eastAsia="Times New Roman" w:cs="Arial"/>
                <w:sz w:val="18"/>
                <w:szCs w:val="18"/>
                <w:lang w:val="es-ES"/>
              </w:rPr>
              <w:t>0</w:t>
            </w:r>
            <w:r w:rsidRPr="00FE26CF">
              <w:rPr>
                <w:rFonts w:eastAsia="Times New Roman" w:cs="Arial"/>
                <w:sz w:val="18"/>
                <w:szCs w:val="18"/>
                <w:lang w:val="es-ES"/>
              </w:rPr>
              <w:t>%</w:t>
            </w:r>
          </w:p>
        </w:tc>
      </w:tr>
    </w:tbl>
    <w:p w:rsidR="00FB6D56" w:rsidRPr="00FE26CF" w:rsidRDefault="009A7753" w:rsidP="007C5B35">
      <w:pPr>
        <w:spacing w:before="120" w:after="120" w:line="240" w:lineRule="auto"/>
        <w:jc w:val="both"/>
        <w:rPr>
          <w:rFonts w:cs="Arial"/>
          <w:sz w:val="18"/>
          <w:szCs w:val="18"/>
          <w:lang w:val="es-ES"/>
        </w:rPr>
      </w:pPr>
      <w:r w:rsidRPr="00FE26CF">
        <w:rPr>
          <w:rFonts w:cs="Arial"/>
          <w:sz w:val="18"/>
          <w:szCs w:val="18"/>
          <w:lang w:val="es-ES"/>
        </w:rPr>
        <w:t>Fuente: Elaboració</w:t>
      </w:r>
      <w:r w:rsidR="00FB6D56" w:rsidRPr="00FE26CF">
        <w:rPr>
          <w:rFonts w:cs="Arial"/>
          <w:sz w:val="18"/>
          <w:szCs w:val="18"/>
          <w:lang w:val="es-ES"/>
        </w:rPr>
        <w:t>n de los autores.</w:t>
      </w:r>
    </w:p>
    <w:p w:rsidR="00796E98" w:rsidRPr="00E95B43" w:rsidRDefault="00796E98" w:rsidP="008C30C9">
      <w:pPr>
        <w:autoSpaceDE w:val="0"/>
        <w:autoSpaceDN w:val="0"/>
        <w:adjustRightInd w:val="0"/>
        <w:spacing w:before="240" w:after="120" w:line="240" w:lineRule="auto"/>
        <w:jc w:val="both"/>
        <w:rPr>
          <w:rFonts w:cs="Arial"/>
          <w:sz w:val="22"/>
          <w:lang w:val="es-ES"/>
        </w:rPr>
      </w:pPr>
      <w:r w:rsidRPr="00E95B43">
        <w:rPr>
          <w:rFonts w:cs="Arial"/>
          <w:sz w:val="22"/>
          <w:lang w:val="es-ES"/>
        </w:rPr>
        <w:t>Los valores pl</w:t>
      </w:r>
      <w:r w:rsidR="00FC3670" w:rsidRPr="00E95B43">
        <w:rPr>
          <w:rFonts w:cs="Arial"/>
          <w:sz w:val="22"/>
          <w:lang w:val="es-ES"/>
        </w:rPr>
        <w:t xml:space="preserve">anteados en la Tabla 3 incluyen las ganancias por un aumento en la calidad de la atención y un aumento por la cobertura. Sobre el primer valor existe poca evidencia, sin embargo sobre el indicador de cobertura de acuerdo con DATASUS </w:t>
      </w:r>
      <w:r w:rsidR="0071353F" w:rsidRPr="00E95B43">
        <w:rPr>
          <w:rFonts w:cs="Arial"/>
          <w:sz w:val="22"/>
          <w:lang w:val="es-ES"/>
        </w:rPr>
        <w:t xml:space="preserve">la cobertura de atención prenatal según la norma (al menos 7 consultas prenatales) es de </w:t>
      </w:r>
      <w:r w:rsidR="00FC3670" w:rsidRPr="00E95B43">
        <w:rPr>
          <w:rFonts w:cs="Arial"/>
          <w:sz w:val="22"/>
          <w:lang w:val="es-ES"/>
        </w:rPr>
        <w:t>60% en Ceará (50% en Fortaleza)</w:t>
      </w:r>
      <w:r w:rsidR="0071353F" w:rsidRPr="00E95B43">
        <w:rPr>
          <w:rFonts w:cs="Arial"/>
          <w:sz w:val="22"/>
          <w:lang w:val="es-ES"/>
        </w:rPr>
        <w:t>, lo que sugiere que aumentos de 10 puntos porcentuales son razonables dado que se invertirá en infraestructura además de en la implementación de líneas de cuidado. A este aumento hay que incrementar también ganancias por mejoras en la calidad en toda la población atendida (la que ya cumplía con la norma de atención y la nueva población que antes no cumplía con las atenciones requeridas). Por esta razón las ganancias de la Red Cigüeña se plantean entre 10% y 20% del total. Para las otras líneas de cuidado (Diabetes Mell</w:t>
      </w:r>
      <w:r w:rsidR="00CF5CB0" w:rsidRPr="00E95B43">
        <w:rPr>
          <w:rFonts w:cs="Arial"/>
          <w:sz w:val="22"/>
          <w:lang w:val="es-ES"/>
        </w:rPr>
        <w:t>itus y Accidentes Cerebr</w:t>
      </w:r>
      <w:r w:rsidR="0071353F" w:rsidRPr="00E95B43">
        <w:rPr>
          <w:rFonts w:cs="Arial"/>
          <w:sz w:val="22"/>
          <w:lang w:val="es-ES"/>
        </w:rPr>
        <w:t>o Vasculares)</w:t>
      </w:r>
      <w:r w:rsidR="00CF5CB0" w:rsidRPr="00E95B43">
        <w:rPr>
          <w:rFonts w:cs="Arial"/>
          <w:sz w:val="22"/>
          <w:lang w:val="es-ES"/>
        </w:rPr>
        <w:t xml:space="preserve"> no existe un indicador tan claro de cobertura como en el caso de mujeres embarazadas. Sin embargo, se parte del supuesto (informado por conversaciones con el equipo técnico de la SESA) que la </w:t>
      </w:r>
      <w:r w:rsidR="00B34B75" w:rsidRPr="00E95B43">
        <w:rPr>
          <w:rFonts w:cs="Arial"/>
          <w:sz w:val="22"/>
          <w:lang w:val="es-ES"/>
        </w:rPr>
        <w:t xml:space="preserve">cobertura es menor para éstas condiciones que en el caso de salud materna, por lo que los impactos esperados son mayores en Ceará (donde habrán </w:t>
      </w:r>
      <w:r w:rsidR="00E0614F" w:rsidRPr="00E95B43">
        <w:rPr>
          <w:rFonts w:cs="Arial"/>
          <w:sz w:val="22"/>
          <w:lang w:val="es-ES"/>
        </w:rPr>
        <w:t>mayores</w:t>
      </w:r>
      <w:r w:rsidR="00B34B75" w:rsidRPr="00E95B43">
        <w:rPr>
          <w:rFonts w:cs="Arial"/>
          <w:sz w:val="22"/>
          <w:lang w:val="es-ES"/>
        </w:rPr>
        <w:t xml:space="preserve"> inversiones en infraestructura) y similares en el caso de Fortaleza. Los valores, al igual que para la Red Cigüeña, </w:t>
      </w:r>
      <w:r w:rsidR="00E0614F" w:rsidRPr="00E95B43">
        <w:rPr>
          <w:rFonts w:cs="Arial"/>
          <w:sz w:val="22"/>
          <w:lang w:val="es-ES"/>
        </w:rPr>
        <w:t>incluyen ganancias potenciales por aumento de cobertura y por aumento en la calidad de los servicios.</w:t>
      </w:r>
    </w:p>
    <w:p w:rsidR="00FB6D56" w:rsidRPr="00FE26CF" w:rsidRDefault="00FA34E2" w:rsidP="008C30C9">
      <w:pPr>
        <w:autoSpaceDE w:val="0"/>
        <w:autoSpaceDN w:val="0"/>
        <w:adjustRightInd w:val="0"/>
        <w:spacing w:before="240" w:after="120" w:line="240" w:lineRule="auto"/>
        <w:jc w:val="both"/>
        <w:rPr>
          <w:rFonts w:cs="Arial"/>
          <w:sz w:val="22"/>
          <w:lang w:val="es-ES"/>
        </w:rPr>
      </w:pPr>
      <w:r w:rsidRPr="00FE26CF">
        <w:rPr>
          <w:rFonts w:cs="Arial"/>
          <w:sz w:val="22"/>
          <w:lang w:val="es-ES"/>
        </w:rPr>
        <w:lastRenderedPageBreak/>
        <w:t xml:space="preserve">Para asignar un valor monetario a los AVAD </w:t>
      </w:r>
      <w:r w:rsidR="00F707B0" w:rsidRPr="00FE26CF">
        <w:rPr>
          <w:rFonts w:cs="Arial"/>
          <w:sz w:val="22"/>
          <w:lang w:val="es-ES"/>
        </w:rPr>
        <w:t>ganados</w:t>
      </w:r>
      <w:r w:rsidR="00FB6D56" w:rsidRPr="00FE26CF">
        <w:rPr>
          <w:rFonts w:cs="Arial"/>
          <w:sz w:val="22"/>
          <w:lang w:val="es-ES"/>
        </w:rPr>
        <w:t xml:space="preserve"> por el proyecto, se presume que</w:t>
      </w:r>
      <w:r w:rsidRPr="00FE26CF">
        <w:rPr>
          <w:rFonts w:cs="Arial"/>
          <w:sz w:val="22"/>
          <w:lang w:val="es-ES"/>
        </w:rPr>
        <w:t xml:space="preserve"> estos equivalen a un año de productividad plena que se gana. </w:t>
      </w:r>
      <w:r w:rsidR="00FB6D56" w:rsidRPr="00FE26CF">
        <w:rPr>
          <w:rFonts w:cs="Arial"/>
          <w:sz w:val="22"/>
          <w:lang w:val="es-ES"/>
        </w:rPr>
        <w:t>Basado en este supuesto el aumento en</w:t>
      </w:r>
      <w:r w:rsidRPr="00FE26CF">
        <w:rPr>
          <w:rFonts w:cs="Arial"/>
          <w:sz w:val="22"/>
          <w:lang w:val="es-ES"/>
        </w:rPr>
        <w:t xml:space="preserve"> productivid</w:t>
      </w:r>
      <w:r w:rsidR="00FB6D56" w:rsidRPr="00FE26CF">
        <w:rPr>
          <w:rFonts w:cs="Arial"/>
          <w:sz w:val="22"/>
          <w:lang w:val="es-ES"/>
        </w:rPr>
        <w:t>ad se puede valorar utilizando el</w:t>
      </w:r>
      <w:r w:rsidRPr="00FE26CF">
        <w:rPr>
          <w:rFonts w:cs="Arial"/>
          <w:sz w:val="22"/>
          <w:lang w:val="es-ES"/>
        </w:rPr>
        <w:t xml:space="preserve"> PIB per cápita </w:t>
      </w:r>
      <w:r w:rsidR="00413005" w:rsidRPr="00FE26CF">
        <w:rPr>
          <w:rFonts w:cs="Arial"/>
          <w:sz w:val="22"/>
          <w:lang w:val="es-ES"/>
        </w:rPr>
        <w:t xml:space="preserve">en dólares </w:t>
      </w:r>
      <w:r w:rsidR="008336D2" w:rsidRPr="00FE26CF">
        <w:rPr>
          <w:rFonts w:cs="Arial"/>
          <w:sz w:val="22"/>
          <w:lang w:val="es-ES"/>
        </w:rPr>
        <w:t xml:space="preserve">de Ceará </w:t>
      </w:r>
      <w:r w:rsidR="004C3CAF" w:rsidRPr="00FE26CF">
        <w:rPr>
          <w:rFonts w:cs="Arial"/>
          <w:sz w:val="22"/>
          <w:lang w:val="es-ES"/>
        </w:rPr>
        <w:t xml:space="preserve">que ascendió a 5,371 dólares en 2012 </w:t>
      </w:r>
      <w:r w:rsidR="004C3CAF" w:rsidRPr="00FE26CF">
        <w:rPr>
          <w:rFonts w:cs="Arial"/>
          <w:sz w:val="22"/>
          <w:lang w:val="es-ES"/>
        </w:rPr>
        <w:fldChar w:fldCharType="begin" w:fldLock="1"/>
      </w:r>
      <w:r w:rsidR="00AC32AC" w:rsidRPr="00FE26CF">
        <w:rPr>
          <w:rFonts w:cs="Arial"/>
          <w:sz w:val="22"/>
          <w:lang w:val="es-ES"/>
        </w:rPr>
        <w:instrText>ADDIN CSL_CITATION { "citationItems" : [ { "id" : "ITEM-1", "itemData" : { "author" : [ { "dropping-particle" : "", "family" : "IBGE", "given" : "", "non-dropping-particle" : "", "parse-names" : false, "suffix" : "" } ], "container-title" : "Contas Nacionais", "id" : "ITEM-1", "issued" : { "date-parts" : [ [ "2014" ] ] }, "title" : "Contas Regionais do Brasil", "type" : "article-journal", "volume" : "42" }, "uris" : [ "http://www.mendeley.com/documents/?uuid=22a4750f-0083-42f8-85ba-1fa65873d7c7" ] } ], "mendeley" : { "formattedCitation" : "(IBGE 2014)", "plainTextFormattedCitation" : "(IBGE 2014)", "previouslyFormattedCitation" : "(IBGE 2014)" }, "properties" : { "noteIndex" : 0 }, "schema" : "https://github.com/citation-style-language/schema/raw/master/csl-citation.json" }</w:instrText>
      </w:r>
      <w:r w:rsidR="004C3CAF" w:rsidRPr="00FE26CF">
        <w:rPr>
          <w:rFonts w:cs="Arial"/>
          <w:sz w:val="22"/>
          <w:lang w:val="es-ES"/>
        </w:rPr>
        <w:fldChar w:fldCharType="separate"/>
      </w:r>
      <w:r w:rsidR="004C3CAF" w:rsidRPr="00FE26CF">
        <w:rPr>
          <w:rFonts w:cs="Arial"/>
          <w:noProof/>
          <w:sz w:val="22"/>
          <w:lang w:val="es-ES"/>
        </w:rPr>
        <w:t>(IBGE 2014)</w:t>
      </w:r>
      <w:r w:rsidR="004C3CAF" w:rsidRPr="00FE26CF">
        <w:rPr>
          <w:rFonts w:cs="Arial"/>
          <w:sz w:val="22"/>
          <w:lang w:val="es-ES"/>
        </w:rPr>
        <w:fldChar w:fldCharType="end"/>
      </w:r>
      <w:r w:rsidR="004C3CAF" w:rsidRPr="00FE26CF">
        <w:rPr>
          <w:rStyle w:val="FootnoteReference"/>
          <w:rFonts w:cs="Arial"/>
          <w:sz w:val="22"/>
          <w:lang w:val="es-ES"/>
        </w:rPr>
        <w:footnoteReference w:id="25"/>
      </w:r>
      <w:r w:rsidRPr="00FE26CF">
        <w:rPr>
          <w:rFonts w:cs="Arial"/>
          <w:sz w:val="22"/>
          <w:lang w:val="es-ES"/>
        </w:rPr>
        <w:t>.</w:t>
      </w:r>
      <w:r w:rsidR="00FB6D56" w:rsidRPr="00FE26CF">
        <w:rPr>
          <w:rFonts w:cs="Arial"/>
          <w:sz w:val="22"/>
          <w:lang w:val="es-ES"/>
        </w:rPr>
        <w:t xml:space="preserve"> Es decir que las ganancias se estiman a partir de los AVADs por cada millón de</w:t>
      </w:r>
      <w:r w:rsidR="00EE705A" w:rsidRPr="00FE26CF">
        <w:rPr>
          <w:rFonts w:cs="Arial"/>
          <w:sz w:val="22"/>
          <w:lang w:val="es-ES"/>
        </w:rPr>
        <w:t xml:space="preserve"> </w:t>
      </w:r>
      <w:r w:rsidR="00FB6D56" w:rsidRPr="00FE26CF">
        <w:rPr>
          <w:rFonts w:cs="Arial"/>
          <w:sz w:val="22"/>
          <w:lang w:val="es-ES"/>
        </w:rPr>
        <w:t>habitantes ajustados por el factor de eficiencia marginal de las líneas de cuidado multiplicados por el PIB per cápita</w:t>
      </w:r>
      <w:r w:rsidR="000A39C3" w:rsidRPr="00FE26CF">
        <w:rPr>
          <w:rStyle w:val="FootnoteReference"/>
          <w:rFonts w:cs="Arial"/>
          <w:sz w:val="22"/>
          <w:lang w:val="es-ES"/>
        </w:rPr>
        <w:footnoteReference w:id="26"/>
      </w:r>
      <w:r w:rsidR="00FB6D56" w:rsidRPr="00FE26CF">
        <w:rPr>
          <w:rFonts w:cs="Arial"/>
          <w:sz w:val="22"/>
          <w:lang w:val="es-ES"/>
        </w:rPr>
        <w:t>.</w:t>
      </w:r>
      <w:r w:rsidR="000A39C3" w:rsidRPr="00FE26CF">
        <w:rPr>
          <w:rFonts w:cs="Arial"/>
          <w:sz w:val="22"/>
          <w:lang w:val="es-ES"/>
        </w:rPr>
        <w:t xml:space="preserve"> </w:t>
      </w:r>
      <w:r w:rsidR="00EE705A" w:rsidRPr="00FE26CF">
        <w:rPr>
          <w:rFonts w:cs="Arial"/>
          <w:sz w:val="22"/>
          <w:lang w:val="es-ES"/>
        </w:rPr>
        <w:t xml:space="preserve">Para medir los beneficios esperados en los 5 años posteriores a la implementación del proyecto se </w:t>
      </w:r>
      <w:r w:rsidR="00722247" w:rsidRPr="00FE26CF">
        <w:rPr>
          <w:rFonts w:cs="Arial"/>
          <w:sz w:val="22"/>
          <w:lang w:val="es-ES"/>
        </w:rPr>
        <w:t xml:space="preserve">consideran </w:t>
      </w:r>
      <w:r w:rsidR="00EE705A" w:rsidRPr="00FE26CF">
        <w:rPr>
          <w:rFonts w:cs="Arial"/>
          <w:sz w:val="22"/>
          <w:lang w:val="es-ES"/>
        </w:rPr>
        <w:t>tres escenarios que reflejan que los resultados no se obtienen de manera inmediata ya que se requiere un proceso de adaptación para los nuevos modelos de gestión y protocolos. En este sentido</w:t>
      </w:r>
      <w:r w:rsidR="00AC32AC" w:rsidRPr="00FE26CF">
        <w:rPr>
          <w:rFonts w:cs="Arial"/>
          <w:sz w:val="22"/>
          <w:lang w:val="es-ES"/>
        </w:rPr>
        <w:t xml:space="preserve"> se espera que</w:t>
      </w:r>
      <w:r w:rsidR="00EE705A" w:rsidRPr="00FE26CF">
        <w:rPr>
          <w:rFonts w:cs="Arial"/>
          <w:sz w:val="22"/>
          <w:lang w:val="es-ES"/>
        </w:rPr>
        <w:t xml:space="preserve"> solo hasta el último año se ob</w:t>
      </w:r>
      <w:r w:rsidR="00AC32AC" w:rsidRPr="00FE26CF">
        <w:rPr>
          <w:rFonts w:cs="Arial"/>
          <w:sz w:val="22"/>
          <w:lang w:val="es-ES"/>
        </w:rPr>
        <w:t>tenga la mayor proporción de los beneficios</w:t>
      </w:r>
      <w:r w:rsidR="009E4400" w:rsidRPr="00FE26CF">
        <w:rPr>
          <w:rFonts w:cs="Arial"/>
          <w:sz w:val="22"/>
          <w:lang w:val="es-ES"/>
        </w:rPr>
        <w:t>, mismos que posiblemente no se materialicen en su totalidad sino hasta después de concluidas las inversiones contempladas en esta operación</w:t>
      </w:r>
      <w:r w:rsidR="00EE705A" w:rsidRPr="00FE26CF">
        <w:rPr>
          <w:rFonts w:cs="Arial"/>
          <w:sz w:val="22"/>
          <w:lang w:val="es-ES"/>
        </w:rPr>
        <w:t xml:space="preserve">. La </w:t>
      </w:r>
      <w:r w:rsidR="00722247" w:rsidRPr="00FE26CF">
        <w:rPr>
          <w:rFonts w:cs="Arial"/>
          <w:sz w:val="22"/>
          <w:lang w:val="es-ES"/>
        </w:rPr>
        <w:fldChar w:fldCharType="begin"/>
      </w:r>
      <w:r w:rsidR="00722247" w:rsidRPr="00FE26CF">
        <w:rPr>
          <w:rFonts w:cs="Arial"/>
          <w:sz w:val="22"/>
          <w:lang w:val="es-ES"/>
        </w:rPr>
        <w:instrText xml:space="preserve"> REF _Ref296085977 \h </w:instrText>
      </w:r>
      <w:r w:rsidR="000B185D" w:rsidRPr="00FE26CF">
        <w:rPr>
          <w:rFonts w:cs="Arial"/>
          <w:sz w:val="22"/>
          <w:lang w:val="es-ES"/>
        </w:rPr>
        <w:instrText xml:space="preserve"> \* MERGEFORMAT </w:instrText>
      </w:r>
      <w:r w:rsidR="00722247" w:rsidRPr="00FE26CF">
        <w:rPr>
          <w:rFonts w:cs="Arial"/>
          <w:sz w:val="22"/>
          <w:lang w:val="es-ES"/>
        </w:rPr>
      </w:r>
      <w:r w:rsidR="00722247" w:rsidRPr="00FE26CF">
        <w:rPr>
          <w:rFonts w:cs="Arial"/>
          <w:sz w:val="22"/>
          <w:lang w:val="es-ES"/>
        </w:rPr>
        <w:fldChar w:fldCharType="separate"/>
      </w:r>
      <w:r w:rsidR="0088018B" w:rsidRPr="00FE26CF">
        <w:rPr>
          <w:rFonts w:cs="Arial"/>
          <w:sz w:val="22"/>
          <w:lang w:val="es-ES"/>
        </w:rPr>
        <w:t xml:space="preserve">Tabla </w:t>
      </w:r>
      <w:r w:rsidR="0088018B" w:rsidRPr="00FE26CF">
        <w:rPr>
          <w:rFonts w:cs="Arial"/>
          <w:noProof/>
          <w:sz w:val="22"/>
          <w:lang w:val="es-ES"/>
        </w:rPr>
        <w:t>4</w:t>
      </w:r>
      <w:r w:rsidR="00722247" w:rsidRPr="00FE26CF">
        <w:rPr>
          <w:rFonts w:cs="Arial"/>
          <w:sz w:val="22"/>
          <w:lang w:val="es-ES"/>
        </w:rPr>
        <w:fldChar w:fldCharType="end"/>
      </w:r>
      <w:r w:rsidR="00722247" w:rsidRPr="00FE26CF">
        <w:rPr>
          <w:rFonts w:cs="Arial"/>
          <w:sz w:val="22"/>
          <w:lang w:val="es-ES"/>
        </w:rPr>
        <w:t xml:space="preserve"> muestra los tres vectores de gradualidad utilizados en este análisis.</w:t>
      </w:r>
    </w:p>
    <w:p w:rsidR="00722247" w:rsidRPr="00FE26CF" w:rsidRDefault="00722247" w:rsidP="006D2FB5">
      <w:pPr>
        <w:autoSpaceDE w:val="0"/>
        <w:autoSpaceDN w:val="0"/>
        <w:adjustRightInd w:val="0"/>
        <w:spacing w:before="120" w:after="120" w:line="240" w:lineRule="auto"/>
        <w:jc w:val="both"/>
        <w:rPr>
          <w:rFonts w:cs="Arial"/>
          <w:sz w:val="22"/>
          <w:lang w:val="es-ES"/>
        </w:rPr>
      </w:pPr>
    </w:p>
    <w:p w:rsidR="00722247" w:rsidRPr="00FE26CF" w:rsidRDefault="00722247" w:rsidP="008C30C9">
      <w:pPr>
        <w:pStyle w:val="Caption"/>
        <w:rPr>
          <w:lang w:val="es-ES"/>
        </w:rPr>
      </w:pPr>
      <w:bookmarkStart w:id="23" w:name="_Ref296085977"/>
      <w:r w:rsidRPr="00FE26CF">
        <w:rPr>
          <w:lang w:val="es-ES"/>
        </w:rPr>
        <w:t xml:space="preserve">Tabla </w:t>
      </w:r>
      <w:r w:rsidRPr="00FE26CF">
        <w:rPr>
          <w:lang w:val="es-ES"/>
        </w:rPr>
        <w:fldChar w:fldCharType="begin"/>
      </w:r>
      <w:r w:rsidRPr="00FE26CF">
        <w:rPr>
          <w:lang w:val="es-ES"/>
        </w:rPr>
        <w:instrText xml:space="preserve"> SEQ Tabla \* ARABIC </w:instrText>
      </w:r>
      <w:r w:rsidRPr="00FE26CF">
        <w:rPr>
          <w:lang w:val="es-ES"/>
        </w:rPr>
        <w:fldChar w:fldCharType="separate"/>
      </w:r>
      <w:r w:rsidR="0088018B" w:rsidRPr="00FE26CF">
        <w:rPr>
          <w:noProof/>
          <w:lang w:val="es-ES"/>
        </w:rPr>
        <w:t>4</w:t>
      </w:r>
      <w:r w:rsidRPr="00FE26CF">
        <w:rPr>
          <w:lang w:val="es-ES"/>
        </w:rPr>
        <w:fldChar w:fldCharType="end"/>
      </w:r>
      <w:bookmarkEnd w:id="23"/>
      <w:r w:rsidRPr="00FE26CF">
        <w:rPr>
          <w:lang w:val="es-ES"/>
        </w:rPr>
        <w:t>. Vectores de gradualidad para obtener los beneficios del programa</w:t>
      </w:r>
    </w:p>
    <w:tbl>
      <w:tblPr>
        <w:tblStyle w:val="MediumShading1-Accent1"/>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18"/>
        <w:gridCol w:w="1314"/>
        <w:gridCol w:w="1314"/>
        <w:gridCol w:w="1314"/>
        <w:gridCol w:w="1314"/>
        <w:gridCol w:w="1314"/>
      </w:tblGrid>
      <w:tr w:rsidR="00722247" w:rsidRPr="00FE26CF" w:rsidTr="008C30C9">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none" w:sz="0" w:space="0" w:color="auto"/>
              <w:right w:val="single" w:sz="4" w:space="0" w:color="auto"/>
            </w:tcBorders>
            <w:shd w:val="clear" w:color="auto" w:fill="548DD4" w:themeFill="text2" w:themeFillTint="99"/>
            <w:vAlign w:val="center"/>
            <w:hideMark/>
          </w:tcPr>
          <w:p w:rsidR="00EE705A" w:rsidRPr="00FE26CF" w:rsidRDefault="000B185D" w:rsidP="00722247">
            <w:pPr>
              <w:spacing w:after="0" w:line="240" w:lineRule="auto"/>
              <w:jc w:val="center"/>
              <w:rPr>
                <w:rFonts w:eastAsia="Times New Roman" w:cs="Arial"/>
                <w:bCs w:val="0"/>
                <w:color w:val="000000"/>
                <w:sz w:val="18"/>
                <w:szCs w:val="18"/>
                <w:lang w:val="es-ES"/>
              </w:rPr>
            </w:pPr>
            <w:r w:rsidRPr="00FE26CF">
              <w:rPr>
                <w:rFonts w:eastAsia="Times New Roman" w:cs="Arial"/>
                <w:bCs w:val="0"/>
                <w:color w:val="000000"/>
                <w:sz w:val="18"/>
                <w:szCs w:val="18"/>
                <w:lang w:val="es-ES"/>
              </w:rPr>
              <w:t>Descripción</w:t>
            </w:r>
          </w:p>
        </w:tc>
        <w:tc>
          <w:tcPr>
            <w:tcW w:w="1314" w:type="dxa"/>
            <w:tcBorders>
              <w:top w:val="single" w:sz="4" w:space="0" w:color="auto"/>
              <w:left w:val="single" w:sz="4" w:space="0" w:color="auto"/>
              <w:right w:val="single" w:sz="4" w:space="0" w:color="auto"/>
            </w:tcBorders>
            <w:shd w:val="clear" w:color="auto" w:fill="548DD4" w:themeFill="text2" w:themeFillTint="99"/>
            <w:noWrap/>
            <w:vAlign w:val="center"/>
            <w:hideMark/>
          </w:tcPr>
          <w:p w:rsidR="00EE705A" w:rsidRPr="00FE26CF" w:rsidRDefault="00EE705A" w:rsidP="007222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lang w:val="es-ES"/>
              </w:rPr>
            </w:pPr>
            <w:r w:rsidRPr="00FE26CF">
              <w:rPr>
                <w:rFonts w:eastAsia="Times New Roman" w:cs="Arial"/>
                <w:color w:val="000000"/>
                <w:sz w:val="18"/>
                <w:szCs w:val="18"/>
                <w:lang w:val="es-ES"/>
              </w:rPr>
              <w:t>año 1</w:t>
            </w:r>
          </w:p>
        </w:tc>
        <w:tc>
          <w:tcPr>
            <w:tcW w:w="1314" w:type="dxa"/>
            <w:tcBorders>
              <w:top w:val="none" w:sz="0" w:space="0" w:color="auto"/>
              <w:left w:val="single" w:sz="4" w:space="0" w:color="auto"/>
              <w:bottom w:val="none" w:sz="0" w:space="0" w:color="auto"/>
              <w:right w:val="single" w:sz="4" w:space="0" w:color="auto"/>
            </w:tcBorders>
            <w:shd w:val="clear" w:color="auto" w:fill="548DD4" w:themeFill="text2" w:themeFillTint="99"/>
            <w:noWrap/>
            <w:vAlign w:val="center"/>
            <w:hideMark/>
          </w:tcPr>
          <w:p w:rsidR="00EE705A" w:rsidRPr="00FE26CF" w:rsidRDefault="00EE705A" w:rsidP="007222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lang w:val="es-ES"/>
              </w:rPr>
            </w:pPr>
            <w:r w:rsidRPr="00FE26CF">
              <w:rPr>
                <w:rFonts w:eastAsia="Times New Roman" w:cs="Arial"/>
                <w:color w:val="000000"/>
                <w:sz w:val="18"/>
                <w:szCs w:val="18"/>
                <w:lang w:val="es-ES"/>
              </w:rPr>
              <w:t>año 2</w:t>
            </w:r>
          </w:p>
        </w:tc>
        <w:tc>
          <w:tcPr>
            <w:tcW w:w="1314" w:type="dxa"/>
            <w:tcBorders>
              <w:top w:val="single" w:sz="4" w:space="0" w:color="auto"/>
              <w:left w:val="single" w:sz="4" w:space="0" w:color="auto"/>
              <w:right w:val="single" w:sz="4" w:space="0" w:color="auto"/>
            </w:tcBorders>
            <w:shd w:val="clear" w:color="auto" w:fill="548DD4" w:themeFill="text2" w:themeFillTint="99"/>
            <w:noWrap/>
            <w:vAlign w:val="center"/>
            <w:hideMark/>
          </w:tcPr>
          <w:p w:rsidR="00EE705A" w:rsidRPr="00FE26CF" w:rsidRDefault="00EE705A" w:rsidP="007222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lang w:val="es-ES"/>
              </w:rPr>
            </w:pPr>
            <w:r w:rsidRPr="00FE26CF">
              <w:rPr>
                <w:rFonts w:eastAsia="Times New Roman" w:cs="Arial"/>
                <w:color w:val="000000"/>
                <w:sz w:val="18"/>
                <w:szCs w:val="18"/>
                <w:lang w:val="es-ES"/>
              </w:rPr>
              <w:t>año 3</w:t>
            </w:r>
          </w:p>
        </w:tc>
        <w:tc>
          <w:tcPr>
            <w:tcW w:w="1314" w:type="dxa"/>
            <w:tcBorders>
              <w:top w:val="none" w:sz="0" w:space="0" w:color="auto"/>
              <w:left w:val="single" w:sz="4" w:space="0" w:color="auto"/>
              <w:bottom w:val="none" w:sz="0" w:space="0" w:color="auto"/>
              <w:right w:val="single" w:sz="4" w:space="0" w:color="auto"/>
            </w:tcBorders>
            <w:shd w:val="clear" w:color="auto" w:fill="548DD4" w:themeFill="text2" w:themeFillTint="99"/>
            <w:noWrap/>
            <w:vAlign w:val="center"/>
            <w:hideMark/>
          </w:tcPr>
          <w:p w:rsidR="00EE705A" w:rsidRPr="00FE26CF" w:rsidRDefault="00EE705A" w:rsidP="007222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lang w:val="es-ES"/>
              </w:rPr>
            </w:pPr>
            <w:r w:rsidRPr="00FE26CF">
              <w:rPr>
                <w:rFonts w:eastAsia="Times New Roman" w:cs="Arial"/>
                <w:color w:val="000000"/>
                <w:sz w:val="18"/>
                <w:szCs w:val="18"/>
                <w:lang w:val="es-ES"/>
              </w:rPr>
              <w:t>año 4</w:t>
            </w:r>
          </w:p>
        </w:tc>
        <w:tc>
          <w:tcPr>
            <w:tcW w:w="1314" w:type="dxa"/>
            <w:tcBorders>
              <w:top w:val="single" w:sz="4" w:space="0" w:color="auto"/>
              <w:left w:val="single" w:sz="4" w:space="0" w:color="auto"/>
              <w:right w:val="none" w:sz="0" w:space="0" w:color="auto"/>
            </w:tcBorders>
            <w:shd w:val="clear" w:color="auto" w:fill="548DD4" w:themeFill="text2" w:themeFillTint="99"/>
            <w:noWrap/>
            <w:vAlign w:val="center"/>
            <w:hideMark/>
          </w:tcPr>
          <w:p w:rsidR="00EE705A" w:rsidRPr="00FE26CF" w:rsidRDefault="00EE705A" w:rsidP="007222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lang w:val="es-ES"/>
              </w:rPr>
            </w:pPr>
            <w:r w:rsidRPr="00FE26CF">
              <w:rPr>
                <w:rFonts w:eastAsia="Times New Roman" w:cs="Arial"/>
                <w:color w:val="000000"/>
                <w:sz w:val="18"/>
                <w:szCs w:val="18"/>
                <w:lang w:val="es-ES"/>
              </w:rPr>
              <w:t>año 5</w:t>
            </w:r>
          </w:p>
        </w:tc>
      </w:tr>
      <w:tr w:rsidR="00722247" w:rsidRPr="00FE26CF" w:rsidTr="008C30C9">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noWrap/>
            <w:vAlign w:val="center"/>
            <w:hideMark/>
          </w:tcPr>
          <w:p w:rsidR="00722247" w:rsidRPr="00FE26CF" w:rsidRDefault="00722247" w:rsidP="00722247">
            <w:pPr>
              <w:spacing w:after="0" w:line="240" w:lineRule="auto"/>
              <w:rPr>
                <w:rFonts w:eastAsia="Times New Roman" w:cs="Arial"/>
                <w:color w:val="000000"/>
                <w:sz w:val="18"/>
                <w:szCs w:val="18"/>
                <w:lang w:val="es-ES"/>
              </w:rPr>
            </w:pPr>
            <w:r w:rsidRPr="00FE26CF">
              <w:rPr>
                <w:rFonts w:eastAsia="Times New Roman" w:cs="Arial"/>
                <w:color w:val="000000"/>
                <w:sz w:val="18"/>
                <w:szCs w:val="18"/>
                <w:lang w:val="es-ES"/>
              </w:rPr>
              <w:t>Lento</w:t>
            </w:r>
          </w:p>
        </w:tc>
        <w:tc>
          <w:tcPr>
            <w:tcW w:w="1314" w:type="dxa"/>
            <w:tcBorders>
              <w:top w:val="single" w:sz="8" w:space="0" w:color="7BA0CD" w:themeColor="accent1" w:themeTint="BF"/>
              <w:left w:val="single" w:sz="4" w:space="0" w:color="auto"/>
              <w:bottom w:val="single" w:sz="8" w:space="0" w:color="7BA0CD" w:themeColor="accent1" w:themeTint="BF"/>
              <w:right w:val="single" w:sz="4" w:space="0" w:color="auto"/>
            </w:tcBorders>
            <w:noWrap/>
            <w:vAlign w:val="bottom"/>
            <w:hideMark/>
          </w:tcPr>
          <w:p w:rsidR="00722247" w:rsidRPr="00FE26CF" w:rsidRDefault="00722247" w:rsidP="007222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ES"/>
              </w:rPr>
            </w:pPr>
            <w:r w:rsidRPr="00FE26CF">
              <w:rPr>
                <w:rFonts w:eastAsia="Times New Roman" w:cs="Arial"/>
                <w:sz w:val="18"/>
                <w:szCs w:val="18"/>
                <w:lang w:val="es-ES"/>
              </w:rPr>
              <w:t>0%</w:t>
            </w:r>
          </w:p>
        </w:tc>
        <w:tc>
          <w:tcPr>
            <w:tcW w:w="1314" w:type="dxa"/>
            <w:tcBorders>
              <w:left w:val="single" w:sz="4" w:space="0" w:color="auto"/>
              <w:right w:val="single" w:sz="4" w:space="0" w:color="auto"/>
            </w:tcBorders>
            <w:noWrap/>
            <w:vAlign w:val="bottom"/>
            <w:hideMark/>
          </w:tcPr>
          <w:p w:rsidR="00722247" w:rsidRPr="00FE26CF" w:rsidRDefault="00722247" w:rsidP="007222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ES"/>
              </w:rPr>
            </w:pPr>
            <w:r w:rsidRPr="00FE26CF">
              <w:rPr>
                <w:rFonts w:eastAsia="Times New Roman" w:cs="Arial"/>
                <w:sz w:val="18"/>
                <w:szCs w:val="18"/>
                <w:lang w:val="es-ES"/>
              </w:rPr>
              <w:t>0%</w:t>
            </w:r>
          </w:p>
        </w:tc>
        <w:tc>
          <w:tcPr>
            <w:tcW w:w="1314" w:type="dxa"/>
            <w:tcBorders>
              <w:top w:val="single" w:sz="8" w:space="0" w:color="7BA0CD" w:themeColor="accent1" w:themeTint="BF"/>
              <w:left w:val="single" w:sz="4" w:space="0" w:color="auto"/>
              <w:bottom w:val="single" w:sz="8" w:space="0" w:color="7BA0CD" w:themeColor="accent1" w:themeTint="BF"/>
              <w:right w:val="single" w:sz="4" w:space="0" w:color="auto"/>
            </w:tcBorders>
            <w:noWrap/>
            <w:vAlign w:val="bottom"/>
            <w:hideMark/>
          </w:tcPr>
          <w:p w:rsidR="00722247" w:rsidRPr="00FE26CF" w:rsidRDefault="00722247" w:rsidP="007222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ES"/>
              </w:rPr>
            </w:pPr>
            <w:r w:rsidRPr="00FE26CF">
              <w:rPr>
                <w:rFonts w:eastAsia="Times New Roman" w:cs="Arial"/>
                <w:sz w:val="18"/>
                <w:szCs w:val="18"/>
                <w:lang w:val="es-ES"/>
              </w:rPr>
              <w:t>25%</w:t>
            </w:r>
          </w:p>
        </w:tc>
        <w:tc>
          <w:tcPr>
            <w:tcW w:w="1314" w:type="dxa"/>
            <w:tcBorders>
              <w:left w:val="single" w:sz="4" w:space="0" w:color="auto"/>
              <w:right w:val="single" w:sz="4" w:space="0" w:color="auto"/>
            </w:tcBorders>
            <w:noWrap/>
            <w:vAlign w:val="bottom"/>
            <w:hideMark/>
          </w:tcPr>
          <w:p w:rsidR="00722247" w:rsidRPr="00FE26CF" w:rsidRDefault="00722247" w:rsidP="007222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ES"/>
              </w:rPr>
            </w:pPr>
            <w:r w:rsidRPr="00FE26CF">
              <w:rPr>
                <w:rFonts w:eastAsia="Times New Roman" w:cs="Arial"/>
                <w:sz w:val="18"/>
                <w:szCs w:val="18"/>
                <w:lang w:val="es-ES"/>
              </w:rPr>
              <w:t>50%</w:t>
            </w:r>
          </w:p>
        </w:tc>
        <w:tc>
          <w:tcPr>
            <w:tcW w:w="1314" w:type="dxa"/>
            <w:tcBorders>
              <w:top w:val="single" w:sz="8" w:space="0" w:color="7BA0CD" w:themeColor="accent1" w:themeTint="BF"/>
              <w:left w:val="single" w:sz="4" w:space="0" w:color="auto"/>
              <w:bottom w:val="single" w:sz="8" w:space="0" w:color="7BA0CD" w:themeColor="accent1" w:themeTint="BF"/>
            </w:tcBorders>
            <w:noWrap/>
            <w:vAlign w:val="bottom"/>
            <w:hideMark/>
          </w:tcPr>
          <w:p w:rsidR="00722247" w:rsidRPr="00FE26CF" w:rsidRDefault="00722247" w:rsidP="007222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ES"/>
              </w:rPr>
            </w:pPr>
            <w:r w:rsidRPr="00FE26CF">
              <w:rPr>
                <w:rFonts w:eastAsia="Times New Roman" w:cs="Arial"/>
                <w:sz w:val="18"/>
                <w:szCs w:val="18"/>
                <w:lang w:val="es-ES"/>
              </w:rPr>
              <w:t>75%</w:t>
            </w:r>
          </w:p>
        </w:tc>
      </w:tr>
      <w:tr w:rsidR="00722247" w:rsidRPr="00FE26CF" w:rsidTr="008C30C9">
        <w:trPr>
          <w:cnfStyle w:val="000000010000" w:firstRow="0" w:lastRow="0" w:firstColumn="0" w:lastColumn="0" w:oddVBand="0" w:evenVBand="0" w:oddHBand="0" w:evenHBand="1"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noWrap/>
            <w:vAlign w:val="center"/>
            <w:hideMark/>
          </w:tcPr>
          <w:p w:rsidR="00722247" w:rsidRPr="00FE26CF" w:rsidRDefault="00722247" w:rsidP="00722247">
            <w:pPr>
              <w:spacing w:after="0" w:line="240" w:lineRule="auto"/>
              <w:rPr>
                <w:rFonts w:eastAsia="Times New Roman" w:cs="Arial"/>
                <w:color w:val="000000"/>
                <w:sz w:val="18"/>
                <w:szCs w:val="18"/>
                <w:lang w:val="es-ES"/>
              </w:rPr>
            </w:pPr>
            <w:r w:rsidRPr="00FE26CF">
              <w:rPr>
                <w:rFonts w:eastAsia="Times New Roman" w:cs="Arial"/>
                <w:color w:val="000000"/>
                <w:sz w:val="18"/>
                <w:szCs w:val="18"/>
                <w:lang w:val="es-ES"/>
              </w:rPr>
              <w:t>Regular</w:t>
            </w:r>
          </w:p>
        </w:tc>
        <w:tc>
          <w:tcPr>
            <w:tcW w:w="1314" w:type="dxa"/>
            <w:tcBorders>
              <w:top w:val="single" w:sz="8" w:space="0" w:color="7BA0CD" w:themeColor="accent1" w:themeTint="BF"/>
              <w:left w:val="single" w:sz="4" w:space="0" w:color="auto"/>
              <w:bottom w:val="single" w:sz="8" w:space="0" w:color="7BA0CD" w:themeColor="accent1" w:themeTint="BF"/>
              <w:right w:val="single" w:sz="4" w:space="0" w:color="auto"/>
            </w:tcBorders>
            <w:noWrap/>
            <w:vAlign w:val="bottom"/>
            <w:hideMark/>
          </w:tcPr>
          <w:p w:rsidR="00722247" w:rsidRPr="00FE26CF" w:rsidRDefault="00722247" w:rsidP="0072224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 w:val="18"/>
                <w:szCs w:val="18"/>
                <w:lang w:val="es-ES"/>
              </w:rPr>
            </w:pPr>
            <w:r w:rsidRPr="00FE26CF">
              <w:rPr>
                <w:rFonts w:eastAsia="Times New Roman" w:cs="Arial"/>
                <w:sz w:val="18"/>
                <w:szCs w:val="18"/>
                <w:lang w:val="es-ES"/>
              </w:rPr>
              <w:t>0%</w:t>
            </w:r>
          </w:p>
        </w:tc>
        <w:tc>
          <w:tcPr>
            <w:tcW w:w="1314" w:type="dxa"/>
            <w:tcBorders>
              <w:left w:val="single" w:sz="4" w:space="0" w:color="auto"/>
              <w:right w:val="single" w:sz="4" w:space="0" w:color="auto"/>
            </w:tcBorders>
            <w:noWrap/>
            <w:vAlign w:val="bottom"/>
            <w:hideMark/>
          </w:tcPr>
          <w:p w:rsidR="00722247" w:rsidRPr="00FE26CF" w:rsidRDefault="00722247" w:rsidP="0072224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 w:val="18"/>
                <w:szCs w:val="18"/>
                <w:lang w:val="es-ES"/>
              </w:rPr>
            </w:pPr>
            <w:r w:rsidRPr="00FE26CF">
              <w:rPr>
                <w:rFonts w:eastAsia="Times New Roman" w:cs="Arial"/>
                <w:sz w:val="18"/>
                <w:szCs w:val="18"/>
                <w:lang w:val="es-ES"/>
              </w:rPr>
              <w:t>15%</w:t>
            </w:r>
          </w:p>
        </w:tc>
        <w:tc>
          <w:tcPr>
            <w:tcW w:w="1314" w:type="dxa"/>
            <w:tcBorders>
              <w:top w:val="single" w:sz="8" w:space="0" w:color="7BA0CD" w:themeColor="accent1" w:themeTint="BF"/>
              <w:left w:val="single" w:sz="4" w:space="0" w:color="auto"/>
              <w:bottom w:val="single" w:sz="8" w:space="0" w:color="7BA0CD" w:themeColor="accent1" w:themeTint="BF"/>
              <w:right w:val="single" w:sz="4" w:space="0" w:color="auto"/>
            </w:tcBorders>
            <w:noWrap/>
            <w:vAlign w:val="bottom"/>
            <w:hideMark/>
          </w:tcPr>
          <w:p w:rsidR="00722247" w:rsidRPr="00FE26CF" w:rsidRDefault="00722247" w:rsidP="0072224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 w:val="18"/>
                <w:szCs w:val="18"/>
                <w:lang w:val="es-ES"/>
              </w:rPr>
            </w:pPr>
            <w:r w:rsidRPr="00FE26CF">
              <w:rPr>
                <w:rFonts w:eastAsia="Times New Roman" w:cs="Arial"/>
                <w:sz w:val="18"/>
                <w:szCs w:val="18"/>
                <w:lang w:val="es-ES"/>
              </w:rPr>
              <w:t>30%</w:t>
            </w:r>
          </w:p>
        </w:tc>
        <w:tc>
          <w:tcPr>
            <w:tcW w:w="1314" w:type="dxa"/>
            <w:tcBorders>
              <w:left w:val="single" w:sz="4" w:space="0" w:color="auto"/>
              <w:right w:val="single" w:sz="4" w:space="0" w:color="auto"/>
            </w:tcBorders>
            <w:noWrap/>
            <w:vAlign w:val="bottom"/>
            <w:hideMark/>
          </w:tcPr>
          <w:p w:rsidR="00722247" w:rsidRPr="00FE26CF" w:rsidRDefault="00722247" w:rsidP="0072224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 w:val="18"/>
                <w:szCs w:val="18"/>
                <w:lang w:val="es-ES"/>
              </w:rPr>
            </w:pPr>
            <w:r w:rsidRPr="00FE26CF">
              <w:rPr>
                <w:rFonts w:eastAsia="Times New Roman" w:cs="Arial"/>
                <w:sz w:val="18"/>
                <w:szCs w:val="18"/>
                <w:lang w:val="es-ES"/>
              </w:rPr>
              <w:t>50%</w:t>
            </w:r>
          </w:p>
        </w:tc>
        <w:tc>
          <w:tcPr>
            <w:tcW w:w="1314" w:type="dxa"/>
            <w:tcBorders>
              <w:top w:val="single" w:sz="8" w:space="0" w:color="7BA0CD" w:themeColor="accent1" w:themeTint="BF"/>
              <w:left w:val="single" w:sz="4" w:space="0" w:color="auto"/>
              <w:bottom w:val="single" w:sz="8" w:space="0" w:color="7BA0CD" w:themeColor="accent1" w:themeTint="BF"/>
            </w:tcBorders>
            <w:noWrap/>
            <w:vAlign w:val="bottom"/>
            <w:hideMark/>
          </w:tcPr>
          <w:p w:rsidR="00722247" w:rsidRPr="00FE26CF" w:rsidRDefault="00722247" w:rsidP="0072224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 w:val="18"/>
                <w:szCs w:val="18"/>
                <w:lang w:val="es-ES"/>
              </w:rPr>
            </w:pPr>
            <w:r w:rsidRPr="00FE26CF">
              <w:rPr>
                <w:rFonts w:eastAsia="Times New Roman" w:cs="Arial"/>
                <w:sz w:val="18"/>
                <w:szCs w:val="18"/>
                <w:lang w:val="es-ES"/>
              </w:rPr>
              <w:t>75%</w:t>
            </w:r>
          </w:p>
        </w:tc>
      </w:tr>
      <w:tr w:rsidR="00722247" w:rsidRPr="00FE26CF" w:rsidTr="008C30C9">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noWrap/>
            <w:vAlign w:val="center"/>
            <w:hideMark/>
          </w:tcPr>
          <w:p w:rsidR="00722247" w:rsidRPr="00FE26CF" w:rsidRDefault="00722247" w:rsidP="00722247">
            <w:pPr>
              <w:spacing w:after="0" w:line="240" w:lineRule="auto"/>
              <w:rPr>
                <w:rFonts w:eastAsia="Times New Roman" w:cs="Arial"/>
                <w:color w:val="000000"/>
                <w:sz w:val="18"/>
                <w:szCs w:val="18"/>
                <w:lang w:val="es-ES"/>
              </w:rPr>
            </w:pPr>
            <w:r w:rsidRPr="00FE26CF">
              <w:rPr>
                <w:rFonts w:eastAsia="Times New Roman" w:cs="Arial"/>
                <w:color w:val="000000"/>
                <w:sz w:val="18"/>
                <w:szCs w:val="18"/>
                <w:lang w:val="es-ES"/>
              </w:rPr>
              <w:t>Rápido</w:t>
            </w:r>
          </w:p>
        </w:tc>
        <w:tc>
          <w:tcPr>
            <w:tcW w:w="1314" w:type="dxa"/>
            <w:tcBorders>
              <w:top w:val="single" w:sz="8" w:space="0" w:color="7BA0CD" w:themeColor="accent1" w:themeTint="BF"/>
              <w:left w:val="single" w:sz="4" w:space="0" w:color="auto"/>
              <w:bottom w:val="single" w:sz="4" w:space="0" w:color="auto"/>
              <w:right w:val="single" w:sz="4" w:space="0" w:color="auto"/>
            </w:tcBorders>
            <w:noWrap/>
            <w:vAlign w:val="bottom"/>
            <w:hideMark/>
          </w:tcPr>
          <w:p w:rsidR="00722247" w:rsidRPr="00FE26CF" w:rsidRDefault="00722247" w:rsidP="007222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ES"/>
              </w:rPr>
            </w:pPr>
            <w:r w:rsidRPr="00FE26CF">
              <w:rPr>
                <w:rFonts w:eastAsia="Times New Roman" w:cs="Arial"/>
                <w:sz w:val="18"/>
                <w:szCs w:val="18"/>
                <w:lang w:val="es-ES"/>
              </w:rPr>
              <w:t>0%</w:t>
            </w:r>
          </w:p>
        </w:tc>
        <w:tc>
          <w:tcPr>
            <w:tcW w:w="1314" w:type="dxa"/>
            <w:tcBorders>
              <w:left w:val="single" w:sz="4" w:space="0" w:color="auto"/>
              <w:right w:val="single" w:sz="4" w:space="0" w:color="auto"/>
            </w:tcBorders>
            <w:noWrap/>
            <w:vAlign w:val="bottom"/>
            <w:hideMark/>
          </w:tcPr>
          <w:p w:rsidR="00722247" w:rsidRPr="00FE26CF" w:rsidRDefault="00722247" w:rsidP="007222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ES"/>
              </w:rPr>
            </w:pPr>
            <w:r w:rsidRPr="00FE26CF">
              <w:rPr>
                <w:rFonts w:eastAsia="Times New Roman" w:cs="Arial"/>
                <w:sz w:val="18"/>
                <w:szCs w:val="18"/>
                <w:lang w:val="es-ES"/>
              </w:rPr>
              <w:t>25%</w:t>
            </w:r>
          </w:p>
        </w:tc>
        <w:tc>
          <w:tcPr>
            <w:tcW w:w="1314" w:type="dxa"/>
            <w:tcBorders>
              <w:top w:val="single" w:sz="8" w:space="0" w:color="7BA0CD" w:themeColor="accent1" w:themeTint="BF"/>
              <w:left w:val="single" w:sz="4" w:space="0" w:color="auto"/>
              <w:bottom w:val="single" w:sz="4" w:space="0" w:color="auto"/>
              <w:right w:val="single" w:sz="4" w:space="0" w:color="auto"/>
            </w:tcBorders>
            <w:noWrap/>
            <w:vAlign w:val="bottom"/>
            <w:hideMark/>
          </w:tcPr>
          <w:p w:rsidR="00722247" w:rsidRPr="00FE26CF" w:rsidRDefault="00722247" w:rsidP="007222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ES"/>
              </w:rPr>
            </w:pPr>
            <w:r w:rsidRPr="00FE26CF">
              <w:rPr>
                <w:rFonts w:eastAsia="Times New Roman" w:cs="Arial"/>
                <w:sz w:val="18"/>
                <w:szCs w:val="18"/>
                <w:lang w:val="es-ES"/>
              </w:rPr>
              <w:t>50%</w:t>
            </w:r>
          </w:p>
        </w:tc>
        <w:tc>
          <w:tcPr>
            <w:tcW w:w="1314" w:type="dxa"/>
            <w:tcBorders>
              <w:left w:val="single" w:sz="4" w:space="0" w:color="auto"/>
              <w:right w:val="single" w:sz="4" w:space="0" w:color="auto"/>
            </w:tcBorders>
            <w:noWrap/>
            <w:vAlign w:val="bottom"/>
            <w:hideMark/>
          </w:tcPr>
          <w:p w:rsidR="00722247" w:rsidRPr="00FE26CF" w:rsidRDefault="00722247" w:rsidP="007222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ES"/>
              </w:rPr>
            </w:pPr>
            <w:r w:rsidRPr="00FE26CF">
              <w:rPr>
                <w:rFonts w:eastAsia="Times New Roman" w:cs="Arial"/>
                <w:sz w:val="18"/>
                <w:szCs w:val="18"/>
                <w:lang w:val="es-ES"/>
              </w:rPr>
              <w:t>75%</w:t>
            </w:r>
          </w:p>
        </w:tc>
        <w:tc>
          <w:tcPr>
            <w:tcW w:w="1314" w:type="dxa"/>
            <w:tcBorders>
              <w:top w:val="single" w:sz="8" w:space="0" w:color="7BA0CD" w:themeColor="accent1" w:themeTint="BF"/>
              <w:left w:val="single" w:sz="4" w:space="0" w:color="auto"/>
              <w:bottom w:val="single" w:sz="4" w:space="0" w:color="auto"/>
            </w:tcBorders>
            <w:noWrap/>
            <w:vAlign w:val="bottom"/>
            <w:hideMark/>
          </w:tcPr>
          <w:p w:rsidR="00722247" w:rsidRPr="00FE26CF" w:rsidRDefault="00722247" w:rsidP="007222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ES"/>
              </w:rPr>
            </w:pPr>
            <w:r w:rsidRPr="00FE26CF">
              <w:rPr>
                <w:rFonts w:eastAsia="Times New Roman" w:cs="Arial"/>
                <w:sz w:val="18"/>
                <w:szCs w:val="18"/>
                <w:lang w:val="es-ES"/>
              </w:rPr>
              <w:t>100%</w:t>
            </w:r>
          </w:p>
        </w:tc>
      </w:tr>
    </w:tbl>
    <w:p w:rsidR="00EE705A" w:rsidRPr="00FE26CF" w:rsidRDefault="00722247" w:rsidP="000B185D">
      <w:pPr>
        <w:autoSpaceDE w:val="0"/>
        <w:autoSpaceDN w:val="0"/>
        <w:adjustRightInd w:val="0"/>
        <w:spacing w:before="120" w:after="120" w:line="240" w:lineRule="auto"/>
        <w:ind w:left="450"/>
        <w:jc w:val="both"/>
        <w:rPr>
          <w:rFonts w:cs="Arial"/>
          <w:sz w:val="18"/>
          <w:szCs w:val="18"/>
          <w:lang w:val="es-ES"/>
        </w:rPr>
      </w:pPr>
      <w:r w:rsidRPr="00FE26CF">
        <w:rPr>
          <w:rFonts w:cs="Arial"/>
          <w:sz w:val="18"/>
          <w:szCs w:val="18"/>
          <w:lang w:val="es-ES"/>
        </w:rPr>
        <w:t xml:space="preserve">Fuente: Elaboración de los autores. </w:t>
      </w:r>
    </w:p>
    <w:p w:rsidR="00940453" w:rsidRPr="00FE26CF" w:rsidRDefault="00722247" w:rsidP="008C30C9">
      <w:pPr>
        <w:autoSpaceDE w:val="0"/>
        <w:autoSpaceDN w:val="0"/>
        <w:adjustRightInd w:val="0"/>
        <w:spacing w:before="240" w:after="120" w:line="240" w:lineRule="auto"/>
        <w:jc w:val="both"/>
        <w:rPr>
          <w:rFonts w:cs="Arial"/>
          <w:sz w:val="22"/>
          <w:lang w:val="es-ES"/>
        </w:rPr>
      </w:pPr>
      <w:r w:rsidRPr="00FE26CF">
        <w:rPr>
          <w:rFonts w:cs="Arial"/>
          <w:sz w:val="22"/>
          <w:lang w:val="es-ES"/>
        </w:rPr>
        <w:t xml:space="preserve">Aunque se incluyen cuatro escenarios de tasas de descuento para evaluar la relación costo beneficio de este proyecto, </w:t>
      </w:r>
      <w:r w:rsidR="006C0AD0" w:rsidRPr="00FE26CF">
        <w:rPr>
          <w:rFonts w:cs="Arial"/>
          <w:sz w:val="22"/>
          <w:lang w:val="es-ES"/>
        </w:rPr>
        <w:t xml:space="preserve">se favorece utilizar la tasa de 3% que resulta </w:t>
      </w:r>
      <w:r w:rsidRPr="00FE26CF">
        <w:rPr>
          <w:rFonts w:cs="Arial"/>
          <w:sz w:val="22"/>
          <w:lang w:val="es-ES"/>
        </w:rPr>
        <w:t>más adecuada para eva</w:t>
      </w:r>
      <w:r w:rsidR="006C0AD0" w:rsidRPr="00FE26CF">
        <w:rPr>
          <w:rFonts w:cs="Arial"/>
          <w:sz w:val="22"/>
          <w:lang w:val="es-ES"/>
        </w:rPr>
        <w:t xml:space="preserve">luar proyectos sociales que la </w:t>
      </w:r>
      <w:r w:rsidRPr="00FE26CF">
        <w:rPr>
          <w:rFonts w:cs="Arial"/>
          <w:sz w:val="22"/>
          <w:lang w:val="es-ES"/>
        </w:rPr>
        <w:t>tasa de 12% que es comúnmente utilizada para evaluar proyectos de infraestructura como transporte y energía.</w:t>
      </w:r>
      <w:r w:rsidR="00AB0B5B" w:rsidRPr="00FE26CF">
        <w:rPr>
          <w:rFonts w:cs="Arial"/>
          <w:sz w:val="22"/>
          <w:lang w:val="es-ES"/>
        </w:rPr>
        <w:t xml:space="preserve"> Lo anterior también refleja una expectativa de crecimiento económico en términos per cápita muy moderado, el Fondo Monetario Internacional</w:t>
      </w:r>
      <w:r w:rsidR="00AC32AC" w:rsidRPr="00FE26CF">
        <w:rPr>
          <w:sz w:val="22"/>
          <w:lang w:val="es-ES"/>
        </w:rPr>
        <w:t xml:space="preserve"> </w:t>
      </w:r>
      <w:r w:rsidR="00AC32AC" w:rsidRPr="00FE26CF">
        <w:rPr>
          <w:sz w:val="22"/>
          <w:lang w:val="es-ES"/>
        </w:rPr>
        <w:fldChar w:fldCharType="begin" w:fldLock="1"/>
      </w:r>
      <w:r w:rsidR="00AC32AC" w:rsidRPr="00FE26CF">
        <w:rPr>
          <w:sz w:val="22"/>
          <w:lang w:val="es-ES"/>
        </w:rPr>
        <w:instrText>ADDIN CSL_CITATION { "citationItems" : [ { "id" : "ITEM-1", "itemData" : { "author" : [ { "dropping-particle" : "", "family" : "FMI", "given" : "", "non-dropping-particle" : "", "parse-names" : false, "suffix" : "" } ], "id" : "ITEM-1", "issued" : { "date-parts" : [ [ "2015" ] ] }, "publisher-place" : "Washington DC, Estados Unidos", "title" : "World Economic Outlook Database. April 2015 Edition.", "type" : "report" }, "suppress-author" : 1, "uris" : [ "http://www.mendeley.com/documents/?uuid=7794e018-214b-4051-955b-3ee6048f69c1" ] } ], "mendeley" : { "formattedCitation" : "(2015)", "plainTextFormattedCitation" : "(2015)", "previouslyFormattedCitation" : "(2015)" }, "properties" : { "noteIndex" : 0 }, "schema" : "https://github.com/citation-style-language/schema/raw/master/csl-citation.json" }</w:instrText>
      </w:r>
      <w:r w:rsidR="00AC32AC" w:rsidRPr="00FE26CF">
        <w:rPr>
          <w:sz w:val="22"/>
          <w:lang w:val="es-ES"/>
        </w:rPr>
        <w:fldChar w:fldCharType="separate"/>
      </w:r>
      <w:r w:rsidR="00AC32AC" w:rsidRPr="00FE26CF">
        <w:rPr>
          <w:noProof/>
          <w:sz w:val="22"/>
          <w:lang w:val="es-ES"/>
        </w:rPr>
        <w:t>(2015)</w:t>
      </w:r>
      <w:r w:rsidR="00AC32AC" w:rsidRPr="00FE26CF">
        <w:rPr>
          <w:sz w:val="22"/>
          <w:lang w:val="es-ES"/>
        </w:rPr>
        <w:fldChar w:fldCharType="end"/>
      </w:r>
      <w:r w:rsidR="00AB0B5B" w:rsidRPr="00FE26CF">
        <w:rPr>
          <w:rFonts w:cs="Arial"/>
          <w:sz w:val="22"/>
          <w:lang w:val="es-ES"/>
        </w:rPr>
        <w:t xml:space="preserve"> estima un crecimiento promedio per cápita en precios constantes de 1.34% entre 2016 y 2020. </w:t>
      </w:r>
    </w:p>
    <w:p w:rsidR="00AB0B5B" w:rsidRPr="00FE26CF" w:rsidRDefault="00FF628C" w:rsidP="006D2FB5">
      <w:pPr>
        <w:autoSpaceDE w:val="0"/>
        <w:autoSpaceDN w:val="0"/>
        <w:adjustRightInd w:val="0"/>
        <w:spacing w:before="120" w:after="120" w:line="240" w:lineRule="auto"/>
        <w:jc w:val="both"/>
        <w:rPr>
          <w:rFonts w:cs="Arial"/>
          <w:sz w:val="22"/>
          <w:lang w:val="es-ES"/>
        </w:rPr>
      </w:pPr>
      <w:r w:rsidRPr="00FE26CF">
        <w:rPr>
          <w:rFonts w:cs="Arial"/>
          <w:sz w:val="22"/>
          <w:lang w:val="es-ES"/>
        </w:rPr>
        <w:t>E</w:t>
      </w:r>
      <w:r w:rsidR="00EE705A" w:rsidRPr="00FE26CF">
        <w:rPr>
          <w:rFonts w:cs="Arial"/>
          <w:sz w:val="22"/>
          <w:lang w:val="es-ES"/>
        </w:rPr>
        <w:t xml:space="preserve">xiste </w:t>
      </w:r>
      <w:r w:rsidR="00722247" w:rsidRPr="00FE26CF">
        <w:rPr>
          <w:rFonts w:cs="Arial"/>
          <w:sz w:val="22"/>
          <w:lang w:val="es-ES"/>
        </w:rPr>
        <w:t xml:space="preserve">una </w:t>
      </w:r>
      <w:r w:rsidR="00EE705A" w:rsidRPr="00FE26CF">
        <w:rPr>
          <w:rFonts w:cs="Arial"/>
          <w:sz w:val="22"/>
          <w:lang w:val="es-ES"/>
        </w:rPr>
        <w:t xml:space="preserve">amplia literatura teórica y empírica que justifica utilizar valores </w:t>
      </w:r>
      <w:r w:rsidR="002A3D8F">
        <w:rPr>
          <w:rFonts w:cs="Arial"/>
          <w:sz w:val="22"/>
          <w:lang w:val="es-ES"/>
        </w:rPr>
        <w:t>relativamente</w:t>
      </w:r>
      <w:r w:rsidR="002A3D8F" w:rsidRPr="00FE26CF">
        <w:rPr>
          <w:rFonts w:cs="Arial"/>
          <w:sz w:val="22"/>
          <w:lang w:val="es-ES"/>
        </w:rPr>
        <w:t xml:space="preserve"> </w:t>
      </w:r>
      <w:r w:rsidR="00AB0B5B" w:rsidRPr="00FE26CF">
        <w:rPr>
          <w:rFonts w:cs="Arial"/>
          <w:sz w:val="22"/>
          <w:lang w:val="es-ES"/>
        </w:rPr>
        <w:t>bajos</w:t>
      </w:r>
      <w:r w:rsidR="00EE705A" w:rsidRPr="00FE26CF">
        <w:rPr>
          <w:rFonts w:cs="Arial"/>
          <w:sz w:val="22"/>
          <w:lang w:val="es-ES"/>
        </w:rPr>
        <w:t xml:space="preserve"> </w:t>
      </w:r>
      <w:r w:rsidRPr="00FE26CF">
        <w:rPr>
          <w:rFonts w:cs="Arial"/>
          <w:sz w:val="22"/>
          <w:lang w:val="es-ES"/>
        </w:rPr>
        <w:t xml:space="preserve">de la tasas </w:t>
      </w:r>
      <w:r w:rsidR="00EE705A" w:rsidRPr="00FE26CF">
        <w:rPr>
          <w:rFonts w:cs="Arial"/>
          <w:sz w:val="22"/>
          <w:lang w:val="es-ES"/>
        </w:rPr>
        <w:t>para el anális</w:t>
      </w:r>
      <w:r w:rsidR="00AB0B5B" w:rsidRPr="00FE26CF">
        <w:rPr>
          <w:rFonts w:cs="Arial"/>
          <w:sz w:val="22"/>
          <w:lang w:val="es-ES"/>
        </w:rPr>
        <w:t xml:space="preserve">is de proyectos sociales ya que estos proyectos tienen </w:t>
      </w:r>
      <w:r w:rsidR="00EE705A" w:rsidRPr="00FE26CF">
        <w:rPr>
          <w:rFonts w:cs="Arial"/>
          <w:sz w:val="22"/>
          <w:lang w:val="es-ES"/>
        </w:rPr>
        <w:t>importantes externalidades, se realizan en e</w:t>
      </w:r>
      <w:r w:rsidR="00AB0B5B" w:rsidRPr="00FE26CF">
        <w:rPr>
          <w:rFonts w:cs="Arial"/>
          <w:sz w:val="22"/>
          <w:lang w:val="es-ES"/>
        </w:rPr>
        <w:t>l mediano y largo plazo, y</w:t>
      </w:r>
      <w:r w:rsidR="00EE705A" w:rsidRPr="00FE26CF">
        <w:rPr>
          <w:rFonts w:cs="Arial"/>
          <w:sz w:val="22"/>
          <w:lang w:val="es-ES"/>
        </w:rPr>
        <w:t xml:space="preserve"> la monetización de los beneficios no es tan directa. </w:t>
      </w:r>
      <w:r w:rsidR="00F84D8D" w:rsidRPr="00FE26CF">
        <w:rPr>
          <w:rFonts w:cs="Arial"/>
          <w:sz w:val="22"/>
          <w:lang w:val="es-ES"/>
        </w:rPr>
        <w:t xml:space="preserve">El análisis de </w:t>
      </w:r>
      <w:r w:rsidR="001872C6" w:rsidRPr="00FE26CF">
        <w:rPr>
          <w:rFonts w:cs="Arial"/>
          <w:sz w:val="22"/>
          <w:lang w:val="es-ES"/>
        </w:rPr>
        <w:fldChar w:fldCharType="begin" w:fldLock="1"/>
      </w:r>
      <w:r w:rsidR="001872C6" w:rsidRPr="00FE26CF">
        <w:rPr>
          <w:rFonts w:cs="Arial"/>
          <w:sz w:val="22"/>
          <w:lang w:val="es-ES"/>
        </w:rPr>
        <w:instrText>ADDIN CSL_CITATION { "citationItems" : [ { "id" : "ITEM-1", "itemData" : { "author" : [ { "dropping-particle" : "", "family" : "Zhuang", "given" : "J", "non-dropping-particle" : "", "parse-names" : false, "suffix" : "" }, { "dropping-particle" : "", "family" : "Liang", "given" : "Z", "non-dropping-particle" : "", "parse-names" : false, "suffix" : "" }, { "dropping-particle" : "", "family" : "Lin", "given" : "T", "non-dropping-particle" : "", "parse-names" : false, "suffix" : "" }, { "dropping-particle" : "De", "family" : "Guzman", "given" : "F", "non-dropping-particle" : "", "parse-names" : false, "suffix" : "" } ], "id" : "ITEM-1", "issued" : { "date-parts" : [ [ "2007" ] ] }, "title" : "Theory and practice in the choice of social discount rate for cost-benefit analysis: a survey", "type" : "article-journal" }, "uris" : [ "http://www.mendeley.com/documents/?uuid=51604dde-2ed8-495a-9696-b3161bc180f6" ] } ], "mendeley" : { "formattedCitation" : "(Zhuang et al. 2007)", "manualFormatting" : "Zhuang et al. (2007)", "plainTextFormattedCitation" : "(Zhuang et al. 2007)", "previouslyFormattedCitation" : "(Zhuang et al. 2007)" }, "properties" : { "noteIndex" : 0 }, "schema" : "https://github.com/citation-style-language/schema/raw/master/csl-citation.json" }</w:instrText>
      </w:r>
      <w:r w:rsidR="001872C6" w:rsidRPr="00FE26CF">
        <w:rPr>
          <w:rFonts w:cs="Arial"/>
          <w:sz w:val="22"/>
          <w:lang w:val="es-ES"/>
        </w:rPr>
        <w:fldChar w:fldCharType="separate"/>
      </w:r>
      <w:r w:rsidR="001872C6" w:rsidRPr="00FE26CF">
        <w:rPr>
          <w:rFonts w:cs="Arial"/>
          <w:noProof/>
          <w:sz w:val="22"/>
          <w:lang w:val="es-ES"/>
        </w:rPr>
        <w:t>Zhuang et al. (2007)</w:t>
      </w:r>
      <w:r w:rsidR="001872C6" w:rsidRPr="00FE26CF">
        <w:rPr>
          <w:rFonts w:cs="Arial"/>
          <w:sz w:val="22"/>
          <w:lang w:val="es-ES"/>
        </w:rPr>
        <w:fldChar w:fldCharType="end"/>
      </w:r>
      <w:r w:rsidR="001872C6" w:rsidRPr="00FE26CF">
        <w:rPr>
          <w:rFonts w:cs="Arial"/>
          <w:sz w:val="22"/>
          <w:lang w:val="es-ES"/>
        </w:rPr>
        <w:t xml:space="preserve"> </w:t>
      </w:r>
      <w:r w:rsidR="00F84D8D" w:rsidRPr="00FE26CF">
        <w:rPr>
          <w:rFonts w:cs="Arial"/>
          <w:sz w:val="22"/>
          <w:lang w:val="es-ES"/>
        </w:rPr>
        <w:t xml:space="preserve">encuentra que </w:t>
      </w:r>
      <w:r w:rsidRPr="00FE26CF">
        <w:rPr>
          <w:rFonts w:cs="Arial"/>
          <w:sz w:val="22"/>
          <w:lang w:val="es-ES"/>
        </w:rPr>
        <w:t xml:space="preserve">países desarrollados como Francia, Alemania, Italia y España utilizan tasas entre 3 y 7% para evaluar proyectos sociales mientras que los países en desarrollo optan por tasas entre 8 y 15%. </w:t>
      </w:r>
      <w:r w:rsidR="00F84D8D" w:rsidRPr="00FE26CF">
        <w:rPr>
          <w:rFonts w:cs="Arial"/>
          <w:sz w:val="22"/>
          <w:lang w:val="es-ES"/>
        </w:rPr>
        <w:t xml:space="preserve">El trabajo de </w:t>
      </w:r>
      <w:r w:rsidR="001872C6" w:rsidRPr="00FE26CF">
        <w:rPr>
          <w:rFonts w:cs="Arial"/>
          <w:sz w:val="22"/>
          <w:lang w:val="es-ES"/>
        </w:rPr>
        <w:fldChar w:fldCharType="begin" w:fldLock="1"/>
      </w:r>
      <w:r w:rsidR="001872C6" w:rsidRPr="00FE26CF">
        <w:rPr>
          <w:rFonts w:cs="Arial"/>
          <w:sz w:val="22"/>
          <w:lang w:val="es-ES"/>
        </w:rPr>
        <w:instrText>ADDIN CSL_CITATION { "citationItems" : [ { "id" : "ITEM-1", "itemData" : { "DOI" : "10.1596/1813-9450-4639", "author" : [ { "dropping-particle" : "", "family" : "Lopez", "given" : "Humberto", "non-dropping-particle" : "", "parse-names" : false, "suffix" : "" } ], "collection-title" : "Policy Research Working Papers", "id" : "ITEM-1", "issued" : { "date-parts" : [ [ "2008", "6", "12" ] ] }, "language" : "English", "publisher" : "The World Bank", "title" : "The Social Discount Rate: Estimates For Nine Latin American Countries", "type" : "book" }, "uris" : [ "http://www.mendeley.com/documents/?uuid=1c1d3902-07ef-4655-9402-cdac0fbfa4be" ] } ], "mendeley" : { "formattedCitation" : "(Lopez 2008)", "manualFormatting" : "Lopez (2008)", "plainTextFormattedCitation" : "(Lopez 2008)", "previouslyFormattedCitation" : "(Lopez 2008)" }, "properties" : { "noteIndex" : 0 }, "schema" : "https://github.com/citation-style-language/schema/raw/master/csl-citation.json" }</w:instrText>
      </w:r>
      <w:r w:rsidR="001872C6" w:rsidRPr="00FE26CF">
        <w:rPr>
          <w:rFonts w:cs="Arial"/>
          <w:sz w:val="22"/>
          <w:lang w:val="es-ES"/>
        </w:rPr>
        <w:fldChar w:fldCharType="separate"/>
      </w:r>
      <w:r w:rsidR="001872C6" w:rsidRPr="00FE26CF">
        <w:rPr>
          <w:rFonts w:cs="Arial"/>
          <w:noProof/>
          <w:sz w:val="22"/>
          <w:lang w:val="es-ES"/>
        </w:rPr>
        <w:t>Lopez (2008)</w:t>
      </w:r>
      <w:r w:rsidR="001872C6" w:rsidRPr="00FE26CF">
        <w:rPr>
          <w:rFonts w:cs="Arial"/>
          <w:sz w:val="22"/>
          <w:lang w:val="es-ES"/>
        </w:rPr>
        <w:fldChar w:fldCharType="end"/>
      </w:r>
      <w:r w:rsidR="001872C6" w:rsidRPr="00FE26CF">
        <w:rPr>
          <w:rFonts w:cs="Arial"/>
          <w:sz w:val="22"/>
          <w:lang w:val="es-ES"/>
        </w:rPr>
        <w:t xml:space="preserve"> </w:t>
      </w:r>
      <w:r w:rsidR="00F84D8D" w:rsidRPr="00FE26CF">
        <w:rPr>
          <w:rFonts w:cs="Arial"/>
          <w:sz w:val="22"/>
          <w:lang w:val="es-ES"/>
        </w:rPr>
        <w:t xml:space="preserve">que estima </w:t>
      </w:r>
      <w:r w:rsidR="00EE705A" w:rsidRPr="00FE26CF">
        <w:rPr>
          <w:rFonts w:cs="Arial"/>
          <w:sz w:val="22"/>
          <w:lang w:val="es-ES"/>
        </w:rPr>
        <w:t>tasas de descuento para nueve países latinoamericano</w:t>
      </w:r>
      <w:r w:rsidR="00F84D8D" w:rsidRPr="00FE26CF">
        <w:rPr>
          <w:rFonts w:cs="Arial"/>
          <w:sz w:val="22"/>
          <w:lang w:val="es-ES"/>
        </w:rPr>
        <w:t>s indica que la selección de la tasa depende las expectativas de crecimiento. Esto es que ante un escenario de crecimiento económico bajo la tasa de descuento debe situarse entre 3 y 4% mientras que en un escenario de crecimiento acelerado la tasa puede ser de un 5 o hasta 7%. En el caso de Latinoamérica algunos autores han utilizado tasas menores al 12% para</w:t>
      </w:r>
      <w:r w:rsidR="001872C6" w:rsidRPr="00FE26CF">
        <w:rPr>
          <w:rFonts w:cs="Arial"/>
          <w:sz w:val="22"/>
          <w:lang w:val="es-ES"/>
        </w:rPr>
        <w:t xml:space="preserve"> evaluar proyectos. Por ejemplo, </w:t>
      </w:r>
      <w:r w:rsidR="001872C6" w:rsidRPr="00FE26CF">
        <w:rPr>
          <w:rFonts w:cs="Arial"/>
          <w:sz w:val="22"/>
          <w:lang w:val="es-ES"/>
        </w:rPr>
        <w:fldChar w:fldCharType="begin" w:fldLock="1"/>
      </w:r>
      <w:r w:rsidR="001872C6" w:rsidRPr="00FE26CF">
        <w:rPr>
          <w:rFonts w:cs="Arial"/>
          <w:sz w:val="22"/>
          <w:lang w:val="es-ES"/>
        </w:rPr>
        <w:instrText>ADDIN CSL_CITATION { "citationItems" : [ { "id" : "ITEM-1", "itemData" : { "author" : [ { "dropping-particle" : "", "family" : "Castillo", "given" : "CP", "non-dropping-particle" : "De", "parse-names" : false, "suffix" : "" }, { "dropping-particle" : "", "family" : "Lema", "given" : "R", "non-dropping-particle" : "", "parse-names" : false, "suffix" : "" } ], "id" : "ITEM-1", "issued" : { "date-parts" : [ [ "1998" ] ] }, "title" : "Economic Analysis of Social Investment Fund Projects: Case Studies and Minimum Requirements Proposal", "type" : "article-journal" }, "uris" : [ "http://www.mendeley.com/documents/?uuid=0e5a3df5-2ed5-414b-8877-801d78ccdf46" ] } ], "mendeley" : { "formattedCitation" : "(De Castillo and Lema 1998)", "manualFormatting" : "De Castillo y Lema (1998)", "plainTextFormattedCitation" : "(De Castillo and Lema 1998)", "previouslyFormattedCitation" : "(De Castillo and Lema 1998)" }, "properties" : { "noteIndex" : 0 }, "schema" : "https://github.com/citation-style-language/schema/raw/master/csl-citation.json" }</w:instrText>
      </w:r>
      <w:r w:rsidR="001872C6" w:rsidRPr="00FE26CF">
        <w:rPr>
          <w:rFonts w:cs="Arial"/>
          <w:sz w:val="22"/>
          <w:lang w:val="es-ES"/>
        </w:rPr>
        <w:fldChar w:fldCharType="separate"/>
      </w:r>
      <w:r w:rsidR="001872C6" w:rsidRPr="00FE26CF">
        <w:rPr>
          <w:rFonts w:cs="Arial"/>
          <w:noProof/>
          <w:sz w:val="22"/>
          <w:lang w:val="es-ES"/>
        </w:rPr>
        <w:t>De Castillo y Lema (1998)</w:t>
      </w:r>
      <w:r w:rsidR="001872C6" w:rsidRPr="00FE26CF">
        <w:rPr>
          <w:rFonts w:cs="Arial"/>
          <w:sz w:val="22"/>
          <w:lang w:val="es-ES"/>
        </w:rPr>
        <w:fldChar w:fldCharType="end"/>
      </w:r>
      <w:r w:rsidR="001872C6" w:rsidRPr="00FE26CF">
        <w:rPr>
          <w:rFonts w:cs="Arial"/>
          <w:sz w:val="22"/>
          <w:lang w:val="es-ES"/>
        </w:rPr>
        <w:t xml:space="preserve"> </w:t>
      </w:r>
      <w:r w:rsidR="00F84D8D" w:rsidRPr="00FE26CF">
        <w:rPr>
          <w:rFonts w:cs="Arial"/>
          <w:sz w:val="22"/>
          <w:lang w:val="es-ES"/>
        </w:rPr>
        <w:t>utilizan</w:t>
      </w:r>
      <w:r w:rsidR="00EE705A" w:rsidRPr="00FE26CF">
        <w:rPr>
          <w:rFonts w:cs="Arial"/>
          <w:sz w:val="22"/>
          <w:lang w:val="es-ES"/>
        </w:rPr>
        <w:t xml:space="preserve"> una tasa de descuento del 8% para analizar económicamente unos fondos soci</w:t>
      </w:r>
      <w:r w:rsidR="00F84D8D" w:rsidRPr="00FE26CF">
        <w:rPr>
          <w:rFonts w:cs="Arial"/>
          <w:sz w:val="22"/>
          <w:lang w:val="es-ES"/>
        </w:rPr>
        <w:t xml:space="preserve">ales de inversión en Bolivia, </w:t>
      </w:r>
      <w:r w:rsidR="00EE705A" w:rsidRPr="00FE26CF">
        <w:rPr>
          <w:rFonts w:cs="Arial"/>
          <w:sz w:val="22"/>
          <w:lang w:val="es-ES"/>
        </w:rPr>
        <w:t>evaluaciones económicas del impacto de proyectos de nutrición en salud y educación usan tasas</w:t>
      </w:r>
      <w:r w:rsidR="001872C6" w:rsidRPr="00FE26CF">
        <w:rPr>
          <w:rFonts w:cs="Arial"/>
          <w:sz w:val="22"/>
          <w:lang w:val="es-ES"/>
        </w:rPr>
        <w:t xml:space="preserve"> de 8% </w:t>
      </w:r>
      <w:r w:rsidR="001872C6" w:rsidRPr="00FE26CF">
        <w:rPr>
          <w:rFonts w:cs="Arial"/>
          <w:sz w:val="22"/>
          <w:lang w:val="es-ES"/>
        </w:rPr>
        <w:fldChar w:fldCharType="begin" w:fldLock="1"/>
      </w:r>
      <w:r w:rsidR="001872C6" w:rsidRPr="00FE26CF">
        <w:rPr>
          <w:rFonts w:cs="Arial"/>
          <w:sz w:val="22"/>
          <w:lang w:val="es-ES"/>
        </w:rPr>
        <w:instrText>ADDIN CSL_CITATION { "citationItems" : [ { "id" : "ITEM-1", "itemData" : { "author" : [ { "dropping-particle" : "", "family" : "Martinez", "given" : "R", "non-dropping-particle" : "", "parse-names" : false, "suffix" : "" }, { "dropping-particle" : "", "family" : "Fern\u00e1ndez", "given" : "A", "non-dropping-particle" : "", "parse-names" : false, "suffix" : "" } ], "id" : "ITEM-1", "issued" : { "date-parts" : [ [ "2008" ] ] }, "title" : "The cost of hunger: social and economic impact of child undernutrition in Central America and the Dominican Republic", "type" : "book" }, "uris" : [ "http://www.mendeley.com/documents/?uuid=65013fa7-3187-46ea-9f70-c1a483e6658d" ] } ], "mendeley" : { "formattedCitation" : "(Martinez and Fern\u00e1ndez 2008)", "manualFormatting" : "Martinez y Fern\u00e1ndez (2008)", "plainTextFormattedCitation" : "(Martinez and Fern\u00e1ndez 2008)", "previouslyFormattedCitation" : "(Martinez and Fern\u00e1ndez 2008)" }, "properties" : { "noteIndex" : 0 }, "schema" : "https://github.com/citation-style-language/schema/raw/master/csl-citation.json" }</w:instrText>
      </w:r>
      <w:r w:rsidR="001872C6" w:rsidRPr="00FE26CF">
        <w:rPr>
          <w:rFonts w:cs="Arial"/>
          <w:sz w:val="22"/>
          <w:lang w:val="es-ES"/>
        </w:rPr>
        <w:fldChar w:fldCharType="separate"/>
      </w:r>
      <w:r w:rsidR="001872C6" w:rsidRPr="00FE26CF">
        <w:rPr>
          <w:rFonts w:cs="Arial"/>
          <w:noProof/>
          <w:sz w:val="22"/>
          <w:lang w:val="es-ES"/>
        </w:rPr>
        <w:t xml:space="preserve">Martinez y </w:t>
      </w:r>
      <w:r w:rsidR="001872C6" w:rsidRPr="00FE26CF">
        <w:rPr>
          <w:rFonts w:cs="Arial"/>
          <w:noProof/>
          <w:sz w:val="22"/>
          <w:lang w:val="es-ES"/>
        </w:rPr>
        <w:lastRenderedPageBreak/>
        <w:t>Fernández (2008)</w:t>
      </w:r>
      <w:r w:rsidR="001872C6" w:rsidRPr="00FE26CF">
        <w:rPr>
          <w:rFonts w:cs="Arial"/>
          <w:sz w:val="22"/>
          <w:lang w:val="es-ES"/>
        </w:rPr>
        <w:fldChar w:fldCharType="end"/>
      </w:r>
      <w:r w:rsidR="00AC2FC7" w:rsidRPr="00FE26CF">
        <w:rPr>
          <w:rFonts w:cs="Arial"/>
          <w:sz w:val="22"/>
          <w:lang w:val="es-ES"/>
        </w:rPr>
        <w:t xml:space="preserve">, </w:t>
      </w:r>
      <w:r w:rsidR="001872C6" w:rsidRPr="00FE26CF">
        <w:rPr>
          <w:rFonts w:cs="Arial"/>
          <w:sz w:val="22"/>
          <w:lang w:val="es-ES"/>
        </w:rPr>
        <w:fldChar w:fldCharType="begin" w:fldLock="1"/>
      </w:r>
      <w:r w:rsidR="001872C6" w:rsidRPr="00FE26CF">
        <w:rPr>
          <w:rFonts w:cs="Arial"/>
          <w:sz w:val="22"/>
          <w:lang w:val="es-ES"/>
        </w:rPr>
        <w:instrText>ADDIN CSL_CITATION { "citationItems" : [ { "id" : "ITEM-1", "itemData" : { "author" : [ { "dropping-particle" : "", "family" : "Heckman", "given" : "James J", "non-dropping-particle" : "", "parse-names" : false, "suffix" : "" }, { "dropping-particle" : "", "family" : "Moon", "given" : "Seong Hyeok", "non-dropping-particle" : "", "parse-names" : false, "suffix" : "" }, { "dropping-particle" : "", "family" : "Pinto", "given" : "Rodrigo", "non-dropping-particle" : "", "parse-names" : false, "suffix" : "" }, { "dropping-particle" : "", "family" : "Savelyev", "given" : "Peter", "non-dropping-particle" : "", "parse-names" : false, "suffix" : "" }, { "dropping-particle" : "", "family" : "Yavitz", "given" : "Adam", "non-dropping-particle" : "", "parse-names" : false, "suffix" : "" } ], "id" : "ITEM-1", "issued" : { "date-parts" : [ [ "2010", "7", "8" ] ] }, "title" : "A New Cost-Benefit and Rate of Return Analysis for the Perry Preschool Program: A Summary", "type" : "article-journal" }, "uris" : [ "http://www.mendeley.com/documents/?uuid=51756460-d664-4e2d-9acf-737c589d02aa" ] } ], "mendeley" : { "formattedCitation" : "(Heckman et al. 2010)", "manualFormatting" : "Heckman et al. (2010)", "plainTextFormattedCitation" : "(Heckman et al. 2010)", "previouslyFormattedCitation" : "(Heckman et al. 2010)" }, "properties" : { "noteIndex" : 0 }, "schema" : "https://github.com/citation-style-language/schema/raw/master/csl-citation.json" }</w:instrText>
      </w:r>
      <w:r w:rsidR="001872C6" w:rsidRPr="00FE26CF">
        <w:rPr>
          <w:rFonts w:cs="Arial"/>
          <w:sz w:val="22"/>
          <w:lang w:val="es-ES"/>
        </w:rPr>
        <w:fldChar w:fldCharType="separate"/>
      </w:r>
      <w:r w:rsidR="001872C6" w:rsidRPr="00FE26CF">
        <w:rPr>
          <w:rFonts w:cs="Arial"/>
          <w:noProof/>
          <w:sz w:val="22"/>
          <w:lang w:val="es-ES"/>
        </w:rPr>
        <w:t>Heckman et al. (2010)</w:t>
      </w:r>
      <w:r w:rsidR="001872C6" w:rsidRPr="00FE26CF">
        <w:rPr>
          <w:rFonts w:cs="Arial"/>
          <w:sz w:val="22"/>
          <w:lang w:val="es-ES"/>
        </w:rPr>
        <w:fldChar w:fldCharType="end"/>
      </w:r>
      <w:r w:rsidR="00EE705A" w:rsidRPr="00FE26CF">
        <w:rPr>
          <w:rFonts w:cs="Arial"/>
          <w:sz w:val="22"/>
          <w:lang w:val="es-ES"/>
        </w:rPr>
        <w:t xml:space="preserve"> utiliza</w:t>
      </w:r>
      <w:r w:rsidR="00AC2FC7" w:rsidRPr="00FE26CF">
        <w:rPr>
          <w:rFonts w:cs="Arial"/>
          <w:sz w:val="22"/>
          <w:lang w:val="es-ES"/>
        </w:rPr>
        <w:t>n</w:t>
      </w:r>
      <w:r w:rsidR="00EE705A" w:rsidRPr="00FE26CF">
        <w:rPr>
          <w:rFonts w:cs="Arial"/>
          <w:sz w:val="22"/>
          <w:lang w:val="es-ES"/>
        </w:rPr>
        <w:t xml:space="preserve"> una tasa de descue</w:t>
      </w:r>
      <w:r w:rsidR="00AC2FC7" w:rsidRPr="00FE26CF">
        <w:rPr>
          <w:rFonts w:cs="Arial"/>
          <w:sz w:val="22"/>
          <w:lang w:val="es-ES"/>
        </w:rPr>
        <w:t xml:space="preserve">nto de entre 3 y 5%, y </w:t>
      </w:r>
      <w:r w:rsidR="001872C6" w:rsidRPr="00FE26CF">
        <w:rPr>
          <w:rFonts w:cs="Arial"/>
          <w:sz w:val="22"/>
          <w:lang w:val="es-ES"/>
        </w:rPr>
        <w:fldChar w:fldCharType="begin" w:fldLock="1"/>
      </w:r>
      <w:r w:rsidR="001872C6" w:rsidRPr="00FE26CF">
        <w:rPr>
          <w:rFonts w:cs="Arial"/>
          <w:sz w:val="22"/>
          <w:lang w:val="es-ES"/>
        </w:rPr>
        <w:instrText>ADDIN CSL_CITATION { "citationItems" : [ { "id" : "ITEM-1", "itemData" : { "author" : [ { "dropping-particle" : "", "family" : "Lomborg", "given" : "B", "non-dropping-particle" : "", "parse-names" : false, "suffix" : "" } ], "id" : "ITEM-1", "issued" : { "date-parts" : [ [ "2010" ] ] }, "publisher" : "Cambridge University Press", "publisher-place" : "Cambridge, Reino Unido", "title" : "Latin American Development Priorities: Costs and Benefits", "type" : "book" }, "uris" : [ "http://www.mendeley.com/documents/?uuid=1114e6b8-54cd-4c00-b9ce-ec3194cacac7" ] } ], "mendeley" : { "formattedCitation" : "(Lomborg 2010)", "manualFormatting" : "Lomborg (2010)", "plainTextFormattedCitation" : "(Lomborg 2010)", "previouslyFormattedCitation" : "(Lomborg 2010)" }, "properties" : { "noteIndex" : 0 }, "schema" : "https://github.com/citation-style-language/schema/raw/master/csl-citation.json" }</w:instrText>
      </w:r>
      <w:r w:rsidR="001872C6" w:rsidRPr="00FE26CF">
        <w:rPr>
          <w:rFonts w:cs="Arial"/>
          <w:sz w:val="22"/>
          <w:lang w:val="es-ES"/>
        </w:rPr>
        <w:fldChar w:fldCharType="separate"/>
      </w:r>
      <w:r w:rsidR="001872C6" w:rsidRPr="00FE26CF">
        <w:rPr>
          <w:rFonts w:cs="Arial"/>
          <w:noProof/>
          <w:sz w:val="22"/>
          <w:lang w:val="es-ES"/>
        </w:rPr>
        <w:t>Lomborg (2010)</w:t>
      </w:r>
      <w:r w:rsidR="001872C6" w:rsidRPr="00FE26CF">
        <w:rPr>
          <w:rFonts w:cs="Arial"/>
          <w:sz w:val="22"/>
          <w:lang w:val="es-ES"/>
        </w:rPr>
        <w:fldChar w:fldCharType="end"/>
      </w:r>
      <w:r w:rsidR="00EE705A" w:rsidRPr="00FE26CF">
        <w:rPr>
          <w:rFonts w:cs="Arial"/>
          <w:sz w:val="22"/>
          <w:lang w:val="es-ES"/>
        </w:rPr>
        <w:t xml:space="preserve">usa una tasa de descuento del 3 y del 6% para analizar el costo beneficio en </w:t>
      </w:r>
      <w:r w:rsidR="00AC2FC7" w:rsidRPr="00FE26CF">
        <w:rPr>
          <w:rFonts w:cs="Arial"/>
          <w:sz w:val="22"/>
          <w:lang w:val="es-ES"/>
        </w:rPr>
        <w:t>términos de educación de un Programa de Transferencias Condicionadas</w:t>
      </w:r>
      <w:r w:rsidR="00EE705A" w:rsidRPr="00FE26CF">
        <w:rPr>
          <w:rFonts w:cs="Arial"/>
          <w:sz w:val="22"/>
          <w:lang w:val="es-ES"/>
        </w:rPr>
        <w:t xml:space="preserve"> para el caso de tres países latinoamericanos. </w:t>
      </w:r>
      <w:r w:rsidR="00F84D8D" w:rsidRPr="00FE26CF">
        <w:rPr>
          <w:rFonts w:cs="Arial"/>
          <w:sz w:val="22"/>
          <w:lang w:val="es-ES"/>
        </w:rPr>
        <w:t xml:space="preserve">Finalmente, para proyectos de Salud, la </w:t>
      </w:r>
      <w:r w:rsidR="001872C6" w:rsidRPr="00FE26CF">
        <w:rPr>
          <w:rFonts w:cs="Arial"/>
          <w:sz w:val="22"/>
          <w:lang w:val="es-ES"/>
        </w:rPr>
        <w:t xml:space="preserve">OMS </w:t>
      </w:r>
      <w:r w:rsidR="001872C6" w:rsidRPr="00FE26CF">
        <w:rPr>
          <w:rFonts w:cs="Arial"/>
          <w:sz w:val="22"/>
          <w:lang w:val="es-ES"/>
        </w:rPr>
        <w:fldChar w:fldCharType="begin" w:fldLock="1"/>
      </w:r>
      <w:r w:rsidR="001872C6" w:rsidRPr="00FE26CF">
        <w:rPr>
          <w:rFonts w:cs="Arial"/>
          <w:sz w:val="22"/>
          <w:lang w:val="es-ES"/>
        </w:rPr>
        <w:instrText>ADDIN CSL_CITATION { "citationItems" : [ { "id" : "ITEM-1", "itemData" : { "editor" : [ { "dropping-particle" : "", "family" : "Tan-Torres Edejer", "given" : "T", "non-dropping-particle" : "", "parse-names" : false, "suffix" : "" }, { "dropping-particle" : "", "family" : "Baltussen", "given" : "R.", "non-dropping-particle" : "", "parse-names" : false, "suffix" : "" }, { "dropping-particle" : "", "family" : "Adam", "given" : "T", "non-dropping-particle" : "", "parse-names" : false, "suffix" : "" }, { "dropping-particle" : "", "family" : "Hutubessy", "given" : "R", "non-dropping-particle" : "", "parse-names" : false, "suffix" : "" }, { "dropping-particle" : "", "family" : "Acharya", "given" : "A.", "non-dropping-particle" : "", "parse-names" : false, "suffix" : "" }, { "dropping-particle" : "", "family" : "Evans", "given" : "D.B.", "non-dropping-particle" : "", "parse-names" : false, "suffix" : "" }, { "dropping-particle" : "", "family" : "Murray", "given" : "C.J.L.", "non-dropping-particle" : "", "parse-names" : false, "suffix" : "" } ], "id" : "ITEM-1", "issued" : { "date-parts" : [ [ "2003" ] ] }, "publisher" : "Organizaci\u00f3n Mundial de la Salud", "publisher-place" : "Ginebra, Suiza", "title" : "Making Choices in Health:WHO Guide to Cost-Effectiveness Analysis", "type" : "book" }, "uris" : [ "http://www.mendeley.com/documents/?uuid=25a26c8b-dbda-4a68-ae1c-4aef5e08e5d1" ] } ], "mendeley" : { "formattedCitation" : "(Tan-Torres Edejer et al. 2003)", "manualFormatting" : "(en Tan-Torres Edejer et al. 2003)", "plainTextFormattedCitation" : "(Tan-Torres Edejer et al. 2003)", "previouslyFormattedCitation" : "(Tan-Torres Edejer et al. 2003)" }, "properties" : { "noteIndex" : 0 }, "schema" : "https://github.com/citation-style-language/schema/raw/master/csl-citation.json" }</w:instrText>
      </w:r>
      <w:r w:rsidR="001872C6" w:rsidRPr="00FE26CF">
        <w:rPr>
          <w:rFonts w:cs="Arial"/>
          <w:sz w:val="22"/>
          <w:lang w:val="es-ES"/>
        </w:rPr>
        <w:fldChar w:fldCharType="separate"/>
      </w:r>
      <w:r w:rsidR="001872C6" w:rsidRPr="00FE26CF">
        <w:rPr>
          <w:rFonts w:cs="Arial"/>
          <w:noProof/>
          <w:sz w:val="22"/>
          <w:lang w:val="es-ES"/>
        </w:rPr>
        <w:t>(en Tan-Torres Edejer et al. 2003)</w:t>
      </w:r>
      <w:r w:rsidR="001872C6" w:rsidRPr="00FE26CF">
        <w:rPr>
          <w:rFonts w:cs="Arial"/>
          <w:sz w:val="22"/>
          <w:lang w:val="es-ES"/>
        </w:rPr>
        <w:fldChar w:fldCharType="end"/>
      </w:r>
      <w:r w:rsidR="001872C6" w:rsidRPr="00FE26CF">
        <w:rPr>
          <w:rFonts w:cs="Arial"/>
          <w:sz w:val="22"/>
          <w:lang w:val="es-ES"/>
        </w:rPr>
        <w:t xml:space="preserve"> </w:t>
      </w:r>
      <w:r w:rsidR="00F84D8D" w:rsidRPr="00FE26CF">
        <w:rPr>
          <w:rFonts w:cs="Arial"/>
          <w:sz w:val="22"/>
          <w:lang w:val="es-ES"/>
        </w:rPr>
        <w:t>recomienda usar 3% como tasa de descuento y sugieren que para los análisis de sensibilidad se descuenten los efectos de salud con una tasa del 0% y los costos con una del 6%.</w:t>
      </w:r>
    </w:p>
    <w:p w:rsidR="00FF628C" w:rsidRPr="00FE26CF" w:rsidRDefault="00FF628C" w:rsidP="006D2FB5">
      <w:pPr>
        <w:autoSpaceDE w:val="0"/>
        <w:autoSpaceDN w:val="0"/>
        <w:adjustRightInd w:val="0"/>
        <w:spacing w:before="120" w:after="120" w:line="240" w:lineRule="auto"/>
        <w:jc w:val="both"/>
        <w:rPr>
          <w:rFonts w:cs="Arial"/>
          <w:sz w:val="22"/>
          <w:lang w:val="es-ES"/>
        </w:rPr>
      </w:pPr>
      <w:r w:rsidRPr="00FE26CF">
        <w:rPr>
          <w:rFonts w:cs="Arial"/>
          <w:sz w:val="22"/>
          <w:lang w:val="es-ES"/>
        </w:rPr>
        <w:t>Las ganancias económicas del proyecto están dadas por la combinación de los AVADs obtenidos por las mejoras en la gestión y en la calidad de las redes de servicios de salud</w:t>
      </w:r>
      <w:r w:rsidR="00F84D8D" w:rsidRPr="00FE26CF">
        <w:rPr>
          <w:rFonts w:cs="Arial"/>
          <w:sz w:val="22"/>
          <w:lang w:val="es-ES"/>
        </w:rPr>
        <w:t xml:space="preserve"> multiplicados por la productividad de la población. Posteriormente son ajustados por</w:t>
      </w:r>
      <w:r w:rsidRPr="00FE26CF">
        <w:rPr>
          <w:rFonts w:cs="Arial"/>
          <w:sz w:val="22"/>
          <w:lang w:val="es-ES"/>
        </w:rPr>
        <w:t xml:space="preserve"> los vectores de gradualidad de efectividad, e</w:t>
      </w:r>
      <w:r w:rsidR="00F84D8D" w:rsidRPr="00FE26CF">
        <w:rPr>
          <w:rFonts w:cs="Arial"/>
          <w:sz w:val="22"/>
          <w:lang w:val="es-ES"/>
        </w:rPr>
        <w:t xml:space="preserve">l factor marginal de eficiencia. </w:t>
      </w:r>
    </w:p>
    <w:p w:rsidR="008F1413" w:rsidRPr="00FE26CF" w:rsidRDefault="00A66BBC" w:rsidP="006D2FB5">
      <w:pPr>
        <w:autoSpaceDE w:val="0"/>
        <w:autoSpaceDN w:val="0"/>
        <w:adjustRightInd w:val="0"/>
        <w:spacing w:before="120" w:after="120" w:line="240" w:lineRule="auto"/>
        <w:jc w:val="both"/>
        <w:rPr>
          <w:rFonts w:cs="Arial"/>
          <w:sz w:val="22"/>
          <w:lang w:val="es-ES"/>
        </w:rPr>
      </w:pPr>
      <w:r w:rsidRPr="00FE26CF">
        <w:rPr>
          <w:rFonts w:cs="Arial"/>
          <w:sz w:val="22"/>
          <w:lang w:val="es-ES"/>
        </w:rPr>
        <w:t xml:space="preserve">Considerando el escenario más realista; es decir cuando los beneficios graduales se presentan en forma regular y se alcanza un factor marginal de efectividad medio; los beneficios esperados del proyecto </w:t>
      </w:r>
      <w:r w:rsidR="00940453" w:rsidRPr="00FE26CF">
        <w:rPr>
          <w:rFonts w:cs="Arial"/>
          <w:sz w:val="22"/>
          <w:lang w:val="es-ES"/>
        </w:rPr>
        <w:t>en cinco años ascienden a US$237</w:t>
      </w:r>
      <w:r w:rsidRPr="00FE26CF">
        <w:rPr>
          <w:rFonts w:cs="Arial"/>
          <w:sz w:val="22"/>
          <w:lang w:val="es-ES"/>
        </w:rPr>
        <w:t xml:space="preserve"> millones de dólares. El análisis de sensibilidad presentado en la </w:t>
      </w:r>
      <w:r w:rsidRPr="00FE26CF">
        <w:rPr>
          <w:rFonts w:cs="Arial"/>
          <w:sz w:val="22"/>
          <w:lang w:val="es-ES"/>
        </w:rPr>
        <w:fldChar w:fldCharType="begin"/>
      </w:r>
      <w:r w:rsidRPr="00FE26CF">
        <w:rPr>
          <w:rFonts w:cs="Arial"/>
          <w:sz w:val="22"/>
          <w:lang w:val="es-ES"/>
        </w:rPr>
        <w:instrText xml:space="preserve"> REF _Ref296087688 \h </w:instrText>
      </w:r>
      <w:r w:rsidR="000B185D" w:rsidRPr="00FE26CF">
        <w:rPr>
          <w:rFonts w:cs="Arial"/>
          <w:sz w:val="22"/>
          <w:lang w:val="es-ES"/>
        </w:rPr>
        <w:instrText xml:space="preserve"> \* MERGEFORMAT </w:instrText>
      </w:r>
      <w:r w:rsidRPr="00FE26CF">
        <w:rPr>
          <w:rFonts w:cs="Arial"/>
          <w:sz w:val="22"/>
          <w:lang w:val="es-ES"/>
        </w:rPr>
      </w:r>
      <w:r w:rsidRPr="00FE26CF">
        <w:rPr>
          <w:rFonts w:cs="Arial"/>
          <w:sz w:val="22"/>
          <w:lang w:val="es-ES"/>
        </w:rPr>
        <w:fldChar w:fldCharType="separate"/>
      </w:r>
      <w:r w:rsidR="0088018B" w:rsidRPr="00FE26CF">
        <w:rPr>
          <w:rFonts w:cs="Arial"/>
          <w:sz w:val="22"/>
          <w:lang w:val="es-ES"/>
        </w:rPr>
        <w:t xml:space="preserve">Tabla </w:t>
      </w:r>
      <w:r w:rsidR="0088018B" w:rsidRPr="00FE26CF">
        <w:rPr>
          <w:rFonts w:cs="Arial"/>
          <w:noProof/>
          <w:sz w:val="22"/>
          <w:lang w:val="es-ES"/>
        </w:rPr>
        <w:t>5</w:t>
      </w:r>
      <w:r w:rsidRPr="00FE26CF">
        <w:rPr>
          <w:rFonts w:cs="Arial"/>
          <w:sz w:val="22"/>
          <w:lang w:val="es-ES"/>
        </w:rPr>
        <w:fldChar w:fldCharType="end"/>
      </w:r>
      <w:r w:rsidR="00735E0F" w:rsidRPr="00FE26CF">
        <w:rPr>
          <w:rFonts w:cs="Arial"/>
          <w:sz w:val="22"/>
          <w:lang w:val="es-ES"/>
        </w:rPr>
        <w:t xml:space="preserve"> muestra que</w:t>
      </w:r>
      <w:r w:rsidRPr="00FE26CF">
        <w:rPr>
          <w:rFonts w:cs="Arial"/>
          <w:sz w:val="22"/>
          <w:lang w:val="es-ES"/>
        </w:rPr>
        <w:t xml:space="preserve"> los </w:t>
      </w:r>
      <w:r w:rsidR="00800447" w:rsidRPr="00FE26CF">
        <w:rPr>
          <w:rFonts w:cs="Arial"/>
          <w:sz w:val="22"/>
          <w:lang w:val="es-ES"/>
        </w:rPr>
        <w:t>beneficios oscilan entre US$ 139</w:t>
      </w:r>
      <w:r w:rsidRPr="00FE26CF">
        <w:rPr>
          <w:rFonts w:cs="Arial"/>
          <w:sz w:val="22"/>
          <w:lang w:val="es-ES"/>
        </w:rPr>
        <w:t xml:space="preserve"> millones en los escenarios más negativos y</w:t>
      </w:r>
      <w:r w:rsidR="00800447" w:rsidRPr="00FE26CF">
        <w:rPr>
          <w:rFonts w:cs="Arial"/>
          <w:sz w:val="22"/>
          <w:lang w:val="es-ES"/>
        </w:rPr>
        <w:t xml:space="preserve"> con una tasa de descuento de 6</w:t>
      </w:r>
      <w:r w:rsidR="00940453" w:rsidRPr="00FE26CF">
        <w:rPr>
          <w:rFonts w:cs="Arial"/>
          <w:sz w:val="22"/>
          <w:lang w:val="es-ES"/>
        </w:rPr>
        <w:t>% y US$48</w:t>
      </w:r>
      <w:r w:rsidR="003A0546" w:rsidRPr="00FE26CF">
        <w:rPr>
          <w:rFonts w:cs="Arial"/>
          <w:sz w:val="22"/>
          <w:lang w:val="es-ES"/>
        </w:rPr>
        <w:t>2</w:t>
      </w:r>
      <w:r w:rsidRPr="00FE26CF">
        <w:rPr>
          <w:rFonts w:cs="Arial"/>
          <w:sz w:val="22"/>
          <w:lang w:val="es-ES"/>
        </w:rPr>
        <w:t xml:space="preserve"> millones de dólares</w:t>
      </w:r>
      <w:r w:rsidR="00940453" w:rsidRPr="00FE26CF">
        <w:rPr>
          <w:rFonts w:cs="Arial"/>
          <w:sz w:val="22"/>
          <w:lang w:val="es-ES"/>
        </w:rPr>
        <w:t xml:space="preserve"> en el escenario más optimista con una tasa de descuento de 0%.</w:t>
      </w:r>
    </w:p>
    <w:p w:rsidR="008C30C9" w:rsidRPr="00FE26CF" w:rsidRDefault="008C30C9" w:rsidP="006D2FB5">
      <w:pPr>
        <w:autoSpaceDE w:val="0"/>
        <w:autoSpaceDN w:val="0"/>
        <w:adjustRightInd w:val="0"/>
        <w:spacing w:before="120" w:after="120" w:line="240" w:lineRule="auto"/>
        <w:jc w:val="both"/>
        <w:rPr>
          <w:rFonts w:cs="Arial"/>
          <w:sz w:val="22"/>
          <w:lang w:val="es-ES"/>
        </w:rPr>
      </w:pPr>
    </w:p>
    <w:p w:rsidR="00A66BBC" w:rsidRDefault="00A66BBC" w:rsidP="00E0614F">
      <w:pPr>
        <w:pStyle w:val="Caption"/>
        <w:tabs>
          <w:tab w:val="left" w:pos="7049"/>
        </w:tabs>
        <w:rPr>
          <w:lang w:val="es-ES"/>
        </w:rPr>
      </w:pPr>
      <w:bookmarkStart w:id="24" w:name="_Ref296087688"/>
      <w:r w:rsidRPr="00FE26CF">
        <w:rPr>
          <w:lang w:val="es-ES"/>
        </w:rPr>
        <w:t xml:space="preserve">Tabla </w:t>
      </w:r>
      <w:r w:rsidRPr="00FE26CF">
        <w:rPr>
          <w:lang w:val="es-ES"/>
        </w:rPr>
        <w:fldChar w:fldCharType="begin"/>
      </w:r>
      <w:r w:rsidRPr="00FE26CF">
        <w:rPr>
          <w:lang w:val="es-ES"/>
        </w:rPr>
        <w:instrText xml:space="preserve"> SEQ Tabla \* ARABIC </w:instrText>
      </w:r>
      <w:r w:rsidRPr="00FE26CF">
        <w:rPr>
          <w:lang w:val="es-ES"/>
        </w:rPr>
        <w:fldChar w:fldCharType="separate"/>
      </w:r>
      <w:r w:rsidR="0088018B" w:rsidRPr="00FE26CF">
        <w:rPr>
          <w:noProof/>
          <w:lang w:val="es-ES"/>
        </w:rPr>
        <w:t>5</w:t>
      </w:r>
      <w:r w:rsidRPr="00FE26CF">
        <w:rPr>
          <w:lang w:val="es-ES"/>
        </w:rPr>
        <w:fldChar w:fldCharType="end"/>
      </w:r>
      <w:bookmarkEnd w:id="24"/>
      <w:r w:rsidRPr="00FE26CF">
        <w:rPr>
          <w:lang w:val="es-ES"/>
        </w:rPr>
        <w:t xml:space="preserve">. </w:t>
      </w:r>
      <w:r w:rsidR="004268B3" w:rsidRPr="00FE26CF">
        <w:rPr>
          <w:lang w:val="es-ES"/>
        </w:rPr>
        <w:t>Análisis de sensibilidad</w:t>
      </w:r>
      <w:r w:rsidRPr="00FE26CF">
        <w:rPr>
          <w:lang w:val="es-ES"/>
        </w:rPr>
        <w:t xml:space="preserve"> de</w:t>
      </w:r>
      <w:r w:rsidR="004268B3" w:rsidRPr="00FE26CF">
        <w:rPr>
          <w:lang w:val="es-ES"/>
        </w:rPr>
        <w:t xml:space="preserve"> los</w:t>
      </w:r>
      <w:r w:rsidRPr="00FE26CF">
        <w:rPr>
          <w:lang w:val="es-ES"/>
        </w:rPr>
        <w:t xml:space="preserve"> beneficios </w:t>
      </w:r>
      <w:r w:rsidR="004268B3" w:rsidRPr="00FE26CF">
        <w:rPr>
          <w:lang w:val="es-ES"/>
        </w:rPr>
        <w:t xml:space="preserve">en dólares </w:t>
      </w:r>
      <w:r w:rsidR="00E0614F">
        <w:rPr>
          <w:lang w:val="es-ES"/>
        </w:rPr>
        <w:tab/>
      </w:r>
    </w:p>
    <w:tbl>
      <w:tblPr>
        <w:tblStyle w:val="LightShading-Accent1"/>
        <w:tblW w:w="10040" w:type="dxa"/>
        <w:tblLook w:val="04A0" w:firstRow="1" w:lastRow="0" w:firstColumn="1" w:lastColumn="0" w:noHBand="0" w:noVBand="1"/>
      </w:tblPr>
      <w:tblGrid>
        <w:gridCol w:w="3040"/>
        <w:gridCol w:w="1400"/>
        <w:gridCol w:w="1400"/>
        <w:gridCol w:w="1400"/>
        <w:gridCol w:w="1400"/>
        <w:gridCol w:w="1400"/>
      </w:tblGrid>
      <w:tr w:rsidR="00E0614F" w:rsidRPr="00E0614F" w:rsidTr="00E0614F">
        <w:trPr>
          <w:cnfStyle w:val="100000000000" w:firstRow="1" w:lastRow="0" w:firstColumn="0" w:lastColumn="0" w:oddVBand="0" w:evenVBand="0" w:oddHBand="0"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040" w:type="dxa"/>
            <w:hideMark/>
          </w:tcPr>
          <w:p w:rsidR="00E0614F" w:rsidRPr="00E0614F" w:rsidRDefault="00E0614F" w:rsidP="00E0614F">
            <w:pPr>
              <w:spacing w:after="0" w:line="240" w:lineRule="auto"/>
              <w:jc w:val="center"/>
              <w:rPr>
                <w:rFonts w:ascii="Times New Roman" w:eastAsia="Times New Roman" w:hAnsi="Times New Roman"/>
                <w:color w:val="000000"/>
                <w:szCs w:val="24"/>
              </w:rPr>
            </w:pPr>
            <w:r w:rsidRPr="00E0614F">
              <w:rPr>
                <w:rFonts w:ascii="Times New Roman" w:eastAsia="Times New Roman" w:hAnsi="Times New Roman"/>
                <w:color w:val="000000"/>
                <w:szCs w:val="24"/>
              </w:rPr>
              <w:t>Vectores de gradualidad</w:t>
            </w:r>
          </w:p>
        </w:tc>
        <w:tc>
          <w:tcPr>
            <w:tcW w:w="1400" w:type="dxa"/>
            <w:hideMark/>
          </w:tcPr>
          <w:p w:rsidR="00E0614F" w:rsidRPr="00E0614F" w:rsidRDefault="00E0614F" w:rsidP="00E061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Escenarios de cobertura efectiva</w:t>
            </w:r>
          </w:p>
        </w:tc>
        <w:tc>
          <w:tcPr>
            <w:tcW w:w="5600" w:type="dxa"/>
            <w:gridSpan w:val="4"/>
            <w:noWrap/>
            <w:hideMark/>
          </w:tcPr>
          <w:p w:rsidR="00E0614F" w:rsidRPr="00E0614F" w:rsidRDefault="00E0614F" w:rsidP="00E061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tasa de descuento</w:t>
            </w:r>
          </w:p>
        </w:tc>
      </w:tr>
      <w:tr w:rsidR="00E0614F" w:rsidRPr="00E0614F" w:rsidTr="00E0614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40" w:type="dxa"/>
            <w:hideMark/>
          </w:tcPr>
          <w:p w:rsidR="00E0614F" w:rsidRPr="00E0614F" w:rsidRDefault="00E0614F" w:rsidP="00E0614F">
            <w:pPr>
              <w:spacing w:after="0" w:line="240" w:lineRule="auto"/>
              <w:jc w:val="center"/>
              <w:rPr>
                <w:rFonts w:ascii="Times New Roman" w:eastAsia="Times New Roman" w:hAnsi="Times New Roman"/>
                <w:color w:val="000000"/>
                <w:szCs w:val="24"/>
              </w:rPr>
            </w:pPr>
            <w:r w:rsidRPr="00E0614F">
              <w:rPr>
                <w:rFonts w:ascii="Times New Roman" w:eastAsia="Times New Roman" w:hAnsi="Times New Roman"/>
                <w:color w:val="000000"/>
                <w:szCs w:val="24"/>
              </w:rPr>
              <w:t> </w:t>
            </w:r>
          </w:p>
        </w:tc>
        <w:tc>
          <w:tcPr>
            <w:tcW w:w="1400" w:type="dxa"/>
            <w:hideMark/>
          </w:tcPr>
          <w:p w:rsidR="00E0614F" w:rsidRPr="00E0614F" w:rsidRDefault="00E0614F" w:rsidP="00E06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 </w:t>
            </w:r>
          </w:p>
        </w:tc>
        <w:tc>
          <w:tcPr>
            <w:tcW w:w="1400" w:type="dxa"/>
            <w:noWrap/>
            <w:hideMark/>
          </w:tcPr>
          <w:p w:rsidR="00E0614F" w:rsidRPr="00E0614F" w:rsidRDefault="00E0614F" w:rsidP="00E06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0%</w:t>
            </w:r>
          </w:p>
        </w:tc>
        <w:tc>
          <w:tcPr>
            <w:tcW w:w="1400" w:type="dxa"/>
            <w:noWrap/>
            <w:hideMark/>
          </w:tcPr>
          <w:p w:rsidR="00E0614F" w:rsidRPr="00E0614F" w:rsidRDefault="00E0614F" w:rsidP="00E06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3%</w:t>
            </w:r>
          </w:p>
        </w:tc>
        <w:tc>
          <w:tcPr>
            <w:tcW w:w="1400" w:type="dxa"/>
            <w:noWrap/>
            <w:hideMark/>
          </w:tcPr>
          <w:p w:rsidR="00E0614F" w:rsidRPr="00E0614F" w:rsidRDefault="00E0614F" w:rsidP="00E06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6%</w:t>
            </w:r>
          </w:p>
        </w:tc>
        <w:tc>
          <w:tcPr>
            <w:tcW w:w="1400" w:type="dxa"/>
            <w:noWrap/>
            <w:hideMark/>
          </w:tcPr>
          <w:p w:rsidR="00E0614F" w:rsidRPr="00E0614F" w:rsidRDefault="00E0614F" w:rsidP="00E06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9%</w:t>
            </w:r>
          </w:p>
        </w:tc>
      </w:tr>
      <w:tr w:rsidR="00E0614F" w:rsidRPr="00E0614F" w:rsidTr="00E0614F">
        <w:trPr>
          <w:trHeight w:val="315"/>
        </w:trPr>
        <w:tc>
          <w:tcPr>
            <w:cnfStyle w:val="001000000000" w:firstRow="0" w:lastRow="0" w:firstColumn="1" w:lastColumn="0" w:oddVBand="0" w:evenVBand="0" w:oddHBand="0" w:evenHBand="0" w:firstRowFirstColumn="0" w:firstRowLastColumn="0" w:lastRowFirstColumn="0" w:lastRowLastColumn="0"/>
            <w:tcW w:w="3040" w:type="dxa"/>
            <w:noWrap/>
            <w:hideMark/>
          </w:tcPr>
          <w:p w:rsidR="00E0614F" w:rsidRPr="00E0614F" w:rsidRDefault="00E0614F" w:rsidP="00E0614F">
            <w:pPr>
              <w:spacing w:after="0" w:line="240" w:lineRule="auto"/>
              <w:jc w:val="center"/>
              <w:rPr>
                <w:rFonts w:ascii="Times New Roman" w:eastAsia="Times New Roman" w:hAnsi="Times New Roman"/>
                <w:color w:val="000000"/>
                <w:szCs w:val="24"/>
              </w:rPr>
            </w:pPr>
            <w:r w:rsidRPr="00E0614F">
              <w:rPr>
                <w:rFonts w:ascii="Times New Roman" w:eastAsia="Times New Roman" w:hAnsi="Times New Roman"/>
                <w:color w:val="000000"/>
                <w:szCs w:val="24"/>
              </w:rPr>
              <w:t>lento</w:t>
            </w:r>
          </w:p>
        </w:tc>
        <w:tc>
          <w:tcPr>
            <w:tcW w:w="1400" w:type="dxa"/>
            <w:noWrap/>
            <w:hideMark/>
          </w:tcPr>
          <w:p w:rsidR="00E0614F" w:rsidRPr="00E0614F" w:rsidRDefault="00E0614F" w:rsidP="00E06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Cs w:val="24"/>
              </w:rPr>
            </w:pPr>
            <w:r w:rsidRPr="00E0614F">
              <w:rPr>
                <w:rFonts w:ascii="Calibri" w:eastAsia="Times New Roman" w:hAnsi="Calibri"/>
                <w:color w:val="000000"/>
                <w:szCs w:val="24"/>
              </w:rPr>
              <w:t>Pesimista</w:t>
            </w:r>
          </w:p>
        </w:tc>
        <w:tc>
          <w:tcPr>
            <w:tcW w:w="1400" w:type="dxa"/>
            <w:noWrap/>
            <w:hideMark/>
          </w:tcPr>
          <w:p w:rsidR="00E0614F" w:rsidRPr="00E0614F" w:rsidRDefault="00E0614F" w:rsidP="00E0614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164,216,915</w:t>
            </w:r>
          </w:p>
        </w:tc>
        <w:tc>
          <w:tcPr>
            <w:tcW w:w="1400" w:type="dxa"/>
            <w:noWrap/>
            <w:hideMark/>
          </w:tcPr>
          <w:p w:rsidR="00E0614F" w:rsidRPr="00E0614F" w:rsidRDefault="00E0614F" w:rsidP="00E0614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148,568,672</w:t>
            </w:r>
          </w:p>
        </w:tc>
        <w:tc>
          <w:tcPr>
            <w:tcW w:w="1400" w:type="dxa"/>
            <w:noWrap/>
            <w:hideMark/>
          </w:tcPr>
          <w:p w:rsidR="00E0614F" w:rsidRPr="00E0614F" w:rsidRDefault="00E0614F" w:rsidP="00E0614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134,066,097</w:t>
            </w:r>
          </w:p>
        </w:tc>
        <w:tc>
          <w:tcPr>
            <w:tcW w:w="1400" w:type="dxa"/>
            <w:noWrap/>
            <w:hideMark/>
          </w:tcPr>
          <w:p w:rsidR="00E0614F" w:rsidRPr="00E0614F" w:rsidRDefault="00E0614F" w:rsidP="00E0614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120,651,415</w:t>
            </w:r>
          </w:p>
        </w:tc>
      </w:tr>
      <w:tr w:rsidR="00E0614F" w:rsidRPr="00E0614F" w:rsidTr="00E0614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40" w:type="dxa"/>
            <w:noWrap/>
            <w:hideMark/>
          </w:tcPr>
          <w:p w:rsidR="00E0614F" w:rsidRPr="00E0614F" w:rsidRDefault="00E0614F" w:rsidP="00E0614F">
            <w:pPr>
              <w:spacing w:after="0" w:line="240" w:lineRule="auto"/>
              <w:jc w:val="center"/>
              <w:rPr>
                <w:rFonts w:ascii="Times New Roman" w:eastAsia="Times New Roman" w:hAnsi="Times New Roman"/>
                <w:color w:val="000000"/>
                <w:szCs w:val="24"/>
              </w:rPr>
            </w:pPr>
            <w:r w:rsidRPr="00E0614F">
              <w:rPr>
                <w:rFonts w:ascii="Times New Roman" w:eastAsia="Times New Roman" w:hAnsi="Times New Roman"/>
                <w:color w:val="000000"/>
                <w:szCs w:val="24"/>
              </w:rPr>
              <w:t> </w:t>
            </w:r>
          </w:p>
        </w:tc>
        <w:tc>
          <w:tcPr>
            <w:tcW w:w="1400" w:type="dxa"/>
            <w:noWrap/>
            <w:hideMark/>
          </w:tcPr>
          <w:p w:rsidR="00E0614F" w:rsidRPr="00E0614F" w:rsidRDefault="00E0614F" w:rsidP="00E06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Cs w:val="24"/>
              </w:rPr>
            </w:pPr>
            <w:r w:rsidRPr="00E0614F">
              <w:rPr>
                <w:rFonts w:ascii="Calibri" w:eastAsia="Times New Roman" w:hAnsi="Calibri"/>
                <w:color w:val="000000"/>
                <w:szCs w:val="24"/>
              </w:rPr>
              <w:t>Medio</w:t>
            </w:r>
          </w:p>
        </w:tc>
        <w:tc>
          <w:tcPr>
            <w:tcW w:w="1400" w:type="dxa"/>
            <w:noWrap/>
            <w:hideMark/>
          </w:tcPr>
          <w:p w:rsidR="00E0614F" w:rsidRPr="00E0614F" w:rsidRDefault="00E0614F" w:rsidP="00E0614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225,023,908</w:t>
            </w:r>
          </w:p>
        </w:tc>
        <w:tc>
          <w:tcPr>
            <w:tcW w:w="1400" w:type="dxa"/>
            <w:noWrap/>
            <w:hideMark/>
          </w:tcPr>
          <w:p w:rsidR="00E0614F" w:rsidRPr="00E0614F" w:rsidRDefault="00E0614F" w:rsidP="00E0614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203,581,363</w:t>
            </w:r>
          </w:p>
        </w:tc>
        <w:tc>
          <w:tcPr>
            <w:tcW w:w="1400" w:type="dxa"/>
            <w:noWrap/>
            <w:hideMark/>
          </w:tcPr>
          <w:p w:rsidR="00E0614F" w:rsidRPr="00E0614F" w:rsidRDefault="00E0614F" w:rsidP="00E0614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183,708,706</w:t>
            </w:r>
          </w:p>
        </w:tc>
        <w:tc>
          <w:tcPr>
            <w:tcW w:w="1400" w:type="dxa"/>
            <w:noWrap/>
            <w:hideMark/>
          </w:tcPr>
          <w:p w:rsidR="00E0614F" w:rsidRPr="00E0614F" w:rsidRDefault="00E0614F" w:rsidP="00E0614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165,326,775</w:t>
            </w:r>
          </w:p>
        </w:tc>
      </w:tr>
      <w:tr w:rsidR="00E0614F" w:rsidRPr="00E0614F" w:rsidTr="00E0614F">
        <w:trPr>
          <w:trHeight w:val="330"/>
        </w:trPr>
        <w:tc>
          <w:tcPr>
            <w:cnfStyle w:val="001000000000" w:firstRow="0" w:lastRow="0" w:firstColumn="1" w:lastColumn="0" w:oddVBand="0" w:evenVBand="0" w:oddHBand="0" w:evenHBand="0" w:firstRowFirstColumn="0" w:firstRowLastColumn="0" w:lastRowFirstColumn="0" w:lastRowLastColumn="0"/>
            <w:tcW w:w="3040" w:type="dxa"/>
            <w:noWrap/>
            <w:hideMark/>
          </w:tcPr>
          <w:p w:rsidR="00E0614F" w:rsidRPr="00E0614F" w:rsidRDefault="00E0614F" w:rsidP="00E0614F">
            <w:pPr>
              <w:spacing w:after="0" w:line="240" w:lineRule="auto"/>
              <w:jc w:val="center"/>
              <w:rPr>
                <w:rFonts w:ascii="Times New Roman" w:eastAsia="Times New Roman" w:hAnsi="Times New Roman"/>
                <w:color w:val="000000"/>
                <w:szCs w:val="24"/>
              </w:rPr>
            </w:pPr>
            <w:r w:rsidRPr="00E0614F">
              <w:rPr>
                <w:rFonts w:ascii="Times New Roman" w:eastAsia="Times New Roman" w:hAnsi="Times New Roman"/>
                <w:color w:val="000000"/>
                <w:szCs w:val="24"/>
              </w:rPr>
              <w:t> </w:t>
            </w:r>
          </w:p>
        </w:tc>
        <w:tc>
          <w:tcPr>
            <w:tcW w:w="1400" w:type="dxa"/>
            <w:noWrap/>
            <w:hideMark/>
          </w:tcPr>
          <w:p w:rsidR="00E0614F" w:rsidRPr="00E0614F" w:rsidRDefault="00E0614F" w:rsidP="00E06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Cs w:val="24"/>
              </w:rPr>
            </w:pPr>
            <w:r w:rsidRPr="00E0614F">
              <w:rPr>
                <w:rFonts w:ascii="Calibri" w:eastAsia="Times New Roman" w:hAnsi="Calibri"/>
                <w:color w:val="000000"/>
                <w:szCs w:val="24"/>
              </w:rPr>
              <w:t>Optimista</w:t>
            </w:r>
          </w:p>
        </w:tc>
        <w:tc>
          <w:tcPr>
            <w:tcW w:w="1400" w:type="dxa"/>
            <w:noWrap/>
            <w:hideMark/>
          </w:tcPr>
          <w:p w:rsidR="00E0614F" w:rsidRPr="00E0614F" w:rsidRDefault="00E0614F" w:rsidP="00E0614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285,847,177</w:t>
            </w:r>
          </w:p>
        </w:tc>
        <w:tc>
          <w:tcPr>
            <w:tcW w:w="1400" w:type="dxa"/>
            <w:noWrap/>
            <w:hideMark/>
          </w:tcPr>
          <w:p w:rsidR="00E0614F" w:rsidRPr="00E0614F" w:rsidRDefault="00E0614F" w:rsidP="00E0614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258,608,778</w:t>
            </w:r>
          </w:p>
        </w:tc>
        <w:tc>
          <w:tcPr>
            <w:tcW w:w="1400" w:type="dxa"/>
            <w:noWrap/>
            <w:hideMark/>
          </w:tcPr>
          <w:p w:rsidR="00E0614F" w:rsidRPr="00E0614F" w:rsidRDefault="00E0614F" w:rsidP="00E0614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233,364,604</w:t>
            </w:r>
          </w:p>
        </w:tc>
        <w:tc>
          <w:tcPr>
            <w:tcW w:w="1400" w:type="dxa"/>
            <w:noWrap/>
            <w:hideMark/>
          </w:tcPr>
          <w:p w:rsidR="00E0614F" w:rsidRPr="00E0614F" w:rsidRDefault="00E0614F" w:rsidP="00E0614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210,014,093</w:t>
            </w:r>
          </w:p>
        </w:tc>
      </w:tr>
      <w:tr w:rsidR="00E0614F" w:rsidRPr="00E0614F" w:rsidTr="00E0614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40" w:type="dxa"/>
            <w:noWrap/>
            <w:hideMark/>
          </w:tcPr>
          <w:p w:rsidR="00E0614F" w:rsidRPr="00E0614F" w:rsidRDefault="00E0614F" w:rsidP="00E0614F">
            <w:pPr>
              <w:spacing w:after="0" w:line="240" w:lineRule="auto"/>
              <w:jc w:val="center"/>
              <w:rPr>
                <w:rFonts w:ascii="Times New Roman" w:eastAsia="Times New Roman" w:hAnsi="Times New Roman"/>
                <w:color w:val="000000"/>
                <w:szCs w:val="24"/>
              </w:rPr>
            </w:pPr>
            <w:r w:rsidRPr="00E0614F">
              <w:rPr>
                <w:rFonts w:ascii="Times New Roman" w:eastAsia="Times New Roman" w:hAnsi="Times New Roman"/>
                <w:color w:val="000000"/>
                <w:szCs w:val="24"/>
              </w:rPr>
              <w:t>regular</w:t>
            </w:r>
          </w:p>
        </w:tc>
        <w:tc>
          <w:tcPr>
            <w:tcW w:w="1400" w:type="dxa"/>
            <w:noWrap/>
            <w:hideMark/>
          </w:tcPr>
          <w:p w:rsidR="00E0614F" w:rsidRPr="00E0614F" w:rsidRDefault="00E0614F" w:rsidP="00E06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Cs w:val="24"/>
              </w:rPr>
            </w:pPr>
            <w:r w:rsidRPr="00E0614F">
              <w:rPr>
                <w:rFonts w:ascii="Calibri" w:eastAsia="Times New Roman" w:hAnsi="Calibri"/>
                <w:color w:val="000000"/>
                <w:szCs w:val="24"/>
              </w:rPr>
              <w:t>Pesimista</w:t>
            </w:r>
          </w:p>
        </w:tc>
        <w:tc>
          <w:tcPr>
            <w:tcW w:w="1400" w:type="dxa"/>
            <w:noWrap/>
            <w:hideMark/>
          </w:tcPr>
          <w:p w:rsidR="00E0614F" w:rsidRPr="00E0614F" w:rsidRDefault="00E0614F" w:rsidP="00E0614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185,514,033</w:t>
            </w:r>
          </w:p>
        </w:tc>
        <w:tc>
          <w:tcPr>
            <w:tcW w:w="1400" w:type="dxa"/>
            <w:noWrap/>
            <w:hideMark/>
          </w:tcPr>
          <w:p w:rsidR="00E0614F" w:rsidRPr="00E0614F" w:rsidRDefault="00E0614F" w:rsidP="00E0614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169,080,827</w:t>
            </w:r>
          </w:p>
        </w:tc>
        <w:tc>
          <w:tcPr>
            <w:tcW w:w="1400" w:type="dxa"/>
            <w:noWrap/>
            <w:hideMark/>
          </w:tcPr>
          <w:p w:rsidR="00E0614F" w:rsidRPr="00E0614F" w:rsidRDefault="00E0614F" w:rsidP="00E0614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153,802,713</w:t>
            </w:r>
          </w:p>
        </w:tc>
        <w:tc>
          <w:tcPr>
            <w:tcW w:w="1400" w:type="dxa"/>
            <w:noWrap/>
            <w:hideMark/>
          </w:tcPr>
          <w:p w:rsidR="00E0614F" w:rsidRPr="00E0614F" w:rsidRDefault="00E0614F" w:rsidP="00E0614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139,621,919</w:t>
            </w:r>
          </w:p>
        </w:tc>
      </w:tr>
      <w:tr w:rsidR="00E0614F" w:rsidRPr="00E0614F" w:rsidTr="00E0614F">
        <w:trPr>
          <w:trHeight w:val="315"/>
        </w:trPr>
        <w:tc>
          <w:tcPr>
            <w:cnfStyle w:val="001000000000" w:firstRow="0" w:lastRow="0" w:firstColumn="1" w:lastColumn="0" w:oddVBand="0" w:evenVBand="0" w:oddHBand="0" w:evenHBand="0" w:firstRowFirstColumn="0" w:firstRowLastColumn="0" w:lastRowFirstColumn="0" w:lastRowLastColumn="0"/>
            <w:tcW w:w="3040" w:type="dxa"/>
            <w:noWrap/>
            <w:hideMark/>
          </w:tcPr>
          <w:p w:rsidR="00E0614F" w:rsidRPr="00E0614F" w:rsidRDefault="00E0614F" w:rsidP="00E0614F">
            <w:pPr>
              <w:spacing w:after="0" w:line="240" w:lineRule="auto"/>
              <w:jc w:val="center"/>
              <w:rPr>
                <w:rFonts w:ascii="Times New Roman" w:eastAsia="Times New Roman" w:hAnsi="Times New Roman"/>
                <w:color w:val="000000"/>
                <w:szCs w:val="24"/>
              </w:rPr>
            </w:pPr>
            <w:r w:rsidRPr="00E0614F">
              <w:rPr>
                <w:rFonts w:ascii="Times New Roman" w:eastAsia="Times New Roman" w:hAnsi="Times New Roman"/>
                <w:color w:val="000000"/>
                <w:szCs w:val="24"/>
              </w:rPr>
              <w:t> </w:t>
            </w:r>
          </w:p>
        </w:tc>
        <w:tc>
          <w:tcPr>
            <w:tcW w:w="1400" w:type="dxa"/>
            <w:noWrap/>
            <w:hideMark/>
          </w:tcPr>
          <w:p w:rsidR="00E0614F" w:rsidRPr="00E0614F" w:rsidRDefault="00E0614F" w:rsidP="00E06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Cs w:val="24"/>
              </w:rPr>
            </w:pPr>
            <w:r w:rsidRPr="00E0614F">
              <w:rPr>
                <w:rFonts w:ascii="Calibri" w:eastAsia="Times New Roman" w:hAnsi="Calibri"/>
                <w:color w:val="000000"/>
                <w:szCs w:val="24"/>
              </w:rPr>
              <w:t>Medio</w:t>
            </w:r>
          </w:p>
        </w:tc>
        <w:tc>
          <w:tcPr>
            <w:tcW w:w="1400" w:type="dxa"/>
            <w:noWrap/>
            <w:hideMark/>
          </w:tcPr>
          <w:p w:rsidR="00E0614F" w:rsidRPr="00E0614F" w:rsidRDefault="00E0614F" w:rsidP="00E0614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254,207,021</w:t>
            </w:r>
          </w:p>
        </w:tc>
        <w:tc>
          <w:tcPr>
            <w:tcW w:w="1400" w:type="dxa"/>
            <w:noWrap/>
            <w:hideMark/>
          </w:tcPr>
          <w:p w:rsidR="00E0614F" w:rsidRPr="00E0614F" w:rsidRDefault="00E0614F" w:rsidP="00E0614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231,688,852</w:t>
            </w:r>
          </w:p>
        </w:tc>
        <w:tc>
          <w:tcPr>
            <w:tcW w:w="1400" w:type="dxa"/>
            <w:noWrap/>
            <w:hideMark/>
          </w:tcPr>
          <w:p w:rsidR="00E0614F" w:rsidRPr="00E0614F" w:rsidRDefault="00E0614F" w:rsidP="00E0614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210,753,488</w:t>
            </w:r>
          </w:p>
        </w:tc>
        <w:tc>
          <w:tcPr>
            <w:tcW w:w="1400" w:type="dxa"/>
            <w:noWrap/>
            <w:hideMark/>
          </w:tcPr>
          <w:p w:rsidR="00E0614F" w:rsidRPr="00E0614F" w:rsidRDefault="00E0614F" w:rsidP="00E0614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191,321,764</w:t>
            </w:r>
          </w:p>
        </w:tc>
      </w:tr>
      <w:tr w:rsidR="00E0614F" w:rsidRPr="00E0614F" w:rsidTr="00E0614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40" w:type="dxa"/>
            <w:noWrap/>
            <w:hideMark/>
          </w:tcPr>
          <w:p w:rsidR="00E0614F" w:rsidRPr="00E0614F" w:rsidRDefault="00E0614F" w:rsidP="00E0614F">
            <w:pPr>
              <w:spacing w:after="0" w:line="240" w:lineRule="auto"/>
              <w:jc w:val="center"/>
              <w:rPr>
                <w:rFonts w:ascii="Times New Roman" w:eastAsia="Times New Roman" w:hAnsi="Times New Roman"/>
                <w:color w:val="000000"/>
                <w:szCs w:val="24"/>
              </w:rPr>
            </w:pPr>
            <w:r w:rsidRPr="00E0614F">
              <w:rPr>
                <w:rFonts w:ascii="Times New Roman" w:eastAsia="Times New Roman" w:hAnsi="Times New Roman"/>
                <w:color w:val="000000"/>
                <w:szCs w:val="24"/>
              </w:rPr>
              <w:t> </w:t>
            </w:r>
          </w:p>
        </w:tc>
        <w:tc>
          <w:tcPr>
            <w:tcW w:w="1400" w:type="dxa"/>
            <w:noWrap/>
            <w:hideMark/>
          </w:tcPr>
          <w:p w:rsidR="00E0614F" w:rsidRPr="00E0614F" w:rsidRDefault="00E0614F" w:rsidP="00E06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Cs w:val="24"/>
              </w:rPr>
            </w:pPr>
            <w:r w:rsidRPr="00E0614F">
              <w:rPr>
                <w:rFonts w:ascii="Calibri" w:eastAsia="Times New Roman" w:hAnsi="Calibri"/>
                <w:color w:val="000000"/>
                <w:szCs w:val="24"/>
              </w:rPr>
              <w:t>Optimista</w:t>
            </w:r>
          </w:p>
        </w:tc>
        <w:tc>
          <w:tcPr>
            <w:tcW w:w="1400" w:type="dxa"/>
            <w:noWrap/>
            <w:hideMark/>
          </w:tcPr>
          <w:p w:rsidR="00E0614F" w:rsidRPr="00E0614F" w:rsidRDefault="00E0614F" w:rsidP="00E0614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322,918,395</w:t>
            </w:r>
          </w:p>
        </w:tc>
        <w:tc>
          <w:tcPr>
            <w:tcW w:w="1400" w:type="dxa"/>
            <w:noWrap/>
            <w:hideMark/>
          </w:tcPr>
          <w:p w:rsidR="00E0614F" w:rsidRPr="00E0614F" w:rsidRDefault="00E0614F" w:rsidP="00E0614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294,313,634</w:t>
            </w:r>
          </w:p>
        </w:tc>
        <w:tc>
          <w:tcPr>
            <w:tcW w:w="1400" w:type="dxa"/>
            <w:noWrap/>
            <w:hideMark/>
          </w:tcPr>
          <w:p w:rsidR="00E0614F" w:rsidRPr="00E0614F" w:rsidRDefault="00E0614F" w:rsidP="00E0614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267,719,506</w:t>
            </w:r>
          </w:p>
        </w:tc>
        <w:tc>
          <w:tcPr>
            <w:tcW w:w="1400" w:type="dxa"/>
            <w:noWrap/>
            <w:hideMark/>
          </w:tcPr>
          <w:p w:rsidR="00E0614F" w:rsidRPr="00E0614F" w:rsidRDefault="00E0614F" w:rsidP="00E0614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243,035,447</w:t>
            </w:r>
          </w:p>
        </w:tc>
      </w:tr>
      <w:tr w:rsidR="00E0614F" w:rsidRPr="00E0614F" w:rsidTr="00E0614F">
        <w:trPr>
          <w:trHeight w:val="315"/>
        </w:trPr>
        <w:tc>
          <w:tcPr>
            <w:cnfStyle w:val="001000000000" w:firstRow="0" w:lastRow="0" w:firstColumn="1" w:lastColumn="0" w:oddVBand="0" w:evenVBand="0" w:oddHBand="0" w:evenHBand="0" w:firstRowFirstColumn="0" w:firstRowLastColumn="0" w:lastRowFirstColumn="0" w:lastRowLastColumn="0"/>
            <w:tcW w:w="3040" w:type="dxa"/>
            <w:noWrap/>
            <w:hideMark/>
          </w:tcPr>
          <w:p w:rsidR="00E0614F" w:rsidRPr="00E0614F" w:rsidRDefault="00E0614F" w:rsidP="00E0614F">
            <w:pPr>
              <w:spacing w:after="0" w:line="240" w:lineRule="auto"/>
              <w:jc w:val="center"/>
              <w:rPr>
                <w:rFonts w:ascii="Times New Roman" w:eastAsia="Times New Roman" w:hAnsi="Times New Roman"/>
                <w:color w:val="000000"/>
                <w:szCs w:val="24"/>
              </w:rPr>
            </w:pPr>
            <w:r w:rsidRPr="00E0614F">
              <w:rPr>
                <w:rFonts w:ascii="Times New Roman" w:eastAsia="Times New Roman" w:hAnsi="Times New Roman"/>
                <w:color w:val="000000"/>
                <w:szCs w:val="24"/>
              </w:rPr>
              <w:t>rápido</w:t>
            </w:r>
          </w:p>
        </w:tc>
        <w:tc>
          <w:tcPr>
            <w:tcW w:w="1400" w:type="dxa"/>
            <w:noWrap/>
            <w:hideMark/>
          </w:tcPr>
          <w:p w:rsidR="00E0614F" w:rsidRPr="00E0614F" w:rsidRDefault="00E0614F" w:rsidP="00E06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Cs w:val="24"/>
              </w:rPr>
            </w:pPr>
            <w:r w:rsidRPr="00E0614F">
              <w:rPr>
                <w:rFonts w:ascii="Calibri" w:eastAsia="Times New Roman" w:hAnsi="Calibri"/>
                <w:color w:val="000000"/>
                <w:szCs w:val="24"/>
              </w:rPr>
              <w:t>Pesimista</w:t>
            </w:r>
          </w:p>
        </w:tc>
        <w:tc>
          <w:tcPr>
            <w:tcW w:w="1400" w:type="dxa"/>
            <w:noWrap/>
            <w:hideMark/>
          </w:tcPr>
          <w:p w:rsidR="00E0614F" w:rsidRPr="00E0614F" w:rsidRDefault="00E0614F" w:rsidP="00E0614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272,496,005</w:t>
            </w:r>
          </w:p>
        </w:tc>
        <w:tc>
          <w:tcPr>
            <w:tcW w:w="1400" w:type="dxa"/>
            <w:noWrap/>
            <w:hideMark/>
          </w:tcPr>
          <w:p w:rsidR="00E0614F" w:rsidRPr="00E0614F" w:rsidRDefault="00E0614F" w:rsidP="00E0614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249,017,627</w:t>
            </w:r>
          </w:p>
        </w:tc>
        <w:tc>
          <w:tcPr>
            <w:tcW w:w="1400" w:type="dxa"/>
            <w:noWrap/>
            <w:hideMark/>
          </w:tcPr>
          <w:p w:rsidR="00E0614F" w:rsidRPr="00E0614F" w:rsidRDefault="00E0614F" w:rsidP="00E0614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227,144,569</w:t>
            </w:r>
          </w:p>
        </w:tc>
        <w:tc>
          <w:tcPr>
            <w:tcW w:w="1400" w:type="dxa"/>
            <w:noWrap/>
            <w:hideMark/>
          </w:tcPr>
          <w:p w:rsidR="00E0614F" w:rsidRPr="00E0614F" w:rsidRDefault="00E0614F" w:rsidP="00E0614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206,798,386</w:t>
            </w:r>
          </w:p>
        </w:tc>
      </w:tr>
      <w:tr w:rsidR="00E0614F" w:rsidRPr="00E0614F" w:rsidTr="00E0614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40" w:type="dxa"/>
            <w:noWrap/>
            <w:hideMark/>
          </w:tcPr>
          <w:p w:rsidR="00E0614F" w:rsidRPr="00E0614F" w:rsidRDefault="00E0614F" w:rsidP="00E0614F">
            <w:pPr>
              <w:spacing w:after="0" w:line="240" w:lineRule="auto"/>
              <w:jc w:val="center"/>
              <w:rPr>
                <w:rFonts w:ascii="Times New Roman" w:eastAsia="Times New Roman" w:hAnsi="Times New Roman"/>
                <w:color w:val="000000"/>
                <w:szCs w:val="24"/>
              </w:rPr>
            </w:pPr>
            <w:r w:rsidRPr="00E0614F">
              <w:rPr>
                <w:rFonts w:ascii="Times New Roman" w:eastAsia="Times New Roman" w:hAnsi="Times New Roman"/>
                <w:color w:val="000000"/>
                <w:szCs w:val="24"/>
              </w:rPr>
              <w:t> </w:t>
            </w:r>
          </w:p>
        </w:tc>
        <w:tc>
          <w:tcPr>
            <w:tcW w:w="1400" w:type="dxa"/>
            <w:noWrap/>
            <w:hideMark/>
          </w:tcPr>
          <w:p w:rsidR="00E0614F" w:rsidRPr="00E0614F" w:rsidRDefault="00E0614F" w:rsidP="00E06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Cs w:val="24"/>
              </w:rPr>
            </w:pPr>
            <w:r w:rsidRPr="00E0614F">
              <w:rPr>
                <w:rFonts w:ascii="Calibri" w:eastAsia="Times New Roman" w:hAnsi="Calibri"/>
                <w:color w:val="000000"/>
                <w:szCs w:val="24"/>
              </w:rPr>
              <w:t>Medio</w:t>
            </w:r>
          </w:p>
        </w:tc>
        <w:tc>
          <w:tcPr>
            <w:tcW w:w="1400" w:type="dxa"/>
            <w:noWrap/>
            <w:hideMark/>
          </w:tcPr>
          <w:p w:rsidR="00E0614F" w:rsidRPr="00E0614F" w:rsidRDefault="00E0614F" w:rsidP="00E0614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373,397,078</w:t>
            </w:r>
          </w:p>
        </w:tc>
        <w:tc>
          <w:tcPr>
            <w:tcW w:w="1400" w:type="dxa"/>
            <w:noWrap/>
            <w:hideMark/>
          </w:tcPr>
          <w:p w:rsidR="00E0614F" w:rsidRPr="00E0614F" w:rsidRDefault="00E0614F" w:rsidP="00E0614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341,225,018</w:t>
            </w:r>
          </w:p>
        </w:tc>
        <w:tc>
          <w:tcPr>
            <w:tcW w:w="1400" w:type="dxa"/>
            <w:noWrap/>
            <w:hideMark/>
          </w:tcPr>
          <w:p w:rsidR="00E0614F" w:rsidRPr="00E0614F" w:rsidRDefault="00E0614F" w:rsidP="00E0614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311,252,703</w:t>
            </w:r>
          </w:p>
        </w:tc>
        <w:tc>
          <w:tcPr>
            <w:tcW w:w="1400" w:type="dxa"/>
            <w:noWrap/>
            <w:hideMark/>
          </w:tcPr>
          <w:p w:rsidR="00E0614F" w:rsidRPr="00E0614F" w:rsidRDefault="00E0614F" w:rsidP="00E0614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283,372,642</w:t>
            </w:r>
          </w:p>
        </w:tc>
      </w:tr>
      <w:tr w:rsidR="00E0614F" w:rsidRPr="00E0614F" w:rsidTr="00E0614F">
        <w:trPr>
          <w:trHeight w:val="315"/>
        </w:trPr>
        <w:tc>
          <w:tcPr>
            <w:cnfStyle w:val="001000000000" w:firstRow="0" w:lastRow="0" w:firstColumn="1" w:lastColumn="0" w:oddVBand="0" w:evenVBand="0" w:oddHBand="0" w:evenHBand="0" w:firstRowFirstColumn="0" w:firstRowLastColumn="0" w:lastRowFirstColumn="0" w:lastRowLastColumn="0"/>
            <w:tcW w:w="3040" w:type="dxa"/>
            <w:noWrap/>
            <w:hideMark/>
          </w:tcPr>
          <w:p w:rsidR="00E0614F" w:rsidRPr="00E0614F" w:rsidRDefault="00E0614F" w:rsidP="00E0614F">
            <w:pPr>
              <w:spacing w:after="0" w:line="240" w:lineRule="auto"/>
              <w:jc w:val="center"/>
              <w:rPr>
                <w:rFonts w:ascii="Times New Roman" w:eastAsia="Times New Roman" w:hAnsi="Times New Roman"/>
                <w:color w:val="000000"/>
                <w:szCs w:val="24"/>
              </w:rPr>
            </w:pPr>
            <w:r w:rsidRPr="00E0614F">
              <w:rPr>
                <w:rFonts w:ascii="Times New Roman" w:eastAsia="Times New Roman" w:hAnsi="Times New Roman"/>
                <w:color w:val="000000"/>
                <w:szCs w:val="24"/>
              </w:rPr>
              <w:t> </w:t>
            </w:r>
          </w:p>
        </w:tc>
        <w:tc>
          <w:tcPr>
            <w:tcW w:w="1400" w:type="dxa"/>
            <w:noWrap/>
            <w:hideMark/>
          </w:tcPr>
          <w:p w:rsidR="00E0614F" w:rsidRPr="00E0614F" w:rsidRDefault="00E0614F" w:rsidP="00E06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Cs w:val="24"/>
              </w:rPr>
            </w:pPr>
            <w:r w:rsidRPr="00E0614F">
              <w:rPr>
                <w:rFonts w:ascii="Calibri" w:eastAsia="Times New Roman" w:hAnsi="Calibri"/>
                <w:color w:val="000000"/>
                <w:szCs w:val="24"/>
              </w:rPr>
              <w:t>Optimista</w:t>
            </w:r>
          </w:p>
        </w:tc>
        <w:tc>
          <w:tcPr>
            <w:tcW w:w="1400" w:type="dxa"/>
            <w:noWrap/>
            <w:hideMark/>
          </w:tcPr>
          <w:p w:rsidR="00E0614F" w:rsidRPr="00E0614F" w:rsidRDefault="00E0614F" w:rsidP="00E0614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474,325,157</w:t>
            </w:r>
          </w:p>
        </w:tc>
        <w:tc>
          <w:tcPr>
            <w:tcW w:w="1400" w:type="dxa"/>
            <w:noWrap/>
            <w:hideMark/>
          </w:tcPr>
          <w:p w:rsidR="00E0614F" w:rsidRPr="00E0614F" w:rsidRDefault="00E0614F" w:rsidP="00E0614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433,457,089</w:t>
            </w:r>
          </w:p>
        </w:tc>
        <w:tc>
          <w:tcPr>
            <w:tcW w:w="1400" w:type="dxa"/>
            <w:noWrap/>
            <w:hideMark/>
          </w:tcPr>
          <w:p w:rsidR="00E0614F" w:rsidRPr="00E0614F" w:rsidRDefault="00E0614F" w:rsidP="00E0614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395,383,349</w:t>
            </w:r>
          </w:p>
        </w:tc>
        <w:tc>
          <w:tcPr>
            <w:tcW w:w="1400" w:type="dxa"/>
            <w:noWrap/>
            <w:hideMark/>
          </w:tcPr>
          <w:p w:rsidR="00E0614F" w:rsidRPr="00E0614F" w:rsidRDefault="00E0614F" w:rsidP="00E0614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0614F">
              <w:rPr>
                <w:rFonts w:ascii="Times New Roman" w:eastAsia="Times New Roman" w:hAnsi="Times New Roman"/>
                <w:color w:val="000000"/>
                <w:sz w:val="20"/>
                <w:szCs w:val="20"/>
              </w:rPr>
              <w:t>359,967,393</w:t>
            </w:r>
          </w:p>
        </w:tc>
      </w:tr>
    </w:tbl>
    <w:p w:rsidR="00A66BBC" w:rsidRPr="00FE26CF" w:rsidRDefault="00A66BBC" w:rsidP="00800447">
      <w:pPr>
        <w:autoSpaceDE w:val="0"/>
        <w:autoSpaceDN w:val="0"/>
        <w:adjustRightInd w:val="0"/>
        <w:spacing w:after="0" w:line="240" w:lineRule="auto"/>
        <w:jc w:val="both"/>
        <w:rPr>
          <w:rFonts w:cs="Arial"/>
          <w:sz w:val="20"/>
          <w:szCs w:val="20"/>
          <w:lang w:val="es-ES"/>
        </w:rPr>
      </w:pPr>
      <w:r w:rsidRPr="00FE26CF">
        <w:rPr>
          <w:rFonts w:cs="Arial"/>
          <w:sz w:val="18"/>
          <w:szCs w:val="18"/>
          <w:lang w:val="es-ES"/>
        </w:rPr>
        <w:t>Fuente: Elaboración de los autores</w:t>
      </w:r>
      <w:r w:rsidRPr="00FE26CF">
        <w:rPr>
          <w:rFonts w:cs="Arial"/>
          <w:sz w:val="20"/>
          <w:szCs w:val="20"/>
          <w:lang w:val="es-ES"/>
        </w:rPr>
        <w:t>.</w:t>
      </w:r>
    </w:p>
    <w:p w:rsidR="006D26AB" w:rsidRPr="00FE26CF" w:rsidRDefault="002079F9" w:rsidP="00620E0A">
      <w:pPr>
        <w:pStyle w:val="Heading2"/>
        <w:numPr>
          <w:ilvl w:val="0"/>
          <w:numId w:val="39"/>
        </w:numPr>
        <w:rPr>
          <w:lang w:val="es-ES"/>
        </w:rPr>
      </w:pPr>
      <w:bookmarkStart w:id="25" w:name="_Toc296257189"/>
      <w:bookmarkStart w:id="26" w:name="_Toc422838017"/>
      <w:r w:rsidRPr="00FE26CF">
        <w:rPr>
          <w:lang w:val="es-ES"/>
        </w:rPr>
        <w:t>C</w:t>
      </w:r>
      <w:r w:rsidR="006D26AB" w:rsidRPr="00FE26CF">
        <w:rPr>
          <w:lang w:val="es-ES"/>
        </w:rPr>
        <w:t>ostos y Análisis Costo – Beneficio</w:t>
      </w:r>
      <w:bookmarkEnd w:id="25"/>
      <w:bookmarkEnd w:id="26"/>
    </w:p>
    <w:p w:rsidR="006D26AB" w:rsidRPr="00FE26CF" w:rsidRDefault="006D26AB" w:rsidP="006D2FB5">
      <w:pPr>
        <w:spacing w:before="120" w:after="120" w:line="240" w:lineRule="auto"/>
        <w:jc w:val="both"/>
        <w:rPr>
          <w:rFonts w:eastAsia="Times New Roman" w:cs="Arial"/>
          <w:sz w:val="22"/>
          <w:lang w:val="es-ES"/>
        </w:rPr>
      </w:pPr>
      <w:r w:rsidRPr="00FE26CF">
        <w:rPr>
          <w:rFonts w:eastAsia="Times New Roman" w:cs="Arial"/>
          <w:sz w:val="22"/>
          <w:lang w:val="es-ES"/>
        </w:rPr>
        <w:t>El costo de las inversiones contemplad</w:t>
      </w:r>
      <w:r w:rsidR="008F1413" w:rsidRPr="00FE26CF">
        <w:rPr>
          <w:rFonts w:eastAsia="Times New Roman" w:cs="Arial"/>
          <w:sz w:val="22"/>
          <w:lang w:val="es-ES"/>
        </w:rPr>
        <w:t>as en el proyecto asciende a US</w:t>
      </w:r>
      <w:r w:rsidRPr="00FE26CF">
        <w:rPr>
          <w:rFonts w:eastAsia="Times New Roman" w:cs="Arial"/>
          <w:sz w:val="22"/>
          <w:lang w:val="es-ES"/>
        </w:rPr>
        <w:t>$</w:t>
      </w:r>
      <w:r w:rsidR="008F1413" w:rsidRPr="00FE26CF">
        <w:rPr>
          <w:rFonts w:eastAsia="Times New Roman" w:cs="Arial"/>
          <w:sz w:val="22"/>
          <w:lang w:val="es-ES"/>
        </w:rPr>
        <w:t>178</w:t>
      </w:r>
      <w:r w:rsidR="00C641B8">
        <w:rPr>
          <w:rFonts w:eastAsia="Times New Roman" w:cs="Arial"/>
          <w:sz w:val="22"/>
          <w:lang w:val="es-ES"/>
        </w:rPr>
        <w:t>,5</w:t>
      </w:r>
      <w:r w:rsidRPr="00FE26CF">
        <w:rPr>
          <w:rFonts w:eastAsia="Times New Roman" w:cs="Arial"/>
          <w:sz w:val="22"/>
          <w:lang w:val="es-ES"/>
        </w:rPr>
        <w:t xml:space="preserve"> millones. Estos costos incluyen el financiamiento del Banco y la contrapartida local. El horizonte temporal de este análisis es de cinco </w:t>
      </w:r>
      <w:r w:rsidR="00D948A9" w:rsidRPr="00FE26CF">
        <w:rPr>
          <w:rFonts w:eastAsia="Times New Roman" w:cs="Arial"/>
          <w:sz w:val="22"/>
          <w:lang w:val="es-ES"/>
        </w:rPr>
        <w:t xml:space="preserve">años de ejecución del proyecto. </w:t>
      </w:r>
      <w:r w:rsidR="00D2379A" w:rsidRPr="00FE26CF">
        <w:rPr>
          <w:rFonts w:eastAsia="Times New Roman" w:cs="Arial"/>
          <w:sz w:val="22"/>
          <w:lang w:val="es-ES"/>
        </w:rPr>
        <w:t>Pese a que</w:t>
      </w:r>
      <w:r w:rsidR="00D948A9" w:rsidRPr="00FE26CF">
        <w:rPr>
          <w:rFonts w:eastAsia="Times New Roman" w:cs="Arial"/>
          <w:sz w:val="22"/>
          <w:lang w:val="es-ES"/>
        </w:rPr>
        <w:t xml:space="preserve"> se espera que los beneficios continúen después de dicho periodo, </w:t>
      </w:r>
      <w:r w:rsidR="00D2379A" w:rsidRPr="00FE26CF">
        <w:rPr>
          <w:rFonts w:eastAsia="Times New Roman" w:cs="Arial"/>
          <w:sz w:val="22"/>
          <w:lang w:val="es-ES"/>
        </w:rPr>
        <w:t xml:space="preserve">para efectos de este análisis </w:t>
      </w:r>
      <w:r w:rsidR="008F1413" w:rsidRPr="00FE26CF">
        <w:rPr>
          <w:rFonts w:eastAsia="Times New Roman" w:cs="Arial"/>
          <w:sz w:val="22"/>
          <w:lang w:val="es-ES"/>
        </w:rPr>
        <w:t>no se consideran beneficios más allá de este plazo</w:t>
      </w:r>
      <w:r w:rsidR="003A0546" w:rsidRPr="00FE26CF">
        <w:rPr>
          <w:rFonts w:eastAsia="Times New Roman" w:cs="Arial"/>
          <w:sz w:val="22"/>
          <w:lang w:val="es-ES"/>
        </w:rPr>
        <w:t>, cuando también habría que contemplar los costos adicionales</w:t>
      </w:r>
      <w:r w:rsidR="00A66BBC" w:rsidRPr="00FE26CF">
        <w:rPr>
          <w:rFonts w:eastAsia="Times New Roman" w:cs="Arial"/>
          <w:sz w:val="22"/>
          <w:lang w:val="es-ES"/>
        </w:rPr>
        <w:t xml:space="preserve">. También es importante </w:t>
      </w:r>
      <w:r w:rsidR="00D2379A" w:rsidRPr="00FE26CF">
        <w:rPr>
          <w:rFonts w:eastAsia="Times New Roman" w:cs="Arial"/>
          <w:sz w:val="22"/>
          <w:lang w:val="es-ES"/>
        </w:rPr>
        <w:t>notar que l</w:t>
      </w:r>
      <w:r w:rsidR="00D948A9" w:rsidRPr="00FE26CF">
        <w:rPr>
          <w:rFonts w:eastAsia="Times New Roman" w:cs="Arial"/>
          <w:sz w:val="22"/>
          <w:lang w:val="es-ES"/>
        </w:rPr>
        <w:t xml:space="preserve">a sostenibilidad de dichas inversiones está </w:t>
      </w:r>
      <w:r w:rsidR="00D948A9" w:rsidRPr="00FE26CF">
        <w:rPr>
          <w:rFonts w:eastAsia="Times New Roman" w:cs="Arial"/>
          <w:sz w:val="22"/>
          <w:lang w:val="es-ES"/>
        </w:rPr>
        <w:lastRenderedPageBreak/>
        <w:t>garantizada por el esquema de financiamiento del SUS, en el cual se transfieren recursos con base en las prestaciones.</w:t>
      </w:r>
    </w:p>
    <w:p w:rsidR="003277C6" w:rsidRPr="00FE26CF" w:rsidRDefault="004268B3" w:rsidP="006D2FB5">
      <w:pPr>
        <w:spacing w:before="120" w:after="120" w:line="240" w:lineRule="auto"/>
        <w:jc w:val="both"/>
        <w:rPr>
          <w:rFonts w:eastAsia="Times New Roman" w:cs="Arial"/>
          <w:sz w:val="22"/>
          <w:lang w:val="es-ES"/>
        </w:rPr>
      </w:pPr>
      <w:r w:rsidRPr="00FE26CF">
        <w:rPr>
          <w:rFonts w:eastAsia="Times New Roman" w:cs="Arial"/>
          <w:sz w:val="22"/>
          <w:lang w:val="es-ES"/>
        </w:rPr>
        <w:t>Se considera como un escenario realista que se presente un vector de gradualidad regular, un escenario de cobertura efectiva medio y se utiliza una tasa de descuento de 3%. En este escenario,</w:t>
      </w:r>
      <w:r w:rsidR="003277C6" w:rsidRPr="00FE26CF">
        <w:rPr>
          <w:rFonts w:eastAsia="Times New Roman" w:cs="Arial"/>
          <w:sz w:val="22"/>
          <w:lang w:val="es-ES"/>
        </w:rPr>
        <w:t xml:space="preserve"> la razón costo beneficio se define de la siguiente manera:</w:t>
      </w:r>
    </w:p>
    <w:p w:rsidR="003277C6" w:rsidRPr="00FE26CF" w:rsidRDefault="003277C6" w:rsidP="006D2FB5">
      <w:pPr>
        <w:pStyle w:val="ColorfulList-Accent11"/>
        <w:numPr>
          <w:ilvl w:val="0"/>
          <w:numId w:val="9"/>
        </w:numPr>
        <w:spacing w:before="120" w:after="120" w:line="240" w:lineRule="auto"/>
        <w:jc w:val="both"/>
        <w:rPr>
          <w:rFonts w:eastAsia="Times New Roman" w:cs="Arial"/>
          <w:sz w:val="22"/>
          <w:lang w:val="es-ES"/>
        </w:rPr>
      </w:pPr>
      <w:r w:rsidRPr="00FE26CF">
        <w:rPr>
          <w:rFonts w:eastAsia="Times New Roman" w:cs="Arial"/>
          <w:sz w:val="22"/>
          <w:lang w:val="es-ES"/>
        </w:rPr>
        <w:t>Costo del proyecto</w:t>
      </w:r>
      <w:r w:rsidR="00134C50" w:rsidRPr="00FE26CF">
        <w:rPr>
          <w:rFonts w:eastAsia="Times New Roman" w:cs="Arial"/>
          <w:sz w:val="22"/>
          <w:lang w:val="es-ES"/>
        </w:rPr>
        <w:t xml:space="preserve"> (5 años)</w:t>
      </w:r>
      <w:r w:rsidR="004268B3" w:rsidRPr="00FE26CF">
        <w:rPr>
          <w:rFonts w:eastAsia="Times New Roman" w:cs="Arial"/>
          <w:sz w:val="22"/>
          <w:lang w:val="es-ES"/>
        </w:rPr>
        <w:t xml:space="preserve"> US</w:t>
      </w:r>
      <w:r w:rsidRPr="00FE26CF">
        <w:rPr>
          <w:rFonts w:eastAsia="Times New Roman" w:cs="Arial"/>
          <w:sz w:val="22"/>
          <w:lang w:val="es-ES"/>
        </w:rPr>
        <w:t>$</w:t>
      </w:r>
      <w:r w:rsidR="004268B3" w:rsidRPr="00FE26CF">
        <w:rPr>
          <w:rFonts w:eastAsia="Times New Roman" w:cs="Arial"/>
          <w:sz w:val="22"/>
          <w:lang w:val="es-ES"/>
        </w:rPr>
        <w:t>178.</w:t>
      </w:r>
      <w:r w:rsidR="00C641B8">
        <w:rPr>
          <w:rFonts w:eastAsia="Times New Roman" w:cs="Arial"/>
          <w:sz w:val="22"/>
          <w:lang w:val="es-ES"/>
        </w:rPr>
        <w:t>5</w:t>
      </w:r>
      <w:r w:rsidR="004268B3" w:rsidRPr="00FE26CF">
        <w:rPr>
          <w:rFonts w:eastAsia="Times New Roman" w:cs="Arial"/>
          <w:sz w:val="22"/>
          <w:lang w:val="es-ES"/>
        </w:rPr>
        <w:t>00.</w:t>
      </w:r>
      <w:r w:rsidR="00735E0F" w:rsidRPr="00FE26CF">
        <w:rPr>
          <w:rFonts w:eastAsia="Times New Roman" w:cs="Arial"/>
          <w:sz w:val="22"/>
          <w:lang w:val="es-ES"/>
        </w:rPr>
        <w:t>000</w:t>
      </w:r>
    </w:p>
    <w:p w:rsidR="003277C6" w:rsidRPr="00FE26CF" w:rsidRDefault="004268B3" w:rsidP="006D2FB5">
      <w:pPr>
        <w:pStyle w:val="ColorfulList-Accent11"/>
        <w:numPr>
          <w:ilvl w:val="0"/>
          <w:numId w:val="9"/>
        </w:numPr>
        <w:spacing w:before="120" w:after="120" w:line="240" w:lineRule="auto"/>
        <w:jc w:val="both"/>
        <w:rPr>
          <w:rFonts w:eastAsia="Times New Roman" w:cs="Arial"/>
          <w:sz w:val="22"/>
          <w:lang w:val="es-ES"/>
        </w:rPr>
      </w:pPr>
      <w:r w:rsidRPr="00FE26CF">
        <w:rPr>
          <w:rFonts w:eastAsia="Times New Roman" w:cs="Arial"/>
          <w:sz w:val="22"/>
          <w:lang w:val="es-ES"/>
        </w:rPr>
        <w:t>Beneficios del proyecto (tasa 3%) US</w:t>
      </w:r>
      <w:r w:rsidR="00F5159A" w:rsidRPr="00FE26CF">
        <w:rPr>
          <w:rFonts w:eastAsia="Times New Roman" w:cs="Arial"/>
          <w:sz w:val="22"/>
          <w:lang w:val="es-ES"/>
        </w:rPr>
        <w:t>$</w:t>
      </w:r>
      <w:r w:rsidRPr="00FE26CF">
        <w:rPr>
          <w:rFonts w:eastAsia="Times New Roman" w:cs="Arial"/>
          <w:sz w:val="22"/>
          <w:lang w:val="es-ES"/>
        </w:rPr>
        <w:t>23</w:t>
      </w:r>
      <w:r w:rsidR="00E0614F">
        <w:rPr>
          <w:rFonts w:eastAsia="Times New Roman" w:cs="Arial"/>
          <w:sz w:val="22"/>
          <w:lang w:val="es-ES"/>
        </w:rPr>
        <w:t>1</w:t>
      </w:r>
      <w:r w:rsidRPr="00FE26CF">
        <w:rPr>
          <w:rFonts w:eastAsia="Times New Roman" w:cs="Arial"/>
          <w:sz w:val="22"/>
          <w:lang w:val="es-ES"/>
        </w:rPr>
        <w:t>.</w:t>
      </w:r>
      <w:r w:rsidR="00E0614F">
        <w:rPr>
          <w:rFonts w:eastAsia="Times New Roman" w:cs="Arial"/>
          <w:sz w:val="22"/>
          <w:lang w:val="es-ES"/>
        </w:rPr>
        <w:t>668</w:t>
      </w:r>
      <w:r w:rsidRPr="00FE26CF">
        <w:rPr>
          <w:rFonts w:eastAsia="Times New Roman" w:cs="Arial"/>
          <w:sz w:val="22"/>
          <w:lang w:val="es-ES"/>
        </w:rPr>
        <w:t>.</w:t>
      </w:r>
      <w:r w:rsidR="00E0614F">
        <w:rPr>
          <w:rFonts w:eastAsia="Times New Roman" w:cs="Arial"/>
          <w:sz w:val="22"/>
          <w:lang w:val="es-ES"/>
        </w:rPr>
        <w:t>852</w:t>
      </w:r>
      <w:r w:rsidR="00735E0F" w:rsidRPr="00FE26CF">
        <w:rPr>
          <w:rFonts w:eastAsia="Times New Roman" w:cs="Arial"/>
          <w:sz w:val="22"/>
          <w:lang w:val="es-ES"/>
        </w:rPr>
        <w:t xml:space="preserve"> </w:t>
      </w:r>
    </w:p>
    <w:p w:rsidR="003277C6" w:rsidRPr="00FE26CF" w:rsidRDefault="003277C6" w:rsidP="006D2FB5">
      <w:pPr>
        <w:pStyle w:val="ColorfulList-Accent11"/>
        <w:numPr>
          <w:ilvl w:val="0"/>
          <w:numId w:val="9"/>
        </w:numPr>
        <w:spacing w:before="120" w:after="120" w:line="240" w:lineRule="auto"/>
        <w:jc w:val="both"/>
        <w:rPr>
          <w:rFonts w:eastAsia="Times New Roman" w:cs="Arial"/>
          <w:sz w:val="22"/>
          <w:lang w:val="es-ES"/>
        </w:rPr>
      </w:pPr>
      <w:r w:rsidRPr="00FE26CF">
        <w:rPr>
          <w:rFonts w:eastAsia="Times New Roman" w:cs="Arial"/>
          <w:sz w:val="22"/>
          <w:lang w:val="es-ES"/>
        </w:rPr>
        <w:t>B</w:t>
      </w:r>
      <w:r w:rsidR="004C5A71" w:rsidRPr="00FE26CF">
        <w:rPr>
          <w:rFonts w:eastAsia="Times New Roman" w:cs="Arial"/>
          <w:sz w:val="22"/>
          <w:lang w:val="es-ES"/>
        </w:rPr>
        <w:t>eneficio neto: US</w:t>
      </w:r>
      <w:r w:rsidR="004268B3" w:rsidRPr="00FE26CF">
        <w:rPr>
          <w:rFonts w:eastAsia="Times New Roman" w:cs="Arial"/>
          <w:sz w:val="22"/>
          <w:lang w:val="es-ES"/>
        </w:rPr>
        <w:t>$5</w:t>
      </w:r>
      <w:r w:rsidR="00F9772F">
        <w:rPr>
          <w:rFonts w:eastAsia="Times New Roman" w:cs="Arial"/>
          <w:sz w:val="22"/>
          <w:lang w:val="es-ES"/>
        </w:rPr>
        <w:t>3</w:t>
      </w:r>
      <w:r w:rsidR="004268B3" w:rsidRPr="00FE26CF">
        <w:rPr>
          <w:rFonts w:eastAsia="Times New Roman" w:cs="Arial"/>
          <w:sz w:val="22"/>
          <w:lang w:val="es-ES"/>
        </w:rPr>
        <w:t>.</w:t>
      </w:r>
      <w:r w:rsidR="00C641B8">
        <w:rPr>
          <w:rFonts w:eastAsia="Times New Roman" w:cs="Arial"/>
          <w:sz w:val="22"/>
          <w:lang w:val="es-ES"/>
        </w:rPr>
        <w:t>16</w:t>
      </w:r>
      <w:r w:rsidR="00F9772F">
        <w:rPr>
          <w:rFonts w:eastAsia="Times New Roman" w:cs="Arial"/>
          <w:sz w:val="22"/>
          <w:lang w:val="es-ES"/>
        </w:rPr>
        <w:t>8</w:t>
      </w:r>
      <w:r w:rsidR="004268B3" w:rsidRPr="00FE26CF">
        <w:rPr>
          <w:rFonts w:eastAsia="Times New Roman" w:cs="Arial"/>
          <w:sz w:val="22"/>
          <w:lang w:val="es-ES"/>
        </w:rPr>
        <w:t>.</w:t>
      </w:r>
      <w:r w:rsidR="00F9772F">
        <w:rPr>
          <w:rFonts w:eastAsia="Times New Roman" w:cs="Arial"/>
          <w:sz w:val="22"/>
          <w:lang w:val="es-ES"/>
        </w:rPr>
        <w:t>8</w:t>
      </w:r>
      <w:r w:rsidR="004268B3" w:rsidRPr="00FE26CF">
        <w:rPr>
          <w:rFonts w:eastAsia="Times New Roman" w:cs="Arial"/>
          <w:sz w:val="22"/>
          <w:lang w:val="es-ES"/>
        </w:rPr>
        <w:t>5</w:t>
      </w:r>
      <w:r w:rsidR="00F9772F">
        <w:rPr>
          <w:rFonts w:eastAsia="Times New Roman" w:cs="Arial"/>
          <w:sz w:val="22"/>
          <w:lang w:val="es-ES"/>
        </w:rPr>
        <w:t xml:space="preserve">2    </w:t>
      </w:r>
    </w:p>
    <w:p w:rsidR="003277C6" w:rsidRPr="00FE26CF" w:rsidRDefault="003277C6" w:rsidP="006D2FB5">
      <w:pPr>
        <w:pStyle w:val="ColorfulList-Accent11"/>
        <w:numPr>
          <w:ilvl w:val="0"/>
          <w:numId w:val="9"/>
        </w:numPr>
        <w:spacing w:before="120" w:after="120" w:line="240" w:lineRule="auto"/>
        <w:jc w:val="both"/>
        <w:rPr>
          <w:rFonts w:eastAsia="Times New Roman" w:cs="Arial"/>
          <w:sz w:val="22"/>
          <w:lang w:val="es-ES"/>
        </w:rPr>
      </w:pPr>
      <w:r w:rsidRPr="00FE26CF">
        <w:rPr>
          <w:rFonts w:eastAsia="Times New Roman" w:cs="Arial"/>
          <w:sz w:val="22"/>
          <w:lang w:val="es-ES"/>
        </w:rPr>
        <w:t xml:space="preserve">Razón Beneficio / Costo = </w:t>
      </w:r>
      <w:r w:rsidR="00940453" w:rsidRPr="00FE26CF">
        <w:rPr>
          <w:rFonts w:eastAsia="Times New Roman" w:cs="Arial"/>
          <w:sz w:val="22"/>
          <w:lang w:val="es-ES"/>
        </w:rPr>
        <w:t>1,</w:t>
      </w:r>
      <w:r w:rsidR="004268B3" w:rsidRPr="00FE26CF">
        <w:rPr>
          <w:rFonts w:eastAsia="Times New Roman" w:cs="Arial"/>
          <w:sz w:val="22"/>
          <w:lang w:val="es-ES"/>
        </w:rPr>
        <w:t>3</w:t>
      </w:r>
      <w:r w:rsidR="00E0614F">
        <w:rPr>
          <w:rFonts w:eastAsia="Times New Roman" w:cs="Arial"/>
          <w:sz w:val="22"/>
          <w:lang w:val="es-ES"/>
        </w:rPr>
        <w:t>0</w:t>
      </w:r>
    </w:p>
    <w:p w:rsidR="004268B3" w:rsidRPr="00FE26CF" w:rsidRDefault="004268B3" w:rsidP="006D2FB5">
      <w:pPr>
        <w:pStyle w:val="ColorfulList-Accent11"/>
        <w:spacing w:before="120" w:after="120" w:line="240" w:lineRule="auto"/>
        <w:ind w:left="0"/>
        <w:jc w:val="both"/>
        <w:rPr>
          <w:rFonts w:eastAsia="Times New Roman" w:cs="Arial"/>
          <w:sz w:val="22"/>
          <w:lang w:val="es-ES"/>
        </w:rPr>
      </w:pPr>
    </w:p>
    <w:p w:rsidR="00D80A9B" w:rsidRPr="00FE26CF" w:rsidRDefault="00735E0F" w:rsidP="00D80A9B">
      <w:pPr>
        <w:autoSpaceDE w:val="0"/>
        <w:autoSpaceDN w:val="0"/>
        <w:adjustRightInd w:val="0"/>
        <w:spacing w:before="120" w:after="120" w:line="240" w:lineRule="auto"/>
        <w:jc w:val="both"/>
        <w:rPr>
          <w:rFonts w:eastAsia="Times New Roman" w:cs="Arial"/>
          <w:sz w:val="22"/>
          <w:lang w:val="es-ES"/>
        </w:rPr>
      </w:pPr>
      <w:r w:rsidRPr="00E95B43">
        <w:rPr>
          <w:rFonts w:eastAsia="Times New Roman" w:cs="Arial"/>
          <w:sz w:val="22"/>
          <w:lang w:val="es-ES"/>
        </w:rPr>
        <w:t>El análisis de sensibilidad</w:t>
      </w:r>
      <w:r w:rsidR="004268B3" w:rsidRPr="00E95B43">
        <w:rPr>
          <w:rFonts w:eastAsia="Times New Roman" w:cs="Arial"/>
          <w:sz w:val="22"/>
          <w:lang w:val="es-ES"/>
        </w:rPr>
        <w:t xml:space="preserve"> de la razón costo beneficio resumido en la </w:t>
      </w:r>
      <w:r w:rsidR="004268B3" w:rsidRPr="00E95B43">
        <w:rPr>
          <w:rFonts w:eastAsia="Times New Roman" w:cs="Arial"/>
          <w:sz w:val="22"/>
          <w:lang w:val="es-ES"/>
        </w:rPr>
        <w:fldChar w:fldCharType="begin"/>
      </w:r>
      <w:r w:rsidR="004268B3" w:rsidRPr="00E95B43">
        <w:rPr>
          <w:rFonts w:eastAsia="Times New Roman" w:cs="Arial"/>
          <w:sz w:val="22"/>
          <w:lang w:val="es-ES"/>
        </w:rPr>
        <w:instrText xml:space="preserve"> REF _Ref296181059 \h </w:instrText>
      </w:r>
      <w:r w:rsidR="000B185D" w:rsidRPr="00E95B43">
        <w:rPr>
          <w:rFonts w:eastAsia="Times New Roman" w:cs="Arial"/>
          <w:sz w:val="22"/>
          <w:lang w:val="es-ES"/>
        </w:rPr>
        <w:instrText xml:space="preserve"> \* MERGEFORMAT </w:instrText>
      </w:r>
      <w:r w:rsidR="004268B3" w:rsidRPr="00E95B43">
        <w:rPr>
          <w:rFonts w:eastAsia="Times New Roman" w:cs="Arial"/>
          <w:sz w:val="22"/>
          <w:lang w:val="es-ES"/>
        </w:rPr>
      </w:r>
      <w:r w:rsidR="004268B3" w:rsidRPr="00E95B43">
        <w:rPr>
          <w:rFonts w:eastAsia="Times New Roman" w:cs="Arial"/>
          <w:sz w:val="22"/>
          <w:lang w:val="es-ES"/>
        </w:rPr>
        <w:fldChar w:fldCharType="separate"/>
      </w:r>
      <w:r w:rsidR="004268B3" w:rsidRPr="00E95B43">
        <w:rPr>
          <w:sz w:val="22"/>
          <w:lang w:val="es-ES"/>
        </w:rPr>
        <w:t xml:space="preserve">Tabla </w:t>
      </w:r>
      <w:r w:rsidR="004268B3" w:rsidRPr="00E95B43">
        <w:rPr>
          <w:noProof/>
          <w:sz w:val="22"/>
          <w:lang w:val="es-ES"/>
        </w:rPr>
        <w:t>6</w:t>
      </w:r>
      <w:r w:rsidR="004268B3" w:rsidRPr="00E95B43">
        <w:rPr>
          <w:rFonts w:eastAsia="Times New Roman" w:cs="Arial"/>
          <w:sz w:val="22"/>
          <w:lang w:val="es-ES"/>
        </w:rPr>
        <w:fldChar w:fldCharType="end"/>
      </w:r>
      <w:r w:rsidR="004268B3" w:rsidRPr="00E95B43">
        <w:rPr>
          <w:rFonts w:eastAsia="Times New Roman" w:cs="Arial"/>
          <w:sz w:val="22"/>
          <w:lang w:val="es-ES"/>
        </w:rPr>
        <w:t xml:space="preserve"> muestra que la mayoría de los escenarios los beneficios del proyecto son mayores a los costos. El único escenario en que no se logra es cuando se consideran los escenarios de cobertura efectiva pesimistas y coincide con un vector de gradualidad lento</w:t>
      </w:r>
      <w:r w:rsidR="00D80A9B" w:rsidRPr="00E95B43">
        <w:rPr>
          <w:rFonts w:eastAsia="Times New Roman" w:cs="Arial"/>
          <w:sz w:val="22"/>
          <w:lang w:val="es-ES"/>
        </w:rPr>
        <w:t xml:space="preserve"> o regular cuando se utiliza una tasa de 3% </w:t>
      </w:r>
      <w:r w:rsidR="00F9772F" w:rsidRPr="00E95B43">
        <w:rPr>
          <w:rFonts w:eastAsia="Times New Roman" w:cs="Arial"/>
          <w:sz w:val="22"/>
          <w:lang w:val="es-ES"/>
        </w:rPr>
        <w:t>a</w:t>
      </w:r>
      <w:r w:rsidR="00D80A9B" w:rsidRPr="00E95B43">
        <w:rPr>
          <w:rFonts w:eastAsia="Times New Roman" w:cs="Arial"/>
          <w:sz w:val="22"/>
          <w:lang w:val="es-ES"/>
        </w:rPr>
        <w:t xml:space="preserve"> </w:t>
      </w:r>
      <w:r w:rsidR="00F9772F" w:rsidRPr="00E95B43">
        <w:rPr>
          <w:rFonts w:eastAsia="Times New Roman" w:cs="Arial"/>
          <w:sz w:val="22"/>
          <w:lang w:val="es-ES"/>
        </w:rPr>
        <w:t>9</w:t>
      </w:r>
      <w:r w:rsidR="00D80A9B" w:rsidRPr="00E95B43">
        <w:rPr>
          <w:rFonts w:eastAsia="Times New Roman" w:cs="Arial"/>
          <w:sz w:val="22"/>
          <w:lang w:val="es-ES"/>
        </w:rPr>
        <w:t xml:space="preserve">%. Dada la evidencia de los impactos potenciales, así como la coherencia de la intervención planteada, se considera que los escenarios con una razón entre el beneficio </w:t>
      </w:r>
      <w:r w:rsidR="003A0546" w:rsidRPr="00E95B43">
        <w:rPr>
          <w:rFonts w:eastAsia="Times New Roman" w:cs="Arial"/>
          <w:sz w:val="22"/>
          <w:lang w:val="es-ES"/>
        </w:rPr>
        <w:t xml:space="preserve">y </w:t>
      </w:r>
      <w:r w:rsidR="00D80A9B" w:rsidRPr="00E95B43">
        <w:rPr>
          <w:rFonts w:eastAsia="Times New Roman" w:cs="Arial"/>
          <w:sz w:val="22"/>
          <w:lang w:val="es-ES"/>
        </w:rPr>
        <w:t>el costo menor a uno son muy poco probables.</w:t>
      </w:r>
    </w:p>
    <w:p w:rsidR="00970669" w:rsidRPr="00FE26CF" w:rsidRDefault="00970669" w:rsidP="00970669">
      <w:pPr>
        <w:pStyle w:val="ColorfulList-Accent11"/>
        <w:spacing w:before="120" w:after="120" w:line="240" w:lineRule="auto"/>
        <w:jc w:val="both"/>
        <w:rPr>
          <w:rFonts w:eastAsia="Times New Roman" w:cs="Arial"/>
          <w:sz w:val="22"/>
          <w:lang w:val="es-ES"/>
        </w:rPr>
      </w:pPr>
    </w:p>
    <w:p w:rsidR="009308AF" w:rsidRDefault="00735E0F" w:rsidP="008C30C9">
      <w:pPr>
        <w:pStyle w:val="Caption"/>
        <w:rPr>
          <w:lang w:val="es-ES"/>
        </w:rPr>
      </w:pPr>
      <w:bookmarkStart w:id="27" w:name="_Ref296181059"/>
      <w:r w:rsidRPr="00FE26CF">
        <w:rPr>
          <w:lang w:val="es-ES"/>
        </w:rPr>
        <w:t xml:space="preserve">Tabla </w:t>
      </w:r>
      <w:r w:rsidRPr="00FE26CF">
        <w:rPr>
          <w:lang w:val="es-ES"/>
        </w:rPr>
        <w:fldChar w:fldCharType="begin"/>
      </w:r>
      <w:r w:rsidRPr="00FE26CF">
        <w:rPr>
          <w:lang w:val="es-ES"/>
        </w:rPr>
        <w:instrText xml:space="preserve"> SEQ Tabla \* ARABIC </w:instrText>
      </w:r>
      <w:r w:rsidRPr="00FE26CF">
        <w:rPr>
          <w:lang w:val="es-ES"/>
        </w:rPr>
        <w:fldChar w:fldCharType="separate"/>
      </w:r>
      <w:r w:rsidR="0088018B" w:rsidRPr="00FE26CF">
        <w:rPr>
          <w:noProof/>
          <w:lang w:val="es-ES"/>
        </w:rPr>
        <w:t>6</w:t>
      </w:r>
      <w:r w:rsidRPr="00FE26CF">
        <w:rPr>
          <w:lang w:val="es-ES"/>
        </w:rPr>
        <w:fldChar w:fldCharType="end"/>
      </w:r>
      <w:bookmarkEnd w:id="27"/>
      <w:r w:rsidRPr="00FE26CF">
        <w:rPr>
          <w:lang w:val="es-ES"/>
        </w:rPr>
        <w:t>. Análisis de sensibilidad de la razón beneficio/costo</w:t>
      </w:r>
    </w:p>
    <w:p w:rsidR="00E0614F" w:rsidRDefault="00E0614F" w:rsidP="00800447">
      <w:pPr>
        <w:autoSpaceDE w:val="0"/>
        <w:autoSpaceDN w:val="0"/>
        <w:adjustRightInd w:val="0"/>
        <w:spacing w:after="0" w:line="240" w:lineRule="auto"/>
        <w:jc w:val="both"/>
        <w:rPr>
          <w:rFonts w:cs="Arial"/>
          <w:sz w:val="18"/>
          <w:szCs w:val="18"/>
          <w:lang w:val="es-ES"/>
        </w:rPr>
      </w:pPr>
    </w:p>
    <w:tbl>
      <w:tblPr>
        <w:tblStyle w:val="LightShading-Accent1"/>
        <w:tblW w:w="7420" w:type="dxa"/>
        <w:tblLook w:val="04A0" w:firstRow="1" w:lastRow="0" w:firstColumn="1" w:lastColumn="0" w:noHBand="0" w:noVBand="1"/>
      </w:tblPr>
      <w:tblGrid>
        <w:gridCol w:w="1580"/>
        <w:gridCol w:w="1323"/>
        <w:gridCol w:w="1180"/>
        <w:gridCol w:w="1180"/>
        <w:gridCol w:w="1180"/>
        <w:gridCol w:w="1180"/>
      </w:tblGrid>
      <w:tr w:rsidR="00E0614F" w:rsidRPr="00E0614F" w:rsidTr="00E0614F">
        <w:trPr>
          <w:cnfStyle w:val="100000000000" w:firstRow="1" w:lastRow="0" w:firstColumn="0" w:lastColumn="0" w:oddVBand="0" w:evenVBand="0" w:oddHBand="0"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580" w:type="dxa"/>
            <w:hideMark/>
          </w:tcPr>
          <w:p w:rsidR="00E0614F" w:rsidRPr="00E0614F" w:rsidRDefault="00E0614F" w:rsidP="00E0614F">
            <w:pPr>
              <w:spacing w:after="0" w:line="240" w:lineRule="auto"/>
              <w:jc w:val="center"/>
              <w:rPr>
                <w:rFonts w:ascii="Times New Roman" w:eastAsia="Times New Roman" w:hAnsi="Times New Roman"/>
                <w:color w:val="000000"/>
                <w:szCs w:val="24"/>
              </w:rPr>
            </w:pPr>
            <w:r w:rsidRPr="00E0614F">
              <w:rPr>
                <w:rFonts w:ascii="Times New Roman" w:eastAsia="Times New Roman" w:hAnsi="Times New Roman"/>
                <w:color w:val="000000"/>
                <w:szCs w:val="24"/>
              </w:rPr>
              <w:t>Vectores de gradualidad</w:t>
            </w:r>
          </w:p>
        </w:tc>
        <w:tc>
          <w:tcPr>
            <w:tcW w:w="1120" w:type="dxa"/>
            <w:hideMark/>
          </w:tcPr>
          <w:p w:rsidR="00E0614F" w:rsidRPr="00E0614F" w:rsidRDefault="00E0614F" w:rsidP="00E061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Escenarios de cobertura efectiva</w:t>
            </w:r>
          </w:p>
        </w:tc>
        <w:tc>
          <w:tcPr>
            <w:tcW w:w="4720" w:type="dxa"/>
            <w:gridSpan w:val="4"/>
            <w:noWrap/>
            <w:hideMark/>
          </w:tcPr>
          <w:p w:rsidR="00E0614F" w:rsidRPr="00E0614F" w:rsidRDefault="00E0614F" w:rsidP="00E061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tasa de descuento</w:t>
            </w:r>
          </w:p>
        </w:tc>
      </w:tr>
      <w:tr w:rsidR="00E0614F" w:rsidRPr="00E0614F" w:rsidTr="00E0614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80" w:type="dxa"/>
            <w:hideMark/>
          </w:tcPr>
          <w:p w:rsidR="00E0614F" w:rsidRPr="00E0614F" w:rsidRDefault="00E0614F" w:rsidP="00E0614F">
            <w:pPr>
              <w:spacing w:after="0" w:line="240" w:lineRule="auto"/>
              <w:jc w:val="center"/>
              <w:rPr>
                <w:rFonts w:ascii="Times New Roman" w:eastAsia="Times New Roman" w:hAnsi="Times New Roman"/>
                <w:color w:val="000000"/>
                <w:szCs w:val="24"/>
              </w:rPr>
            </w:pPr>
            <w:r w:rsidRPr="00E0614F">
              <w:rPr>
                <w:rFonts w:ascii="Times New Roman" w:eastAsia="Times New Roman" w:hAnsi="Times New Roman"/>
                <w:color w:val="000000"/>
                <w:szCs w:val="24"/>
              </w:rPr>
              <w:t> </w:t>
            </w:r>
          </w:p>
        </w:tc>
        <w:tc>
          <w:tcPr>
            <w:tcW w:w="1120" w:type="dxa"/>
            <w:hideMark/>
          </w:tcPr>
          <w:p w:rsidR="00E0614F" w:rsidRPr="00E0614F" w:rsidRDefault="00E0614F" w:rsidP="00E06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 </w:t>
            </w:r>
          </w:p>
        </w:tc>
        <w:tc>
          <w:tcPr>
            <w:tcW w:w="1180" w:type="dxa"/>
            <w:noWrap/>
            <w:hideMark/>
          </w:tcPr>
          <w:p w:rsidR="00E0614F" w:rsidRPr="00E0614F" w:rsidRDefault="00E0614F" w:rsidP="00E06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0%</w:t>
            </w:r>
          </w:p>
        </w:tc>
        <w:tc>
          <w:tcPr>
            <w:tcW w:w="1180" w:type="dxa"/>
            <w:noWrap/>
            <w:hideMark/>
          </w:tcPr>
          <w:p w:rsidR="00E0614F" w:rsidRPr="00E0614F" w:rsidRDefault="00E0614F" w:rsidP="00E06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3%</w:t>
            </w:r>
          </w:p>
        </w:tc>
        <w:tc>
          <w:tcPr>
            <w:tcW w:w="1180" w:type="dxa"/>
            <w:noWrap/>
            <w:hideMark/>
          </w:tcPr>
          <w:p w:rsidR="00E0614F" w:rsidRPr="00E0614F" w:rsidRDefault="00E0614F" w:rsidP="00E06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6%</w:t>
            </w:r>
          </w:p>
        </w:tc>
        <w:tc>
          <w:tcPr>
            <w:tcW w:w="1180" w:type="dxa"/>
            <w:noWrap/>
            <w:hideMark/>
          </w:tcPr>
          <w:p w:rsidR="00E0614F" w:rsidRPr="00E0614F" w:rsidRDefault="00E0614F" w:rsidP="00E06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9%</w:t>
            </w:r>
          </w:p>
        </w:tc>
      </w:tr>
      <w:tr w:rsidR="00E0614F" w:rsidRPr="00E0614F" w:rsidTr="00E0614F">
        <w:trPr>
          <w:trHeight w:val="315"/>
        </w:trPr>
        <w:tc>
          <w:tcPr>
            <w:cnfStyle w:val="001000000000" w:firstRow="0" w:lastRow="0" w:firstColumn="1" w:lastColumn="0" w:oddVBand="0" w:evenVBand="0" w:oddHBand="0" w:evenHBand="0" w:firstRowFirstColumn="0" w:firstRowLastColumn="0" w:lastRowFirstColumn="0" w:lastRowLastColumn="0"/>
            <w:tcW w:w="1580" w:type="dxa"/>
            <w:noWrap/>
            <w:hideMark/>
          </w:tcPr>
          <w:p w:rsidR="00E0614F" w:rsidRPr="00E0614F" w:rsidRDefault="00E0614F" w:rsidP="00E0614F">
            <w:pPr>
              <w:spacing w:after="0" w:line="240" w:lineRule="auto"/>
              <w:jc w:val="center"/>
              <w:rPr>
                <w:rFonts w:ascii="Times New Roman" w:eastAsia="Times New Roman" w:hAnsi="Times New Roman"/>
                <w:color w:val="000000"/>
                <w:szCs w:val="24"/>
              </w:rPr>
            </w:pPr>
            <w:r w:rsidRPr="00E0614F">
              <w:rPr>
                <w:rFonts w:ascii="Times New Roman" w:eastAsia="Times New Roman" w:hAnsi="Times New Roman"/>
                <w:color w:val="000000"/>
                <w:szCs w:val="24"/>
              </w:rPr>
              <w:t>lento</w:t>
            </w:r>
          </w:p>
        </w:tc>
        <w:tc>
          <w:tcPr>
            <w:tcW w:w="1120" w:type="dxa"/>
            <w:noWrap/>
            <w:hideMark/>
          </w:tcPr>
          <w:p w:rsidR="00E0614F" w:rsidRPr="00E0614F" w:rsidRDefault="00E0614F" w:rsidP="00E06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Cs w:val="24"/>
              </w:rPr>
            </w:pPr>
            <w:r w:rsidRPr="00E0614F">
              <w:rPr>
                <w:rFonts w:ascii="Calibri" w:eastAsia="Times New Roman" w:hAnsi="Calibri"/>
                <w:color w:val="000000"/>
                <w:szCs w:val="24"/>
              </w:rPr>
              <w:t>Pesimista</w:t>
            </w:r>
          </w:p>
        </w:tc>
        <w:tc>
          <w:tcPr>
            <w:tcW w:w="1180" w:type="dxa"/>
            <w:noWrap/>
            <w:hideMark/>
          </w:tcPr>
          <w:p w:rsidR="00E0614F" w:rsidRPr="00E0614F" w:rsidRDefault="00E0614F" w:rsidP="00E061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0.92</w:t>
            </w:r>
          </w:p>
        </w:tc>
        <w:tc>
          <w:tcPr>
            <w:tcW w:w="1180" w:type="dxa"/>
            <w:noWrap/>
            <w:hideMark/>
          </w:tcPr>
          <w:p w:rsidR="00E0614F" w:rsidRPr="00E0614F" w:rsidRDefault="00E0614F" w:rsidP="00E061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0.83</w:t>
            </w:r>
          </w:p>
        </w:tc>
        <w:tc>
          <w:tcPr>
            <w:tcW w:w="1180" w:type="dxa"/>
            <w:noWrap/>
            <w:hideMark/>
          </w:tcPr>
          <w:p w:rsidR="00E0614F" w:rsidRPr="00E0614F" w:rsidRDefault="00E0614F" w:rsidP="00E061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0.75</w:t>
            </w:r>
          </w:p>
        </w:tc>
        <w:tc>
          <w:tcPr>
            <w:tcW w:w="1180" w:type="dxa"/>
            <w:noWrap/>
            <w:hideMark/>
          </w:tcPr>
          <w:p w:rsidR="00E0614F" w:rsidRPr="00E0614F" w:rsidRDefault="00E0614F" w:rsidP="00E061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0.68</w:t>
            </w:r>
          </w:p>
        </w:tc>
      </w:tr>
      <w:tr w:rsidR="00E0614F" w:rsidRPr="00E0614F" w:rsidTr="00E0614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80" w:type="dxa"/>
            <w:noWrap/>
            <w:hideMark/>
          </w:tcPr>
          <w:p w:rsidR="00E0614F" w:rsidRPr="00E0614F" w:rsidRDefault="00E0614F" w:rsidP="00E0614F">
            <w:pPr>
              <w:spacing w:after="0" w:line="240" w:lineRule="auto"/>
              <w:jc w:val="center"/>
              <w:rPr>
                <w:rFonts w:ascii="Times New Roman" w:eastAsia="Times New Roman" w:hAnsi="Times New Roman"/>
                <w:color w:val="000000"/>
                <w:szCs w:val="24"/>
              </w:rPr>
            </w:pPr>
            <w:r w:rsidRPr="00E0614F">
              <w:rPr>
                <w:rFonts w:ascii="Times New Roman" w:eastAsia="Times New Roman" w:hAnsi="Times New Roman"/>
                <w:color w:val="000000"/>
                <w:szCs w:val="24"/>
              </w:rPr>
              <w:t> </w:t>
            </w:r>
          </w:p>
        </w:tc>
        <w:tc>
          <w:tcPr>
            <w:tcW w:w="1120" w:type="dxa"/>
            <w:noWrap/>
            <w:hideMark/>
          </w:tcPr>
          <w:p w:rsidR="00E0614F" w:rsidRPr="00E0614F" w:rsidRDefault="00E0614F" w:rsidP="00E06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Cs w:val="24"/>
              </w:rPr>
            </w:pPr>
            <w:r w:rsidRPr="00E0614F">
              <w:rPr>
                <w:rFonts w:ascii="Calibri" w:eastAsia="Times New Roman" w:hAnsi="Calibri"/>
                <w:color w:val="000000"/>
                <w:szCs w:val="24"/>
              </w:rPr>
              <w:t>Medio</w:t>
            </w:r>
          </w:p>
        </w:tc>
        <w:tc>
          <w:tcPr>
            <w:tcW w:w="1180" w:type="dxa"/>
            <w:noWrap/>
            <w:hideMark/>
          </w:tcPr>
          <w:p w:rsidR="00E0614F" w:rsidRPr="00E0614F" w:rsidRDefault="00E0614F" w:rsidP="00E06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1.26</w:t>
            </w:r>
          </w:p>
        </w:tc>
        <w:tc>
          <w:tcPr>
            <w:tcW w:w="1180" w:type="dxa"/>
            <w:noWrap/>
            <w:hideMark/>
          </w:tcPr>
          <w:p w:rsidR="00E0614F" w:rsidRPr="00E0614F" w:rsidRDefault="00E0614F" w:rsidP="00E06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1.14</w:t>
            </w:r>
          </w:p>
        </w:tc>
        <w:tc>
          <w:tcPr>
            <w:tcW w:w="1180" w:type="dxa"/>
            <w:noWrap/>
            <w:hideMark/>
          </w:tcPr>
          <w:p w:rsidR="00E0614F" w:rsidRPr="00E0614F" w:rsidRDefault="00E0614F" w:rsidP="00E06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1.03</w:t>
            </w:r>
          </w:p>
        </w:tc>
        <w:tc>
          <w:tcPr>
            <w:tcW w:w="1180" w:type="dxa"/>
            <w:noWrap/>
            <w:hideMark/>
          </w:tcPr>
          <w:p w:rsidR="00E0614F" w:rsidRPr="00E0614F" w:rsidRDefault="00E0614F" w:rsidP="00E06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0.93</w:t>
            </w:r>
          </w:p>
        </w:tc>
      </w:tr>
      <w:tr w:rsidR="00E0614F" w:rsidRPr="00E0614F" w:rsidTr="00E0614F">
        <w:trPr>
          <w:trHeight w:val="330"/>
        </w:trPr>
        <w:tc>
          <w:tcPr>
            <w:cnfStyle w:val="001000000000" w:firstRow="0" w:lastRow="0" w:firstColumn="1" w:lastColumn="0" w:oddVBand="0" w:evenVBand="0" w:oddHBand="0" w:evenHBand="0" w:firstRowFirstColumn="0" w:firstRowLastColumn="0" w:lastRowFirstColumn="0" w:lastRowLastColumn="0"/>
            <w:tcW w:w="1580" w:type="dxa"/>
            <w:noWrap/>
            <w:hideMark/>
          </w:tcPr>
          <w:p w:rsidR="00E0614F" w:rsidRPr="00E0614F" w:rsidRDefault="00E0614F" w:rsidP="00E0614F">
            <w:pPr>
              <w:spacing w:after="0" w:line="240" w:lineRule="auto"/>
              <w:jc w:val="center"/>
              <w:rPr>
                <w:rFonts w:ascii="Times New Roman" w:eastAsia="Times New Roman" w:hAnsi="Times New Roman"/>
                <w:color w:val="000000"/>
                <w:szCs w:val="24"/>
              </w:rPr>
            </w:pPr>
            <w:r w:rsidRPr="00E0614F">
              <w:rPr>
                <w:rFonts w:ascii="Times New Roman" w:eastAsia="Times New Roman" w:hAnsi="Times New Roman"/>
                <w:color w:val="000000"/>
                <w:szCs w:val="24"/>
              </w:rPr>
              <w:t> </w:t>
            </w:r>
          </w:p>
        </w:tc>
        <w:tc>
          <w:tcPr>
            <w:tcW w:w="1120" w:type="dxa"/>
            <w:noWrap/>
            <w:hideMark/>
          </w:tcPr>
          <w:p w:rsidR="00E0614F" w:rsidRPr="00E0614F" w:rsidRDefault="00E0614F" w:rsidP="00E06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Cs w:val="24"/>
              </w:rPr>
            </w:pPr>
            <w:r w:rsidRPr="00E0614F">
              <w:rPr>
                <w:rFonts w:ascii="Calibri" w:eastAsia="Times New Roman" w:hAnsi="Calibri"/>
                <w:color w:val="000000"/>
                <w:szCs w:val="24"/>
              </w:rPr>
              <w:t>Optimista</w:t>
            </w:r>
          </w:p>
        </w:tc>
        <w:tc>
          <w:tcPr>
            <w:tcW w:w="1180" w:type="dxa"/>
            <w:noWrap/>
            <w:hideMark/>
          </w:tcPr>
          <w:p w:rsidR="00E0614F" w:rsidRPr="00E0614F" w:rsidRDefault="00E0614F" w:rsidP="00E061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1.61</w:t>
            </w:r>
          </w:p>
        </w:tc>
        <w:tc>
          <w:tcPr>
            <w:tcW w:w="1180" w:type="dxa"/>
            <w:noWrap/>
            <w:hideMark/>
          </w:tcPr>
          <w:p w:rsidR="00E0614F" w:rsidRPr="00E0614F" w:rsidRDefault="00E0614F" w:rsidP="00E061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1.45</w:t>
            </w:r>
          </w:p>
        </w:tc>
        <w:tc>
          <w:tcPr>
            <w:tcW w:w="1180" w:type="dxa"/>
            <w:noWrap/>
            <w:hideMark/>
          </w:tcPr>
          <w:p w:rsidR="00E0614F" w:rsidRPr="00E0614F" w:rsidRDefault="00E0614F" w:rsidP="00E061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1.31</w:t>
            </w:r>
          </w:p>
        </w:tc>
        <w:tc>
          <w:tcPr>
            <w:tcW w:w="1180" w:type="dxa"/>
            <w:noWrap/>
            <w:hideMark/>
          </w:tcPr>
          <w:p w:rsidR="00E0614F" w:rsidRPr="00E0614F" w:rsidRDefault="00E0614F" w:rsidP="00E061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1.18</w:t>
            </w:r>
          </w:p>
        </w:tc>
      </w:tr>
      <w:tr w:rsidR="00E0614F" w:rsidRPr="00E0614F" w:rsidTr="00E0614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80" w:type="dxa"/>
            <w:noWrap/>
            <w:hideMark/>
          </w:tcPr>
          <w:p w:rsidR="00E0614F" w:rsidRPr="00E0614F" w:rsidRDefault="00E0614F" w:rsidP="00E0614F">
            <w:pPr>
              <w:spacing w:after="0" w:line="240" w:lineRule="auto"/>
              <w:jc w:val="center"/>
              <w:rPr>
                <w:rFonts w:ascii="Times New Roman" w:eastAsia="Times New Roman" w:hAnsi="Times New Roman"/>
                <w:color w:val="000000"/>
                <w:szCs w:val="24"/>
              </w:rPr>
            </w:pPr>
            <w:r w:rsidRPr="00E0614F">
              <w:rPr>
                <w:rFonts w:ascii="Times New Roman" w:eastAsia="Times New Roman" w:hAnsi="Times New Roman"/>
                <w:color w:val="000000"/>
                <w:szCs w:val="24"/>
              </w:rPr>
              <w:t>regular</w:t>
            </w:r>
          </w:p>
        </w:tc>
        <w:tc>
          <w:tcPr>
            <w:tcW w:w="1120" w:type="dxa"/>
            <w:noWrap/>
            <w:hideMark/>
          </w:tcPr>
          <w:p w:rsidR="00E0614F" w:rsidRPr="00E0614F" w:rsidRDefault="00E0614F" w:rsidP="00E06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Cs w:val="24"/>
              </w:rPr>
            </w:pPr>
            <w:r w:rsidRPr="00E0614F">
              <w:rPr>
                <w:rFonts w:ascii="Calibri" w:eastAsia="Times New Roman" w:hAnsi="Calibri"/>
                <w:color w:val="000000"/>
                <w:szCs w:val="24"/>
              </w:rPr>
              <w:t>Pesimista</w:t>
            </w:r>
          </w:p>
        </w:tc>
        <w:tc>
          <w:tcPr>
            <w:tcW w:w="1180" w:type="dxa"/>
            <w:noWrap/>
            <w:hideMark/>
          </w:tcPr>
          <w:p w:rsidR="00E0614F" w:rsidRPr="00E0614F" w:rsidRDefault="00E0614F" w:rsidP="00E06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1.04</w:t>
            </w:r>
          </w:p>
        </w:tc>
        <w:tc>
          <w:tcPr>
            <w:tcW w:w="1180" w:type="dxa"/>
            <w:noWrap/>
            <w:hideMark/>
          </w:tcPr>
          <w:p w:rsidR="00E0614F" w:rsidRPr="00E0614F" w:rsidRDefault="00E0614F" w:rsidP="00E06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0.95</w:t>
            </w:r>
          </w:p>
        </w:tc>
        <w:tc>
          <w:tcPr>
            <w:tcW w:w="1180" w:type="dxa"/>
            <w:noWrap/>
            <w:hideMark/>
          </w:tcPr>
          <w:p w:rsidR="00E0614F" w:rsidRPr="00E0614F" w:rsidRDefault="00E0614F" w:rsidP="00E06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0.86</w:t>
            </w:r>
          </w:p>
        </w:tc>
        <w:tc>
          <w:tcPr>
            <w:tcW w:w="1180" w:type="dxa"/>
            <w:noWrap/>
            <w:hideMark/>
          </w:tcPr>
          <w:p w:rsidR="00E0614F" w:rsidRPr="00E0614F" w:rsidRDefault="00E0614F" w:rsidP="00E06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0.78</w:t>
            </w:r>
          </w:p>
        </w:tc>
      </w:tr>
      <w:tr w:rsidR="00E0614F" w:rsidRPr="00E0614F" w:rsidTr="00E0614F">
        <w:trPr>
          <w:trHeight w:val="315"/>
        </w:trPr>
        <w:tc>
          <w:tcPr>
            <w:cnfStyle w:val="001000000000" w:firstRow="0" w:lastRow="0" w:firstColumn="1" w:lastColumn="0" w:oddVBand="0" w:evenVBand="0" w:oddHBand="0" w:evenHBand="0" w:firstRowFirstColumn="0" w:firstRowLastColumn="0" w:lastRowFirstColumn="0" w:lastRowLastColumn="0"/>
            <w:tcW w:w="1580" w:type="dxa"/>
            <w:noWrap/>
            <w:hideMark/>
          </w:tcPr>
          <w:p w:rsidR="00E0614F" w:rsidRPr="00E0614F" w:rsidRDefault="00E0614F" w:rsidP="00E0614F">
            <w:pPr>
              <w:spacing w:after="0" w:line="240" w:lineRule="auto"/>
              <w:jc w:val="center"/>
              <w:rPr>
                <w:rFonts w:ascii="Times New Roman" w:eastAsia="Times New Roman" w:hAnsi="Times New Roman"/>
                <w:color w:val="000000"/>
                <w:szCs w:val="24"/>
              </w:rPr>
            </w:pPr>
            <w:r w:rsidRPr="00E0614F">
              <w:rPr>
                <w:rFonts w:ascii="Times New Roman" w:eastAsia="Times New Roman" w:hAnsi="Times New Roman"/>
                <w:color w:val="000000"/>
                <w:szCs w:val="24"/>
              </w:rPr>
              <w:t> </w:t>
            </w:r>
          </w:p>
        </w:tc>
        <w:tc>
          <w:tcPr>
            <w:tcW w:w="1120" w:type="dxa"/>
            <w:noWrap/>
            <w:hideMark/>
          </w:tcPr>
          <w:p w:rsidR="00E0614F" w:rsidRPr="00E0614F" w:rsidRDefault="00E0614F" w:rsidP="00E06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Cs w:val="24"/>
              </w:rPr>
            </w:pPr>
            <w:r w:rsidRPr="00E0614F">
              <w:rPr>
                <w:rFonts w:ascii="Calibri" w:eastAsia="Times New Roman" w:hAnsi="Calibri"/>
                <w:color w:val="000000"/>
                <w:szCs w:val="24"/>
              </w:rPr>
              <w:t>Medio</w:t>
            </w:r>
          </w:p>
        </w:tc>
        <w:tc>
          <w:tcPr>
            <w:tcW w:w="1180" w:type="dxa"/>
            <w:noWrap/>
            <w:hideMark/>
          </w:tcPr>
          <w:p w:rsidR="00E0614F" w:rsidRPr="00E0614F" w:rsidRDefault="00E0614F" w:rsidP="00E061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1.43</w:t>
            </w:r>
          </w:p>
        </w:tc>
        <w:tc>
          <w:tcPr>
            <w:tcW w:w="1180" w:type="dxa"/>
            <w:noWrap/>
            <w:hideMark/>
          </w:tcPr>
          <w:p w:rsidR="00E0614F" w:rsidRPr="00E0614F" w:rsidRDefault="00E0614F" w:rsidP="00E061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E95B43">
              <w:rPr>
                <w:rFonts w:ascii="Times New Roman" w:eastAsia="Times New Roman" w:hAnsi="Times New Roman"/>
                <w:color w:val="000000"/>
                <w:szCs w:val="24"/>
              </w:rPr>
              <w:t>1.30</w:t>
            </w:r>
          </w:p>
        </w:tc>
        <w:tc>
          <w:tcPr>
            <w:tcW w:w="1180" w:type="dxa"/>
            <w:noWrap/>
            <w:hideMark/>
          </w:tcPr>
          <w:p w:rsidR="00E0614F" w:rsidRPr="00E0614F" w:rsidRDefault="00E0614F" w:rsidP="00E061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1.18</w:t>
            </w:r>
          </w:p>
        </w:tc>
        <w:tc>
          <w:tcPr>
            <w:tcW w:w="1180" w:type="dxa"/>
            <w:noWrap/>
            <w:hideMark/>
          </w:tcPr>
          <w:p w:rsidR="00E0614F" w:rsidRPr="00E0614F" w:rsidRDefault="00E0614F" w:rsidP="00E061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1.07</w:t>
            </w:r>
          </w:p>
        </w:tc>
      </w:tr>
      <w:tr w:rsidR="00E0614F" w:rsidRPr="00E0614F" w:rsidTr="00E0614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80" w:type="dxa"/>
            <w:noWrap/>
            <w:hideMark/>
          </w:tcPr>
          <w:p w:rsidR="00E0614F" w:rsidRPr="00E0614F" w:rsidRDefault="00E0614F" w:rsidP="00E0614F">
            <w:pPr>
              <w:spacing w:after="0" w:line="240" w:lineRule="auto"/>
              <w:jc w:val="center"/>
              <w:rPr>
                <w:rFonts w:ascii="Times New Roman" w:eastAsia="Times New Roman" w:hAnsi="Times New Roman"/>
                <w:color w:val="000000"/>
                <w:szCs w:val="24"/>
              </w:rPr>
            </w:pPr>
            <w:r w:rsidRPr="00E0614F">
              <w:rPr>
                <w:rFonts w:ascii="Times New Roman" w:eastAsia="Times New Roman" w:hAnsi="Times New Roman"/>
                <w:color w:val="000000"/>
                <w:szCs w:val="24"/>
              </w:rPr>
              <w:t> </w:t>
            </w:r>
          </w:p>
        </w:tc>
        <w:tc>
          <w:tcPr>
            <w:tcW w:w="1120" w:type="dxa"/>
            <w:noWrap/>
            <w:hideMark/>
          </w:tcPr>
          <w:p w:rsidR="00E0614F" w:rsidRPr="00E0614F" w:rsidRDefault="00E0614F" w:rsidP="00E06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Cs w:val="24"/>
              </w:rPr>
            </w:pPr>
            <w:r w:rsidRPr="00E0614F">
              <w:rPr>
                <w:rFonts w:ascii="Calibri" w:eastAsia="Times New Roman" w:hAnsi="Calibri"/>
                <w:color w:val="000000"/>
                <w:szCs w:val="24"/>
              </w:rPr>
              <w:t>Optimista</w:t>
            </w:r>
          </w:p>
        </w:tc>
        <w:tc>
          <w:tcPr>
            <w:tcW w:w="1180" w:type="dxa"/>
            <w:noWrap/>
            <w:hideMark/>
          </w:tcPr>
          <w:p w:rsidR="00E0614F" w:rsidRPr="00E0614F" w:rsidRDefault="00E0614F" w:rsidP="00E06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1.81</w:t>
            </w:r>
          </w:p>
        </w:tc>
        <w:tc>
          <w:tcPr>
            <w:tcW w:w="1180" w:type="dxa"/>
            <w:noWrap/>
            <w:hideMark/>
          </w:tcPr>
          <w:p w:rsidR="00E0614F" w:rsidRPr="00E0614F" w:rsidRDefault="00E0614F" w:rsidP="00E06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1.65</w:t>
            </w:r>
          </w:p>
        </w:tc>
        <w:tc>
          <w:tcPr>
            <w:tcW w:w="1180" w:type="dxa"/>
            <w:noWrap/>
            <w:hideMark/>
          </w:tcPr>
          <w:p w:rsidR="00E0614F" w:rsidRPr="00E0614F" w:rsidRDefault="00E0614F" w:rsidP="00E06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1.50</w:t>
            </w:r>
          </w:p>
        </w:tc>
        <w:tc>
          <w:tcPr>
            <w:tcW w:w="1180" w:type="dxa"/>
            <w:noWrap/>
            <w:hideMark/>
          </w:tcPr>
          <w:p w:rsidR="00E0614F" w:rsidRPr="00E0614F" w:rsidRDefault="00E0614F" w:rsidP="00E06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1.37</w:t>
            </w:r>
          </w:p>
        </w:tc>
      </w:tr>
      <w:tr w:rsidR="00E0614F" w:rsidRPr="00E0614F" w:rsidTr="00E0614F">
        <w:trPr>
          <w:trHeight w:val="315"/>
        </w:trPr>
        <w:tc>
          <w:tcPr>
            <w:cnfStyle w:val="001000000000" w:firstRow="0" w:lastRow="0" w:firstColumn="1" w:lastColumn="0" w:oddVBand="0" w:evenVBand="0" w:oddHBand="0" w:evenHBand="0" w:firstRowFirstColumn="0" w:firstRowLastColumn="0" w:lastRowFirstColumn="0" w:lastRowLastColumn="0"/>
            <w:tcW w:w="1580" w:type="dxa"/>
            <w:noWrap/>
            <w:hideMark/>
          </w:tcPr>
          <w:p w:rsidR="00E0614F" w:rsidRPr="00E0614F" w:rsidRDefault="00E0614F" w:rsidP="00E0614F">
            <w:pPr>
              <w:spacing w:after="0" w:line="240" w:lineRule="auto"/>
              <w:jc w:val="center"/>
              <w:rPr>
                <w:rFonts w:ascii="Times New Roman" w:eastAsia="Times New Roman" w:hAnsi="Times New Roman"/>
                <w:color w:val="000000"/>
                <w:szCs w:val="24"/>
              </w:rPr>
            </w:pPr>
            <w:r w:rsidRPr="00E0614F">
              <w:rPr>
                <w:rFonts w:ascii="Times New Roman" w:eastAsia="Times New Roman" w:hAnsi="Times New Roman"/>
                <w:color w:val="000000"/>
                <w:szCs w:val="24"/>
              </w:rPr>
              <w:t>rápido</w:t>
            </w:r>
          </w:p>
        </w:tc>
        <w:tc>
          <w:tcPr>
            <w:tcW w:w="1120" w:type="dxa"/>
            <w:noWrap/>
            <w:hideMark/>
          </w:tcPr>
          <w:p w:rsidR="00E0614F" w:rsidRPr="00E0614F" w:rsidRDefault="00E0614F" w:rsidP="00E06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Cs w:val="24"/>
              </w:rPr>
            </w:pPr>
            <w:r w:rsidRPr="00E0614F">
              <w:rPr>
                <w:rFonts w:ascii="Calibri" w:eastAsia="Times New Roman" w:hAnsi="Calibri"/>
                <w:color w:val="000000"/>
                <w:szCs w:val="24"/>
              </w:rPr>
              <w:t>Pesimista</w:t>
            </w:r>
          </w:p>
        </w:tc>
        <w:tc>
          <w:tcPr>
            <w:tcW w:w="1180" w:type="dxa"/>
            <w:noWrap/>
            <w:hideMark/>
          </w:tcPr>
          <w:p w:rsidR="00E0614F" w:rsidRPr="00E0614F" w:rsidRDefault="00E0614F" w:rsidP="00E061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1.53</w:t>
            </w:r>
          </w:p>
        </w:tc>
        <w:tc>
          <w:tcPr>
            <w:tcW w:w="1180" w:type="dxa"/>
            <w:noWrap/>
            <w:hideMark/>
          </w:tcPr>
          <w:p w:rsidR="00E0614F" w:rsidRPr="00E0614F" w:rsidRDefault="00E0614F" w:rsidP="00E061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1.40</w:t>
            </w:r>
          </w:p>
        </w:tc>
        <w:tc>
          <w:tcPr>
            <w:tcW w:w="1180" w:type="dxa"/>
            <w:noWrap/>
            <w:hideMark/>
          </w:tcPr>
          <w:p w:rsidR="00E0614F" w:rsidRPr="00E0614F" w:rsidRDefault="00E0614F" w:rsidP="00E061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1.28</w:t>
            </w:r>
          </w:p>
        </w:tc>
        <w:tc>
          <w:tcPr>
            <w:tcW w:w="1180" w:type="dxa"/>
            <w:noWrap/>
            <w:hideMark/>
          </w:tcPr>
          <w:p w:rsidR="00E0614F" w:rsidRPr="00E0614F" w:rsidRDefault="00E0614F" w:rsidP="00E061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1.16</w:t>
            </w:r>
          </w:p>
        </w:tc>
      </w:tr>
      <w:tr w:rsidR="00E0614F" w:rsidRPr="00E0614F" w:rsidTr="00E0614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80" w:type="dxa"/>
            <w:noWrap/>
            <w:hideMark/>
          </w:tcPr>
          <w:p w:rsidR="00E0614F" w:rsidRPr="00E0614F" w:rsidRDefault="00E0614F" w:rsidP="00E0614F">
            <w:pPr>
              <w:spacing w:after="0" w:line="240" w:lineRule="auto"/>
              <w:jc w:val="center"/>
              <w:rPr>
                <w:rFonts w:ascii="Times New Roman" w:eastAsia="Times New Roman" w:hAnsi="Times New Roman"/>
                <w:color w:val="000000"/>
                <w:szCs w:val="24"/>
              </w:rPr>
            </w:pPr>
            <w:r w:rsidRPr="00E0614F">
              <w:rPr>
                <w:rFonts w:ascii="Times New Roman" w:eastAsia="Times New Roman" w:hAnsi="Times New Roman"/>
                <w:color w:val="000000"/>
                <w:szCs w:val="24"/>
              </w:rPr>
              <w:t> </w:t>
            </w:r>
          </w:p>
        </w:tc>
        <w:tc>
          <w:tcPr>
            <w:tcW w:w="1120" w:type="dxa"/>
            <w:noWrap/>
            <w:hideMark/>
          </w:tcPr>
          <w:p w:rsidR="00E0614F" w:rsidRPr="00E0614F" w:rsidRDefault="00E0614F" w:rsidP="00E06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Cs w:val="24"/>
              </w:rPr>
            </w:pPr>
            <w:r w:rsidRPr="00E0614F">
              <w:rPr>
                <w:rFonts w:ascii="Calibri" w:eastAsia="Times New Roman" w:hAnsi="Calibri"/>
                <w:color w:val="000000"/>
                <w:szCs w:val="24"/>
              </w:rPr>
              <w:t>Medio</w:t>
            </w:r>
          </w:p>
        </w:tc>
        <w:tc>
          <w:tcPr>
            <w:tcW w:w="1180" w:type="dxa"/>
            <w:noWrap/>
            <w:hideMark/>
          </w:tcPr>
          <w:p w:rsidR="00E0614F" w:rsidRPr="00E0614F" w:rsidRDefault="00E0614F" w:rsidP="00E06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2.10</w:t>
            </w:r>
          </w:p>
        </w:tc>
        <w:tc>
          <w:tcPr>
            <w:tcW w:w="1180" w:type="dxa"/>
            <w:noWrap/>
            <w:hideMark/>
          </w:tcPr>
          <w:p w:rsidR="00E0614F" w:rsidRPr="00E0614F" w:rsidRDefault="00E0614F" w:rsidP="00E06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1.92</w:t>
            </w:r>
          </w:p>
        </w:tc>
        <w:tc>
          <w:tcPr>
            <w:tcW w:w="1180" w:type="dxa"/>
            <w:noWrap/>
            <w:hideMark/>
          </w:tcPr>
          <w:p w:rsidR="00E0614F" w:rsidRPr="00E0614F" w:rsidRDefault="00E0614F" w:rsidP="00E06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1.75</w:t>
            </w:r>
          </w:p>
        </w:tc>
        <w:tc>
          <w:tcPr>
            <w:tcW w:w="1180" w:type="dxa"/>
            <w:noWrap/>
            <w:hideMark/>
          </w:tcPr>
          <w:p w:rsidR="00E0614F" w:rsidRPr="00E0614F" w:rsidRDefault="00E0614F" w:rsidP="00E061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1.59</w:t>
            </w:r>
          </w:p>
        </w:tc>
      </w:tr>
      <w:tr w:rsidR="00E0614F" w:rsidRPr="00E0614F" w:rsidTr="00E0614F">
        <w:trPr>
          <w:trHeight w:val="315"/>
        </w:trPr>
        <w:tc>
          <w:tcPr>
            <w:cnfStyle w:val="001000000000" w:firstRow="0" w:lastRow="0" w:firstColumn="1" w:lastColumn="0" w:oddVBand="0" w:evenVBand="0" w:oddHBand="0" w:evenHBand="0" w:firstRowFirstColumn="0" w:firstRowLastColumn="0" w:lastRowFirstColumn="0" w:lastRowLastColumn="0"/>
            <w:tcW w:w="1580" w:type="dxa"/>
            <w:noWrap/>
            <w:hideMark/>
          </w:tcPr>
          <w:p w:rsidR="00E0614F" w:rsidRPr="00E0614F" w:rsidRDefault="00E0614F" w:rsidP="00E0614F">
            <w:pPr>
              <w:spacing w:after="0" w:line="240" w:lineRule="auto"/>
              <w:jc w:val="center"/>
              <w:rPr>
                <w:rFonts w:ascii="Times New Roman" w:eastAsia="Times New Roman" w:hAnsi="Times New Roman"/>
                <w:color w:val="000000"/>
                <w:szCs w:val="24"/>
              </w:rPr>
            </w:pPr>
            <w:r w:rsidRPr="00E0614F">
              <w:rPr>
                <w:rFonts w:ascii="Times New Roman" w:eastAsia="Times New Roman" w:hAnsi="Times New Roman"/>
                <w:color w:val="000000"/>
                <w:szCs w:val="24"/>
              </w:rPr>
              <w:t> </w:t>
            </w:r>
          </w:p>
        </w:tc>
        <w:tc>
          <w:tcPr>
            <w:tcW w:w="1120" w:type="dxa"/>
            <w:noWrap/>
            <w:hideMark/>
          </w:tcPr>
          <w:p w:rsidR="00E0614F" w:rsidRPr="00E0614F" w:rsidRDefault="00E0614F" w:rsidP="00E06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Cs w:val="24"/>
              </w:rPr>
            </w:pPr>
            <w:r w:rsidRPr="00E0614F">
              <w:rPr>
                <w:rFonts w:ascii="Calibri" w:eastAsia="Times New Roman" w:hAnsi="Calibri"/>
                <w:color w:val="000000"/>
                <w:szCs w:val="24"/>
              </w:rPr>
              <w:t>Optimista</w:t>
            </w:r>
          </w:p>
        </w:tc>
        <w:tc>
          <w:tcPr>
            <w:tcW w:w="1180" w:type="dxa"/>
            <w:noWrap/>
            <w:hideMark/>
          </w:tcPr>
          <w:p w:rsidR="00E0614F" w:rsidRPr="00E0614F" w:rsidRDefault="00E0614F" w:rsidP="00E061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2.66</w:t>
            </w:r>
          </w:p>
        </w:tc>
        <w:tc>
          <w:tcPr>
            <w:tcW w:w="1180" w:type="dxa"/>
            <w:noWrap/>
            <w:hideMark/>
          </w:tcPr>
          <w:p w:rsidR="00E0614F" w:rsidRPr="00E0614F" w:rsidRDefault="00E0614F" w:rsidP="00E061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2.44</w:t>
            </w:r>
          </w:p>
        </w:tc>
        <w:tc>
          <w:tcPr>
            <w:tcW w:w="1180" w:type="dxa"/>
            <w:noWrap/>
            <w:hideMark/>
          </w:tcPr>
          <w:p w:rsidR="00E0614F" w:rsidRPr="00E0614F" w:rsidRDefault="00E0614F" w:rsidP="00E061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2.22</w:t>
            </w:r>
          </w:p>
        </w:tc>
        <w:tc>
          <w:tcPr>
            <w:tcW w:w="1180" w:type="dxa"/>
            <w:noWrap/>
            <w:hideMark/>
          </w:tcPr>
          <w:p w:rsidR="00E0614F" w:rsidRPr="00E0614F" w:rsidRDefault="00E0614F" w:rsidP="00E061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E0614F">
              <w:rPr>
                <w:rFonts w:ascii="Times New Roman" w:eastAsia="Times New Roman" w:hAnsi="Times New Roman"/>
                <w:color w:val="000000"/>
                <w:szCs w:val="24"/>
              </w:rPr>
              <w:t>2.02</w:t>
            </w:r>
          </w:p>
        </w:tc>
      </w:tr>
    </w:tbl>
    <w:p w:rsidR="00E0614F" w:rsidRDefault="00E0614F" w:rsidP="00800447">
      <w:pPr>
        <w:autoSpaceDE w:val="0"/>
        <w:autoSpaceDN w:val="0"/>
        <w:adjustRightInd w:val="0"/>
        <w:spacing w:after="0" w:line="240" w:lineRule="auto"/>
        <w:jc w:val="both"/>
        <w:rPr>
          <w:rFonts w:cs="Arial"/>
          <w:sz w:val="18"/>
          <w:szCs w:val="18"/>
          <w:lang w:val="es-ES"/>
        </w:rPr>
      </w:pPr>
    </w:p>
    <w:p w:rsidR="00E0614F" w:rsidRDefault="00E0614F" w:rsidP="00800447">
      <w:pPr>
        <w:autoSpaceDE w:val="0"/>
        <w:autoSpaceDN w:val="0"/>
        <w:adjustRightInd w:val="0"/>
        <w:spacing w:after="0" w:line="240" w:lineRule="auto"/>
        <w:jc w:val="both"/>
        <w:rPr>
          <w:rFonts w:cs="Arial"/>
          <w:sz w:val="18"/>
          <w:szCs w:val="18"/>
          <w:lang w:val="es-ES"/>
        </w:rPr>
      </w:pPr>
    </w:p>
    <w:p w:rsidR="00E0614F" w:rsidRDefault="00E0614F" w:rsidP="00800447">
      <w:pPr>
        <w:autoSpaceDE w:val="0"/>
        <w:autoSpaceDN w:val="0"/>
        <w:adjustRightInd w:val="0"/>
        <w:spacing w:after="0" w:line="240" w:lineRule="auto"/>
        <w:jc w:val="both"/>
        <w:rPr>
          <w:rFonts w:cs="Arial"/>
          <w:sz w:val="18"/>
          <w:szCs w:val="18"/>
          <w:lang w:val="es-ES"/>
        </w:rPr>
      </w:pPr>
    </w:p>
    <w:p w:rsidR="00800447" w:rsidRPr="00FE26CF" w:rsidRDefault="00800447" w:rsidP="00800447">
      <w:pPr>
        <w:autoSpaceDE w:val="0"/>
        <w:autoSpaceDN w:val="0"/>
        <w:adjustRightInd w:val="0"/>
        <w:spacing w:after="0" w:line="240" w:lineRule="auto"/>
        <w:jc w:val="both"/>
        <w:rPr>
          <w:rFonts w:cs="Arial"/>
          <w:sz w:val="18"/>
          <w:szCs w:val="18"/>
          <w:lang w:val="es-ES"/>
        </w:rPr>
      </w:pPr>
      <w:r w:rsidRPr="00FE26CF">
        <w:rPr>
          <w:rFonts w:cs="Arial"/>
          <w:sz w:val="18"/>
          <w:szCs w:val="18"/>
          <w:lang w:val="es-ES"/>
        </w:rPr>
        <w:t>Fuente: Elaboración de los autores.</w:t>
      </w:r>
    </w:p>
    <w:p w:rsidR="003F5306" w:rsidRPr="00FE26CF" w:rsidRDefault="003F5306">
      <w:pPr>
        <w:spacing w:after="0" w:line="240" w:lineRule="auto"/>
        <w:rPr>
          <w:rFonts w:cs="Arial"/>
          <w:szCs w:val="24"/>
          <w:lang w:val="es-ES"/>
        </w:rPr>
      </w:pPr>
      <w:r w:rsidRPr="00FE26CF">
        <w:rPr>
          <w:rFonts w:cs="Arial"/>
          <w:szCs w:val="24"/>
          <w:lang w:val="es-ES"/>
        </w:rPr>
        <w:br w:type="page"/>
      </w:r>
    </w:p>
    <w:p w:rsidR="003A0546" w:rsidRPr="00FE26CF" w:rsidRDefault="00CD308E">
      <w:pPr>
        <w:spacing w:after="0" w:line="240" w:lineRule="auto"/>
        <w:rPr>
          <w:rFonts w:cs="Arial"/>
          <w:sz w:val="22"/>
          <w:lang w:val="es-ES"/>
        </w:rPr>
      </w:pPr>
      <w:r w:rsidRPr="00FE26CF">
        <w:rPr>
          <w:rFonts w:cs="Arial"/>
          <w:sz w:val="22"/>
          <w:lang w:val="es-ES"/>
        </w:rPr>
        <w:lastRenderedPageBreak/>
        <w:t>Si bien el proyecto no plantea como método de evaluación el análisis económico ex post, destaca que los indicadores de impacto y resultados finales incluidos en la matriz de resultados son consistentes con los resultados esperados y que sirven como insumo  al análisis económico, pues los DALYs que se ahorran como resultado de la intervención provienen justamente de los indicadores planteados:</w:t>
      </w:r>
    </w:p>
    <w:p w:rsidR="00CD308E" w:rsidRPr="00FE26CF" w:rsidRDefault="00CD308E">
      <w:pPr>
        <w:spacing w:after="0" w:line="240" w:lineRule="auto"/>
        <w:rPr>
          <w:rFonts w:cs="Arial"/>
          <w:sz w:val="22"/>
          <w:lang w:val="es-ES"/>
        </w:rPr>
      </w:pPr>
    </w:p>
    <w:p w:rsidR="00CD308E" w:rsidRPr="00FE26CF" w:rsidRDefault="00CD308E" w:rsidP="00CD308E">
      <w:pPr>
        <w:pStyle w:val="ListParagraph"/>
        <w:numPr>
          <w:ilvl w:val="0"/>
          <w:numId w:val="36"/>
        </w:numPr>
        <w:spacing w:after="0" w:line="240" w:lineRule="auto"/>
        <w:rPr>
          <w:rFonts w:ascii="Arial" w:hAnsi="Arial" w:cs="Arial"/>
          <w:lang w:val="es-ES"/>
        </w:rPr>
      </w:pPr>
      <w:r w:rsidRPr="00FE26CF">
        <w:rPr>
          <w:rFonts w:ascii="Arial" w:hAnsi="Arial" w:cs="Arial"/>
          <w:lang w:val="es-ES"/>
        </w:rPr>
        <w:t>Porcentaje de internaciones por condiciones sensibles a atención básica</w:t>
      </w:r>
    </w:p>
    <w:p w:rsidR="00CD308E" w:rsidRPr="00FE26CF" w:rsidRDefault="00CD308E" w:rsidP="00CD308E">
      <w:pPr>
        <w:pStyle w:val="ListParagraph"/>
        <w:numPr>
          <w:ilvl w:val="0"/>
          <w:numId w:val="36"/>
        </w:numPr>
        <w:spacing w:after="0" w:line="240" w:lineRule="auto"/>
        <w:rPr>
          <w:rFonts w:ascii="Arial" w:hAnsi="Arial" w:cs="Arial"/>
          <w:lang w:val="es-ES"/>
        </w:rPr>
      </w:pPr>
      <w:r w:rsidRPr="00FE26CF">
        <w:rPr>
          <w:rFonts w:ascii="Arial" w:hAnsi="Arial" w:cs="Arial"/>
          <w:lang w:val="es-ES"/>
        </w:rPr>
        <w:t>Tasa de mortalidad prematura por Diabetes Melliutus</w:t>
      </w:r>
    </w:p>
    <w:p w:rsidR="00CD308E" w:rsidRPr="00FE26CF" w:rsidRDefault="00CD308E" w:rsidP="00CD308E">
      <w:pPr>
        <w:pStyle w:val="ListParagraph"/>
        <w:numPr>
          <w:ilvl w:val="0"/>
          <w:numId w:val="36"/>
        </w:numPr>
        <w:spacing w:after="0" w:line="240" w:lineRule="auto"/>
        <w:rPr>
          <w:rFonts w:ascii="Arial" w:hAnsi="Arial" w:cs="Arial"/>
          <w:lang w:val="es-ES"/>
        </w:rPr>
      </w:pPr>
      <w:r w:rsidRPr="00FE26CF">
        <w:rPr>
          <w:rFonts w:ascii="Arial" w:hAnsi="Arial" w:cs="Arial"/>
          <w:lang w:val="es-ES"/>
        </w:rPr>
        <w:t>Tasa de mortalidad prematura por accidentes cerebro vasculares</w:t>
      </w:r>
    </w:p>
    <w:p w:rsidR="00CD308E" w:rsidRPr="00FE26CF" w:rsidRDefault="00CD308E" w:rsidP="00CD308E">
      <w:pPr>
        <w:pStyle w:val="ListParagraph"/>
        <w:numPr>
          <w:ilvl w:val="0"/>
          <w:numId w:val="36"/>
        </w:numPr>
        <w:spacing w:after="0" w:line="240" w:lineRule="auto"/>
        <w:rPr>
          <w:rFonts w:ascii="Arial" w:hAnsi="Arial" w:cs="Arial"/>
          <w:lang w:val="es-ES"/>
        </w:rPr>
      </w:pPr>
      <w:r w:rsidRPr="00FE26CF">
        <w:rPr>
          <w:rFonts w:ascii="Arial" w:hAnsi="Arial" w:cs="Arial"/>
          <w:lang w:val="es-ES"/>
        </w:rPr>
        <w:t>Tasa anual de hospitalizaciones por Diabetes Mellitus y sus complicaciones en la población de 30 a 59 años de edad, residente en Ceará</w:t>
      </w:r>
    </w:p>
    <w:p w:rsidR="00CD308E" w:rsidRPr="00FE26CF" w:rsidRDefault="00CD308E" w:rsidP="00CD308E">
      <w:pPr>
        <w:pStyle w:val="ListParagraph"/>
        <w:numPr>
          <w:ilvl w:val="0"/>
          <w:numId w:val="36"/>
        </w:numPr>
        <w:spacing w:after="0" w:line="240" w:lineRule="auto"/>
        <w:rPr>
          <w:rFonts w:ascii="Arial" w:hAnsi="Arial" w:cs="Arial"/>
          <w:lang w:val="es-ES"/>
        </w:rPr>
      </w:pPr>
      <w:r w:rsidRPr="00FE26CF">
        <w:rPr>
          <w:rFonts w:ascii="Arial" w:hAnsi="Arial" w:cs="Arial"/>
          <w:lang w:val="es-ES"/>
        </w:rPr>
        <w:t>Porcentaje de embarazadas diagnositcadas con sífilis que reciben tratamiento en el primer trimestre de embarazo</w:t>
      </w:r>
    </w:p>
    <w:p w:rsidR="00CD308E" w:rsidRPr="00FE26CF" w:rsidRDefault="00CD308E" w:rsidP="00CD308E">
      <w:pPr>
        <w:pStyle w:val="ListParagraph"/>
        <w:numPr>
          <w:ilvl w:val="0"/>
          <w:numId w:val="36"/>
        </w:numPr>
        <w:spacing w:after="0" w:line="240" w:lineRule="auto"/>
        <w:rPr>
          <w:rFonts w:ascii="Arial" w:hAnsi="Arial" w:cs="Arial"/>
          <w:lang w:val="es-ES"/>
        </w:rPr>
      </w:pPr>
      <w:r w:rsidRPr="00FE26CF">
        <w:rPr>
          <w:rFonts w:ascii="Arial" w:hAnsi="Arial" w:cs="Arial"/>
          <w:lang w:val="es-ES"/>
        </w:rPr>
        <w:t xml:space="preserve">Porcentaje de consultas especializadas de atención prenatal en embarazos de riesgo realizadas en relación a las programadas  </w:t>
      </w:r>
    </w:p>
    <w:p w:rsidR="00CD308E" w:rsidRPr="00FE26CF" w:rsidRDefault="00CD308E" w:rsidP="00CD308E">
      <w:pPr>
        <w:pStyle w:val="ListParagraph"/>
        <w:numPr>
          <w:ilvl w:val="0"/>
          <w:numId w:val="36"/>
        </w:numPr>
        <w:spacing w:after="0" w:line="240" w:lineRule="auto"/>
        <w:rPr>
          <w:rFonts w:ascii="Arial" w:hAnsi="Arial" w:cs="Arial"/>
          <w:lang w:val="es-ES"/>
        </w:rPr>
      </w:pPr>
      <w:r w:rsidRPr="00FE26CF">
        <w:rPr>
          <w:rFonts w:ascii="Arial" w:hAnsi="Arial" w:cs="Arial"/>
          <w:lang w:val="es-ES"/>
        </w:rPr>
        <w:t>Porcentaje de partos de riesgo realizados en la macro región de origen de la embarazada</w:t>
      </w:r>
    </w:p>
    <w:p w:rsidR="00CD308E" w:rsidRPr="00FE26CF" w:rsidRDefault="00CD308E">
      <w:pPr>
        <w:spacing w:after="0" w:line="240" w:lineRule="auto"/>
        <w:rPr>
          <w:rFonts w:cs="Arial"/>
          <w:szCs w:val="24"/>
          <w:lang w:val="es-ES"/>
        </w:rPr>
      </w:pPr>
    </w:p>
    <w:p w:rsidR="00CD308E" w:rsidRPr="00FE26CF" w:rsidRDefault="00CD308E">
      <w:pPr>
        <w:spacing w:after="0" w:line="240" w:lineRule="auto"/>
        <w:rPr>
          <w:rFonts w:cs="Arial"/>
          <w:szCs w:val="24"/>
          <w:lang w:val="es-ES"/>
        </w:rPr>
      </w:pPr>
      <w:r w:rsidRPr="00FE26CF">
        <w:rPr>
          <w:rFonts w:cs="Arial"/>
          <w:szCs w:val="24"/>
          <w:lang w:val="es-ES"/>
        </w:rPr>
        <w:br w:type="page"/>
      </w:r>
    </w:p>
    <w:p w:rsidR="0023039F" w:rsidRPr="00FE26CF" w:rsidRDefault="002F18E8" w:rsidP="00B956BE">
      <w:pPr>
        <w:pStyle w:val="Heading1"/>
        <w:rPr>
          <w:sz w:val="22"/>
          <w:szCs w:val="22"/>
          <w:lang w:val="es-ES"/>
        </w:rPr>
      </w:pPr>
      <w:bookmarkStart w:id="28" w:name="_Toc296257192"/>
      <w:bookmarkStart w:id="29" w:name="_Toc422838018"/>
      <w:r w:rsidRPr="00FE26CF">
        <w:rPr>
          <w:sz w:val="22"/>
          <w:szCs w:val="22"/>
          <w:lang w:val="es-ES"/>
        </w:rPr>
        <w:lastRenderedPageBreak/>
        <w:t>Referencias</w:t>
      </w:r>
      <w:bookmarkEnd w:id="28"/>
      <w:bookmarkEnd w:id="29"/>
      <w:r w:rsidRPr="00FE26CF">
        <w:rPr>
          <w:sz w:val="22"/>
          <w:szCs w:val="22"/>
          <w:lang w:val="es-ES"/>
        </w:rPr>
        <w:t xml:space="preserve"> </w:t>
      </w:r>
    </w:p>
    <w:p w:rsidR="00616D26" w:rsidRPr="005867C5" w:rsidRDefault="001872C6">
      <w:pPr>
        <w:pStyle w:val="NormalWeb"/>
        <w:ind w:left="480" w:hanging="480"/>
        <w:divId w:val="26416026"/>
        <w:rPr>
          <w:rFonts w:ascii="Arial" w:eastAsiaTheme="minorEastAsia" w:hAnsi="Arial"/>
          <w:noProof/>
          <w:sz w:val="22"/>
          <w:szCs w:val="22"/>
          <w:lang w:val="pt-BR"/>
        </w:rPr>
      </w:pPr>
      <w:r w:rsidRPr="00FE26CF">
        <w:rPr>
          <w:rFonts w:cs="Arial"/>
          <w:sz w:val="22"/>
          <w:szCs w:val="22"/>
          <w:lang w:val="es-ES"/>
        </w:rPr>
        <w:fldChar w:fldCharType="begin" w:fldLock="1"/>
      </w:r>
      <w:r w:rsidRPr="00FE26CF">
        <w:rPr>
          <w:rFonts w:cs="Arial"/>
          <w:sz w:val="22"/>
          <w:szCs w:val="22"/>
          <w:lang w:val="es-ES"/>
        </w:rPr>
        <w:instrText xml:space="preserve">ADDIN Mendeley Bibliography CSL_BIBLIOGRAPHY </w:instrText>
      </w:r>
      <w:r w:rsidRPr="00FE26CF">
        <w:rPr>
          <w:rFonts w:cs="Arial"/>
          <w:sz w:val="22"/>
          <w:szCs w:val="22"/>
          <w:lang w:val="es-ES"/>
        </w:rPr>
        <w:fldChar w:fldCharType="separate"/>
      </w:r>
      <w:r w:rsidR="00616D26" w:rsidRPr="00FE26CF">
        <w:rPr>
          <w:rFonts w:ascii="Arial" w:hAnsi="Arial"/>
          <w:noProof/>
          <w:sz w:val="22"/>
          <w:szCs w:val="22"/>
          <w:lang w:val="es-ES"/>
        </w:rPr>
        <w:t xml:space="preserve">Alvis, Nelson, y María Teresa Valenzuela. 2010. “Los QALYs Y DALYs Como Indicadores Sintéticos de Salud.” </w:t>
      </w:r>
      <w:r w:rsidR="00616D26" w:rsidRPr="005867C5">
        <w:rPr>
          <w:rFonts w:ascii="Arial" w:hAnsi="Arial"/>
          <w:i/>
          <w:iCs/>
          <w:noProof/>
          <w:sz w:val="22"/>
          <w:szCs w:val="22"/>
          <w:lang w:val="pt-BR"/>
        </w:rPr>
        <w:t>Revista Médica de Chile</w:t>
      </w:r>
      <w:r w:rsidR="00616D26" w:rsidRPr="005867C5">
        <w:rPr>
          <w:rFonts w:ascii="Arial" w:hAnsi="Arial"/>
          <w:noProof/>
          <w:sz w:val="22"/>
          <w:szCs w:val="22"/>
          <w:lang w:val="pt-BR"/>
        </w:rPr>
        <w:t xml:space="preserve"> 138 (September). Sociedad Médica de Santiago: 83–87. doi:10.4067/S0034-98872010001000005.</w:t>
      </w:r>
    </w:p>
    <w:p w:rsidR="00616D26" w:rsidRPr="00FE26CF" w:rsidRDefault="00616D26">
      <w:pPr>
        <w:pStyle w:val="NormalWeb"/>
        <w:ind w:left="480" w:hanging="480"/>
        <w:divId w:val="26416026"/>
        <w:rPr>
          <w:rFonts w:ascii="Arial" w:hAnsi="Arial"/>
          <w:noProof/>
          <w:sz w:val="22"/>
          <w:szCs w:val="22"/>
          <w:lang w:val="es-ES"/>
        </w:rPr>
      </w:pPr>
      <w:r w:rsidRPr="005867C5">
        <w:rPr>
          <w:rFonts w:ascii="Arial" w:hAnsi="Arial"/>
          <w:noProof/>
          <w:sz w:val="22"/>
          <w:szCs w:val="22"/>
          <w:lang w:val="pt-BR"/>
        </w:rPr>
        <w:t xml:space="preserve">Berkley, Seth, Christopher J. L. Murray, Robert Hecht, Helen Saxenian, Philip Musgrove, Jee-Peng Tan, Jose-Luis Bobadilla, Kenneth Hill, y Dean T. Jamison. </w:t>
      </w:r>
      <w:r w:rsidRPr="00FE26CF">
        <w:rPr>
          <w:rFonts w:ascii="Arial" w:hAnsi="Arial"/>
          <w:noProof/>
          <w:sz w:val="22"/>
          <w:szCs w:val="22"/>
          <w:lang w:val="es-ES"/>
        </w:rPr>
        <w:t>1993. “Informe sobre el desarrollo mundial 1993 : investir en salud,” July, 1–351. http://documentos.bancomundial.org/curated/es/1993/07/12711504/world-development-report-1993-investing-health-informe-sobre-el-desarrollo-mundial-1993-investir-en-salud.</w:t>
      </w:r>
    </w:p>
    <w:p w:rsidR="00616D26" w:rsidRPr="005867C5" w:rsidRDefault="00616D26">
      <w:pPr>
        <w:pStyle w:val="NormalWeb"/>
        <w:ind w:left="480" w:hanging="480"/>
        <w:divId w:val="26416026"/>
        <w:rPr>
          <w:rFonts w:ascii="Arial" w:hAnsi="Arial"/>
          <w:noProof/>
          <w:sz w:val="22"/>
          <w:szCs w:val="22"/>
        </w:rPr>
      </w:pPr>
      <w:r w:rsidRPr="005867C5">
        <w:rPr>
          <w:rFonts w:ascii="Arial" w:hAnsi="Arial"/>
          <w:noProof/>
          <w:sz w:val="22"/>
          <w:szCs w:val="22"/>
          <w:lang w:val="fr-FR"/>
        </w:rPr>
        <w:t xml:space="preserve">Cecchini, M, F Sassi, y JA Lauer. </w:t>
      </w:r>
      <w:r w:rsidRPr="005867C5">
        <w:rPr>
          <w:rFonts w:ascii="Arial" w:hAnsi="Arial"/>
          <w:noProof/>
          <w:sz w:val="22"/>
          <w:szCs w:val="22"/>
        </w:rPr>
        <w:t xml:space="preserve">2010. “Tackling of Unhealthy Diets, Physical Inactivity, y Obesity: Health Effects y Cost-Effectiveness.” </w:t>
      </w:r>
      <w:r w:rsidRPr="005867C5">
        <w:rPr>
          <w:rFonts w:ascii="Arial" w:hAnsi="Arial"/>
          <w:i/>
          <w:iCs/>
          <w:noProof/>
          <w:sz w:val="22"/>
          <w:szCs w:val="22"/>
        </w:rPr>
        <w:t>The Lancet</w:t>
      </w:r>
      <w:r w:rsidRPr="005867C5">
        <w:rPr>
          <w:rFonts w:ascii="Arial" w:hAnsi="Arial"/>
          <w:noProof/>
          <w:sz w:val="22"/>
          <w:szCs w:val="22"/>
        </w:rPr>
        <w:t>. http://www.sciencedirect.com/science/article/pii/S0140673610615140.</w:t>
      </w:r>
    </w:p>
    <w:p w:rsidR="00616D26" w:rsidRPr="005867C5" w:rsidRDefault="00616D26">
      <w:pPr>
        <w:pStyle w:val="NormalWeb"/>
        <w:ind w:left="480" w:hanging="480"/>
        <w:divId w:val="26416026"/>
        <w:rPr>
          <w:rFonts w:ascii="Arial" w:hAnsi="Arial"/>
          <w:noProof/>
          <w:sz w:val="22"/>
          <w:szCs w:val="22"/>
        </w:rPr>
      </w:pPr>
      <w:r w:rsidRPr="005867C5">
        <w:rPr>
          <w:rFonts w:ascii="Arial" w:hAnsi="Arial"/>
          <w:noProof/>
          <w:sz w:val="22"/>
          <w:szCs w:val="22"/>
        </w:rPr>
        <w:t>De Castillo, CP, y R Lema. 1998. “Economic Analysis of Social Investment Fund Projects: Case Studies y Minimum Requirements Proposal.” http://siteresources.worldbank.org/INTCDD/Resources/EACAS.pdf.</w:t>
      </w:r>
    </w:p>
    <w:p w:rsidR="00616D26" w:rsidRPr="00FE26CF" w:rsidRDefault="00616D26">
      <w:pPr>
        <w:pStyle w:val="NormalWeb"/>
        <w:ind w:left="480" w:hanging="480"/>
        <w:divId w:val="26416026"/>
        <w:rPr>
          <w:rFonts w:ascii="Arial" w:hAnsi="Arial"/>
          <w:noProof/>
          <w:sz w:val="22"/>
          <w:szCs w:val="22"/>
          <w:lang w:val="es-ES"/>
        </w:rPr>
      </w:pPr>
      <w:r w:rsidRPr="005867C5">
        <w:rPr>
          <w:rFonts w:ascii="Arial" w:hAnsi="Arial"/>
          <w:noProof/>
          <w:sz w:val="22"/>
          <w:szCs w:val="22"/>
        </w:rPr>
        <w:t xml:space="preserve">FMI. 2015. </w:t>
      </w:r>
      <w:r w:rsidRPr="005867C5">
        <w:rPr>
          <w:rFonts w:ascii="Arial" w:hAnsi="Arial"/>
          <w:i/>
          <w:iCs/>
          <w:noProof/>
          <w:sz w:val="22"/>
          <w:szCs w:val="22"/>
        </w:rPr>
        <w:t xml:space="preserve">World Economic Outlook Database. </w:t>
      </w:r>
      <w:r w:rsidRPr="00FE26CF">
        <w:rPr>
          <w:rFonts w:ascii="Arial" w:hAnsi="Arial"/>
          <w:i/>
          <w:iCs/>
          <w:noProof/>
          <w:sz w:val="22"/>
          <w:szCs w:val="22"/>
          <w:lang w:val="es-ES"/>
        </w:rPr>
        <w:t>April 2015 Edition.</w:t>
      </w:r>
      <w:r w:rsidRPr="00FE26CF">
        <w:rPr>
          <w:rFonts w:ascii="Arial" w:hAnsi="Arial"/>
          <w:noProof/>
          <w:sz w:val="22"/>
          <w:szCs w:val="22"/>
          <w:lang w:val="es-ES"/>
        </w:rPr>
        <w:t xml:space="preserve"> Washington DC, Estados Unidos. http://www.imf.org/external/pubs/ft/weo/2015/01/weodata/index.aspx.</w:t>
      </w:r>
    </w:p>
    <w:p w:rsidR="00616D26" w:rsidRPr="005867C5" w:rsidRDefault="00616D26">
      <w:pPr>
        <w:pStyle w:val="NormalWeb"/>
        <w:ind w:left="480" w:hanging="480"/>
        <w:divId w:val="26416026"/>
        <w:rPr>
          <w:rFonts w:ascii="Arial" w:hAnsi="Arial"/>
          <w:noProof/>
          <w:sz w:val="22"/>
          <w:szCs w:val="22"/>
        </w:rPr>
      </w:pPr>
      <w:r w:rsidRPr="00FE26CF">
        <w:rPr>
          <w:rFonts w:ascii="Arial" w:hAnsi="Arial"/>
          <w:noProof/>
          <w:sz w:val="22"/>
          <w:szCs w:val="22"/>
          <w:lang w:val="es-ES"/>
        </w:rPr>
        <w:t xml:space="preserve">Fox-Rushby, J A, y K Hanson. </w:t>
      </w:r>
      <w:r w:rsidRPr="005867C5">
        <w:rPr>
          <w:rFonts w:ascii="Arial" w:hAnsi="Arial"/>
          <w:noProof/>
          <w:sz w:val="22"/>
          <w:szCs w:val="22"/>
        </w:rPr>
        <w:t xml:space="preserve">2001. “Calculating y Presenting Disability Adjusted Life Years (DALYs) in Cost-Effectiveness Analysis.” </w:t>
      </w:r>
      <w:r w:rsidRPr="005867C5">
        <w:rPr>
          <w:rFonts w:ascii="Arial" w:hAnsi="Arial"/>
          <w:i/>
          <w:iCs/>
          <w:noProof/>
          <w:sz w:val="22"/>
          <w:szCs w:val="22"/>
        </w:rPr>
        <w:t>Health Policy y Planning</w:t>
      </w:r>
      <w:r w:rsidRPr="005867C5">
        <w:rPr>
          <w:rFonts w:ascii="Arial" w:hAnsi="Arial"/>
          <w:noProof/>
          <w:sz w:val="22"/>
          <w:szCs w:val="22"/>
        </w:rPr>
        <w:t xml:space="preserve"> 16 (3): 326–31. http://www.ncbi.nlm.nih.gov/pubmed/11527874.</w:t>
      </w:r>
    </w:p>
    <w:p w:rsidR="00616D26" w:rsidRPr="005867C5" w:rsidRDefault="00616D26">
      <w:pPr>
        <w:pStyle w:val="NormalWeb"/>
        <w:ind w:left="480" w:hanging="480"/>
        <w:divId w:val="26416026"/>
        <w:rPr>
          <w:rFonts w:ascii="Arial" w:hAnsi="Arial"/>
          <w:noProof/>
          <w:sz w:val="22"/>
          <w:szCs w:val="22"/>
        </w:rPr>
      </w:pPr>
      <w:r w:rsidRPr="005867C5">
        <w:rPr>
          <w:rFonts w:ascii="Arial" w:hAnsi="Arial"/>
          <w:noProof/>
          <w:sz w:val="22"/>
          <w:szCs w:val="22"/>
        </w:rPr>
        <w:t xml:space="preserve">Guanais, Frederico, y James Macinko. “Primary Care y Avoidable Hospitalizations: Evidence from Brazil.” </w:t>
      </w:r>
      <w:r w:rsidRPr="005867C5">
        <w:rPr>
          <w:rFonts w:ascii="Arial" w:hAnsi="Arial"/>
          <w:i/>
          <w:iCs/>
          <w:noProof/>
          <w:sz w:val="22"/>
          <w:szCs w:val="22"/>
        </w:rPr>
        <w:t>The Journal of Ambulatory Care Management</w:t>
      </w:r>
      <w:r w:rsidRPr="005867C5">
        <w:rPr>
          <w:rFonts w:ascii="Arial" w:hAnsi="Arial"/>
          <w:noProof/>
          <w:sz w:val="22"/>
          <w:szCs w:val="22"/>
        </w:rPr>
        <w:t xml:space="preserve"> 32 (2): 115–22. doi:10.1097/JAC.0b013e31819942e51.</w:t>
      </w:r>
    </w:p>
    <w:p w:rsidR="00616D26" w:rsidRPr="005867C5" w:rsidRDefault="00616D26">
      <w:pPr>
        <w:pStyle w:val="NormalWeb"/>
        <w:ind w:left="480" w:hanging="480"/>
        <w:divId w:val="26416026"/>
        <w:rPr>
          <w:rFonts w:ascii="Arial" w:hAnsi="Arial"/>
          <w:noProof/>
          <w:sz w:val="22"/>
          <w:szCs w:val="22"/>
        </w:rPr>
      </w:pPr>
      <w:r w:rsidRPr="005867C5">
        <w:rPr>
          <w:rFonts w:ascii="Arial" w:hAnsi="Arial"/>
          <w:noProof/>
          <w:sz w:val="22"/>
          <w:szCs w:val="22"/>
        </w:rPr>
        <w:t>Heckman, James J, Seong Hyeok Moon, Rodrigo Pinto, Peter Savelyev, y Adam Yavitz. 2010. “A New Cost-Benefit y Rate of Return Analysis for the Perry Preschool Program: A Summary,” July. http://www.nber.org/papers/w16180.</w:t>
      </w:r>
    </w:p>
    <w:p w:rsidR="00616D26" w:rsidRPr="005867C5" w:rsidRDefault="00616D26">
      <w:pPr>
        <w:pStyle w:val="NormalWeb"/>
        <w:ind w:left="480" w:hanging="480"/>
        <w:divId w:val="26416026"/>
        <w:rPr>
          <w:rFonts w:ascii="Arial" w:hAnsi="Arial"/>
          <w:noProof/>
          <w:sz w:val="22"/>
          <w:szCs w:val="22"/>
          <w:lang w:val="pt-BR"/>
        </w:rPr>
      </w:pPr>
      <w:r w:rsidRPr="005867C5">
        <w:rPr>
          <w:rFonts w:ascii="Arial" w:hAnsi="Arial"/>
          <w:noProof/>
          <w:sz w:val="22"/>
          <w:szCs w:val="22"/>
          <w:lang w:val="pt-BR"/>
        </w:rPr>
        <w:t xml:space="preserve">IBGE. 2014. “Contas Regionais Do Brasil.” </w:t>
      </w:r>
      <w:r w:rsidRPr="005867C5">
        <w:rPr>
          <w:rFonts w:ascii="Arial" w:hAnsi="Arial"/>
          <w:i/>
          <w:iCs/>
          <w:noProof/>
          <w:sz w:val="22"/>
          <w:szCs w:val="22"/>
          <w:lang w:val="pt-BR"/>
        </w:rPr>
        <w:t>Contas Nacionais</w:t>
      </w:r>
      <w:r w:rsidRPr="005867C5">
        <w:rPr>
          <w:rFonts w:ascii="Arial" w:hAnsi="Arial"/>
          <w:noProof/>
          <w:sz w:val="22"/>
          <w:szCs w:val="22"/>
          <w:lang w:val="pt-BR"/>
        </w:rPr>
        <w:t xml:space="preserve"> 42. ftp://ftp.ibge.gov.br/Contas_Regionais/2012/pdf/contas_regionais_2012.pdf.</w:t>
      </w:r>
    </w:p>
    <w:p w:rsidR="00616D26" w:rsidRPr="005867C5" w:rsidRDefault="00616D26">
      <w:pPr>
        <w:pStyle w:val="NormalWeb"/>
        <w:ind w:left="480" w:hanging="480"/>
        <w:divId w:val="26416026"/>
        <w:rPr>
          <w:rFonts w:ascii="Arial" w:hAnsi="Arial"/>
          <w:noProof/>
          <w:sz w:val="22"/>
          <w:szCs w:val="22"/>
          <w:lang w:val="pt-BR"/>
        </w:rPr>
      </w:pPr>
      <w:r w:rsidRPr="005867C5">
        <w:rPr>
          <w:rFonts w:ascii="Arial" w:hAnsi="Arial"/>
          <w:noProof/>
          <w:sz w:val="22"/>
          <w:szCs w:val="22"/>
          <w:lang w:val="pt-BR"/>
        </w:rPr>
        <w:t>Instituto Brasileiro de Geografia e Estatística (IBGE). 2015. “Indicadores de Población 1998-2012.” ftp://ftp.datasus.gov.br/dissemin/publicos/IBGE/pop.</w:t>
      </w:r>
    </w:p>
    <w:p w:rsidR="00616D26" w:rsidRPr="005867C5" w:rsidRDefault="00616D26">
      <w:pPr>
        <w:pStyle w:val="NormalWeb"/>
        <w:ind w:left="480" w:hanging="480"/>
        <w:divId w:val="26416026"/>
        <w:rPr>
          <w:rFonts w:ascii="Arial" w:hAnsi="Arial"/>
          <w:noProof/>
          <w:sz w:val="22"/>
          <w:szCs w:val="22"/>
        </w:rPr>
      </w:pPr>
      <w:r w:rsidRPr="005867C5">
        <w:rPr>
          <w:rFonts w:ascii="Arial" w:hAnsi="Arial"/>
          <w:noProof/>
          <w:sz w:val="22"/>
          <w:szCs w:val="22"/>
          <w:lang w:val="pt-BR"/>
        </w:rPr>
        <w:t xml:space="preserve">Jamison, Dean T, Joel G Breman, Anthony R Measham, George Alleyne, Mariam Claeson, David B Evans, Prabhat Jha, Anne Mills, y Philip Musgrove. </w:t>
      </w:r>
      <w:r w:rsidRPr="005867C5">
        <w:rPr>
          <w:rFonts w:ascii="Arial" w:hAnsi="Arial"/>
          <w:noProof/>
          <w:sz w:val="22"/>
          <w:szCs w:val="22"/>
        </w:rPr>
        <w:t>2006. “Disease Control Priorities in Developing Countries.” World Bank. http://www.ncbi.nlm.nih.gov/books/NBK11728/.</w:t>
      </w:r>
    </w:p>
    <w:p w:rsidR="00616D26" w:rsidRPr="00FE26CF" w:rsidRDefault="00616D26">
      <w:pPr>
        <w:pStyle w:val="NormalWeb"/>
        <w:ind w:left="480" w:hanging="480"/>
        <w:divId w:val="26416026"/>
        <w:rPr>
          <w:rFonts w:ascii="Arial" w:hAnsi="Arial"/>
          <w:noProof/>
          <w:sz w:val="22"/>
          <w:szCs w:val="22"/>
          <w:lang w:val="es-ES"/>
        </w:rPr>
      </w:pPr>
      <w:r w:rsidRPr="005867C5">
        <w:rPr>
          <w:rFonts w:ascii="Arial" w:hAnsi="Arial"/>
          <w:noProof/>
          <w:sz w:val="22"/>
          <w:szCs w:val="22"/>
        </w:rPr>
        <w:t xml:space="preserve">Lomborg, B. 2010. </w:t>
      </w:r>
      <w:r w:rsidRPr="005867C5">
        <w:rPr>
          <w:rFonts w:ascii="Arial" w:hAnsi="Arial"/>
          <w:i/>
          <w:iCs/>
          <w:noProof/>
          <w:sz w:val="22"/>
          <w:szCs w:val="22"/>
        </w:rPr>
        <w:t>Latin American Development Priorities: Costs y Benefits</w:t>
      </w:r>
      <w:r w:rsidRPr="005867C5">
        <w:rPr>
          <w:rFonts w:ascii="Arial" w:hAnsi="Arial"/>
          <w:noProof/>
          <w:sz w:val="22"/>
          <w:szCs w:val="22"/>
        </w:rPr>
        <w:t xml:space="preserve">. </w:t>
      </w:r>
      <w:r w:rsidRPr="00FE26CF">
        <w:rPr>
          <w:rFonts w:ascii="Arial" w:hAnsi="Arial"/>
          <w:noProof/>
          <w:sz w:val="22"/>
          <w:szCs w:val="22"/>
          <w:lang w:val="es-ES"/>
        </w:rPr>
        <w:t>Cambridge, Reino Unido: Cambridge University Press. https://books.google.com/books?hl=en&amp;lr=&amp;id=O5V7K2n-</w:t>
      </w:r>
      <w:r w:rsidRPr="00FE26CF">
        <w:rPr>
          <w:rFonts w:ascii="Arial" w:hAnsi="Arial"/>
          <w:noProof/>
          <w:sz w:val="22"/>
          <w:szCs w:val="22"/>
          <w:lang w:val="es-ES"/>
        </w:rPr>
        <w:lastRenderedPageBreak/>
        <w:t>ZJoC&amp;oi=fnd&amp;pg=PR5&amp;dq=Latin+American+Development+Priorities:+Costs+and+Benefits&amp;ots=vnG-qCOlbp&amp;sig=vP8HN44kpmIQa4p-kMllDudsV7s.</w:t>
      </w:r>
    </w:p>
    <w:p w:rsidR="00616D26" w:rsidRPr="005867C5" w:rsidRDefault="00616D26">
      <w:pPr>
        <w:pStyle w:val="NormalWeb"/>
        <w:ind w:left="480" w:hanging="480"/>
        <w:divId w:val="26416026"/>
        <w:rPr>
          <w:rFonts w:ascii="Arial" w:hAnsi="Arial"/>
          <w:noProof/>
          <w:sz w:val="22"/>
          <w:szCs w:val="22"/>
        </w:rPr>
      </w:pPr>
      <w:r w:rsidRPr="005867C5">
        <w:rPr>
          <w:rFonts w:ascii="Arial" w:hAnsi="Arial"/>
          <w:noProof/>
          <w:sz w:val="22"/>
          <w:szCs w:val="22"/>
        </w:rPr>
        <w:t xml:space="preserve">Lopez, Humberto. 2008. </w:t>
      </w:r>
      <w:r w:rsidRPr="005867C5">
        <w:rPr>
          <w:rFonts w:ascii="Arial" w:hAnsi="Arial"/>
          <w:i/>
          <w:iCs/>
          <w:noProof/>
          <w:sz w:val="22"/>
          <w:szCs w:val="22"/>
        </w:rPr>
        <w:t>The Social Discount Rate: Estimates For Nine Latin American Countries</w:t>
      </w:r>
      <w:r w:rsidRPr="005867C5">
        <w:rPr>
          <w:rFonts w:ascii="Arial" w:hAnsi="Arial"/>
          <w:noProof/>
          <w:sz w:val="22"/>
          <w:szCs w:val="22"/>
        </w:rPr>
        <w:t>. Policy Research Working Papers. The World Bank. doi:10.1596/1813-9450-4639.</w:t>
      </w:r>
    </w:p>
    <w:p w:rsidR="00616D26" w:rsidRPr="005867C5" w:rsidRDefault="00616D26">
      <w:pPr>
        <w:pStyle w:val="NormalWeb"/>
        <w:ind w:left="480" w:hanging="480"/>
        <w:divId w:val="26416026"/>
        <w:rPr>
          <w:rFonts w:ascii="Arial" w:hAnsi="Arial"/>
          <w:noProof/>
          <w:sz w:val="22"/>
          <w:szCs w:val="22"/>
        </w:rPr>
      </w:pPr>
      <w:r w:rsidRPr="005867C5">
        <w:rPr>
          <w:rFonts w:ascii="Arial" w:hAnsi="Arial"/>
          <w:noProof/>
          <w:sz w:val="22"/>
          <w:szCs w:val="22"/>
        </w:rPr>
        <w:t xml:space="preserve">Macinko, James, Veneza B de Oliveira, Maria A Turci, Frederico C Guanais, Palmira F Bonolo, y Maria F Lima-Costa. 2011. “The Influence of Primary Care y Hospital Supply on Ambulatory Care-Sensitive Hospitalizations among Adults in Brazil, 1999-2007.” </w:t>
      </w:r>
      <w:r w:rsidRPr="005867C5">
        <w:rPr>
          <w:rFonts w:ascii="Arial" w:hAnsi="Arial"/>
          <w:i/>
          <w:iCs/>
          <w:noProof/>
          <w:sz w:val="22"/>
          <w:szCs w:val="22"/>
        </w:rPr>
        <w:t>American Journal of Public Health</w:t>
      </w:r>
      <w:r w:rsidRPr="005867C5">
        <w:rPr>
          <w:rFonts w:ascii="Arial" w:hAnsi="Arial"/>
          <w:noProof/>
          <w:sz w:val="22"/>
          <w:szCs w:val="22"/>
        </w:rPr>
        <w:t xml:space="preserve"> 101 (10): 1963–70. doi:10.2105/AJPH.2010.198887.</w:t>
      </w:r>
    </w:p>
    <w:p w:rsidR="00616D26" w:rsidRPr="005867C5" w:rsidRDefault="00616D26">
      <w:pPr>
        <w:pStyle w:val="NormalWeb"/>
        <w:ind w:left="480" w:hanging="480"/>
        <w:divId w:val="26416026"/>
        <w:rPr>
          <w:rFonts w:ascii="Arial" w:hAnsi="Arial"/>
          <w:noProof/>
          <w:sz w:val="22"/>
          <w:szCs w:val="22"/>
        </w:rPr>
      </w:pPr>
      <w:r w:rsidRPr="005867C5">
        <w:rPr>
          <w:rFonts w:ascii="Arial" w:hAnsi="Arial"/>
          <w:noProof/>
          <w:sz w:val="22"/>
          <w:szCs w:val="22"/>
        </w:rPr>
        <w:t xml:space="preserve">Macinko, James, y Matthew Harris. 2015. “Brazil’s Family Health Strategy — Delivering Community-Based Primary Care in a Universal Health System.” </w:t>
      </w:r>
      <w:r w:rsidRPr="005867C5">
        <w:rPr>
          <w:rFonts w:ascii="Arial" w:hAnsi="Arial"/>
          <w:i/>
          <w:iCs/>
          <w:noProof/>
          <w:sz w:val="22"/>
          <w:szCs w:val="22"/>
        </w:rPr>
        <w:t>The New England Journal of Medicine</w:t>
      </w:r>
      <w:r w:rsidRPr="005867C5">
        <w:rPr>
          <w:rFonts w:ascii="Arial" w:hAnsi="Arial"/>
          <w:noProof/>
          <w:sz w:val="22"/>
          <w:szCs w:val="22"/>
        </w:rPr>
        <w:t xml:space="preserve"> 372 (23): 2177–81. doi:10.1056/NEJMp1501140.</w:t>
      </w:r>
    </w:p>
    <w:p w:rsidR="00616D26" w:rsidRPr="005867C5" w:rsidRDefault="00616D26">
      <w:pPr>
        <w:pStyle w:val="NormalWeb"/>
        <w:ind w:left="480" w:hanging="480"/>
        <w:divId w:val="26416026"/>
        <w:rPr>
          <w:rFonts w:ascii="Arial" w:hAnsi="Arial"/>
          <w:noProof/>
          <w:sz w:val="22"/>
          <w:szCs w:val="22"/>
        </w:rPr>
      </w:pPr>
      <w:r w:rsidRPr="005867C5">
        <w:rPr>
          <w:rFonts w:ascii="Arial" w:hAnsi="Arial"/>
          <w:noProof/>
          <w:sz w:val="22"/>
          <w:szCs w:val="22"/>
        </w:rPr>
        <w:t xml:space="preserve">Martinez, R, y A Fernández. 2008. </w:t>
      </w:r>
      <w:r w:rsidRPr="005867C5">
        <w:rPr>
          <w:rFonts w:ascii="Arial" w:hAnsi="Arial"/>
          <w:i/>
          <w:iCs/>
          <w:noProof/>
          <w:sz w:val="22"/>
          <w:szCs w:val="22"/>
        </w:rPr>
        <w:t>The Cost of Hunger: Social y Economic Impact of Child Undernutrition in Central America y the Dominican Republic</w:t>
      </w:r>
      <w:r w:rsidRPr="005867C5">
        <w:rPr>
          <w:rFonts w:ascii="Arial" w:hAnsi="Arial"/>
          <w:noProof/>
          <w:sz w:val="22"/>
          <w:szCs w:val="22"/>
        </w:rPr>
        <w:t>. http://gommes.net/wergosum/wp-content/uploads/2012/07/2008_cost-of-hunger_wfp.pdf.</w:t>
      </w:r>
    </w:p>
    <w:p w:rsidR="00616D26" w:rsidRPr="005867C5" w:rsidRDefault="00616D26">
      <w:pPr>
        <w:pStyle w:val="NormalWeb"/>
        <w:ind w:left="480" w:hanging="480"/>
        <w:divId w:val="26416026"/>
        <w:rPr>
          <w:rFonts w:ascii="Arial" w:hAnsi="Arial"/>
          <w:noProof/>
          <w:sz w:val="22"/>
          <w:szCs w:val="22"/>
        </w:rPr>
      </w:pPr>
      <w:r w:rsidRPr="005867C5">
        <w:rPr>
          <w:rFonts w:ascii="Arial" w:hAnsi="Arial"/>
          <w:noProof/>
          <w:sz w:val="22"/>
          <w:szCs w:val="22"/>
        </w:rPr>
        <w:t xml:space="preserve">Mathers, Colin, Theo Vos, Alan Lopez, Josh Salomon, y Majid Ezzati, eds. 2001. </w:t>
      </w:r>
      <w:r w:rsidRPr="005867C5">
        <w:rPr>
          <w:rFonts w:ascii="Arial" w:hAnsi="Arial"/>
          <w:i/>
          <w:iCs/>
          <w:noProof/>
          <w:sz w:val="22"/>
          <w:szCs w:val="22"/>
        </w:rPr>
        <w:t>National Burden of Disease Studies: A Practical Guide. Edition 2.0</w:t>
      </w:r>
      <w:r w:rsidRPr="005867C5">
        <w:rPr>
          <w:rFonts w:ascii="Arial" w:hAnsi="Arial"/>
          <w:noProof/>
          <w:sz w:val="22"/>
          <w:szCs w:val="22"/>
        </w:rPr>
        <w:t>. Giinebra, Suiza: Organización Mundial de la Salud.</w:t>
      </w:r>
    </w:p>
    <w:p w:rsidR="00616D26" w:rsidRPr="005867C5" w:rsidRDefault="00616D26">
      <w:pPr>
        <w:pStyle w:val="NormalWeb"/>
        <w:ind w:left="480" w:hanging="480"/>
        <w:divId w:val="26416026"/>
        <w:rPr>
          <w:rFonts w:ascii="Arial" w:hAnsi="Arial"/>
          <w:noProof/>
          <w:sz w:val="22"/>
          <w:szCs w:val="22"/>
        </w:rPr>
      </w:pPr>
      <w:r w:rsidRPr="005867C5">
        <w:rPr>
          <w:rFonts w:ascii="Arial" w:hAnsi="Arial"/>
          <w:noProof/>
          <w:sz w:val="22"/>
          <w:szCs w:val="22"/>
        </w:rPr>
        <w:t xml:space="preserve">Murray, Christopher J L, Jeremy A Lauer, Raymond C W Hutubessy, Louis Niessen, Niels Tomijima, Anthony Rodgers, Carlene M M Lawes, y David B Evans. 2003. “Effectiveness y Costs of Interventions to Lower Systolic Blood Pressure y Cholesterol: A Global y Regional Analysis on Reduction of Cardiovascular-Disease Risk.” </w:t>
      </w:r>
      <w:r w:rsidRPr="005867C5">
        <w:rPr>
          <w:rFonts w:ascii="Arial" w:hAnsi="Arial"/>
          <w:i/>
          <w:iCs/>
          <w:noProof/>
          <w:sz w:val="22"/>
          <w:szCs w:val="22"/>
        </w:rPr>
        <w:t>Lancet</w:t>
      </w:r>
      <w:r w:rsidRPr="005867C5">
        <w:rPr>
          <w:rFonts w:ascii="Arial" w:hAnsi="Arial"/>
          <w:noProof/>
          <w:sz w:val="22"/>
          <w:szCs w:val="22"/>
        </w:rPr>
        <w:t xml:space="preserve"> 361 (9359): 717–25. doi:10.1016/S0140-6736(03)12655-4.</w:t>
      </w:r>
    </w:p>
    <w:p w:rsidR="00616D26" w:rsidRPr="00FE26CF" w:rsidRDefault="00616D26">
      <w:pPr>
        <w:pStyle w:val="NormalWeb"/>
        <w:ind w:left="480" w:hanging="480"/>
        <w:divId w:val="26416026"/>
        <w:rPr>
          <w:rFonts w:ascii="Arial" w:hAnsi="Arial"/>
          <w:noProof/>
          <w:sz w:val="22"/>
          <w:szCs w:val="22"/>
          <w:lang w:val="es-ES"/>
        </w:rPr>
      </w:pPr>
      <w:r w:rsidRPr="005867C5">
        <w:rPr>
          <w:rFonts w:ascii="Arial" w:hAnsi="Arial"/>
          <w:noProof/>
          <w:sz w:val="22"/>
          <w:szCs w:val="22"/>
        </w:rPr>
        <w:t xml:space="preserve">Organización Mundial de la Salud. 2015. “Cost Effectiveness y Strategic Planning (WHO-CHOICE).” </w:t>
      </w:r>
      <w:r w:rsidRPr="00FE26CF">
        <w:rPr>
          <w:rFonts w:ascii="Arial" w:hAnsi="Arial"/>
          <w:noProof/>
          <w:sz w:val="22"/>
          <w:szCs w:val="22"/>
          <w:lang w:val="es-ES"/>
        </w:rPr>
        <w:t>Ginebra, Suiza: Organización Mundial de la Salud. http://www.who.int/choice/costs/CER_thresholds/en/.</w:t>
      </w:r>
    </w:p>
    <w:p w:rsidR="00616D26" w:rsidRPr="005867C5" w:rsidRDefault="00616D26">
      <w:pPr>
        <w:pStyle w:val="NormalWeb"/>
        <w:ind w:left="480" w:hanging="480"/>
        <w:divId w:val="26416026"/>
        <w:rPr>
          <w:rFonts w:ascii="Arial" w:hAnsi="Arial"/>
          <w:noProof/>
          <w:sz w:val="22"/>
          <w:szCs w:val="22"/>
        </w:rPr>
      </w:pPr>
      <w:r w:rsidRPr="005867C5">
        <w:rPr>
          <w:rFonts w:ascii="Arial" w:hAnsi="Arial"/>
          <w:noProof/>
          <w:sz w:val="22"/>
          <w:szCs w:val="22"/>
          <w:lang w:val="pt-BR"/>
        </w:rPr>
        <w:t xml:space="preserve">Salomon, Joshua A, Natalie Carvalho, Cristina Gutiérrez-Delgado, Ricardo Orozco, Anna Mancuso, Daniel R Hogan, Diana Lee, et al. 2012. </w:t>
      </w:r>
      <w:r w:rsidRPr="005867C5">
        <w:rPr>
          <w:rFonts w:ascii="Arial" w:hAnsi="Arial"/>
          <w:noProof/>
          <w:sz w:val="22"/>
          <w:szCs w:val="22"/>
        </w:rPr>
        <w:t xml:space="preserve">“Intervention Strategies to Reduce the Burden of Non-Communicable Diseases in Mexico: Cost Effectiveness Analysis.” </w:t>
      </w:r>
      <w:r w:rsidRPr="005867C5">
        <w:rPr>
          <w:rFonts w:ascii="Arial" w:hAnsi="Arial"/>
          <w:i/>
          <w:iCs/>
          <w:noProof/>
          <w:sz w:val="22"/>
          <w:szCs w:val="22"/>
        </w:rPr>
        <w:t>BMJ (Clinical Research Ed.)</w:t>
      </w:r>
      <w:r w:rsidRPr="005867C5">
        <w:rPr>
          <w:rFonts w:ascii="Arial" w:hAnsi="Arial"/>
          <w:noProof/>
          <w:sz w:val="22"/>
          <w:szCs w:val="22"/>
        </w:rPr>
        <w:t xml:space="preserve"> 344 (mar02_1): e355. doi:10.1136/bmj.e355.</w:t>
      </w:r>
    </w:p>
    <w:p w:rsidR="00616D26" w:rsidRPr="00FE26CF" w:rsidRDefault="00616D26">
      <w:pPr>
        <w:pStyle w:val="NormalWeb"/>
        <w:ind w:left="480" w:hanging="480"/>
        <w:divId w:val="26416026"/>
        <w:rPr>
          <w:rFonts w:ascii="Arial" w:hAnsi="Arial"/>
          <w:noProof/>
          <w:sz w:val="22"/>
          <w:szCs w:val="22"/>
          <w:lang w:val="es-ES"/>
        </w:rPr>
      </w:pPr>
      <w:r w:rsidRPr="005867C5">
        <w:rPr>
          <w:rFonts w:ascii="Arial" w:hAnsi="Arial"/>
          <w:noProof/>
          <w:sz w:val="22"/>
          <w:szCs w:val="22"/>
        </w:rPr>
        <w:t xml:space="preserve">Tan-Torres Edejer, T, R. Baltussen, T Adam, R Hutubessy, A. Acharya, D.B. Evans, y C.J.L. Murray, eds. 2003. </w:t>
      </w:r>
      <w:r w:rsidRPr="005867C5">
        <w:rPr>
          <w:rFonts w:ascii="Arial" w:hAnsi="Arial"/>
          <w:i/>
          <w:iCs/>
          <w:noProof/>
          <w:sz w:val="22"/>
          <w:szCs w:val="22"/>
        </w:rPr>
        <w:t>Making Choices in Health:WHO Guide to Cost-Effectiveness Analysis</w:t>
      </w:r>
      <w:r w:rsidRPr="005867C5">
        <w:rPr>
          <w:rFonts w:ascii="Arial" w:hAnsi="Arial"/>
          <w:noProof/>
          <w:sz w:val="22"/>
          <w:szCs w:val="22"/>
        </w:rPr>
        <w:t xml:space="preserve">. </w:t>
      </w:r>
      <w:r w:rsidRPr="00FE26CF">
        <w:rPr>
          <w:rFonts w:ascii="Arial" w:hAnsi="Arial"/>
          <w:noProof/>
          <w:sz w:val="22"/>
          <w:szCs w:val="22"/>
          <w:lang w:val="es-ES"/>
        </w:rPr>
        <w:t>Ginebra, Suiza: Organización Mundial de la Salud.</w:t>
      </w:r>
    </w:p>
    <w:p w:rsidR="00616D26" w:rsidRPr="005867C5" w:rsidRDefault="00616D26">
      <w:pPr>
        <w:pStyle w:val="NormalWeb"/>
        <w:ind w:left="480" w:hanging="480"/>
        <w:divId w:val="26416026"/>
        <w:rPr>
          <w:rFonts w:ascii="Arial" w:hAnsi="Arial"/>
          <w:noProof/>
          <w:sz w:val="22"/>
          <w:szCs w:val="22"/>
        </w:rPr>
      </w:pPr>
      <w:r w:rsidRPr="00FE26CF">
        <w:rPr>
          <w:rFonts w:ascii="Arial" w:hAnsi="Arial"/>
          <w:noProof/>
          <w:sz w:val="22"/>
          <w:szCs w:val="22"/>
          <w:lang w:val="es-ES"/>
        </w:rPr>
        <w:t xml:space="preserve">Zhuang, J, Z Liang, T Lin, y F De Guzman. </w:t>
      </w:r>
      <w:r w:rsidRPr="005867C5">
        <w:rPr>
          <w:rFonts w:ascii="Arial" w:hAnsi="Arial"/>
          <w:noProof/>
          <w:sz w:val="22"/>
          <w:szCs w:val="22"/>
        </w:rPr>
        <w:t>2007. “Theory y Practice in the Choice of Social Discount Rate for Cost-Benefit Analysis: A Survey.” https://adb-test.atmire.com/handle/11540/1853.</w:t>
      </w:r>
    </w:p>
    <w:p w:rsidR="00857FE0" w:rsidRPr="005867C5" w:rsidRDefault="001872C6" w:rsidP="00616D26">
      <w:pPr>
        <w:pStyle w:val="NormalWeb"/>
        <w:ind w:left="480" w:hanging="480"/>
        <w:divId w:val="2135176378"/>
        <w:rPr>
          <w:rFonts w:cs="Arial"/>
          <w:sz w:val="22"/>
          <w:szCs w:val="22"/>
        </w:rPr>
      </w:pPr>
      <w:r w:rsidRPr="00FE26CF">
        <w:rPr>
          <w:rFonts w:cs="Arial"/>
          <w:sz w:val="22"/>
          <w:szCs w:val="22"/>
          <w:lang w:val="es-ES"/>
        </w:rPr>
        <w:fldChar w:fldCharType="end"/>
      </w:r>
      <w:r w:rsidR="00D80A9B" w:rsidRPr="005867C5">
        <w:rPr>
          <w:rFonts w:cs="Arial"/>
          <w:sz w:val="22"/>
          <w:szCs w:val="22"/>
        </w:rPr>
        <w:t xml:space="preserve"> </w:t>
      </w:r>
    </w:p>
    <w:sectPr w:rsidR="00857FE0" w:rsidRPr="005867C5" w:rsidSect="006236FA">
      <w:headerReference w:type="even" r:id="rId11"/>
      <w:headerReference w:type="default" r:id="rId12"/>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AF1" w:rsidRDefault="00064AF1" w:rsidP="008C5F59">
      <w:pPr>
        <w:spacing w:after="0" w:line="240" w:lineRule="auto"/>
      </w:pPr>
      <w:r>
        <w:separator/>
      </w:r>
    </w:p>
  </w:endnote>
  <w:endnote w:type="continuationSeparator" w:id="0">
    <w:p w:rsidR="00064AF1" w:rsidRDefault="00064AF1" w:rsidP="008C5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itstream Vera Sans">
    <w:altName w:val="MS Mincho"/>
    <w:charset w:val="8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AF1" w:rsidRDefault="00064AF1" w:rsidP="008C5F59">
      <w:pPr>
        <w:spacing w:after="0" w:line="240" w:lineRule="auto"/>
      </w:pPr>
      <w:r>
        <w:separator/>
      </w:r>
    </w:p>
  </w:footnote>
  <w:footnote w:type="continuationSeparator" w:id="0">
    <w:p w:rsidR="00064AF1" w:rsidRDefault="00064AF1" w:rsidP="008C5F59">
      <w:pPr>
        <w:spacing w:after="0" w:line="240" w:lineRule="auto"/>
      </w:pPr>
      <w:r>
        <w:continuationSeparator/>
      </w:r>
    </w:p>
  </w:footnote>
  <w:footnote w:id="1">
    <w:p w:rsidR="00064AF1" w:rsidRPr="000B185D" w:rsidRDefault="00064AF1" w:rsidP="000B185D">
      <w:pPr>
        <w:pStyle w:val="FootnoteText"/>
        <w:spacing w:after="0"/>
        <w:ind w:left="270" w:hanging="270"/>
        <w:rPr>
          <w:rFonts w:ascii="Arial" w:hAnsi="Arial" w:cs="Arial"/>
          <w:sz w:val="18"/>
          <w:szCs w:val="18"/>
          <w:lang w:val="es-ES_tradnl"/>
        </w:rPr>
      </w:pPr>
      <w:r w:rsidRPr="000B185D">
        <w:rPr>
          <w:rStyle w:val="FootnoteReference"/>
          <w:rFonts w:ascii="Arial" w:hAnsi="Arial" w:cs="Arial"/>
          <w:sz w:val="18"/>
          <w:szCs w:val="18"/>
          <w:lang w:val="es-ES_tradnl"/>
        </w:rPr>
        <w:footnoteRef/>
      </w:r>
      <w:r w:rsidRPr="000B185D">
        <w:rPr>
          <w:rFonts w:ascii="Arial" w:hAnsi="Arial" w:cs="Arial"/>
          <w:sz w:val="18"/>
          <w:szCs w:val="18"/>
          <w:lang w:val="es-ES_tradnl"/>
        </w:rPr>
        <w:t xml:space="preserve"> </w:t>
      </w:r>
      <w:r w:rsidRPr="000B185D">
        <w:rPr>
          <w:rFonts w:ascii="Arial" w:hAnsi="Arial" w:cs="Arial"/>
          <w:sz w:val="18"/>
          <w:szCs w:val="18"/>
          <w:lang w:val="es-ES_tradnl"/>
        </w:rPr>
        <w:tab/>
        <w:t>Esta sección presenta los antecedentes y descripción del programa, y está basada en el documento de propuesta de préstamo. Por tanto, puede si el lector ya revisó la propuesta de préstamo, puede pasar a la sección II.</w:t>
      </w:r>
    </w:p>
  </w:footnote>
  <w:footnote w:id="2">
    <w:p w:rsidR="00064AF1" w:rsidRPr="000B185D" w:rsidRDefault="00064AF1" w:rsidP="000B185D">
      <w:pPr>
        <w:pStyle w:val="FootnoteText"/>
        <w:spacing w:after="0"/>
        <w:ind w:left="274" w:hanging="274"/>
        <w:rPr>
          <w:rFonts w:ascii="Arial" w:hAnsi="Arial" w:cs="Arial"/>
          <w:sz w:val="18"/>
          <w:szCs w:val="18"/>
          <w:lang w:val="es-ES"/>
        </w:rPr>
      </w:pPr>
      <w:r w:rsidRPr="000B185D">
        <w:rPr>
          <w:rStyle w:val="FootnoteReference"/>
          <w:rFonts w:ascii="Arial" w:hAnsi="Arial" w:cs="Arial"/>
          <w:sz w:val="18"/>
          <w:szCs w:val="18"/>
          <w:lang w:val="es-ES"/>
        </w:rPr>
        <w:footnoteRef/>
      </w:r>
      <w:r w:rsidRPr="000B185D">
        <w:rPr>
          <w:rFonts w:ascii="Arial" w:hAnsi="Arial" w:cs="Arial"/>
          <w:sz w:val="18"/>
          <w:szCs w:val="18"/>
          <w:lang w:val="es-ES"/>
        </w:rPr>
        <w:t xml:space="preserve"> </w:t>
      </w:r>
      <w:r w:rsidRPr="000B185D">
        <w:rPr>
          <w:rFonts w:ascii="Arial" w:hAnsi="Arial" w:cs="Arial"/>
          <w:sz w:val="18"/>
          <w:szCs w:val="18"/>
          <w:lang w:val="es-ES"/>
        </w:rPr>
        <w:tab/>
        <w:t>Programa Naciones Unidas para el Desarrollo (PNUD), 2010.</w:t>
      </w:r>
    </w:p>
  </w:footnote>
  <w:footnote w:id="3">
    <w:p w:rsidR="00064AF1" w:rsidRPr="000B185D" w:rsidRDefault="00064AF1" w:rsidP="000B185D">
      <w:pPr>
        <w:pStyle w:val="FootnoteText"/>
        <w:spacing w:after="0"/>
        <w:ind w:left="274" w:hanging="274"/>
        <w:rPr>
          <w:rFonts w:ascii="Arial" w:hAnsi="Arial" w:cs="Arial"/>
          <w:sz w:val="18"/>
          <w:szCs w:val="18"/>
          <w:lang w:val="es-ES"/>
        </w:rPr>
      </w:pPr>
      <w:r w:rsidRPr="000B185D">
        <w:rPr>
          <w:rStyle w:val="FootnoteReference"/>
          <w:rFonts w:ascii="Arial" w:hAnsi="Arial" w:cs="Arial"/>
          <w:sz w:val="18"/>
          <w:szCs w:val="18"/>
          <w:lang w:val="es-ES"/>
        </w:rPr>
        <w:footnoteRef/>
      </w:r>
      <w:r w:rsidRPr="000B185D">
        <w:rPr>
          <w:rFonts w:ascii="Arial" w:hAnsi="Arial" w:cs="Arial"/>
          <w:sz w:val="18"/>
          <w:szCs w:val="18"/>
          <w:lang w:val="es-ES"/>
        </w:rPr>
        <w:t xml:space="preserve"> </w:t>
      </w:r>
      <w:r w:rsidRPr="000B185D">
        <w:rPr>
          <w:rFonts w:ascii="Arial" w:hAnsi="Arial" w:cs="Arial"/>
          <w:sz w:val="18"/>
          <w:szCs w:val="18"/>
          <w:lang w:val="es-ES"/>
        </w:rPr>
        <w:tab/>
        <w:t>Federación de las Industrias de Rio de Janeiro (FIRJAN), 2010.</w:t>
      </w:r>
    </w:p>
  </w:footnote>
  <w:footnote w:id="4">
    <w:p w:rsidR="00064AF1" w:rsidRPr="000B185D" w:rsidRDefault="00064AF1" w:rsidP="000B185D">
      <w:pPr>
        <w:pStyle w:val="FootnoteText"/>
        <w:spacing w:after="0"/>
        <w:rPr>
          <w:rFonts w:ascii="Arial" w:hAnsi="Arial" w:cs="Arial"/>
          <w:sz w:val="18"/>
          <w:szCs w:val="18"/>
          <w:lang w:val="es-ES_tradnl"/>
        </w:rPr>
      </w:pPr>
      <w:r w:rsidRPr="000B185D">
        <w:rPr>
          <w:rStyle w:val="FootnoteReference"/>
          <w:rFonts w:ascii="Arial" w:hAnsi="Arial" w:cs="Arial"/>
          <w:sz w:val="18"/>
          <w:szCs w:val="18"/>
        </w:rPr>
        <w:footnoteRef/>
      </w:r>
      <w:r w:rsidRPr="000B185D">
        <w:rPr>
          <w:rFonts w:ascii="Arial" w:hAnsi="Arial" w:cs="Arial"/>
          <w:sz w:val="18"/>
          <w:szCs w:val="18"/>
          <w:lang w:val="es-ES"/>
        </w:rPr>
        <w:tab/>
        <w:t xml:space="preserve">Fuente, Instituto de </w:t>
      </w:r>
      <w:r w:rsidRPr="000B185D">
        <w:rPr>
          <w:rFonts w:ascii="Arial" w:hAnsi="Arial" w:cs="Arial"/>
          <w:i/>
          <w:sz w:val="18"/>
          <w:szCs w:val="18"/>
          <w:lang w:val="es-ES"/>
        </w:rPr>
        <w:t>Pesquisa Estratégica Econômica</w:t>
      </w:r>
      <w:r w:rsidRPr="000B185D">
        <w:rPr>
          <w:rFonts w:ascii="Arial" w:hAnsi="Arial" w:cs="Arial"/>
          <w:sz w:val="18"/>
          <w:szCs w:val="18"/>
          <w:lang w:val="es-ES"/>
        </w:rPr>
        <w:t xml:space="preserve"> do Ceará–IPECE,  a partir de datos de la </w:t>
      </w:r>
      <w:r w:rsidRPr="000B185D">
        <w:rPr>
          <w:rFonts w:ascii="Arial" w:hAnsi="Arial" w:cs="Arial"/>
          <w:i/>
          <w:sz w:val="18"/>
          <w:szCs w:val="18"/>
          <w:lang w:val="es-ES"/>
        </w:rPr>
        <w:t>Pesquisa Nacional por Amostra de Domicílios</w:t>
      </w:r>
      <w:r w:rsidRPr="000B185D">
        <w:rPr>
          <w:rFonts w:ascii="Arial" w:hAnsi="Arial" w:cs="Arial"/>
          <w:sz w:val="18"/>
          <w:szCs w:val="18"/>
          <w:lang w:val="es-ES"/>
        </w:rPr>
        <w:t xml:space="preserve"> (PNAD) e Instituto Brasileño de Geografía y Estadística -IBGE, 2012. En Brasil, 3,9% de la población vive en pobreza extrema.</w:t>
      </w:r>
      <w:r w:rsidRPr="000B185D">
        <w:rPr>
          <w:rFonts w:ascii="Arial" w:hAnsi="Arial" w:cs="Arial"/>
          <w:sz w:val="18"/>
          <w:szCs w:val="18"/>
          <w:lang w:val="es-ES_tradnl"/>
        </w:rPr>
        <w:t xml:space="preserve"> </w:t>
      </w:r>
    </w:p>
  </w:footnote>
  <w:footnote w:id="5">
    <w:p w:rsidR="00064AF1" w:rsidRPr="000B185D" w:rsidRDefault="00064AF1" w:rsidP="000B185D">
      <w:pPr>
        <w:pStyle w:val="FootnoteText"/>
        <w:spacing w:after="0"/>
        <w:rPr>
          <w:rFonts w:ascii="Arial" w:hAnsi="Arial" w:cs="Arial"/>
          <w:sz w:val="18"/>
          <w:szCs w:val="18"/>
          <w:lang w:val="es-ES_tradnl"/>
        </w:rPr>
      </w:pPr>
      <w:r w:rsidRPr="000B185D">
        <w:rPr>
          <w:rStyle w:val="FootnoteReference"/>
          <w:rFonts w:ascii="Arial" w:hAnsi="Arial" w:cs="Arial"/>
          <w:sz w:val="18"/>
          <w:szCs w:val="18"/>
        </w:rPr>
        <w:footnoteRef/>
      </w:r>
      <w:r w:rsidRPr="000B185D">
        <w:rPr>
          <w:rFonts w:ascii="Arial" w:hAnsi="Arial" w:cs="Arial"/>
          <w:sz w:val="18"/>
          <w:szCs w:val="18"/>
          <w:lang w:val="es-ES_tradnl"/>
        </w:rPr>
        <w:t xml:space="preserve"> </w:t>
      </w:r>
      <w:r w:rsidRPr="000B185D">
        <w:rPr>
          <w:rFonts w:ascii="Arial" w:hAnsi="Arial" w:cs="Arial"/>
          <w:sz w:val="18"/>
          <w:szCs w:val="18"/>
          <w:lang w:val="es-ES_tradnl"/>
        </w:rPr>
        <w:tab/>
        <w:t>Personas mayores de 15 años. Fuente: IPECE, a partir de datos de la PNAD e IBGE, 2012.</w:t>
      </w:r>
    </w:p>
  </w:footnote>
  <w:footnote w:id="6">
    <w:p w:rsidR="00064AF1" w:rsidRPr="000B185D" w:rsidRDefault="00064AF1" w:rsidP="000B185D">
      <w:pPr>
        <w:pStyle w:val="FootnoteText"/>
        <w:spacing w:after="0"/>
        <w:ind w:left="274" w:hanging="274"/>
        <w:rPr>
          <w:rFonts w:ascii="Arial" w:hAnsi="Arial" w:cs="Arial"/>
          <w:sz w:val="18"/>
          <w:szCs w:val="18"/>
          <w:lang w:val="es-ES"/>
        </w:rPr>
      </w:pPr>
      <w:r w:rsidRPr="000B185D">
        <w:rPr>
          <w:rStyle w:val="FootnoteReference"/>
          <w:rFonts w:ascii="Arial" w:hAnsi="Arial" w:cs="Arial"/>
          <w:sz w:val="18"/>
          <w:szCs w:val="18"/>
          <w:lang w:val="es-ES"/>
        </w:rPr>
        <w:footnoteRef/>
      </w:r>
      <w:r w:rsidRPr="000B185D">
        <w:rPr>
          <w:rFonts w:ascii="Arial" w:hAnsi="Arial" w:cs="Arial"/>
          <w:sz w:val="18"/>
          <w:szCs w:val="18"/>
          <w:lang w:val="es-ES"/>
        </w:rPr>
        <w:t xml:space="preserve"> </w:t>
      </w:r>
      <w:r w:rsidRPr="000B185D">
        <w:rPr>
          <w:rFonts w:ascii="Arial" w:hAnsi="Arial" w:cs="Arial"/>
          <w:sz w:val="18"/>
          <w:szCs w:val="18"/>
          <w:lang w:val="es-ES"/>
        </w:rPr>
        <w:tab/>
        <w:t>Programa Naciones Unidas para el Desarrollo (PNUD), 2010. Estos municipios están dispersos en todo el territorio del Estado, pero se observan concentraciones en las regiones Sertão Central, Fortaleza y Norte.</w:t>
      </w:r>
    </w:p>
  </w:footnote>
  <w:footnote w:id="7">
    <w:p w:rsidR="00064AF1" w:rsidRPr="000B185D" w:rsidRDefault="00064AF1" w:rsidP="000B185D">
      <w:pPr>
        <w:pStyle w:val="FootnoteText"/>
        <w:spacing w:after="0"/>
        <w:ind w:left="274" w:hanging="274"/>
        <w:rPr>
          <w:rFonts w:ascii="Arial" w:hAnsi="Arial" w:cs="Arial"/>
          <w:sz w:val="18"/>
          <w:szCs w:val="18"/>
          <w:lang w:val="es-ES"/>
        </w:rPr>
      </w:pPr>
      <w:r w:rsidRPr="000B185D">
        <w:rPr>
          <w:rStyle w:val="FootnoteReference"/>
          <w:rFonts w:ascii="Arial" w:hAnsi="Arial" w:cs="Arial"/>
          <w:sz w:val="18"/>
          <w:szCs w:val="18"/>
          <w:lang w:val="es-ES"/>
        </w:rPr>
        <w:footnoteRef/>
      </w:r>
      <w:r w:rsidRPr="000B185D">
        <w:rPr>
          <w:rFonts w:ascii="Arial" w:hAnsi="Arial" w:cs="Arial"/>
          <w:sz w:val="18"/>
          <w:szCs w:val="18"/>
          <w:lang w:val="es-ES"/>
        </w:rPr>
        <w:t xml:space="preserve"> </w:t>
      </w:r>
      <w:r w:rsidRPr="000B185D">
        <w:rPr>
          <w:rFonts w:ascii="Arial" w:hAnsi="Arial" w:cs="Arial"/>
          <w:sz w:val="18"/>
          <w:szCs w:val="18"/>
          <w:lang w:val="es-ES"/>
        </w:rPr>
        <w:tab/>
        <w:t>La diferencia entre el peor PIB per cápita municipal y el mejor, llega a más de 1.000% (R$3.169 y R$39.997). Asimismo, 30% de los municipios de Ceará presentan un valor entre 0,56 y 0,65 para el Índice Gini, mientras que el promedio de Ceará es 0,53 y Brasil 0,52 (Instituto de Pesquisa Económica Aplicada–IPEA 2010).</w:t>
      </w:r>
    </w:p>
  </w:footnote>
  <w:footnote w:id="8">
    <w:p w:rsidR="00064AF1" w:rsidRPr="000B185D" w:rsidRDefault="00064AF1" w:rsidP="000B185D">
      <w:pPr>
        <w:pStyle w:val="FootnoteText"/>
        <w:spacing w:after="0"/>
        <w:ind w:left="274" w:hanging="274"/>
        <w:rPr>
          <w:rFonts w:ascii="Arial" w:hAnsi="Arial" w:cs="Arial"/>
          <w:sz w:val="18"/>
          <w:szCs w:val="18"/>
          <w:lang w:val="es-ES"/>
        </w:rPr>
      </w:pPr>
      <w:r w:rsidRPr="000B185D">
        <w:rPr>
          <w:rStyle w:val="FootnoteReference"/>
          <w:rFonts w:ascii="Arial" w:hAnsi="Arial" w:cs="Arial"/>
          <w:sz w:val="18"/>
          <w:szCs w:val="18"/>
          <w:lang w:val="es-ES"/>
        </w:rPr>
        <w:footnoteRef/>
      </w:r>
      <w:r w:rsidRPr="000B185D">
        <w:rPr>
          <w:rFonts w:ascii="Arial" w:hAnsi="Arial" w:cs="Arial"/>
          <w:sz w:val="18"/>
          <w:szCs w:val="18"/>
          <w:lang w:val="es-ES"/>
        </w:rPr>
        <w:t xml:space="preserve"> </w:t>
      </w:r>
      <w:r w:rsidRPr="000B185D">
        <w:rPr>
          <w:rFonts w:ascii="Arial" w:hAnsi="Arial" w:cs="Arial"/>
          <w:sz w:val="18"/>
          <w:szCs w:val="18"/>
          <w:lang w:val="es-ES"/>
        </w:rPr>
        <w:tab/>
        <w:t>Son prevalentes los cánceres de mama para las mujeres y de próstata para los hombres, cuyas tasas de mortalidad fueron de 14,8 y 12/ 100.000 habitantes, respectivamente, en 2013.</w:t>
      </w:r>
    </w:p>
  </w:footnote>
  <w:footnote w:id="9">
    <w:p w:rsidR="00064AF1" w:rsidRPr="000B185D" w:rsidRDefault="00064AF1" w:rsidP="000B185D">
      <w:pPr>
        <w:pStyle w:val="FootnoteText"/>
        <w:spacing w:after="0"/>
        <w:ind w:left="274" w:hanging="274"/>
        <w:rPr>
          <w:rFonts w:ascii="Arial" w:hAnsi="Arial" w:cs="Arial"/>
          <w:sz w:val="18"/>
          <w:szCs w:val="18"/>
          <w:lang w:val="es-ES"/>
        </w:rPr>
      </w:pPr>
      <w:r w:rsidRPr="000B185D">
        <w:rPr>
          <w:rStyle w:val="FootnoteReference"/>
          <w:rFonts w:ascii="Arial" w:hAnsi="Arial" w:cs="Arial"/>
          <w:sz w:val="18"/>
          <w:szCs w:val="18"/>
          <w:lang w:val="es-ES"/>
        </w:rPr>
        <w:footnoteRef/>
      </w:r>
      <w:r w:rsidRPr="000B185D">
        <w:rPr>
          <w:rFonts w:ascii="Arial" w:hAnsi="Arial" w:cs="Arial"/>
          <w:sz w:val="18"/>
          <w:szCs w:val="18"/>
          <w:lang w:val="es-ES"/>
        </w:rPr>
        <w:t xml:space="preserve"> </w:t>
      </w:r>
      <w:r w:rsidRPr="000B185D">
        <w:rPr>
          <w:rFonts w:ascii="Arial" w:hAnsi="Arial" w:cs="Arial"/>
          <w:sz w:val="18"/>
          <w:szCs w:val="18"/>
          <w:lang w:val="es-ES"/>
        </w:rPr>
        <w:tab/>
        <w:t>Encuesta Nacional de Factores de Riesgo, Vigitel, Ministerio de Salud.</w:t>
      </w:r>
    </w:p>
  </w:footnote>
  <w:footnote w:id="10">
    <w:p w:rsidR="00064AF1" w:rsidRPr="000B185D" w:rsidRDefault="00064AF1" w:rsidP="000B185D">
      <w:pPr>
        <w:pStyle w:val="FootnoteText"/>
        <w:spacing w:after="0"/>
        <w:ind w:left="270" w:hanging="270"/>
        <w:rPr>
          <w:rFonts w:ascii="Arial" w:hAnsi="Arial" w:cs="Arial"/>
          <w:sz w:val="18"/>
          <w:szCs w:val="18"/>
          <w:lang w:val="es-ES_tradnl"/>
        </w:rPr>
      </w:pPr>
      <w:r w:rsidRPr="000B185D">
        <w:rPr>
          <w:rStyle w:val="FootnoteReference"/>
          <w:rFonts w:ascii="Arial" w:eastAsiaTheme="majorEastAsia" w:hAnsi="Arial" w:cs="Arial"/>
          <w:sz w:val="18"/>
          <w:szCs w:val="18"/>
        </w:rPr>
        <w:footnoteRef/>
      </w:r>
      <w:r w:rsidRPr="000B185D">
        <w:rPr>
          <w:rFonts w:ascii="Arial" w:hAnsi="Arial" w:cs="Arial"/>
          <w:sz w:val="18"/>
          <w:szCs w:val="18"/>
          <w:lang w:val="es-ES"/>
        </w:rPr>
        <w:t xml:space="preserve"> </w:t>
      </w:r>
      <w:r w:rsidRPr="000B185D">
        <w:rPr>
          <w:rFonts w:ascii="Arial" w:hAnsi="Arial" w:cs="Arial"/>
          <w:sz w:val="18"/>
          <w:szCs w:val="18"/>
          <w:lang w:val="es-ES"/>
        </w:rPr>
        <w:tab/>
        <w:t>OPS (2012), Mejora de Cuidados Crónicos a través de las Redes Integradas de Servicios de Salud http://www.paho.org/hq/index.php?option=com_docman&amp;task=doc_view&amp;gid=21400&amp;Itemid), SFD de Salud y Nutrición (GN-2735-3)</w:t>
      </w:r>
    </w:p>
  </w:footnote>
  <w:footnote w:id="11">
    <w:p w:rsidR="00064AF1" w:rsidRPr="000B185D" w:rsidRDefault="00064AF1" w:rsidP="000B185D">
      <w:pPr>
        <w:pStyle w:val="FootnoteText"/>
        <w:tabs>
          <w:tab w:val="left" w:pos="270"/>
        </w:tabs>
        <w:spacing w:after="0"/>
        <w:ind w:left="274" w:hanging="274"/>
        <w:rPr>
          <w:rFonts w:ascii="Arial" w:hAnsi="Arial" w:cs="Arial"/>
          <w:sz w:val="18"/>
          <w:szCs w:val="18"/>
        </w:rPr>
      </w:pPr>
      <w:r w:rsidRPr="000B185D">
        <w:rPr>
          <w:rStyle w:val="FootnoteReference"/>
          <w:rFonts w:ascii="Arial" w:eastAsiaTheme="majorEastAsia" w:hAnsi="Arial" w:cs="Arial"/>
          <w:sz w:val="18"/>
          <w:szCs w:val="18"/>
          <w:lang w:val="es-ES"/>
        </w:rPr>
        <w:footnoteRef/>
      </w:r>
      <w:r w:rsidRPr="000B185D">
        <w:rPr>
          <w:rFonts w:ascii="Arial" w:hAnsi="Arial" w:cs="Arial"/>
          <w:sz w:val="18"/>
          <w:szCs w:val="18"/>
        </w:rPr>
        <w:t xml:space="preserve"> </w:t>
      </w:r>
      <w:r w:rsidRPr="000B185D">
        <w:rPr>
          <w:rFonts w:ascii="Arial" w:hAnsi="Arial" w:cs="Arial"/>
          <w:sz w:val="18"/>
          <w:szCs w:val="18"/>
        </w:rPr>
        <w:tab/>
        <w:t>WHO, 2009; Schramm, J. et al., Stevens, A. et al., 2012 ; Barker, G., Ricardo, C. and M. Nascimento, 2007; WHO, 2007; Pathania, V.S., 2011; DeVon, HA, et al., 2008.</w:t>
      </w:r>
    </w:p>
  </w:footnote>
  <w:footnote w:id="12">
    <w:p w:rsidR="00064AF1" w:rsidRPr="000B185D" w:rsidRDefault="00064AF1" w:rsidP="000B185D">
      <w:pPr>
        <w:pStyle w:val="FootnoteText"/>
        <w:spacing w:after="0"/>
        <w:ind w:left="274" w:hanging="274"/>
        <w:rPr>
          <w:rFonts w:ascii="Arial" w:hAnsi="Arial" w:cs="Arial"/>
          <w:sz w:val="18"/>
          <w:szCs w:val="18"/>
          <w:lang w:val="es-ES"/>
        </w:rPr>
      </w:pPr>
      <w:r w:rsidRPr="000B185D">
        <w:rPr>
          <w:rStyle w:val="FootnoteReference"/>
          <w:rFonts w:ascii="Arial" w:hAnsi="Arial" w:cs="Arial"/>
          <w:sz w:val="18"/>
          <w:szCs w:val="18"/>
          <w:lang w:val="es-ES"/>
        </w:rPr>
        <w:footnoteRef/>
      </w:r>
      <w:r w:rsidRPr="000B185D">
        <w:rPr>
          <w:rFonts w:ascii="Arial" w:hAnsi="Arial" w:cs="Arial"/>
          <w:sz w:val="18"/>
          <w:szCs w:val="18"/>
          <w:lang w:val="es-ES"/>
        </w:rPr>
        <w:t xml:space="preserve"> </w:t>
      </w:r>
      <w:r w:rsidRPr="000B185D">
        <w:rPr>
          <w:rFonts w:ascii="Arial" w:hAnsi="Arial" w:cs="Arial"/>
          <w:sz w:val="18"/>
          <w:szCs w:val="18"/>
          <w:lang w:val="es-ES"/>
        </w:rPr>
        <w:tab/>
        <w:t>La tasa de mortalidad infantil para Brasil en 2013 fue de 15,02 por 1.000 nacidos vivos.</w:t>
      </w:r>
    </w:p>
  </w:footnote>
  <w:footnote w:id="13">
    <w:p w:rsidR="00064AF1" w:rsidRPr="000B185D" w:rsidRDefault="00064AF1" w:rsidP="000B185D">
      <w:pPr>
        <w:pStyle w:val="FootnoteText"/>
        <w:spacing w:after="0"/>
        <w:ind w:left="274" w:hanging="274"/>
        <w:rPr>
          <w:rFonts w:ascii="Arial" w:hAnsi="Arial" w:cs="Arial"/>
          <w:sz w:val="18"/>
          <w:szCs w:val="18"/>
          <w:lang w:val="es-ES"/>
        </w:rPr>
      </w:pPr>
      <w:r w:rsidRPr="000B185D">
        <w:rPr>
          <w:rStyle w:val="FootnoteReference"/>
          <w:rFonts w:ascii="Arial" w:hAnsi="Arial" w:cs="Arial"/>
          <w:sz w:val="18"/>
          <w:szCs w:val="18"/>
          <w:lang w:val="es-ES"/>
        </w:rPr>
        <w:footnoteRef/>
      </w:r>
      <w:r w:rsidRPr="000B185D">
        <w:rPr>
          <w:rFonts w:ascii="Arial" w:hAnsi="Arial" w:cs="Arial"/>
          <w:sz w:val="18"/>
          <w:szCs w:val="18"/>
          <w:lang w:val="es-ES"/>
        </w:rPr>
        <w:t xml:space="preserve"> </w:t>
      </w:r>
      <w:r w:rsidRPr="000B185D">
        <w:rPr>
          <w:rFonts w:ascii="Arial" w:hAnsi="Arial" w:cs="Arial"/>
          <w:sz w:val="18"/>
          <w:szCs w:val="18"/>
          <w:lang w:val="es-ES"/>
        </w:rPr>
        <w:tab/>
        <w:t>Entre 2001 y 2013, mientras que la tasa de mortalidad pos-neonatal (después de 28 días de vida), se redujo más de 50%, la tasa de mortalidad neonatal (hasta 28 días de vida) bajó apenas 24%.</w:t>
      </w:r>
    </w:p>
  </w:footnote>
  <w:footnote w:id="14">
    <w:p w:rsidR="00064AF1" w:rsidRPr="000B185D" w:rsidRDefault="00064AF1" w:rsidP="000B185D">
      <w:pPr>
        <w:autoSpaceDE w:val="0"/>
        <w:autoSpaceDN w:val="0"/>
        <w:adjustRightInd w:val="0"/>
        <w:spacing w:after="0" w:line="240" w:lineRule="auto"/>
        <w:ind w:left="274" w:hanging="274"/>
        <w:jc w:val="both"/>
        <w:rPr>
          <w:rFonts w:cs="Arial"/>
          <w:sz w:val="18"/>
          <w:szCs w:val="18"/>
          <w:lang w:val="es-ES"/>
        </w:rPr>
      </w:pPr>
      <w:r w:rsidRPr="000B185D">
        <w:rPr>
          <w:rStyle w:val="FootnoteReference"/>
          <w:rFonts w:eastAsiaTheme="majorEastAsia" w:cs="Arial"/>
          <w:sz w:val="18"/>
          <w:szCs w:val="18"/>
          <w:lang w:val="es-ES"/>
        </w:rPr>
        <w:footnoteRef/>
      </w:r>
      <w:r w:rsidRPr="000B185D">
        <w:rPr>
          <w:rFonts w:cs="Arial"/>
          <w:sz w:val="18"/>
          <w:szCs w:val="18"/>
          <w:lang w:val="es-ES"/>
        </w:rPr>
        <w:tab/>
        <w:t>Las dos principales causas directas específicas de muerte materna en Brasil son la hipertensión y el shock hemorrágico, que correspondieron en 2010, a 19,7% y 10,9% del total de óbitos maternos, respectivamente. Otras causas obstétricas directas importantes son la infección puerperal y el aborto, que correspondieron, respectivamente, a 6,5% y 4,6% del total de óbitos maternos.</w:t>
      </w:r>
    </w:p>
  </w:footnote>
  <w:footnote w:id="15">
    <w:p w:rsidR="00064AF1" w:rsidRPr="000B185D" w:rsidRDefault="00064AF1" w:rsidP="000B185D">
      <w:pPr>
        <w:pStyle w:val="FootnoteText"/>
        <w:spacing w:after="0"/>
        <w:rPr>
          <w:rFonts w:ascii="Arial" w:hAnsi="Arial" w:cs="Arial"/>
          <w:sz w:val="18"/>
          <w:szCs w:val="18"/>
          <w:lang w:val="es-ES"/>
        </w:rPr>
      </w:pPr>
      <w:r w:rsidRPr="000B185D">
        <w:rPr>
          <w:rStyle w:val="FootnoteReference"/>
          <w:rFonts w:ascii="Arial" w:hAnsi="Arial" w:cs="Arial"/>
          <w:sz w:val="18"/>
          <w:szCs w:val="18"/>
          <w:lang w:val="es-ES"/>
        </w:rPr>
        <w:footnoteRef/>
      </w:r>
      <w:r w:rsidRPr="000B185D">
        <w:rPr>
          <w:rFonts w:ascii="Arial" w:hAnsi="Arial" w:cs="Arial"/>
          <w:sz w:val="18"/>
          <w:szCs w:val="18"/>
          <w:lang w:val="es-ES"/>
        </w:rPr>
        <w:t xml:space="preserve"> </w:t>
      </w:r>
      <w:r w:rsidRPr="000B185D">
        <w:rPr>
          <w:rFonts w:ascii="Arial" w:hAnsi="Arial" w:cs="Arial"/>
          <w:sz w:val="18"/>
          <w:szCs w:val="18"/>
          <w:lang w:val="es-ES"/>
        </w:rPr>
        <w:tab/>
      </w:r>
      <w:r w:rsidRPr="000B185D">
        <w:rPr>
          <w:rFonts w:ascii="Arial" w:hAnsi="Arial" w:cs="Arial"/>
          <w:spacing w:val="0"/>
          <w:sz w:val="18"/>
          <w:szCs w:val="18"/>
          <w:lang w:val="es-ES"/>
        </w:rPr>
        <w:t>Las RAS son arreglos organizativos de acciones y servicios de salud, de diferentes complejidades, integradas por medio de sistemas de apoyo técnico y logístico, que buscan generar mayor eficiencia en los gastos y garantizar la integralidad de la atención (Ministerio de Salud Brasil, 2010).</w:t>
      </w:r>
    </w:p>
  </w:footnote>
  <w:footnote w:id="16">
    <w:p w:rsidR="00064AF1" w:rsidRPr="000B185D" w:rsidRDefault="00064AF1" w:rsidP="000B185D">
      <w:pPr>
        <w:pStyle w:val="FootnoteText"/>
        <w:spacing w:after="0"/>
        <w:ind w:left="274" w:hanging="274"/>
        <w:rPr>
          <w:rFonts w:ascii="Arial" w:hAnsi="Arial" w:cs="Arial"/>
          <w:sz w:val="18"/>
          <w:szCs w:val="18"/>
          <w:lang w:val="es-ES"/>
        </w:rPr>
      </w:pPr>
      <w:r w:rsidRPr="000B185D">
        <w:rPr>
          <w:rStyle w:val="FootnoteReference"/>
          <w:rFonts w:ascii="Arial" w:eastAsiaTheme="majorEastAsia" w:hAnsi="Arial" w:cs="Arial"/>
          <w:sz w:val="18"/>
          <w:szCs w:val="18"/>
          <w:lang w:val="es-ES"/>
        </w:rPr>
        <w:footnoteRef/>
      </w:r>
      <w:r w:rsidRPr="000B185D">
        <w:rPr>
          <w:rFonts w:ascii="Arial" w:hAnsi="Arial" w:cs="Arial"/>
          <w:sz w:val="18"/>
          <w:szCs w:val="18"/>
          <w:lang w:val="es-ES"/>
        </w:rPr>
        <w:t xml:space="preserve"> </w:t>
      </w:r>
      <w:r w:rsidRPr="000B185D">
        <w:rPr>
          <w:rFonts w:ascii="Arial" w:hAnsi="Arial" w:cs="Arial"/>
          <w:sz w:val="18"/>
          <w:szCs w:val="18"/>
          <w:lang w:val="es-ES"/>
        </w:rPr>
        <w:tab/>
        <w:t xml:space="preserve">El Estado de Ceará tuvo un rol clave en el modelaje  de la estrategia nacional de salud familiar (Tendler et al., 1998). </w:t>
      </w:r>
    </w:p>
  </w:footnote>
  <w:footnote w:id="17">
    <w:p w:rsidR="00064AF1" w:rsidRPr="000B185D" w:rsidRDefault="00064AF1" w:rsidP="000B185D">
      <w:pPr>
        <w:pStyle w:val="FootnoteText"/>
        <w:spacing w:after="0"/>
        <w:ind w:left="274" w:hanging="274"/>
        <w:rPr>
          <w:rFonts w:ascii="Arial" w:hAnsi="Arial" w:cs="Arial"/>
          <w:sz w:val="18"/>
          <w:szCs w:val="18"/>
          <w:lang w:val="es-ES"/>
        </w:rPr>
      </w:pPr>
      <w:r w:rsidRPr="000B185D">
        <w:rPr>
          <w:rStyle w:val="FootnoteReference"/>
          <w:rFonts w:ascii="Arial" w:hAnsi="Arial" w:cs="Arial"/>
          <w:sz w:val="18"/>
          <w:szCs w:val="18"/>
          <w:lang w:val="es-ES"/>
        </w:rPr>
        <w:footnoteRef/>
      </w:r>
      <w:r w:rsidRPr="000B185D">
        <w:rPr>
          <w:rFonts w:ascii="Arial" w:hAnsi="Arial" w:cs="Arial"/>
          <w:sz w:val="18"/>
          <w:szCs w:val="18"/>
          <w:lang w:val="es-ES"/>
        </w:rPr>
        <w:t xml:space="preserve"> </w:t>
      </w:r>
      <w:r w:rsidRPr="000B185D">
        <w:rPr>
          <w:rFonts w:ascii="Arial" w:hAnsi="Arial" w:cs="Arial"/>
          <w:sz w:val="18"/>
          <w:szCs w:val="18"/>
          <w:lang w:val="es-ES"/>
        </w:rPr>
        <w:tab/>
        <w:t>Ceará posee en promedio una cobertura de 80% del PSF (DATASUS, 2014).</w:t>
      </w:r>
    </w:p>
  </w:footnote>
  <w:footnote w:id="18">
    <w:p w:rsidR="00064AF1" w:rsidRPr="000B185D" w:rsidRDefault="00064AF1" w:rsidP="000B185D">
      <w:pPr>
        <w:pStyle w:val="FootnoteText"/>
        <w:tabs>
          <w:tab w:val="left" w:pos="270"/>
        </w:tabs>
        <w:spacing w:after="0"/>
        <w:ind w:left="274" w:hanging="274"/>
        <w:rPr>
          <w:rFonts w:ascii="Arial" w:hAnsi="Arial" w:cs="Arial"/>
          <w:sz w:val="18"/>
          <w:szCs w:val="18"/>
          <w:lang w:val="es-ES"/>
        </w:rPr>
      </w:pPr>
      <w:r w:rsidRPr="000B185D">
        <w:rPr>
          <w:rStyle w:val="FootnoteReference"/>
          <w:rFonts w:ascii="Arial" w:eastAsiaTheme="majorEastAsia" w:hAnsi="Arial" w:cs="Arial"/>
          <w:sz w:val="18"/>
          <w:szCs w:val="18"/>
          <w:lang w:val="es-ES"/>
        </w:rPr>
        <w:footnoteRef/>
      </w:r>
      <w:r w:rsidRPr="000B185D">
        <w:rPr>
          <w:rFonts w:ascii="Arial" w:hAnsi="Arial" w:cs="Arial"/>
          <w:sz w:val="18"/>
          <w:szCs w:val="18"/>
          <w:lang w:val="es-ES"/>
        </w:rPr>
        <w:t xml:space="preserve"> </w:t>
      </w:r>
      <w:r w:rsidRPr="000B185D">
        <w:rPr>
          <w:rFonts w:ascii="Arial" w:hAnsi="Arial" w:cs="Arial"/>
          <w:sz w:val="18"/>
          <w:szCs w:val="18"/>
          <w:lang w:val="es-ES"/>
        </w:rPr>
        <w:tab/>
        <w:t>El PSF es un modelo centrado en Atención Primaria en Salud (APS) que prioriza facilitar el acceso, y es un punto de partida para consolidar las redes. Para resultados del</w:t>
      </w:r>
      <w:r w:rsidRPr="000B185D">
        <w:rPr>
          <w:rFonts w:ascii="Arial" w:hAnsi="Arial" w:cs="Arial"/>
          <w:sz w:val="18"/>
          <w:szCs w:val="18"/>
          <w:lang w:val="es-ES_tradnl"/>
        </w:rPr>
        <w:t xml:space="preserve"> Programa Salud Familiar</w:t>
      </w:r>
      <w:r w:rsidRPr="000B185D">
        <w:rPr>
          <w:rFonts w:ascii="Arial" w:hAnsi="Arial" w:cs="Arial"/>
          <w:sz w:val="18"/>
          <w:szCs w:val="18"/>
          <w:lang w:val="es-ES"/>
        </w:rPr>
        <w:t xml:space="preserve"> (PSF), ver Macinko et al., 2006. </w:t>
      </w:r>
    </w:p>
  </w:footnote>
  <w:footnote w:id="19">
    <w:p w:rsidR="00064AF1" w:rsidRPr="000B185D" w:rsidRDefault="00064AF1" w:rsidP="000B185D">
      <w:pPr>
        <w:pStyle w:val="FootnoteText"/>
        <w:spacing w:after="0"/>
        <w:ind w:left="274" w:hanging="274"/>
        <w:rPr>
          <w:rFonts w:ascii="Arial" w:hAnsi="Arial" w:cs="Arial"/>
          <w:sz w:val="18"/>
          <w:szCs w:val="18"/>
          <w:lang w:val="es-ES"/>
        </w:rPr>
      </w:pPr>
      <w:r w:rsidRPr="000B185D">
        <w:rPr>
          <w:rStyle w:val="FootnoteReference"/>
          <w:rFonts w:ascii="Arial" w:hAnsi="Arial" w:cs="Arial"/>
          <w:sz w:val="18"/>
          <w:szCs w:val="18"/>
          <w:lang w:val="es-ES"/>
        </w:rPr>
        <w:footnoteRef/>
      </w:r>
      <w:r w:rsidRPr="000B185D">
        <w:rPr>
          <w:rFonts w:ascii="Arial" w:hAnsi="Arial" w:cs="Arial"/>
          <w:sz w:val="18"/>
          <w:szCs w:val="18"/>
          <w:lang w:val="es-ES"/>
        </w:rPr>
        <w:t xml:space="preserve"> </w:t>
      </w:r>
      <w:r w:rsidRPr="000B185D">
        <w:rPr>
          <w:rFonts w:ascii="Arial" w:hAnsi="Arial" w:cs="Arial"/>
          <w:sz w:val="18"/>
          <w:szCs w:val="18"/>
          <w:lang w:val="es-ES"/>
        </w:rPr>
        <w:tab/>
        <w:t>El primer Plan Director de Regionalización (PDR) de Ceará (1998) previa 3 macro regiones de salud. Actualmente (PDR 2014) están contempladas 5 macro regiones.</w:t>
      </w:r>
    </w:p>
  </w:footnote>
  <w:footnote w:id="20">
    <w:p w:rsidR="00064AF1" w:rsidRPr="000B185D" w:rsidRDefault="00064AF1" w:rsidP="000B185D">
      <w:pPr>
        <w:pStyle w:val="FootnoteText"/>
        <w:spacing w:after="0"/>
        <w:ind w:left="274" w:hanging="274"/>
        <w:rPr>
          <w:rFonts w:ascii="Arial" w:hAnsi="Arial" w:cs="Arial"/>
          <w:sz w:val="18"/>
          <w:szCs w:val="18"/>
          <w:lang w:val="es-ES"/>
        </w:rPr>
      </w:pPr>
      <w:r w:rsidRPr="000B185D">
        <w:rPr>
          <w:rStyle w:val="FootnoteReference"/>
          <w:rFonts w:ascii="Arial" w:hAnsi="Arial" w:cs="Arial"/>
          <w:sz w:val="18"/>
          <w:szCs w:val="18"/>
          <w:lang w:val="es-ES"/>
        </w:rPr>
        <w:footnoteRef/>
      </w:r>
      <w:r w:rsidRPr="000B185D">
        <w:rPr>
          <w:rFonts w:ascii="Arial" w:hAnsi="Arial" w:cs="Arial"/>
          <w:sz w:val="18"/>
          <w:szCs w:val="18"/>
          <w:lang w:val="es-ES"/>
        </w:rPr>
        <w:tab/>
        <w:t xml:space="preserve">Ceará fue considerado el primer estado a desarrollar la experiencia de regionalización con base en el concepto de RAS (Mendes, EV., 2007).  </w:t>
      </w:r>
    </w:p>
  </w:footnote>
  <w:footnote w:id="21">
    <w:p w:rsidR="00064AF1" w:rsidRPr="000B185D" w:rsidRDefault="00064AF1" w:rsidP="000B185D">
      <w:pPr>
        <w:pStyle w:val="FootnoteText"/>
        <w:spacing w:after="0"/>
        <w:ind w:left="274" w:hanging="274"/>
        <w:rPr>
          <w:rFonts w:ascii="Arial" w:hAnsi="Arial" w:cs="Arial"/>
          <w:sz w:val="18"/>
          <w:szCs w:val="18"/>
          <w:lang w:val="es-ES"/>
        </w:rPr>
      </w:pPr>
      <w:r w:rsidRPr="000B185D">
        <w:rPr>
          <w:rStyle w:val="FootnoteReference"/>
          <w:rFonts w:ascii="Arial" w:hAnsi="Arial" w:cs="Arial"/>
          <w:sz w:val="18"/>
          <w:szCs w:val="18"/>
          <w:lang w:val="es-ES"/>
        </w:rPr>
        <w:footnoteRef/>
      </w:r>
      <w:r w:rsidRPr="000B185D">
        <w:rPr>
          <w:rFonts w:ascii="Arial" w:hAnsi="Arial" w:cs="Arial"/>
          <w:sz w:val="18"/>
          <w:szCs w:val="18"/>
          <w:lang w:val="es-ES"/>
        </w:rPr>
        <w:t xml:space="preserve"> </w:t>
      </w:r>
      <w:r w:rsidRPr="000B185D">
        <w:rPr>
          <w:rFonts w:ascii="Arial" w:hAnsi="Arial" w:cs="Arial"/>
          <w:sz w:val="18"/>
          <w:szCs w:val="18"/>
          <w:lang w:val="es-ES"/>
        </w:rPr>
        <w:tab/>
        <w:t xml:space="preserve">El programa obtuvo elegibilidad en diciembre de 2010 y finalizará en diciembre de 2016, y ya alcanza 95% de ejecución. </w:t>
      </w:r>
    </w:p>
  </w:footnote>
  <w:footnote w:id="22">
    <w:p w:rsidR="00064AF1" w:rsidRPr="000B185D" w:rsidRDefault="00064AF1" w:rsidP="000B185D">
      <w:pPr>
        <w:pStyle w:val="FootnoteText"/>
        <w:spacing w:after="0"/>
        <w:ind w:left="274" w:hanging="274"/>
        <w:rPr>
          <w:rFonts w:ascii="Arial" w:hAnsi="Arial" w:cs="Arial"/>
          <w:sz w:val="18"/>
          <w:szCs w:val="18"/>
          <w:lang w:val="es-ES"/>
        </w:rPr>
      </w:pPr>
      <w:r w:rsidRPr="000B185D">
        <w:rPr>
          <w:rStyle w:val="FootnoteReference"/>
          <w:rFonts w:ascii="Arial" w:eastAsiaTheme="majorEastAsia" w:hAnsi="Arial" w:cs="Arial"/>
          <w:sz w:val="18"/>
          <w:szCs w:val="18"/>
          <w:lang w:val="es-ES"/>
        </w:rPr>
        <w:footnoteRef/>
      </w:r>
      <w:r w:rsidRPr="000B185D">
        <w:rPr>
          <w:rFonts w:ascii="Arial" w:hAnsi="Arial" w:cs="Arial"/>
          <w:sz w:val="18"/>
          <w:szCs w:val="18"/>
          <w:lang w:val="es-ES"/>
        </w:rPr>
        <w:t xml:space="preserve"> </w:t>
      </w:r>
      <w:r w:rsidRPr="000B185D">
        <w:rPr>
          <w:rFonts w:ascii="Arial" w:hAnsi="Arial" w:cs="Arial"/>
          <w:sz w:val="18"/>
          <w:szCs w:val="18"/>
          <w:lang w:val="es-ES"/>
        </w:rPr>
        <w:tab/>
        <w:t xml:space="preserve">Esto incluye estudios y consultorías para reestructurar procesos y flujos del nivel central de SESA y sus unidades regionales, así como para mejorar aspectos de gestión de redes como desempeño de las unidades, costo-efectividad, mejora de la eficiencia, entre otros. </w:t>
      </w:r>
    </w:p>
  </w:footnote>
  <w:footnote w:id="23">
    <w:p w:rsidR="00064AF1" w:rsidRPr="000B185D" w:rsidRDefault="00064AF1" w:rsidP="000B185D">
      <w:pPr>
        <w:pStyle w:val="FootnoteText"/>
        <w:spacing w:after="0"/>
        <w:ind w:left="274" w:hanging="274"/>
        <w:rPr>
          <w:rFonts w:ascii="Arial" w:hAnsi="Arial" w:cs="Arial"/>
          <w:sz w:val="18"/>
          <w:szCs w:val="18"/>
          <w:lang w:val="es-ES"/>
        </w:rPr>
      </w:pPr>
      <w:r w:rsidRPr="000B185D">
        <w:rPr>
          <w:rStyle w:val="FootnoteReference"/>
          <w:rFonts w:ascii="Arial" w:eastAsiaTheme="majorEastAsia" w:hAnsi="Arial" w:cs="Arial"/>
          <w:sz w:val="18"/>
          <w:szCs w:val="18"/>
          <w:lang w:val="es-ES"/>
        </w:rPr>
        <w:footnoteRef/>
      </w:r>
      <w:r w:rsidRPr="000B185D">
        <w:rPr>
          <w:rFonts w:ascii="Arial" w:hAnsi="Arial" w:cs="Arial"/>
          <w:sz w:val="18"/>
          <w:szCs w:val="18"/>
          <w:lang w:val="es-ES"/>
        </w:rPr>
        <w:t xml:space="preserve"> </w:t>
      </w:r>
      <w:r w:rsidRPr="000B185D">
        <w:rPr>
          <w:rFonts w:ascii="Arial" w:hAnsi="Arial" w:cs="Arial"/>
          <w:sz w:val="18"/>
          <w:szCs w:val="18"/>
          <w:lang w:val="es-ES"/>
        </w:rPr>
        <w:tab/>
        <w:t>Son líneas de cuidado prioritarias: hipertensión arterial, diabetes mellitus y materno-infantil.</w:t>
      </w:r>
    </w:p>
  </w:footnote>
  <w:footnote w:id="24">
    <w:p w:rsidR="00064AF1" w:rsidRPr="000B185D" w:rsidRDefault="00064AF1" w:rsidP="000B185D">
      <w:pPr>
        <w:pStyle w:val="FootnoteText"/>
        <w:spacing w:after="0"/>
        <w:rPr>
          <w:rFonts w:ascii="Arial" w:hAnsi="Arial" w:cs="Arial"/>
          <w:sz w:val="18"/>
          <w:szCs w:val="18"/>
          <w:lang w:val="es-ES"/>
        </w:rPr>
      </w:pPr>
      <w:r w:rsidRPr="000B185D">
        <w:rPr>
          <w:rStyle w:val="FootnoteReference"/>
          <w:rFonts w:ascii="Arial" w:hAnsi="Arial" w:cs="Arial"/>
          <w:sz w:val="18"/>
          <w:szCs w:val="18"/>
        </w:rPr>
        <w:footnoteRef/>
      </w:r>
      <w:r w:rsidRPr="000B185D">
        <w:rPr>
          <w:rFonts w:ascii="Arial" w:hAnsi="Arial" w:cs="Arial"/>
          <w:sz w:val="18"/>
          <w:szCs w:val="18"/>
          <w:lang w:val="es-ES_tradnl"/>
        </w:rPr>
        <w:t xml:space="preserve"> </w:t>
      </w:r>
      <w:r w:rsidRPr="000B185D">
        <w:rPr>
          <w:rFonts w:ascii="Arial" w:hAnsi="Arial" w:cs="Arial"/>
          <w:sz w:val="18"/>
          <w:szCs w:val="18"/>
          <w:lang w:val="es-ES"/>
        </w:rPr>
        <w:t>De acuerdo al diagnóstico de necesidades realizado en la Red Cigüeña, con apoyo del MS.</w:t>
      </w:r>
    </w:p>
  </w:footnote>
  <w:footnote w:id="25">
    <w:p w:rsidR="00064AF1" w:rsidRPr="000B185D" w:rsidRDefault="00064AF1" w:rsidP="000B185D">
      <w:pPr>
        <w:pStyle w:val="FootnoteText"/>
        <w:spacing w:after="0"/>
        <w:rPr>
          <w:rFonts w:ascii="Arial" w:hAnsi="Arial" w:cs="Arial"/>
          <w:sz w:val="18"/>
          <w:szCs w:val="18"/>
          <w:lang w:val="es-ES_tradnl"/>
        </w:rPr>
      </w:pPr>
      <w:r w:rsidRPr="000B185D">
        <w:rPr>
          <w:rStyle w:val="FootnoteReference"/>
          <w:rFonts w:ascii="Arial" w:hAnsi="Arial" w:cs="Arial"/>
          <w:sz w:val="18"/>
          <w:szCs w:val="18"/>
        </w:rPr>
        <w:footnoteRef/>
      </w:r>
      <w:r w:rsidRPr="000B185D">
        <w:rPr>
          <w:rFonts w:ascii="Arial" w:hAnsi="Arial" w:cs="Arial"/>
          <w:sz w:val="18"/>
          <w:szCs w:val="18"/>
          <w:lang w:val="es-ES_tradnl"/>
        </w:rPr>
        <w:t xml:space="preserve"> Para convertir a dólares los $R10.473 se utiliza el tipo de cambio promedio a la venta reportado por el Banco Central Brasileño en 2012  y que asciende a  R$1.95 por dólar.</w:t>
      </w:r>
    </w:p>
  </w:footnote>
  <w:footnote w:id="26">
    <w:p w:rsidR="00064AF1" w:rsidRPr="000B185D" w:rsidRDefault="00064AF1" w:rsidP="000B185D">
      <w:pPr>
        <w:pStyle w:val="FootnoteText"/>
        <w:spacing w:after="0"/>
        <w:rPr>
          <w:rFonts w:ascii="Arial" w:hAnsi="Arial" w:cs="Arial"/>
          <w:sz w:val="18"/>
          <w:szCs w:val="18"/>
          <w:lang w:val="es-ES_tradnl"/>
        </w:rPr>
      </w:pPr>
      <w:r w:rsidRPr="000B185D">
        <w:rPr>
          <w:rStyle w:val="FootnoteReference"/>
          <w:rFonts w:ascii="Arial" w:hAnsi="Arial" w:cs="Arial"/>
          <w:sz w:val="18"/>
          <w:szCs w:val="18"/>
        </w:rPr>
        <w:footnoteRef/>
      </w:r>
      <w:r w:rsidRPr="000B185D">
        <w:rPr>
          <w:rFonts w:ascii="Arial" w:hAnsi="Arial" w:cs="Arial"/>
          <w:sz w:val="18"/>
          <w:szCs w:val="18"/>
          <w:lang w:val="es-ES_tradnl"/>
        </w:rPr>
        <w:t xml:space="preserve"> El crecimiento per cápita del PIB aumenta los beneficios anuales. En este ejercicio se utiliza el mismo PIB durante los cinco años de análisis y se deduce el crecimiento per cápita del PIB en precios constantes reportado para 2016-2020 por el Fondo Monetario Internacional </w:t>
      </w:r>
      <w:r w:rsidRPr="000B185D">
        <w:rPr>
          <w:rFonts w:ascii="Arial" w:hAnsi="Arial" w:cs="Arial"/>
          <w:sz w:val="18"/>
          <w:szCs w:val="18"/>
          <w:lang w:val="es-ES_tradnl"/>
        </w:rPr>
        <w:fldChar w:fldCharType="begin" w:fldLock="1"/>
      </w:r>
      <w:r w:rsidRPr="000B185D">
        <w:rPr>
          <w:rFonts w:ascii="Arial" w:hAnsi="Arial" w:cs="Arial"/>
          <w:sz w:val="18"/>
          <w:szCs w:val="18"/>
          <w:lang w:val="es-ES_tradnl"/>
        </w:rPr>
        <w:instrText>ADDIN CSL_CITATION { "citationItems" : [ { "id" : "ITEM-1", "itemData" : { "author" : [ { "dropping-particle" : "", "family" : "FMI", "given" : "", "non-dropping-particle" : "", "parse-names" : false, "suffix" : "" } ], "id" : "ITEM-1", "issued" : { "date-parts" : [ [ "2015" ] ] }, "publisher-place" : "Washington DC, Estados Unidos", "title" : "World Economic Outlook Database. April 2015 Edition.", "type" : "report" }, "uris" : [ "http://www.mendeley.com/documents/?uuid=7794e018-214b-4051-955b-3ee6048f69c1" ] } ], "mendeley" : { "formattedCitation" : "(FMI 2015)", "manualFormatting" : "(2015)", "plainTextFormattedCitation" : "(FMI 2015)", "previouslyFormattedCitation" : "(FMI 2015)" }, "properties" : { "noteIndex" : 0 }, "schema" : "https://github.com/citation-style-language/schema/raw/master/csl-citation.json" }</w:instrText>
      </w:r>
      <w:r w:rsidRPr="000B185D">
        <w:rPr>
          <w:rFonts w:ascii="Arial" w:hAnsi="Arial" w:cs="Arial"/>
          <w:sz w:val="18"/>
          <w:szCs w:val="18"/>
          <w:lang w:val="es-ES_tradnl"/>
        </w:rPr>
        <w:fldChar w:fldCharType="separate"/>
      </w:r>
      <w:r w:rsidRPr="000B185D">
        <w:rPr>
          <w:rFonts w:ascii="Arial" w:hAnsi="Arial" w:cs="Arial"/>
          <w:noProof/>
          <w:sz w:val="18"/>
          <w:szCs w:val="18"/>
          <w:lang w:val="es-ES_tradnl"/>
        </w:rPr>
        <w:t>(2015)</w:t>
      </w:r>
      <w:r w:rsidRPr="000B185D">
        <w:rPr>
          <w:rFonts w:ascii="Arial" w:hAnsi="Arial" w:cs="Arial"/>
          <w:sz w:val="18"/>
          <w:szCs w:val="18"/>
          <w:lang w:val="es-ES_tradnl"/>
        </w:rPr>
        <w:fldChar w:fldCharType="end"/>
      </w:r>
      <w:r w:rsidRPr="000B185D">
        <w:rPr>
          <w:rFonts w:ascii="Arial" w:hAnsi="Arial" w:cs="Arial"/>
          <w:sz w:val="18"/>
          <w:szCs w:val="18"/>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F1" w:rsidRPr="005867C5" w:rsidRDefault="00064AF1" w:rsidP="0085279F">
    <w:pPr>
      <w:tabs>
        <w:tab w:val="center" w:pos="4680"/>
        <w:tab w:val="right" w:pos="9360"/>
      </w:tabs>
      <w:spacing w:after="0" w:line="240" w:lineRule="auto"/>
      <w:jc w:val="right"/>
      <w:rPr>
        <w:rFonts w:cs="Arial"/>
        <w:sz w:val="18"/>
        <w:szCs w:val="18"/>
        <w:lang w:val="es-ES"/>
      </w:rPr>
    </w:pPr>
    <w:r w:rsidRPr="005867C5">
      <w:rPr>
        <w:rFonts w:cs="Arial"/>
        <w:sz w:val="18"/>
        <w:szCs w:val="18"/>
        <w:lang w:val="es-ES"/>
      </w:rPr>
      <w:t>EE</w:t>
    </w:r>
    <w:r>
      <w:rPr>
        <w:rFonts w:cs="Arial"/>
        <w:sz w:val="18"/>
        <w:szCs w:val="18"/>
        <w:lang w:val="es-ES"/>
      </w:rPr>
      <w:t>O #1</w:t>
    </w:r>
    <w:r w:rsidRPr="005867C5">
      <w:rPr>
        <w:rFonts w:cs="Arial"/>
        <w:sz w:val="18"/>
        <w:szCs w:val="18"/>
        <w:lang w:val="es-ES"/>
      </w:rPr>
      <w:t>-BR-L1408</w:t>
    </w:r>
  </w:p>
  <w:p w:rsidR="00064AF1" w:rsidRPr="005867C5" w:rsidRDefault="00064AF1" w:rsidP="0085279F">
    <w:pPr>
      <w:tabs>
        <w:tab w:val="center" w:pos="4680"/>
        <w:tab w:val="right" w:pos="9360"/>
      </w:tabs>
      <w:spacing w:after="0" w:line="240" w:lineRule="auto"/>
      <w:jc w:val="right"/>
      <w:rPr>
        <w:rFonts w:ascii="Times New Roman" w:hAnsi="Times New Roman"/>
        <w:szCs w:val="24"/>
        <w:lang w:val="es-ES"/>
      </w:rPr>
    </w:pPr>
    <w:r w:rsidRPr="005867C5">
      <w:rPr>
        <w:rFonts w:cs="Arial"/>
        <w:sz w:val="18"/>
        <w:szCs w:val="18"/>
        <w:lang w:val="es-ES"/>
      </w:rPr>
      <w:t xml:space="preserve">Página </w:t>
    </w:r>
    <w:r w:rsidRPr="005867C5">
      <w:rPr>
        <w:rFonts w:cs="Arial"/>
        <w:bCs/>
        <w:sz w:val="18"/>
        <w:szCs w:val="18"/>
        <w:lang w:val="es-ES"/>
      </w:rPr>
      <w:fldChar w:fldCharType="begin"/>
    </w:r>
    <w:r w:rsidRPr="005867C5">
      <w:rPr>
        <w:rFonts w:cs="Arial"/>
        <w:bCs/>
        <w:sz w:val="18"/>
        <w:szCs w:val="18"/>
        <w:lang w:val="es-ES"/>
      </w:rPr>
      <w:instrText xml:space="preserve"> PAGE </w:instrText>
    </w:r>
    <w:r w:rsidRPr="005867C5">
      <w:rPr>
        <w:rFonts w:cs="Arial"/>
        <w:bCs/>
        <w:sz w:val="18"/>
        <w:szCs w:val="18"/>
        <w:lang w:val="es-ES"/>
      </w:rPr>
      <w:fldChar w:fldCharType="separate"/>
    </w:r>
    <w:r w:rsidR="007B09C6">
      <w:rPr>
        <w:rFonts w:cs="Arial"/>
        <w:bCs/>
        <w:noProof/>
        <w:sz w:val="18"/>
        <w:szCs w:val="18"/>
        <w:lang w:val="es-ES"/>
      </w:rPr>
      <w:t>16</w:t>
    </w:r>
    <w:r w:rsidRPr="005867C5">
      <w:rPr>
        <w:rFonts w:cs="Arial"/>
        <w:bCs/>
        <w:sz w:val="18"/>
        <w:szCs w:val="18"/>
        <w:lang w:val="es-ES"/>
      </w:rPr>
      <w:fldChar w:fldCharType="end"/>
    </w:r>
    <w:r w:rsidRPr="005867C5">
      <w:rPr>
        <w:rFonts w:cs="Arial"/>
        <w:sz w:val="18"/>
        <w:szCs w:val="18"/>
        <w:lang w:val="es-ES"/>
      </w:rPr>
      <w:t xml:space="preserve"> de </w:t>
    </w:r>
    <w:r w:rsidRPr="005867C5">
      <w:rPr>
        <w:rFonts w:cs="Arial"/>
        <w:bCs/>
        <w:sz w:val="18"/>
        <w:szCs w:val="18"/>
        <w:lang w:val="es-ES"/>
      </w:rPr>
      <w:fldChar w:fldCharType="begin"/>
    </w:r>
    <w:r w:rsidRPr="005867C5">
      <w:rPr>
        <w:rFonts w:cs="Arial"/>
        <w:bCs/>
        <w:sz w:val="18"/>
        <w:szCs w:val="18"/>
        <w:lang w:val="es-ES"/>
      </w:rPr>
      <w:instrText xml:space="preserve"> NUMPAGES  </w:instrText>
    </w:r>
    <w:r w:rsidRPr="005867C5">
      <w:rPr>
        <w:rFonts w:cs="Arial"/>
        <w:bCs/>
        <w:sz w:val="18"/>
        <w:szCs w:val="18"/>
        <w:lang w:val="es-ES"/>
      </w:rPr>
      <w:fldChar w:fldCharType="separate"/>
    </w:r>
    <w:r w:rsidR="007B09C6">
      <w:rPr>
        <w:rFonts w:cs="Arial"/>
        <w:bCs/>
        <w:noProof/>
        <w:sz w:val="18"/>
        <w:szCs w:val="18"/>
        <w:lang w:val="es-ES"/>
      </w:rPr>
      <w:t>17</w:t>
    </w:r>
    <w:r w:rsidRPr="005867C5">
      <w:rPr>
        <w:rFonts w:cs="Arial"/>
        <w:bCs/>
        <w:sz w:val="18"/>
        <w:szCs w:val="18"/>
        <w:lang w:val="es-ES"/>
      </w:rPr>
      <w:fldChar w:fldCharType="end"/>
    </w:r>
  </w:p>
  <w:p w:rsidR="00064AF1" w:rsidRDefault="00064AF1" w:rsidP="006236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F1" w:rsidRPr="005867C5" w:rsidRDefault="00064AF1" w:rsidP="0085279F">
    <w:pPr>
      <w:tabs>
        <w:tab w:val="center" w:pos="4680"/>
        <w:tab w:val="right" w:pos="9360"/>
      </w:tabs>
      <w:spacing w:after="0" w:line="240" w:lineRule="auto"/>
      <w:rPr>
        <w:rFonts w:cs="Arial"/>
        <w:sz w:val="18"/>
        <w:szCs w:val="18"/>
        <w:lang w:val="es-ES"/>
      </w:rPr>
    </w:pPr>
    <w:r w:rsidRPr="005867C5">
      <w:rPr>
        <w:rFonts w:cs="Arial"/>
        <w:sz w:val="18"/>
        <w:szCs w:val="18"/>
        <w:lang w:val="es-ES"/>
      </w:rPr>
      <w:t>EE</w:t>
    </w:r>
    <w:r>
      <w:rPr>
        <w:rFonts w:cs="Arial"/>
        <w:sz w:val="18"/>
        <w:szCs w:val="18"/>
        <w:lang w:val="es-ES"/>
      </w:rPr>
      <w:t>O #1</w:t>
    </w:r>
    <w:r w:rsidRPr="005867C5">
      <w:rPr>
        <w:rFonts w:cs="Arial"/>
        <w:sz w:val="18"/>
        <w:szCs w:val="18"/>
        <w:lang w:val="es-ES"/>
      </w:rPr>
      <w:t>-BR-L1408</w:t>
    </w:r>
  </w:p>
  <w:p w:rsidR="00064AF1" w:rsidRPr="005867C5" w:rsidRDefault="00064AF1" w:rsidP="0085279F">
    <w:pPr>
      <w:tabs>
        <w:tab w:val="center" w:pos="4680"/>
        <w:tab w:val="right" w:pos="9360"/>
      </w:tabs>
      <w:spacing w:after="0" w:line="240" w:lineRule="auto"/>
      <w:rPr>
        <w:rFonts w:ascii="Times New Roman" w:hAnsi="Times New Roman"/>
        <w:szCs w:val="24"/>
        <w:lang w:val="es-ES"/>
      </w:rPr>
    </w:pPr>
    <w:r w:rsidRPr="005867C5">
      <w:rPr>
        <w:rFonts w:cs="Arial"/>
        <w:sz w:val="18"/>
        <w:szCs w:val="18"/>
        <w:lang w:val="es-ES"/>
      </w:rPr>
      <w:t xml:space="preserve">Página </w:t>
    </w:r>
    <w:r w:rsidRPr="005867C5">
      <w:rPr>
        <w:rFonts w:cs="Arial"/>
        <w:bCs/>
        <w:sz w:val="18"/>
        <w:szCs w:val="18"/>
        <w:lang w:val="es-ES"/>
      </w:rPr>
      <w:fldChar w:fldCharType="begin"/>
    </w:r>
    <w:r w:rsidRPr="005867C5">
      <w:rPr>
        <w:rFonts w:cs="Arial"/>
        <w:bCs/>
        <w:sz w:val="18"/>
        <w:szCs w:val="18"/>
        <w:lang w:val="es-ES"/>
      </w:rPr>
      <w:instrText xml:space="preserve"> PAGE </w:instrText>
    </w:r>
    <w:r w:rsidRPr="005867C5">
      <w:rPr>
        <w:rFonts w:cs="Arial"/>
        <w:bCs/>
        <w:sz w:val="18"/>
        <w:szCs w:val="18"/>
        <w:lang w:val="es-ES"/>
      </w:rPr>
      <w:fldChar w:fldCharType="separate"/>
    </w:r>
    <w:r w:rsidR="007B09C6">
      <w:rPr>
        <w:rFonts w:cs="Arial"/>
        <w:bCs/>
        <w:noProof/>
        <w:sz w:val="18"/>
        <w:szCs w:val="18"/>
        <w:lang w:val="es-ES"/>
      </w:rPr>
      <w:t>15</w:t>
    </w:r>
    <w:r w:rsidRPr="005867C5">
      <w:rPr>
        <w:rFonts w:cs="Arial"/>
        <w:bCs/>
        <w:sz w:val="18"/>
        <w:szCs w:val="18"/>
        <w:lang w:val="es-ES"/>
      </w:rPr>
      <w:fldChar w:fldCharType="end"/>
    </w:r>
    <w:r w:rsidRPr="005867C5">
      <w:rPr>
        <w:rFonts w:cs="Arial"/>
        <w:sz w:val="18"/>
        <w:szCs w:val="18"/>
        <w:lang w:val="es-ES"/>
      </w:rPr>
      <w:t xml:space="preserve"> de </w:t>
    </w:r>
    <w:r w:rsidRPr="005867C5">
      <w:rPr>
        <w:rFonts w:cs="Arial"/>
        <w:bCs/>
        <w:sz w:val="18"/>
        <w:szCs w:val="18"/>
        <w:lang w:val="es-ES"/>
      </w:rPr>
      <w:fldChar w:fldCharType="begin"/>
    </w:r>
    <w:r w:rsidRPr="005867C5">
      <w:rPr>
        <w:rFonts w:cs="Arial"/>
        <w:bCs/>
        <w:sz w:val="18"/>
        <w:szCs w:val="18"/>
        <w:lang w:val="es-ES"/>
      </w:rPr>
      <w:instrText xml:space="preserve"> NUMPAGES  </w:instrText>
    </w:r>
    <w:r w:rsidRPr="005867C5">
      <w:rPr>
        <w:rFonts w:cs="Arial"/>
        <w:bCs/>
        <w:sz w:val="18"/>
        <w:szCs w:val="18"/>
        <w:lang w:val="es-ES"/>
      </w:rPr>
      <w:fldChar w:fldCharType="separate"/>
    </w:r>
    <w:r w:rsidR="007B09C6">
      <w:rPr>
        <w:rFonts w:cs="Arial"/>
        <w:bCs/>
        <w:noProof/>
        <w:sz w:val="18"/>
        <w:szCs w:val="18"/>
        <w:lang w:val="es-ES"/>
      </w:rPr>
      <w:t>17</w:t>
    </w:r>
    <w:r w:rsidRPr="005867C5">
      <w:rPr>
        <w:rFonts w:cs="Arial"/>
        <w:bCs/>
        <w:sz w:val="18"/>
        <w:szCs w:val="18"/>
        <w:lang w:val="es-ES"/>
      </w:rPr>
      <w:fldChar w:fldCharType="end"/>
    </w:r>
  </w:p>
  <w:p w:rsidR="00064AF1" w:rsidRPr="005867C5" w:rsidRDefault="00064AF1">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4E01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73175"/>
    <w:multiLevelType w:val="hybridMultilevel"/>
    <w:tmpl w:val="600638C6"/>
    <w:lvl w:ilvl="0" w:tplc="04090013">
      <w:start w:val="1"/>
      <w:numFmt w:val="upperRoman"/>
      <w:lvlText w:val="%1."/>
      <w:lvlJc w:val="right"/>
      <w:pPr>
        <w:ind w:left="630" w:hanging="360"/>
      </w:pPr>
    </w:lvl>
    <w:lvl w:ilvl="1" w:tplc="0C0A0019">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2">
    <w:nsid w:val="0C1B1FF3"/>
    <w:multiLevelType w:val="hybridMultilevel"/>
    <w:tmpl w:val="D9621038"/>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AB7FC9"/>
    <w:multiLevelType w:val="multilevel"/>
    <w:tmpl w:val="C17667AE"/>
    <w:lvl w:ilvl="0">
      <w:start w:val="1"/>
      <w:numFmt w:val="upperRoman"/>
      <w:lvlText w:val="%1."/>
      <w:lvlJc w:val="center"/>
      <w:pPr>
        <w:tabs>
          <w:tab w:val="num" w:pos="648"/>
        </w:tabs>
        <w:ind w:left="0" w:firstLine="288"/>
      </w:pPr>
      <w:rPr>
        <w:b/>
        <w:i w:val="0"/>
      </w:rPr>
    </w:lvl>
    <w:lvl w:ilvl="1">
      <w:start w:val="1"/>
      <w:numFmt w:val="decimal"/>
      <w:isLgl/>
      <w:lvlText w:val="%1.%2"/>
      <w:lvlJc w:val="left"/>
      <w:pPr>
        <w:tabs>
          <w:tab w:val="num" w:pos="900"/>
        </w:tabs>
        <w:ind w:left="900" w:hanging="720"/>
      </w:pPr>
    </w:lvl>
    <w:lvl w:ilvl="2">
      <w:start w:val="1"/>
      <w:numFmt w:val="lowerLette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4">
    <w:nsid w:val="11C15E38"/>
    <w:multiLevelType w:val="multilevel"/>
    <w:tmpl w:val="4CBEA5B8"/>
    <w:lvl w:ilvl="0">
      <w:start w:val="1"/>
      <w:numFmt w:val="upperRoman"/>
      <w:lvlRestart w:val="0"/>
      <w:lvlText w:val="%1."/>
      <w:lvlJc w:val="center"/>
      <w:pPr>
        <w:tabs>
          <w:tab w:val="num" w:pos="1008"/>
        </w:tabs>
        <w:ind w:left="360" w:firstLine="288"/>
      </w:pPr>
      <w:rPr>
        <w:b/>
        <w:i w:val="0"/>
      </w:rPr>
    </w:lvl>
    <w:lvl w:ilvl="1">
      <w:start w:val="1"/>
      <w:numFmt w:val="decimal"/>
      <w:isLgl/>
      <w:lvlText w:val="%1.%2"/>
      <w:lvlJc w:val="left"/>
      <w:pPr>
        <w:tabs>
          <w:tab w:val="num" w:pos="1656"/>
        </w:tabs>
        <w:ind w:left="1656" w:hanging="129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5">
    <w:nsid w:val="122666C3"/>
    <w:multiLevelType w:val="hybridMultilevel"/>
    <w:tmpl w:val="6DA81E3C"/>
    <w:lvl w:ilvl="0" w:tplc="A34E7BF8">
      <w:start w:val="3"/>
      <w:numFmt w:val="lowerLetter"/>
      <w:lvlText w:val="%1."/>
      <w:lvlJc w:val="left"/>
      <w:pPr>
        <w:ind w:left="360" w:hanging="360"/>
      </w:pPr>
      <w:rPr>
        <w:rFonts w:hint="default"/>
        <w:u w:val="no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70C58A9"/>
    <w:multiLevelType w:val="multilevel"/>
    <w:tmpl w:val="19AC6026"/>
    <w:lvl w:ilvl="0">
      <w:start w:val="1"/>
      <w:numFmt w:val="none"/>
      <w:lvlRestart w:val="0"/>
      <w:suff w:val="nothing"/>
      <w:lvlText w:val=""/>
      <w:lvlJc w:val="left"/>
      <w:pPr>
        <w:ind w:left="1080" w:hanging="720"/>
      </w:pPr>
    </w:lvl>
    <w:lvl w:ilvl="1">
      <w:start w:val="1"/>
      <w:numFmt w:val="decimalZero"/>
      <w:isLgl/>
      <w:lvlText w:val="Section %1.%2"/>
      <w:lvlJc w:val="left"/>
      <w:pPr>
        <w:ind w:left="360" w:firstLine="0"/>
      </w:pPr>
    </w:lvl>
    <w:lvl w:ilvl="2">
      <w:start w:val="1"/>
      <w:numFmt w:val="lowerLetter"/>
      <w:lvlText w:val="(%3)"/>
      <w:lvlJc w:val="left"/>
      <w:pPr>
        <w:ind w:left="1080" w:hanging="432"/>
      </w:pPr>
    </w:lvl>
    <w:lvl w:ilvl="3">
      <w:start w:val="1"/>
      <w:numFmt w:val="lowerRoman"/>
      <w:lvlText w:val="(%4)"/>
      <w:lvlJc w:val="right"/>
      <w:pPr>
        <w:ind w:left="1224" w:hanging="144"/>
      </w:pPr>
    </w:lvl>
    <w:lvl w:ilvl="4">
      <w:start w:val="1"/>
      <w:numFmt w:val="decimal"/>
      <w:lvlText w:val="%5)"/>
      <w:lvlJc w:val="left"/>
      <w:pPr>
        <w:ind w:left="1368" w:hanging="432"/>
      </w:pPr>
    </w:lvl>
    <w:lvl w:ilvl="5">
      <w:start w:val="1"/>
      <w:numFmt w:val="lowerLetter"/>
      <w:lvlText w:val="%6)"/>
      <w:lvlJc w:val="left"/>
      <w:pPr>
        <w:ind w:left="1512" w:hanging="432"/>
      </w:pPr>
    </w:lvl>
    <w:lvl w:ilvl="6">
      <w:start w:val="1"/>
      <w:numFmt w:val="lowerRoman"/>
      <w:lvlText w:val="%7)"/>
      <w:lvlJc w:val="right"/>
      <w:pPr>
        <w:ind w:left="1656" w:hanging="288"/>
      </w:pPr>
    </w:lvl>
    <w:lvl w:ilvl="7">
      <w:start w:val="1"/>
      <w:numFmt w:val="lowerLetter"/>
      <w:lvlText w:val="%8."/>
      <w:lvlJc w:val="left"/>
      <w:pPr>
        <w:ind w:left="1800" w:hanging="432"/>
      </w:pPr>
    </w:lvl>
    <w:lvl w:ilvl="8">
      <w:start w:val="1"/>
      <w:numFmt w:val="lowerRoman"/>
      <w:lvlText w:val="%9."/>
      <w:lvlJc w:val="right"/>
      <w:pPr>
        <w:ind w:left="1944" w:hanging="144"/>
      </w:pPr>
    </w:lvl>
  </w:abstractNum>
  <w:abstractNum w:abstractNumId="7">
    <w:nsid w:val="17846A81"/>
    <w:multiLevelType w:val="multilevel"/>
    <w:tmpl w:val="3304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0659CF"/>
    <w:multiLevelType w:val="multilevel"/>
    <w:tmpl w:val="4CD60FA2"/>
    <w:lvl w:ilvl="0">
      <w:start w:val="1"/>
      <w:numFmt w:val="upperRoman"/>
      <w:lvlRestart w:val="0"/>
      <w:lvlText w:val="%1."/>
      <w:lvlJc w:val="center"/>
      <w:pPr>
        <w:tabs>
          <w:tab w:val="num" w:pos="1008"/>
        </w:tabs>
        <w:ind w:left="360" w:firstLine="288"/>
      </w:pPr>
      <w:rPr>
        <w:b/>
        <w:i w:val="0"/>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9">
    <w:nsid w:val="1CF04963"/>
    <w:multiLevelType w:val="hybridMultilevel"/>
    <w:tmpl w:val="61009618"/>
    <w:lvl w:ilvl="0" w:tplc="0409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D79533A"/>
    <w:multiLevelType w:val="multilevel"/>
    <w:tmpl w:val="B54C966C"/>
    <w:lvl w:ilvl="0">
      <w:start w:val="1"/>
      <w:numFmt w:val="none"/>
      <w:suff w:val="nothing"/>
      <w:lvlText w:val=""/>
      <w:lvlJc w:val="left"/>
      <w:pPr>
        <w:ind w:left="720" w:hanging="720"/>
      </w:pPr>
    </w:lvl>
    <w:lvl w:ilvl="1">
      <w:start w:val="1"/>
      <w:numFmt w:val="decimal"/>
      <w:lvlText w:val="%2."/>
      <w:lvlJc w:val="left"/>
      <w:pPr>
        <w:tabs>
          <w:tab w:val="num" w:pos="1296"/>
        </w:tabs>
        <w:ind w:left="1296" w:hanging="576"/>
      </w:pPr>
    </w:lvl>
    <w:lvl w:ilvl="2">
      <w:start w:val="1"/>
      <w:numFmt w:val="lowerLetter"/>
      <w:lvlText w:val="%3)"/>
      <w:lvlJc w:val="left"/>
      <w:pPr>
        <w:tabs>
          <w:tab w:val="num" w:pos="1872"/>
        </w:tabs>
        <w:ind w:left="1872" w:hanging="576"/>
      </w:pPr>
    </w:lvl>
    <w:lvl w:ilvl="3">
      <w:start w:val="1"/>
      <w:numFmt w:val="lowerRoman"/>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22D50E5B"/>
    <w:multiLevelType w:val="hybridMultilevel"/>
    <w:tmpl w:val="977ACCE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82C57"/>
    <w:multiLevelType w:val="multilevel"/>
    <w:tmpl w:val="0BDC6FDA"/>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13">
    <w:nsid w:val="28226316"/>
    <w:multiLevelType w:val="hybridMultilevel"/>
    <w:tmpl w:val="0A7A27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4363A2"/>
    <w:multiLevelType w:val="multilevel"/>
    <w:tmpl w:val="8C10B84C"/>
    <w:lvl w:ilvl="0">
      <w:start w:val="1"/>
      <w:numFmt w:val="none"/>
      <w:lvlRestart w:val="0"/>
      <w:suff w:val="nothing"/>
      <w:lvlText w:val=""/>
      <w:lvlJc w:val="left"/>
      <w:pPr>
        <w:ind w:left="8928" w:hanging="720"/>
      </w:pPr>
    </w:lvl>
    <w:lvl w:ilvl="1">
      <w:start w:val="1"/>
      <w:numFmt w:val="decimal"/>
      <w:lvlText w:val="%2."/>
      <w:lvlJc w:val="left"/>
      <w:pPr>
        <w:tabs>
          <w:tab w:val="num" w:pos="9504"/>
        </w:tabs>
        <w:ind w:left="9504" w:hanging="576"/>
      </w:pPr>
      <w:rPr>
        <w:b/>
      </w:rPr>
    </w:lvl>
    <w:lvl w:ilvl="2">
      <w:start w:val="1"/>
      <w:numFmt w:val="lowerLetter"/>
      <w:lvlText w:val="%3)"/>
      <w:lvlJc w:val="left"/>
      <w:pPr>
        <w:tabs>
          <w:tab w:val="num" w:pos="10080"/>
        </w:tabs>
        <w:ind w:left="10080" w:hanging="576"/>
      </w:pPr>
      <w:rPr>
        <w:b/>
      </w:rPr>
    </w:lvl>
    <w:lvl w:ilvl="3">
      <w:start w:val="1"/>
      <w:numFmt w:val="lowerRoman"/>
      <w:lvlText w:val="(%4)"/>
      <w:lvlJc w:val="right"/>
      <w:pPr>
        <w:tabs>
          <w:tab w:val="num" w:pos="10584"/>
        </w:tabs>
        <w:ind w:left="10584" w:hanging="288"/>
      </w:pPr>
      <w:rPr>
        <w:b/>
      </w:rPr>
    </w:lvl>
    <w:lvl w:ilvl="4">
      <w:start w:val="1"/>
      <w:numFmt w:val="decimal"/>
      <w:lvlText w:val="%5)"/>
      <w:lvlJc w:val="left"/>
      <w:pPr>
        <w:ind w:left="9216" w:hanging="432"/>
      </w:pPr>
    </w:lvl>
    <w:lvl w:ilvl="5">
      <w:start w:val="1"/>
      <w:numFmt w:val="lowerLetter"/>
      <w:lvlText w:val="%6)"/>
      <w:lvlJc w:val="left"/>
      <w:pPr>
        <w:ind w:left="9360" w:hanging="432"/>
      </w:pPr>
    </w:lvl>
    <w:lvl w:ilvl="6">
      <w:start w:val="1"/>
      <w:numFmt w:val="lowerRoman"/>
      <w:lvlText w:val="%7)"/>
      <w:lvlJc w:val="right"/>
      <w:pPr>
        <w:ind w:left="9504" w:hanging="288"/>
      </w:pPr>
    </w:lvl>
    <w:lvl w:ilvl="7">
      <w:start w:val="1"/>
      <w:numFmt w:val="lowerLetter"/>
      <w:lvlText w:val="%8."/>
      <w:lvlJc w:val="left"/>
      <w:pPr>
        <w:ind w:left="9648" w:hanging="432"/>
      </w:pPr>
    </w:lvl>
    <w:lvl w:ilvl="8">
      <w:start w:val="1"/>
      <w:numFmt w:val="lowerRoman"/>
      <w:lvlText w:val="%9."/>
      <w:lvlJc w:val="right"/>
      <w:pPr>
        <w:ind w:left="9792" w:hanging="144"/>
      </w:pPr>
    </w:lvl>
  </w:abstractNum>
  <w:abstractNum w:abstractNumId="15">
    <w:nsid w:val="35455087"/>
    <w:multiLevelType w:val="hybridMultilevel"/>
    <w:tmpl w:val="41BA11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879448D"/>
    <w:multiLevelType w:val="hybridMultilevel"/>
    <w:tmpl w:val="8BC475A2"/>
    <w:lvl w:ilvl="0" w:tplc="D138D918">
      <w:start w:val="4"/>
      <w:numFmt w:val="upperRoman"/>
      <w:lvlText w:val="%1."/>
      <w:lvlJc w:val="left"/>
      <w:pPr>
        <w:ind w:left="806" w:hanging="720"/>
      </w:pPr>
      <w:rPr>
        <w:rFonts w:hint="default"/>
        <w:u w:val="none"/>
      </w:rPr>
    </w:lvl>
    <w:lvl w:ilvl="1" w:tplc="04090019">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7">
    <w:nsid w:val="39CD357B"/>
    <w:multiLevelType w:val="multilevel"/>
    <w:tmpl w:val="9D2C3E18"/>
    <w:lvl w:ilvl="0">
      <w:start w:val="1"/>
      <w:numFmt w:val="decimal"/>
      <w:pStyle w:val="Chapter"/>
      <w:lvlText w:val="%1"/>
      <w:lvlJc w:val="left"/>
      <w:pPr>
        <w:ind w:left="792" w:hanging="432"/>
      </w:pPr>
    </w:lvl>
    <w:lvl w:ilvl="1">
      <w:start w:val="1"/>
      <w:numFmt w:val="decimal"/>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18">
    <w:nsid w:val="3EA44BAD"/>
    <w:multiLevelType w:val="multilevel"/>
    <w:tmpl w:val="2E00129E"/>
    <w:lvl w:ilvl="0">
      <w:start w:val="1"/>
      <w:numFmt w:val="none"/>
      <w:lvlRestart w:val="0"/>
      <w:suff w:val="nothing"/>
      <w:lvlText w:val=""/>
      <w:lvlJc w:val="left"/>
      <w:pPr>
        <w:ind w:left="1080" w:hanging="720"/>
      </w:pPr>
    </w:lvl>
    <w:lvl w:ilvl="1">
      <w:start w:val="1"/>
      <w:numFmt w:val="decimal"/>
      <w:lvlText w:val="%2."/>
      <w:lvlJc w:val="left"/>
      <w:pPr>
        <w:tabs>
          <w:tab w:val="num" w:pos="1656"/>
        </w:tabs>
        <w:ind w:left="1656" w:hanging="576"/>
      </w:pPr>
      <w:rPr>
        <w:b/>
      </w:rPr>
    </w:lvl>
    <w:lvl w:ilvl="2">
      <w:start w:val="1"/>
      <w:numFmt w:val="lowerLetter"/>
      <w:lvlText w:val="(%3)"/>
      <w:lvlJc w:val="left"/>
      <w:pPr>
        <w:ind w:left="1080" w:hanging="432"/>
      </w:pPr>
    </w:lvl>
    <w:lvl w:ilvl="3">
      <w:start w:val="1"/>
      <w:numFmt w:val="lowerRoman"/>
      <w:lvlText w:val="(%4)"/>
      <w:lvlJc w:val="right"/>
      <w:pPr>
        <w:ind w:left="1224" w:hanging="144"/>
      </w:pPr>
    </w:lvl>
    <w:lvl w:ilvl="4">
      <w:start w:val="1"/>
      <w:numFmt w:val="decimal"/>
      <w:lvlText w:val="%5)"/>
      <w:lvlJc w:val="left"/>
      <w:pPr>
        <w:ind w:left="1368" w:hanging="432"/>
      </w:pPr>
    </w:lvl>
    <w:lvl w:ilvl="5">
      <w:start w:val="1"/>
      <w:numFmt w:val="lowerLetter"/>
      <w:lvlText w:val="%6)"/>
      <w:lvlJc w:val="left"/>
      <w:pPr>
        <w:ind w:left="1512" w:hanging="432"/>
      </w:pPr>
    </w:lvl>
    <w:lvl w:ilvl="6">
      <w:start w:val="1"/>
      <w:numFmt w:val="lowerRoman"/>
      <w:lvlText w:val="%7)"/>
      <w:lvlJc w:val="right"/>
      <w:pPr>
        <w:ind w:left="1656" w:hanging="288"/>
      </w:pPr>
    </w:lvl>
    <w:lvl w:ilvl="7">
      <w:start w:val="1"/>
      <w:numFmt w:val="lowerLetter"/>
      <w:lvlText w:val="%8."/>
      <w:lvlJc w:val="left"/>
      <w:pPr>
        <w:ind w:left="1800" w:hanging="432"/>
      </w:pPr>
    </w:lvl>
    <w:lvl w:ilvl="8">
      <w:start w:val="1"/>
      <w:numFmt w:val="lowerRoman"/>
      <w:lvlText w:val="%9."/>
      <w:lvlJc w:val="right"/>
      <w:pPr>
        <w:ind w:left="1944" w:hanging="144"/>
      </w:pPr>
    </w:lvl>
  </w:abstractNum>
  <w:abstractNum w:abstractNumId="19">
    <w:nsid w:val="4094267C"/>
    <w:multiLevelType w:val="multilevel"/>
    <w:tmpl w:val="D8445850"/>
    <w:lvl w:ilvl="0">
      <w:start w:val="1"/>
      <w:numFmt w:val="none"/>
      <w:lvlRestart w:val="0"/>
      <w:suff w:val="nothing"/>
      <w:lvlText w:val=""/>
      <w:lvlJc w:val="left"/>
      <w:pPr>
        <w:ind w:left="1080" w:hanging="720"/>
      </w:pPr>
    </w:lvl>
    <w:lvl w:ilvl="1">
      <w:start w:val="1"/>
      <w:numFmt w:val="decimal"/>
      <w:lvlText w:val="%2."/>
      <w:lvlJc w:val="left"/>
      <w:pPr>
        <w:tabs>
          <w:tab w:val="num" w:pos="1656"/>
        </w:tabs>
        <w:ind w:left="1656" w:hanging="576"/>
      </w:pPr>
      <w:rPr>
        <w:b/>
      </w:rPr>
    </w:lvl>
    <w:lvl w:ilvl="2">
      <w:start w:val="1"/>
      <w:numFmt w:val="lowerLetter"/>
      <w:lvlText w:val="%3)"/>
      <w:lvlJc w:val="left"/>
      <w:pPr>
        <w:tabs>
          <w:tab w:val="num" w:pos="2232"/>
        </w:tabs>
        <w:ind w:left="2232" w:hanging="576"/>
      </w:pPr>
      <w:rPr>
        <w:b/>
      </w:rPr>
    </w:lvl>
    <w:lvl w:ilvl="3">
      <w:start w:val="1"/>
      <w:numFmt w:val="lowerRoman"/>
      <w:lvlText w:val="(%4)"/>
      <w:lvlJc w:val="right"/>
      <w:pPr>
        <w:ind w:left="1224" w:hanging="144"/>
      </w:pPr>
    </w:lvl>
    <w:lvl w:ilvl="4">
      <w:start w:val="1"/>
      <w:numFmt w:val="decimal"/>
      <w:lvlText w:val="%5)"/>
      <w:lvlJc w:val="left"/>
      <w:pPr>
        <w:ind w:left="1368" w:hanging="432"/>
      </w:pPr>
    </w:lvl>
    <w:lvl w:ilvl="5">
      <w:start w:val="1"/>
      <w:numFmt w:val="lowerLetter"/>
      <w:lvlText w:val="%6)"/>
      <w:lvlJc w:val="left"/>
      <w:pPr>
        <w:ind w:left="1512" w:hanging="432"/>
      </w:pPr>
    </w:lvl>
    <w:lvl w:ilvl="6">
      <w:start w:val="1"/>
      <w:numFmt w:val="lowerRoman"/>
      <w:lvlText w:val="%7)"/>
      <w:lvlJc w:val="right"/>
      <w:pPr>
        <w:ind w:left="1656" w:hanging="288"/>
      </w:pPr>
    </w:lvl>
    <w:lvl w:ilvl="7">
      <w:start w:val="1"/>
      <w:numFmt w:val="lowerLetter"/>
      <w:lvlText w:val="%8."/>
      <w:lvlJc w:val="left"/>
      <w:pPr>
        <w:ind w:left="1800" w:hanging="432"/>
      </w:pPr>
    </w:lvl>
    <w:lvl w:ilvl="8">
      <w:start w:val="1"/>
      <w:numFmt w:val="lowerRoman"/>
      <w:lvlText w:val="%9."/>
      <w:lvlJc w:val="right"/>
      <w:pPr>
        <w:ind w:left="1944" w:hanging="144"/>
      </w:pPr>
    </w:lvl>
  </w:abstractNum>
  <w:abstractNum w:abstractNumId="20">
    <w:nsid w:val="46CB0F0D"/>
    <w:multiLevelType w:val="hybridMultilevel"/>
    <w:tmpl w:val="1AD8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DC2DE4"/>
    <w:multiLevelType w:val="hybridMultilevel"/>
    <w:tmpl w:val="15887BF4"/>
    <w:lvl w:ilvl="0" w:tplc="B182717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DB5036"/>
    <w:multiLevelType w:val="hybridMultilevel"/>
    <w:tmpl w:val="D092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260157"/>
    <w:multiLevelType w:val="hybridMultilevel"/>
    <w:tmpl w:val="33E06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457ABC"/>
    <w:multiLevelType w:val="hybridMultilevel"/>
    <w:tmpl w:val="800E2C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7FC335B"/>
    <w:multiLevelType w:val="hybridMultilevel"/>
    <w:tmpl w:val="940C3CDC"/>
    <w:lvl w:ilvl="0" w:tplc="0EF6758A">
      <w:start w:val="3"/>
      <w:numFmt w:val="upperRoman"/>
      <w:pStyle w:val="FirstHeading"/>
      <w:lvlText w:val="%1."/>
      <w:lvlJc w:val="righ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B9A7602"/>
    <w:multiLevelType w:val="hybridMultilevel"/>
    <w:tmpl w:val="9A380202"/>
    <w:lvl w:ilvl="0" w:tplc="76541A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C2726E"/>
    <w:multiLevelType w:val="hybridMultilevel"/>
    <w:tmpl w:val="5C92E822"/>
    <w:lvl w:ilvl="0" w:tplc="0409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F2007B4"/>
    <w:multiLevelType w:val="multilevel"/>
    <w:tmpl w:val="3E78CC1A"/>
    <w:lvl w:ilvl="0">
      <w:start w:val="1"/>
      <w:numFmt w:val="upperRoman"/>
      <w:lvlText w:val="Article %1."/>
      <w:lvlJc w:val="left"/>
      <w:pPr>
        <w:ind w:left="360" w:firstLine="0"/>
      </w:pPr>
    </w:lvl>
    <w:lvl w:ilvl="1">
      <w:start w:val="1"/>
      <w:numFmt w:val="decimalZero"/>
      <w:isLgl/>
      <w:lvlText w:val="Section %1.%2"/>
      <w:lvlJc w:val="left"/>
      <w:pPr>
        <w:ind w:left="360" w:firstLine="0"/>
      </w:pPr>
    </w:lvl>
    <w:lvl w:ilvl="2">
      <w:start w:val="1"/>
      <w:numFmt w:val="lowerLetter"/>
      <w:lvlText w:val="(%3)"/>
      <w:lvlJc w:val="left"/>
      <w:pPr>
        <w:ind w:left="1080" w:hanging="432"/>
      </w:pPr>
    </w:lvl>
    <w:lvl w:ilvl="3">
      <w:start w:val="1"/>
      <w:numFmt w:val="lowerRoman"/>
      <w:lvlText w:val="(%4)"/>
      <w:lvlJc w:val="right"/>
      <w:pPr>
        <w:ind w:left="1224" w:hanging="144"/>
      </w:pPr>
    </w:lvl>
    <w:lvl w:ilvl="4">
      <w:start w:val="1"/>
      <w:numFmt w:val="decimal"/>
      <w:lvlText w:val="%5)"/>
      <w:lvlJc w:val="left"/>
      <w:pPr>
        <w:ind w:left="1368" w:hanging="432"/>
      </w:pPr>
    </w:lvl>
    <w:lvl w:ilvl="5">
      <w:start w:val="1"/>
      <w:numFmt w:val="lowerLetter"/>
      <w:lvlText w:val="%6)"/>
      <w:lvlJc w:val="left"/>
      <w:pPr>
        <w:ind w:left="1512" w:hanging="432"/>
      </w:pPr>
    </w:lvl>
    <w:lvl w:ilvl="6">
      <w:start w:val="1"/>
      <w:numFmt w:val="lowerRoman"/>
      <w:lvlText w:val="%7)"/>
      <w:lvlJc w:val="right"/>
      <w:pPr>
        <w:ind w:left="1656" w:hanging="288"/>
      </w:pPr>
    </w:lvl>
    <w:lvl w:ilvl="7">
      <w:start w:val="1"/>
      <w:numFmt w:val="lowerLetter"/>
      <w:lvlText w:val="%8."/>
      <w:lvlJc w:val="left"/>
      <w:pPr>
        <w:ind w:left="1800" w:hanging="432"/>
      </w:pPr>
    </w:lvl>
    <w:lvl w:ilvl="8">
      <w:start w:val="1"/>
      <w:numFmt w:val="lowerRoman"/>
      <w:lvlText w:val="%9."/>
      <w:lvlJc w:val="right"/>
      <w:pPr>
        <w:ind w:left="1944" w:hanging="144"/>
      </w:pPr>
    </w:lvl>
  </w:abstractNum>
  <w:abstractNum w:abstractNumId="29">
    <w:nsid w:val="609923C8"/>
    <w:multiLevelType w:val="multilevel"/>
    <w:tmpl w:val="6AB406E0"/>
    <w:lvl w:ilvl="0">
      <w:start w:val="1"/>
      <w:numFmt w:val="upperRoman"/>
      <w:lvlText w:val="%1."/>
      <w:lvlJc w:val="center"/>
      <w:pPr>
        <w:tabs>
          <w:tab w:val="num" w:pos="360"/>
        </w:tabs>
        <w:ind w:left="288" w:hanging="288"/>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hint="default"/>
      </w:rPr>
    </w:lvl>
    <w:lvl w:ilvl="2">
      <w:start w:val="1"/>
      <w:numFmt w:val="lowerLetter"/>
      <w:lvlRestart w:val="0"/>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0">
    <w:nsid w:val="6640685E"/>
    <w:multiLevelType w:val="hybridMultilevel"/>
    <w:tmpl w:val="3F90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0A3DE6"/>
    <w:multiLevelType w:val="hybridMultilevel"/>
    <w:tmpl w:val="D08E5E02"/>
    <w:lvl w:ilvl="0" w:tplc="0409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B992D03"/>
    <w:multiLevelType w:val="multilevel"/>
    <w:tmpl w:val="D68C7A60"/>
    <w:lvl w:ilvl="0">
      <w:start w:val="1"/>
      <w:numFmt w:val="decimal"/>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33">
    <w:nsid w:val="6C93123B"/>
    <w:multiLevelType w:val="multilevel"/>
    <w:tmpl w:val="093A699A"/>
    <w:lvl w:ilvl="0">
      <w:start w:val="1"/>
      <w:numFmt w:val="upperRoman"/>
      <w:lvlRestart w:val="0"/>
      <w:lvlText w:val="%1."/>
      <w:lvlJc w:val="center"/>
      <w:pPr>
        <w:tabs>
          <w:tab w:val="num" w:pos="1008"/>
        </w:tabs>
        <w:ind w:left="360" w:firstLine="288"/>
      </w:pPr>
      <w:rPr>
        <w:b/>
        <w:i w:val="0"/>
      </w:rPr>
    </w:lvl>
    <w:lvl w:ilvl="1">
      <w:start w:val="1"/>
      <w:numFmt w:val="decimal"/>
      <w:isLgl/>
      <w:lvlText w:val="%1.%2"/>
      <w:lvlJc w:val="left"/>
      <w:pPr>
        <w:tabs>
          <w:tab w:val="num" w:pos="1656"/>
        </w:tabs>
        <w:ind w:left="1656" w:hanging="1296"/>
      </w:pPr>
    </w:lvl>
    <w:lvl w:ilvl="2">
      <w:start w:val="1"/>
      <w:numFmt w:val="lowerLetter"/>
      <w:lvlText w:val="%3."/>
      <w:lvlJc w:val="left"/>
      <w:pPr>
        <w:tabs>
          <w:tab w:val="num" w:pos="1512"/>
        </w:tabs>
        <w:ind w:left="1512" w:hanging="432"/>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4">
    <w:nsid w:val="730424E2"/>
    <w:multiLevelType w:val="hybridMultilevel"/>
    <w:tmpl w:val="F578C460"/>
    <w:lvl w:ilvl="0" w:tplc="D138D918">
      <w:start w:val="4"/>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B37CBC"/>
    <w:multiLevelType w:val="hybridMultilevel"/>
    <w:tmpl w:val="FDAEA540"/>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C397311"/>
    <w:multiLevelType w:val="multilevel"/>
    <w:tmpl w:val="AD18E446"/>
    <w:lvl w:ilvl="0">
      <w:start w:val="1"/>
      <w:numFmt w:val="upperRoman"/>
      <w:lvlRestart w:val="0"/>
      <w:lvlText w:val="%1."/>
      <w:lvlJc w:val="center"/>
      <w:pPr>
        <w:tabs>
          <w:tab w:val="num" w:pos="2952"/>
        </w:tabs>
        <w:ind w:left="2304" w:firstLine="288"/>
      </w:pPr>
      <w:rPr>
        <w:b/>
        <w:i w:val="0"/>
      </w:rPr>
    </w:lvl>
    <w:lvl w:ilvl="1">
      <w:start w:val="1"/>
      <w:numFmt w:val="decimal"/>
      <w:isLgl/>
      <w:lvlText w:val="%1.%2"/>
      <w:lvlJc w:val="left"/>
      <w:pPr>
        <w:tabs>
          <w:tab w:val="num" w:pos="3600"/>
        </w:tabs>
        <w:ind w:left="3600" w:hanging="1296"/>
      </w:pPr>
    </w:lvl>
    <w:lvl w:ilvl="2">
      <w:start w:val="1"/>
      <w:numFmt w:val="lowerLetter"/>
      <w:lvlText w:val="%3."/>
      <w:lvlJc w:val="left"/>
      <w:pPr>
        <w:tabs>
          <w:tab w:val="num" w:pos="3456"/>
        </w:tabs>
        <w:ind w:left="3456" w:hanging="432"/>
      </w:pPr>
    </w:lvl>
    <w:lvl w:ilvl="3">
      <w:start w:val="1"/>
      <w:numFmt w:val="lowerRoman"/>
      <w:lvlText w:val="%4."/>
      <w:lvlJc w:val="right"/>
      <w:pPr>
        <w:tabs>
          <w:tab w:val="num" w:pos="3888"/>
        </w:tabs>
        <w:ind w:left="3888" w:hanging="288"/>
      </w:pPr>
    </w:lvl>
    <w:lvl w:ilvl="4">
      <w:start w:val="1"/>
      <w:numFmt w:val="decimal"/>
      <w:lvlText w:val="%1.%2.%3.%4.%5"/>
      <w:lvlJc w:val="left"/>
      <w:pPr>
        <w:ind w:left="3312" w:hanging="1008"/>
      </w:pPr>
    </w:lvl>
    <w:lvl w:ilvl="5">
      <w:start w:val="1"/>
      <w:numFmt w:val="decimal"/>
      <w:lvlText w:val="%1.%2.%3.%4.%5.%6"/>
      <w:lvlJc w:val="left"/>
      <w:pPr>
        <w:ind w:left="3456" w:hanging="1152"/>
      </w:pPr>
    </w:lvl>
    <w:lvl w:ilvl="6">
      <w:start w:val="1"/>
      <w:numFmt w:val="decimal"/>
      <w:lvlText w:val="%1.%2.%3.%4.%5.%6.%7"/>
      <w:lvlJc w:val="left"/>
      <w:pPr>
        <w:ind w:left="3600" w:hanging="1296"/>
      </w:pPr>
    </w:lvl>
    <w:lvl w:ilvl="7">
      <w:start w:val="1"/>
      <w:numFmt w:val="decimal"/>
      <w:lvlText w:val="%1.%2.%3.%4.%5.%6.%7.%8"/>
      <w:lvlJc w:val="left"/>
      <w:pPr>
        <w:ind w:left="3744" w:hanging="1440"/>
      </w:pPr>
    </w:lvl>
    <w:lvl w:ilvl="8">
      <w:start w:val="1"/>
      <w:numFmt w:val="decimal"/>
      <w:lvlText w:val="%1.%2.%3.%4.%5.%6.%7.%8.%9"/>
      <w:lvlJc w:val="left"/>
      <w:pPr>
        <w:ind w:left="3888" w:hanging="1584"/>
      </w:pPr>
    </w:lvl>
  </w:abstractNum>
  <w:num w:numId="1">
    <w:abstractNumId w:val="15"/>
  </w:num>
  <w:num w:numId="2">
    <w:abstractNumId w:val="25"/>
  </w:num>
  <w:num w:numId="3">
    <w:abstractNumId w:val="27"/>
  </w:num>
  <w:num w:numId="4">
    <w:abstractNumId w:val="31"/>
  </w:num>
  <w:num w:numId="5">
    <w:abstractNumId w:val="1"/>
  </w:num>
  <w:num w:numId="6">
    <w:abstractNumId w:val="9"/>
  </w:num>
  <w:num w:numId="7">
    <w:abstractNumId w:val="2"/>
  </w:num>
  <w:num w:numId="8">
    <w:abstractNumId w:val="24"/>
  </w:num>
  <w:num w:numId="9">
    <w:abstractNumId w:val="35"/>
  </w:num>
  <w:num w:numId="10">
    <w:abstractNumId w:val="17"/>
  </w:num>
  <w:num w:numId="11">
    <w:abstractNumId w:val="8"/>
  </w:num>
  <w:num w:numId="12">
    <w:abstractNumId w:val="4"/>
  </w:num>
  <w:num w:numId="13">
    <w:abstractNumId w:val="33"/>
  </w:num>
  <w:num w:numId="14">
    <w:abstractNumId w:val="28"/>
  </w:num>
  <w:num w:numId="15">
    <w:abstractNumId w:val="6"/>
  </w:num>
  <w:num w:numId="16">
    <w:abstractNumId w:val="18"/>
  </w:num>
  <w:num w:numId="17">
    <w:abstractNumId w:val="19"/>
  </w:num>
  <w:num w:numId="18">
    <w:abstractNumId w:val="32"/>
  </w:num>
  <w:num w:numId="19">
    <w:abstractNumId w:val="29"/>
  </w:num>
  <w:num w:numId="20">
    <w:abstractNumId w:val="2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
  </w:num>
  <w:num w:numId="23">
    <w:abstractNumId w:val="10"/>
  </w:num>
  <w:num w:numId="24">
    <w:abstractNumId w:val="26"/>
  </w:num>
  <w:num w:numId="25">
    <w:abstractNumId w:val="25"/>
    <w:lvlOverride w:ilvl="0">
      <w:startOverride w:val="3"/>
    </w:lvlOverride>
  </w:num>
  <w:num w:numId="26">
    <w:abstractNumId w:val="16"/>
  </w:num>
  <w:num w:numId="27">
    <w:abstractNumId w:val="23"/>
  </w:num>
  <w:num w:numId="28">
    <w:abstractNumId w:val="30"/>
  </w:num>
  <w:num w:numId="29">
    <w:abstractNumId w:val="34"/>
  </w:num>
  <w:num w:numId="30">
    <w:abstractNumId w:val="7"/>
  </w:num>
  <w:num w:numId="31">
    <w:abstractNumId w:val="12"/>
  </w:num>
  <w:num w:numId="32">
    <w:abstractNumId w:val="20"/>
  </w:num>
  <w:num w:numId="33">
    <w:abstractNumId w:val="0"/>
  </w:num>
  <w:num w:numId="34">
    <w:abstractNumId w:val="21"/>
  </w:num>
  <w:num w:numId="35">
    <w:abstractNumId w:val="13"/>
  </w:num>
  <w:num w:numId="36">
    <w:abstractNumId w:val="22"/>
  </w:num>
  <w:num w:numId="37">
    <w:abstractNumId w:val="36"/>
  </w:num>
  <w:num w:numId="38">
    <w:abstractNumId w:val="1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ocumentProtection w:edit="trackedChanges" w:enforcement="0"/>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3A"/>
    <w:rsid w:val="00004084"/>
    <w:rsid w:val="00004955"/>
    <w:rsid w:val="0001287B"/>
    <w:rsid w:val="00012D5B"/>
    <w:rsid w:val="0001452A"/>
    <w:rsid w:val="00016B52"/>
    <w:rsid w:val="00017AE2"/>
    <w:rsid w:val="00021A59"/>
    <w:rsid w:val="0002223B"/>
    <w:rsid w:val="00023C22"/>
    <w:rsid w:val="00032CBC"/>
    <w:rsid w:val="000341D8"/>
    <w:rsid w:val="00040B47"/>
    <w:rsid w:val="00044786"/>
    <w:rsid w:val="0005030D"/>
    <w:rsid w:val="00052C5F"/>
    <w:rsid w:val="00062421"/>
    <w:rsid w:val="00064AF1"/>
    <w:rsid w:val="00064E15"/>
    <w:rsid w:val="00071025"/>
    <w:rsid w:val="0007199C"/>
    <w:rsid w:val="00072110"/>
    <w:rsid w:val="0007336C"/>
    <w:rsid w:val="00073909"/>
    <w:rsid w:val="00073F1F"/>
    <w:rsid w:val="000747C7"/>
    <w:rsid w:val="00074FFB"/>
    <w:rsid w:val="00077F07"/>
    <w:rsid w:val="000801E2"/>
    <w:rsid w:val="00080206"/>
    <w:rsid w:val="00082752"/>
    <w:rsid w:val="00082792"/>
    <w:rsid w:val="00091508"/>
    <w:rsid w:val="00092158"/>
    <w:rsid w:val="00094F25"/>
    <w:rsid w:val="000A0162"/>
    <w:rsid w:val="000A39C3"/>
    <w:rsid w:val="000A4088"/>
    <w:rsid w:val="000B185D"/>
    <w:rsid w:val="000B1AAA"/>
    <w:rsid w:val="000B5EFA"/>
    <w:rsid w:val="000B756B"/>
    <w:rsid w:val="000B7AEA"/>
    <w:rsid w:val="000B7C26"/>
    <w:rsid w:val="000C0C4C"/>
    <w:rsid w:val="000D1BF4"/>
    <w:rsid w:val="000D2A58"/>
    <w:rsid w:val="000D3F77"/>
    <w:rsid w:val="000D5695"/>
    <w:rsid w:val="000D5964"/>
    <w:rsid w:val="000D6636"/>
    <w:rsid w:val="000E2612"/>
    <w:rsid w:val="000E4FFF"/>
    <w:rsid w:val="000E7905"/>
    <w:rsid w:val="000F0BF3"/>
    <w:rsid w:val="000F1A9A"/>
    <w:rsid w:val="000F57AB"/>
    <w:rsid w:val="00101868"/>
    <w:rsid w:val="0010281C"/>
    <w:rsid w:val="00103108"/>
    <w:rsid w:val="00105DB2"/>
    <w:rsid w:val="00106632"/>
    <w:rsid w:val="001102CE"/>
    <w:rsid w:val="00112220"/>
    <w:rsid w:val="00112BB6"/>
    <w:rsid w:val="00112D72"/>
    <w:rsid w:val="00114E8C"/>
    <w:rsid w:val="00117EDF"/>
    <w:rsid w:val="0012522D"/>
    <w:rsid w:val="0013035D"/>
    <w:rsid w:val="0013052C"/>
    <w:rsid w:val="00132DDD"/>
    <w:rsid w:val="00134C50"/>
    <w:rsid w:val="00135A24"/>
    <w:rsid w:val="0013630C"/>
    <w:rsid w:val="001417A3"/>
    <w:rsid w:val="001433E1"/>
    <w:rsid w:val="00145812"/>
    <w:rsid w:val="00147541"/>
    <w:rsid w:val="00147D89"/>
    <w:rsid w:val="00150DAE"/>
    <w:rsid w:val="001528BB"/>
    <w:rsid w:val="00154AEA"/>
    <w:rsid w:val="00155C84"/>
    <w:rsid w:val="00156A0F"/>
    <w:rsid w:val="00160ACA"/>
    <w:rsid w:val="001613E5"/>
    <w:rsid w:val="001615C5"/>
    <w:rsid w:val="00163912"/>
    <w:rsid w:val="00164032"/>
    <w:rsid w:val="0016489A"/>
    <w:rsid w:val="0016610C"/>
    <w:rsid w:val="00172048"/>
    <w:rsid w:val="00180E1B"/>
    <w:rsid w:val="001827A5"/>
    <w:rsid w:val="00184B58"/>
    <w:rsid w:val="001872C6"/>
    <w:rsid w:val="00187A17"/>
    <w:rsid w:val="00195B30"/>
    <w:rsid w:val="001A38E1"/>
    <w:rsid w:val="001B329F"/>
    <w:rsid w:val="001B59A8"/>
    <w:rsid w:val="001C13B7"/>
    <w:rsid w:val="001C33DF"/>
    <w:rsid w:val="001C6A0D"/>
    <w:rsid w:val="001D0D21"/>
    <w:rsid w:val="001D24C2"/>
    <w:rsid w:val="001D6EF3"/>
    <w:rsid w:val="001E079D"/>
    <w:rsid w:val="001E32A9"/>
    <w:rsid w:val="001E3EF5"/>
    <w:rsid w:val="001E41F1"/>
    <w:rsid w:val="001F0EB0"/>
    <w:rsid w:val="001F3D07"/>
    <w:rsid w:val="001F6C62"/>
    <w:rsid w:val="001F7EDD"/>
    <w:rsid w:val="002061E5"/>
    <w:rsid w:val="0020662B"/>
    <w:rsid w:val="002079F9"/>
    <w:rsid w:val="00210037"/>
    <w:rsid w:val="00210577"/>
    <w:rsid w:val="00211047"/>
    <w:rsid w:val="002110BB"/>
    <w:rsid w:val="00211DD7"/>
    <w:rsid w:val="002126E1"/>
    <w:rsid w:val="00220ABD"/>
    <w:rsid w:val="00225595"/>
    <w:rsid w:val="00226885"/>
    <w:rsid w:val="00227714"/>
    <w:rsid w:val="00230259"/>
    <w:rsid w:val="0023039F"/>
    <w:rsid w:val="00230803"/>
    <w:rsid w:val="0023202F"/>
    <w:rsid w:val="002356B7"/>
    <w:rsid w:val="00241C50"/>
    <w:rsid w:val="00247E67"/>
    <w:rsid w:val="00251135"/>
    <w:rsid w:val="00252296"/>
    <w:rsid w:val="00255476"/>
    <w:rsid w:val="00255C3E"/>
    <w:rsid w:val="002637C7"/>
    <w:rsid w:val="00263ACD"/>
    <w:rsid w:val="002645E5"/>
    <w:rsid w:val="00271979"/>
    <w:rsid w:val="00272889"/>
    <w:rsid w:val="00273AEF"/>
    <w:rsid w:val="00280DAE"/>
    <w:rsid w:val="00283D68"/>
    <w:rsid w:val="0028469E"/>
    <w:rsid w:val="002854D9"/>
    <w:rsid w:val="00290681"/>
    <w:rsid w:val="002932A3"/>
    <w:rsid w:val="00293F7D"/>
    <w:rsid w:val="00294242"/>
    <w:rsid w:val="002A0D18"/>
    <w:rsid w:val="002A3D8F"/>
    <w:rsid w:val="002A67A0"/>
    <w:rsid w:val="002A68EC"/>
    <w:rsid w:val="002A7CC7"/>
    <w:rsid w:val="002B0DC8"/>
    <w:rsid w:val="002B1B9F"/>
    <w:rsid w:val="002B2C88"/>
    <w:rsid w:val="002B639C"/>
    <w:rsid w:val="002C1B81"/>
    <w:rsid w:val="002C6C41"/>
    <w:rsid w:val="002C7513"/>
    <w:rsid w:val="002C7737"/>
    <w:rsid w:val="002D09CA"/>
    <w:rsid w:val="002E195F"/>
    <w:rsid w:val="002E20A7"/>
    <w:rsid w:val="002E3843"/>
    <w:rsid w:val="002E6A25"/>
    <w:rsid w:val="002F04AD"/>
    <w:rsid w:val="002F18E8"/>
    <w:rsid w:val="002F6236"/>
    <w:rsid w:val="00304542"/>
    <w:rsid w:val="003046EC"/>
    <w:rsid w:val="00310C63"/>
    <w:rsid w:val="0031237D"/>
    <w:rsid w:val="00313575"/>
    <w:rsid w:val="00320CD5"/>
    <w:rsid w:val="003216BF"/>
    <w:rsid w:val="003277C6"/>
    <w:rsid w:val="003311D2"/>
    <w:rsid w:val="00332E49"/>
    <w:rsid w:val="00333674"/>
    <w:rsid w:val="00333B54"/>
    <w:rsid w:val="003343A8"/>
    <w:rsid w:val="00334E1D"/>
    <w:rsid w:val="0033584B"/>
    <w:rsid w:val="00337974"/>
    <w:rsid w:val="00346ADB"/>
    <w:rsid w:val="00346F65"/>
    <w:rsid w:val="00351E02"/>
    <w:rsid w:val="00353BD9"/>
    <w:rsid w:val="00354F8E"/>
    <w:rsid w:val="00355D57"/>
    <w:rsid w:val="00360348"/>
    <w:rsid w:val="00361A79"/>
    <w:rsid w:val="00367757"/>
    <w:rsid w:val="00370C0A"/>
    <w:rsid w:val="003721C3"/>
    <w:rsid w:val="00372DCE"/>
    <w:rsid w:val="003748F1"/>
    <w:rsid w:val="0037539F"/>
    <w:rsid w:val="00376551"/>
    <w:rsid w:val="00382FE2"/>
    <w:rsid w:val="003843FE"/>
    <w:rsid w:val="00387C2D"/>
    <w:rsid w:val="003915D4"/>
    <w:rsid w:val="00394BDB"/>
    <w:rsid w:val="00395E0C"/>
    <w:rsid w:val="00396335"/>
    <w:rsid w:val="0039667A"/>
    <w:rsid w:val="003A0546"/>
    <w:rsid w:val="003A163D"/>
    <w:rsid w:val="003A472F"/>
    <w:rsid w:val="003A5A63"/>
    <w:rsid w:val="003A652C"/>
    <w:rsid w:val="003A797E"/>
    <w:rsid w:val="003B122D"/>
    <w:rsid w:val="003B5589"/>
    <w:rsid w:val="003B7893"/>
    <w:rsid w:val="003C70F6"/>
    <w:rsid w:val="003D5EAC"/>
    <w:rsid w:val="003D78FD"/>
    <w:rsid w:val="003E313F"/>
    <w:rsid w:val="003E4588"/>
    <w:rsid w:val="003F46C3"/>
    <w:rsid w:val="003F5306"/>
    <w:rsid w:val="003F6C93"/>
    <w:rsid w:val="003F6D30"/>
    <w:rsid w:val="004023A1"/>
    <w:rsid w:val="00404B23"/>
    <w:rsid w:val="004102BD"/>
    <w:rsid w:val="00412926"/>
    <w:rsid w:val="00413005"/>
    <w:rsid w:val="0041368D"/>
    <w:rsid w:val="00420EA0"/>
    <w:rsid w:val="00421791"/>
    <w:rsid w:val="004252B5"/>
    <w:rsid w:val="004262CA"/>
    <w:rsid w:val="004268B3"/>
    <w:rsid w:val="00434592"/>
    <w:rsid w:val="004350D0"/>
    <w:rsid w:val="004417DA"/>
    <w:rsid w:val="00444031"/>
    <w:rsid w:val="00451890"/>
    <w:rsid w:val="0045731B"/>
    <w:rsid w:val="0046041E"/>
    <w:rsid w:val="0046066A"/>
    <w:rsid w:val="00463EAF"/>
    <w:rsid w:val="004653C3"/>
    <w:rsid w:val="004674DD"/>
    <w:rsid w:val="0047142F"/>
    <w:rsid w:val="00472B16"/>
    <w:rsid w:val="00477FBF"/>
    <w:rsid w:val="00481A9A"/>
    <w:rsid w:val="00484B73"/>
    <w:rsid w:val="0048546F"/>
    <w:rsid w:val="0048658B"/>
    <w:rsid w:val="00492945"/>
    <w:rsid w:val="00492D9F"/>
    <w:rsid w:val="004934CA"/>
    <w:rsid w:val="00494AC5"/>
    <w:rsid w:val="004963FD"/>
    <w:rsid w:val="004A271E"/>
    <w:rsid w:val="004A4053"/>
    <w:rsid w:val="004A4937"/>
    <w:rsid w:val="004A5255"/>
    <w:rsid w:val="004A552C"/>
    <w:rsid w:val="004A6B46"/>
    <w:rsid w:val="004B2772"/>
    <w:rsid w:val="004B42EE"/>
    <w:rsid w:val="004B6D25"/>
    <w:rsid w:val="004C1405"/>
    <w:rsid w:val="004C3CAF"/>
    <w:rsid w:val="004C472F"/>
    <w:rsid w:val="004C5824"/>
    <w:rsid w:val="004C5A71"/>
    <w:rsid w:val="004C62E5"/>
    <w:rsid w:val="004E2392"/>
    <w:rsid w:val="004E272B"/>
    <w:rsid w:val="004E2CE4"/>
    <w:rsid w:val="004E62C3"/>
    <w:rsid w:val="004F0ABC"/>
    <w:rsid w:val="004F242C"/>
    <w:rsid w:val="004F27D7"/>
    <w:rsid w:val="004F3CE7"/>
    <w:rsid w:val="004F3E3E"/>
    <w:rsid w:val="004F537E"/>
    <w:rsid w:val="0050227A"/>
    <w:rsid w:val="00503130"/>
    <w:rsid w:val="00506FF0"/>
    <w:rsid w:val="00510000"/>
    <w:rsid w:val="00512105"/>
    <w:rsid w:val="00513EFF"/>
    <w:rsid w:val="00514ED5"/>
    <w:rsid w:val="00516CA1"/>
    <w:rsid w:val="00522A67"/>
    <w:rsid w:val="00524F9B"/>
    <w:rsid w:val="00525373"/>
    <w:rsid w:val="0052774A"/>
    <w:rsid w:val="00541479"/>
    <w:rsid w:val="005457A6"/>
    <w:rsid w:val="00545C03"/>
    <w:rsid w:val="0054617D"/>
    <w:rsid w:val="0055093D"/>
    <w:rsid w:val="00551296"/>
    <w:rsid w:val="005576B9"/>
    <w:rsid w:val="00563F35"/>
    <w:rsid w:val="00564521"/>
    <w:rsid w:val="0056518D"/>
    <w:rsid w:val="00572F08"/>
    <w:rsid w:val="0057378F"/>
    <w:rsid w:val="00573D36"/>
    <w:rsid w:val="0057512A"/>
    <w:rsid w:val="00582B00"/>
    <w:rsid w:val="00584DF5"/>
    <w:rsid w:val="00584F88"/>
    <w:rsid w:val="005867C5"/>
    <w:rsid w:val="005874F8"/>
    <w:rsid w:val="00590F3F"/>
    <w:rsid w:val="005912A8"/>
    <w:rsid w:val="005913D1"/>
    <w:rsid w:val="0059186D"/>
    <w:rsid w:val="00594342"/>
    <w:rsid w:val="00595FED"/>
    <w:rsid w:val="00597513"/>
    <w:rsid w:val="005976C7"/>
    <w:rsid w:val="005A3C43"/>
    <w:rsid w:val="005A5C01"/>
    <w:rsid w:val="005A64C9"/>
    <w:rsid w:val="005B08FD"/>
    <w:rsid w:val="005B72B4"/>
    <w:rsid w:val="005C21D6"/>
    <w:rsid w:val="005C2599"/>
    <w:rsid w:val="005C2676"/>
    <w:rsid w:val="005C4334"/>
    <w:rsid w:val="005C4887"/>
    <w:rsid w:val="005C4A5D"/>
    <w:rsid w:val="005D00D4"/>
    <w:rsid w:val="005D1E19"/>
    <w:rsid w:val="005D61E0"/>
    <w:rsid w:val="005E4432"/>
    <w:rsid w:val="005E58BF"/>
    <w:rsid w:val="005F0471"/>
    <w:rsid w:val="005F09CD"/>
    <w:rsid w:val="005F100D"/>
    <w:rsid w:val="005F5261"/>
    <w:rsid w:val="005F6825"/>
    <w:rsid w:val="005F691A"/>
    <w:rsid w:val="00602115"/>
    <w:rsid w:val="006129C2"/>
    <w:rsid w:val="00614577"/>
    <w:rsid w:val="00615DE3"/>
    <w:rsid w:val="00616D26"/>
    <w:rsid w:val="00620CD0"/>
    <w:rsid w:val="00620E0A"/>
    <w:rsid w:val="00620E72"/>
    <w:rsid w:val="006212FE"/>
    <w:rsid w:val="00621787"/>
    <w:rsid w:val="006236FA"/>
    <w:rsid w:val="00624039"/>
    <w:rsid w:val="0062575A"/>
    <w:rsid w:val="00625A77"/>
    <w:rsid w:val="00630B18"/>
    <w:rsid w:val="006310AF"/>
    <w:rsid w:val="006311E9"/>
    <w:rsid w:val="0063194D"/>
    <w:rsid w:val="006330EA"/>
    <w:rsid w:val="006340AF"/>
    <w:rsid w:val="00634724"/>
    <w:rsid w:val="00635CD9"/>
    <w:rsid w:val="0064190F"/>
    <w:rsid w:val="00642C73"/>
    <w:rsid w:val="00644593"/>
    <w:rsid w:val="0065188D"/>
    <w:rsid w:val="006567B9"/>
    <w:rsid w:val="006573B6"/>
    <w:rsid w:val="00657543"/>
    <w:rsid w:val="00661D77"/>
    <w:rsid w:val="00662C5A"/>
    <w:rsid w:val="00664A32"/>
    <w:rsid w:val="00666126"/>
    <w:rsid w:val="0066759E"/>
    <w:rsid w:val="00671AEE"/>
    <w:rsid w:val="00673773"/>
    <w:rsid w:val="00673CC0"/>
    <w:rsid w:val="00682C68"/>
    <w:rsid w:val="00687A65"/>
    <w:rsid w:val="006961E0"/>
    <w:rsid w:val="00696FB9"/>
    <w:rsid w:val="006970B6"/>
    <w:rsid w:val="00697C9D"/>
    <w:rsid w:val="006A1D98"/>
    <w:rsid w:val="006A6BC2"/>
    <w:rsid w:val="006B0FD4"/>
    <w:rsid w:val="006B2202"/>
    <w:rsid w:val="006B33C4"/>
    <w:rsid w:val="006C0AD0"/>
    <w:rsid w:val="006C28AC"/>
    <w:rsid w:val="006C35E8"/>
    <w:rsid w:val="006C73D9"/>
    <w:rsid w:val="006C7A12"/>
    <w:rsid w:val="006D0CB3"/>
    <w:rsid w:val="006D25A0"/>
    <w:rsid w:val="006D26AB"/>
    <w:rsid w:val="006D2FB5"/>
    <w:rsid w:val="006D3F3A"/>
    <w:rsid w:val="006D5561"/>
    <w:rsid w:val="006D5D4A"/>
    <w:rsid w:val="006D63AA"/>
    <w:rsid w:val="006D73FC"/>
    <w:rsid w:val="006D7E11"/>
    <w:rsid w:val="006E0E90"/>
    <w:rsid w:val="006E6798"/>
    <w:rsid w:val="006F2356"/>
    <w:rsid w:val="006F540A"/>
    <w:rsid w:val="00700731"/>
    <w:rsid w:val="0070150A"/>
    <w:rsid w:val="00704015"/>
    <w:rsid w:val="00704042"/>
    <w:rsid w:val="00704D1E"/>
    <w:rsid w:val="00705365"/>
    <w:rsid w:val="00707CA1"/>
    <w:rsid w:val="00711845"/>
    <w:rsid w:val="0071353F"/>
    <w:rsid w:val="007175E4"/>
    <w:rsid w:val="00720991"/>
    <w:rsid w:val="00720DBA"/>
    <w:rsid w:val="0072193A"/>
    <w:rsid w:val="00722247"/>
    <w:rsid w:val="0072236F"/>
    <w:rsid w:val="007307E3"/>
    <w:rsid w:val="007328D7"/>
    <w:rsid w:val="007344C7"/>
    <w:rsid w:val="007346F4"/>
    <w:rsid w:val="00735E0F"/>
    <w:rsid w:val="00740026"/>
    <w:rsid w:val="007446B6"/>
    <w:rsid w:val="00745195"/>
    <w:rsid w:val="00751A3C"/>
    <w:rsid w:val="0075241E"/>
    <w:rsid w:val="007526B5"/>
    <w:rsid w:val="0075391F"/>
    <w:rsid w:val="00754521"/>
    <w:rsid w:val="00754F8F"/>
    <w:rsid w:val="00755038"/>
    <w:rsid w:val="0075717A"/>
    <w:rsid w:val="007756AB"/>
    <w:rsid w:val="0078406E"/>
    <w:rsid w:val="00785BB8"/>
    <w:rsid w:val="00796C3D"/>
    <w:rsid w:val="00796E98"/>
    <w:rsid w:val="007A05B2"/>
    <w:rsid w:val="007A09BF"/>
    <w:rsid w:val="007A7C8B"/>
    <w:rsid w:val="007B09C6"/>
    <w:rsid w:val="007B33BE"/>
    <w:rsid w:val="007B7213"/>
    <w:rsid w:val="007B76F5"/>
    <w:rsid w:val="007C1007"/>
    <w:rsid w:val="007C133B"/>
    <w:rsid w:val="007C1DAD"/>
    <w:rsid w:val="007C23C6"/>
    <w:rsid w:val="007C5B35"/>
    <w:rsid w:val="007C5C62"/>
    <w:rsid w:val="007D2C10"/>
    <w:rsid w:val="007E0007"/>
    <w:rsid w:val="007E0765"/>
    <w:rsid w:val="007E0F88"/>
    <w:rsid w:val="007E1665"/>
    <w:rsid w:val="007F1132"/>
    <w:rsid w:val="007F3BCD"/>
    <w:rsid w:val="00800286"/>
    <w:rsid w:val="00800447"/>
    <w:rsid w:val="00802302"/>
    <w:rsid w:val="00805ED8"/>
    <w:rsid w:val="0080647D"/>
    <w:rsid w:val="008064AF"/>
    <w:rsid w:val="00807151"/>
    <w:rsid w:val="008078D6"/>
    <w:rsid w:val="008110B8"/>
    <w:rsid w:val="0081335E"/>
    <w:rsid w:val="0081454E"/>
    <w:rsid w:val="00823B3D"/>
    <w:rsid w:val="008242ED"/>
    <w:rsid w:val="00825035"/>
    <w:rsid w:val="008332A1"/>
    <w:rsid w:val="008336D2"/>
    <w:rsid w:val="0085192E"/>
    <w:rsid w:val="008526E5"/>
    <w:rsid w:val="0085279F"/>
    <w:rsid w:val="00852F78"/>
    <w:rsid w:val="0085516E"/>
    <w:rsid w:val="0085564F"/>
    <w:rsid w:val="008576DE"/>
    <w:rsid w:val="00857FE0"/>
    <w:rsid w:val="00860D38"/>
    <w:rsid w:val="00861625"/>
    <w:rsid w:val="0086296B"/>
    <w:rsid w:val="008653EC"/>
    <w:rsid w:val="00866A9B"/>
    <w:rsid w:val="00866E15"/>
    <w:rsid w:val="00871649"/>
    <w:rsid w:val="00875956"/>
    <w:rsid w:val="0088018B"/>
    <w:rsid w:val="008807A6"/>
    <w:rsid w:val="0088415C"/>
    <w:rsid w:val="008859BA"/>
    <w:rsid w:val="008911AE"/>
    <w:rsid w:val="00891547"/>
    <w:rsid w:val="00893362"/>
    <w:rsid w:val="00893637"/>
    <w:rsid w:val="0089398D"/>
    <w:rsid w:val="00893DDF"/>
    <w:rsid w:val="008A33FF"/>
    <w:rsid w:val="008A53DA"/>
    <w:rsid w:val="008A5813"/>
    <w:rsid w:val="008A62FE"/>
    <w:rsid w:val="008A64AA"/>
    <w:rsid w:val="008A6740"/>
    <w:rsid w:val="008C1D52"/>
    <w:rsid w:val="008C30C9"/>
    <w:rsid w:val="008C5287"/>
    <w:rsid w:val="008C5F59"/>
    <w:rsid w:val="008C6312"/>
    <w:rsid w:val="008C6F70"/>
    <w:rsid w:val="008D5D3B"/>
    <w:rsid w:val="008D69CD"/>
    <w:rsid w:val="008D7BA2"/>
    <w:rsid w:val="008E198D"/>
    <w:rsid w:val="008E58B5"/>
    <w:rsid w:val="008E6F85"/>
    <w:rsid w:val="008E7041"/>
    <w:rsid w:val="008F0474"/>
    <w:rsid w:val="008F1413"/>
    <w:rsid w:val="008F38B8"/>
    <w:rsid w:val="008F7EE5"/>
    <w:rsid w:val="00907A67"/>
    <w:rsid w:val="0091048E"/>
    <w:rsid w:val="00914E00"/>
    <w:rsid w:val="00917F3C"/>
    <w:rsid w:val="0092096A"/>
    <w:rsid w:val="00924518"/>
    <w:rsid w:val="009308AF"/>
    <w:rsid w:val="009328DB"/>
    <w:rsid w:val="00932EE3"/>
    <w:rsid w:val="009335E7"/>
    <w:rsid w:val="00937C94"/>
    <w:rsid w:val="00937DFE"/>
    <w:rsid w:val="00940453"/>
    <w:rsid w:val="00940A39"/>
    <w:rsid w:val="009436C1"/>
    <w:rsid w:val="00947622"/>
    <w:rsid w:val="00950180"/>
    <w:rsid w:val="00953DD7"/>
    <w:rsid w:val="009547D1"/>
    <w:rsid w:val="00954FF8"/>
    <w:rsid w:val="009575A6"/>
    <w:rsid w:val="00961F0F"/>
    <w:rsid w:val="00965B64"/>
    <w:rsid w:val="00965DEF"/>
    <w:rsid w:val="009660A1"/>
    <w:rsid w:val="00967A68"/>
    <w:rsid w:val="00970669"/>
    <w:rsid w:val="00971404"/>
    <w:rsid w:val="009726B2"/>
    <w:rsid w:val="00976524"/>
    <w:rsid w:val="009765F4"/>
    <w:rsid w:val="00977FC1"/>
    <w:rsid w:val="00983915"/>
    <w:rsid w:val="00984AB6"/>
    <w:rsid w:val="00985D9A"/>
    <w:rsid w:val="009926BB"/>
    <w:rsid w:val="00993C9A"/>
    <w:rsid w:val="00994CEA"/>
    <w:rsid w:val="009A11FE"/>
    <w:rsid w:val="009A2135"/>
    <w:rsid w:val="009A4B7C"/>
    <w:rsid w:val="009A4BC9"/>
    <w:rsid w:val="009A5D17"/>
    <w:rsid w:val="009A63DA"/>
    <w:rsid w:val="009A7589"/>
    <w:rsid w:val="009A7753"/>
    <w:rsid w:val="009A7F1B"/>
    <w:rsid w:val="009B028E"/>
    <w:rsid w:val="009B305D"/>
    <w:rsid w:val="009B603B"/>
    <w:rsid w:val="009B628E"/>
    <w:rsid w:val="009B6FE6"/>
    <w:rsid w:val="009C6EBC"/>
    <w:rsid w:val="009D23F4"/>
    <w:rsid w:val="009D3489"/>
    <w:rsid w:val="009D3BB2"/>
    <w:rsid w:val="009D57BC"/>
    <w:rsid w:val="009E4400"/>
    <w:rsid w:val="009E4DDC"/>
    <w:rsid w:val="009E5208"/>
    <w:rsid w:val="009F1919"/>
    <w:rsid w:val="009F1FBC"/>
    <w:rsid w:val="009F6DF0"/>
    <w:rsid w:val="00A030D8"/>
    <w:rsid w:val="00A03D34"/>
    <w:rsid w:val="00A04E82"/>
    <w:rsid w:val="00A16281"/>
    <w:rsid w:val="00A279FE"/>
    <w:rsid w:val="00A27BB4"/>
    <w:rsid w:val="00A307A9"/>
    <w:rsid w:val="00A32405"/>
    <w:rsid w:val="00A36FA7"/>
    <w:rsid w:val="00A409B5"/>
    <w:rsid w:val="00A437CC"/>
    <w:rsid w:val="00A45779"/>
    <w:rsid w:val="00A45B91"/>
    <w:rsid w:val="00A519EA"/>
    <w:rsid w:val="00A530AF"/>
    <w:rsid w:val="00A54BAE"/>
    <w:rsid w:val="00A54FFD"/>
    <w:rsid w:val="00A56C99"/>
    <w:rsid w:val="00A616A5"/>
    <w:rsid w:val="00A66628"/>
    <w:rsid w:val="00A66BBC"/>
    <w:rsid w:val="00A719A7"/>
    <w:rsid w:val="00A730F2"/>
    <w:rsid w:val="00A73B1F"/>
    <w:rsid w:val="00A73BC7"/>
    <w:rsid w:val="00A81718"/>
    <w:rsid w:val="00A834F0"/>
    <w:rsid w:val="00A86CF2"/>
    <w:rsid w:val="00A9020A"/>
    <w:rsid w:val="00A95A22"/>
    <w:rsid w:val="00A9620D"/>
    <w:rsid w:val="00A963B2"/>
    <w:rsid w:val="00AA3F6C"/>
    <w:rsid w:val="00AA4788"/>
    <w:rsid w:val="00AA7F2E"/>
    <w:rsid w:val="00AB0B5B"/>
    <w:rsid w:val="00AB2636"/>
    <w:rsid w:val="00AB28C6"/>
    <w:rsid w:val="00AB4ABA"/>
    <w:rsid w:val="00AB4B01"/>
    <w:rsid w:val="00AB57E7"/>
    <w:rsid w:val="00AC0A5F"/>
    <w:rsid w:val="00AC2FC7"/>
    <w:rsid w:val="00AC32AC"/>
    <w:rsid w:val="00AC34E6"/>
    <w:rsid w:val="00AD2274"/>
    <w:rsid w:val="00AD392B"/>
    <w:rsid w:val="00AD465D"/>
    <w:rsid w:val="00AD5687"/>
    <w:rsid w:val="00AD709D"/>
    <w:rsid w:val="00AD759B"/>
    <w:rsid w:val="00AE1603"/>
    <w:rsid w:val="00AE2B56"/>
    <w:rsid w:val="00AE2D8D"/>
    <w:rsid w:val="00AE3830"/>
    <w:rsid w:val="00AE6DF0"/>
    <w:rsid w:val="00AE7C46"/>
    <w:rsid w:val="00AF07E7"/>
    <w:rsid w:val="00AF3368"/>
    <w:rsid w:val="00AF3E97"/>
    <w:rsid w:val="00AF402F"/>
    <w:rsid w:val="00AF5D48"/>
    <w:rsid w:val="00AF6028"/>
    <w:rsid w:val="00AF676E"/>
    <w:rsid w:val="00B07F7F"/>
    <w:rsid w:val="00B1473F"/>
    <w:rsid w:val="00B17E5B"/>
    <w:rsid w:val="00B20830"/>
    <w:rsid w:val="00B21837"/>
    <w:rsid w:val="00B2357F"/>
    <w:rsid w:val="00B23B89"/>
    <w:rsid w:val="00B25581"/>
    <w:rsid w:val="00B26D57"/>
    <w:rsid w:val="00B27F52"/>
    <w:rsid w:val="00B326C4"/>
    <w:rsid w:val="00B34B75"/>
    <w:rsid w:val="00B35E49"/>
    <w:rsid w:val="00B40615"/>
    <w:rsid w:val="00B438AD"/>
    <w:rsid w:val="00B4424B"/>
    <w:rsid w:val="00B4650B"/>
    <w:rsid w:val="00B4708A"/>
    <w:rsid w:val="00B548AE"/>
    <w:rsid w:val="00B55C66"/>
    <w:rsid w:val="00B60DCD"/>
    <w:rsid w:val="00B628C7"/>
    <w:rsid w:val="00B62BBC"/>
    <w:rsid w:val="00B64746"/>
    <w:rsid w:val="00B64CE9"/>
    <w:rsid w:val="00B70A10"/>
    <w:rsid w:val="00B74BE9"/>
    <w:rsid w:val="00B77E63"/>
    <w:rsid w:val="00B82011"/>
    <w:rsid w:val="00B8463D"/>
    <w:rsid w:val="00B902AA"/>
    <w:rsid w:val="00B93284"/>
    <w:rsid w:val="00B94448"/>
    <w:rsid w:val="00B956BE"/>
    <w:rsid w:val="00B9637B"/>
    <w:rsid w:val="00B96596"/>
    <w:rsid w:val="00BA261E"/>
    <w:rsid w:val="00BB3145"/>
    <w:rsid w:val="00BB436F"/>
    <w:rsid w:val="00BC2101"/>
    <w:rsid w:val="00BC2B68"/>
    <w:rsid w:val="00BC5B71"/>
    <w:rsid w:val="00BD02FB"/>
    <w:rsid w:val="00BD0F36"/>
    <w:rsid w:val="00BD3F23"/>
    <w:rsid w:val="00BD6135"/>
    <w:rsid w:val="00BD749B"/>
    <w:rsid w:val="00BD74CC"/>
    <w:rsid w:val="00BE17F4"/>
    <w:rsid w:val="00BE1B87"/>
    <w:rsid w:val="00BE313B"/>
    <w:rsid w:val="00BE400D"/>
    <w:rsid w:val="00BE5192"/>
    <w:rsid w:val="00BE5DE9"/>
    <w:rsid w:val="00BE679C"/>
    <w:rsid w:val="00BE7830"/>
    <w:rsid w:val="00BF0E83"/>
    <w:rsid w:val="00BF3DE3"/>
    <w:rsid w:val="00BF6DD9"/>
    <w:rsid w:val="00C01D9C"/>
    <w:rsid w:val="00C021DB"/>
    <w:rsid w:val="00C02D3A"/>
    <w:rsid w:val="00C05D0E"/>
    <w:rsid w:val="00C10735"/>
    <w:rsid w:val="00C11E6A"/>
    <w:rsid w:val="00C124BF"/>
    <w:rsid w:val="00C12739"/>
    <w:rsid w:val="00C130CB"/>
    <w:rsid w:val="00C13F8F"/>
    <w:rsid w:val="00C14699"/>
    <w:rsid w:val="00C20229"/>
    <w:rsid w:val="00C20719"/>
    <w:rsid w:val="00C214E1"/>
    <w:rsid w:val="00C215F1"/>
    <w:rsid w:val="00C23B2D"/>
    <w:rsid w:val="00C32101"/>
    <w:rsid w:val="00C33764"/>
    <w:rsid w:val="00C34AAC"/>
    <w:rsid w:val="00C34E08"/>
    <w:rsid w:val="00C36580"/>
    <w:rsid w:val="00C461D3"/>
    <w:rsid w:val="00C54840"/>
    <w:rsid w:val="00C55B87"/>
    <w:rsid w:val="00C57061"/>
    <w:rsid w:val="00C6208A"/>
    <w:rsid w:val="00C641B8"/>
    <w:rsid w:val="00C672D2"/>
    <w:rsid w:val="00C67474"/>
    <w:rsid w:val="00C74449"/>
    <w:rsid w:val="00C84F48"/>
    <w:rsid w:val="00C908CA"/>
    <w:rsid w:val="00C91F6B"/>
    <w:rsid w:val="00C93E8C"/>
    <w:rsid w:val="00C94B0D"/>
    <w:rsid w:val="00C958A2"/>
    <w:rsid w:val="00C95981"/>
    <w:rsid w:val="00CA011D"/>
    <w:rsid w:val="00CA0B6C"/>
    <w:rsid w:val="00CA0DE1"/>
    <w:rsid w:val="00CA13B4"/>
    <w:rsid w:val="00CA26AD"/>
    <w:rsid w:val="00CA659E"/>
    <w:rsid w:val="00CB03D6"/>
    <w:rsid w:val="00CB21E4"/>
    <w:rsid w:val="00CB431D"/>
    <w:rsid w:val="00CC04CE"/>
    <w:rsid w:val="00CC7A8F"/>
    <w:rsid w:val="00CD0736"/>
    <w:rsid w:val="00CD23DD"/>
    <w:rsid w:val="00CD26D7"/>
    <w:rsid w:val="00CD308E"/>
    <w:rsid w:val="00CD3C21"/>
    <w:rsid w:val="00CD3F09"/>
    <w:rsid w:val="00CE27CA"/>
    <w:rsid w:val="00CE3C89"/>
    <w:rsid w:val="00CE48B6"/>
    <w:rsid w:val="00CE573A"/>
    <w:rsid w:val="00CE70F0"/>
    <w:rsid w:val="00CE730F"/>
    <w:rsid w:val="00CE747B"/>
    <w:rsid w:val="00CF520B"/>
    <w:rsid w:val="00CF5CB0"/>
    <w:rsid w:val="00CF6EB7"/>
    <w:rsid w:val="00D0597E"/>
    <w:rsid w:val="00D05D38"/>
    <w:rsid w:val="00D05D5B"/>
    <w:rsid w:val="00D10ED4"/>
    <w:rsid w:val="00D14B35"/>
    <w:rsid w:val="00D15A45"/>
    <w:rsid w:val="00D22F24"/>
    <w:rsid w:val="00D2379A"/>
    <w:rsid w:val="00D25C1B"/>
    <w:rsid w:val="00D25E35"/>
    <w:rsid w:val="00D30BD7"/>
    <w:rsid w:val="00D30DAC"/>
    <w:rsid w:val="00D342E8"/>
    <w:rsid w:val="00D34D5F"/>
    <w:rsid w:val="00D356E0"/>
    <w:rsid w:val="00D3685E"/>
    <w:rsid w:val="00D411E7"/>
    <w:rsid w:val="00D441A6"/>
    <w:rsid w:val="00D46D5D"/>
    <w:rsid w:val="00D52AE5"/>
    <w:rsid w:val="00D548AD"/>
    <w:rsid w:val="00D559C3"/>
    <w:rsid w:val="00D6075E"/>
    <w:rsid w:val="00D620C1"/>
    <w:rsid w:val="00D65939"/>
    <w:rsid w:val="00D705CB"/>
    <w:rsid w:val="00D70CF4"/>
    <w:rsid w:val="00D74F9D"/>
    <w:rsid w:val="00D7561A"/>
    <w:rsid w:val="00D75F52"/>
    <w:rsid w:val="00D80471"/>
    <w:rsid w:val="00D80A9B"/>
    <w:rsid w:val="00D846CF"/>
    <w:rsid w:val="00D84DB5"/>
    <w:rsid w:val="00D85DA0"/>
    <w:rsid w:val="00D872D1"/>
    <w:rsid w:val="00D92464"/>
    <w:rsid w:val="00D936C5"/>
    <w:rsid w:val="00D948A9"/>
    <w:rsid w:val="00D96A92"/>
    <w:rsid w:val="00D97F48"/>
    <w:rsid w:val="00DA05BA"/>
    <w:rsid w:val="00DA0C0D"/>
    <w:rsid w:val="00DA1C01"/>
    <w:rsid w:val="00DA23EC"/>
    <w:rsid w:val="00DA5753"/>
    <w:rsid w:val="00DA6EF4"/>
    <w:rsid w:val="00DB1154"/>
    <w:rsid w:val="00DC0EC6"/>
    <w:rsid w:val="00DC1214"/>
    <w:rsid w:val="00DC4412"/>
    <w:rsid w:val="00DC61EC"/>
    <w:rsid w:val="00DD0006"/>
    <w:rsid w:val="00DD12E9"/>
    <w:rsid w:val="00DD4BF0"/>
    <w:rsid w:val="00DD4DB8"/>
    <w:rsid w:val="00DD5D68"/>
    <w:rsid w:val="00DD65DC"/>
    <w:rsid w:val="00DE1D97"/>
    <w:rsid w:val="00DE6CE4"/>
    <w:rsid w:val="00DE719C"/>
    <w:rsid w:val="00DF2C24"/>
    <w:rsid w:val="00DF3770"/>
    <w:rsid w:val="00DF5C00"/>
    <w:rsid w:val="00E017D2"/>
    <w:rsid w:val="00E0530D"/>
    <w:rsid w:val="00E0614F"/>
    <w:rsid w:val="00E12586"/>
    <w:rsid w:val="00E12E68"/>
    <w:rsid w:val="00E149FB"/>
    <w:rsid w:val="00E151B6"/>
    <w:rsid w:val="00E20796"/>
    <w:rsid w:val="00E212FC"/>
    <w:rsid w:val="00E24193"/>
    <w:rsid w:val="00E24D8C"/>
    <w:rsid w:val="00E265F9"/>
    <w:rsid w:val="00E27911"/>
    <w:rsid w:val="00E30D3F"/>
    <w:rsid w:val="00E30FC4"/>
    <w:rsid w:val="00E3375C"/>
    <w:rsid w:val="00E348B0"/>
    <w:rsid w:val="00E36F4F"/>
    <w:rsid w:val="00E375F2"/>
    <w:rsid w:val="00E40E02"/>
    <w:rsid w:val="00E426CC"/>
    <w:rsid w:val="00E4284D"/>
    <w:rsid w:val="00E429F9"/>
    <w:rsid w:val="00E436CE"/>
    <w:rsid w:val="00E443FE"/>
    <w:rsid w:val="00E5091E"/>
    <w:rsid w:val="00E51C7B"/>
    <w:rsid w:val="00E52F7F"/>
    <w:rsid w:val="00E56A80"/>
    <w:rsid w:val="00E638BA"/>
    <w:rsid w:val="00E67055"/>
    <w:rsid w:val="00E702A3"/>
    <w:rsid w:val="00E703D1"/>
    <w:rsid w:val="00E73783"/>
    <w:rsid w:val="00E74EB1"/>
    <w:rsid w:val="00E750B1"/>
    <w:rsid w:val="00E808AB"/>
    <w:rsid w:val="00E80D9B"/>
    <w:rsid w:val="00E83D31"/>
    <w:rsid w:val="00E85FE4"/>
    <w:rsid w:val="00E905E4"/>
    <w:rsid w:val="00E91CFA"/>
    <w:rsid w:val="00E92D6E"/>
    <w:rsid w:val="00E95875"/>
    <w:rsid w:val="00E95B43"/>
    <w:rsid w:val="00EA37C1"/>
    <w:rsid w:val="00EA3CD8"/>
    <w:rsid w:val="00EA4B9E"/>
    <w:rsid w:val="00EA54EF"/>
    <w:rsid w:val="00EA5A5E"/>
    <w:rsid w:val="00EA5CA5"/>
    <w:rsid w:val="00EB393D"/>
    <w:rsid w:val="00EB3BDB"/>
    <w:rsid w:val="00EB40E6"/>
    <w:rsid w:val="00EC0792"/>
    <w:rsid w:val="00EC464E"/>
    <w:rsid w:val="00EC4C78"/>
    <w:rsid w:val="00EC4DA9"/>
    <w:rsid w:val="00EC6FA5"/>
    <w:rsid w:val="00EE0369"/>
    <w:rsid w:val="00EE2ACC"/>
    <w:rsid w:val="00EE2AD4"/>
    <w:rsid w:val="00EE55E0"/>
    <w:rsid w:val="00EE5FD0"/>
    <w:rsid w:val="00EE705A"/>
    <w:rsid w:val="00EE7220"/>
    <w:rsid w:val="00F000F0"/>
    <w:rsid w:val="00F004B8"/>
    <w:rsid w:val="00F04874"/>
    <w:rsid w:val="00F06C1B"/>
    <w:rsid w:val="00F070C6"/>
    <w:rsid w:val="00F15B67"/>
    <w:rsid w:val="00F211CD"/>
    <w:rsid w:val="00F23687"/>
    <w:rsid w:val="00F255A9"/>
    <w:rsid w:val="00F258A2"/>
    <w:rsid w:val="00F26631"/>
    <w:rsid w:val="00F26AB4"/>
    <w:rsid w:val="00F27DD5"/>
    <w:rsid w:val="00F3042E"/>
    <w:rsid w:val="00F30FA0"/>
    <w:rsid w:val="00F31E77"/>
    <w:rsid w:val="00F40C20"/>
    <w:rsid w:val="00F416FB"/>
    <w:rsid w:val="00F4182F"/>
    <w:rsid w:val="00F439A3"/>
    <w:rsid w:val="00F47F62"/>
    <w:rsid w:val="00F5159A"/>
    <w:rsid w:val="00F54122"/>
    <w:rsid w:val="00F54774"/>
    <w:rsid w:val="00F54D68"/>
    <w:rsid w:val="00F57DA8"/>
    <w:rsid w:val="00F62EC2"/>
    <w:rsid w:val="00F64D23"/>
    <w:rsid w:val="00F66DD2"/>
    <w:rsid w:val="00F707B0"/>
    <w:rsid w:val="00F74E7C"/>
    <w:rsid w:val="00F75D82"/>
    <w:rsid w:val="00F76AF0"/>
    <w:rsid w:val="00F76F7F"/>
    <w:rsid w:val="00F77241"/>
    <w:rsid w:val="00F77ECB"/>
    <w:rsid w:val="00F822AD"/>
    <w:rsid w:val="00F84D8D"/>
    <w:rsid w:val="00F87DC0"/>
    <w:rsid w:val="00F90126"/>
    <w:rsid w:val="00F9106E"/>
    <w:rsid w:val="00F92029"/>
    <w:rsid w:val="00F92FDE"/>
    <w:rsid w:val="00F955D3"/>
    <w:rsid w:val="00F9772F"/>
    <w:rsid w:val="00F97BAB"/>
    <w:rsid w:val="00FA1401"/>
    <w:rsid w:val="00FA34E2"/>
    <w:rsid w:val="00FA3F8E"/>
    <w:rsid w:val="00FA5CA4"/>
    <w:rsid w:val="00FA78A5"/>
    <w:rsid w:val="00FB5898"/>
    <w:rsid w:val="00FB5F3F"/>
    <w:rsid w:val="00FB6D56"/>
    <w:rsid w:val="00FB6F63"/>
    <w:rsid w:val="00FC0990"/>
    <w:rsid w:val="00FC2B5D"/>
    <w:rsid w:val="00FC2D1F"/>
    <w:rsid w:val="00FC3670"/>
    <w:rsid w:val="00FC7161"/>
    <w:rsid w:val="00FD01B7"/>
    <w:rsid w:val="00FD0865"/>
    <w:rsid w:val="00FD15EB"/>
    <w:rsid w:val="00FD30F3"/>
    <w:rsid w:val="00FD38D3"/>
    <w:rsid w:val="00FD4DD3"/>
    <w:rsid w:val="00FD53FF"/>
    <w:rsid w:val="00FD659A"/>
    <w:rsid w:val="00FD7A49"/>
    <w:rsid w:val="00FE1803"/>
    <w:rsid w:val="00FE1B56"/>
    <w:rsid w:val="00FE26CF"/>
    <w:rsid w:val="00FE36C0"/>
    <w:rsid w:val="00FE4F77"/>
    <w:rsid w:val="00FE5A50"/>
    <w:rsid w:val="00FF5D1C"/>
    <w:rsid w:val="00FF628C"/>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semiHidden="0" w:uiPriority="35" w:unhideWhenUsed="0" w:qFormat="1"/>
    <w:lsdException w:name="footnote reference" w:uiPriority="0"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FA"/>
    <w:pPr>
      <w:spacing w:after="160" w:line="259" w:lineRule="auto"/>
    </w:pPr>
    <w:rPr>
      <w:rFonts w:ascii="Arial" w:hAnsi="Arial"/>
      <w:sz w:val="24"/>
      <w:szCs w:val="22"/>
    </w:rPr>
  </w:style>
  <w:style w:type="paragraph" w:styleId="Heading1">
    <w:name w:val="heading 1"/>
    <w:aliases w:val="Heading 1.I"/>
    <w:basedOn w:val="Normal"/>
    <w:next w:val="Normal"/>
    <w:link w:val="Heading1Char"/>
    <w:uiPriority w:val="9"/>
    <w:qFormat/>
    <w:rsid w:val="006310AF"/>
    <w:pPr>
      <w:keepNext/>
      <w:keepLines/>
      <w:spacing w:before="120" w:after="120" w:line="240" w:lineRule="auto"/>
      <w:outlineLvl w:val="0"/>
    </w:pPr>
    <w:rPr>
      <w:rFonts w:eastAsia="Times New Roman" w:cs="Arial"/>
      <w:b/>
      <w:bCs/>
      <w:szCs w:val="28"/>
      <w:lang w:val="es-ES_tradnl"/>
    </w:rPr>
  </w:style>
  <w:style w:type="paragraph" w:styleId="Heading2">
    <w:name w:val="heading 2"/>
    <w:basedOn w:val="Normal"/>
    <w:next w:val="Normal"/>
    <w:link w:val="Heading2Char"/>
    <w:autoRedefine/>
    <w:uiPriority w:val="9"/>
    <w:qFormat/>
    <w:rsid w:val="00620E0A"/>
    <w:pPr>
      <w:keepNext/>
      <w:keepLines/>
      <w:spacing w:before="240" w:after="0"/>
      <w:ind w:left="360"/>
      <w:outlineLvl w:val="1"/>
    </w:pPr>
    <w:rPr>
      <w:rFonts w:eastAsia="Times New Roman"/>
      <w:b/>
      <w:bCs/>
      <w:szCs w:val="24"/>
      <w:lang w:val="es-ES_tradnl"/>
    </w:rPr>
  </w:style>
  <w:style w:type="paragraph" w:styleId="Heading3">
    <w:name w:val="heading 3"/>
    <w:basedOn w:val="Normal"/>
    <w:next w:val="Normal"/>
    <w:link w:val="Heading3Char"/>
    <w:uiPriority w:val="9"/>
    <w:qFormat/>
    <w:rsid w:val="00AA7F2E"/>
    <w:pPr>
      <w:keepNext/>
      <w:keepLines/>
      <w:numPr>
        <w:ilvl w:val="2"/>
        <w:numId w:val="10"/>
      </w:numPr>
      <w:spacing w:before="200" w:after="0"/>
      <w:outlineLvl w:val="2"/>
    </w:pPr>
    <w:rPr>
      <w:rFonts w:ascii="Calibri Light" w:eastAsia="Times New Roman" w:hAnsi="Calibri Light"/>
      <w:b/>
      <w:bCs/>
      <w:color w:val="5B9BD5"/>
    </w:rPr>
  </w:style>
  <w:style w:type="paragraph" w:styleId="Heading4">
    <w:name w:val="heading 4"/>
    <w:aliases w:val="Heading 4.a"/>
    <w:basedOn w:val="Normal"/>
    <w:next w:val="Normal"/>
    <w:link w:val="Heading4Char"/>
    <w:uiPriority w:val="9"/>
    <w:qFormat/>
    <w:rsid w:val="00AA7F2E"/>
    <w:pPr>
      <w:keepNext/>
      <w:keepLines/>
      <w:numPr>
        <w:ilvl w:val="3"/>
        <w:numId w:val="10"/>
      </w:numPr>
      <w:spacing w:before="200" w:after="0"/>
      <w:outlineLvl w:val="3"/>
    </w:pPr>
    <w:rPr>
      <w:rFonts w:ascii="Calibri Light" w:eastAsia="Times New Roman" w:hAnsi="Calibri Light"/>
      <w:b/>
      <w:bCs/>
      <w:i/>
      <w:iCs/>
      <w:color w:val="5B9BD5"/>
    </w:rPr>
  </w:style>
  <w:style w:type="paragraph" w:styleId="Heading5">
    <w:name w:val="heading 5"/>
    <w:aliases w:val="Heading 5.(i)"/>
    <w:basedOn w:val="Normal"/>
    <w:link w:val="Heading5Char"/>
    <w:qFormat/>
    <w:rsid w:val="00AA7F2E"/>
    <w:pPr>
      <w:numPr>
        <w:ilvl w:val="4"/>
        <w:numId w:val="10"/>
      </w:num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qFormat/>
    <w:rsid w:val="00AA7F2E"/>
    <w:pPr>
      <w:keepNext/>
      <w:keepLines/>
      <w:numPr>
        <w:ilvl w:val="5"/>
        <w:numId w:val="10"/>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qFormat/>
    <w:rsid w:val="00AA7F2E"/>
    <w:pPr>
      <w:keepNext/>
      <w:keepLines/>
      <w:numPr>
        <w:ilvl w:val="6"/>
        <w:numId w:val="10"/>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qFormat/>
    <w:rsid w:val="00AA7F2E"/>
    <w:pPr>
      <w:keepNext/>
      <w:keepLines/>
      <w:numPr>
        <w:ilvl w:val="7"/>
        <w:numId w:val="10"/>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qFormat/>
    <w:rsid w:val="00AA7F2E"/>
    <w:pPr>
      <w:keepNext/>
      <w:keepLines/>
      <w:numPr>
        <w:ilvl w:val="8"/>
        <w:numId w:val="10"/>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Heading 5.(i) Char"/>
    <w:link w:val="Heading5"/>
    <w:uiPriority w:val="9"/>
    <w:rsid w:val="00AA7F2E"/>
    <w:rPr>
      <w:rFonts w:ascii="Times New Roman" w:eastAsia="Times New Roman" w:hAnsi="Times New Roman" w:cs="Times New Roman"/>
      <w:b/>
      <w:bCs/>
      <w:sz w:val="20"/>
      <w:szCs w:val="20"/>
    </w:rPr>
  </w:style>
  <w:style w:type="paragraph" w:styleId="NormalWeb">
    <w:name w:val="Normal (Web)"/>
    <w:basedOn w:val="Normal"/>
    <w:uiPriority w:val="99"/>
    <w:unhideWhenUsed/>
    <w:rsid w:val="00CE573A"/>
    <w:pPr>
      <w:spacing w:before="100" w:beforeAutospacing="1" w:after="100" w:afterAutospacing="1" w:line="240" w:lineRule="auto"/>
    </w:pPr>
    <w:rPr>
      <w:rFonts w:ascii="Times New Roman" w:eastAsia="Times New Roman" w:hAnsi="Times New Roman"/>
      <w:szCs w:val="24"/>
    </w:rPr>
  </w:style>
  <w:style w:type="table" w:styleId="TableGrid">
    <w:name w:val="Table Grid"/>
    <w:basedOn w:val="TableNormal"/>
    <w:uiPriority w:val="39"/>
    <w:rsid w:val="00E80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CD3F09"/>
    <w:rPr>
      <w:i/>
      <w:iCs/>
    </w:rPr>
  </w:style>
  <w:style w:type="character" w:customStyle="1" w:styleId="apple-converted-space">
    <w:name w:val="apple-converted-space"/>
    <w:basedOn w:val="DefaultParagraphFont"/>
    <w:rsid w:val="00CD3F09"/>
  </w:style>
  <w:style w:type="paragraph" w:styleId="FootnoteText">
    <w:name w:val="footnote text"/>
    <w:aliases w:val="fn,Texto nota pie IIRSA,footnote,foottextfra,F,Texto nota pie Car Car,Car,Car3 Car Car,Car3 Car,Car3 Car Car Car Car Car Car Car Car Car Car,Car3 Car Car Car Car Car Car Car Car Car Car Car Car Car,ft,Style 25,Texto de rodapé,nota_rodapé,f"/>
    <w:basedOn w:val="Normal"/>
    <w:link w:val="FootnoteTextChar"/>
    <w:unhideWhenUsed/>
    <w:qFormat/>
    <w:rsid w:val="008C5F59"/>
    <w:pPr>
      <w:keepNext/>
      <w:keepLines/>
      <w:spacing w:after="120" w:line="240" w:lineRule="auto"/>
      <w:ind w:left="288" w:hanging="288"/>
      <w:jc w:val="both"/>
    </w:pPr>
    <w:rPr>
      <w:rFonts w:ascii="Times New Roman" w:hAnsi="Times New Roman"/>
      <w:spacing w:val="-3"/>
      <w:sz w:val="20"/>
      <w:szCs w:val="20"/>
    </w:rPr>
  </w:style>
  <w:style w:type="character" w:customStyle="1" w:styleId="FootnoteTextChar">
    <w:name w:val="Footnote Text Char"/>
    <w:aliases w:val="fn Char,Texto nota pie IIRSA Char,footnote Char,foottextfra Char,F Char,Texto nota pie Car Car Char,Car Char,Car3 Car Car Char,Car3 Car Char,Car3 Car Car Car Car Car Car Car Car Car Car Char,ft Char,Style 25 Char,Texto de rodapé Char"/>
    <w:link w:val="FootnoteText"/>
    <w:rsid w:val="008C5F59"/>
    <w:rPr>
      <w:rFonts w:ascii="Times New Roman" w:hAnsi="Times New Roman" w:cs="Times New Roman"/>
      <w:spacing w:val="-3"/>
      <w:sz w:val="20"/>
      <w:szCs w:val="20"/>
    </w:rPr>
  </w:style>
  <w:style w:type="character" w:styleId="FootnoteReference">
    <w:name w:val="footnote reference"/>
    <w:aliases w:val="referencia nota al pie,titulo 2,Fußnotenzeichen DISS,16 Point,Superscript 6 Point,ftref,BVI fnr,Знак сноски 1,Footnote Referencefra,FC,Style 24,pie pddes,Ref,de nota al pie,Ref. de nota al pie.,Footnote Reference.SES"/>
    <w:unhideWhenUsed/>
    <w:qFormat/>
    <w:rsid w:val="008C5F59"/>
    <w:rPr>
      <w:vertAlign w:val="superscript"/>
    </w:rPr>
  </w:style>
  <w:style w:type="character" w:styleId="Hyperlink">
    <w:name w:val="Hyperlink"/>
    <w:unhideWhenUsed/>
    <w:rsid w:val="002B1B9F"/>
    <w:rPr>
      <w:color w:val="0000FF"/>
      <w:u w:val="single"/>
    </w:rPr>
  </w:style>
  <w:style w:type="paragraph" w:styleId="BalloonText">
    <w:name w:val="Balloon Text"/>
    <w:basedOn w:val="Normal"/>
    <w:link w:val="BalloonTextChar"/>
    <w:uiPriority w:val="99"/>
    <w:semiHidden/>
    <w:unhideWhenUsed/>
    <w:rsid w:val="00353B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3BD9"/>
    <w:rPr>
      <w:rFonts w:ascii="Tahoma" w:hAnsi="Tahoma" w:cs="Tahoma"/>
      <w:sz w:val="16"/>
      <w:szCs w:val="16"/>
    </w:rPr>
  </w:style>
  <w:style w:type="paragraph" w:customStyle="1" w:styleId="ColorfulList-Accent11">
    <w:name w:val="Colorful List - Accent 11"/>
    <w:basedOn w:val="Normal"/>
    <w:link w:val="ColorfulList-Accent1Char1"/>
    <w:uiPriority w:val="34"/>
    <w:qFormat/>
    <w:rsid w:val="00353BD9"/>
    <w:pPr>
      <w:ind w:left="720"/>
      <w:contextualSpacing/>
    </w:pPr>
  </w:style>
  <w:style w:type="paragraph" w:styleId="Title">
    <w:name w:val="Title"/>
    <w:basedOn w:val="Normal"/>
    <w:link w:val="TitleChar"/>
    <w:qFormat/>
    <w:rsid w:val="00FD15EB"/>
    <w:pPr>
      <w:tabs>
        <w:tab w:val="left" w:pos="1440"/>
        <w:tab w:val="left" w:pos="3060"/>
      </w:tabs>
      <w:spacing w:after="0" w:line="240" w:lineRule="auto"/>
      <w:jc w:val="center"/>
      <w:outlineLvl w:val="0"/>
    </w:pPr>
    <w:rPr>
      <w:rFonts w:ascii="Times New Roman" w:eastAsia="Times New Roman" w:hAnsi="Times New Roman"/>
      <w:szCs w:val="20"/>
    </w:rPr>
  </w:style>
  <w:style w:type="character" w:customStyle="1" w:styleId="TitleChar">
    <w:name w:val="Title Char"/>
    <w:link w:val="Title"/>
    <w:rsid w:val="00FD15EB"/>
    <w:rPr>
      <w:rFonts w:ascii="Times New Roman" w:eastAsia="Times New Roman" w:hAnsi="Times New Roman" w:cs="Times New Roman"/>
      <w:sz w:val="24"/>
      <w:szCs w:val="20"/>
    </w:rPr>
  </w:style>
  <w:style w:type="paragraph" w:customStyle="1" w:styleId="Newpage">
    <w:name w:val="Newpage"/>
    <w:basedOn w:val="Normal"/>
    <w:rsid w:val="00FD15EB"/>
    <w:pPr>
      <w:tabs>
        <w:tab w:val="left" w:pos="1440"/>
        <w:tab w:val="left" w:pos="3060"/>
      </w:tabs>
      <w:spacing w:after="0" w:line="240" w:lineRule="auto"/>
      <w:jc w:val="center"/>
    </w:pPr>
    <w:rPr>
      <w:rFonts w:ascii="Times New Roman" w:eastAsia="Times New Roman" w:hAnsi="Times New Roman" w:cs="Arial"/>
      <w:b/>
      <w:smallCaps/>
      <w:szCs w:val="20"/>
    </w:rPr>
  </w:style>
  <w:style w:type="paragraph" w:customStyle="1" w:styleId="Listavistosa-nfasis11">
    <w:name w:val="Lista vistosa - Énfasis 11"/>
    <w:basedOn w:val="Normal"/>
    <w:link w:val="Listavistosa-nfasis1Car"/>
    <w:uiPriority w:val="34"/>
    <w:qFormat/>
    <w:rsid w:val="00A437CC"/>
    <w:pPr>
      <w:spacing w:after="0" w:line="240" w:lineRule="auto"/>
      <w:ind w:left="720"/>
      <w:contextualSpacing/>
    </w:pPr>
    <w:rPr>
      <w:rFonts w:ascii="Calibri" w:hAnsi="Calibri"/>
      <w:lang w:val="es-ES_tradnl"/>
    </w:rPr>
  </w:style>
  <w:style w:type="character" w:customStyle="1" w:styleId="Listavistosa-nfasis1Car">
    <w:name w:val="Lista vistosa - Énfasis 1 Car"/>
    <w:link w:val="Listavistosa-nfasis11"/>
    <w:uiPriority w:val="34"/>
    <w:rsid w:val="00A437CC"/>
    <w:rPr>
      <w:rFonts w:ascii="Calibri" w:eastAsia="Calibri" w:hAnsi="Calibri" w:cs="Times New Roman"/>
      <w:lang w:val="es-ES_tradnl"/>
    </w:rPr>
  </w:style>
  <w:style w:type="character" w:customStyle="1" w:styleId="Heading1Char">
    <w:name w:val="Heading 1 Char"/>
    <w:aliases w:val="Heading 1.I Char"/>
    <w:link w:val="Heading1"/>
    <w:uiPriority w:val="9"/>
    <w:rsid w:val="006310AF"/>
    <w:rPr>
      <w:rFonts w:ascii="Arial" w:eastAsia="Times New Roman" w:hAnsi="Arial" w:cs="Arial"/>
      <w:b/>
      <w:bCs/>
      <w:sz w:val="24"/>
      <w:szCs w:val="28"/>
      <w:lang w:val="es-ES_tradnl"/>
    </w:rPr>
  </w:style>
  <w:style w:type="paragraph" w:styleId="TOCHeading">
    <w:name w:val="TOC Heading"/>
    <w:basedOn w:val="Heading1"/>
    <w:next w:val="Normal"/>
    <w:uiPriority w:val="39"/>
    <w:semiHidden/>
    <w:unhideWhenUsed/>
    <w:qFormat/>
    <w:rsid w:val="00AA7F2E"/>
    <w:pPr>
      <w:spacing w:line="276" w:lineRule="auto"/>
      <w:outlineLvl w:val="9"/>
    </w:pPr>
    <w:rPr>
      <w:lang w:eastAsia="ja-JP"/>
    </w:rPr>
  </w:style>
  <w:style w:type="paragraph" w:customStyle="1" w:styleId="Chapter">
    <w:name w:val="Chapter"/>
    <w:basedOn w:val="Normal"/>
    <w:next w:val="Normal"/>
    <w:link w:val="ChapterChar"/>
    <w:rsid w:val="00AA7F2E"/>
    <w:pPr>
      <w:keepNext/>
      <w:numPr>
        <w:numId w:val="10"/>
      </w:numPr>
      <w:tabs>
        <w:tab w:val="num" w:pos="648"/>
        <w:tab w:val="left" w:pos="1440"/>
      </w:tabs>
      <w:spacing w:before="240" w:after="240" w:line="240" w:lineRule="auto"/>
      <w:ind w:left="0" w:firstLine="288"/>
      <w:jc w:val="center"/>
    </w:pPr>
    <w:rPr>
      <w:rFonts w:ascii="Times New Roman" w:hAnsi="Times New Roman"/>
      <w:b/>
      <w:smallCaps/>
      <w:lang w:val="es-ES"/>
    </w:rPr>
  </w:style>
  <w:style w:type="character" w:customStyle="1" w:styleId="ColorfulList-Accent1Char1">
    <w:name w:val="Colorful List - Accent 1 Char1"/>
    <w:basedOn w:val="DefaultParagraphFont"/>
    <w:link w:val="ColorfulList-Accent11"/>
    <w:uiPriority w:val="34"/>
    <w:rsid w:val="00AA7F2E"/>
  </w:style>
  <w:style w:type="character" w:customStyle="1" w:styleId="ChapterChar">
    <w:name w:val="Chapter Char"/>
    <w:link w:val="Chapter"/>
    <w:rsid w:val="00AA7F2E"/>
    <w:rPr>
      <w:rFonts w:ascii="Times New Roman" w:hAnsi="Times New Roman" w:cs="Times New Roman"/>
      <w:b/>
      <w:smallCaps/>
      <w:sz w:val="24"/>
      <w:lang w:val="es-ES"/>
    </w:rPr>
  </w:style>
  <w:style w:type="paragraph" w:customStyle="1" w:styleId="FirstHeading">
    <w:name w:val="FirstHeading"/>
    <w:basedOn w:val="Normal"/>
    <w:next w:val="Normal"/>
    <w:link w:val="FirstHeadingChar"/>
    <w:rsid w:val="00AA7F2E"/>
    <w:pPr>
      <w:keepNext/>
      <w:numPr>
        <w:numId w:val="2"/>
      </w:numPr>
      <w:tabs>
        <w:tab w:val="left" w:pos="0"/>
        <w:tab w:val="left" w:pos="86"/>
      </w:tabs>
      <w:spacing w:before="120" w:after="120" w:line="240" w:lineRule="auto"/>
    </w:pPr>
    <w:rPr>
      <w:rFonts w:ascii="Times New Roman" w:hAnsi="Times New Roman"/>
      <w:b/>
      <w:lang w:val="es-ES"/>
    </w:rPr>
  </w:style>
  <w:style w:type="character" w:customStyle="1" w:styleId="FirstHeadingChar">
    <w:name w:val="FirstHeading Char"/>
    <w:link w:val="FirstHeading"/>
    <w:rsid w:val="00AA7F2E"/>
    <w:rPr>
      <w:rFonts w:ascii="Times New Roman" w:hAnsi="Times New Roman" w:cs="Times New Roman"/>
      <w:b/>
      <w:sz w:val="24"/>
      <w:lang w:val="es-ES"/>
    </w:rPr>
  </w:style>
  <w:style w:type="paragraph" w:customStyle="1" w:styleId="SecHeading">
    <w:name w:val="SecHeading"/>
    <w:basedOn w:val="Normal"/>
    <w:next w:val="Paragraph"/>
    <w:link w:val="SecHeadingChar"/>
    <w:rsid w:val="00AA7F2E"/>
    <w:pPr>
      <w:keepNext/>
      <w:tabs>
        <w:tab w:val="num" w:pos="1296"/>
      </w:tabs>
      <w:spacing w:before="120" w:after="120" w:line="240" w:lineRule="auto"/>
      <w:ind w:left="1296" w:hanging="576"/>
    </w:pPr>
    <w:rPr>
      <w:rFonts w:ascii="Times New Roman" w:hAnsi="Times New Roman"/>
      <w:b/>
      <w:lang w:val="es-ES"/>
    </w:rPr>
  </w:style>
  <w:style w:type="character" w:customStyle="1" w:styleId="SecHeadingChar">
    <w:name w:val="SecHeading Char"/>
    <w:link w:val="SecHeading"/>
    <w:rsid w:val="00AA7F2E"/>
    <w:rPr>
      <w:rFonts w:ascii="Times New Roman" w:hAnsi="Times New Roman" w:cs="Times New Roman"/>
      <w:b/>
      <w:sz w:val="24"/>
      <w:lang w:val="es-ES"/>
    </w:rPr>
  </w:style>
  <w:style w:type="paragraph" w:customStyle="1" w:styleId="SubHeading1">
    <w:name w:val="SubHeading1"/>
    <w:basedOn w:val="SecHeading"/>
    <w:link w:val="SubHeading1Char"/>
    <w:rsid w:val="00AA7F2E"/>
    <w:pPr>
      <w:tabs>
        <w:tab w:val="clear" w:pos="1296"/>
        <w:tab w:val="num" w:pos="1872"/>
      </w:tabs>
      <w:ind w:left="1872"/>
    </w:pPr>
  </w:style>
  <w:style w:type="character" w:customStyle="1" w:styleId="SubHeading1Char">
    <w:name w:val="SubHeading1 Char"/>
    <w:link w:val="SubHeading1"/>
    <w:rsid w:val="00AA7F2E"/>
    <w:rPr>
      <w:rFonts w:ascii="Times New Roman" w:hAnsi="Times New Roman" w:cs="Times New Roman"/>
      <w:b/>
      <w:sz w:val="24"/>
      <w:lang w:val="es-ES"/>
    </w:rPr>
  </w:style>
  <w:style w:type="paragraph" w:customStyle="1" w:styleId="Subheading2">
    <w:name w:val="Subheading2"/>
    <w:basedOn w:val="SecHeading"/>
    <w:link w:val="Subheading2Char"/>
    <w:rsid w:val="00AA7F2E"/>
    <w:pPr>
      <w:tabs>
        <w:tab w:val="clear" w:pos="1296"/>
        <w:tab w:val="num" w:pos="2376"/>
      </w:tabs>
      <w:ind w:left="2376" w:hanging="288"/>
    </w:pPr>
  </w:style>
  <w:style w:type="character" w:customStyle="1" w:styleId="Subheading2Char">
    <w:name w:val="Subheading2 Char"/>
    <w:link w:val="Subheading2"/>
    <w:rsid w:val="00AA7F2E"/>
    <w:rPr>
      <w:rFonts w:ascii="Times New Roman" w:hAnsi="Times New Roman" w:cs="Times New Roman"/>
      <w:b/>
      <w:sz w:val="24"/>
      <w:lang w:val="es-ES"/>
    </w:rPr>
  </w:style>
  <w:style w:type="paragraph" w:customStyle="1" w:styleId="Paragraph">
    <w:name w:val="Paragraph"/>
    <w:aliases w:val="paragraph,p,PARAGRAPH,PG,pa,at"/>
    <w:basedOn w:val="BodyTextIndent"/>
    <w:link w:val="ParagraphChar"/>
    <w:qFormat/>
    <w:rsid w:val="00AA7F2E"/>
    <w:pPr>
      <w:tabs>
        <w:tab w:val="num" w:pos="720"/>
      </w:tabs>
      <w:spacing w:before="120"/>
      <w:ind w:left="720" w:hanging="720"/>
      <w:jc w:val="both"/>
      <w:outlineLvl w:val="1"/>
    </w:pPr>
    <w:rPr>
      <w:lang w:val="es-ES"/>
    </w:rPr>
  </w:style>
  <w:style w:type="character" w:customStyle="1" w:styleId="ParagraphChar">
    <w:name w:val="Paragraph Char"/>
    <w:link w:val="Paragraph"/>
    <w:rsid w:val="00AA7F2E"/>
    <w:rPr>
      <w:rFonts w:ascii="Times New Roman" w:hAnsi="Times New Roman" w:cs="Times New Roman"/>
      <w:sz w:val="24"/>
      <w:lang w:val="es-ES"/>
    </w:rPr>
  </w:style>
  <w:style w:type="paragraph" w:customStyle="1" w:styleId="subpar">
    <w:name w:val="subpar"/>
    <w:basedOn w:val="BodyTextIndent3"/>
    <w:link w:val="subparChar"/>
    <w:rsid w:val="00AA7F2E"/>
    <w:pPr>
      <w:tabs>
        <w:tab w:val="num" w:pos="1152"/>
      </w:tabs>
      <w:spacing w:before="120"/>
      <w:ind w:left="1152" w:hanging="432"/>
      <w:jc w:val="both"/>
      <w:outlineLvl w:val="2"/>
    </w:pPr>
    <w:rPr>
      <w:lang w:val="es-ES"/>
    </w:rPr>
  </w:style>
  <w:style w:type="character" w:customStyle="1" w:styleId="subparChar">
    <w:name w:val="subpar Char"/>
    <w:link w:val="subpar"/>
    <w:rsid w:val="00AA7F2E"/>
    <w:rPr>
      <w:rFonts w:ascii="Times New Roman" w:hAnsi="Times New Roman" w:cs="Times New Roman"/>
      <w:sz w:val="24"/>
      <w:szCs w:val="16"/>
      <w:lang w:val="es-ES"/>
    </w:rPr>
  </w:style>
  <w:style w:type="paragraph" w:customStyle="1" w:styleId="SubSubPar">
    <w:name w:val="SubSubPar"/>
    <w:basedOn w:val="subpar"/>
    <w:link w:val="SubSubParChar"/>
    <w:rsid w:val="00AA7F2E"/>
    <w:pPr>
      <w:tabs>
        <w:tab w:val="clear" w:pos="1152"/>
        <w:tab w:val="left" w:pos="0"/>
        <w:tab w:val="num" w:pos="1296"/>
      </w:tabs>
      <w:ind w:left="1296" w:hanging="288"/>
    </w:pPr>
  </w:style>
  <w:style w:type="character" w:customStyle="1" w:styleId="SubSubParChar">
    <w:name w:val="SubSubPar Char"/>
    <w:link w:val="SubSubPar"/>
    <w:rsid w:val="00AA7F2E"/>
    <w:rPr>
      <w:rFonts w:ascii="Times New Roman" w:hAnsi="Times New Roman" w:cs="Times New Roman"/>
      <w:sz w:val="24"/>
      <w:szCs w:val="16"/>
      <w:lang w:val="es-ES"/>
    </w:rPr>
  </w:style>
  <w:style w:type="paragraph" w:customStyle="1" w:styleId="Regtable">
    <w:name w:val="Regtable"/>
    <w:basedOn w:val="Normal"/>
    <w:link w:val="RegtableChar"/>
    <w:rsid w:val="00AA7F2E"/>
    <w:pPr>
      <w:keepLines/>
      <w:framePr w:wrap="around" w:vAnchor="text" w:hAnchor="text" w:y="1"/>
      <w:spacing w:before="20" w:after="20" w:line="240" w:lineRule="auto"/>
    </w:pPr>
    <w:rPr>
      <w:rFonts w:ascii="Times New Roman" w:hAnsi="Times New Roman"/>
      <w:sz w:val="20"/>
      <w:lang w:val="es-ES"/>
    </w:rPr>
  </w:style>
  <w:style w:type="character" w:customStyle="1" w:styleId="RegtableChar">
    <w:name w:val="Regtable Char"/>
    <w:link w:val="Regtable"/>
    <w:rsid w:val="00AA7F2E"/>
    <w:rPr>
      <w:rFonts w:ascii="Times New Roman" w:hAnsi="Times New Roman" w:cs="Times New Roman"/>
      <w:sz w:val="20"/>
      <w:lang w:val="es-ES"/>
    </w:rPr>
  </w:style>
  <w:style w:type="paragraph" w:customStyle="1" w:styleId="TableTitle">
    <w:name w:val="TableTitle"/>
    <w:basedOn w:val="Normal"/>
    <w:link w:val="TableTitleChar"/>
    <w:rsid w:val="00AA7F2E"/>
    <w:pPr>
      <w:keepNext/>
      <w:framePr w:wrap="around" w:vAnchor="text" w:hAnchor="text" w:y="1"/>
      <w:spacing w:before="20" w:after="20" w:line="240" w:lineRule="auto"/>
      <w:jc w:val="center"/>
    </w:pPr>
    <w:rPr>
      <w:rFonts w:ascii="Times New Roman Bold" w:hAnsi="Times New Roman Bold"/>
      <w:b/>
      <w:spacing w:val="-3"/>
      <w:sz w:val="20"/>
      <w:lang w:val="es-ES"/>
    </w:rPr>
  </w:style>
  <w:style w:type="character" w:customStyle="1" w:styleId="TableTitleChar">
    <w:name w:val="TableTitle Char"/>
    <w:link w:val="TableTitle"/>
    <w:rsid w:val="00AA7F2E"/>
    <w:rPr>
      <w:rFonts w:ascii="Times New Roman Bold" w:hAnsi="Times New Roman Bold"/>
      <w:b/>
      <w:spacing w:val="-3"/>
      <w:sz w:val="20"/>
      <w:lang w:val="es-ES"/>
    </w:rPr>
  </w:style>
  <w:style w:type="character" w:customStyle="1" w:styleId="Heading2Char">
    <w:name w:val="Heading 2 Char"/>
    <w:link w:val="Heading2"/>
    <w:uiPriority w:val="9"/>
    <w:rsid w:val="00620E0A"/>
    <w:rPr>
      <w:rFonts w:ascii="Arial" w:eastAsia="Times New Roman" w:hAnsi="Arial"/>
      <w:b/>
      <w:bCs/>
      <w:sz w:val="24"/>
      <w:szCs w:val="24"/>
      <w:lang w:val="es-ES_tradnl"/>
    </w:rPr>
  </w:style>
  <w:style w:type="character" w:customStyle="1" w:styleId="Heading3Char">
    <w:name w:val="Heading 3 Char"/>
    <w:link w:val="Heading3"/>
    <w:uiPriority w:val="9"/>
    <w:semiHidden/>
    <w:rsid w:val="00AA7F2E"/>
    <w:rPr>
      <w:rFonts w:ascii="Calibri Light" w:eastAsia="Times New Roman" w:hAnsi="Calibri Light" w:cs="Times New Roman"/>
      <w:b/>
      <w:bCs/>
      <w:color w:val="5B9BD5"/>
    </w:rPr>
  </w:style>
  <w:style w:type="character" w:customStyle="1" w:styleId="Heading4Char">
    <w:name w:val="Heading 4 Char"/>
    <w:aliases w:val="Heading 4.a Char"/>
    <w:link w:val="Heading4"/>
    <w:uiPriority w:val="9"/>
    <w:semiHidden/>
    <w:rsid w:val="00AA7F2E"/>
    <w:rPr>
      <w:rFonts w:ascii="Calibri Light" w:eastAsia="Times New Roman" w:hAnsi="Calibri Light" w:cs="Times New Roman"/>
      <w:b/>
      <w:bCs/>
      <w:i/>
      <w:iCs/>
      <w:color w:val="5B9BD5"/>
    </w:rPr>
  </w:style>
  <w:style w:type="character" w:customStyle="1" w:styleId="Heading6Char">
    <w:name w:val="Heading 6 Char"/>
    <w:link w:val="Heading6"/>
    <w:uiPriority w:val="9"/>
    <w:semiHidden/>
    <w:rsid w:val="00AA7F2E"/>
    <w:rPr>
      <w:rFonts w:ascii="Calibri Light" w:eastAsia="Times New Roman" w:hAnsi="Calibri Light" w:cs="Times New Roman"/>
      <w:i/>
      <w:iCs/>
      <w:color w:val="1F4D78"/>
    </w:rPr>
  </w:style>
  <w:style w:type="character" w:customStyle="1" w:styleId="Heading7Char">
    <w:name w:val="Heading 7 Char"/>
    <w:link w:val="Heading7"/>
    <w:uiPriority w:val="9"/>
    <w:semiHidden/>
    <w:rsid w:val="00AA7F2E"/>
    <w:rPr>
      <w:rFonts w:ascii="Calibri Light" w:eastAsia="Times New Roman" w:hAnsi="Calibri Light" w:cs="Times New Roman"/>
      <w:i/>
      <w:iCs/>
      <w:color w:val="404040"/>
    </w:rPr>
  </w:style>
  <w:style w:type="character" w:customStyle="1" w:styleId="Heading8Char">
    <w:name w:val="Heading 8 Char"/>
    <w:link w:val="Heading8"/>
    <w:uiPriority w:val="9"/>
    <w:semiHidden/>
    <w:rsid w:val="00AA7F2E"/>
    <w:rPr>
      <w:rFonts w:ascii="Calibri Light" w:eastAsia="Times New Roman" w:hAnsi="Calibri Light" w:cs="Times New Roman"/>
      <w:color w:val="404040"/>
      <w:sz w:val="20"/>
      <w:szCs w:val="20"/>
    </w:rPr>
  </w:style>
  <w:style w:type="character" w:customStyle="1" w:styleId="Heading9Char">
    <w:name w:val="Heading 9 Char"/>
    <w:link w:val="Heading9"/>
    <w:uiPriority w:val="9"/>
    <w:semiHidden/>
    <w:rsid w:val="00AA7F2E"/>
    <w:rPr>
      <w:rFonts w:ascii="Calibri Light" w:eastAsia="Times New Roman" w:hAnsi="Calibri Light" w:cs="Times New Roman"/>
      <w:i/>
      <w:iCs/>
      <w:color w:val="404040"/>
      <w:sz w:val="20"/>
      <w:szCs w:val="20"/>
    </w:rPr>
  </w:style>
  <w:style w:type="paragraph" w:styleId="BodyTextIndent">
    <w:name w:val="Body Text Indent"/>
    <w:basedOn w:val="Normal"/>
    <w:link w:val="BodyTextIndentChar"/>
    <w:uiPriority w:val="99"/>
    <w:semiHidden/>
    <w:unhideWhenUsed/>
    <w:rsid w:val="00AA7F2E"/>
    <w:pPr>
      <w:spacing w:after="120" w:line="240" w:lineRule="auto"/>
      <w:ind w:left="360"/>
    </w:pPr>
    <w:rPr>
      <w:rFonts w:ascii="Times New Roman" w:hAnsi="Times New Roman"/>
    </w:rPr>
  </w:style>
  <w:style w:type="character" w:customStyle="1" w:styleId="BodyTextIndentChar">
    <w:name w:val="Body Text Indent Char"/>
    <w:link w:val="BodyTextIndent"/>
    <w:uiPriority w:val="99"/>
    <w:semiHidden/>
    <w:rsid w:val="00AA7F2E"/>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AA7F2E"/>
    <w:pPr>
      <w:spacing w:after="120" w:line="240" w:lineRule="auto"/>
      <w:ind w:left="360"/>
    </w:pPr>
    <w:rPr>
      <w:rFonts w:ascii="Times New Roman" w:hAnsi="Times New Roman"/>
      <w:szCs w:val="16"/>
    </w:rPr>
  </w:style>
  <w:style w:type="character" w:customStyle="1" w:styleId="BodyTextIndent3Char">
    <w:name w:val="Body Text Indent 3 Char"/>
    <w:link w:val="BodyTextIndent3"/>
    <w:uiPriority w:val="99"/>
    <w:semiHidden/>
    <w:rsid w:val="00AA7F2E"/>
    <w:rPr>
      <w:rFonts w:ascii="Times New Roman" w:hAnsi="Times New Roman" w:cs="Times New Roman"/>
      <w:sz w:val="24"/>
      <w:szCs w:val="16"/>
    </w:rPr>
  </w:style>
  <w:style w:type="paragraph" w:styleId="TOC1">
    <w:name w:val="toc 1"/>
    <w:basedOn w:val="Normal"/>
    <w:next w:val="Normal"/>
    <w:autoRedefine/>
    <w:uiPriority w:val="39"/>
    <w:unhideWhenUsed/>
    <w:rsid w:val="00AA7F2E"/>
    <w:pPr>
      <w:spacing w:before="120" w:after="0"/>
    </w:pPr>
    <w:rPr>
      <w:rFonts w:asciiTheme="minorHAnsi" w:hAnsiTheme="minorHAnsi"/>
      <w:b/>
      <w:sz w:val="22"/>
    </w:rPr>
  </w:style>
  <w:style w:type="paragraph" w:styleId="TOC2">
    <w:name w:val="toc 2"/>
    <w:basedOn w:val="Normal"/>
    <w:next w:val="Normal"/>
    <w:autoRedefine/>
    <w:uiPriority w:val="39"/>
    <w:unhideWhenUsed/>
    <w:rsid w:val="00361A79"/>
    <w:pPr>
      <w:spacing w:after="0"/>
      <w:ind w:left="240"/>
    </w:pPr>
    <w:rPr>
      <w:rFonts w:asciiTheme="minorHAnsi" w:hAnsiTheme="minorHAnsi"/>
      <w:i/>
      <w:sz w:val="22"/>
    </w:rPr>
  </w:style>
  <w:style w:type="paragraph" w:styleId="TOC3">
    <w:name w:val="toc 3"/>
    <w:basedOn w:val="Normal"/>
    <w:next w:val="Normal"/>
    <w:autoRedefine/>
    <w:uiPriority w:val="39"/>
    <w:unhideWhenUsed/>
    <w:rsid w:val="00AA7F2E"/>
    <w:pPr>
      <w:spacing w:after="0"/>
      <w:ind w:left="480"/>
    </w:pPr>
    <w:rPr>
      <w:rFonts w:asciiTheme="minorHAnsi" w:hAnsiTheme="minorHAnsi"/>
      <w:sz w:val="22"/>
    </w:rPr>
  </w:style>
  <w:style w:type="character" w:styleId="CommentReference">
    <w:name w:val="annotation reference"/>
    <w:rsid w:val="002356B7"/>
    <w:rPr>
      <w:sz w:val="16"/>
      <w:szCs w:val="16"/>
    </w:rPr>
  </w:style>
  <w:style w:type="paragraph" w:styleId="CommentText">
    <w:name w:val="annotation text"/>
    <w:basedOn w:val="Normal"/>
    <w:link w:val="CommentTextChar"/>
    <w:rsid w:val="002356B7"/>
    <w:pPr>
      <w:spacing w:after="0" w:line="240" w:lineRule="auto"/>
    </w:pPr>
    <w:rPr>
      <w:rFonts w:ascii="Times New Roman" w:eastAsia="Times New Roman" w:hAnsi="Times New Roman"/>
      <w:spacing w:val="-3"/>
      <w:sz w:val="20"/>
      <w:szCs w:val="20"/>
      <w:lang w:val="es-ES_tradnl"/>
    </w:rPr>
  </w:style>
  <w:style w:type="character" w:customStyle="1" w:styleId="CommentTextChar">
    <w:name w:val="Comment Text Char"/>
    <w:link w:val="CommentText"/>
    <w:rsid w:val="002356B7"/>
    <w:rPr>
      <w:rFonts w:ascii="Times New Roman" w:eastAsia="Times New Roman" w:hAnsi="Times New Roman" w:cs="Times New Roman"/>
      <w:spacing w:val="-3"/>
      <w:sz w:val="20"/>
      <w:szCs w:val="20"/>
      <w:lang w:val="es-ES_tradnl"/>
    </w:rPr>
  </w:style>
  <w:style w:type="paragraph" w:customStyle="1" w:styleId="AutoNumpara">
    <w:name w:val="AutoNumpara"/>
    <w:basedOn w:val="BodyTextIndent"/>
    <w:rsid w:val="002356B7"/>
    <w:pPr>
      <w:tabs>
        <w:tab w:val="num" w:pos="720"/>
      </w:tabs>
      <w:spacing w:before="120"/>
      <w:ind w:left="720" w:hanging="720"/>
      <w:jc w:val="both"/>
    </w:pPr>
    <w:rPr>
      <w:rFonts w:eastAsia="Times New Roman"/>
      <w:noProof/>
      <w:spacing w:val="-2"/>
      <w:szCs w:val="20"/>
      <w:lang w:val="es-ES_tradnl"/>
    </w:rPr>
  </w:style>
  <w:style w:type="paragraph" w:customStyle="1" w:styleId="ColorfulList-Accent110">
    <w:name w:val="Colorful List - Accent 11"/>
    <w:basedOn w:val="Normal"/>
    <w:link w:val="ColorfulList-Accent1Char"/>
    <w:uiPriority w:val="34"/>
    <w:qFormat/>
    <w:rsid w:val="00CE3C89"/>
    <w:pPr>
      <w:spacing w:after="0" w:line="240" w:lineRule="auto"/>
      <w:ind w:left="720"/>
      <w:contextualSpacing/>
    </w:pPr>
    <w:rPr>
      <w:rFonts w:ascii="Calibri" w:hAnsi="Calibri"/>
      <w:lang w:val="es-ES_tradnl"/>
    </w:rPr>
  </w:style>
  <w:style w:type="character" w:customStyle="1" w:styleId="ColorfulList-Accent1Char">
    <w:name w:val="Colorful List - Accent 1 Char"/>
    <w:link w:val="ColorfulList-Accent110"/>
    <w:uiPriority w:val="34"/>
    <w:rsid w:val="00337974"/>
    <w:rPr>
      <w:rFonts w:ascii="Calibri" w:eastAsia="Calibri" w:hAnsi="Calibri" w:cs="Times New Roman"/>
      <w:lang w:val="es-ES_tradnl"/>
    </w:rPr>
  </w:style>
  <w:style w:type="paragraph" w:customStyle="1" w:styleId="Contedodetabela">
    <w:name w:val="Conteúdo de tabela"/>
    <w:basedOn w:val="Normal"/>
    <w:rsid w:val="00220ABD"/>
    <w:pPr>
      <w:widowControl w:val="0"/>
      <w:suppressLineNumbers/>
      <w:suppressAutoHyphens/>
      <w:spacing w:after="0" w:line="240" w:lineRule="auto"/>
    </w:pPr>
    <w:rPr>
      <w:rFonts w:ascii="Times New Roman" w:eastAsia="Bitstream Vera Sans" w:hAnsi="Times New Roman" w:cs="Bitstream Vera Sans"/>
      <w:kern w:val="1"/>
      <w:szCs w:val="24"/>
      <w:lang w:val="pt-BR" w:eastAsia="hi-IN" w:bidi="hi-IN"/>
    </w:rPr>
  </w:style>
  <w:style w:type="character" w:customStyle="1" w:styleId="HeaderChar">
    <w:name w:val="Header Char"/>
    <w:link w:val="Header"/>
    <w:rsid w:val="00D0597E"/>
    <w:rPr>
      <w:rFonts w:ascii="Times New Roman" w:eastAsia="Times New Roman" w:hAnsi="Times New Roman"/>
      <w:spacing w:val="-3"/>
      <w:lang w:val="es-ES_tradnl"/>
    </w:rPr>
  </w:style>
  <w:style w:type="character" w:customStyle="1" w:styleId="z-TopofFormChar">
    <w:name w:val="z-Top of Form Char"/>
    <w:link w:val="z-TopofForm"/>
    <w:uiPriority w:val="99"/>
    <w:rsid w:val="00D059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D0597E"/>
    <w:pPr>
      <w:pBdr>
        <w:top w:val="single" w:sz="6" w:space="1" w:color="auto"/>
      </w:pBdr>
      <w:spacing w:after="0" w:line="240" w:lineRule="auto"/>
      <w:jc w:val="center"/>
    </w:pPr>
    <w:rPr>
      <w:rFonts w:eastAsia="Times New Roman"/>
      <w:vanish/>
      <w:sz w:val="16"/>
      <w:szCs w:val="16"/>
      <w:lang w:val="x-none" w:eastAsia="x-none"/>
    </w:rPr>
  </w:style>
  <w:style w:type="character" w:customStyle="1" w:styleId="z-BottomofFormChar">
    <w:name w:val="z-Bottom of Form Char"/>
    <w:link w:val="z-BottomofForm"/>
    <w:uiPriority w:val="99"/>
    <w:rsid w:val="00D0597E"/>
    <w:rPr>
      <w:rFonts w:ascii="Arial" w:eastAsia="Times New Roman" w:hAnsi="Arial" w:cs="Times New Roman"/>
      <w:vanish/>
      <w:sz w:val="16"/>
      <w:szCs w:val="16"/>
      <w:lang w:val="x-none" w:eastAsia="x-none"/>
    </w:rPr>
  </w:style>
  <w:style w:type="paragraph" w:customStyle="1" w:styleId="Corpo">
    <w:name w:val="Corpo"/>
    <w:rsid w:val="00D0597E"/>
    <w:pPr>
      <w:pBdr>
        <w:top w:val="nil"/>
        <w:left w:val="nil"/>
        <w:bottom w:val="nil"/>
        <w:right w:val="nil"/>
        <w:between w:val="nil"/>
        <w:bar w:val="nil"/>
      </w:pBdr>
    </w:pPr>
    <w:rPr>
      <w:rFonts w:ascii="Times New Roman" w:eastAsia="Arial Unicode MS" w:hAnsi="Arial Unicode MS" w:cs="Arial Unicode MS"/>
      <w:color w:val="000000"/>
      <w:u w:color="000000"/>
      <w:bdr w:val="nil"/>
      <w:lang w:val="pt-PT" w:eastAsia="pt-BR"/>
    </w:rPr>
  </w:style>
  <w:style w:type="paragraph" w:styleId="Header">
    <w:name w:val="header"/>
    <w:basedOn w:val="Normal"/>
    <w:link w:val="HeaderChar"/>
    <w:unhideWhenUsed/>
    <w:rsid w:val="00D0597E"/>
    <w:pPr>
      <w:tabs>
        <w:tab w:val="center" w:pos="4680"/>
        <w:tab w:val="right" w:pos="9360"/>
      </w:tabs>
      <w:spacing w:after="0" w:line="240" w:lineRule="auto"/>
    </w:pPr>
    <w:rPr>
      <w:rFonts w:ascii="Times New Roman" w:eastAsia="Times New Roman" w:hAnsi="Times New Roman"/>
      <w:spacing w:val="-3"/>
      <w:lang w:val="es-ES_tradnl"/>
    </w:rPr>
  </w:style>
  <w:style w:type="character" w:customStyle="1" w:styleId="HeaderChar1">
    <w:name w:val="Header Char1"/>
    <w:basedOn w:val="DefaultParagraphFont"/>
    <w:uiPriority w:val="99"/>
    <w:semiHidden/>
    <w:rsid w:val="00D0597E"/>
  </w:style>
  <w:style w:type="paragraph" w:styleId="z-TopofForm">
    <w:name w:val="HTML Top of Form"/>
    <w:basedOn w:val="Normal"/>
    <w:next w:val="Normal"/>
    <w:link w:val="z-TopofFormChar"/>
    <w:hidden/>
    <w:uiPriority w:val="99"/>
    <w:semiHidden/>
    <w:unhideWhenUsed/>
    <w:rsid w:val="00D0597E"/>
    <w:pPr>
      <w:pBdr>
        <w:bottom w:val="single" w:sz="6" w:space="1" w:color="auto"/>
      </w:pBdr>
      <w:spacing w:after="0"/>
      <w:jc w:val="center"/>
    </w:pPr>
    <w:rPr>
      <w:rFonts w:eastAsia="Times New Roman" w:cs="Arial"/>
      <w:vanish/>
      <w:sz w:val="16"/>
      <w:szCs w:val="16"/>
    </w:rPr>
  </w:style>
  <w:style w:type="character" w:customStyle="1" w:styleId="z-TopofFormChar1">
    <w:name w:val="z-Top of Form Char1"/>
    <w:uiPriority w:val="99"/>
    <w:semiHidden/>
    <w:rsid w:val="00D0597E"/>
    <w:rPr>
      <w:rFonts w:ascii="Arial" w:hAnsi="Arial" w:cs="Arial"/>
      <w:vanish/>
      <w:sz w:val="16"/>
      <w:szCs w:val="16"/>
    </w:rPr>
  </w:style>
  <w:style w:type="paragraph" w:styleId="Footer">
    <w:name w:val="footer"/>
    <w:basedOn w:val="Normal"/>
    <w:link w:val="FooterChar"/>
    <w:uiPriority w:val="99"/>
    <w:unhideWhenUsed/>
    <w:rsid w:val="00F000F0"/>
    <w:pPr>
      <w:tabs>
        <w:tab w:val="center" w:pos="4680"/>
        <w:tab w:val="right" w:pos="9360"/>
      </w:tabs>
    </w:pPr>
  </w:style>
  <w:style w:type="character" w:customStyle="1" w:styleId="FooterChar">
    <w:name w:val="Footer Char"/>
    <w:link w:val="Footer"/>
    <w:uiPriority w:val="99"/>
    <w:rsid w:val="00F000F0"/>
    <w:rPr>
      <w:sz w:val="22"/>
      <w:szCs w:val="22"/>
    </w:rPr>
  </w:style>
  <w:style w:type="paragraph" w:styleId="Caption">
    <w:name w:val="caption"/>
    <w:basedOn w:val="Normal"/>
    <w:next w:val="Normal"/>
    <w:autoRedefine/>
    <w:uiPriority w:val="35"/>
    <w:qFormat/>
    <w:rsid w:val="008C30C9"/>
    <w:pPr>
      <w:spacing w:before="240" w:after="200" w:line="240" w:lineRule="auto"/>
    </w:pPr>
    <w:rPr>
      <w:rFonts w:eastAsia="Cambria" w:cs="Arial"/>
      <w:b/>
      <w:bCs/>
      <w:sz w:val="22"/>
      <w:lang w:val="es-ES_tradnl"/>
    </w:rPr>
  </w:style>
  <w:style w:type="paragraph" w:styleId="DocumentMap">
    <w:name w:val="Document Map"/>
    <w:basedOn w:val="Normal"/>
    <w:link w:val="DocumentMapChar"/>
    <w:uiPriority w:val="99"/>
    <w:semiHidden/>
    <w:unhideWhenUsed/>
    <w:rsid w:val="006970B6"/>
    <w:rPr>
      <w:rFonts w:ascii="Lucida Grande" w:hAnsi="Lucida Grande" w:cs="Lucida Grande"/>
      <w:szCs w:val="24"/>
    </w:rPr>
  </w:style>
  <w:style w:type="character" w:customStyle="1" w:styleId="DocumentMapChar">
    <w:name w:val="Document Map Char"/>
    <w:link w:val="DocumentMap"/>
    <w:uiPriority w:val="99"/>
    <w:semiHidden/>
    <w:rsid w:val="006970B6"/>
    <w:rPr>
      <w:rFonts w:ascii="Lucida Grande" w:hAnsi="Lucida Grande" w:cs="Lucida Grande"/>
      <w:sz w:val="24"/>
      <w:szCs w:val="24"/>
    </w:rPr>
  </w:style>
  <w:style w:type="paragraph" w:styleId="CommentSubject">
    <w:name w:val="annotation subject"/>
    <w:basedOn w:val="CommentText"/>
    <w:next w:val="CommentText"/>
    <w:link w:val="CommentSubjectChar"/>
    <w:uiPriority w:val="99"/>
    <w:semiHidden/>
    <w:unhideWhenUsed/>
    <w:rsid w:val="005B08FD"/>
    <w:pPr>
      <w:spacing w:after="160"/>
    </w:pPr>
    <w:rPr>
      <w:rFonts w:eastAsia="Calibri"/>
      <w:b/>
      <w:bCs/>
      <w:spacing w:val="0"/>
      <w:lang w:val="en-US"/>
    </w:rPr>
  </w:style>
  <w:style w:type="character" w:customStyle="1" w:styleId="CommentSubjectChar">
    <w:name w:val="Comment Subject Char"/>
    <w:basedOn w:val="CommentTextChar"/>
    <w:link w:val="CommentSubject"/>
    <w:uiPriority w:val="99"/>
    <w:semiHidden/>
    <w:rsid w:val="005B08FD"/>
    <w:rPr>
      <w:rFonts w:ascii="Times New Roman" w:eastAsia="Times New Roman" w:hAnsi="Times New Roman" w:cs="Times New Roman"/>
      <w:b/>
      <w:bCs/>
      <w:spacing w:val="-3"/>
      <w:sz w:val="20"/>
      <w:szCs w:val="20"/>
      <w:lang w:val="es-ES_tradnl"/>
    </w:rPr>
  </w:style>
  <w:style w:type="table" w:styleId="MediumGrid3-Accent1">
    <w:name w:val="Medium Grid 3 Accent 1"/>
    <w:basedOn w:val="TableNormal"/>
    <w:uiPriority w:val="64"/>
    <w:rsid w:val="00B956B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List2-Accent1">
    <w:name w:val="Medium List 2 Accent 1"/>
    <w:basedOn w:val="TableNormal"/>
    <w:uiPriority w:val="61"/>
    <w:rsid w:val="00B956B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1">
    <w:name w:val="Light Shading Accent 1"/>
    <w:basedOn w:val="TableNormal"/>
    <w:uiPriority w:val="30"/>
    <w:qFormat/>
    <w:rsid w:val="000D3F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8"/>
    <w:rsid w:val="007222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link w:val="ListParagraphChar"/>
    <w:uiPriority w:val="34"/>
    <w:qFormat/>
    <w:rsid w:val="00825035"/>
    <w:pPr>
      <w:ind w:left="720"/>
      <w:contextualSpacing/>
    </w:pPr>
    <w:rPr>
      <w:rFonts w:asciiTheme="minorHAnsi" w:eastAsiaTheme="minorHAnsi" w:hAnsiTheme="minorHAnsi" w:cstheme="minorBidi"/>
      <w:sz w:val="22"/>
    </w:rPr>
  </w:style>
  <w:style w:type="character" w:customStyle="1" w:styleId="ListParagraphChar">
    <w:name w:val="List Paragraph Char"/>
    <w:basedOn w:val="DefaultParagraphFont"/>
    <w:link w:val="ListParagraph"/>
    <w:uiPriority w:val="34"/>
    <w:rsid w:val="00825035"/>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361A79"/>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361A79"/>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361A79"/>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361A79"/>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361A79"/>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361A79"/>
    <w:pPr>
      <w:spacing w:after="0"/>
      <w:ind w:left="192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semiHidden="0" w:uiPriority="35" w:unhideWhenUsed="0" w:qFormat="1"/>
    <w:lsdException w:name="footnote reference" w:uiPriority="0"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FA"/>
    <w:pPr>
      <w:spacing w:after="160" w:line="259" w:lineRule="auto"/>
    </w:pPr>
    <w:rPr>
      <w:rFonts w:ascii="Arial" w:hAnsi="Arial"/>
      <w:sz w:val="24"/>
      <w:szCs w:val="22"/>
    </w:rPr>
  </w:style>
  <w:style w:type="paragraph" w:styleId="Heading1">
    <w:name w:val="heading 1"/>
    <w:aliases w:val="Heading 1.I"/>
    <w:basedOn w:val="Normal"/>
    <w:next w:val="Normal"/>
    <w:link w:val="Heading1Char"/>
    <w:uiPriority w:val="9"/>
    <w:qFormat/>
    <w:rsid w:val="006310AF"/>
    <w:pPr>
      <w:keepNext/>
      <w:keepLines/>
      <w:spacing w:before="120" w:after="120" w:line="240" w:lineRule="auto"/>
      <w:outlineLvl w:val="0"/>
    </w:pPr>
    <w:rPr>
      <w:rFonts w:eastAsia="Times New Roman" w:cs="Arial"/>
      <w:b/>
      <w:bCs/>
      <w:szCs w:val="28"/>
      <w:lang w:val="es-ES_tradnl"/>
    </w:rPr>
  </w:style>
  <w:style w:type="paragraph" w:styleId="Heading2">
    <w:name w:val="heading 2"/>
    <w:basedOn w:val="Normal"/>
    <w:next w:val="Normal"/>
    <w:link w:val="Heading2Char"/>
    <w:autoRedefine/>
    <w:uiPriority w:val="9"/>
    <w:qFormat/>
    <w:rsid w:val="00620E0A"/>
    <w:pPr>
      <w:keepNext/>
      <w:keepLines/>
      <w:spacing w:before="240" w:after="0"/>
      <w:ind w:left="360"/>
      <w:outlineLvl w:val="1"/>
    </w:pPr>
    <w:rPr>
      <w:rFonts w:eastAsia="Times New Roman"/>
      <w:b/>
      <w:bCs/>
      <w:szCs w:val="24"/>
      <w:lang w:val="es-ES_tradnl"/>
    </w:rPr>
  </w:style>
  <w:style w:type="paragraph" w:styleId="Heading3">
    <w:name w:val="heading 3"/>
    <w:basedOn w:val="Normal"/>
    <w:next w:val="Normal"/>
    <w:link w:val="Heading3Char"/>
    <w:uiPriority w:val="9"/>
    <w:qFormat/>
    <w:rsid w:val="00AA7F2E"/>
    <w:pPr>
      <w:keepNext/>
      <w:keepLines/>
      <w:numPr>
        <w:ilvl w:val="2"/>
        <w:numId w:val="10"/>
      </w:numPr>
      <w:spacing w:before="200" w:after="0"/>
      <w:outlineLvl w:val="2"/>
    </w:pPr>
    <w:rPr>
      <w:rFonts w:ascii="Calibri Light" w:eastAsia="Times New Roman" w:hAnsi="Calibri Light"/>
      <w:b/>
      <w:bCs/>
      <w:color w:val="5B9BD5"/>
    </w:rPr>
  </w:style>
  <w:style w:type="paragraph" w:styleId="Heading4">
    <w:name w:val="heading 4"/>
    <w:aliases w:val="Heading 4.a"/>
    <w:basedOn w:val="Normal"/>
    <w:next w:val="Normal"/>
    <w:link w:val="Heading4Char"/>
    <w:uiPriority w:val="9"/>
    <w:qFormat/>
    <w:rsid w:val="00AA7F2E"/>
    <w:pPr>
      <w:keepNext/>
      <w:keepLines/>
      <w:numPr>
        <w:ilvl w:val="3"/>
        <w:numId w:val="10"/>
      </w:numPr>
      <w:spacing w:before="200" w:after="0"/>
      <w:outlineLvl w:val="3"/>
    </w:pPr>
    <w:rPr>
      <w:rFonts w:ascii="Calibri Light" w:eastAsia="Times New Roman" w:hAnsi="Calibri Light"/>
      <w:b/>
      <w:bCs/>
      <w:i/>
      <w:iCs/>
      <w:color w:val="5B9BD5"/>
    </w:rPr>
  </w:style>
  <w:style w:type="paragraph" w:styleId="Heading5">
    <w:name w:val="heading 5"/>
    <w:aliases w:val="Heading 5.(i)"/>
    <w:basedOn w:val="Normal"/>
    <w:link w:val="Heading5Char"/>
    <w:qFormat/>
    <w:rsid w:val="00AA7F2E"/>
    <w:pPr>
      <w:numPr>
        <w:ilvl w:val="4"/>
        <w:numId w:val="10"/>
      </w:num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qFormat/>
    <w:rsid w:val="00AA7F2E"/>
    <w:pPr>
      <w:keepNext/>
      <w:keepLines/>
      <w:numPr>
        <w:ilvl w:val="5"/>
        <w:numId w:val="10"/>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qFormat/>
    <w:rsid w:val="00AA7F2E"/>
    <w:pPr>
      <w:keepNext/>
      <w:keepLines/>
      <w:numPr>
        <w:ilvl w:val="6"/>
        <w:numId w:val="10"/>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qFormat/>
    <w:rsid w:val="00AA7F2E"/>
    <w:pPr>
      <w:keepNext/>
      <w:keepLines/>
      <w:numPr>
        <w:ilvl w:val="7"/>
        <w:numId w:val="10"/>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qFormat/>
    <w:rsid w:val="00AA7F2E"/>
    <w:pPr>
      <w:keepNext/>
      <w:keepLines/>
      <w:numPr>
        <w:ilvl w:val="8"/>
        <w:numId w:val="10"/>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Heading 5.(i) Char"/>
    <w:link w:val="Heading5"/>
    <w:uiPriority w:val="9"/>
    <w:rsid w:val="00AA7F2E"/>
    <w:rPr>
      <w:rFonts w:ascii="Times New Roman" w:eastAsia="Times New Roman" w:hAnsi="Times New Roman" w:cs="Times New Roman"/>
      <w:b/>
      <w:bCs/>
      <w:sz w:val="20"/>
      <w:szCs w:val="20"/>
    </w:rPr>
  </w:style>
  <w:style w:type="paragraph" w:styleId="NormalWeb">
    <w:name w:val="Normal (Web)"/>
    <w:basedOn w:val="Normal"/>
    <w:uiPriority w:val="99"/>
    <w:unhideWhenUsed/>
    <w:rsid w:val="00CE573A"/>
    <w:pPr>
      <w:spacing w:before="100" w:beforeAutospacing="1" w:after="100" w:afterAutospacing="1" w:line="240" w:lineRule="auto"/>
    </w:pPr>
    <w:rPr>
      <w:rFonts w:ascii="Times New Roman" w:eastAsia="Times New Roman" w:hAnsi="Times New Roman"/>
      <w:szCs w:val="24"/>
    </w:rPr>
  </w:style>
  <w:style w:type="table" w:styleId="TableGrid">
    <w:name w:val="Table Grid"/>
    <w:basedOn w:val="TableNormal"/>
    <w:uiPriority w:val="39"/>
    <w:rsid w:val="00E80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CD3F09"/>
    <w:rPr>
      <w:i/>
      <w:iCs/>
    </w:rPr>
  </w:style>
  <w:style w:type="character" w:customStyle="1" w:styleId="apple-converted-space">
    <w:name w:val="apple-converted-space"/>
    <w:basedOn w:val="DefaultParagraphFont"/>
    <w:rsid w:val="00CD3F09"/>
  </w:style>
  <w:style w:type="paragraph" w:styleId="FootnoteText">
    <w:name w:val="footnote text"/>
    <w:aliases w:val="fn,Texto nota pie IIRSA,footnote,foottextfra,F,Texto nota pie Car Car,Car,Car3 Car Car,Car3 Car,Car3 Car Car Car Car Car Car Car Car Car Car,Car3 Car Car Car Car Car Car Car Car Car Car Car Car Car,ft,Style 25,Texto de rodapé,nota_rodapé,f"/>
    <w:basedOn w:val="Normal"/>
    <w:link w:val="FootnoteTextChar"/>
    <w:unhideWhenUsed/>
    <w:qFormat/>
    <w:rsid w:val="008C5F59"/>
    <w:pPr>
      <w:keepNext/>
      <w:keepLines/>
      <w:spacing w:after="120" w:line="240" w:lineRule="auto"/>
      <w:ind w:left="288" w:hanging="288"/>
      <w:jc w:val="both"/>
    </w:pPr>
    <w:rPr>
      <w:rFonts w:ascii="Times New Roman" w:hAnsi="Times New Roman"/>
      <w:spacing w:val="-3"/>
      <w:sz w:val="20"/>
      <w:szCs w:val="20"/>
    </w:rPr>
  </w:style>
  <w:style w:type="character" w:customStyle="1" w:styleId="FootnoteTextChar">
    <w:name w:val="Footnote Text Char"/>
    <w:aliases w:val="fn Char,Texto nota pie IIRSA Char,footnote Char,foottextfra Char,F Char,Texto nota pie Car Car Char,Car Char,Car3 Car Car Char,Car3 Car Char,Car3 Car Car Car Car Car Car Car Car Car Car Char,ft Char,Style 25 Char,Texto de rodapé Char"/>
    <w:link w:val="FootnoteText"/>
    <w:rsid w:val="008C5F59"/>
    <w:rPr>
      <w:rFonts w:ascii="Times New Roman" w:hAnsi="Times New Roman" w:cs="Times New Roman"/>
      <w:spacing w:val="-3"/>
      <w:sz w:val="20"/>
      <w:szCs w:val="20"/>
    </w:rPr>
  </w:style>
  <w:style w:type="character" w:styleId="FootnoteReference">
    <w:name w:val="footnote reference"/>
    <w:aliases w:val="referencia nota al pie,titulo 2,Fußnotenzeichen DISS,16 Point,Superscript 6 Point,ftref,BVI fnr,Знак сноски 1,Footnote Referencefra,FC,Style 24,pie pddes,Ref,de nota al pie,Ref. de nota al pie.,Footnote Reference.SES"/>
    <w:unhideWhenUsed/>
    <w:qFormat/>
    <w:rsid w:val="008C5F59"/>
    <w:rPr>
      <w:vertAlign w:val="superscript"/>
    </w:rPr>
  </w:style>
  <w:style w:type="character" w:styleId="Hyperlink">
    <w:name w:val="Hyperlink"/>
    <w:unhideWhenUsed/>
    <w:rsid w:val="002B1B9F"/>
    <w:rPr>
      <w:color w:val="0000FF"/>
      <w:u w:val="single"/>
    </w:rPr>
  </w:style>
  <w:style w:type="paragraph" w:styleId="BalloonText">
    <w:name w:val="Balloon Text"/>
    <w:basedOn w:val="Normal"/>
    <w:link w:val="BalloonTextChar"/>
    <w:uiPriority w:val="99"/>
    <w:semiHidden/>
    <w:unhideWhenUsed/>
    <w:rsid w:val="00353B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3BD9"/>
    <w:rPr>
      <w:rFonts w:ascii="Tahoma" w:hAnsi="Tahoma" w:cs="Tahoma"/>
      <w:sz w:val="16"/>
      <w:szCs w:val="16"/>
    </w:rPr>
  </w:style>
  <w:style w:type="paragraph" w:customStyle="1" w:styleId="ColorfulList-Accent11">
    <w:name w:val="Colorful List - Accent 11"/>
    <w:basedOn w:val="Normal"/>
    <w:link w:val="ColorfulList-Accent1Char1"/>
    <w:uiPriority w:val="34"/>
    <w:qFormat/>
    <w:rsid w:val="00353BD9"/>
    <w:pPr>
      <w:ind w:left="720"/>
      <w:contextualSpacing/>
    </w:pPr>
  </w:style>
  <w:style w:type="paragraph" w:styleId="Title">
    <w:name w:val="Title"/>
    <w:basedOn w:val="Normal"/>
    <w:link w:val="TitleChar"/>
    <w:qFormat/>
    <w:rsid w:val="00FD15EB"/>
    <w:pPr>
      <w:tabs>
        <w:tab w:val="left" w:pos="1440"/>
        <w:tab w:val="left" w:pos="3060"/>
      </w:tabs>
      <w:spacing w:after="0" w:line="240" w:lineRule="auto"/>
      <w:jc w:val="center"/>
      <w:outlineLvl w:val="0"/>
    </w:pPr>
    <w:rPr>
      <w:rFonts w:ascii="Times New Roman" w:eastAsia="Times New Roman" w:hAnsi="Times New Roman"/>
      <w:szCs w:val="20"/>
    </w:rPr>
  </w:style>
  <w:style w:type="character" w:customStyle="1" w:styleId="TitleChar">
    <w:name w:val="Title Char"/>
    <w:link w:val="Title"/>
    <w:rsid w:val="00FD15EB"/>
    <w:rPr>
      <w:rFonts w:ascii="Times New Roman" w:eastAsia="Times New Roman" w:hAnsi="Times New Roman" w:cs="Times New Roman"/>
      <w:sz w:val="24"/>
      <w:szCs w:val="20"/>
    </w:rPr>
  </w:style>
  <w:style w:type="paragraph" w:customStyle="1" w:styleId="Newpage">
    <w:name w:val="Newpage"/>
    <w:basedOn w:val="Normal"/>
    <w:rsid w:val="00FD15EB"/>
    <w:pPr>
      <w:tabs>
        <w:tab w:val="left" w:pos="1440"/>
        <w:tab w:val="left" w:pos="3060"/>
      </w:tabs>
      <w:spacing w:after="0" w:line="240" w:lineRule="auto"/>
      <w:jc w:val="center"/>
    </w:pPr>
    <w:rPr>
      <w:rFonts w:ascii="Times New Roman" w:eastAsia="Times New Roman" w:hAnsi="Times New Roman" w:cs="Arial"/>
      <w:b/>
      <w:smallCaps/>
      <w:szCs w:val="20"/>
    </w:rPr>
  </w:style>
  <w:style w:type="paragraph" w:customStyle="1" w:styleId="Listavistosa-nfasis11">
    <w:name w:val="Lista vistosa - Énfasis 11"/>
    <w:basedOn w:val="Normal"/>
    <w:link w:val="Listavistosa-nfasis1Car"/>
    <w:uiPriority w:val="34"/>
    <w:qFormat/>
    <w:rsid w:val="00A437CC"/>
    <w:pPr>
      <w:spacing w:after="0" w:line="240" w:lineRule="auto"/>
      <w:ind w:left="720"/>
      <w:contextualSpacing/>
    </w:pPr>
    <w:rPr>
      <w:rFonts w:ascii="Calibri" w:hAnsi="Calibri"/>
      <w:lang w:val="es-ES_tradnl"/>
    </w:rPr>
  </w:style>
  <w:style w:type="character" w:customStyle="1" w:styleId="Listavistosa-nfasis1Car">
    <w:name w:val="Lista vistosa - Énfasis 1 Car"/>
    <w:link w:val="Listavistosa-nfasis11"/>
    <w:uiPriority w:val="34"/>
    <w:rsid w:val="00A437CC"/>
    <w:rPr>
      <w:rFonts w:ascii="Calibri" w:eastAsia="Calibri" w:hAnsi="Calibri" w:cs="Times New Roman"/>
      <w:lang w:val="es-ES_tradnl"/>
    </w:rPr>
  </w:style>
  <w:style w:type="character" w:customStyle="1" w:styleId="Heading1Char">
    <w:name w:val="Heading 1 Char"/>
    <w:aliases w:val="Heading 1.I Char"/>
    <w:link w:val="Heading1"/>
    <w:uiPriority w:val="9"/>
    <w:rsid w:val="006310AF"/>
    <w:rPr>
      <w:rFonts w:ascii="Arial" w:eastAsia="Times New Roman" w:hAnsi="Arial" w:cs="Arial"/>
      <w:b/>
      <w:bCs/>
      <w:sz w:val="24"/>
      <w:szCs w:val="28"/>
      <w:lang w:val="es-ES_tradnl"/>
    </w:rPr>
  </w:style>
  <w:style w:type="paragraph" w:styleId="TOCHeading">
    <w:name w:val="TOC Heading"/>
    <w:basedOn w:val="Heading1"/>
    <w:next w:val="Normal"/>
    <w:uiPriority w:val="39"/>
    <w:semiHidden/>
    <w:unhideWhenUsed/>
    <w:qFormat/>
    <w:rsid w:val="00AA7F2E"/>
    <w:pPr>
      <w:spacing w:line="276" w:lineRule="auto"/>
      <w:outlineLvl w:val="9"/>
    </w:pPr>
    <w:rPr>
      <w:lang w:eastAsia="ja-JP"/>
    </w:rPr>
  </w:style>
  <w:style w:type="paragraph" w:customStyle="1" w:styleId="Chapter">
    <w:name w:val="Chapter"/>
    <w:basedOn w:val="Normal"/>
    <w:next w:val="Normal"/>
    <w:link w:val="ChapterChar"/>
    <w:rsid w:val="00AA7F2E"/>
    <w:pPr>
      <w:keepNext/>
      <w:numPr>
        <w:numId w:val="10"/>
      </w:numPr>
      <w:tabs>
        <w:tab w:val="num" w:pos="648"/>
        <w:tab w:val="left" w:pos="1440"/>
      </w:tabs>
      <w:spacing w:before="240" w:after="240" w:line="240" w:lineRule="auto"/>
      <w:ind w:left="0" w:firstLine="288"/>
      <w:jc w:val="center"/>
    </w:pPr>
    <w:rPr>
      <w:rFonts w:ascii="Times New Roman" w:hAnsi="Times New Roman"/>
      <w:b/>
      <w:smallCaps/>
      <w:lang w:val="es-ES"/>
    </w:rPr>
  </w:style>
  <w:style w:type="character" w:customStyle="1" w:styleId="ColorfulList-Accent1Char1">
    <w:name w:val="Colorful List - Accent 1 Char1"/>
    <w:basedOn w:val="DefaultParagraphFont"/>
    <w:link w:val="ColorfulList-Accent11"/>
    <w:uiPriority w:val="34"/>
    <w:rsid w:val="00AA7F2E"/>
  </w:style>
  <w:style w:type="character" w:customStyle="1" w:styleId="ChapterChar">
    <w:name w:val="Chapter Char"/>
    <w:link w:val="Chapter"/>
    <w:rsid w:val="00AA7F2E"/>
    <w:rPr>
      <w:rFonts w:ascii="Times New Roman" w:hAnsi="Times New Roman" w:cs="Times New Roman"/>
      <w:b/>
      <w:smallCaps/>
      <w:sz w:val="24"/>
      <w:lang w:val="es-ES"/>
    </w:rPr>
  </w:style>
  <w:style w:type="paragraph" w:customStyle="1" w:styleId="FirstHeading">
    <w:name w:val="FirstHeading"/>
    <w:basedOn w:val="Normal"/>
    <w:next w:val="Normal"/>
    <w:link w:val="FirstHeadingChar"/>
    <w:rsid w:val="00AA7F2E"/>
    <w:pPr>
      <w:keepNext/>
      <w:numPr>
        <w:numId w:val="2"/>
      </w:numPr>
      <w:tabs>
        <w:tab w:val="left" w:pos="0"/>
        <w:tab w:val="left" w:pos="86"/>
      </w:tabs>
      <w:spacing w:before="120" w:after="120" w:line="240" w:lineRule="auto"/>
    </w:pPr>
    <w:rPr>
      <w:rFonts w:ascii="Times New Roman" w:hAnsi="Times New Roman"/>
      <w:b/>
      <w:lang w:val="es-ES"/>
    </w:rPr>
  </w:style>
  <w:style w:type="character" w:customStyle="1" w:styleId="FirstHeadingChar">
    <w:name w:val="FirstHeading Char"/>
    <w:link w:val="FirstHeading"/>
    <w:rsid w:val="00AA7F2E"/>
    <w:rPr>
      <w:rFonts w:ascii="Times New Roman" w:hAnsi="Times New Roman" w:cs="Times New Roman"/>
      <w:b/>
      <w:sz w:val="24"/>
      <w:lang w:val="es-ES"/>
    </w:rPr>
  </w:style>
  <w:style w:type="paragraph" w:customStyle="1" w:styleId="SecHeading">
    <w:name w:val="SecHeading"/>
    <w:basedOn w:val="Normal"/>
    <w:next w:val="Paragraph"/>
    <w:link w:val="SecHeadingChar"/>
    <w:rsid w:val="00AA7F2E"/>
    <w:pPr>
      <w:keepNext/>
      <w:tabs>
        <w:tab w:val="num" w:pos="1296"/>
      </w:tabs>
      <w:spacing w:before="120" w:after="120" w:line="240" w:lineRule="auto"/>
      <w:ind w:left="1296" w:hanging="576"/>
    </w:pPr>
    <w:rPr>
      <w:rFonts w:ascii="Times New Roman" w:hAnsi="Times New Roman"/>
      <w:b/>
      <w:lang w:val="es-ES"/>
    </w:rPr>
  </w:style>
  <w:style w:type="character" w:customStyle="1" w:styleId="SecHeadingChar">
    <w:name w:val="SecHeading Char"/>
    <w:link w:val="SecHeading"/>
    <w:rsid w:val="00AA7F2E"/>
    <w:rPr>
      <w:rFonts w:ascii="Times New Roman" w:hAnsi="Times New Roman" w:cs="Times New Roman"/>
      <w:b/>
      <w:sz w:val="24"/>
      <w:lang w:val="es-ES"/>
    </w:rPr>
  </w:style>
  <w:style w:type="paragraph" w:customStyle="1" w:styleId="SubHeading1">
    <w:name w:val="SubHeading1"/>
    <w:basedOn w:val="SecHeading"/>
    <w:link w:val="SubHeading1Char"/>
    <w:rsid w:val="00AA7F2E"/>
    <w:pPr>
      <w:tabs>
        <w:tab w:val="clear" w:pos="1296"/>
        <w:tab w:val="num" w:pos="1872"/>
      </w:tabs>
      <w:ind w:left="1872"/>
    </w:pPr>
  </w:style>
  <w:style w:type="character" w:customStyle="1" w:styleId="SubHeading1Char">
    <w:name w:val="SubHeading1 Char"/>
    <w:link w:val="SubHeading1"/>
    <w:rsid w:val="00AA7F2E"/>
    <w:rPr>
      <w:rFonts w:ascii="Times New Roman" w:hAnsi="Times New Roman" w:cs="Times New Roman"/>
      <w:b/>
      <w:sz w:val="24"/>
      <w:lang w:val="es-ES"/>
    </w:rPr>
  </w:style>
  <w:style w:type="paragraph" w:customStyle="1" w:styleId="Subheading2">
    <w:name w:val="Subheading2"/>
    <w:basedOn w:val="SecHeading"/>
    <w:link w:val="Subheading2Char"/>
    <w:rsid w:val="00AA7F2E"/>
    <w:pPr>
      <w:tabs>
        <w:tab w:val="clear" w:pos="1296"/>
        <w:tab w:val="num" w:pos="2376"/>
      </w:tabs>
      <w:ind w:left="2376" w:hanging="288"/>
    </w:pPr>
  </w:style>
  <w:style w:type="character" w:customStyle="1" w:styleId="Subheading2Char">
    <w:name w:val="Subheading2 Char"/>
    <w:link w:val="Subheading2"/>
    <w:rsid w:val="00AA7F2E"/>
    <w:rPr>
      <w:rFonts w:ascii="Times New Roman" w:hAnsi="Times New Roman" w:cs="Times New Roman"/>
      <w:b/>
      <w:sz w:val="24"/>
      <w:lang w:val="es-ES"/>
    </w:rPr>
  </w:style>
  <w:style w:type="paragraph" w:customStyle="1" w:styleId="Paragraph">
    <w:name w:val="Paragraph"/>
    <w:aliases w:val="paragraph,p,PARAGRAPH,PG,pa,at"/>
    <w:basedOn w:val="BodyTextIndent"/>
    <w:link w:val="ParagraphChar"/>
    <w:qFormat/>
    <w:rsid w:val="00AA7F2E"/>
    <w:pPr>
      <w:tabs>
        <w:tab w:val="num" w:pos="720"/>
      </w:tabs>
      <w:spacing w:before="120"/>
      <w:ind w:left="720" w:hanging="720"/>
      <w:jc w:val="both"/>
      <w:outlineLvl w:val="1"/>
    </w:pPr>
    <w:rPr>
      <w:lang w:val="es-ES"/>
    </w:rPr>
  </w:style>
  <w:style w:type="character" w:customStyle="1" w:styleId="ParagraphChar">
    <w:name w:val="Paragraph Char"/>
    <w:link w:val="Paragraph"/>
    <w:rsid w:val="00AA7F2E"/>
    <w:rPr>
      <w:rFonts w:ascii="Times New Roman" w:hAnsi="Times New Roman" w:cs="Times New Roman"/>
      <w:sz w:val="24"/>
      <w:lang w:val="es-ES"/>
    </w:rPr>
  </w:style>
  <w:style w:type="paragraph" w:customStyle="1" w:styleId="subpar">
    <w:name w:val="subpar"/>
    <w:basedOn w:val="BodyTextIndent3"/>
    <w:link w:val="subparChar"/>
    <w:rsid w:val="00AA7F2E"/>
    <w:pPr>
      <w:tabs>
        <w:tab w:val="num" w:pos="1152"/>
      </w:tabs>
      <w:spacing w:before="120"/>
      <w:ind w:left="1152" w:hanging="432"/>
      <w:jc w:val="both"/>
      <w:outlineLvl w:val="2"/>
    </w:pPr>
    <w:rPr>
      <w:lang w:val="es-ES"/>
    </w:rPr>
  </w:style>
  <w:style w:type="character" w:customStyle="1" w:styleId="subparChar">
    <w:name w:val="subpar Char"/>
    <w:link w:val="subpar"/>
    <w:rsid w:val="00AA7F2E"/>
    <w:rPr>
      <w:rFonts w:ascii="Times New Roman" w:hAnsi="Times New Roman" w:cs="Times New Roman"/>
      <w:sz w:val="24"/>
      <w:szCs w:val="16"/>
      <w:lang w:val="es-ES"/>
    </w:rPr>
  </w:style>
  <w:style w:type="paragraph" w:customStyle="1" w:styleId="SubSubPar">
    <w:name w:val="SubSubPar"/>
    <w:basedOn w:val="subpar"/>
    <w:link w:val="SubSubParChar"/>
    <w:rsid w:val="00AA7F2E"/>
    <w:pPr>
      <w:tabs>
        <w:tab w:val="clear" w:pos="1152"/>
        <w:tab w:val="left" w:pos="0"/>
        <w:tab w:val="num" w:pos="1296"/>
      </w:tabs>
      <w:ind w:left="1296" w:hanging="288"/>
    </w:pPr>
  </w:style>
  <w:style w:type="character" w:customStyle="1" w:styleId="SubSubParChar">
    <w:name w:val="SubSubPar Char"/>
    <w:link w:val="SubSubPar"/>
    <w:rsid w:val="00AA7F2E"/>
    <w:rPr>
      <w:rFonts w:ascii="Times New Roman" w:hAnsi="Times New Roman" w:cs="Times New Roman"/>
      <w:sz w:val="24"/>
      <w:szCs w:val="16"/>
      <w:lang w:val="es-ES"/>
    </w:rPr>
  </w:style>
  <w:style w:type="paragraph" w:customStyle="1" w:styleId="Regtable">
    <w:name w:val="Regtable"/>
    <w:basedOn w:val="Normal"/>
    <w:link w:val="RegtableChar"/>
    <w:rsid w:val="00AA7F2E"/>
    <w:pPr>
      <w:keepLines/>
      <w:framePr w:wrap="around" w:vAnchor="text" w:hAnchor="text" w:y="1"/>
      <w:spacing w:before="20" w:after="20" w:line="240" w:lineRule="auto"/>
    </w:pPr>
    <w:rPr>
      <w:rFonts w:ascii="Times New Roman" w:hAnsi="Times New Roman"/>
      <w:sz w:val="20"/>
      <w:lang w:val="es-ES"/>
    </w:rPr>
  </w:style>
  <w:style w:type="character" w:customStyle="1" w:styleId="RegtableChar">
    <w:name w:val="Regtable Char"/>
    <w:link w:val="Regtable"/>
    <w:rsid w:val="00AA7F2E"/>
    <w:rPr>
      <w:rFonts w:ascii="Times New Roman" w:hAnsi="Times New Roman" w:cs="Times New Roman"/>
      <w:sz w:val="20"/>
      <w:lang w:val="es-ES"/>
    </w:rPr>
  </w:style>
  <w:style w:type="paragraph" w:customStyle="1" w:styleId="TableTitle">
    <w:name w:val="TableTitle"/>
    <w:basedOn w:val="Normal"/>
    <w:link w:val="TableTitleChar"/>
    <w:rsid w:val="00AA7F2E"/>
    <w:pPr>
      <w:keepNext/>
      <w:framePr w:wrap="around" w:vAnchor="text" w:hAnchor="text" w:y="1"/>
      <w:spacing w:before="20" w:after="20" w:line="240" w:lineRule="auto"/>
      <w:jc w:val="center"/>
    </w:pPr>
    <w:rPr>
      <w:rFonts w:ascii="Times New Roman Bold" w:hAnsi="Times New Roman Bold"/>
      <w:b/>
      <w:spacing w:val="-3"/>
      <w:sz w:val="20"/>
      <w:lang w:val="es-ES"/>
    </w:rPr>
  </w:style>
  <w:style w:type="character" w:customStyle="1" w:styleId="TableTitleChar">
    <w:name w:val="TableTitle Char"/>
    <w:link w:val="TableTitle"/>
    <w:rsid w:val="00AA7F2E"/>
    <w:rPr>
      <w:rFonts w:ascii="Times New Roman Bold" w:hAnsi="Times New Roman Bold"/>
      <w:b/>
      <w:spacing w:val="-3"/>
      <w:sz w:val="20"/>
      <w:lang w:val="es-ES"/>
    </w:rPr>
  </w:style>
  <w:style w:type="character" w:customStyle="1" w:styleId="Heading2Char">
    <w:name w:val="Heading 2 Char"/>
    <w:link w:val="Heading2"/>
    <w:uiPriority w:val="9"/>
    <w:rsid w:val="00620E0A"/>
    <w:rPr>
      <w:rFonts w:ascii="Arial" w:eastAsia="Times New Roman" w:hAnsi="Arial"/>
      <w:b/>
      <w:bCs/>
      <w:sz w:val="24"/>
      <w:szCs w:val="24"/>
      <w:lang w:val="es-ES_tradnl"/>
    </w:rPr>
  </w:style>
  <w:style w:type="character" w:customStyle="1" w:styleId="Heading3Char">
    <w:name w:val="Heading 3 Char"/>
    <w:link w:val="Heading3"/>
    <w:uiPriority w:val="9"/>
    <w:semiHidden/>
    <w:rsid w:val="00AA7F2E"/>
    <w:rPr>
      <w:rFonts w:ascii="Calibri Light" w:eastAsia="Times New Roman" w:hAnsi="Calibri Light" w:cs="Times New Roman"/>
      <w:b/>
      <w:bCs/>
      <w:color w:val="5B9BD5"/>
    </w:rPr>
  </w:style>
  <w:style w:type="character" w:customStyle="1" w:styleId="Heading4Char">
    <w:name w:val="Heading 4 Char"/>
    <w:aliases w:val="Heading 4.a Char"/>
    <w:link w:val="Heading4"/>
    <w:uiPriority w:val="9"/>
    <w:semiHidden/>
    <w:rsid w:val="00AA7F2E"/>
    <w:rPr>
      <w:rFonts w:ascii="Calibri Light" w:eastAsia="Times New Roman" w:hAnsi="Calibri Light" w:cs="Times New Roman"/>
      <w:b/>
      <w:bCs/>
      <w:i/>
      <w:iCs/>
      <w:color w:val="5B9BD5"/>
    </w:rPr>
  </w:style>
  <w:style w:type="character" w:customStyle="1" w:styleId="Heading6Char">
    <w:name w:val="Heading 6 Char"/>
    <w:link w:val="Heading6"/>
    <w:uiPriority w:val="9"/>
    <w:semiHidden/>
    <w:rsid w:val="00AA7F2E"/>
    <w:rPr>
      <w:rFonts w:ascii="Calibri Light" w:eastAsia="Times New Roman" w:hAnsi="Calibri Light" w:cs="Times New Roman"/>
      <w:i/>
      <w:iCs/>
      <w:color w:val="1F4D78"/>
    </w:rPr>
  </w:style>
  <w:style w:type="character" w:customStyle="1" w:styleId="Heading7Char">
    <w:name w:val="Heading 7 Char"/>
    <w:link w:val="Heading7"/>
    <w:uiPriority w:val="9"/>
    <w:semiHidden/>
    <w:rsid w:val="00AA7F2E"/>
    <w:rPr>
      <w:rFonts w:ascii="Calibri Light" w:eastAsia="Times New Roman" w:hAnsi="Calibri Light" w:cs="Times New Roman"/>
      <w:i/>
      <w:iCs/>
      <w:color w:val="404040"/>
    </w:rPr>
  </w:style>
  <w:style w:type="character" w:customStyle="1" w:styleId="Heading8Char">
    <w:name w:val="Heading 8 Char"/>
    <w:link w:val="Heading8"/>
    <w:uiPriority w:val="9"/>
    <w:semiHidden/>
    <w:rsid w:val="00AA7F2E"/>
    <w:rPr>
      <w:rFonts w:ascii="Calibri Light" w:eastAsia="Times New Roman" w:hAnsi="Calibri Light" w:cs="Times New Roman"/>
      <w:color w:val="404040"/>
      <w:sz w:val="20"/>
      <w:szCs w:val="20"/>
    </w:rPr>
  </w:style>
  <w:style w:type="character" w:customStyle="1" w:styleId="Heading9Char">
    <w:name w:val="Heading 9 Char"/>
    <w:link w:val="Heading9"/>
    <w:uiPriority w:val="9"/>
    <w:semiHidden/>
    <w:rsid w:val="00AA7F2E"/>
    <w:rPr>
      <w:rFonts w:ascii="Calibri Light" w:eastAsia="Times New Roman" w:hAnsi="Calibri Light" w:cs="Times New Roman"/>
      <w:i/>
      <w:iCs/>
      <w:color w:val="404040"/>
      <w:sz w:val="20"/>
      <w:szCs w:val="20"/>
    </w:rPr>
  </w:style>
  <w:style w:type="paragraph" w:styleId="BodyTextIndent">
    <w:name w:val="Body Text Indent"/>
    <w:basedOn w:val="Normal"/>
    <w:link w:val="BodyTextIndentChar"/>
    <w:uiPriority w:val="99"/>
    <w:semiHidden/>
    <w:unhideWhenUsed/>
    <w:rsid w:val="00AA7F2E"/>
    <w:pPr>
      <w:spacing w:after="120" w:line="240" w:lineRule="auto"/>
      <w:ind w:left="360"/>
    </w:pPr>
    <w:rPr>
      <w:rFonts w:ascii="Times New Roman" w:hAnsi="Times New Roman"/>
    </w:rPr>
  </w:style>
  <w:style w:type="character" w:customStyle="1" w:styleId="BodyTextIndentChar">
    <w:name w:val="Body Text Indent Char"/>
    <w:link w:val="BodyTextIndent"/>
    <w:uiPriority w:val="99"/>
    <w:semiHidden/>
    <w:rsid w:val="00AA7F2E"/>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AA7F2E"/>
    <w:pPr>
      <w:spacing w:after="120" w:line="240" w:lineRule="auto"/>
      <w:ind w:left="360"/>
    </w:pPr>
    <w:rPr>
      <w:rFonts w:ascii="Times New Roman" w:hAnsi="Times New Roman"/>
      <w:szCs w:val="16"/>
    </w:rPr>
  </w:style>
  <w:style w:type="character" w:customStyle="1" w:styleId="BodyTextIndent3Char">
    <w:name w:val="Body Text Indent 3 Char"/>
    <w:link w:val="BodyTextIndent3"/>
    <w:uiPriority w:val="99"/>
    <w:semiHidden/>
    <w:rsid w:val="00AA7F2E"/>
    <w:rPr>
      <w:rFonts w:ascii="Times New Roman" w:hAnsi="Times New Roman" w:cs="Times New Roman"/>
      <w:sz w:val="24"/>
      <w:szCs w:val="16"/>
    </w:rPr>
  </w:style>
  <w:style w:type="paragraph" w:styleId="TOC1">
    <w:name w:val="toc 1"/>
    <w:basedOn w:val="Normal"/>
    <w:next w:val="Normal"/>
    <w:autoRedefine/>
    <w:uiPriority w:val="39"/>
    <w:unhideWhenUsed/>
    <w:rsid w:val="00AA7F2E"/>
    <w:pPr>
      <w:spacing w:before="120" w:after="0"/>
    </w:pPr>
    <w:rPr>
      <w:rFonts w:asciiTheme="minorHAnsi" w:hAnsiTheme="minorHAnsi"/>
      <w:b/>
      <w:sz w:val="22"/>
    </w:rPr>
  </w:style>
  <w:style w:type="paragraph" w:styleId="TOC2">
    <w:name w:val="toc 2"/>
    <w:basedOn w:val="Normal"/>
    <w:next w:val="Normal"/>
    <w:autoRedefine/>
    <w:uiPriority w:val="39"/>
    <w:unhideWhenUsed/>
    <w:rsid w:val="00361A79"/>
    <w:pPr>
      <w:spacing w:after="0"/>
      <w:ind w:left="240"/>
    </w:pPr>
    <w:rPr>
      <w:rFonts w:asciiTheme="minorHAnsi" w:hAnsiTheme="minorHAnsi"/>
      <w:i/>
      <w:sz w:val="22"/>
    </w:rPr>
  </w:style>
  <w:style w:type="paragraph" w:styleId="TOC3">
    <w:name w:val="toc 3"/>
    <w:basedOn w:val="Normal"/>
    <w:next w:val="Normal"/>
    <w:autoRedefine/>
    <w:uiPriority w:val="39"/>
    <w:unhideWhenUsed/>
    <w:rsid w:val="00AA7F2E"/>
    <w:pPr>
      <w:spacing w:after="0"/>
      <w:ind w:left="480"/>
    </w:pPr>
    <w:rPr>
      <w:rFonts w:asciiTheme="minorHAnsi" w:hAnsiTheme="minorHAnsi"/>
      <w:sz w:val="22"/>
    </w:rPr>
  </w:style>
  <w:style w:type="character" w:styleId="CommentReference">
    <w:name w:val="annotation reference"/>
    <w:rsid w:val="002356B7"/>
    <w:rPr>
      <w:sz w:val="16"/>
      <w:szCs w:val="16"/>
    </w:rPr>
  </w:style>
  <w:style w:type="paragraph" w:styleId="CommentText">
    <w:name w:val="annotation text"/>
    <w:basedOn w:val="Normal"/>
    <w:link w:val="CommentTextChar"/>
    <w:rsid w:val="002356B7"/>
    <w:pPr>
      <w:spacing w:after="0" w:line="240" w:lineRule="auto"/>
    </w:pPr>
    <w:rPr>
      <w:rFonts w:ascii="Times New Roman" w:eastAsia="Times New Roman" w:hAnsi="Times New Roman"/>
      <w:spacing w:val="-3"/>
      <w:sz w:val="20"/>
      <w:szCs w:val="20"/>
      <w:lang w:val="es-ES_tradnl"/>
    </w:rPr>
  </w:style>
  <w:style w:type="character" w:customStyle="1" w:styleId="CommentTextChar">
    <w:name w:val="Comment Text Char"/>
    <w:link w:val="CommentText"/>
    <w:rsid w:val="002356B7"/>
    <w:rPr>
      <w:rFonts w:ascii="Times New Roman" w:eastAsia="Times New Roman" w:hAnsi="Times New Roman" w:cs="Times New Roman"/>
      <w:spacing w:val="-3"/>
      <w:sz w:val="20"/>
      <w:szCs w:val="20"/>
      <w:lang w:val="es-ES_tradnl"/>
    </w:rPr>
  </w:style>
  <w:style w:type="paragraph" w:customStyle="1" w:styleId="AutoNumpara">
    <w:name w:val="AutoNumpara"/>
    <w:basedOn w:val="BodyTextIndent"/>
    <w:rsid w:val="002356B7"/>
    <w:pPr>
      <w:tabs>
        <w:tab w:val="num" w:pos="720"/>
      </w:tabs>
      <w:spacing w:before="120"/>
      <w:ind w:left="720" w:hanging="720"/>
      <w:jc w:val="both"/>
    </w:pPr>
    <w:rPr>
      <w:rFonts w:eastAsia="Times New Roman"/>
      <w:noProof/>
      <w:spacing w:val="-2"/>
      <w:szCs w:val="20"/>
      <w:lang w:val="es-ES_tradnl"/>
    </w:rPr>
  </w:style>
  <w:style w:type="paragraph" w:customStyle="1" w:styleId="ColorfulList-Accent110">
    <w:name w:val="Colorful List - Accent 11"/>
    <w:basedOn w:val="Normal"/>
    <w:link w:val="ColorfulList-Accent1Char"/>
    <w:uiPriority w:val="34"/>
    <w:qFormat/>
    <w:rsid w:val="00CE3C89"/>
    <w:pPr>
      <w:spacing w:after="0" w:line="240" w:lineRule="auto"/>
      <w:ind w:left="720"/>
      <w:contextualSpacing/>
    </w:pPr>
    <w:rPr>
      <w:rFonts w:ascii="Calibri" w:hAnsi="Calibri"/>
      <w:lang w:val="es-ES_tradnl"/>
    </w:rPr>
  </w:style>
  <w:style w:type="character" w:customStyle="1" w:styleId="ColorfulList-Accent1Char">
    <w:name w:val="Colorful List - Accent 1 Char"/>
    <w:link w:val="ColorfulList-Accent110"/>
    <w:uiPriority w:val="34"/>
    <w:rsid w:val="00337974"/>
    <w:rPr>
      <w:rFonts w:ascii="Calibri" w:eastAsia="Calibri" w:hAnsi="Calibri" w:cs="Times New Roman"/>
      <w:lang w:val="es-ES_tradnl"/>
    </w:rPr>
  </w:style>
  <w:style w:type="paragraph" w:customStyle="1" w:styleId="Contedodetabela">
    <w:name w:val="Conteúdo de tabela"/>
    <w:basedOn w:val="Normal"/>
    <w:rsid w:val="00220ABD"/>
    <w:pPr>
      <w:widowControl w:val="0"/>
      <w:suppressLineNumbers/>
      <w:suppressAutoHyphens/>
      <w:spacing w:after="0" w:line="240" w:lineRule="auto"/>
    </w:pPr>
    <w:rPr>
      <w:rFonts w:ascii="Times New Roman" w:eastAsia="Bitstream Vera Sans" w:hAnsi="Times New Roman" w:cs="Bitstream Vera Sans"/>
      <w:kern w:val="1"/>
      <w:szCs w:val="24"/>
      <w:lang w:val="pt-BR" w:eastAsia="hi-IN" w:bidi="hi-IN"/>
    </w:rPr>
  </w:style>
  <w:style w:type="character" w:customStyle="1" w:styleId="HeaderChar">
    <w:name w:val="Header Char"/>
    <w:link w:val="Header"/>
    <w:rsid w:val="00D0597E"/>
    <w:rPr>
      <w:rFonts w:ascii="Times New Roman" w:eastAsia="Times New Roman" w:hAnsi="Times New Roman"/>
      <w:spacing w:val="-3"/>
      <w:lang w:val="es-ES_tradnl"/>
    </w:rPr>
  </w:style>
  <w:style w:type="character" w:customStyle="1" w:styleId="z-TopofFormChar">
    <w:name w:val="z-Top of Form Char"/>
    <w:link w:val="z-TopofForm"/>
    <w:uiPriority w:val="99"/>
    <w:rsid w:val="00D059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D0597E"/>
    <w:pPr>
      <w:pBdr>
        <w:top w:val="single" w:sz="6" w:space="1" w:color="auto"/>
      </w:pBdr>
      <w:spacing w:after="0" w:line="240" w:lineRule="auto"/>
      <w:jc w:val="center"/>
    </w:pPr>
    <w:rPr>
      <w:rFonts w:eastAsia="Times New Roman"/>
      <w:vanish/>
      <w:sz w:val="16"/>
      <w:szCs w:val="16"/>
      <w:lang w:val="x-none" w:eastAsia="x-none"/>
    </w:rPr>
  </w:style>
  <w:style w:type="character" w:customStyle="1" w:styleId="z-BottomofFormChar">
    <w:name w:val="z-Bottom of Form Char"/>
    <w:link w:val="z-BottomofForm"/>
    <w:uiPriority w:val="99"/>
    <w:rsid w:val="00D0597E"/>
    <w:rPr>
      <w:rFonts w:ascii="Arial" w:eastAsia="Times New Roman" w:hAnsi="Arial" w:cs="Times New Roman"/>
      <w:vanish/>
      <w:sz w:val="16"/>
      <w:szCs w:val="16"/>
      <w:lang w:val="x-none" w:eastAsia="x-none"/>
    </w:rPr>
  </w:style>
  <w:style w:type="paragraph" w:customStyle="1" w:styleId="Corpo">
    <w:name w:val="Corpo"/>
    <w:rsid w:val="00D0597E"/>
    <w:pPr>
      <w:pBdr>
        <w:top w:val="nil"/>
        <w:left w:val="nil"/>
        <w:bottom w:val="nil"/>
        <w:right w:val="nil"/>
        <w:between w:val="nil"/>
        <w:bar w:val="nil"/>
      </w:pBdr>
    </w:pPr>
    <w:rPr>
      <w:rFonts w:ascii="Times New Roman" w:eastAsia="Arial Unicode MS" w:hAnsi="Arial Unicode MS" w:cs="Arial Unicode MS"/>
      <w:color w:val="000000"/>
      <w:u w:color="000000"/>
      <w:bdr w:val="nil"/>
      <w:lang w:val="pt-PT" w:eastAsia="pt-BR"/>
    </w:rPr>
  </w:style>
  <w:style w:type="paragraph" w:styleId="Header">
    <w:name w:val="header"/>
    <w:basedOn w:val="Normal"/>
    <w:link w:val="HeaderChar"/>
    <w:unhideWhenUsed/>
    <w:rsid w:val="00D0597E"/>
    <w:pPr>
      <w:tabs>
        <w:tab w:val="center" w:pos="4680"/>
        <w:tab w:val="right" w:pos="9360"/>
      </w:tabs>
      <w:spacing w:after="0" w:line="240" w:lineRule="auto"/>
    </w:pPr>
    <w:rPr>
      <w:rFonts w:ascii="Times New Roman" w:eastAsia="Times New Roman" w:hAnsi="Times New Roman"/>
      <w:spacing w:val="-3"/>
      <w:lang w:val="es-ES_tradnl"/>
    </w:rPr>
  </w:style>
  <w:style w:type="character" w:customStyle="1" w:styleId="HeaderChar1">
    <w:name w:val="Header Char1"/>
    <w:basedOn w:val="DefaultParagraphFont"/>
    <w:uiPriority w:val="99"/>
    <w:semiHidden/>
    <w:rsid w:val="00D0597E"/>
  </w:style>
  <w:style w:type="paragraph" w:styleId="z-TopofForm">
    <w:name w:val="HTML Top of Form"/>
    <w:basedOn w:val="Normal"/>
    <w:next w:val="Normal"/>
    <w:link w:val="z-TopofFormChar"/>
    <w:hidden/>
    <w:uiPriority w:val="99"/>
    <w:semiHidden/>
    <w:unhideWhenUsed/>
    <w:rsid w:val="00D0597E"/>
    <w:pPr>
      <w:pBdr>
        <w:bottom w:val="single" w:sz="6" w:space="1" w:color="auto"/>
      </w:pBdr>
      <w:spacing w:after="0"/>
      <w:jc w:val="center"/>
    </w:pPr>
    <w:rPr>
      <w:rFonts w:eastAsia="Times New Roman" w:cs="Arial"/>
      <w:vanish/>
      <w:sz w:val="16"/>
      <w:szCs w:val="16"/>
    </w:rPr>
  </w:style>
  <w:style w:type="character" w:customStyle="1" w:styleId="z-TopofFormChar1">
    <w:name w:val="z-Top of Form Char1"/>
    <w:uiPriority w:val="99"/>
    <w:semiHidden/>
    <w:rsid w:val="00D0597E"/>
    <w:rPr>
      <w:rFonts w:ascii="Arial" w:hAnsi="Arial" w:cs="Arial"/>
      <w:vanish/>
      <w:sz w:val="16"/>
      <w:szCs w:val="16"/>
    </w:rPr>
  </w:style>
  <w:style w:type="paragraph" w:styleId="Footer">
    <w:name w:val="footer"/>
    <w:basedOn w:val="Normal"/>
    <w:link w:val="FooterChar"/>
    <w:uiPriority w:val="99"/>
    <w:unhideWhenUsed/>
    <w:rsid w:val="00F000F0"/>
    <w:pPr>
      <w:tabs>
        <w:tab w:val="center" w:pos="4680"/>
        <w:tab w:val="right" w:pos="9360"/>
      </w:tabs>
    </w:pPr>
  </w:style>
  <w:style w:type="character" w:customStyle="1" w:styleId="FooterChar">
    <w:name w:val="Footer Char"/>
    <w:link w:val="Footer"/>
    <w:uiPriority w:val="99"/>
    <w:rsid w:val="00F000F0"/>
    <w:rPr>
      <w:sz w:val="22"/>
      <w:szCs w:val="22"/>
    </w:rPr>
  </w:style>
  <w:style w:type="paragraph" w:styleId="Caption">
    <w:name w:val="caption"/>
    <w:basedOn w:val="Normal"/>
    <w:next w:val="Normal"/>
    <w:autoRedefine/>
    <w:uiPriority w:val="35"/>
    <w:qFormat/>
    <w:rsid w:val="008C30C9"/>
    <w:pPr>
      <w:spacing w:before="240" w:after="200" w:line="240" w:lineRule="auto"/>
    </w:pPr>
    <w:rPr>
      <w:rFonts w:eastAsia="Cambria" w:cs="Arial"/>
      <w:b/>
      <w:bCs/>
      <w:sz w:val="22"/>
      <w:lang w:val="es-ES_tradnl"/>
    </w:rPr>
  </w:style>
  <w:style w:type="paragraph" w:styleId="DocumentMap">
    <w:name w:val="Document Map"/>
    <w:basedOn w:val="Normal"/>
    <w:link w:val="DocumentMapChar"/>
    <w:uiPriority w:val="99"/>
    <w:semiHidden/>
    <w:unhideWhenUsed/>
    <w:rsid w:val="006970B6"/>
    <w:rPr>
      <w:rFonts w:ascii="Lucida Grande" w:hAnsi="Lucida Grande" w:cs="Lucida Grande"/>
      <w:szCs w:val="24"/>
    </w:rPr>
  </w:style>
  <w:style w:type="character" w:customStyle="1" w:styleId="DocumentMapChar">
    <w:name w:val="Document Map Char"/>
    <w:link w:val="DocumentMap"/>
    <w:uiPriority w:val="99"/>
    <w:semiHidden/>
    <w:rsid w:val="006970B6"/>
    <w:rPr>
      <w:rFonts w:ascii="Lucida Grande" w:hAnsi="Lucida Grande" w:cs="Lucida Grande"/>
      <w:sz w:val="24"/>
      <w:szCs w:val="24"/>
    </w:rPr>
  </w:style>
  <w:style w:type="paragraph" w:styleId="CommentSubject">
    <w:name w:val="annotation subject"/>
    <w:basedOn w:val="CommentText"/>
    <w:next w:val="CommentText"/>
    <w:link w:val="CommentSubjectChar"/>
    <w:uiPriority w:val="99"/>
    <w:semiHidden/>
    <w:unhideWhenUsed/>
    <w:rsid w:val="005B08FD"/>
    <w:pPr>
      <w:spacing w:after="160"/>
    </w:pPr>
    <w:rPr>
      <w:rFonts w:eastAsia="Calibri"/>
      <w:b/>
      <w:bCs/>
      <w:spacing w:val="0"/>
      <w:lang w:val="en-US"/>
    </w:rPr>
  </w:style>
  <w:style w:type="character" w:customStyle="1" w:styleId="CommentSubjectChar">
    <w:name w:val="Comment Subject Char"/>
    <w:basedOn w:val="CommentTextChar"/>
    <w:link w:val="CommentSubject"/>
    <w:uiPriority w:val="99"/>
    <w:semiHidden/>
    <w:rsid w:val="005B08FD"/>
    <w:rPr>
      <w:rFonts w:ascii="Times New Roman" w:eastAsia="Times New Roman" w:hAnsi="Times New Roman" w:cs="Times New Roman"/>
      <w:b/>
      <w:bCs/>
      <w:spacing w:val="-3"/>
      <w:sz w:val="20"/>
      <w:szCs w:val="20"/>
      <w:lang w:val="es-ES_tradnl"/>
    </w:rPr>
  </w:style>
  <w:style w:type="table" w:styleId="MediumGrid3-Accent1">
    <w:name w:val="Medium Grid 3 Accent 1"/>
    <w:basedOn w:val="TableNormal"/>
    <w:uiPriority w:val="64"/>
    <w:rsid w:val="00B956B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List2-Accent1">
    <w:name w:val="Medium List 2 Accent 1"/>
    <w:basedOn w:val="TableNormal"/>
    <w:uiPriority w:val="61"/>
    <w:rsid w:val="00B956B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1">
    <w:name w:val="Light Shading Accent 1"/>
    <w:basedOn w:val="TableNormal"/>
    <w:uiPriority w:val="30"/>
    <w:qFormat/>
    <w:rsid w:val="000D3F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8"/>
    <w:rsid w:val="007222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link w:val="ListParagraphChar"/>
    <w:uiPriority w:val="34"/>
    <w:qFormat/>
    <w:rsid w:val="00825035"/>
    <w:pPr>
      <w:ind w:left="720"/>
      <w:contextualSpacing/>
    </w:pPr>
    <w:rPr>
      <w:rFonts w:asciiTheme="minorHAnsi" w:eastAsiaTheme="minorHAnsi" w:hAnsiTheme="minorHAnsi" w:cstheme="minorBidi"/>
      <w:sz w:val="22"/>
    </w:rPr>
  </w:style>
  <w:style w:type="character" w:customStyle="1" w:styleId="ListParagraphChar">
    <w:name w:val="List Paragraph Char"/>
    <w:basedOn w:val="DefaultParagraphFont"/>
    <w:link w:val="ListParagraph"/>
    <w:uiPriority w:val="34"/>
    <w:rsid w:val="00825035"/>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361A79"/>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361A79"/>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361A79"/>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361A79"/>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361A79"/>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361A79"/>
    <w:pPr>
      <w:spacing w:after="0"/>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502">
      <w:bodyDiv w:val="1"/>
      <w:marLeft w:val="0"/>
      <w:marRight w:val="0"/>
      <w:marTop w:val="0"/>
      <w:marBottom w:val="0"/>
      <w:divBdr>
        <w:top w:val="none" w:sz="0" w:space="0" w:color="auto"/>
        <w:left w:val="none" w:sz="0" w:space="0" w:color="auto"/>
        <w:bottom w:val="none" w:sz="0" w:space="0" w:color="auto"/>
        <w:right w:val="none" w:sz="0" w:space="0" w:color="auto"/>
      </w:divBdr>
    </w:div>
    <w:div w:id="35198955">
      <w:bodyDiv w:val="1"/>
      <w:marLeft w:val="0"/>
      <w:marRight w:val="0"/>
      <w:marTop w:val="0"/>
      <w:marBottom w:val="0"/>
      <w:divBdr>
        <w:top w:val="none" w:sz="0" w:space="0" w:color="auto"/>
        <w:left w:val="none" w:sz="0" w:space="0" w:color="auto"/>
        <w:bottom w:val="none" w:sz="0" w:space="0" w:color="auto"/>
        <w:right w:val="none" w:sz="0" w:space="0" w:color="auto"/>
      </w:divBdr>
    </w:div>
    <w:div w:id="35660604">
      <w:bodyDiv w:val="1"/>
      <w:marLeft w:val="0"/>
      <w:marRight w:val="0"/>
      <w:marTop w:val="0"/>
      <w:marBottom w:val="0"/>
      <w:divBdr>
        <w:top w:val="none" w:sz="0" w:space="0" w:color="auto"/>
        <w:left w:val="none" w:sz="0" w:space="0" w:color="auto"/>
        <w:bottom w:val="none" w:sz="0" w:space="0" w:color="auto"/>
        <w:right w:val="none" w:sz="0" w:space="0" w:color="auto"/>
      </w:divBdr>
    </w:div>
    <w:div w:id="41369044">
      <w:bodyDiv w:val="1"/>
      <w:marLeft w:val="0"/>
      <w:marRight w:val="0"/>
      <w:marTop w:val="0"/>
      <w:marBottom w:val="0"/>
      <w:divBdr>
        <w:top w:val="none" w:sz="0" w:space="0" w:color="auto"/>
        <w:left w:val="none" w:sz="0" w:space="0" w:color="auto"/>
        <w:bottom w:val="none" w:sz="0" w:space="0" w:color="auto"/>
        <w:right w:val="none" w:sz="0" w:space="0" w:color="auto"/>
      </w:divBdr>
    </w:div>
    <w:div w:id="60564821">
      <w:bodyDiv w:val="1"/>
      <w:marLeft w:val="0"/>
      <w:marRight w:val="0"/>
      <w:marTop w:val="0"/>
      <w:marBottom w:val="0"/>
      <w:divBdr>
        <w:top w:val="none" w:sz="0" w:space="0" w:color="auto"/>
        <w:left w:val="none" w:sz="0" w:space="0" w:color="auto"/>
        <w:bottom w:val="none" w:sz="0" w:space="0" w:color="auto"/>
        <w:right w:val="none" w:sz="0" w:space="0" w:color="auto"/>
      </w:divBdr>
    </w:div>
    <w:div w:id="70200334">
      <w:bodyDiv w:val="1"/>
      <w:marLeft w:val="0"/>
      <w:marRight w:val="0"/>
      <w:marTop w:val="0"/>
      <w:marBottom w:val="0"/>
      <w:divBdr>
        <w:top w:val="none" w:sz="0" w:space="0" w:color="auto"/>
        <w:left w:val="none" w:sz="0" w:space="0" w:color="auto"/>
        <w:bottom w:val="none" w:sz="0" w:space="0" w:color="auto"/>
        <w:right w:val="none" w:sz="0" w:space="0" w:color="auto"/>
      </w:divBdr>
    </w:div>
    <w:div w:id="125046895">
      <w:bodyDiv w:val="1"/>
      <w:marLeft w:val="0"/>
      <w:marRight w:val="0"/>
      <w:marTop w:val="0"/>
      <w:marBottom w:val="0"/>
      <w:divBdr>
        <w:top w:val="none" w:sz="0" w:space="0" w:color="auto"/>
        <w:left w:val="none" w:sz="0" w:space="0" w:color="auto"/>
        <w:bottom w:val="none" w:sz="0" w:space="0" w:color="auto"/>
        <w:right w:val="none" w:sz="0" w:space="0" w:color="auto"/>
      </w:divBdr>
    </w:div>
    <w:div w:id="132404785">
      <w:bodyDiv w:val="1"/>
      <w:marLeft w:val="0"/>
      <w:marRight w:val="0"/>
      <w:marTop w:val="0"/>
      <w:marBottom w:val="0"/>
      <w:divBdr>
        <w:top w:val="none" w:sz="0" w:space="0" w:color="auto"/>
        <w:left w:val="none" w:sz="0" w:space="0" w:color="auto"/>
        <w:bottom w:val="none" w:sz="0" w:space="0" w:color="auto"/>
        <w:right w:val="none" w:sz="0" w:space="0" w:color="auto"/>
      </w:divBdr>
    </w:div>
    <w:div w:id="136800121">
      <w:bodyDiv w:val="1"/>
      <w:marLeft w:val="0"/>
      <w:marRight w:val="0"/>
      <w:marTop w:val="0"/>
      <w:marBottom w:val="0"/>
      <w:divBdr>
        <w:top w:val="none" w:sz="0" w:space="0" w:color="auto"/>
        <w:left w:val="none" w:sz="0" w:space="0" w:color="auto"/>
        <w:bottom w:val="none" w:sz="0" w:space="0" w:color="auto"/>
        <w:right w:val="none" w:sz="0" w:space="0" w:color="auto"/>
      </w:divBdr>
    </w:div>
    <w:div w:id="157036756">
      <w:bodyDiv w:val="1"/>
      <w:marLeft w:val="0"/>
      <w:marRight w:val="0"/>
      <w:marTop w:val="0"/>
      <w:marBottom w:val="0"/>
      <w:divBdr>
        <w:top w:val="none" w:sz="0" w:space="0" w:color="auto"/>
        <w:left w:val="none" w:sz="0" w:space="0" w:color="auto"/>
        <w:bottom w:val="none" w:sz="0" w:space="0" w:color="auto"/>
        <w:right w:val="none" w:sz="0" w:space="0" w:color="auto"/>
      </w:divBdr>
    </w:div>
    <w:div w:id="172648076">
      <w:bodyDiv w:val="1"/>
      <w:marLeft w:val="0"/>
      <w:marRight w:val="0"/>
      <w:marTop w:val="0"/>
      <w:marBottom w:val="0"/>
      <w:divBdr>
        <w:top w:val="none" w:sz="0" w:space="0" w:color="auto"/>
        <w:left w:val="none" w:sz="0" w:space="0" w:color="auto"/>
        <w:bottom w:val="none" w:sz="0" w:space="0" w:color="auto"/>
        <w:right w:val="none" w:sz="0" w:space="0" w:color="auto"/>
      </w:divBdr>
    </w:div>
    <w:div w:id="181674546">
      <w:bodyDiv w:val="1"/>
      <w:marLeft w:val="0"/>
      <w:marRight w:val="0"/>
      <w:marTop w:val="0"/>
      <w:marBottom w:val="0"/>
      <w:divBdr>
        <w:top w:val="none" w:sz="0" w:space="0" w:color="auto"/>
        <w:left w:val="none" w:sz="0" w:space="0" w:color="auto"/>
        <w:bottom w:val="none" w:sz="0" w:space="0" w:color="auto"/>
        <w:right w:val="none" w:sz="0" w:space="0" w:color="auto"/>
      </w:divBdr>
    </w:div>
    <w:div w:id="190918109">
      <w:bodyDiv w:val="1"/>
      <w:marLeft w:val="0"/>
      <w:marRight w:val="0"/>
      <w:marTop w:val="0"/>
      <w:marBottom w:val="0"/>
      <w:divBdr>
        <w:top w:val="none" w:sz="0" w:space="0" w:color="auto"/>
        <w:left w:val="none" w:sz="0" w:space="0" w:color="auto"/>
        <w:bottom w:val="none" w:sz="0" w:space="0" w:color="auto"/>
        <w:right w:val="none" w:sz="0" w:space="0" w:color="auto"/>
      </w:divBdr>
    </w:div>
    <w:div w:id="204487249">
      <w:bodyDiv w:val="1"/>
      <w:marLeft w:val="0"/>
      <w:marRight w:val="0"/>
      <w:marTop w:val="0"/>
      <w:marBottom w:val="0"/>
      <w:divBdr>
        <w:top w:val="none" w:sz="0" w:space="0" w:color="auto"/>
        <w:left w:val="none" w:sz="0" w:space="0" w:color="auto"/>
        <w:bottom w:val="none" w:sz="0" w:space="0" w:color="auto"/>
        <w:right w:val="none" w:sz="0" w:space="0" w:color="auto"/>
      </w:divBdr>
    </w:div>
    <w:div w:id="206531001">
      <w:bodyDiv w:val="1"/>
      <w:marLeft w:val="0"/>
      <w:marRight w:val="0"/>
      <w:marTop w:val="0"/>
      <w:marBottom w:val="0"/>
      <w:divBdr>
        <w:top w:val="none" w:sz="0" w:space="0" w:color="auto"/>
        <w:left w:val="none" w:sz="0" w:space="0" w:color="auto"/>
        <w:bottom w:val="none" w:sz="0" w:space="0" w:color="auto"/>
        <w:right w:val="none" w:sz="0" w:space="0" w:color="auto"/>
      </w:divBdr>
    </w:div>
    <w:div w:id="215626978">
      <w:bodyDiv w:val="1"/>
      <w:marLeft w:val="0"/>
      <w:marRight w:val="0"/>
      <w:marTop w:val="0"/>
      <w:marBottom w:val="0"/>
      <w:divBdr>
        <w:top w:val="none" w:sz="0" w:space="0" w:color="auto"/>
        <w:left w:val="none" w:sz="0" w:space="0" w:color="auto"/>
        <w:bottom w:val="none" w:sz="0" w:space="0" w:color="auto"/>
        <w:right w:val="none" w:sz="0" w:space="0" w:color="auto"/>
      </w:divBdr>
    </w:div>
    <w:div w:id="230429514">
      <w:bodyDiv w:val="1"/>
      <w:marLeft w:val="0"/>
      <w:marRight w:val="0"/>
      <w:marTop w:val="0"/>
      <w:marBottom w:val="0"/>
      <w:divBdr>
        <w:top w:val="none" w:sz="0" w:space="0" w:color="auto"/>
        <w:left w:val="none" w:sz="0" w:space="0" w:color="auto"/>
        <w:bottom w:val="none" w:sz="0" w:space="0" w:color="auto"/>
        <w:right w:val="none" w:sz="0" w:space="0" w:color="auto"/>
      </w:divBdr>
    </w:div>
    <w:div w:id="259262223">
      <w:bodyDiv w:val="1"/>
      <w:marLeft w:val="0"/>
      <w:marRight w:val="0"/>
      <w:marTop w:val="0"/>
      <w:marBottom w:val="0"/>
      <w:divBdr>
        <w:top w:val="none" w:sz="0" w:space="0" w:color="auto"/>
        <w:left w:val="none" w:sz="0" w:space="0" w:color="auto"/>
        <w:bottom w:val="none" w:sz="0" w:space="0" w:color="auto"/>
        <w:right w:val="none" w:sz="0" w:space="0" w:color="auto"/>
      </w:divBdr>
    </w:div>
    <w:div w:id="267660775">
      <w:bodyDiv w:val="1"/>
      <w:marLeft w:val="0"/>
      <w:marRight w:val="0"/>
      <w:marTop w:val="0"/>
      <w:marBottom w:val="0"/>
      <w:divBdr>
        <w:top w:val="none" w:sz="0" w:space="0" w:color="auto"/>
        <w:left w:val="none" w:sz="0" w:space="0" w:color="auto"/>
        <w:bottom w:val="none" w:sz="0" w:space="0" w:color="auto"/>
        <w:right w:val="none" w:sz="0" w:space="0" w:color="auto"/>
      </w:divBdr>
    </w:div>
    <w:div w:id="282812962">
      <w:bodyDiv w:val="1"/>
      <w:marLeft w:val="0"/>
      <w:marRight w:val="0"/>
      <w:marTop w:val="0"/>
      <w:marBottom w:val="0"/>
      <w:divBdr>
        <w:top w:val="none" w:sz="0" w:space="0" w:color="auto"/>
        <w:left w:val="none" w:sz="0" w:space="0" w:color="auto"/>
        <w:bottom w:val="none" w:sz="0" w:space="0" w:color="auto"/>
        <w:right w:val="none" w:sz="0" w:space="0" w:color="auto"/>
      </w:divBdr>
    </w:div>
    <w:div w:id="284043556">
      <w:bodyDiv w:val="1"/>
      <w:marLeft w:val="0"/>
      <w:marRight w:val="0"/>
      <w:marTop w:val="0"/>
      <w:marBottom w:val="0"/>
      <w:divBdr>
        <w:top w:val="none" w:sz="0" w:space="0" w:color="auto"/>
        <w:left w:val="none" w:sz="0" w:space="0" w:color="auto"/>
        <w:bottom w:val="none" w:sz="0" w:space="0" w:color="auto"/>
        <w:right w:val="none" w:sz="0" w:space="0" w:color="auto"/>
      </w:divBdr>
    </w:div>
    <w:div w:id="323703582">
      <w:bodyDiv w:val="1"/>
      <w:marLeft w:val="0"/>
      <w:marRight w:val="0"/>
      <w:marTop w:val="0"/>
      <w:marBottom w:val="0"/>
      <w:divBdr>
        <w:top w:val="none" w:sz="0" w:space="0" w:color="auto"/>
        <w:left w:val="none" w:sz="0" w:space="0" w:color="auto"/>
        <w:bottom w:val="none" w:sz="0" w:space="0" w:color="auto"/>
        <w:right w:val="none" w:sz="0" w:space="0" w:color="auto"/>
      </w:divBdr>
    </w:div>
    <w:div w:id="382485049">
      <w:bodyDiv w:val="1"/>
      <w:marLeft w:val="0"/>
      <w:marRight w:val="0"/>
      <w:marTop w:val="0"/>
      <w:marBottom w:val="0"/>
      <w:divBdr>
        <w:top w:val="none" w:sz="0" w:space="0" w:color="auto"/>
        <w:left w:val="none" w:sz="0" w:space="0" w:color="auto"/>
        <w:bottom w:val="none" w:sz="0" w:space="0" w:color="auto"/>
        <w:right w:val="none" w:sz="0" w:space="0" w:color="auto"/>
      </w:divBdr>
    </w:div>
    <w:div w:id="414474786">
      <w:bodyDiv w:val="1"/>
      <w:marLeft w:val="0"/>
      <w:marRight w:val="0"/>
      <w:marTop w:val="0"/>
      <w:marBottom w:val="0"/>
      <w:divBdr>
        <w:top w:val="none" w:sz="0" w:space="0" w:color="auto"/>
        <w:left w:val="none" w:sz="0" w:space="0" w:color="auto"/>
        <w:bottom w:val="none" w:sz="0" w:space="0" w:color="auto"/>
        <w:right w:val="none" w:sz="0" w:space="0" w:color="auto"/>
      </w:divBdr>
    </w:div>
    <w:div w:id="453869340">
      <w:bodyDiv w:val="1"/>
      <w:marLeft w:val="0"/>
      <w:marRight w:val="0"/>
      <w:marTop w:val="0"/>
      <w:marBottom w:val="0"/>
      <w:divBdr>
        <w:top w:val="none" w:sz="0" w:space="0" w:color="auto"/>
        <w:left w:val="none" w:sz="0" w:space="0" w:color="auto"/>
        <w:bottom w:val="none" w:sz="0" w:space="0" w:color="auto"/>
        <w:right w:val="none" w:sz="0" w:space="0" w:color="auto"/>
      </w:divBdr>
    </w:div>
    <w:div w:id="457575287">
      <w:bodyDiv w:val="1"/>
      <w:marLeft w:val="0"/>
      <w:marRight w:val="0"/>
      <w:marTop w:val="0"/>
      <w:marBottom w:val="0"/>
      <w:divBdr>
        <w:top w:val="none" w:sz="0" w:space="0" w:color="auto"/>
        <w:left w:val="none" w:sz="0" w:space="0" w:color="auto"/>
        <w:bottom w:val="none" w:sz="0" w:space="0" w:color="auto"/>
        <w:right w:val="none" w:sz="0" w:space="0" w:color="auto"/>
      </w:divBdr>
    </w:div>
    <w:div w:id="462697838">
      <w:bodyDiv w:val="1"/>
      <w:marLeft w:val="0"/>
      <w:marRight w:val="0"/>
      <w:marTop w:val="0"/>
      <w:marBottom w:val="0"/>
      <w:divBdr>
        <w:top w:val="none" w:sz="0" w:space="0" w:color="auto"/>
        <w:left w:val="none" w:sz="0" w:space="0" w:color="auto"/>
        <w:bottom w:val="none" w:sz="0" w:space="0" w:color="auto"/>
        <w:right w:val="none" w:sz="0" w:space="0" w:color="auto"/>
      </w:divBdr>
    </w:div>
    <w:div w:id="500968542">
      <w:bodyDiv w:val="1"/>
      <w:marLeft w:val="0"/>
      <w:marRight w:val="0"/>
      <w:marTop w:val="0"/>
      <w:marBottom w:val="0"/>
      <w:divBdr>
        <w:top w:val="none" w:sz="0" w:space="0" w:color="auto"/>
        <w:left w:val="none" w:sz="0" w:space="0" w:color="auto"/>
        <w:bottom w:val="none" w:sz="0" w:space="0" w:color="auto"/>
        <w:right w:val="none" w:sz="0" w:space="0" w:color="auto"/>
      </w:divBdr>
    </w:div>
    <w:div w:id="516697720">
      <w:bodyDiv w:val="1"/>
      <w:marLeft w:val="0"/>
      <w:marRight w:val="0"/>
      <w:marTop w:val="0"/>
      <w:marBottom w:val="0"/>
      <w:divBdr>
        <w:top w:val="none" w:sz="0" w:space="0" w:color="auto"/>
        <w:left w:val="none" w:sz="0" w:space="0" w:color="auto"/>
        <w:bottom w:val="none" w:sz="0" w:space="0" w:color="auto"/>
        <w:right w:val="none" w:sz="0" w:space="0" w:color="auto"/>
      </w:divBdr>
    </w:div>
    <w:div w:id="536478839">
      <w:bodyDiv w:val="1"/>
      <w:marLeft w:val="0"/>
      <w:marRight w:val="0"/>
      <w:marTop w:val="0"/>
      <w:marBottom w:val="0"/>
      <w:divBdr>
        <w:top w:val="none" w:sz="0" w:space="0" w:color="auto"/>
        <w:left w:val="none" w:sz="0" w:space="0" w:color="auto"/>
        <w:bottom w:val="none" w:sz="0" w:space="0" w:color="auto"/>
        <w:right w:val="none" w:sz="0" w:space="0" w:color="auto"/>
      </w:divBdr>
    </w:div>
    <w:div w:id="557978204">
      <w:bodyDiv w:val="1"/>
      <w:marLeft w:val="0"/>
      <w:marRight w:val="0"/>
      <w:marTop w:val="0"/>
      <w:marBottom w:val="0"/>
      <w:divBdr>
        <w:top w:val="none" w:sz="0" w:space="0" w:color="auto"/>
        <w:left w:val="none" w:sz="0" w:space="0" w:color="auto"/>
        <w:bottom w:val="none" w:sz="0" w:space="0" w:color="auto"/>
        <w:right w:val="none" w:sz="0" w:space="0" w:color="auto"/>
      </w:divBdr>
    </w:div>
    <w:div w:id="565070605">
      <w:bodyDiv w:val="1"/>
      <w:marLeft w:val="0"/>
      <w:marRight w:val="0"/>
      <w:marTop w:val="0"/>
      <w:marBottom w:val="0"/>
      <w:divBdr>
        <w:top w:val="none" w:sz="0" w:space="0" w:color="auto"/>
        <w:left w:val="none" w:sz="0" w:space="0" w:color="auto"/>
        <w:bottom w:val="none" w:sz="0" w:space="0" w:color="auto"/>
        <w:right w:val="none" w:sz="0" w:space="0" w:color="auto"/>
      </w:divBdr>
    </w:div>
    <w:div w:id="573441006">
      <w:bodyDiv w:val="1"/>
      <w:marLeft w:val="0"/>
      <w:marRight w:val="0"/>
      <w:marTop w:val="0"/>
      <w:marBottom w:val="0"/>
      <w:divBdr>
        <w:top w:val="none" w:sz="0" w:space="0" w:color="auto"/>
        <w:left w:val="none" w:sz="0" w:space="0" w:color="auto"/>
        <w:bottom w:val="none" w:sz="0" w:space="0" w:color="auto"/>
        <w:right w:val="none" w:sz="0" w:space="0" w:color="auto"/>
      </w:divBdr>
    </w:div>
    <w:div w:id="597106956">
      <w:bodyDiv w:val="1"/>
      <w:marLeft w:val="0"/>
      <w:marRight w:val="0"/>
      <w:marTop w:val="0"/>
      <w:marBottom w:val="0"/>
      <w:divBdr>
        <w:top w:val="none" w:sz="0" w:space="0" w:color="auto"/>
        <w:left w:val="none" w:sz="0" w:space="0" w:color="auto"/>
        <w:bottom w:val="none" w:sz="0" w:space="0" w:color="auto"/>
        <w:right w:val="none" w:sz="0" w:space="0" w:color="auto"/>
      </w:divBdr>
    </w:div>
    <w:div w:id="613168502">
      <w:bodyDiv w:val="1"/>
      <w:marLeft w:val="0"/>
      <w:marRight w:val="0"/>
      <w:marTop w:val="0"/>
      <w:marBottom w:val="0"/>
      <w:divBdr>
        <w:top w:val="none" w:sz="0" w:space="0" w:color="auto"/>
        <w:left w:val="none" w:sz="0" w:space="0" w:color="auto"/>
        <w:bottom w:val="none" w:sz="0" w:space="0" w:color="auto"/>
        <w:right w:val="none" w:sz="0" w:space="0" w:color="auto"/>
      </w:divBdr>
    </w:div>
    <w:div w:id="614216528">
      <w:bodyDiv w:val="1"/>
      <w:marLeft w:val="0"/>
      <w:marRight w:val="0"/>
      <w:marTop w:val="0"/>
      <w:marBottom w:val="0"/>
      <w:divBdr>
        <w:top w:val="none" w:sz="0" w:space="0" w:color="auto"/>
        <w:left w:val="none" w:sz="0" w:space="0" w:color="auto"/>
        <w:bottom w:val="none" w:sz="0" w:space="0" w:color="auto"/>
        <w:right w:val="none" w:sz="0" w:space="0" w:color="auto"/>
      </w:divBdr>
    </w:div>
    <w:div w:id="667293305">
      <w:bodyDiv w:val="1"/>
      <w:marLeft w:val="0"/>
      <w:marRight w:val="0"/>
      <w:marTop w:val="0"/>
      <w:marBottom w:val="0"/>
      <w:divBdr>
        <w:top w:val="none" w:sz="0" w:space="0" w:color="auto"/>
        <w:left w:val="none" w:sz="0" w:space="0" w:color="auto"/>
        <w:bottom w:val="none" w:sz="0" w:space="0" w:color="auto"/>
        <w:right w:val="none" w:sz="0" w:space="0" w:color="auto"/>
      </w:divBdr>
    </w:div>
    <w:div w:id="802235317">
      <w:bodyDiv w:val="1"/>
      <w:marLeft w:val="0"/>
      <w:marRight w:val="0"/>
      <w:marTop w:val="0"/>
      <w:marBottom w:val="0"/>
      <w:divBdr>
        <w:top w:val="none" w:sz="0" w:space="0" w:color="auto"/>
        <w:left w:val="none" w:sz="0" w:space="0" w:color="auto"/>
        <w:bottom w:val="none" w:sz="0" w:space="0" w:color="auto"/>
        <w:right w:val="none" w:sz="0" w:space="0" w:color="auto"/>
      </w:divBdr>
    </w:div>
    <w:div w:id="812718583">
      <w:bodyDiv w:val="1"/>
      <w:marLeft w:val="0"/>
      <w:marRight w:val="0"/>
      <w:marTop w:val="0"/>
      <w:marBottom w:val="0"/>
      <w:divBdr>
        <w:top w:val="none" w:sz="0" w:space="0" w:color="auto"/>
        <w:left w:val="none" w:sz="0" w:space="0" w:color="auto"/>
        <w:bottom w:val="none" w:sz="0" w:space="0" w:color="auto"/>
        <w:right w:val="none" w:sz="0" w:space="0" w:color="auto"/>
      </w:divBdr>
    </w:div>
    <w:div w:id="819079369">
      <w:bodyDiv w:val="1"/>
      <w:marLeft w:val="0"/>
      <w:marRight w:val="0"/>
      <w:marTop w:val="0"/>
      <w:marBottom w:val="0"/>
      <w:divBdr>
        <w:top w:val="none" w:sz="0" w:space="0" w:color="auto"/>
        <w:left w:val="none" w:sz="0" w:space="0" w:color="auto"/>
        <w:bottom w:val="none" w:sz="0" w:space="0" w:color="auto"/>
        <w:right w:val="none" w:sz="0" w:space="0" w:color="auto"/>
      </w:divBdr>
    </w:div>
    <w:div w:id="822350487">
      <w:bodyDiv w:val="1"/>
      <w:marLeft w:val="0"/>
      <w:marRight w:val="0"/>
      <w:marTop w:val="0"/>
      <w:marBottom w:val="0"/>
      <w:divBdr>
        <w:top w:val="none" w:sz="0" w:space="0" w:color="auto"/>
        <w:left w:val="none" w:sz="0" w:space="0" w:color="auto"/>
        <w:bottom w:val="none" w:sz="0" w:space="0" w:color="auto"/>
        <w:right w:val="none" w:sz="0" w:space="0" w:color="auto"/>
      </w:divBdr>
    </w:div>
    <w:div w:id="840510261">
      <w:bodyDiv w:val="1"/>
      <w:marLeft w:val="0"/>
      <w:marRight w:val="0"/>
      <w:marTop w:val="0"/>
      <w:marBottom w:val="0"/>
      <w:divBdr>
        <w:top w:val="none" w:sz="0" w:space="0" w:color="auto"/>
        <w:left w:val="none" w:sz="0" w:space="0" w:color="auto"/>
        <w:bottom w:val="none" w:sz="0" w:space="0" w:color="auto"/>
        <w:right w:val="none" w:sz="0" w:space="0" w:color="auto"/>
      </w:divBdr>
    </w:div>
    <w:div w:id="853569913">
      <w:bodyDiv w:val="1"/>
      <w:marLeft w:val="0"/>
      <w:marRight w:val="0"/>
      <w:marTop w:val="0"/>
      <w:marBottom w:val="0"/>
      <w:divBdr>
        <w:top w:val="none" w:sz="0" w:space="0" w:color="auto"/>
        <w:left w:val="none" w:sz="0" w:space="0" w:color="auto"/>
        <w:bottom w:val="none" w:sz="0" w:space="0" w:color="auto"/>
        <w:right w:val="none" w:sz="0" w:space="0" w:color="auto"/>
      </w:divBdr>
    </w:div>
    <w:div w:id="865755541">
      <w:bodyDiv w:val="1"/>
      <w:marLeft w:val="0"/>
      <w:marRight w:val="0"/>
      <w:marTop w:val="0"/>
      <w:marBottom w:val="0"/>
      <w:divBdr>
        <w:top w:val="none" w:sz="0" w:space="0" w:color="auto"/>
        <w:left w:val="none" w:sz="0" w:space="0" w:color="auto"/>
        <w:bottom w:val="none" w:sz="0" w:space="0" w:color="auto"/>
        <w:right w:val="none" w:sz="0" w:space="0" w:color="auto"/>
      </w:divBdr>
    </w:div>
    <w:div w:id="868878021">
      <w:bodyDiv w:val="1"/>
      <w:marLeft w:val="0"/>
      <w:marRight w:val="0"/>
      <w:marTop w:val="0"/>
      <w:marBottom w:val="0"/>
      <w:divBdr>
        <w:top w:val="none" w:sz="0" w:space="0" w:color="auto"/>
        <w:left w:val="none" w:sz="0" w:space="0" w:color="auto"/>
        <w:bottom w:val="none" w:sz="0" w:space="0" w:color="auto"/>
        <w:right w:val="none" w:sz="0" w:space="0" w:color="auto"/>
      </w:divBdr>
    </w:div>
    <w:div w:id="884831835">
      <w:bodyDiv w:val="1"/>
      <w:marLeft w:val="0"/>
      <w:marRight w:val="0"/>
      <w:marTop w:val="0"/>
      <w:marBottom w:val="0"/>
      <w:divBdr>
        <w:top w:val="none" w:sz="0" w:space="0" w:color="auto"/>
        <w:left w:val="none" w:sz="0" w:space="0" w:color="auto"/>
        <w:bottom w:val="none" w:sz="0" w:space="0" w:color="auto"/>
        <w:right w:val="none" w:sz="0" w:space="0" w:color="auto"/>
      </w:divBdr>
    </w:div>
    <w:div w:id="886800107">
      <w:bodyDiv w:val="1"/>
      <w:marLeft w:val="0"/>
      <w:marRight w:val="0"/>
      <w:marTop w:val="0"/>
      <w:marBottom w:val="0"/>
      <w:divBdr>
        <w:top w:val="none" w:sz="0" w:space="0" w:color="auto"/>
        <w:left w:val="none" w:sz="0" w:space="0" w:color="auto"/>
        <w:bottom w:val="none" w:sz="0" w:space="0" w:color="auto"/>
        <w:right w:val="none" w:sz="0" w:space="0" w:color="auto"/>
      </w:divBdr>
    </w:div>
    <w:div w:id="900334339">
      <w:bodyDiv w:val="1"/>
      <w:marLeft w:val="0"/>
      <w:marRight w:val="0"/>
      <w:marTop w:val="0"/>
      <w:marBottom w:val="0"/>
      <w:divBdr>
        <w:top w:val="none" w:sz="0" w:space="0" w:color="auto"/>
        <w:left w:val="none" w:sz="0" w:space="0" w:color="auto"/>
        <w:bottom w:val="none" w:sz="0" w:space="0" w:color="auto"/>
        <w:right w:val="none" w:sz="0" w:space="0" w:color="auto"/>
      </w:divBdr>
    </w:div>
    <w:div w:id="901067321">
      <w:bodyDiv w:val="1"/>
      <w:marLeft w:val="0"/>
      <w:marRight w:val="0"/>
      <w:marTop w:val="0"/>
      <w:marBottom w:val="0"/>
      <w:divBdr>
        <w:top w:val="none" w:sz="0" w:space="0" w:color="auto"/>
        <w:left w:val="none" w:sz="0" w:space="0" w:color="auto"/>
        <w:bottom w:val="none" w:sz="0" w:space="0" w:color="auto"/>
        <w:right w:val="none" w:sz="0" w:space="0" w:color="auto"/>
      </w:divBdr>
    </w:div>
    <w:div w:id="914703286">
      <w:bodyDiv w:val="1"/>
      <w:marLeft w:val="0"/>
      <w:marRight w:val="0"/>
      <w:marTop w:val="0"/>
      <w:marBottom w:val="0"/>
      <w:divBdr>
        <w:top w:val="none" w:sz="0" w:space="0" w:color="auto"/>
        <w:left w:val="none" w:sz="0" w:space="0" w:color="auto"/>
        <w:bottom w:val="none" w:sz="0" w:space="0" w:color="auto"/>
        <w:right w:val="none" w:sz="0" w:space="0" w:color="auto"/>
      </w:divBdr>
    </w:div>
    <w:div w:id="963728037">
      <w:bodyDiv w:val="1"/>
      <w:marLeft w:val="0"/>
      <w:marRight w:val="0"/>
      <w:marTop w:val="0"/>
      <w:marBottom w:val="0"/>
      <w:divBdr>
        <w:top w:val="none" w:sz="0" w:space="0" w:color="auto"/>
        <w:left w:val="none" w:sz="0" w:space="0" w:color="auto"/>
        <w:bottom w:val="none" w:sz="0" w:space="0" w:color="auto"/>
        <w:right w:val="none" w:sz="0" w:space="0" w:color="auto"/>
      </w:divBdr>
    </w:div>
    <w:div w:id="970941423">
      <w:bodyDiv w:val="1"/>
      <w:marLeft w:val="0"/>
      <w:marRight w:val="0"/>
      <w:marTop w:val="0"/>
      <w:marBottom w:val="0"/>
      <w:divBdr>
        <w:top w:val="none" w:sz="0" w:space="0" w:color="auto"/>
        <w:left w:val="none" w:sz="0" w:space="0" w:color="auto"/>
        <w:bottom w:val="none" w:sz="0" w:space="0" w:color="auto"/>
        <w:right w:val="none" w:sz="0" w:space="0" w:color="auto"/>
      </w:divBdr>
    </w:div>
    <w:div w:id="995063572">
      <w:bodyDiv w:val="1"/>
      <w:marLeft w:val="0"/>
      <w:marRight w:val="0"/>
      <w:marTop w:val="0"/>
      <w:marBottom w:val="0"/>
      <w:divBdr>
        <w:top w:val="none" w:sz="0" w:space="0" w:color="auto"/>
        <w:left w:val="none" w:sz="0" w:space="0" w:color="auto"/>
        <w:bottom w:val="none" w:sz="0" w:space="0" w:color="auto"/>
        <w:right w:val="none" w:sz="0" w:space="0" w:color="auto"/>
      </w:divBdr>
    </w:div>
    <w:div w:id="997272095">
      <w:bodyDiv w:val="1"/>
      <w:marLeft w:val="0"/>
      <w:marRight w:val="0"/>
      <w:marTop w:val="0"/>
      <w:marBottom w:val="0"/>
      <w:divBdr>
        <w:top w:val="none" w:sz="0" w:space="0" w:color="auto"/>
        <w:left w:val="none" w:sz="0" w:space="0" w:color="auto"/>
        <w:bottom w:val="none" w:sz="0" w:space="0" w:color="auto"/>
        <w:right w:val="none" w:sz="0" w:space="0" w:color="auto"/>
      </w:divBdr>
    </w:div>
    <w:div w:id="1022130699">
      <w:bodyDiv w:val="1"/>
      <w:marLeft w:val="0"/>
      <w:marRight w:val="0"/>
      <w:marTop w:val="0"/>
      <w:marBottom w:val="0"/>
      <w:divBdr>
        <w:top w:val="none" w:sz="0" w:space="0" w:color="auto"/>
        <w:left w:val="none" w:sz="0" w:space="0" w:color="auto"/>
        <w:bottom w:val="none" w:sz="0" w:space="0" w:color="auto"/>
        <w:right w:val="none" w:sz="0" w:space="0" w:color="auto"/>
      </w:divBdr>
    </w:div>
    <w:div w:id="1032414846">
      <w:bodyDiv w:val="1"/>
      <w:marLeft w:val="0"/>
      <w:marRight w:val="0"/>
      <w:marTop w:val="0"/>
      <w:marBottom w:val="0"/>
      <w:divBdr>
        <w:top w:val="none" w:sz="0" w:space="0" w:color="auto"/>
        <w:left w:val="none" w:sz="0" w:space="0" w:color="auto"/>
        <w:bottom w:val="none" w:sz="0" w:space="0" w:color="auto"/>
        <w:right w:val="none" w:sz="0" w:space="0" w:color="auto"/>
      </w:divBdr>
    </w:div>
    <w:div w:id="1101022883">
      <w:bodyDiv w:val="1"/>
      <w:marLeft w:val="0"/>
      <w:marRight w:val="0"/>
      <w:marTop w:val="0"/>
      <w:marBottom w:val="0"/>
      <w:divBdr>
        <w:top w:val="none" w:sz="0" w:space="0" w:color="auto"/>
        <w:left w:val="none" w:sz="0" w:space="0" w:color="auto"/>
        <w:bottom w:val="none" w:sz="0" w:space="0" w:color="auto"/>
        <w:right w:val="none" w:sz="0" w:space="0" w:color="auto"/>
      </w:divBdr>
    </w:div>
    <w:div w:id="1109736054">
      <w:bodyDiv w:val="1"/>
      <w:marLeft w:val="0"/>
      <w:marRight w:val="0"/>
      <w:marTop w:val="0"/>
      <w:marBottom w:val="0"/>
      <w:divBdr>
        <w:top w:val="none" w:sz="0" w:space="0" w:color="auto"/>
        <w:left w:val="none" w:sz="0" w:space="0" w:color="auto"/>
        <w:bottom w:val="none" w:sz="0" w:space="0" w:color="auto"/>
        <w:right w:val="none" w:sz="0" w:space="0" w:color="auto"/>
      </w:divBdr>
      <w:divsChild>
        <w:div w:id="1500926284">
          <w:marLeft w:val="0"/>
          <w:marRight w:val="0"/>
          <w:marTop w:val="0"/>
          <w:marBottom w:val="0"/>
          <w:divBdr>
            <w:top w:val="none" w:sz="0" w:space="0" w:color="auto"/>
            <w:left w:val="none" w:sz="0" w:space="0" w:color="auto"/>
            <w:bottom w:val="none" w:sz="0" w:space="0" w:color="auto"/>
            <w:right w:val="none" w:sz="0" w:space="0" w:color="auto"/>
          </w:divBdr>
          <w:divsChild>
            <w:div w:id="1169518895">
              <w:marLeft w:val="0"/>
              <w:marRight w:val="0"/>
              <w:marTop w:val="0"/>
              <w:marBottom w:val="0"/>
              <w:divBdr>
                <w:top w:val="none" w:sz="0" w:space="0" w:color="auto"/>
                <w:left w:val="none" w:sz="0" w:space="0" w:color="auto"/>
                <w:bottom w:val="none" w:sz="0" w:space="0" w:color="auto"/>
                <w:right w:val="none" w:sz="0" w:space="0" w:color="auto"/>
              </w:divBdr>
              <w:divsChild>
                <w:div w:id="40057930">
                  <w:marLeft w:val="0"/>
                  <w:marRight w:val="0"/>
                  <w:marTop w:val="0"/>
                  <w:marBottom w:val="0"/>
                  <w:divBdr>
                    <w:top w:val="none" w:sz="0" w:space="0" w:color="auto"/>
                    <w:left w:val="none" w:sz="0" w:space="0" w:color="auto"/>
                    <w:bottom w:val="none" w:sz="0" w:space="0" w:color="auto"/>
                    <w:right w:val="none" w:sz="0" w:space="0" w:color="auto"/>
                  </w:divBdr>
                  <w:divsChild>
                    <w:div w:id="1448812042">
                      <w:marLeft w:val="0"/>
                      <w:marRight w:val="0"/>
                      <w:marTop w:val="0"/>
                      <w:marBottom w:val="0"/>
                      <w:divBdr>
                        <w:top w:val="none" w:sz="0" w:space="0" w:color="auto"/>
                        <w:left w:val="none" w:sz="0" w:space="0" w:color="auto"/>
                        <w:bottom w:val="none" w:sz="0" w:space="0" w:color="auto"/>
                        <w:right w:val="none" w:sz="0" w:space="0" w:color="auto"/>
                      </w:divBdr>
                      <w:divsChild>
                        <w:div w:id="465660096">
                          <w:marLeft w:val="0"/>
                          <w:marRight w:val="0"/>
                          <w:marTop w:val="0"/>
                          <w:marBottom w:val="0"/>
                          <w:divBdr>
                            <w:top w:val="none" w:sz="0" w:space="0" w:color="auto"/>
                            <w:left w:val="none" w:sz="0" w:space="0" w:color="auto"/>
                            <w:bottom w:val="none" w:sz="0" w:space="0" w:color="auto"/>
                            <w:right w:val="none" w:sz="0" w:space="0" w:color="auto"/>
                          </w:divBdr>
                          <w:divsChild>
                            <w:div w:id="909005009">
                              <w:marLeft w:val="0"/>
                              <w:marRight w:val="0"/>
                              <w:marTop w:val="0"/>
                              <w:marBottom w:val="0"/>
                              <w:divBdr>
                                <w:top w:val="none" w:sz="0" w:space="0" w:color="auto"/>
                                <w:left w:val="none" w:sz="0" w:space="0" w:color="auto"/>
                                <w:bottom w:val="none" w:sz="0" w:space="0" w:color="auto"/>
                                <w:right w:val="none" w:sz="0" w:space="0" w:color="auto"/>
                              </w:divBdr>
                              <w:divsChild>
                                <w:div w:id="539438240">
                                  <w:marLeft w:val="0"/>
                                  <w:marRight w:val="0"/>
                                  <w:marTop w:val="0"/>
                                  <w:marBottom w:val="0"/>
                                  <w:divBdr>
                                    <w:top w:val="none" w:sz="0" w:space="0" w:color="auto"/>
                                    <w:left w:val="none" w:sz="0" w:space="0" w:color="auto"/>
                                    <w:bottom w:val="none" w:sz="0" w:space="0" w:color="auto"/>
                                    <w:right w:val="none" w:sz="0" w:space="0" w:color="auto"/>
                                  </w:divBdr>
                                  <w:divsChild>
                                    <w:div w:id="2106462122">
                                      <w:marLeft w:val="0"/>
                                      <w:marRight w:val="0"/>
                                      <w:marTop w:val="0"/>
                                      <w:marBottom w:val="0"/>
                                      <w:divBdr>
                                        <w:top w:val="none" w:sz="0" w:space="0" w:color="auto"/>
                                        <w:left w:val="none" w:sz="0" w:space="0" w:color="auto"/>
                                        <w:bottom w:val="none" w:sz="0" w:space="0" w:color="auto"/>
                                        <w:right w:val="none" w:sz="0" w:space="0" w:color="auto"/>
                                      </w:divBdr>
                                      <w:divsChild>
                                        <w:div w:id="2135176378">
                                          <w:marLeft w:val="0"/>
                                          <w:marRight w:val="0"/>
                                          <w:marTop w:val="0"/>
                                          <w:marBottom w:val="0"/>
                                          <w:divBdr>
                                            <w:top w:val="none" w:sz="0" w:space="0" w:color="auto"/>
                                            <w:left w:val="none" w:sz="0" w:space="0" w:color="auto"/>
                                            <w:bottom w:val="none" w:sz="0" w:space="0" w:color="auto"/>
                                            <w:right w:val="none" w:sz="0" w:space="0" w:color="auto"/>
                                          </w:divBdr>
                                          <w:divsChild>
                                            <w:div w:id="264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915045">
      <w:bodyDiv w:val="1"/>
      <w:marLeft w:val="0"/>
      <w:marRight w:val="0"/>
      <w:marTop w:val="0"/>
      <w:marBottom w:val="0"/>
      <w:divBdr>
        <w:top w:val="none" w:sz="0" w:space="0" w:color="auto"/>
        <w:left w:val="none" w:sz="0" w:space="0" w:color="auto"/>
        <w:bottom w:val="none" w:sz="0" w:space="0" w:color="auto"/>
        <w:right w:val="none" w:sz="0" w:space="0" w:color="auto"/>
      </w:divBdr>
    </w:div>
    <w:div w:id="1162938167">
      <w:bodyDiv w:val="1"/>
      <w:marLeft w:val="0"/>
      <w:marRight w:val="0"/>
      <w:marTop w:val="0"/>
      <w:marBottom w:val="0"/>
      <w:divBdr>
        <w:top w:val="none" w:sz="0" w:space="0" w:color="auto"/>
        <w:left w:val="none" w:sz="0" w:space="0" w:color="auto"/>
        <w:bottom w:val="none" w:sz="0" w:space="0" w:color="auto"/>
        <w:right w:val="none" w:sz="0" w:space="0" w:color="auto"/>
      </w:divBdr>
    </w:div>
    <w:div w:id="1177620458">
      <w:bodyDiv w:val="1"/>
      <w:marLeft w:val="0"/>
      <w:marRight w:val="0"/>
      <w:marTop w:val="0"/>
      <w:marBottom w:val="0"/>
      <w:divBdr>
        <w:top w:val="none" w:sz="0" w:space="0" w:color="auto"/>
        <w:left w:val="none" w:sz="0" w:space="0" w:color="auto"/>
        <w:bottom w:val="none" w:sz="0" w:space="0" w:color="auto"/>
        <w:right w:val="none" w:sz="0" w:space="0" w:color="auto"/>
      </w:divBdr>
    </w:div>
    <w:div w:id="1183545328">
      <w:bodyDiv w:val="1"/>
      <w:marLeft w:val="0"/>
      <w:marRight w:val="0"/>
      <w:marTop w:val="0"/>
      <w:marBottom w:val="0"/>
      <w:divBdr>
        <w:top w:val="none" w:sz="0" w:space="0" w:color="auto"/>
        <w:left w:val="none" w:sz="0" w:space="0" w:color="auto"/>
        <w:bottom w:val="none" w:sz="0" w:space="0" w:color="auto"/>
        <w:right w:val="none" w:sz="0" w:space="0" w:color="auto"/>
      </w:divBdr>
    </w:div>
    <w:div w:id="1187869878">
      <w:bodyDiv w:val="1"/>
      <w:marLeft w:val="0"/>
      <w:marRight w:val="0"/>
      <w:marTop w:val="0"/>
      <w:marBottom w:val="0"/>
      <w:divBdr>
        <w:top w:val="none" w:sz="0" w:space="0" w:color="auto"/>
        <w:left w:val="none" w:sz="0" w:space="0" w:color="auto"/>
        <w:bottom w:val="none" w:sz="0" w:space="0" w:color="auto"/>
        <w:right w:val="none" w:sz="0" w:space="0" w:color="auto"/>
      </w:divBdr>
    </w:div>
    <w:div w:id="1225412760">
      <w:bodyDiv w:val="1"/>
      <w:marLeft w:val="0"/>
      <w:marRight w:val="0"/>
      <w:marTop w:val="0"/>
      <w:marBottom w:val="0"/>
      <w:divBdr>
        <w:top w:val="none" w:sz="0" w:space="0" w:color="auto"/>
        <w:left w:val="none" w:sz="0" w:space="0" w:color="auto"/>
        <w:bottom w:val="none" w:sz="0" w:space="0" w:color="auto"/>
        <w:right w:val="none" w:sz="0" w:space="0" w:color="auto"/>
      </w:divBdr>
    </w:div>
    <w:div w:id="1225720987">
      <w:bodyDiv w:val="1"/>
      <w:marLeft w:val="0"/>
      <w:marRight w:val="0"/>
      <w:marTop w:val="0"/>
      <w:marBottom w:val="0"/>
      <w:divBdr>
        <w:top w:val="none" w:sz="0" w:space="0" w:color="auto"/>
        <w:left w:val="none" w:sz="0" w:space="0" w:color="auto"/>
        <w:bottom w:val="none" w:sz="0" w:space="0" w:color="auto"/>
        <w:right w:val="none" w:sz="0" w:space="0" w:color="auto"/>
      </w:divBdr>
    </w:div>
    <w:div w:id="1226136501">
      <w:bodyDiv w:val="1"/>
      <w:marLeft w:val="0"/>
      <w:marRight w:val="0"/>
      <w:marTop w:val="0"/>
      <w:marBottom w:val="0"/>
      <w:divBdr>
        <w:top w:val="none" w:sz="0" w:space="0" w:color="auto"/>
        <w:left w:val="none" w:sz="0" w:space="0" w:color="auto"/>
        <w:bottom w:val="none" w:sz="0" w:space="0" w:color="auto"/>
        <w:right w:val="none" w:sz="0" w:space="0" w:color="auto"/>
      </w:divBdr>
    </w:div>
    <w:div w:id="1228607281">
      <w:bodyDiv w:val="1"/>
      <w:marLeft w:val="0"/>
      <w:marRight w:val="0"/>
      <w:marTop w:val="0"/>
      <w:marBottom w:val="0"/>
      <w:divBdr>
        <w:top w:val="none" w:sz="0" w:space="0" w:color="auto"/>
        <w:left w:val="none" w:sz="0" w:space="0" w:color="auto"/>
        <w:bottom w:val="none" w:sz="0" w:space="0" w:color="auto"/>
        <w:right w:val="none" w:sz="0" w:space="0" w:color="auto"/>
      </w:divBdr>
    </w:div>
    <w:div w:id="1236281913">
      <w:bodyDiv w:val="1"/>
      <w:marLeft w:val="0"/>
      <w:marRight w:val="0"/>
      <w:marTop w:val="0"/>
      <w:marBottom w:val="0"/>
      <w:divBdr>
        <w:top w:val="none" w:sz="0" w:space="0" w:color="auto"/>
        <w:left w:val="none" w:sz="0" w:space="0" w:color="auto"/>
        <w:bottom w:val="none" w:sz="0" w:space="0" w:color="auto"/>
        <w:right w:val="none" w:sz="0" w:space="0" w:color="auto"/>
      </w:divBdr>
    </w:div>
    <w:div w:id="1266959449">
      <w:bodyDiv w:val="1"/>
      <w:marLeft w:val="0"/>
      <w:marRight w:val="0"/>
      <w:marTop w:val="0"/>
      <w:marBottom w:val="0"/>
      <w:divBdr>
        <w:top w:val="none" w:sz="0" w:space="0" w:color="auto"/>
        <w:left w:val="none" w:sz="0" w:space="0" w:color="auto"/>
        <w:bottom w:val="none" w:sz="0" w:space="0" w:color="auto"/>
        <w:right w:val="none" w:sz="0" w:space="0" w:color="auto"/>
      </w:divBdr>
    </w:div>
    <w:div w:id="1334452852">
      <w:bodyDiv w:val="1"/>
      <w:marLeft w:val="0"/>
      <w:marRight w:val="0"/>
      <w:marTop w:val="0"/>
      <w:marBottom w:val="0"/>
      <w:divBdr>
        <w:top w:val="none" w:sz="0" w:space="0" w:color="auto"/>
        <w:left w:val="none" w:sz="0" w:space="0" w:color="auto"/>
        <w:bottom w:val="none" w:sz="0" w:space="0" w:color="auto"/>
        <w:right w:val="none" w:sz="0" w:space="0" w:color="auto"/>
      </w:divBdr>
    </w:div>
    <w:div w:id="1420250087">
      <w:bodyDiv w:val="1"/>
      <w:marLeft w:val="0"/>
      <w:marRight w:val="0"/>
      <w:marTop w:val="0"/>
      <w:marBottom w:val="0"/>
      <w:divBdr>
        <w:top w:val="none" w:sz="0" w:space="0" w:color="auto"/>
        <w:left w:val="none" w:sz="0" w:space="0" w:color="auto"/>
        <w:bottom w:val="none" w:sz="0" w:space="0" w:color="auto"/>
        <w:right w:val="none" w:sz="0" w:space="0" w:color="auto"/>
      </w:divBdr>
    </w:div>
    <w:div w:id="1429302925">
      <w:bodyDiv w:val="1"/>
      <w:marLeft w:val="0"/>
      <w:marRight w:val="0"/>
      <w:marTop w:val="0"/>
      <w:marBottom w:val="0"/>
      <w:divBdr>
        <w:top w:val="none" w:sz="0" w:space="0" w:color="auto"/>
        <w:left w:val="none" w:sz="0" w:space="0" w:color="auto"/>
        <w:bottom w:val="none" w:sz="0" w:space="0" w:color="auto"/>
        <w:right w:val="none" w:sz="0" w:space="0" w:color="auto"/>
      </w:divBdr>
    </w:div>
    <w:div w:id="1434664839">
      <w:bodyDiv w:val="1"/>
      <w:marLeft w:val="0"/>
      <w:marRight w:val="0"/>
      <w:marTop w:val="0"/>
      <w:marBottom w:val="0"/>
      <w:divBdr>
        <w:top w:val="none" w:sz="0" w:space="0" w:color="auto"/>
        <w:left w:val="none" w:sz="0" w:space="0" w:color="auto"/>
        <w:bottom w:val="none" w:sz="0" w:space="0" w:color="auto"/>
        <w:right w:val="none" w:sz="0" w:space="0" w:color="auto"/>
      </w:divBdr>
    </w:div>
    <w:div w:id="1444182343">
      <w:bodyDiv w:val="1"/>
      <w:marLeft w:val="0"/>
      <w:marRight w:val="0"/>
      <w:marTop w:val="0"/>
      <w:marBottom w:val="0"/>
      <w:divBdr>
        <w:top w:val="none" w:sz="0" w:space="0" w:color="auto"/>
        <w:left w:val="none" w:sz="0" w:space="0" w:color="auto"/>
        <w:bottom w:val="none" w:sz="0" w:space="0" w:color="auto"/>
        <w:right w:val="none" w:sz="0" w:space="0" w:color="auto"/>
      </w:divBdr>
    </w:div>
    <w:div w:id="1476609023">
      <w:bodyDiv w:val="1"/>
      <w:marLeft w:val="0"/>
      <w:marRight w:val="0"/>
      <w:marTop w:val="0"/>
      <w:marBottom w:val="0"/>
      <w:divBdr>
        <w:top w:val="none" w:sz="0" w:space="0" w:color="auto"/>
        <w:left w:val="none" w:sz="0" w:space="0" w:color="auto"/>
        <w:bottom w:val="none" w:sz="0" w:space="0" w:color="auto"/>
        <w:right w:val="none" w:sz="0" w:space="0" w:color="auto"/>
      </w:divBdr>
    </w:div>
    <w:div w:id="1514421847">
      <w:bodyDiv w:val="1"/>
      <w:marLeft w:val="0"/>
      <w:marRight w:val="0"/>
      <w:marTop w:val="0"/>
      <w:marBottom w:val="0"/>
      <w:divBdr>
        <w:top w:val="none" w:sz="0" w:space="0" w:color="auto"/>
        <w:left w:val="none" w:sz="0" w:space="0" w:color="auto"/>
        <w:bottom w:val="none" w:sz="0" w:space="0" w:color="auto"/>
        <w:right w:val="none" w:sz="0" w:space="0" w:color="auto"/>
      </w:divBdr>
    </w:div>
    <w:div w:id="1514610119">
      <w:bodyDiv w:val="1"/>
      <w:marLeft w:val="0"/>
      <w:marRight w:val="0"/>
      <w:marTop w:val="0"/>
      <w:marBottom w:val="0"/>
      <w:divBdr>
        <w:top w:val="none" w:sz="0" w:space="0" w:color="auto"/>
        <w:left w:val="none" w:sz="0" w:space="0" w:color="auto"/>
        <w:bottom w:val="none" w:sz="0" w:space="0" w:color="auto"/>
        <w:right w:val="none" w:sz="0" w:space="0" w:color="auto"/>
      </w:divBdr>
    </w:div>
    <w:div w:id="1520317779">
      <w:bodyDiv w:val="1"/>
      <w:marLeft w:val="0"/>
      <w:marRight w:val="0"/>
      <w:marTop w:val="0"/>
      <w:marBottom w:val="0"/>
      <w:divBdr>
        <w:top w:val="none" w:sz="0" w:space="0" w:color="auto"/>
        <w:left w:val="none" w:sz="0" w:space="0" w:color="auto"/>
        <w:bottom w:val="none" w:sz="0" w:space="0" w:color="auto"/>
        <w:right w:val="none" w:sz="0" w:space="0" w:color="auto"/>
      </w:divBdr>
    </w:div>
    <w:div w:id="1547334231">
      <w:bodyDiv w:val="1"/>
      <w:marLeft w:val="0"/>
      <w:marRight w:val="0"/>
      <w:marTop w:val="0"/>
      <w:marBottom w:val="0"/>
      <w:divBdr>
        <w:top w:val="none" w:sz="0" w:space="0" w:color="auto"/>
        <w:left w:val="none" w:sz="0" w:space="0" w:color="auto"/>
        <w:bottom w:val="none" w:sz="0" w:space="0" w:color="auto"/>
        <w:right w:val="none" w:sz="0" w:space="0" w:color="auto"/>
      </w:divBdr>
    </w:div>
    <w:div w:id="1581402883">
      <w:bodyDiv w:val="1"/>
      <w:marLeft w:val="0"/>
      <w:marRight w:val="0"/>
      <w:marTop w:val="0"/>
      <w:marBottom w:val="0"/>
      <w:divBdr>
        <w:top w:val="none" w:sz="0" w:space="0" w:color="auto"/>
        <w:left w:val="none" w:sz="0" w:space="0" w:color="auto"/>
        <w:bottom w:val="none" w:sz="0" w:space="0" w:color="auto"/>
        <w:right w:val="none" w:sz="0" w:space="0" w:color="auto"/>
      </w:divBdr>
    </w:div>
    <w:div w:id="1590195593">
      <w:bodyDiv w:val="1"/>
      <w:marLeft w:val="0"/>
      <w:marRight w:val="0"/>
      <w:marTop w:val="0"/>
      <w:marBottom w:val="0"/>
      <w:divBdr>
        <w:top w:val="none" w:sz="0" w:space="0" w:color="auto"/>
        <w:left w:val="none" w:sz="0" w:space="0" w:color="auto"/>
        <w:bottom w:val="none" w:sz="0" w:space="0" w:color="auto"/>
        <w:right w:val="none" w:sz="0" w:space="0" w:color="auto"/>
      </w:divBdr>
    </w:div>
    <w:div w:id="1591041131">
      <w:bodyDiv w:val="1"/>
      <w:marLeft w:val="0"/>
      <w:marRight w:val="0"/>
      <w:marTop w:val="0"/>
      <w:marBottom w:val="0"/>
      <w:divBdr>
        <w:top w:val="none" w:sz="0" w:space="0" w:color="auto"/>
        <w:left w:val="none" w:sz="0" w:space="0" w:color="auto"/>
        <w:bottom w:val="none" w:sz="0" w:space="0" w:color="auto"/>
        <w:right w:val="none" w:sz="0" w:space="0" w:color="auto"/>
      </w:divBdr>
    </w:div>
    <w:div w:id="1598489505">
      <w:bodyDiv w:val="1"/>
      <w:marLeft w:val="0"/>
      <w:marRight w:val="0"/>
      <w:marTop w:val="0"/>
      <w:marBottom w:val="0"/>
      <w:divBdr>
        <w:top w:val="none" w:sz="0" w:space="0" w:color="auto"/>
        <w:left w:val="none" w:sz="0" w:space="0" w:color="auto"/>
        <w:bottom w:val="none" w:sz="0" w:space="0" w:color="auto"/>
        <w:right w:val="none" w:sz="0" w:space="0" w:color="auto"/>
      </w:divBdr>
    </w:div>
    <w:div w:id="1622882824">
      <w:bodyDiv w:val="1"/>
      <w:marLeft w:val="0"/>
      <w:marRight w:val="0"/>
      <w:marTop w:val="0"/>
      <w:marBottom w:val="0"/>
      <w:divBdr>
        <w:top w:val="none" w:sz="0" w:space="0" w:color="auto"/>
        <w:left w:val="none" w:sz="0" w:space="0" w:color="auto"/>
        <w:bottom w:val="none" w:sz="0" w:space="0" w:color="auto"/>
        <w:right w:val="none" w:sz="0" w:space="0" w:color="auto"/>
      </w:divBdr>
    </w:div>
    <w:div w:id="1636175742">
      <w:bodyDiv w:val="1"/>
      <w:marLeft w:val="0"/>
      <w:marRight w:val="0"/>
      <w:marTop w:val="0"/>
      <w:marBottom w:val="0"/>
      <w:divBdr>
        <w:top w:val="none" w:sz="0" w:space="0" w:color="auto"/>
        <w:left w:val="none" w:sz="0" w:space="0" w:color="auto"/>
        <w:bottom w:val="none" w:sz="0" w:space="0" w:color="auto"/>
        <w:right w:val="none" w:sz="0" w:space="0" w:color="auto"/>
      </w:divBdr>
    </w:div>
    <w:div w:id="1642878558">
      <w:bodyDiv w:val="1"/>
      <w:marLeft w:val="0"/>
      <w:marRight w:val="0"/>
      <w:marTop w:val="0"/>
      <w:marBottom w:val="0"/>
      <w:divBdr>
        <w:top w:val="none" w:sz="0" w:space="0" w:color="auto"/>
        <w:left w:val="none" w:sz="0" w:space="0" w:color="auto"/>
        <w:bottom w:val="none" w:sz="0" w:space="0" w:color="auto"/>
        <w:right w:val="none" w:sz="0" w:space="0" w:color="auto"/>
      </w:divBdr>
    </w:div>
    <w:div w:id="1667707093">
      <w:bodyDiv w:val="1"/>
      <w:marLeft w:val="0"/>
      <w:marRight w:val="0"/>
      <w:marTop w:val="0"/>
      <w:marBottom w:val="0"/>
      <w:divBdr>
        <w:top w:val="none" w:sz="0" w:space="0" w:color="auto"/>
        <w:left w:val="none" w:sz="0" w:space="0" w:color="auto"/>
        <w:bottom w:val="none" w:sz="0" w:space="0" w:color="auto"/>
        <w:right w:val="none" w:sz="0" w:space="0" w:color="auto"/>
      </w:divBdr>
    </w:div>
    <w:div w:id="1694648901">
      <w:bodyDiv w:val="1"/>
      <w:marLeft w:val="0"/>
      <w:marRight w:val="0"/>
      <w:marTop w:val="0"/>
      <w:marBottom w:val="0"/>
      <w:divBdr>
        <w:top w:val="none" w:sz="0" w:space="0" w:color="auto"/>
        <w:left w:val="none" w:sz="0" w:space="0" w:color="auto"/>
        <w:bottom w:val="none" w:sz="0" w:space="0" w:color="auto"/>
        <w:right w:val="none" w:sz="0" w:space="0" w:color="auto"/>
      </w:divBdr>
    </w:div>
    <w:div w:id="1726174421">
      <w:bodyDiv w:val="1"/>
      <w:marLeft w:val="0"/>
      <w:marRight w:val="0"/>
      <w:marTop w:val="0"/>
      <w:marBottom w:val="0"/>
      <w:divBdr>
        <w:top w:val="none" w:sz="0" w:space="0" w:color="auto"/>
        <w:left w:val="none" w:sz="0" w:space="0" w:color="auto"/>
        <w:bottom w:val="none" w:sz="0" w:space="0" w:color="auto"/>
        <w:right w:val="none" w:sz="0" w:space="0" w:color="auto"/>
      </w:divBdr>
    </w:div>
    <w:div w:id="1728604079">
      <w:bodyDiv w:val="1"/>
      <w:marLeft w:val="0"/>
      <w:marRight w:val="0"/>
      <w:marTop w:val="0"/>
      <w:marBottom w:val="0"/>
      <w:divBdr>
        <w:top w:val="none" w:sz="0" w:space="0" w:color="auto"/>
        <w:left w:val="none" w:sz="0" w:space="0" w:color="auto"/>
        <w:bottom w:val="none" w:sz="0" w:space="0" w:color="auto"/>
        <w:right w:val="none" w:sz="0" w:space="0" w:color="auto"/>
      </w:divBdr>
    </w:div>
    <w:div w:id="1735466018">
      <w:bodyDiv w:val="1"/>
      <w:marLeft w:val="0"/>
      <w:marRight w:val="0"/>
      <w:marTop w:val="0"/>
      <w:marBottom w:val="0"/>
      <w:divBdr>
        <w:top w:val="none" w:sz="0" w:space="0" w:color="auto"/>
        <w:left w:val="none" w:sz="0" w:space="0" w:color="auto"/>
        <w:bottom w:val="none" w:sz="0" w:space="0" w:color="auto"/>
        <w:right w:val="none" w:sz="0" w:space="0" w:color="auto"/>
      </w:divBdr>
    </w:div>
    <w:div w:id="1747264326">
      <w:bodyDiv w:val="1"/>
      <w:marLeft w:val="0"/>
      <w:marRight w:val="0"/>
      <w:marTop w:val="0"/>
      <w:marBottom w:val="0"/>
      <w:divBdr>
        <w:top w:val="none" w:sz="0" w:space="0" w:color="auto"/>
        <w:left w:val="none" w:sz="0" w:space="0" w:color="auto"/>
        <w:bottom w:val="none" w:sz="0" w:space="0" w:color="auto"/>
        <w:right w:val="none" w:sz="0" w:space="0" w:color="auto"/>
      </w:divBdr>
    </w:div>
    <w:div w:id="1771008739">
      <w:bodyDiv w:val="1"/>
      <w:marLeft w:val="0"/>
      <w:marRight w:val="0"/>
      <w:marTop w:val="0"/>
      <w:marBottom w:val="0"/>
      <w:divBdr>
        <w:top w:val="none" w:sz="0" w:space="0" w:color="auto"/>
        <w:left w:val="none" w:sz="0" w:space="0" w:color="auto"/>
        <w:bottom w:val="none" w:sz="0" w:space="0" w:color="auto"/>
        <w:right w:val="none" w:sz="0" w:space="0" w:color="auto"/>
      </w:divBdr>
    </w:div>
    <w:div w:id="1792703704">
      <w:bodyDiv w:val="1"/>
      <w:marLeft w:val="0"/>
      <w:marRight w:val="0"/>
      <w:marTop w:val="0"/>
      <w:marBottom w:val="0"/>
      <w:divBdr>
        <w:top w:val="none" w:sz="0" w:space="0" w:color="auto"/>
        <w:left w:val="none" w:sz="0" w:space="0" w:color="auto"/>
        <w:bottom w:val="none" w:sz="0" w:space="0" w:color="auto"/>
        <w:right w:val="none" w:sz="0" w:space="0" w:color="auto"/>
      </w:divBdr>
    </w:div>
    <w:div w:id="1801797321">
      <w:bodyDiv w:val="1"/>
      <w:marLeft w:val="0"/>
      <w:marRight w:val="0"/>
      <w:marTop w:val="0"/>
      <w:marBottom w:val="0"/>
      <w:divBdr>
        <w:top w:val="none" w:sz="0" w:space="0" w:color="auto"/>
        <w:left w:val="none" w:sz="0" w:space="0" w:color="auto"/>
        <w:bottom w:val="none" w:sz="0" w:space="0" w:color="auto"/>
        <w:right w:val="none" w:sz="0" w:space="0" w:color="auto"/>
      </w:divBdr>
    </w:div>
    <w:div w:id="1818648165">
      <w:bodyDiv w:val="1"/>
      <w:marLeft w:val="0"/>
      <w:marRight w:val="0"/>
      <w:marTop w:val="0"/>
      <w:marBottom w:val="0"/>
      <w:divBdr>
        <w:top w:val="none" w:sz="0" w:space="0" w:color="auto"/>
        <w:left w:val="none" w:sz="0" w:space="0" w:color="auto"/>
        <w:bottom w:val="none" w:sz="0" w:space="0" w:color="auto"/>
        <w:right w:val="none" w:sz="0" w:space="0" w:color="auto"/>
      </w:divBdr>
    </w:div>
    <w:div w:id="1830294463">
      <w:bodyDiv w:val="1"/>
      <w:marLeft w:val="0"/>
      <w:marRight w:val="0"/>
      <w:marTop w:val="0"/>
      <w:marBottom w:val="0"/>
      <w:divBdr>
        <w:top w:val="none" w:sz="0" w:space="0" w:color="auto"/>
        <w:left w:val="none" w:sz="0" w:space="0" w:color="auto"/>
        <w:bottom w:val="none" w:sz="0" w:space="0" w:color="auto"/>
        <w:right w:val="none" w:sz="0" w:space="0" w:color="auto"/>
      </w:divBdr>
    </w:div>
    <w:div w:id="1846943515">
      <w:bodyDiv w:val="1"/>
      <w:marLeft w:val="0"/>
      <w:marRight w:val="0"/>
      <w:marTop w:val="0"/>
      <w:marBottom w:val="0"/>
      <w:divBdr>
        <w:top w:val="none" w:sz="0" w:space="0" w:color="auto"/>
        <w:left w:val="none" w:sz="0" w:space="0" w:color="auto"/>
        <w:bottom w:val="none" w:sz="0" w:space="0" w:color="auto"/>
        <w:right w:val="none" w:sz="0" w:space="0" w:color="auto"/>
      </w:divBdr>
    </w:div>
    <w:div w:id="1855921246">
      <w:bodyDiv w:val="1"/>
      <w:marLeft w:val="0"/>
      <w:marRight w:val="0"/>
      <w:marTop w:val="0"/>
      <w:marBottom w:val="0"/>
      <w:divBdr>
        <w:top w:val="none" w:sz="0" w:space="0" w:color="auto"/>
        <w:left w:val="none" w:sz="0" w:space="0" w:color="auto"/>
        <w:bottom w:val="none" w:sz="0" w:space="0" w:color="auto"/>
        <w:right w:val="none" w:sz="0" w:space="0" w:color="auto"/>
      </w:divBdr>
    </w:div>
    <w:div w:id="1865050065">
      <w:bodyDiv w:val="1"/>
      <w:marLeft w:val="0"/>
      <w:marRight w:val="0"/>
      <w:marTop w:val="0"/>
      <w:marBottom w:val="0"/>
      <w:divBdr>
        <w:top w:val="none" w:sz="0" w:space="0" w:color="auto"/>
        <w:left w:val="none" w:sz="0" w:space="0" w:color="auto"/>
        <w:bottom w:val="none" w:sz="0" w:space="0" w:color="auto"/>
        <w:right w:val="none" w:sz="0" w:space="0" w:color="auto"/>
      </w:divBdr>
    </w:div>
    <w:div w:id="1913390480">
      <w:bodyDiv w:val="1"/>
      <w:marLeft w:val="0"/>
      <w:marRight w:val="0"/>
      <w:marTop w:val="0"/>
      <w:marBottom w:val="0"/>
      <w:divBdr>
        <w:top w:val="none" w:sz="0" w:space="0" w:color="auto"/>
        <w:left w:val="none" w:sz="0" w:space="0" w:color="auto"/>
        <w:bottom w:val="none" w:sz="0" w:space="0" w:color="auto"/>
        <w:right w:val="none" w:sz="0" w:space="0" w:color="auto"/>
      </w:divBdr>
    </w:div>
    <w:div w:id="1926836493">
      <w:bodyDiv w:val="1"/>
      <w:marLeft w:val="0"/>
      <w:marRight w:val="0"/>
      <w:marTop w:val="0"/>
      <w:marBottom w:val="0"/>
      <w:divBdr>
        <w:top w:val="none" w:sz="0" w:space="0" w:color="auto"/>
        <w:left w:val="none" w:sz="0" w:space="0" w:color="auto"/>
        <w:bottom w:val="none" w:sz="0" w:space="0" w:color="auto"/>
        <w:right w:val="none" w:sz="0" w:space="0" w:color="auto"/>
      </w:divBdr>
    </w:div>
    <w:div w:id="1937057191">
      <w:bodyDiv w:val="1"/>
      <w:marLeft w:val="0"/>
      <w:marRight w:val="0"/>
      <w:marTop w:val="0"/>
      <w:marBottom w:val="0"/>
      <w:divBdr>
        <w:top w:val="none" w:sz="0" w:space="0" w:color="auto"/>
        <w:left w:val="none" w:sz="0" w:space="0" w:color="auto"/>
        <w:bottom w:val="none" w:sz="0" w:space="0" w:color="auto"/>
        <w:right w:val="none" w:sz="0" w:space="0" w:color="auto"/>
      </w:divBdr>
    </w:div>
    <w:div w:id="1938516994">
      <w:bodyDiv w:val="1"/>
      <w:marLeft w:val="0"/>
      <w:marRight w:val="0"/>
      <w:marTop w:val="0"/>
      <w:marBottom w:val="0"/>
      <w:divBdr>
        <w:top w:val="none" w:sz="0" w:space="0" w:color="auto"/>
        <w:left w:val="none" w:sz="0" w:space="0" w:color="auto"/>
        <w:bottom w:val="none" w:sz="0" w:space="0" w:color="auto"/>
        <w:right w:val="none" w:sz="0" w:space="0" w:color="auto"/>
      </w:divBdr>
    </w:div>
    <w:div w:id="1972246461">
      <w:bodyDiv w:val="1"/>
      <w:marLeft w:val="0"/>
      <w:marRight w:val="0"/>
      <w:marTop w:val="0"/>
      <w:marBottom w:val="0"/>
      <w:divBdr>
        <w:top w:val="none" w:sz="0" w:space="0" w:color="auto"/>
        <w:left w:val="none" w:sz="0" w:space="0" w:color="auto"/>
        <w:bottom w:val="none" w:sz="0" w:space="0" w:color="auto"/>
        <w:right w:val="none" w:sz="0" w:space="0" w:color="auto"/>
      </w:divBdr>
    </w:div>
    <w:div w:id="2013022254">
      <w:bodyDiv w:val="1"/>
      <w:marLeft w:val="0"/>
      <w:marRight w:val="0"/>
      <w:marTop w:val="0"/>
      <w:marBottom w:val="0"/>
      <w:divBdr>
        <w:top w:val="none" w:sz="0" w:space="0" w:color="auto"/>
        <w:left w:val="none" w:sz="0" w:space="0" w:color="auto"/>
        <w:bottom w:val="none" w:sz="0" w:space="0" w:color="auto"/>
        <w:right w:val="none" w:sz="0" w:space="0" w:color="auto"/>
      </w:divBdr>
    </w:div>
    <w:div w:id="2029600335">
      <w:bodyDiv w:val="1"/>
      <w:marLeft w:val="0"/>
      <w:marRight w:val="0"/>
      <w:marTop w:val="0"/>
      <w:marBottom w:val="0"/>
      <w:divBdr>
        <w:top w:val="none" w:sz="0" w:space="0" w:color="auto"/>
        <w:left w:val="none" w:sz="0" w:space="0" w:color="auto"/>
        <w:bottom w:val="none" w:sz="0" w:space="0" w:color="auto"/>
        <w:right w:val="none" w:sz="0" w:space="0" w:color="auto"/>
      </w:divBdr>
    </w:div>
    <w:div w:id="2047095987">
      <w:bodyDiv w:val="1"/>
      <w:marLeft w:val="0"/>
      <w:marRight w:val="0"/>
      <w:marTop w:val="0"/>
      <w:marBottom w:val="0"/>
      <w:divBdr>
        <w:top w:val="none" w:sz="0" w:space="0" w:color="auto"/>
        <w:left w:val="none" w:sz="0" w:space="0" w:color="auto"/>
        <w:bottom w:val="none" w:sz="0" w:space="0" w:color="auto"/>
        <w:right w:val="none" w:sz="0" w:space="0" w:color="auto"/>
      </w:divBdr>
    </w:div>
    <w:div w:id="2087796676">
      <w:bodyDiv w:val="1"/>
      <w:marLeft w:val="0"/>
      <w:marRight w:val="0"/>
      <w:marTop w:val="0"/>
      <w:marBottom w:val="0"/>
      <w:divBdr>
        <w:top w:val="none" w:sz="0" w:space="0" w:color="auto"/>
        <w:left w:val="none" w:sz="0" w:space="0" w:color="auto"/>
        <w:bottom w:val="none" w:sz="0" w:space="0" w:color="auto"/>
        <w:right w:val="none" w:sz="0" w:space="0" w:color="auto"/>
      </w:divBdr>
    </w:div>
    <w:div w:id="2090997463">
      <w:bodyDiv w:val="1"/>
      <w:marLeft w:val="0"/>
      <w:marRight w:val="0"/>
      <w:marTop w:val="0"/>
      <w:marBottom w:val="0"/>
      <w:divBdr>
        <w:top w:val="none" w:sz="0" w:space="0" w:color="auto"/>
        <w:left w:val="none" w:sz="0" w:space="0" w:color="auto"/>
        <w:bottom w:val="none" w:sz="0" w:space="0" w:color="auto"/>
        <w:right w:val="none" w:sz="0" w:space="0" w:color="auto"/>
      </w:divBdr>
    </w:div>
    <w:div w:id="2104839721">
      <w:bodyDiv w:val="1"/>
      <w:marLeft w:val="0"/>
      <w:marRight w:val="0"/>
      <w:marTop w:val="0"/>
      <w:marBottom w:val="0"/>
      <w:divBdr>
        <w:top w:val="none" w:sz="0" w:space="0" w:color="auto"/>
        <w:left w:val="none" w:sz="0" w:space="0" w:color="auto"/>
        <w:bottom w:val="none" w:sz="0" w:space="0" w:color="auto"/>
        <w:right w:val="none" w:sz="0" w:space="0" w:color="auto"/>
      </w:divBdr>
    </w:div>
    <w:div w:id="2108649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emf"/><Relationship Id="rId19"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DA975974CC910D43B4A0FA0359B488E7" ma:contentTypeVersion="0" ma:contentTypeDescription="A content type to manage public (operations) IDB documents" ma:contentTypeScope="" ma:versionID="6252e2957d2e01b40184855ceae1b64c">
  <xsd:schema xmlns:xsd="http://www.w3.org/2001/XMLSchema" xmlns:xs="http://www.w3.org/2001/XMLSchema" xmlns:p="http://schemas.microsoft.com/office/2006/metadata/properties" xmlns:ns2="9c571b2f-e523-4ab2-ba2e-09e151a03ef4" targetNamespace="http://schemas.microsoft.com/office/2006/metadata/properties" ma:root="true" ma:fieldsID="d313c5b03f50677e08b791a98de7359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5b06c0-f351-4ec4-ba3e-eabde8538985}" ma:internalName="TaxCatchAll" ma:showField="CatchAllData"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5b06c0-f351-4ec4-ba3e-eabde8538985}" ma:internalName="TaxCatchAllLabel" ma:readOnly="true" ma:showField="CatchAllDataLabel"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SCL/SPH</Division_x0020_or_x0020_Unit>
    <Region xmlns="9c571b2f-e523-4ab2-ba2e-09e151a03ef4" xsi:nil="true"/>
    <Document_x0020_Author xmlns="9c571b2f-e523-4ab2-ba2e-09e151a03ef4">Rocha, Marcia Gomes</Document_x0020_Author>
    <m555d3814edf4817b4410a4e57f94ce9 xmlns="9c571b2f-e523-4ab2-ba2e-09e151a03ef4">
      <Terms xmlns="http://schemas.microsoft.com/office/infopath/2007/PartnerControls"/>
    </m555d3814edf4817b4410a4e57f94ce9>
    <Project_x0020_Number xmlns="9c571b2f-e523-4ab2-ba2e-09e151a03ef4">BR-L1408</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Proposal&lt;/USER_STAGE&gt;&lt;APPROVAL_CODE&gt;CG&lt;/APPROVAL_CODE&gt;&lt;APPROVAL_DESC&gt;Committee of the Whole&lt;/APPROVAL_DESC&gt;&lt;PD_OBJ_TYPE&gt;0&lt;/PD_OBJ_TYPE&gt;&lt;MAKERECORD&gt;N&lt;/MAKERECORD&gt;&lt;/Data&gt;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SA-ENF</Webtopic>
    <Identifier xmlns="9c571b2f-e523-4ab2-ba2e-09e151a03ef4"> </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Other_x0020_Author xmlns="9c571b2f-e523-4ab2-ba2e-09e151a03ef4" xsi:nil="true"/>
    <IDBDocs_x0020_Number xmlns="9c571b2f-e523-4ab2-ba2e-09e151a03ef4">39694567</IDBDocs_x0020_Number>
    <Publication_x0020_Type xmlns="9c571b2f-e523-4ab2-ba2e-09e151a03ef4" xsi:nil="true"/>
    <Operation_x0020_Type xmlns="9c571b2f-e523-4ab2-ba2e-09e151a03ef4" xsi:nil="true"/>
    <TaxCatchAll xmlns="9c571b2f-e523-4ab2-ba2e-09e151a03ef4">
      <Value>4</Value>
      <Value>3</Value>
    </TaxCatchAll>
    <Fiscal_x0020_Year_x0020_IDB xmlns="9c571b2f-e523-4ab2-ba2e-09e151a03ef4">2015</Fiscal_x0020_Year_x0020_IDB>
    <Issue_x0020_Date xmlns="9c571b2f-e523-4ab2-ba2e-09e151a03ef4" xsi:nil="true"/>
  </documentManagement>
</p:properties>
</file>

<file path=customXml/itemProps1.xml><?xml version="1.0" encoding="utf-8"?>
<ds:datastoreItem xmlns:ds="http://schemas.openxmlformats.org/officeDocument/2006/customXml" ds:itemID="{D7C1C6F1-4967-48C0-8C69-7ED588FC2171}"/>
</file>

<file path=customXml/itemProps2.xml><?xml version="1.0" encoding="utf-8"?>
<ds:datastoreItem xmlns:ds="http://schemas.openxmlformats.org/officeDocument/2006/customXml" ds:itemID="{1385DA66-F0C2-4611-89CA-04FF820CFBB3}"/>
</file>

<file path=customXml/itemProps3.xml><?xml version="1.0" encoding="utf-8"?>
<ds:datastoreItem xmlns:ds="http://schemas.openxmlformats.org/officeDocument/2006/customXml" ds:itemID="{F8587C1A-A202-4DEE-A156-9BB077C3664F}"/>
</file>

<file path=customXml/itemProps4.xml><?xml version="1.0" encoding="utf-8"?>
<ds:datastoreItem xmlns:ds="http://schemas.openxmlformats.org/officeDocument/2006/customXml" ds:itemID="{E87ADE4C-C7FD-44C2-BE7A-21D59DEB33B9}"/>
</file>

<file path=customXml/itemProps5.xml><?xml version="1.0" encoding="utf-8"?>
<ds:datastoreItem xmlns:ds="http://schemas.openxmlformats.org/officeDocument/2006/customXml" ds:itemID="{67C6BB0C-56E4-4D9E-9017-94C458958E97}"/>
</file>

<file path=customXml/itemProps6.xml><?xml version="1.0" encoding="utf-8"?>
<ds:datastoreItem xmlns:ds="http://schemas.openxmlformats.org/officeDocument/2006/customXml" ds:itemID="{3B9A0985-D3AE-4C42-BD3A-4733EE3A7225}"/>
</file>

<file path=docProps/app.xml><?xml version="1.0" encoding="utf-8"?>
<Properties xmlns="http://schemas.openxmlformats.org/officeDocument/2006/extended-properties" xmlns:vt="http://schemas.openxmlformats.org/officeDocument/2006/docPropsVTypes">
  <Template>Normal.dotm</Template>
  <TotalTime>3</TotalTime>
  <Pages>17</Pages>
  <Words>25769</Words>
  <Characters>146887</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172312</CharactersWithSpaces>
  <SharedDoc>false</SharedDoc>
  <HLinks>
    <vt:vector size="36" baseType="variant">
      <vt:variant>
        <vt:i4>7143438</vt:i4>
      </vt:variant>
      <vt:variant>
        <vt:i4>105</vt:i4>
      </vt:variant>
      <vt:variant>
        <vt:i4>0</vt:i4>
      </vt:variant>
      <vt:variant>
        <vt:i4>5</vt:i4>
      </vt:variant>
      <vt:variant>
        <vt:lpwstr>http://www.who.int/choice/costs/CER_thresholds/en/index.html</vt:lpwstr>
      </vt:variant>
      <vt:variant>
        <vt:lpwstr/>
      </vt:variant>
      <vt:variant>
        <vt:i4>2424936</vt:i4>
      </vt:variant>
      <vt:variant>
        <vt:i4>102</vt:i4>
      </vt:variant>
      <vt:variant>
        <vt:i4>0</vt:i4>
      </vt:variant>
      <vt:variant>
        <vt:i4>5</vt:i4>
      </vt:variant>
      <vt:variant>
        <vt:lpwstr>http://mirror.unhabitat.org/pmss/listItemDetails.aspx?publicationID=3380&amp;AspxAutoDetectCookieSupport=1</vt:lpwstr>
      </vt:variant>
      <vt:variant>
        <vt:lpwstr/>
      </vt:variant>
      <vt:variant>
        <vt:i4>7602204</vt:i4>
      </vt:variant>
      <vt:variant>
        <vt:i4>9</vt:i4>
      </vt:variant>
      <vt:variant>
        <vt:i4>0</vt:i4>
      </vt:variant>
      <vt:variant>
        <vt:i4>5</vt:i4>
      </vt:variant>
      <vt:variant>
        <vt:lpwstr>http://idbdocs.iadb.org/wsdocs/getDocument.aspx?DOCNUM=39211738</vt:lpwstr>
      </vt:variant>
      <vt:variant>
        <vt:lpwstr/>
      </vt:variant>
      <vt:variant>
        <vt:i4>7929887</vt:i4>
      </vt:variant>
      <vt:variant>
        <vt:i4>6</vt:i4>
      </vt:variant>
      <vt:variant>
        <vt:i4>0</vt:i4>
      </vt:variant>
      <vt:variant>
        <vt:i4>5</vt:i4>
      </vt:variant>
      <vt:variant>
        <vt:lpwstr>http://idbdocs.iadb.org/wsdocs/getDocument.aspx?DOCNUM=39376882</vt:lpwstr>
      </vt:variant>
      <vt:variant>
        <vt:lpwstr/>
      </vt:variant>
      <vt:variant>
        <vt:i4>8323090</vt:i4>
      </vt:variant>
      <vt:variant>
        <vt:i4>3</vt:i4>
      </vt:variant>
      <vt:variant>
        <vt:i4>0</vt:i4>
      </vt:variant>
      <vt:variant>
        <vt:i4>5</vt:i4>
      </vt:variant>
      <vt:variant>
        <vt:lpwstr>http://idbdocs.iadb.org/wsdocs/getDocument.aspx?DOCNUM=39211786</vt:lpwstr>
      </vt:variant>
      <vt:variant>
        <vt:lpwstr/>
      </vt:variant>
      <vt:variant>
        <vt:i4>8257554</vt:i4>
      </vt:variant>
      <vt:variant>
        <vt:i4>0</vt:i4>
      </vt:variant>
      <vt:variant>
        <vt:i4>0</vt:i4>
      </vt:variant>
      <vt:variant>
        <vt:i4>5</vt:i4>
      </vt:variant>
      <vt:variant>
        <vt:lpwstr>http://idbdocs.iadb.org/wsdocs/getDocument.aspx?DOCNUM=39319203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 enlace opcional _1 Análsis económico</dc:title>
  <dc:creator>Fiorella Benedetti</dc:creator>
  <cp:lastModifiedBy>Inter-American Development Bank</cp:lastModifiedBy>
  <cp:revision>5</cp:revision>
  <dcterms:created xsi:type="dcterms:W3CDTF">2015-08-24T15:40:00Z</dcterms:created>
  <dcterms:modified xsi:type="dcterms:W3CDTF">2015-08-24T15:43:00Z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nadin.medellin@gmail.com@www.mendeley.com</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16th edition (note)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TaxKeyword">
    <vt:lpwstr/>
  </property>
  <property fmtid="{D5CDD505-2E9C-101B-9397-08002B2CF9AE}" pid="26" name="Sub_x002d_Sector">
    <vt:lpwstr/>
  </property>
  <property fmtid="{D5CDD505-2E9C-101B-9397-08002B2CF9AE}" pid="27" name="ContentTypeId">
    <vt:lpwstr>0x01010046CF21643EE8D14686A648AA6DAD089200DA975974CC910D43B4A0FA0359B488E7</vt:lpwstr>
  </property>
  <property fmtid="{D5CDD505-2E9C-101B-9397-08002B2CF9AE}" pid="28" name="TaxKeywordTaxHTField">
    <vt:lpwstr/>
  </property>
  <property fmtid="{D5CDD505-2E9C-101B-9397-08002B2CF9AE}" pid="29" name="Series Operations IDB">
    <vt:lpwstr>3;#Unclassified|a6dff32e-d477-44cd-a56b-85efe9e0a56c</vt:lpwstr>
  </property>
  <property fmtid="{D5CDD505-2E9C-101B-9397-08002B2CF9AE}" pid="30" name="Sub-Sector">
    <vt:lpwstr/>
  </property>
  <property fmtid="{D5CDD505-2E9C-101B-9397-08002B2CF9AE}" pid="31" name="Country">
    <vt:lpwstr/>
  </property>
  <property fmtid="{D5CDD505-2E9C-101B-9397-08002B2CF9AE}" pid="32" name="Fund IDB">
    <vt:lpwstr/>
  </property>
  <property fmtid="{D5CDD505-2E9C-101B-9397-08002B2CF9AE}" pid="33" name="Series_x0020_Operations_x0020_IDB">
    <vt:lpwstr>3;#Unclassified|a6dff32e-d477-44cd-a56b-85efe9e0a56c</vt:lpwstr>
  </property>
  <property fmtid="{D5CDD505-2E9C-101B-9397-08002B2CF9AE}" pid="34" name="To:">
    <vt:lpwstr/>
  </property>
  <property fmtid="{D5CDD505-2E9C-101B-9397-08002B2CF9AE}" pid="35" name="From:">
    <vt:lpwstr/>
  </property>
  <property fmtid="{D5CDD505-2E9C-101B-9397-08002B2CF9AE}" pid="36" name="Sector IDB">
    <vt:lpwstr/>
  </property>
  <property fmtid="{D5CDD505-2E9C-101B-9397-08002B2CF9AE}" pid="37" name="Function Operations IDB">
    <vt:lpwstr>4;#IDBDocs|cca77002-e150-4b2d-ab1f-1d7a7cdcae16</vt:lpwstr>
  </property>
</Properties>
</file>