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theme/themeOverride2.xml" ContentType="application/vnd.openxmlformats-officedocument.themeOverride+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theme/themeOverride1.xml" ContentType="application/vnd.openxmlformats-officedocument.themeOverride+xml"/>
  <Override PartName="/word/charts/colors1.xml" ContentType="application/vnd.ms-office.chartcolorstyle+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51470969"/>
        <w:docPartObj>
          <w:docPartGallery w:val="Cover Pages"/>
          <w:docPartUnique/>
        </w:docPartObj>
      </w:sdtPr>
      <w:sdtEndPr>
        <w:rPr>
          <w:b/>
          <w:color w:val="996633"/>
          <w:lang w:eastAsia="pt-BR"/>
        </w:rPr>
      </w:sdtEndPr>
      <w:sdtContent>
        <w:p w:rsidR="00130D51" w:rsidRPr="00DE2D55" w:rsidRDefault="00A93EF1" w:rsidP="00FE560B">
          <w:pPr>
            <w:tabs>
              <w:tab w:val="left" w:pos="0"/>
            </w:tabs>
            <w:jc w:val="both"/>
          </w:pPr>
          <w:r w:rsidRPr="00DE2D55">
            <w:rPr>
              <w:noProof/>
              <w:lang w:eastAsia="pt-BR"/>
            </w:rPr>
            <mc:AlternateContent>
              <mc:Choice Requires="wps">
                <w:drawing>
                  <wp:anchor distT="0" distB="0" distL="114300" distR="114300" simplePos="0" relativeHeight="251693056" behindDoc="0" locked="0" layoutInCell="1" allowOverlap="1" wp14:anchorId="5F8FB269" wp14:editId="35538A03">
                    <wp:simplePos x="0" y="0"/>
                    <wp:positionH relativeFrom="page">
                      <wp:posOffset>4336182</wp:posOffset>
                    </wp:positionH>
                    <wp:positionV relativeFrom="page">
                      <wp:posOffset>1371885</wp:posOffset>
                    </wp:positionV>
                    <wp:extent cx="2818263" cy="3822843"/>
                    <wp:effectExtent l="0" t="0" r="0" b="635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2818263" cy="3822843"/>
                            </a:xfrm>
                            <a:prstGeom prst="rect">
                              <a:avLst/>
                            </a:prstGeom>
                            <a:noFill/>
                            <a:ln w="6350">
                              <a:noFill/>
                            </a:ln>
                            <a:effectLst/>
                          </wps:spPr>
                          <wps:txbx>
                            <w:txbxContent>
                              <w:sdt>
                                <w:sdtPr>
                                  <w:rPr>
                                    <w:rFonts w:asciiTheme="majorHAnsi" w:eastAsiaTheme="majorEastAsia" w:hAnsiTheme="majorHAnsi" w:cstheme="majorBidi"/>
                                    <w:color w:val="4A66AC" w:themeColor="accent1"/>
                                    <w:sz w:val="72"/>
                                    <w:szCs w:val="72"/>
                                  </w:rPr>
                                  <w:alias w:val="Título"/>
                                  <w:id w:val="-816490644"/>
                                  <w:dataBinding w:prefixMappings="xmlns:ns0='http://schemas.openxmlformats.org/package/2006/metadata/core-properties' xmlns:ns1='http://purl.org/dc/elements/1.1/'" w:xpath="/ns0:coreProperties[1]/ns1:title[1]" w:storeItemID="{6C3C8BC8-F283-45AE-878A-BAB7291924A1}"/>
                                  <w:text/>
                                </w:sdtPr>
                                <w:sdtContent>
                                  <w:p w:rsidR="00E04BB7" w:rsidRDefault="00E04BB7" w:rsidP="00561A92">
                                    <w:pPr>
                                      <w:spacing w:line="240" w:lineRule="auto"/>
                                      <w:jc w:val="center"/>
                                      <w:rPr>
                                        <w:rFonts w:asciiTheme="majorHAnsi" w:eastAsiaTheme="majorEastAsia" w:hAnsiTheme="majorHAnsi" w:cstheme="majorBidi"/>
                                        <w:color w:val="4A66AC" w:themeColor="accent1"/>
                                        <w:sz w:val="72"/>
                                        <w:szCs w:val="72"/>
                                      </w:rPr>
                                    </w:pPr>
                                    <w:r>
                                      <w:rPr>
                                        <w:rFonts w:asciiTheme="majorHAnsi" w:eastAsiaTheme="majorEastAsia" w:hAnsiTheme="majorHAnsi" w:cstheme="majorBidi"/>
                                        <w:color w:val="4A66AC" w:themeColor="accent1"/>
                                        <w:sz w:val="72"/>
                                        <w:szCs w:val="72"/>
                                      </w:rPr>
                                      <w:t>PROFISCO II</w:t>
                                    </w:r>
                                  </w:p>
                                </w:sdtContent>
                              </w:sdt>
                              <w:sdt>
                                <w:sdtPr>
                                  <w:rPr>
                                    <w:rFonts w:asciiTheme="majorHAnsi" w:eastAsiaTheme="majorEastAsia" w:hAnsiTheme="majorHAnsi" w:cstheme="majorBidi"/>
                                    <w:color w:val="242852" w:themeColor="text2"/>
                                    <w:sz w:val="32"/>
                                    <w:szCs w:val="32"/>
                                  </w:rPr>
                                  <w:alias w:val="Subtítulo"/>
                                  <w:id w:val="482360313"/>
                                  <w:dataBinding w:prefixMappings="xmlns:ns0='http://schemas.openxmlformats.org/package/2006/metadata/core-properties' xmlns:ns1='http://purl.org/dc/elements/1.1/'" w:xpath="/ns0:coreProperties[1]/ns1:subject[1]" w:storeItemID="{6C3C8BC8-F283-45AE-878A-BAB7291924A1}"/>
                                  <w:text/>
                                </w:sdtPr>
                                <w:sdtContent>
                                  <w:p w:rsidR="00E04BB7" w:rsidRDefault="00E04BB7" w:rsidP="001B3512">
                                    <w:pPr>
                                      <w:jc w:val="both"/>
                                      <w:rPr>
                                        <w:rFonts w:asciiTheme="majorHAnsi" w:eastAsiaTheme="majorEastAsia" w:hAnsiTheme="majorHAnsi" w:cstheme="majorBidi"/>
                                        <w:color w:val="242852" w:themeColor="text2"/>
                                        <w:sz w:val="32"/>
                                        <w:szCs w:val="32"/>
                                      </w:rPr>
                                    </w:pPr>
                                    <w:r>
                                      <w:rPr>
                                        <w:rFonts w:asciiTheme="majorHAnsi" w:eastAsiaTheme="majorEastAsia" w:hAnsiTheme="majorHAnsi" w:cstheme="majorBidi"/>
                                        <w:color w:val="242852" w:themeColor="text2"/>
                                        <w:sz w:val="32"/>
                                        <w:szCs w:val="32"/>
                                      </w:rPr>
                                      <w:t>Notas técnicas elaboradas pelas áreas técnicas para o projeto de modernização da gestão fiscal a ser financiado com recurso do BID.</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8FB269" id="_x0000_t202" coordsize="21600,21600" o:spt="202" path="m,l,21600r21600,l21600,xe">
                    <v:stroke joinstyle="miter"/>
                    <v:path gradientshapeok="t" o:connecttype="rect"/>
                  </v:shapetype>
                  <v:shape id="Caixa de Texto 470" o:spid="_x0000_s1026" type="#_x0000_t202" style="position:absolute;left:0;text-align:left;margin-left:341.45pt;margin-top:108pt;width:221.9pt;height:30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" filled="f" stroked="f" strokeweight=".5pt">
                    <v:textbox>
                      <w:txbxContent>
                        <w:sdt>
                          <w:sdtPr>
                            <w:rPr>
                              <w:rFonts w:asciiTheme="majorHAnsi" w:eastAsiaTheme="majorEastAsia" w:hAnsiTheme="majorHAnsi" w:cstheme="majorBidi"/>
                              <w:color w:val="4A66AC" w:themeColor="accent1"/>
                              <w:sz w:val="72"/>
                              <w:szCs w:val="72"/>
                            </w:rPr>
                            <w:alias w:val="Título"/>
                            <w:id w:val="-816490644"/>
                            <w:dataBinding w:prefixMappings="xmlns:ns0='http://schemas.openxmlformats.org/package/2006/metadata/core-properties' xmlns:ns1='http://purl.org/dc/elements/1.1/'" w:xpath="/ns0:coreProperties[1]/ns1:title[1]" w:storeItemID="{6C3C8BC8-F283-45AE-878A-BAB7291924A1}"/>
                            <w:text/>
                          </w:sdtPr>
                          <w:sdtContent>
                            <w:p w:rsidR="00E04BB7" w:rsidRDefault="00E04BB7" w:rsidP="00561A92">
                              <w:pPr>
                                <w:spacing w:line="240" w:lineRule="auto"/>
                                <w:jc w:val="center"/>
                                <w:rPr>
                                  <w:rFonts w:asciiTheme="majorHAnsi" w:eastAsiaTheme="majorEastAsia" w:hAnsiTheme="majorHAnsi" w:cstheme="majorBidi"/>
                                  <w:color w:val="4A66AC" w:themeColor="accent1"/>
                                  <w:sz w:val="72"/>
                                  <w:szCs w:val="72"/>
                                </w:rPr>
                              </w:pPr>
                              <w:r>
                                <w:rPr>
                                  <w:rFonts w:asciiTheme="majorHAnsi" w:eastAsiaTheme="majorEastAsia" w:hAnsiTheme="majorHAnsi" w:cstheme="majorBidi"/>
                                  <w:color w:val="4A66AC" w:themeColor="accent1"/>
                                  <w:sz w:val="72"/>
                                  <w:szCs w:val="72"/>
                                </w:rPr>
                                <w:t>PROFISCO II</w:t>
                              </w:r>
                            </w:p>
                          </w:sdtContent>
                        </w:sdt>
                        <w:sdt>
                          <w:sdtPr>
                            <w:rPr>
                              <w:rFonts w:asciiTheme="majorHAnsi" w:eastAsiaTheme="majorEastAsia" w:hAnsiTheme="majorHAnsi" w:cstheme="majorBidi"/>
                              <w:color w:val="242852" w:themeColor="text2"/>
                              <w:sz w:val="32"/>
                              <w:szCs w:val="32"/>
                            </w:rPr>
                            <w:alias w:val="Subtítulo"/>
                            <w:id w:val="482360313"/>
                            <w:dataBinding w:prefixMappings="xmlns:ns0='http://schemas.openxmlformats.org/package/2006/metadata/core-properties' xmlns:ns1='http://purl.org/dc/elements/1.1/'" w:xpath="/ns0:coreProperties[1]/ns1:subject[1]" w:storeItemID="{6C3C8BC8-F283-45AE-878A-BAB7291924A1}"/>
                            <w:text/>
                          </w:sdtPr>
                          <w:sdtContent>
                            <w:p w:rsidR="00E04BB7" w:rsidRDefault="00E04BB7" w:rsidP="001B3512">
                              <w:pPr>
                                <w:jc w:val="both"/>
                                <w:rPr>
                                  <w:rFonts w:asciiTheme="majorHAnsi" w:eastAsiaTheme="majorEastAsia" w:hAnsiTheme="majorHAnsi" w:cstheme="majorBidi"/>
                                  <w:color w:val="242852" w:themeColor="text2"/>
                                  <w:sz w:val="32"/>
                                  <w:szCs w:val="32"/>
                                </w:rPr>
                              </w:pPr>
                              <w:r>
                                <w:rPr>
                                  <w:rFonts w:asciiTheme="majorHAnsi" w:eastAsiaTheme="majorEastAsia" w:hAnsiTheme="majorHAnsi" w:cstheme="majorBidi"/>
                                  <w:color w:val="242852" w:themeColor="text2"/>
                                  <w:sz w:val="32"/>
                                  <w:szCs w:val="32"/>
                                </w:rPr>
                                <w:t>Notas técnicas elaboradas pelas áreas técnicas para o projeto de modernização da gestão fiscal a ser financiado com recurso do BID.</w:t>
                              </w:r>
                            </w:p>
                          </w:sdtContent>
                        </w:sdt>
                      </w:txbxContent>
                    </v:textbox>
                    <w10:wrap type="square" anchorx="page" anchory="page"/>
                  </v:shape>
                </w:pict>
              </mc:Fallback>
            </mc:AlternateContent>
          </w:r>
          <w:r w:rsidRPr="00DE2D55">
            <w:rPr>
              <w:noProof/>
              <w:lang w:eastAsia="pt-BR"/>
            </w:rPr>
            <mc:AlternateContent>
              <mc:Choice Requires="wps">
                <w:drawing>
                  <wp:anchor distT="0" distB="0" distL="114300" distR="114300" simplePos="0" relativeHeight="251691008" behindDoc="0" locked="0" layoutInCell="1" allowOverlap="1" wp14:anchorId="31BF1746" wp14:editId="3E85A29D">
                    <wp:simplePos x="0" y="0"/>
                    <wp:positionH relativeFrom="page">
                      <wp:posOffset>4130040</wp:posOffset>
                    </wp:positionH>
                    <wp:positionV relativeFrom="page">
                      <wp:posOffset>1304200</wp:posOffset>
                    </wp:positionV>
                    <wp:extent cx="3108960" cy="7040880"/>
                    <wp:effectExtent l="0" t="0" r="0" b="0"/>
                    <wp:wrapNone/>
                    <wp:docPr id="468" name="Retâ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4E8C94C" id="Retângulo 468" o:spid="_x0000_s1026" style="position:absolute;margin-left:325.2pt;margin-top:102.7pt;width:244.8pt;height:554.4pt;z-index:25169100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" fillcolor="white [3212]" strokecolor="#0e56c3 [1614]" strokeweight="1.25pt">
                    <w10:wrap anchorx="page" anchory="page"/>
                  </v:rect>
                </w:pict>
              </mc:Fallback>
            </mc:AlternateContent>
          </w:r>
          <w:r w:rsidR="009A1EC0" w:rsidRPr="00DE2D55">
            <w:rPr>
              <w:noProof/>
              <w:lang w:eastAsia="pt-BR"/>
            </w:rPr>
            <mc:AlternateContent>
              <mc:Choice Requires="wps">
                <w:drawing>
                  <wp:anchor distT="0" distB="0" distL="114300" distR="114300" simplePos="0" relativeHeight="251695104" behindDoc="1" locked="0" layoutInCell="1" allowOverlap="1" wp14:anchorId="2061474B" wp14:editId="7C4E9BE2">
                    <wp:simplePos x="0" y="0"/>
                    <wp:positionH relativeFrom="page">
                      <wp:posOffset>189230</wp:posOffset>
                    </wp:positionH>
                    <wp:positionV relativeFrom="page">
                      <wp:posOffset>185449</wp:posOffset>
                    </wp:positionV>
                    <wp:extent cx="7383780" cy="9555480"/>
                    <wp:effectExtent l="0" t="0" r="7620" b="762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04BB7" w:rsidRPr="00A93EF1" w:rsidRDefault="00E04BB7" w:rsidP="00A93EF1">
                                <w:pPr>
                                  <w:pStyle w:val="Ttulo1"/>
                                  <w:rPr>
                                    <w:sz w:val="24"/>
                                    <w:szCs w:val="24"/>
                                  </w:rPr>
                                </w:pPr>
                                <w:bookmarkStart w:id="0" w:name="_Toc415045370"/>
                                <w:bookmarkStart w:id="1" w:name="_Toc517104575"/>
                                <w:bookmarkStart w:id="2" w:name="_Toc517106383"/>
                                <w:bookmarkStart w:id="3" w:name="_Toc517172506"/>
                                <w:bookmarkStart w:id="4" w:name="_Toc517254679"/>
                                <w:bookmarkStart w:id="5" w:name="_Toc517269515"/>
                                <w:bookmarkStart w:id="6" w:name="_Toc517282040"/>
                                <w:r w:rsidRPr="004F70DC">
                                  <w:rPr>
                                    <w:noProof/>
                                    <w:lang w:eastAsia="pt-BR"/>
                                  </w:rPr>
                                  <w:drawing>
                                    <wp:inline distT="0" distB="0" distL="0" distR="0" wp14:anchorId="11AE1B7C" wp14:editId="5E82D3AB">
                                      <wp:extent cx="961053" cy="984250"/>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1124" cy="1035529"/>
                                              </a:xfrm>
                                              <a:prstGeom prst="rect">
                                                <a:avLst/>
                                              </a:prstGeom>
                                              <a:noFill/>
                                              <a:ln>
                                                <a:noFill/>
                                              </a:ln>
                                            </pic:spPr>
                                          </pic:pic>
                                        </a:graphicData>
                                      </a:graphic>
                                    </wp:inline>
                                  </w:drawing>
                                </w:r>
                                <w:bookmarkEnd w:id="0"/>
                                <w:r>
                                  <w:rPr>
                                    <w:noProof/>
                                    <w:lang w:eastAsia="pt-BR"/>
                                  </w:rPr>
                                  <w:drawing>
                                    <wp:inline distT="0" distB="0" distL="0" distR="0" wp14:anchorId="66C2A1FA" wp14:editId="53CCD2FA">
                                      <wp:extent cx="1123315" cy="478155"/>
                                      <wp:effectExtent l="0" t="0" r="635" b="0"/>
                                      <wp:docPr id="25" name="Imagem 2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315" cy="478155"/>
                                              </a:xfrm>
                                              <a:prstGeom prst="rect">
                                                <a:avLst/>
                                              </a:prstGeom>
                                              <a:noFill/>
                                              <a:ln>
                                                <a:noFill/>
                                              </a:ln>
                                            </pic:spPr>
                                          </pic:pic>
                                        </a:graphicData>
                                      </a:graphic>
                                    </wp:inline>
                                  </w:drawing>
                                </w:r>
                                <w:bookmarkEnd w:id="1"/>
                                <w:bookmarkEnd w:id="2"/>
                                <w:bookmarkEnd w:id="3"/>
                                <w:bookmarkEnd w:id="4"/>
                                <w:bookmarkEnd w:id="5"/>
                                <w:bookmarkEnd w:id="6"/>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061474B" id="Retângulo 466" o:spid="_x0000_s1027" style="position:absolute;left:0;text-align:left;margin-left:14.9pt;margin-top:14.6pt;width:581.4pt;height:752.4pt;z-index:-25162137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" fillcolor="#d9dfef [660]" stroked="f" strokeweight="2pt">
                    <v:fill color2="#90a1cf [1940]" rotate="t" focusposition=".5,.5" focussize="" focus="100%" type="gradientRadial"/>
                    <v:path arrowok="t"/>
                    <v:textbox inset="21.6pt,,21.6pt">
                      <w:txbxContent>
                        <w:p w:rsidR="00E04BB7" w:rsidRPr="00A93EF1" w:rsidRDefault="00E04BB7" w:rsidP="00A93EF1">
                          <w:pPr>
                            <w:pStyle w:val="Ttulo1"/>
                            <w:rPr>
                              <w:sz w:val="24"/>
                              <w:szCs w:val="24"/>
                            </w:rPr>
                          </w:pPr>
                          <w:bookmarkStart w:id="7" w:name="_Toc415045370"/>
                          <w:bookmarkStart w:id="8" w:name="_Toc517104575"/>
                          <w:bookmarkStart w:id="9" w:name="_Toc517106383"/>
                          <w:bookmarkStart w:id="10" w:name="_Toc517172506"/>
                          <w:bookmarkStart w:id="11" w:name="_Toc517254679"/>
                          <w:bookmarkStart w:id="12" w:name="_Toc517269515"/>
                          <w:bookmarkStart w:id="13" w:name="_Toc517282040"/>
                          <w:r w:rsidRPr="004F70DC">
                            <w:rPr>
                              <w:noProof/>
                              <w:lang w:eastAsia="pt-BR"/>
                            </w:rPr>
                            <w:drawing>
                              <wp:inline distT="0" distB="0" distL="0" distR="0" wp14:anchorId="11AE1B7C" wp14:editId="5E82D3AB">
                                <wp:extent cx="961053" cy="984250"/>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1124" cy="1035529"/>
                                        </a:xfrm>
                                        <a:prstGeom prst="rect">
                                          <a:avLst/>
                                        </a:prstGeom>
                                        <a:noFill/>
                                        <a:ln>
                                          <a:noFill/>
                                        </a:ln>
                                      </pic:spPr>
                                    </pic:pic>
                                  </a:graphicData>
                                </a:graphic>
                              </wp:inline>
                            </w:drawing>
                          </w:r>
                          <w:bookmarkEnd w:id="7"/>
                          <w:r>
                            <w:rPr>
                              <w:noProof/>
                              <w:lang w:eastAsia="pt-BR"/>
                            </w:rPr>
                            <w:drawing>
                              <wp:inline distT="0" distB="0" distL="0" distR="0" wp14:anchorId="66C2A1FA" wp14:editId="53CCD2FA">
                                <wp:extent cx="1123315" cy="478155"/>
                                <wp:effectExtent l="0" t="0" r="635" b="0"/>
                                <wp:docPr id="25" name="Imagem 25"/>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315" cy="478155"/>
                                        </a:xfrm>
                                        <a:prstGeom prst="rect">
                                          <a:avLst/>
                                        </a:prstGeom>
                                        <a:noFill/>
                                        <a:ln>
                                          <a:noFill/>
                                        </a:ln>
                                      </pic:spPr>
                                    </pic:pic>
                                  </a:graphicData>
                                </a:graphic>
                              </wp:inline>
                            </w:drawing>
                          </w:r>
                          <w:bookmarkEnd w:id="8"/>
                          <w:bookmarkEnd w:id="9"/>
                          <w:bookmarkEnd w:id="10"/>
                          <w:bookmarkEnd w:id="11"/>
                          <w:bookmarkEnd w:id="12"/>
                          <w:bookmarkEnd w:id="13"/>
                        </w:p>
                      </w:txbxContent>
                    </v:textbox>
                    <w10:wrap anchorx="page" anchory="page"/>
                  </v:rect>
                </w:pict>
              </mc:Fallback>
            </mc:AlternateContent>
          </w:r>
        </w:p>
        <w:p w:rsidR="00130D51" w:rsidRPr="00DE2D55" w:rsidRDefault="0093446D" w:rsidP="00FE560B">
          <w:pPr>
            <w:tabs>
              <w:tab w:val="left" w:pos="0"/>
            </w:tabs>
            <w:jc w:val="both"/>
            <w:rPr>
              <w:b/>
              <w:color w:val="996633"/>
              <w:lang w:eastAsia="pt-BR"/>
            </w:rPr>
          </w:pPr>
          <w:r w:rsidRPr="00DE2D55">
            <w:rPr>
              <w:noProof/>
              <w:lang w:eastAsia="pt-BR"/>
            </w:rPr>
            <mc:AlternateContent>
              <mc:Choice Requires="wps">
                <w:drawing>
                  <wp:anchor distT="0" distB="0" distL="114300" distR="114300" simplePos="0" relativeHeight="251696128" behindDoc="0" locked="0" layoutInCell="1" allowOverlap="1" wp14:anchorId="2B83B522" wp14:editId="1CC9EDD8">
                    <wp:simplePos x="0" y="0"/>
                    <wp:positionH relativeFrom="column">
                      <wp:posOffset>4139565</wp:posOffset>
                    </wp:positionH>
                    <wp:positionV relativeFrom="paragraph">
                      <wp:posOffset>4636770</wp:posOffset>
                    </wp:positionV>
                    <wp:extent cx="1695450" cy="409783"/>
                    <wp:effectExtent l="0" t="0" r="19050" b="28575"/>
                    <wp:wrapNone/>
                    <wp:docPr id="1" name="Caixa de texto 1"/>
                    <wp:cNvGraphicFramePr/>
                    <a:graphic xmlns:a="http://schemas.openxmlformats.org/drawingml/2006/main">
                      <a:graphicData uri="http://schemas.microsoft.com/office/word/2010/wordprocessingShape">
                        <wps:wsp>
                          <wps:cNvSpPr txBox="1"/>
                          <wps:spPr>
                            <a:xfrm>
                              <a:off x="0" y="0"/>
                              <a:ext cx="1695450" cy="40978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BB7" w:rsidRPr="0093446D" w:rsidRDefault="00E04BB7">
                                <w:pPr>
                                  <w:rPr>
                                    <w:color w:val="FFFFFF" w:themeColor="background1"/>
                                    <w:sz w:val="40"/>
                                    <w:szCs w:val="40"/>
                                  </w:rPr>
                                </w:pPr>
                                <w:r>
                                  <w:rPr>
                                    <w:color w:val="FFFFFF" w:themeColor="background1"/>
                                    <w:sz w:val="40"/>
                                    <w:szCs w:val="40"/>
                                  </w:rPr>
                                  <w:t>JUNHO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B522" id="Caixa de texto 1" o:spid="_x0000_s1028" type="#_x0000_t202" style="position:absolute;left:0;text-align:left;margin-left:325.95pt;margin-top:365.1pt;width:133.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" filled="f" strokeweight=".5pt">
                    <v:textbox>
                      <w:txbxContent>
                        <w:p w:rsidR="00E04BB7" w:rsidRPr="0093446D" w:rsidRDefault="00E04BB7">
                          <w:pPr>
                            <w:rPr>
                              <w:color w:val="FFFFFF" w:themeColor="background1"/>
                              <w:sz w:val="40"/>
                              <w:szCs w:val="40"/>
                            </w:rPr>
                          </w:pPr>
                          <w:r>
                            <w:rPr>
                              <w:color w:val="FFFFFF" w:themeColor="background1"/>
                              <w:sz w:val="40"/>
                              <w:szCs w:val="40"/>
                            </w:rPr>
                            <w:t>JUNHO / 2018</w:t>
                          </w:r>
                        </w:p>
                      </w:txbxContent>
                    </v:textbox>
                  </v:shape>
                </w:pict>
              </mc:Fallback>
            </mc:AlternateContent>
          </w:r>
          <w:r w:rsidR="00A93EF1" w:rsidRPr="00DE2D55">
            <w:rPr>
              <w:noProof/>
              <w:lang w:eastAsia="pt-BR"/>
            </w:rPr>
            <mc:AlternateContent>
              <mc:Choice Requires="wps">
                <w:drawing>
                  <wp:anchor distT="0" distB="0" distL="114300" distR="114300" simplePos="0" relativeHeight="251694080" behindDoc="0" locked="0" layoutInCell="1" allowOverlap="1" wp14:anchorId="3693C653" wp14:editId="0E54319D">
                    <wp:simplePos x="0" y="0"/>
                    <wp:positionH relativeFrom="page">
                      <wp:posOffset>4286302</wp:posOffset>
                    </wp:positionH>
                    <wp:positionV relativeFrom="page">
                      <wp:posOffset>8359192</wp:posOffset>
                    </wp:positionV>
                    <wp:extent cx="2875915" cy="118745"/>
                    <wp:effectExtent l="0" t="0" r="3175" b="0"/>
                    <wp:wrapNone/>
                    <wp:docPr id="469" name="Retâ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4BB7" w:rsidRDefault="00E04BB7" w:rsidP="00A93E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693C653" id="Retângulo 469" o:spid="_x0000_s1029" style="position:absolute;left:0;text-align:left;margin-left:337.5pt;margin-top:658.2pt;width:226.45pt;height:9.35pt;z-index:25169408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" fillcolor="#4a66ac [3204]" stroked="f" strokeweight="2pt">
                    <v:textbox>
                      <w:txbxContent>
                        <w:p w:rsidR="00E04BB7" w:rsidRDefault="00E04BB7" w:rsidP="00A93EF1"/>
                      </w:txbxContent>
                    </v:textbox>
                    <w10:wrap anchorx="page" anchory="page"/>
                  </v:rect>
                </w:pict>
              </mc:Fallback>
            </mc:AlternateContent>
          </w:r>
          <w:r w:rsidR="002C5AB7" w:rsidRPr="00DE2D55">
            <w:rPr>
              <w:noProof/>
              <w:lang w:eastAsia="pt-BR"/>
            </w:rPr>
            <mc:AlternateContent>
              <mc:Choice Requires="wps">
                <w:drawing>
                  <wp:anchor distT="0" distB="0" distL="114300" distR="114300" simplePos="0" relativeHeight="251692032" behindDoc="0" locked="0" layoutInCell="1" allowOverlap="1" wp14:anchorId="3AA20A37" wp14:editId="72B33041">
                    <wp:simplePos x="0" y="0"/>
                    <wp:positionH relativeFrom="page">
                      <wp:posOffset>4289697</wp:posOffset>
                    </wp:positionH>
                    <wp:positionV relativeFrom="page">
                      <wp:posOffset>5042704</wp:posOffset>
                    </wp:positionV>
                    <wp:extent cx="2875915" cy="2961564"/>
                    <wp:effectExtent l="0" t="0" r="3175" b="0"/>
                    <wp:wrapNone/>
                    <wp:docPr id="467" name="Retângulo 467"/>
                    <wp:cNvGraphicFramePr/>
                    <a:graphic xmlns:a="http://schemas.openxmlformats.org/drawingml/2006/main">
                      <a:graphicData uri="http://schemas.microsoft.com/office/word/2010/wordprocessingShape">
                        <wps:wsp>
                          <wps:cNvSpPr/>
                          <wps:spPr>
                            <a:xfrm>
                              <a:off x="0" y="0"/>
                              <a:ext cx="2875915" cy="29615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4BB7" w:rsidRDefault="00E04BB7" w:rsidP="00A71A11">
                                <w:pPr>
                                  <w:spacing w:before="240"/>
                                  <w:jc w:val="both"/>
                                  <w:rPr>
                                    <w:color w:val="FFFFFF" w:themeColor="background1"/>
                                  </w:rPr>
                                </w:pPr>
                                <w:sdt>
                                  <w:sdtPr>
                                    <w:rPr>
                                      <w:color w:val="FFFFFF" w:themeColor="background1"/>
                                    </w:rPr>
                                    <w:alias w:val="Resumo"/>
                                    <w:id w:val="-1731228570"/>
                                    <w:dataBinding w:prefixMappings="xmlns:ns0='http://schemas.microsoft.com/office/2006/coverPageProps'" w:xpath="/ns0:CoverPageProperties[1]/ns0:Abstract[1]" w:storeItemID="{55AF091B-3C7A-41E3-B477-F2FDAA23CFDA}"/>
                                    <w:text/>
                                  </w:sdtPr>
                                  <w:sdtContent>
                                    <w:r>
                                      <w:rPr>
                                        <w:color w:val="FFFFFF" w:themeColor="background1"/>
                                      </w:rPr>
                                      <w:t xml:space="preserve">Este relatório consolida a intenção de todos os projetos que foram selecionados para compor a carteira de projetos do Profisco II/ES.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3AA20A37" id="Retângulo 467" o:spid="_x0000_s1030" style="position:absolute;left:0;text-align:left;margin-left:337.75pt;margin-top:397.05pt;width:226.45pt;height:233.2pt;z-index:25169203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" fillcolor="#242852 [3215]" stroked="f" strokeweight="2pt">
                    <v:textbox inset="14.4pt,14.4pt,14.4pt,28.8pt">
                      <w:txbxContent>
                        <w:p w:rsidR="00E04BB7" w:rsidRDefault="00E04BB7" w:rsidP="00A71A11">
                          <w:pPr>
                            <w:spacing w:before="240"/>
                            <w:jc w:val="both"/>
                            <w:rPr>
                              <w:color w:val="FFFFFF" w:themeColor="background1"/>
                            </w:rPr>
                          </w:pPr>
                          <w:sdt>
                            <w:sdtPr>
                              <w:rPr>
                                <w:color w:val="FFFFFF" w:themeColor="background1"/>
                              </w:rPr>
                              <w:alias w:val="Resumo"/>
                              <w:id w:val="-1731228570"/>
                              <w:dataBinding w:prefixMappings="xmlns:ns0='http://schemas.microsoft.com/office/2006/coverPageProps'" w:xpath="/ns0:CoverPageProperties[1]/ns0:Abstract[1]" w:storeItemID="{55AF091B-3C7A-41E3-B477-F2FDAA23CFDA}"/>
                              <w:text/>
                            </w:sdtPr>
                            <w:sdtContent>
                              <w:r>
                                <w:rPr>
                                  <w:color w:val="FFFFFF" w:themeColor="background1"/>
                                </w:rPr>
                                <w:t xml:space="preserve">Este relatório consolida a intenção de todos os projetos que foram selecionados para compor a carteira de projetos do Profisco II/ES. </w:t>
                              </w:r>
                            </w:sdtContent>
                          </w:sdt>
                        </w:p>
                      </w:txbxContent>
                    </v:textbox>
                    <w10:wrap anchorx="page" anchory="page"/>
                  </v:rect>
                </w:pict>
              </mc:Fallback>
            </mc:AlternateContent>
          </w:r>
          <w:r w:rsidR="00130D51" w:rsidRPr="00DE2D55">
            <w:rPr>
              <w:b/>
              <w:color w:val="996633"/>
              <w:lang w:eastAsia="pt-BR"/>
            </w:rPr>
            <w:br w:type="page"/>
          </w:r>
        </w:p>
      </w:sdtContent>
    </w:sdt>
    <w:p w:rsidR="00E87152" w:rsidRPr="00DE2D55" w:rsidRDefault="00E87152" w:rsidP="00FE560B">
      <w:pPr>
        <w:tabs>
          <w:tab w:val="left" w:pos="0"/>
        </w:tabs>
        <w:jc w:val="right"/>
        <w:rPr>
          <w:rFonts w:eastAsiaTheme="majorEastAsia" w:cstheme="majorBidi"/>
          <w:color w:val="242852" w:themeColor="text2"/>
        </w:rPr>
      </w:pPr>
      <w:r w:rsidRPr="00DE2D55">
        <w:rPr>
          <w:rFonts w:eastAsiaTheme="majorEastAsia" w:cstheme="majorBidi"/>
          <w:color w:val="242852" w:themeColor="text2"/>
        </w:rPr>
        <w:t>GOVERNO DO ESTADO DO ESPÍRITO SANTO</w:t>
      </w:r>
    </w:p>
    <w:p w:rsidR="00E87152" w:rsidRPr="00DE2D55" w:rsidRDefault="00E87152" w:rsidP="00FE560B">
      <w:pPr>
        <w:tabs>
          <w:tab w:val="left" w:pos="0"/>
        </w:tabs>
        <w:jc w:val="right"/>
        <w:rPr>
          <w:rFonts w:eastAsiaTheme="majorEastAsia" w:cstheme="majorBidi"/>
          <w:color w:val="242852" w:themeColor="text2"/>
        </w:rPr>
      </w:pPr>
      <w:r w:rsidRPr="00DE2D55">
        <w:rPr>
          <w:rFonts w:eastAsiaTheme="majorEastAsia" w:cstheme="majorBidi"/>
          <w:color w:val="242852" w:themeColor="text2"/>
        </w:rPr>
        <w:t>SECRETARIA DE ESTADO DA FAZENDA</w:t>
      </w:r>
    </w:p>
    <w:p w:rsidR="00931A09" w:rsidRPr="00DE2D55" w:rsidRDefault="009D394A" w:rsidP="00FE560B">
      <w:pPr>
        <w:tabs>
          <w:tab w:val="left" w:pos="0"/>
        </w:tabs>
        <w:jc w:val="right"/>
        <w:rPr>
          <w:color w:val="0033CC"/>
          <w:lang w:eastAsia="pt-BR"/>
        </w:rPr>
      </w:pPr>
      <w:r w:rsidRPr="00DE2D55">
        <w:rPr>
          <w:rFonts w:eastAsiaTheme="majorEastAsia" w:cstheme="majorBidi"/>
          <w:color w:val="242852" w:themeColor="text2"/>
        </w:rPr>
        <w:t>UNIDADE DE COORDENAÇÃO DE PROJETOS (UCP)</w:t>
      </w:r>
    </w:p>
    <w:p w:rsidR="00D96CBE" w:rsidRPr="00DE2D55" w:rsidRDefault="00D96CBE" w:rsidP="00FE560B">
      <w:pPr>
        <w:tabs>
          <w:tab w:val="left" w:pos="0"/>
        </w:tabs>
        <w:jc w:val="both"/>
        <w:rPr>
          <w:color w:val="0033CC"/>
          <w:lang w:eastAsia="pt-BR"/>
        </w:rPr>
      </w:pPr>
    </w:p>
    <w:p w:rsidR="00D96CBE" w:rsidRPr="00DE2D55" w:rsidRDefault="005B6641" w:rsidP="00FE560B">
      <w:pPr>
        <w:tabs>
          <w:tab w:val="left" w:pos="0"/>
        </w:tabs>
        <w:jc w:val="both"/>
        <w:rPr>
          <w:color w:val="0033CC"/>
          <w:lang w:eastAsia="pt-BR"/>
        </w:rPr>
      </w:pPr>
      <w:r w:rsidRPr="00DE2D55">
        <w:rPr>
          <w:noProof/>
          <w:color w:val="0033CC"/>
          <w:lang w:eastAsia="pt-BR"/>
        </w:rPr>
        <mc:AlternateContent>
          <mc:Choice Requires="wps">
            <w:drawing>
              <wp:anchor distT="0" distB="0" distL="114300" distR="114300" simplePos="0" relativeHeight="251687936" behindDoc="0" locked="0" layoutInCell="1" allowOverlap="1" wp14:anchorId="2101E315" wp14:editId="3F2CC921">
                <wp:simplePos x="0" y="0"/>
                <wp:positionH relativeFrom="margin">
                  <wp:posOffset>-24765</wp:posOffset>
                </wp:positionH>
                <wp:positionV relativeFrom="paragraph">
                  <wp:posOffset>85725</wp:posOffset>
                </wp:positionV>
                <wp:extent cx="5715000" cy="1543050"/>
                <wp:effectExtent l="0" t="0" r="0" b="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43050"/>
                        </a:xfrm>
                        <a:prstGeom prst="rect">
                          <a:avLst/>
                        </a:prstGeom>
                        <a:noFill/>
                        <a:ln>
                          <a:noFill/>
                        </a:ln>
                        <a:extLst>
                          <a:ext uri="{909E8E84-426E-40DD-AFC4-6F175D3DCCD1}">
                            <a14:hiddenFill xmlns:a14="http://schemas.microsoft.com/office/drawing/2010/main">
                              <a:solidFill>
                                <a:schemeClr val="accent1">
                                  <a:lumMod val="40000"/>
                                  <a:lumOff val="6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BB7" w:rsidRPr="005B6641" w:rsidRDefault="00E04BB7" w:rsidP="005B6641">
                            <w:pPr>
                              <w:jc w:val="center"/>
                              <w:rPr>
                                <w:rFonts w:ascii="Calibri" w:hAnsi="Calibri" w:cs="Calibri"/>
                                <w:b/>
                                <w:bCs/>
                                <w:smallCaps/>
                                <w:color w:val="0070C0"/>
                                <w:sz w:val="48"/>
                                <w:szCs w:val="48"/>
                              </w:rPr>
                            </w:pPr>
                            <w:r w:rsidRPr="005B6641">
                              <w:rPr>
                                <w:rFonts w:ascii="Calibri" w:hAnsi="Calibri" w:cs="Calibri"/>
                                <w:b/>
                                <w:bCs/>
                                <w:smallCaps/>
                                <w:color w:val="0070C0"/>
                                <w:sz w:val="48"/>
                                <w:szCs w:val="48"/>
                              </w:rPr>
                              <w:t>PROFISCO II/ ES</w:t>
                            </w:r>
                          </w:p>
                          <w:p w:rsidR="00E04BB7" w:rsidRPr="0001541D" w:rsidRDefault="00E04BB7" w:rsidP="005B6641">
                            <w:pPr>
                              <w:jc w:val="center"/>
                              <w:rPr>
                                <w:rFonts w:ascii="Calibri" w:hAnsi="Calibri" w:cs="Calibri"/>
                                <w:b/>
                                <w:bCs/>
                                <w:smallCaps/>
                                <w:color w:val="0070C0"/>
                                <w:sz w:val="28"/>
                                <w:szCs w:val="24"/>
                              </w:rPr>
                            </w:pPr>
                            <w:r>
                              <w:rPr>
                                <w:rFonts w:ascii="Calibri" w:hAnsi="Calibri" w:cs="Calibri"/>
                                <w:b/>
                                <w:bCs/>
                                <w:smallCaps/>
                                <w:color w:val="0070C0"/>
                                <w:sz w:val="28"/>
                                <w:szCs w:val="24"/>
                              </w:rPr>
                              <w:t>COMPONENTE 1</w:t>
                            </w:r>
                            <w:r w:rsidRPr="00EE6366">
                              <w:rPr>
                                <w:rFonts w:ascii="Calibri" w:hAnsi="Calibri" w:cs="Calibri"/>
                                <w:b/>
                                <w:bCs/>
                                <w:smallCaps/>
                                <w:color w:val="0070C0"/>
                                <w:sz w:val="28"/>
                                <w:szCs w:val="24"/>
                              </w:rPr>
                              <w:t xml:space="preserve">. </w:t>
                            </w:r>
                            <w:r w:rsidRPr="0001541D">
                              <w:rPr>
                                <w:rFonts w:ascii="Calibri" w:hAnsi="Calibri" w:cs="Calibri"/>
                                <w:b/>
                                <w:bCs/>
                                <w:smallCaps/>
                                <w:color w:val="0070C0"/>
                                <w:sz w:val="28"/>
                                <w:szCs w:val="24"/>
                              </w:rPr>
                              <w:t>GESTÃO FAZENDÁRIA E TRANSPARÊNCIA FISCAL</w:t>
                            </w:r>
                          </w:p>
                          <w:p w:rsidR="00E04BB7" w:rsidRDefault="00E04BB7" w:rsidP="005B6641">
                            <w:pPr>
                              <w:jc w:val="center"/>
                              <w:rPr>
                                <w:rFonts w:ascii="Calibri" w:hAnsi="Calibri" w:cs="Calibri"/>
                                <w:b/>
                                <w:bCs/>
                                <w:smallCaps/>
                                <w:color w:val="0070C0"/>
                                <w:sz w:val="28"/>
                                <w:szCs w:val="24"/>
                              </w:rPr>
                            </w:pPr>
                            <w:r>
                              <w:rPr>
                                <w:rFonts w:ascii="Calibri" w:hAnsi="Calibri" w:cs="Calibri"/>
                                <w:b/>
                                <w:bCs/>
                                <w:smallCaps/>
                                <w:color w:val="0070C0"/>
                                <w:sz w:val="28"/>
                                <w:szCs w:val="24"/>
                              </w:rPr>
                              <w:t>COMPONENTE 2</w:t>
                            </w:r>
                            <w:r w:rsidRPr="00EE6366">
                              <w:rPr>
                                <w:rFonts w:ascii="Calibri" w:hAnsi="Calibri" w:cs="Calibri"/>
                                <w:b/>
                                <w:bCs/>
                                <w:smallCaps/>
                                <w:color w:val="0070C0"/>
                                <w:sz w:val="28"/>
                                <w:szCs w:val="24"/>
                              </w:rPr>
                              <w:t xml:space="preserve">. </w:t>
                            </w:r>
                            <w:r w:rsidRPr="00DD27C9">
                              <w:rPr>
                                <w:rFonts w:ascii="Calibri" w:hAnsi="Calibri" w:cs="Calibri"/>
                                <w:b/>
                                <w:bCs/>
                                <w:smallCaps/>
                                <w:color w:val="0070C0"/>
                                <w:sz w:val="28"/>
                                <w:szCs w:val="24"/>
                              </w:rPr>
                              <w:t>ADMINISTRAÇÃO TRIBUTÁRIA E CONTENCIOSO FISCAL</w:t>
                            </w:r>
                          </w:p>
                          <w:p w:rsidR="00E04BB7" w:rsidRPr="00D96CBE" w:rsidRDefault="00E04BB7" w:rsidP="005B6641">
                            <w:pPr>
                              <w:spacing w:line="240" w:lineRule="auto"/>
                              <w:jc w:val="center"/>
                              <w:rPr>
                                <w:rFonts w:asciiTheme="majorHAnsi" w:eastAsiaTheme="majorEastAsia" w:hAnsiTheme="majorHAnsi" w:cstheme="majorBidi"/>
                                <w:color w:val="4A66AC" w:themeColor="accent1"/>
                                <w:sz w:val="44"/>
                                <w:szCs w:val="44"/>
                              </w:rPr>
                            </w:pPr>
                            <w:r>
                              <w:rPr>
                                <w:rFonts w:ascii="Calibri" w:hAnsi="Calibri" w:cs="Calibri"/>
                                <w:b/>
                                <w:bCs/>
                                <w:smallCaps/>
                                <w:color w:val="0070C0"/>
                                <w:sz w:val="28"/>
                                <w:szCs w:val="24"/>
                              </w:rPr>
                              <w:t>COMPONENTE 3</w:t>
                            </w:r>
                            <w:r w:rsidRPr="00EE6366">
                              <w:rPr>
                                <w:rFonts w:ascii="Calibri" w:hAnsi="Calibri" w:cs="Calibri"/>
                                <w:b/>
                                <w:bCs/>
                                <w:smallCaps/>
                                <w:color w:val="0070C0"/>
                                <w:sz w:val="28"/>
                                <w:szCs w:val="24"/>
                              </w:rPr>
                              <w:t xml:space="preserve">. </w:t>
                            </w:r>
                            <w:r w:rsidRPr="00DD27C9">
                              <w:rPr>
                                <w:rFonts w:ascii="Calibri" w:hAnsi="Calibri" w:cs="Calibri"/>
                                <w:b/>
                                <w:bCs/>
                                <w:smallCaps/>
                                <w:color w:val="0070C0"/>
                                <w:sz w:val="28"/>
                                <w:szCs w:val="24"/>
                              </w:rPr>
                              <w:t>ADMINISTRAÇÃO</w:t>
                            </w:r>
                            <w:r w:rsidRPr="0001541D">
                              <w:rPr>
                                <w:rFonts w:ascii="Calibri" w:hAnsi="Calibri" w:cs="Calibri"/>
                                <w:b/>
                                <w:bCs/>
                                <w:smallCaps/>
                                <w:color w:val="0070C0"/>
                                <w:sz w:val="28"/>
                                <w:szCs w:val="24"/>
                              </w:rPr>
                              <w:t xml:space="preserve"> </w:t>
                            </w:r>
                            <w:r>
                              <w:rPr>
                                <w:rFonts w:ascii="Calibri" w:hAnsi="Calibri" w:cs="Calibri"/>
                                <w:b/>
                                <w:bCs/>
                                <w:smallCaps/>
                                <w:color w:val="0070C0"/>
                                <w:sz w:val="28"/>
                                <w:szCs w:val="24"/>
                              </w:rPr>
                              <w:t>FINANCEIRA E GASTO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E315" id="Text Box 33" o:spid="_x0000_s1031" type="#_x0000_t202" style="position:absolute;left:0;text-align:left;margin-left:-1.95pt;margin-top:6.75pt;width:450pt;height:12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" filled="f" fillcolor="#b5c0df [1300]" stroked="f">
                <v:textbox>
                  <w:txbxContent>
                    <w:p w:rsidR="00E04BB7" w:rsidRPr="005B6641" w:rsidRDefault="00E04BB7" w:rsidP="005B6641">
                      <w:pPr>
                        <w:jc w:val="center"/>
                        <w:rPr>
                          <w:rFonts w:ascii="Calibri" w:hAnsi="Calibri" w:cs="Calibri"/>
                          <w:b/>
                          <w:bCs/>
                          <w:smallCaps/>
                          <w:color w:val="0070C0"/>
                          <w:sz w:val="48"/>
                          <w:szCs w:val="48"/>
                        </w:rPr>
                      </w:pPr>
                      <w:r w:rsidRPr="005B6641">
                        <w:rPr>
                          <w:rFonts w:ascii="Calibri" w:hAnsi="Calibri" w:cs="Calibri"/>
                          <w:b/>
                          <w:bCs/>
                          <w:smallCaps/>
                          <w:color w:val="0070C0"/>
                          <w:sz w:val="48"/>
                          <w:szCs w:val="48"/>
                        </w:rPr>
                        <w:t>PROFISCO II/ ES</w:t>
                      </w:r>
                    </w:p>
                    <w:p w:rsidR="00E04BB7" w:rsidRPr="0001541D" w:rsidRDefault="00E04BB7" w:rsidP="005B6641">
                      <w:pPr>
                        <w:jc w:val="center"/>
                        <w:rPr>
                          <w:rFonts w:ascii="Calibri" w:hAnsi="Calibri" w:cs="Calibri"/>
                          <w:b/>
                          <w:bCs/>
                          <w:smallCaps/>
                          <w:color w:val="0070C0"/>
                          <w:sz w:val="28"/>
                          <w:szCs w:val="24"/>
                        </w:rPr>
                      </w:pPr>
                      <w:r>
                        <w:rPr>
                          <w:rFonts w:ascii="Calibri" w:hAnsi="Calibri" w:cs="Calibri"/>
                          <w:b/>
                          <w:bCs/>
                          <w:smallCaps/>
                          <w:color w:val="0070C0"/>
                          <w:sz w:val="28"/>
                          <w:szCs w:val="24"/>
                        </w:rPr>
                        <w:t>COMPONENTE 1</w:t>
                      </w:r>
                      <w:r w:rsidRPr="00EE6366">
                        <w:rPr>
                          <w:rFonts w:ascii="Calibri" w:hAnsi="Calibri" w:cs="Calibri"/>
                          <w:b/>
                          <w:bCs/>
                          <w:smallCaps/>
                          <w:color w:val="0070C0"/>
                          <w:sz w:val="28"/>
                          <w:szCs w:val="24"/>
                        </w:rPr>
                        <w:t xml:space="preserve">. </w:t>
                      </w:r>
                      <w:r w:rsidRPr="0001541D">
                        <w:rPr>
                          <w:rFonts w:ascii="Calibri" w:hAnsi="Calibri" w:cs="Calibri"/>
                          <w:b/>
                          <w:bCs/>
                          <w:smallCaps/>
                          <w:color w:val="0070C0"/>
                          <w:sz w:val="28"/>
                          <w:szCs w:val="24"/>
                        </w:rPr>
                        <w:t>GESTÃO FAZENDÁRIA E TRANSPARÊNCIA FISCAL</w:t>
                      </w:r>
                    </w:p>
                    <w:p w:rsidR="00E04BB7" w:rsidRDefault="00E04BB7" w:rsidP="005B6641">
                      <w:pPr>
                        <w:jc w:val="center"/>
                        <w:rPr>
                          <w:rFonts w:ascii="Calibri" w:hAnsi="Calibri" w:cs="Calibri"/>
                          <w:b/>
                          <w:bCs/>
                          <w:smallCaps/>
                          <w:color w:val="0070C0"/>
                          <w:sz w:val="28"/>
                          <w:szCs w:val="24"/>
                        </w:rPr>
                      </w:pPr>
                      <w:r>
                        <w:rPr>
                          <w:rFonts w:ascii="Calibri" w:hAnsi="Calibri" w:cs="Calibri"/>
                          <w:b/>
                          <w:bCs/>
                          <w:smallCaps/>
                          <w:color w:val="0070C0"/>
                          <w:sz w:val="28"/>
                          <w:szCs w:val="24"/>
                        </w:rPr>
                        <w:t>COMPONENTE 2</w:t>
                      </w:r>
                      <w:r w:rsidRPr="00EE6366">
                        <w:rPr>
                          <w:rFonts w:ascii="Calibri" w:hAnsi="Calibri" w:cs="Calibri"/>
                          <w:b/>
                          <w:bCs/>
                          <w:smallCaps/>
                          <w:color w:val="0070C0"/>
                          <w:sz w:val="28"/>
                          <w:szCs w:val="24"/>
                        </w:rPr>
                        <w:t xml:space="preserve">. </w:t>
                      </w:r>
                      <w:r w:rsidRPr="00DD27C9">
                        <w:rPr>
                          <w:rFonts w:ascii="Calibri" w:hAnsi="Calibri" w:cs="Calibri"/>
                          <w:b/>
                          <w:bCs/>
                          <w:smallCaps/>
                          <w:color w:val="0070C0"/>
                          <w:sz w:val="28"/>
                          <w:szCs w:val="24"/>
                        </w:rPr>
                        <w:t>ADMINISTRAÇÃO TRIBUTÁRIA E CONTENCIOSO FISCAL</w:t>
                      </w:r>
                    </w:p>
                    <w:p w:rsidR="00E04BB7" w:rsidRPr="00D96CBE" w:rsidRDefault="00E04BB7" w:rsidP="005B6641">
                      <w:pPr>
                        <w:spacing w:line="240" w:lineRule="auto"/>
                        <w:jc w:val="center"/>
                        <w:rPr>
                          <w:rFonts w:asciiTheme="majorHAnsi" w:eastAsiaTheme="majorEastAsia" w:hAnsiTheme="majorHAnsi" w:cstheme="majorBidi"/>
                          <w:color w:val="4A66AC" w:themeColor="accent1"/>
                          <w:sz w:val="44"/>
                          <w:szCs w:val="44"/>
                        </w:rPr>
                      </w:pPr>
                      <w:r>
                        <w:rPr>
                          <w:rFonts w:ascii="Calibri" w:hAnsi="Calibri" w:cs="Calibri"/>
                          <w:b/>
                          <w:bCs/>
                          <w:smallCaps/>
                          <w:color w:val="0070C0"/>
                          <w:sz w:val="28"/>
                          <w:szCs w:val="24"/>
                        </w:rPr>
                        <w:t>COMPONENTE 3</w:t>
                      </w:r>
                      <w:r w:rsidRPr="00EE6366">
                        <w:rPr>
                          <w:rFonts w:ascii="Calibri" w:hAnsi="Calibri" w:cs="Calibri"/>
                          <w:b/>
                          <w:bCs/>
                          <w:smallCaps/>
                          <w:color w:val="0070C0"/>
                          <w:sz w:val="28"/>
                          <w:szCs w:val="24"/>
                        </w:rPr>
                        <w:t xml:space="preserve">. </w:t>
                      </w:r>
                      <w:r w:rsidRPr="00DD27C9">
                        <w:rPr>
                          <w:rFonts w:ascii="Calibri" w:hAnsi="Calibri" w:cs="Calibri"/>
                          <w:b/>
                          <w:bCs/>
                          <w:smallCaps/>
                          <w:color w:val="0070C0"/>
                          <w:sz w:val="28"/>
                          <w:szCs w:val="24"/>
                        </w:rPr>
                        <w:t>ADMINISTRAÇÃO</w:t>
                      </w:r>
                      <w:r w:rsidRPr="0001541D">
                        <w:rPr>
                          <w:rFonts w:ascii="Calibri" w:hAnsi="Calibri" w:cs="Calibri"/>
                          <w:b/>
                          <w:bCs/>
                          <w:smallCaps/>
                          <w:color w:val="0070C0"/>
                          <w:sz w:val="28"/>
                          <w:szCs w:val="24"/>
                        </w:rPr>
                        <w:t xml:space="preserve"> </w:t>
                      </w:r>
                      <w:r>
                        <w:rPr>
                          <w:rFonts w:ascii="Calibri" w:hAnsi="Calibri" w:cs="Calibri"/>
                          <w:b/>
                          <w:bCs/>
                          <w:smallCaps/>
                          <w:color w:val="0070C0"/>
                          <w:sz w:val="28"/>
                          <w:szCs w:val="24"/>
                        </w:rPr>
                        <w:t>FINANCEIRA E GASTO PÚBLICO</w:t>
                      </w:r>
                    </w:p>
                  </w:txbxContent>
                </v:textbox>
                <w10:wrap anchorx="margin"/>
              </v:shape>
            </w:pict>
          </mc:Fallback>
        </mc:AlternateContent>
      </w:r>
    </w:p>
    <w:p w:rsidR="00D96CBE" w:rsidRPr="00DE2D55" w:rsidRDefault="00D96CBE" w:rsidP="00FE560B">
      <w:pPr>
        <w:tabs>
          <w:tab w:val="left" w:pos="0"/>
        </w:tabs>
        <w:jc w:val="both"/>
        <w:rPr>
          <w:color w:val="0033CC"/>
          <w:lang w:eastAsia="pt-BR"/>
        </w:rPr>
      </w:pPr>
    </w:p>
    <w:p w:rsidR="00D96CBE" w:rsidRPr="00DE2D55" w:rsidRDefault="00D96CBE" w:rsidP="00FE560B">
      <w:pPr>
        <w:tabs>
          <w:tab w:val="left" w:pos="0"/>
        </w:tabs>
        <w:jc w:val="both"/>
        <w:rPr>
          <w:color w:val="0033CC"/>
          <w:lang w:eastAsia="pt-BR"/>
        </w:rPr>
      </w:pPr>
    </w:p>
    <w:p w:rsidR="00F82278" w:rsidRPr="00DE2D55" w:rsidRDefault="00F82278" w:rsidP="00FE560B">
      <w:pPr>
        <w:tabs>
          <w:tab w:val="left" w:pos="0"/>
        </w:tabs>
        <w:jc w:val="both"/>
        <w:rPr>
          <w:color w:val="0033CC"/>
          <w:lang w:eastAsia="pt-BR"/>
        </w:rPr>
      </w:pPr>
    </w:p>
    <w:p w:rsidR="00F82278" w:rsidRPr="00DE2D55" w:rsidRDefault="00F82278" w:rsidP="00FE560B">
      <w:pPr>
        <w:tabs>
          <w:tab w:val="left" w:pos="0"/>
        </w:tabs>
        <w:jc w:val="both"/>
        <w:rPr>
          <w:color w:val="0033CC"/>
          <w:lang w:eastAsia="pt-BR"/>
        </w:rPr>
      </w:pPr>
    </w:p>
    <w:p w:rsidR="00F82278" w:rsidRDefault="00D9090C" w:rsidP="00FE560B">
      <w:pPr>
        <w:tabs>
          <w:tab w:val="left" w:pos="0"/>
          <w:tab w:val="left" w:pos="2504"/>
          <w:tab w:val="right" w:pos="8504"/>
        </w:tabs>
        <w:jc w:val="both"/>
        <w:rPr>
          <w:color w:val="0033CC"/>
          <w:lang w:eastAsia="pt-BR"/>
        </w:rPr>
      </w:pPr>
      <w:r w:rsidRPr="00DE2D55">
        <w:rPr>
          <w:color w:val="0033CC"/>
        </w:rPr>
        <w:tab/>
      </w:r>
    </w:p>
    <w:p w:rsidR="00DD3AC2" w:rsidRPr="00DD3AC2" w:rsidRDefault="00DD3AC2" w:rsidP="00FE560B">
      <w:pPr>
        <w:tabs>
          <w:tab w:val="left" w:pos="0"/>
          <w:tab w:val="left" w:pos="2504"/>
          <w:tab w:val="right" w:pos="8504"/>
        </w:tabs>
        <w:jc w:val="both"/>
        <w:rPr>
          <w:color w:val="0033CC"/>
          <w:lang w:eastAsia="pt-BR"/>
        </w:rPr>
      </w:pPr>
    </w:p>
    <w:p w:rsidR="00610CEE" w:rsidRDefault="00610CEE" w:rsidP="00FE560B">
      <w:pPr>
        <w:tabs>
          <w:tab w:val="left" w:pos="0"/>
        </w:tabs>
        <w:jc w:val="both"/>
        <w:rPr>
          <w:color w:val="996633"/>
          <w:lang w:eastAsia="pt-BR"/>
        </w:rPr>
      </w:pPr>
    </w:p>
    <w:p w:rsidR="001B3512" w:rsidRDefault="001B3512" w:rsidP="00FE560B">
      <w:pPr>
        <w:tabs>
          <w:tab w:val="left" w:pos="0"/>
        </w:tabs>
        <w:jc w:val="both"/>
        <w:rPr>
          <w:color w:val="996633"/>
          <w:lang w:eastAsia="pt-BR"/>
        </w:rPr>
      </w:pPr>
    </w:p>
    <w:p w:rsidR="001B3512" w:rsidRDefault="001B3512" w:rsidP="00FE560B">
      <w:pPr>
        <w:tabs>
          <w:tab w:val="left" w:pos="0"/>
        </w:tabs>
        <w:jc w:val="both"/>
        <w:rPr>
          <w:color w:val="996633"/>
          <w:lang w:eastAsia="pt-BR"/>
        </w:rPr>
      </w:pPr>
    </w:p>
    <w:p w:rsidR="001B3512" w:rsidRDefault="001B3512" w:rsidP="00FE560B">
      <w:pPr>
        <w:tabs>
          <w:tab w:val="left" w:pos="0"/>
        </w:tabs>
        <w:jc w:val="both"/>
        <w:rPr>
          <w:color w:val="996633"/>
          <w:lang w:eastAsia="pt-BR"/>
        </w:rPr>
      </w:pPr>
    </w:p>
    <w:p w:rsidR="001B3512" w:rsidRPr="00DE2D55" w:rsidRDefault="001B3512" w:rsidP="00FE560B">
      <w:pPr>
        <w:tabs>
          <w:tab w:val="left" w:pos="0"/>
        </w:tabs>
        <w:jc w:val="both"/>
        <w:rPr>
          <w:color w:val="996633"/>
          <w:lang w:eastAsia="pt-BR"/>
        </w:rPr>
      </w:pPr>
    </w:p>
    <w:p w:rsidR="00F82278" w:rsidRPr="00DE2D55" w:rsidRDefault="005B6641" w:rsidP="00FE560B">
      <w:pPr>
        <w:tabs>
          <w:tab w:val="left" w:pos="0"/>
        </w:tabs>
        <w:jc w:val="right"/>
        <w:rPr>
          <w:rFonts w:eastAsiaTheme="majorEastAsia" w:cstheme="majorBidi"/>
          <w:color w:val="242852" w:themeColor="text2"/>
        </w:rPr>
      </w:pPr>
      <w:r w:rsidRPr="00DE2D55">
        <w:rPr>
          <w:rFonts w:eastAsiaTheme="majorEastAsia" w:cstheme="majorBidi"/>
          <w:color w:val="242852" w:themeColor="text2"/>
        </w:rPr>
        <w:t>V</w:t>
      </w:r>
      <w:r w:rsidR="00F82278" w:rsidRPr="00DE2D55">
        <w:rPr>
          <w:rFonts w:eastAsiaTheme="majorEastAsia" w:cstheme="majorBidi"/>
          <w:color w:val="242852" w:themeColor="text2"/>
        </w:rPr>
        <w:t xml:space="preserve">itória, </w:t>
      </w:r>
      <w:r w:rsidRPr="00DE2D55">
        <w:rPr>
          <w:rFonts w:eastAsiaTheme="majorEastAsia" w:cstheme="majorBidi"/>
          <w:color w:val="242852" w:themeColor="text2"/>
        </w:rPr>
        <w:t>junho</w:t>
      </w:r>
      <w:r w:rsidR="00AA2B6A" w:rsidRPr="00DE2D55">
        <w:rPr>
          <w:rFonts w:eastAsiaTheme="majorEastAsia" w:cstheme="majorBidi"/>
          <w:color w:val="242852" w:themeColor="text2"/>
        </w:rPr>
        <w:t xml:space="preserve"> de</w:t>
      </w:r>
      <w:r w:rsidRPr="00DE2D55">
        <w:rPr>
          <w:rFonts w:eastAsiaTheme="majorEastAsia" w:cstheme="majorBidi"/>
          <w:color w:val="242852" w:themeColor="text2"/>
        </w:rPr>
        <w:t xml:space="preserve"> 2018</w:t>
      </w:r>
    </w:p>
    <w:p w:rsidR="008743F8" w:rsidRPr="00DE2D55" w:rsidRDefault="00C80BC2" w:rsidP="00FE560B">
      <w:pPr>
        <w:pStyle w:val="Default"/>
        <w:tabs>
          <w:tab w:val="left" w:pos="0"/>
        </w:tabs>
        <w:jc w:val="both"/>
        <w:rPr>
          <w:rFonts w:asciiTheme="minorHAnsi" w:hAnsiTheme="minorHAnsi"/>
          <w:sz w:val="22"/>
          <w:szCs w:val="22"/>
        </w:rPr>
      </w:pPr>
      <w:r w:rsidRPr="00DE2D55">
        <w:rPr>
          <w:rFonts w:asciiTheme="minorHAnsi" w:hAnsiTheme="minorHAnsi"/>
          <w:b/>
          <w:bCs/>
          <w:noProof/>
          <w:sz w:val="22"/>
          <w:szCs w:val="22"/>
          <w:lang w:eastAsia="pt-BR"/>
        </w:rPr>
        <mc:AlternateContent>
          <mc:Choice Requires="wps">
            <w:drawing>
              <wp:anchor distT="0" distB="0" distL="114300" distR="114300" simplePos="0" relativeHeight="251688960" behindDoc="0" locked="0" layoutInCell="1" allowOverlap="1" wp14:anchorId="7B39B281" wp14:editId="3332671C">
                <wp:simplePos x="0" y="0"/>
                <wp:positionH relativeFrom="column">
                  <wp:posOffset>-833755</wp:posOffset>
                </wp:positionH>
                <wp:positionV relativeFrom="paragraph">
                  <wp:posOffset>29210</wp:posOffset>
                </wp:positionV>
                <wp:extent cx="731520" cy="8468360"/>
                <wp:effectExtent l="0" t="0" r="0" b="889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8468360"/>
                        </a:xfrm>
                        <a:prstGeom prst="rect">
                          <a:avLst/>
                        </a:prstGeom>
                        <a:gradFill>
                          <a:gsLst>
                            <a:gs pos="0">
                              <a:schemeClr val="tx2">
                                <a:lumMod val="75000"/>
                              </a:schemeClr>
                            </a:gs>
                            <a:gs pos="100000">
                              <a:schemeClr val="tx2">
                                <a:lumMod val="60000"/>
                                <a:lumOff val="40000"/>
                              </a:schemeClr>
                            </a:gs>
                          </a:gsLst>
                          <a:lin ang="54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2EB07" id="Rectangle 38" o:spid="_x0000_s1026" style="position:absolute;margin-left:-65.65pt;margin-top:2.3pt;width:57.6pt;height:66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" fillcolor="#1b1d3d [2415]" stroked="f">
                <v:fill color2="#5b63b7 [1951]" focus="100%" type="gradient"/>
              </v:rect>
            </w:pict>
          </mc:Fallback>
        </mc:AlternateContent>
      </w:r>
      <w:r w:rsidR="009D394A" w:rsidRPr="00DE2D55">
        <w:rPr>
          <w:rFonts w:asciiTheme="minorHAnsi" w:hAnsiTheme="minorHAnsi"/>
          <w:b/>
          <w:bCs/>
          <w:sz w:val="22"/>
          <w:szCs w:val="22"/>
        </w:rPr>
        <w:t>SECRETÁRIO</w:t>
      </w:r>
      <w:r w:rsidR="008743F8" w:rsidRPr="00DE2D55">
        <w:rPr>
          <w:rFonts w:asciiTheme="minorHAnsi" w:hAnsiTheme="minorHAnsi"/>
          <w:b/>
          <w:bCs/>
          <w:sz w:val="22"/>
          <w:szCs w:val="22"/>
        </w:rPr>
        <w:t xml:space="preserve"> DE ESTADO FAZENDA </w:t>
      </w:r>
    </w:p>
    <w:p w:rsidR="008743F8" w:rsidRPr="00DE2D55" w:rsidRDefault="009D394A" w:rsidP="00FE560B">
      <w:pPr>
        <w:pStyle w:val="Default"/>
        <w:tabs>
          <w:tab w:val="left" w:pos="0"/>
        </w:tabs>
        <w:jc w:val="both"/>
        <w:rPr>
          <w:rFonts w:asciiTheme="minorHAnsi" w:hAnsiTheme="minorHAnsi"/>
          <w:sz w:val="22"/>
          <w:szCs w:val="22"/>
        </w:rPr>
      </w:pPr>
      <w:r w:rsidRPr="00DE2D55">
        <w:rPr>
          <w:rFonts w:asciiTheme="minorHAnsi" w:hAnsiTheme="minorHAnsi"/>
          <w:sz w:val="22"/>
          <w:szCs w:val="22"/>
        </w:rPr>
        <w:t>Bruno Funchal</w:t>
      </w:r>
    </w:p>
    <w:p w:rsidR="00237F0A" w:rsidRPr="00DE2D55" w:rsidRDefault="00237F0A" w:rsidP="00FE560B">
      <w:pPr>
        <w:pStyle w:val="Default"/>
        <w:tabs>
          <w:tab w:val="left" w:pos="0"/>
        </w:tabs>
        <w:jc w:val="both"/>
        <w:rPr>
          <w:rFonts w:asciiTheme="minorHAnsi" w:hAnsiTheme="minorHAnsi"/>
          <w:sz w:val="22"/>
          <w:szCs w:val="22"/>
        </w:rPr>
      </w:pPr>
    </w:p>
    <w:p w:rsidR="008743F8" w:rsidRPr="00DE2D55" w:rsidRDefault="00237F0A"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SUBSECRETÁRIO</w:t>
      </w:r>
      <w:r w:rsidR="008743F8" w:rsidRPr="00DE2D55">
        <w:rPr>
          <w:rFonts w:asciiTheme="minorHAnsi" w:hAnsiTheme="minorHAnsi"/>
          <w:b/>
          <w:bCs/>
          <w:sz w:val="22"/>
          <w:szCs w:val="22"/>
        </w:rPr>
        <w:t xml:space="preserve"> DO TESOURO ESTADUAL </w:t>
      </w:r>
    </w:p>
    <w:p w:rsidR="008743F8" w:rsidRPr="00DE2D55" w:rsidRDefault="00237F0A" w:rsidP="00FE560B">
      <w:pPr>
        <w:pStyle w:val="Default"/>
        <w:tabs>
          <w:tab w:val="left" w:pos="0"/>
        </w:tabs>
        <w:jc w:val="both"/>
        <w:rPr>
          <w:rFonts w:asciiTheme="minorHAnsi" w:hAnsiTheme="minorHAnsi"/>
          <w:sz w:val="22"/>
          <w:szCs w:val="22"/>
        </w:rPr>
      </w:pPr>
      <w:r w:rsidRPr="00DE2D55">
        <w:rPr>
          <w:rFonts w:asciiTheme="minorHAnsi" w:hAnsiTheme="minorHAnsi"/>
          <w:sz w:val="22"/>
          <w:szCs w:val="22"/>
        </w:rPr>
        <w:t>Gustavo Lisboa Cruz</w:t>
      </w:r>
    </w:p>
    <w:p w:rsidR="008743F8" w:rsidRPr="00DE2D55" w:rsidRDefault="008743F8" w:rsidP="00FE560B">
      <w:pPr>
        <w:pStyle w:val="Default"/>
        <w:tabs>
          <w:tab w:val="left" w:pos="0"/>
        </w:tabs>
        <w:jc w:val="both"/>
        <w:rPr>
          <w:rFonts w:asciiTheme="minorHAnsi" w:hAnsiTheme="minorHAnsi"/>
          <w:sz w:val="22"/>
          <w:szCs w:val="22"/>
        </w:rPr>
      </w:pPr>
    </w:p>
    <w:p w:rsidR="009D394A" w:rsidRPr="00DE2D55" w:rsidRDefault="009D394A"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SUBSECRETÁRIO </w:t>
      </w:r>
      <w:r w:rsidR="005B6641" w:rsidRPr="00DE2D55">
        <w:rPr>
          <w:rFonts w:asciiTheme="minorHAnsi" w:hAnsiTheme="minorHAnsi"/>
          <w:b/>
          <w:bCs/>
          <w:sz w:val="22"/>
          <w:szCs w:val="22"/>
        </w:rPr>
        <w:t>DE ESTADO DA RECEITA</w:t>
      </w:r>
    </w:p>
    <w:p w:rsidR="008743F8" w:rsidRPr="00DE2D55" w:rsidRDefault="00266BE6"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 </w:t>
      </w:r>
      <w:r w:rsidR="005B6641" w:rsidRPr="00DE2D55">
        <w:rPr>
          <w:rFonts w:asciiTheme="minorHAnsi" w:hAnsiTheme="minorHAnsi"/>
          <w:sz w:val="22"/>
          <w:szCs w:val="22"/>
        </w:rPr>
        <w:t>Sergio Pereira Ricardo</w:t>
      </w:r>
    </w:p>
    <w:p w:rsidR="008743F8" w:rsidRPr="00DE2D55" w:rsidRDefault="008743F8" w:rsidP="00FE560B">
      <w:pPr>
        <w:pStyle w:val="Default"/>
        <w:tabs>
          <w:tab w:val="left" w:pos="0"/>
        </w:tabs>
        <w:jc w:val="both"/>
        <w:rPr>
          <w:rFonts w:asciiTheme="minorHAnsi" w:hAnsiTheme="minorHAnsi"/>
          <w:sz w:val="22"/>
          <w:szCs w:val="22"/>
        </w:rPr>
      </w:pP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SUBSECRETÁRIA DE ESTADO PARA ASSUNTOS ADMINISTRATIVOS </w:t>
      </w: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 </w:t>
      </w:r>
      <w:r w:rsidRPr="00DE2D55">
        <w:rPr>
          <w:rFonts w:asciiTheme="minorHAnsi" w:hAnsiTheme="minorHAnsi"/>
          <w:sz w:val="22"/>
          <w:szCs w:val="22"/>
        </w:rPr>
        <w:t>Fabiana Alves da Silva</w:t>
      </w:r>
    </w:p>
    <w:p w:rsidR="008743F8" w:rsidRPr="00DE2D55" w:rsidRDefault="008743F8" w:rsidP="00FE560B">
      <w:pPr>
        <w:pStyle w:val="Default"/>
        <w:tabs>
          <w:tab w:val="left" w:pos="0"/>
        </w:tabs>
        <w:jc w:val="both"/>
        <w:rPr>
          <w:rFonts w:asciiTheme="minorHAnsi" w:hAnsiTheme="minorHAnsi"/>
          <w:sz w:val="22"/>
          <w:szCs w:val="22"/>
        </w:rPr>
      </w:pP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COORDENADORA GERAL DA UNIDADE DE COORDENAÇÃO DE PROJETOS </w:t>
      </w: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 </w:t>
      </w:r>
      <w:r w:rsidRPr="00DE2D55">
        <w:rPr>
          <w:rFonts w:asciiTheme="minorHAnsi" w:hAnsiTheme="minorHAnsi"/>
          <w:sz w:val="22"/>
          <w:szCs w:val="22"/>
        </w:rPr>
        <w:t>Andressa Rodrigues Pavão</w:t>
      </w:r>
    </w:p>
    <w:p w:rsidR="005B6641" w:rsidRPr="00DE2D55" w:rsidRDefault="005B6641" w:rsidP="00FE560B">
      <w:pPr>
        <w:pStyle w:val="Default"/>
        <w:tabs>
          <w:tab w:val="left" w:pos="0"/>
        </w:tabs>
        <w:jc w:val="both"/>
        <w:rPr>
          <w:rFonts w:asciiTheme="minorHAnsi" w:hAnsiTheme="minorHAnsi"/>
          <w:sz w:val="22"/>
          <w:szCs w:val="22"/>
        </w:rPr>
      </w:pP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GERENTE DE TECNOLOGIA DA INFORMAÇÃO </w:t>
      </w: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 </w:t>
      </w:r>
      <w:r w:rsidRPr="00DE2D55">
        <w:rPr>
          <w:rFonts w:asciiTheme="minorHAnsi" w:hAnsiTheme="minorHAnsi"/>
          <w:sz w:val="22"/>
          <w:szCs w:val="22"/>
        </w:rPr>
        <w:t xml:space="preserve">Edésio Medeiros Assad </w:t>
      </w:r>
    </w:p>
    <w:p w:rsidR="005B6641" w:rsidRPr="00DE2D55" w:rsidRDefault="005B6641" w:rsidP="00FE560B">
      <w:pPr>
        <w:pStyle w:val="Default"/>
        <w:tabs>
          <w:tab w:val="left" w:pos="0"/>
        </w:tabs>
        <w:jc w:val="both"/>
        <w:rPr>
          <w:rFonts w:asciiTheme="minorHAnsi" w:hAnsiTheme="minorHAnsi"/>
          <w:sz w:val="22"/>
          <w:szCs w:val="22"/>
        </w:rPr>
      </w:pP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GERENTE DE DESENVOLVIMENTO FAZENDÁRIO </w:t>
      </w:r>
    </w:p>
    <w:p w:rsidR="005B6641" w:rsidRPr="00DE2D55" w:rsidRDefault="005B6641" w:rsidP="00FE560B">
      <w:pPr>
        <w:pStyle w:val="Default"/>
        <w:tabs>
          <w:tab w:val="left" w:pos="0"/>
        </w:tabs>
        <w:jc w:val="both"/>
        <w:rPr>
          <w:rFonts w:asciiTheme="minorHAnsi" w:hAnsiTheme="minorHAnsi"/>
          <w:sz w:val="22"/>
          <w:szCs w:val="22"/>
        </w:rPr>
      </w:pPr>
      <w:r w:rsidRPr="00DE2D55">
        <w:rPr>
          <w:rFonts w:asciiTheme="minorHAnsi" w:hAnsiTheme="minorHAnsi"/>
          <w:b/>
          <w:bCs/>
          <w:sz w:val="22"/>
          <w:szCs w:val="22"/>
        </w:rPr>
        <w:t xml:space="preserve"> </w:t>
      </w:r>
      <w:r w:rsidRPr="00DE2D55">
        <w:rPr>
          <w:rFonts w:asciiTheme="minorHAnsi" w:hAnsiTheme="minorHAnsi"/>
          <w:sz w:val="22"/>
          <w:szCs w:val="22"/>
        </w:rPr>
        <w:t xml:space="preserve">Luis Antonio Rangel </w:t>
      </w:r>
    </w:p>
    <w:p w:rsidR="005B6641" w:rsidRPr="00DE2D55" w:rsidRDefault="005B6641" w:rsidP="00FE560B">
      <w:pPr>
        <w:pStyle w:val="Default"/>
        <w:tabs>
          <w:tab w:val="left" w:pos="0"/>
        </w:tabs>
        <w:jc w:val="both"/>
        <w:rPr>
          <w:rFonts w:asciiTheme="minorHAnsi" w:hAnsiTheme="minorHAnsi"/>
          <w:sz w:val="22"/>
          <w:szCs w:val="22"/>
        </w:rPr>
      </w:pPr>
    </w:p>
    <w:p w:rsidR="008743F8" w:rsidRPr="00DE2D55" w:rsidRDefault="008743F8" w:rsidP="00FE560B">
      <w:pPr>
        <w:pStyle w:val="Default"/>
        <w:tabs>
          <w:tab w:val="left" w:pos="0"/>
        </w:tabs>
        <w:jc w:val="both"/>
        <w:rPr>
          <w:rFonts w:asciiTheme="minorHAnsi" w:hAnsiTheme="minorHAnsi"/>
          <w:sz w:val="22"/>
          <w:szCs w:val="22"/>
          <w14:textFill>
            <w14:gradFill>
              <w14:gsLst>
                <w14:gs w14:pos="0">
                  <w14:schemeClr w14:val="tx2">
                    <w14:lumMod w14:val="75000"/>
                  </w14:schemeClr>
                </w14:gs>
                <w14:gs w14:pos="100000">
                  <w14:schemeClr w14:val="tx2">
                    <w14:lumMod w14:val="60000"/>
                    <w14:lumOff w14:val="40000"/>
                  </w14:schemeClr>
                </w14:gs>
              </w14:gsLst>
              <w14:lin w14:ang="5400000" w14:scaled="0"/>
            </w14:gradFill>
          </w14:textFill>
        </w:rPr>
      </w:pPr>
      <w:r w:rsidRPr="00DE2D55">
        <w:rPr>
          <w:rFonts w:asciiTheme="minorHAnsi" w:hAnsiTheme="minorHAnsi"/>
          <w:b/>
          <w:bCs/>
          <w:sz w:val="22"/>
          <w:szCs w:val="22"/>
        </w:rPr>
        <w:t xml:space="preserve">EQUIPE DE </w:t>
      </w:r>
      <w:r w:rsidR="005B6641" w:rsidRPr="00DE2D55">
        <w:rPr>
          <w:rFonts w:asciiTheme="minorHAnsi" w:hAnsiTheme="minorHAnsi"/>
          <w:b/>
          <w:bCs/>
          <w:sz w:val="22"/>
          <w:szCs w:val="22"/>
        </w:rPr>
        <w:t>ORGANIZAÇÃO</w:t>
      </w:r>
      <w:r w:rsidRPr="00DE2D55">
        <w:rPr>
          <w:rFonts w:asciiTheme="minorHAnsi" w:hAnsiTheme="minorHAnsi"/>
          <w:b/>
          <w:bCs/>
          <w:sz w:val="22"/>
          <w:szCs w:val="22"/>
        </w:rPr>
        <w:t xml:space="preserve"> </w:t>
      </w:r>
    </w:p>
    <w:p w:rsidR="00266BE6" w:rsidRDefault="005B6641" w:rsidP="00FE560B">
      <w:pPr>
        <w:pStyle w:val="Default"/>
        <w:tabs>
          <w:tab w:val="left" w:pos="0"/>
        </w:tabs>
        <w:jc w:val="both"/>
        <w:rPr>
          <w:rFonts w:asciiTheme="minorHAnsi" w:hAnsiTheme="minorHAnsi"/>
          <w:b/>
          <w:bCs/>
          <w:sz w:val="22"/>
          <w:szCs w:val="22"/>
        </w:rPr>
      </w:pPr>
      <w:r w:rsidRPr="00DE2D55">
        <w:rPr>
          <w:rFonts w:asciiTheme="minorHAnsi" w:hAnsiTheme="minorHAnsi"/>
          <w:b/>
          <w:bCs/>
          <w:sz w:val="22"/>
          <w:szCs w:val="22"/>
        </w:rPr>
        <w:t>Unidade de Coordenação de Projetos</w:t>
      </w:r>
    </w:p>
    <w:p w:rsidR="00E85505" w:rsidRPr="00DE2D55" w:rsidRDefault="00E85505" w:rsidP="00FE560B">
      <w:pPr>
        <w:pStyle w:val="Default"/>
        <w:tabs>
          <w:tab w:val="left" w:pos="0"/>
        </w:tabs>
        <w:jc w:val="both"/>
        <w:rPr>
          <w:rFonts w:asciiTheme="minorHAnsi" w:hAnsiTheme="minorHAnsi"/>
          <w:sz w:val="22"/>
          <w:szCs w:val="22"/>
        </w:rPr>
      </w:pPr>
    </w:p>
    <w:sdt>
      <w:sdtPr>
        <w:rPr>
          <w:rFonts w:asciiTheme="minorHAnsi" w:eastAsiaTheme="minorHAnsi" w:hAnsiTheme="minorHAnsi" w:cstheme="minorBidi"/>
          <w:b w:val="0"/>
          <w:bCs w:val="0"/>
          <w:color w:val="auto"/>
          <w:sz w:val="22"/>
          <w:szCs w:val="22"/>
        </w:rPr>
        <w:id w:val="596142132"/>
        <w:docPartObj>
          <w:docPartGallery w:val="Table of Contents"/>
          <w:docPartUnique/>
        </w:docPartObj>
      </w:sdtPr>
      <w:sdtContent>
        <w:p w:rsidR="00E85505" w:rsidRDefault="00A73CF4" w:rsidP="00FE560B">
          <w:pPr>
            <w:pStyle w:val="CabealhodoSumrio"/>
            <w:tabs>
              <w:tab w:val="left" w:pos="0"/>
            </w:tabs>
            <w:spacing w:before="0"/>
            <w:jc w:val="both"/>
            <w:rPr>
              <w:noProof/>
            </w:rPr>
          </w:pPr>
          <w:r w:rsidRPr="00DE2D55">
            <w:rPr>
              <w:rFonts w:asciiTheme="minorHAnsi" w:hAnsiTheme="minorHAnsi"/>
              <w:sz w:val="22"/>
              <w:szCs w:val="22"/>
            </w:rPr>
            <w:t>Sumário</w:t>
          </w:r>
          <w:r w:rsidRPr="00DE2D55">
            <w:fldChar w:fldCharType="begin"/>
          </w:r>
          <w:r w:rsidRPr="00DE2D55">
            <w:instrText xml:space="preserve"> TOC \o "1-3" \h \z \u </w:instrText>
          </w:r>
          <w:r w:rsidRPr="00DE2D55">
            <w:fldChar w:fldCharType="separate"/>
          </w:r>
        </w:p>
        <w:p w:rsidR="00E85505" w:rsidRDefault="00E85505">
          <w:pPr>
            <w:pStyle w:val="Sumrio1"/>
            <w:tabs>
              <w:tab w:val="right" w:pos="9770"/>
            </w:tabs>
            <w:rPr>
              <w:rFonts w:eastAsiaTheme="minorEastAsia"/>
              <w:noProof/>
              <w:lang w:eastAsia="pt-BR"/>
            </w:rPr>
          </w:pPr>
          <w:hyperlink w:anchor="_Toc517282041" w:history="1">
            <w:r w:rsidRPr="006B134E">
              <w:rPr>
                <w:rStyle w:val="Hyperlink"/>
                <w:rFonts w:cs="Calibri"/>
                <w:noProof/>
              </w:rPr>
              <w:t>INTRODUÇÃO</w:t>
            </w:r>
            <w:r>
              <w:rPr>
                <w:noProof/>
                <w:webHidden/>
              </w:rPr>
              <w:tab/>
            </w:r>
            <w:r>
              <w:rPr>
                <w:noProof/>
                <w:webHidden/>
              </w:rPr>
              <w:fldChar w:fldCharType="begin"/>
            </w:r>
            <w:r>
              <w:rPr>
                <w:noProof/>
                <w:webHidden/>
              </w:rPr>
              <w:instrText xml:space="preserve"> PAGEREF _Toc517282041 \h </w:instrText>
            </w:r>
            <w:r>
              <w:rPr>
                <w:noProof/>
                <w:webHidden/>
              </w:rPr>
            </w:r>
            <w:r>
              <w:rPr>
                <w:noProof/>
                <w:webHidden/>
              </w:rPr>
              <w:fldChar w:fldCharType="separate"/>
            </w:r>
            <w:r>
              <w:rPr>
                <w:noProof/>
                <w:webHidden/>
              </w:rPr>
              <w:t>8</w:t>
            </w:r>
            <w:r>
              <w:rPr>
                <w:noProof/>
                <w:webHidden/>
              </w:rPr>
              <w:fldChar w:fldCharType="end"/>
            </w:r>
          </w:hyperlink>
        </w:p>
        <w:p w:rsidR="00E85505" w:rsidRDefault="00E85505">
          <w:pPr>
            <w:pStyle w:val="Sumrio1"/>
            <w:tabs>
              <w:tab w:val="right" w:pos="9770"/>
            </w:tabs>
            <w:rPr>
              <w:rFonts w:eastAsiaTheme="minorEastAsia"/>
              <w:noProof/>
              <w:lang w:eastAsia="pt-BR"/>
            </w:rPr>
          </w:pPr>
          <w:hyperlink w:anchor="_Toc517282042" w:history="1">
            <w:r w:rsidRPr="006B134E">
              <w:rPr>
                <w:rStyle w:val="Hyperlink"/>
                <w:rFonts w:eastAsia="Times New Roman" w:cs="Arial"/>
                <w:noProof/>
                <w:lang w:eastAsia="pt-BR"/>
              </w:rPr>
              <w:t>COMPONENTE 1. GESTÃO FAZENDÁRIA E TRANSPARÊNCIA FISCAL</w:t>
            </w:r>
            <w:r>
              <w:rPr>
                <w:noProof/>
                <w:webHidden/>
              </w:rPr>
              <w:tab/>
            </w:r>
            <w:r>
              <w:rPr>
                <w:noProof/>
                <w:webHidden/>
              </w:rPr>
              <w:fldChar w:fldCharType="begin"/>
            </w:r>
            <w:r>
              <w:rPr>
                <w:noProof/>
                <w:webHidden/>
              </w:rPr>
              <w:instrText xml:space="preserve"> PAGEREF _Toc517282042 \h </w:instrText>
            </w:r>
            <w:r>
              <w:rPr>
                <w:noProof/>
                <w:webHidden/>
              </w:rPr>
            </w:r>
            <w:r>
              <w:rPr>
                <w:noProof/>
                <w:webHidden/>
              </w:rPr>
              <w:fldChar w:fldCharType="separate"/>
            </w:r>
            <w:r>
              <w:rPr>
                <w:noProof/>
                <w:webHidden/>
              </w:rPr>
              <w:t>9</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43" w:history="1">
            <w:r w:rsidRPr="006B134E">
              <w:rPr>
                <w:rStyle w:val="Hyperlink"/>
                <w:rFonts w:eastAsia="Times New Roman" w:cs="Arial"/>
                <w:noProof/>
                <w:lang w:eastAsia="pt-BR"/>
              </w:rPr>
              <w:t>PRODUTO 1. MODELO DE GOVERNANÇA DA GESTÃO FISCAL IMPLANTADO</w:t>
            </w:r>
            <w:r>
              <w:rPr>
                <w:noProof/>
                <w:webHidden/>
              </w:rPr>
              <w:tab/>
            </w:r>
            <w:r>
              <w:rPr>
                <w:noProof/>
                <w:webHidden/>
              </w:rPr>
              <w:fldChar w:fldCharType="begin"/>
            </w:r>
            <w:r>
              <w:rPr>
                <w:noProof/>
                <w:webHidden/>
              </w:rPr>
              <w:instrText xml:space="preserve"> PAGEREF _Toc517282043 \h </w:instrText>
            </w:r>
            <w:r>
              <w:rPr>
                <w:noProof/>
                <w:webHidden/>
              </w:rPr>
            </w:r>
            <w:r>
              <w:rPr>
                <w:noProof/>
                <w:webHidden/>
              </w:rPr>
              <w:fldChar w:fldCharType="separate"/>
            </w:r>
            <w:r>
              <w:rPr>
                <w:noProof/>
                <w:webHidden/>
              </w:rPr>
              <w:t>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4" w:history="1">
            <w:r w:rsidRPr="006B134E">
              <w:rPr>
                <w:rStyle w:val="Hyperlink"/>
                <w:rFonts w:cs="Calibri"/>
                <w:b/>
                <w:noProof/>
              </w:rPr>
              <w:t>1.1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_Toc517282044 \h </w:instrText>
            </w:r>
            <w:r>
              <w:rPr>
                <w:noProof/>
                <w:webHidden/>
              </w:rPr>
            </w:r>
            <w:r>
              <w:rPr>
                <w:noProof/>
                <w:webHidden/>
              </w:rPr>
              <w:fldChar w:fldCharType="separate"/>
            </w:r>
            <w:r>
              <w:rPr>
                <w:noProof/>
                <w:webHidden/>
              </w:rPr>
              <w:t>10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5" w:history="1">
            <w:r w:rsidRPr="006B134E">
              <w:rPr>
                <w:rStyle w:val="Hyperlink"/>
                <w:rFonts w:cs="Calibri"/>
                <w:b/>
                <w:noProof/>
              </w:rPr>
              <w:t>1.2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_Toc517282045 \h </w:instrText>
            </w:r>
            <w:r>
              <w:rPr>
                <w:noProof/>
                <w:webHidden/>
              </w:rPr>
            </w:r>
            <w:r>
              <w:rPr>
                <w:noProof/>
                <w:webHidden/>
              </w:rPr>
              <w:fldChar w:fldCharType="separate"/>
            </w:r>
            <w:r>
              <w:rPr>
                <w:noProof/>
                <w:webHidden/>
              </w:rPr>
              <w:t>11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6" w:history="1">
            <w:r w:rsidRPr="006B134E">
              <w:rPr>
                <w:rStyle w:val="Hyperlink"/>
                <w:rFonts w:cs="Calibri"/>
                <w:b/>
                <w:noProof/>
              </w:rPr>
              <w:t>1.3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_Toc517282046 \h </w:instrText>
            </w:r>
            <w:r>
              <w:rPr>
                <w:noProof/>
                <w:webHidden/>
              </w:rPr>
            </w:r>
            <w:r>
              <w:rPr>
                <w:noProof/>
                <w:webHidden/>
              </w:rPr>
              <w:fldChar w:fldCharType="separate"/>
            </w:r>
            <w:r>
              <w:rPr>
                <w:noProof/>
                <w:webHidden/>
              </w:rPr>
              <w:t>13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7" w:history="1">
            <w:r w:rsidRPr="006B134E">
              <w:rPr>
                <w:rStyle w:val="Hyperlink"/>
                <w:rFonts w:cs="Calibri"/>
                <w:b/>
                <w:noProof/>
              </w:rPr>
              <w:t>1.4</w:t>
            </w:r>
            <w:r>
              <w:rPr>
                <w:rFonts w:eastAsiaTheme="minorEastAsia"/>
                <w:noProof/>
                <w:lang w:eastAsia="pt-BR"/>
              </w:rPr>
              <w:tab/>
            </w:r>
            <w:r w:rsidRPr="006B134E">
              <w:rPr>
                <w:rStyle w:val="Hyperlink"/>
                <w:rFonts w:cs="Calibri"/>
                <w:b/>
                <w:noProof/>
              </w:rPr>
              <w:t>DESCRIÇÃO DO RESULTADO ESPERADO COM A IMPLANTAÇÃO DOS SUBPRODUTO E RESPECTIVA LINHA DE BASE</w:t>
            </w:r>
            <w:r>
              <w:rPr>
                <w:noProof/>
                <w:webHidden/>
              </w:rPr>
              <w:tab/>
            </w:r>
            <w:r>
              <w:rPr>
                <w:noProof/>
                <w:webHidden/>
              </w:rPr>
              <w:fldChar w:fldCharType="begin"/>
            </w:r>
            <w:r>
              <w:rPr>
                <w:noProof/>
                <w:webHidden/>
              </w:rPr>
              <w:instrText xml:space="preserve"> PAGEREF _Toc517282047 \h </w:instrText>
            </w:r>
            <w:r>
              <w:rPr>
                <w:noProof/>
                <w:webHidden/>
              </w:rPr>
            </w:r>
            <w:r>
              <w:rPr>
                <w:noProof/>
                <w:webHidden/>
              </w:rPr>
              <w:fldChar w:fldCharType="separate"/>
            </w:r>
            <w:r>
              <w:rPr>
                <w:noProof/>
                <w:webHidden/>
              </w:rPr>
              <w:t>18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8" w:history="1">
            <w:r w:rsidRPr="006B134E">
              <w:rPr>
                <w:rStyle w:val="Hyperlink"/>
                <w:rFonts w:cs="Calibri"/>
                <w:b/>
                <w:noProof/>
              </w:rPr>
              <w:t>1.5</w:t>
            </w:r>
            <w:r>
              <w:rPr>
                <w:rFonts w:eastAsiaTheme="minorEastAsia"/>
                <w:noProof/>
                <w:lang w:eastAsia="pt-BR"/>
              </w:rPr>
              <w:tab/>
            </w:r>
            <w:r w:rsidRPr="006B134E">
              <w:rPr>
                <w:rStyle w:val="Hyperlink"/>
                <w:rFonts w:cs="Calibri"/>
                <w:b/>
                <w:noProof/>
              </w:rPr>
              <w:t>ASPECTOS INOVADORES DOS SUBPRODUTO</w:t>
            </w:r>
            <w:r>
              <w:rPr>
                <w:noProof/>
                <w:webHidden/>
              </w:rPr>
              <w:tab/>
            </w:r>
            <w:r>
              <w:rPr>
                <w:noProof/>
                <w:webHidden/>
              </w:rPr>
              <w:fldChar w:fldCharType="begin"/>
            </w:r>
            <w:r>
              <w:rPr>
                <w:noProof/>
                <w:webHidden/>
              </w:rPr>
              <w:instrText xml:space="preserve"> PAGEREF _Toc517282048 \h </w:instrText>
            </w:r>
            <w:r>
              <w:rPr>
                <w:noProof/>
                <w:webHidden/>
              </w:rPr>
            </w:r>
            <w:r>
              <w:rPr>
                <w:noProof/>
                <w:webHidden/>
              </w:rPr>
              <w:fldChar w:fldCharType="separate"/>
            </w:r>
            <w:r>
              <w:rPr>
                <w:noProof/>
                <w:webHidden/>
              </w:rPr>
              <w:t>21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49" w:history="1">
            <w:r w:rsidRPr="006B134E">
              <w:rPr>
                <w:rStyle w:val="Hyperlink"/>
                <w:rFonts w:cs="Calibri"/>
                <w:b/>
                <w:noProof/>
              </w:rPr>
              <w:t>1.6</w:t>
            </w:r>
            <w:r>
              <w:rPr>
                <w:rFonts w:eastAsiaTheme="minorEastAsia"/>
                <w:noProof/>
                <w:lang w:eastAsia="pt-BR"/>
              </w:rPr>
              <w:tab/>
            </w:r>
            <w:r w:rsidRPr="006B134E">
              <w:rPr>
                <w:rStyle w:val="Hyperlink"/>
                <w:rFonts w:cs="Calibri"/>
                <w:b/>
                <w:noProof/>
              </w:rPr>
              <w:t>RISCOS DE EXECUÇÃO REELACIONADOS AOS SUBPRODUTO</w:t>
            </w:r>
            <w:r>
              <w:rPr>
                <w:noProof/>
                <w:webHidden/>
              </w:rPr>
              <w:tab/>
            </w:r>
            <w:r>
              <w:rPr>
                <w:noProof/>
                <w:webHidden/>
              </w:rPr>
              <w:fldChar w:fldCharType="begin"/>
            </w:r>
            <w:r>
              <w:rPr>
                <w:noProof/>
                <w:webHidden/>
              </w:rPr>
              <w:instrText xml:space="preserve"> PAGEREF _Toc517282049 \h </w:instrText>
            </w:r>
            <w:r>
              <w:rPr>
                <w:noProof/>
                <w:webHidden/>
              </w:rPr>
            </w:r>
            <w:r>
              <w:rPr>
                <w:noProof/>
                <w:webHidden/>
              </w:rPr>
              <w:fldChar w:fldCharType="separate"/>
            </w:r>
            <w:r>
              <w:rPr>
                <w:noProof/>
                <w:webHidden/>
              </w:rPr>
              <w:t>23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0" w:history="1">
            <w:r w:rsidRPr="006B134E">
              <w:rPr>
                <w:rStyle w:val="Hyperlink"/>
                <w:rFonts w:cs="Calibri"/>
                <w:b/>
                <w:noProof/>
              </w:rPr>
              <w:t>1.7</w:t>
            </w:r>
            <w:r>
              <w:rPr>
                <w:rFonts w:eastAsiaTheme="minorEastAsia"/>
                <w:noProof/>
                <w:lang w:eastAsia="pt-BR"/>
              </w:rPr>
              <w:tab/>
            </w:r>
            <w:r w:rsidRPr="006B134E">
              <w:rPr>
                <w:rStyle w:val="Hyperlink"/>
                <w:rFonts w:cs="Calibri"/>
                <w:b/>
                <w:noProof/>
              </w:rPr>
              <w:t>QUADRO DE CUSTOS DO SUBPRODUTO POR TIPO DE INVESTIMENTO</w:t>
            </w:r>
            <w:r>
              <w:rPr>
                <w:noProof/>
                <w:webHidden/>
              </w:rPr>
              <w:tab/>
            </w:r>
            <w:r>
              <w:rPr>
                <w:noProof/>
                <w:webHidden/>
              </w:rPr>
              <w:fldChar w:fldCharType="begin"/>
            </w:r>
            <w:r>
              <w:rPr>
                <w:noProof/>
                <w:webHidden/>
              </w:rPr>
              <w:instrText xml:space="preserve"> PAGEREF _Toc517282050 \h </w:instrText>
            </w:r>
            <w:r>
              <w:rPr>
                <w:noProof/>
                <w:webHidden/>
              </w:rPr>
            </w:r>
            <w:r>
              <w:rPr>
                <w:noProof/>
                <w:webHidden/>
              </w:rPr>
              <w:fldChar w:fldCharType="separate"/>
            </w:r>
            <w:r>
              <w:rPr>
                <w:noProof/>
                <w:webHidden/>
              </w:rPr>
              <w:t>25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1" w:history="1">
            <w:r w:rsidRPr="006B134E">
              <w:rPr>
                <w:rStyle w:val="Hyperlink"/>
                <w:rFonts w:cs="Calibri"/>
                <w:b/>
                <w:noProof/>
              </w:rPr>
              <w:t>1.8</w:t>
            </w:r>
            <w:r>
              <w:rPr>
                <w:rFonts w:eastAsiaTheme="minorEastAsia"/>
                <w:noProof/>
                <w:lang w:eastAsia="pt-BR"/>
              </w:rPr>
              <w:tab/>
            </w:r>
            <w:r w:rsidRPr="006B134E">
              <w:rPr>
                <w:rStyle w:val="Hyperlink"/>
                <w:rFonts w:cs="Calibri"/>
                <w:b/>
                <w:noProof/>
              </w:rPr>
              <w:t>CRONOGRAMA DE DESEMBOLSO PROPOSTO</w:t>
            </w:r>
            <w:r>
              <w:rPr>
                <w:noProof/>
                <w:webHidden/>
              </w:rPr>
              <w:tab/>
            </w:r>
            <w:r>
              <w:rPr>
                <w:noProof/>
                <w:webHidden/>
              </w:rPr>
              <w:fldChar w:fldCharType="begin"/>
            </w:r>
            <w:r>
              <w:rPr>
                <w:noProof/>
                <w:webHidden/>
              </w:rPr>
              <w:instrText xml:space="preserve"> PAGEREF _Toc517282051 \h </w:instrText>
            </w:r>
            <w:r>
              <w:rPr>
                <w:noProof/>
                <w:webHidden/>
              </w:rPr>
            </w:r>
            <w:r>
              <w:rPr>
                <w:noProof/>
                <w:webHidden/>
              </w:rPr>
              <w:fldChar w:fldCharType="separate"/>
            </w:r>
            <w:r>
              <w:rPr>
                <w:noProof/>
                <w:webHidden/>
              </w:rPr>
              <w:t>26</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52" w:history="1">
            <w:r w:rsidRPr="006B134E">
              <w:rPr>
                <w:rStyle w:val="Hyperlink"/>
                <w:rFonts w:eastAsia="Times New Roman" w:cs="Arial"/>
                <w:noProof/>
                <w:lang w:eastAsia="pt-BR"/>
              </w:rPr>
              <w:t>PRODUTO 2. MODELO DE GESTÃO DE PROCESSOS ADMINISTRATIVOS DA GESTÃO ESTADUAL IMPLANTADO</w:t>
            </w:r>
            <w:r>
              <w:rPr>
                <w:noProof/>
                <w:webHidden/>
              </w:rPr>
              <w:tab/>
            </w:r>
            <w:r>
              <w:rPr>
                <w:noProof/>
                <w:webHidden/>
              </w:rPr>
              <w:fldChar w:fldCharType="begin"/>
            </w:r>
            <w:r>
              <w:rPr>
                <w:noProof/>
                <w:webHidden/>
              </w:rPr>
              <w:instrText xml:space="preserve"> PAGEREF _Toc517282052 \h </w:instrText>
            </w:r>
            <w:r>
              <w:rPr>
                <w:noProof/>
                <w:webHidden/>
              </w:rPr>
            </w:r>
            <w:r>
              <w:rPr>
                <w:noProof/>
                <w:webHidden/>
              </w:rPr>
              <w:fldChar w:fldCharType="separate"/>
            </w:r>
            <w:r>
              <w:rPr>
                <w:noProof/>
                <w:webHidden/>
              </w:rPr>
              <w:t>27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3" w:history="1">
            <w:r w:rsidRPr="006B134E">
              <w:rPr>
                <w:rStyle w:val="Hyperlink"/>
                <w:rFonts w:cs="Calibri"/>
                <w:b/>
                <w:noProof/>
              </w:rPr>
              <w:t>2.1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_Toc517282053 \h </w:instrText>
            </w:r>
            <w:r>
              <w:rPr>
                <w:noProof/>
                <w:webHidden/>
              </w:rPr>
            </w:r>
            <w:r>
              <w:rPr>
                <w:noProof/>
                <w:webHidden/>
              </w:rPr>
              <w:fldChar w:fldCharType="separate"/>
            </w:r>
            <w:r>
              <w:rPr>
                <w:noProof/>
                <w:webHidden/>
              </w:rPr>
              <w:t>28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4" w:history="1">
            <w:r w:rsidRPr="006B134E">
              <w:rPr>
                <w:rStyle w:val="Hyperlink"/>
                <w:rFonts w:cs="Calibri"/>
                <w:b/>
                <w:noProof/>
              </w:rPr>
              <w:t>2.2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_Toc517282054 \h </w:instrText>
            </w:r>
            <w:r>
              <w:rPr>
                <w:noProof/>
                <w:webHidden/>
              </w:rPr>
            </w:r>
            <w:r>
              <w:rPr>
                <w:noProof/>
                <w:webHidden/>
              </w:rPr>
              <w:fldChar w:fldCharType="separate"/>
            </w:r>
            <w:r>
              <w:rPr>
                <w:noProof/>
                <w:webHidden/>
              </w:rPr>
              <w:t>28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5" w:history="1">
            <w:r w:rsidRPr="006B134E">
              <w:rPr>
                <w:rStyle w:val="Hyperlink"/>
                <w:rFonts w:cs="Calibri"/>
                <w:b/>
                <w:noProof/>
              </w:rPr>
              <w:t>2.3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_Toc517282055 \h </w:instrText>
            </w:r>
            <w:r>
              <w:rPr>
                <w:noProof/>
                <w:webHidden/>
              </w:rPr>
            </w:r>
            <w:r>
              <w:rPr>
                <w:noProof/>
                <w:webHidden/>
              </w:rPr>
              <w:fldChar w:fldCharType="separate"/>
            </w:r>
            <w:r>
              <w:rPr>
                <w:noProof/>
                <w:webHidden/>
              </w:rPr>
              <w:t>34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6" w:history="1">
            <w:r w:rsidRPr="006B134E">
              <w:rPr>
                <w:rStyle w:val="Hyperlink"/>
                <w:rFonts w:cs="Calibri"/>
                <w:b/>
                <w:noProof/>
              </w:rPr>
              <w:t>2.4</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_Toc517282056 \h </w:instrText>
            </w:r>
            <w:r>
              <w:rPr>
                <w:noProof/>
                <w:webHidden/>
              </w:rPr>
            </w:r>
            <w:r>
              <w:rPr>
                <w:noProof/>
                <w:webHidden/>
              </w:rPr>
              <w:fldChar w:fldCharType="separate"/>
            </w:r>
            <w:r>
              <w:rPr>
                <w:noProof/>
                <w:webHidden/>
              </w:rPr>
              <w:t>35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7" w:history="1">
            <w:r w:rsidRPr="006B134E">
              <w:rPr>
                <w:rStyle w:val="Hyperlink"/>
                <w:rFonts w:cs="Calibri"/>
                <w:b/>
                <w:noProof/>
              </w:rPr>
              <w:t>2.5</w:t>
            </w:r>
            <w:r>
              <w:rPr>
                <w:rFonts w:eastAsiaTheme="minorEastAsia"/>
                <w:noProof/>
                <w:lang w:eastAsia="pt-BR"/>
              </w:rPr>
              <w:tab/>
            </w:r>
            <w:r w:rsidRPr="006B134E">
              <w:rPr>
                <w:rStyle w:val="Hyperlink"/>
                <w:rFonts w:cs="Calibri"/>
                <w:b/>
                <w:noProof/>
              </w:rPr>
              <w:t>IMPACTOS POTENCIAIS DO PRODUTO</w:t>
            </w:r>
            <w:r>
              <w:rPr>
                <w:noProof/>
                <w:webHidden/>
              </w:rPr>
              <w:tab/>
            </w:r>
            <w:r>
              <w:rPr>
                <w:noProof/>
                <w:webHidden/>
              </w:rPr>
              <w:fldChar w:fldCharType="begin"/>
            </w:r>
            <w:r>
              <w:rPr>
                <w:noProof/>
                <w:webHidden/>
              </w:rPr>
              <w:instrText xml:space="preserve"> PAGEREF _Toc517282057 \h </w:instrText>
            </w:r>
            <w:r>
              <w:rPr>
                <w:noProof/>
                <w:webHidden/>
              </w:rPr>
            </w:r>
            <w:r>
              <w:rPr>
                <w:noProof/>
                <w:webHidden/>
              </w:rPr>
              <w:fldChar w:fldCharType="separate"/>
            </w:r>
            <w:r>
              <w:rPr>
                <w:noProof/>
                <w:webHidden/>
              </w:rPr>
              <w:t>35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8" w:history="1">
            <w:r w:rsidRPr="006B134E">
              <w:rPr>
                <w:rStyle w:val="Hyperlink"/>
                <w:rFonts w:cs="Calibri"/>
                <w:b/>
                <w:noProof/>
              </w:rPr>
              <w:t>2.6</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_Toc517282058 \h </w:instrText>
            </w:r>
            <w:r>
              <w:rPr>
                <w:noProof/>
                <w:webHidden/>
              </w:rPr>
            </w:r>
            <w:r>
              <w:rPr>
                <w:noProof/>
                <w:webHidden/>
              </w:rPr>
              <w:fldChar w:fldCharType="separate"/>
            </w:r>
            <w:r>
              <w:rPr>
                <w:noProof/>
                <w:webHidden/>
              </w:rPr>
              <w:t>35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59" w:history="1">
            <w:r w:rsidRPr="006B134E">
              <w:rPr>
                <w:rStyle w:val="Hyperlink"/>
                <w:rFonts w:cs="Calibri"/>
                <w:b/>
                <w:noProof/>
              </w:rPr>
              <w:t>2.7</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_Toc517282059 \h </w:instrText>
            </w:r>
            <w:r>
              <w:rPr>
                <w:noProof/>
                <w:webHidden/>
              </w:rPr>
            </w:r>
            <w:r>
              <w:rPr>
                <w:noProof/>
                <w:webHidden/>
              </w:rPr>
              <w:fldChar w:fldCharType="separate"/>
            </w:r>
            <w:r>
              <w:rPr>
                <w:noProof/>
                <w:webHidden/>
              </w:rPr>
              <w:t>36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0" w:history="1">
            <w:r w:rsidRPr="006B134E">
              <w:rPr>
                <w:rStyle w:val="Hyperlink"/>
                <w:rFonts w:cs="Calibri"/>
                <w:b/>
                <w:noProof/>
              </w:rPr>
              <w:t>2.8</w:t>
            </w:r>
            <w:r>
              <w:rPr>
                <w:rFonts w:eastAsiaTheme="minorEastAsia"/>
                <w:noProof/>
                <w:lang w:eastAsia="pt-BR"/>
              </w:rPr>
              <w:tab/>
            </w:r>
            <w:r w:rsidRPr="006B134E">
              <w:rPr>
                <w:rStyle w:val="Hyperlink"/>
                <w:rFonts w:cs="Calibri"/>
                <w:b/>
                <w:noProof/>
              </w:rPr>
              <w:t>CRONOGRAMA PROPOSTO DO PRODUTO</w:t>
            </w:r>
            <w:r>
              <w:rPr>
                <w:noProof/>
                <w:webHidden/>
              </w:rPr>
              <w:tab/>
            </w:r>
            <w:r>
              <w:rPr>
                <w:noProof/>
                <w:webHidden/>
              </w:rPr>
              <w:fldChar w:fldCharType="begin"/>
            </w:r>
            <w:r>
              <w:rPr>
                <w:noProof/>
                <w:webHidden/>
              </w:rPr>
              <w:instrText xml:space="preserve"> PAGEREF _Toc517282060 \h </w:instrText>
            </w:r>
            <w:r>
              <w:rPr>
                <w:noProof/>
                <w:webHidden/>
              </w:rPr>
            </w:r>
            <w:r>
              <w:rPr>
                <w:noProof/>
                <w:webHidden/>
              </w:rPr>
              <w:fldChar w:fldCharType="separate"/>
            </w:r>
            <w:r>
              <w:rPr>
                <w:noProof/>
                <w:webHidden/>
              </w:rPr>
              <w:t>36</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61" w:history="1">
            <w:r w:rsidRPr="006B134E">
              <w:rPr>
                <w:rStyle w:val="Hyperlink"/>
                <w:rFonts w:eastAsia="Times New Roman" w:cs="Arial"/>
                <w:noProof/>
                <w:lang w:eastAsia="pt-BR"/>
              </w:rPr>
              <w:t>PRODUTO 3. REVISÃO DE MODELO DE GESTÃO DE PESSOAS DA SEFAZ ATUALIZADO</w:t>
            </w:r>
            <w:r>
              <w:rPr>
                <w:noProof/>
                <w:webHidden/>
              </w:rPr>
              <w:tab/>
            </w:r>
            <w:r>
              <w:rPr>
                <w:noProof/>
                <w:webHidden/>
              </w:rPr>
              <w:fldChar w:fldCharType="begin"/>
            </w:r>
            <w:r>
              <w:rPr>
                <w:noProof/>
                <w:webHidden/>
              </w:rPr>
              <w:instrText xml:space="preserve"> PAGEREF _Toc517282061 \h </w:instrText>
            </w:r>
            <w:r>
              <w:rPr>
                <w:noProof/>
                <w:webHidden/>
              </w:rPr>
            </w:r>
            <w:r>
              <w:rPr>
                <w:noProof/>
                <w:webHidden/>
              </w:rPr>
              <w:fldChar w:fldCharType="separate"/>
            </w:r>
            <w:r>
              <w:rPr>
                <w:noProof/>
                <w:webHidden/>
              </w:rPr>
              <w:t>37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2" w:history="1">
            <w:r w:rsidRPr="006B134E">
              <w:rPr>
                <w:rStyle w:val="Hyperlink"/>
                <w:rFonts w:cs="Calibri"/>
                <w:b/>
                <w:noProof/>
              </w:rPr>
              <w:t>3.1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_Toc517282062 \h </w:instrText>
            </w:r>
            <w:r>
              <w:rPr>
                <w:noProof/>
                <w:webHidden/>
              </w:rPr>
            </w:r>
            <w:r>
              <w:rPr>
                <w:noProof/>
                <w:webHidden/>
              </w:rPr>
              <w:fldChar w:fldCharType="separate"/>
            </w:r>
            <w:r>
              <w:rPr>
                <w:noProof/>
                <w:webHidden/>
              </w:rPr>
              <w:t>38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3" w:history="1">
            <w:r w:rsidRPr="006B134E">
              <w:rPr>
                <w:rStyle w:val="Hyperlink"/>
                <w:rFonts w:cs="Calibri"/>
                <w:b/>
                <w:noProof/>
              </w:rPr>
              <w:t>3.2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_Toc517282063 \h </w:instrText>
            </w:r>
            <w:r>
              <w:rPr>
                <w:noProof/>
                <w:webHidden/>
              </w:rPr>
            </w:r>
            <w:r>
              <w:rPr>
                <w:noProof/>
                <w:webHidden/>
              </w:rPr>
              <w:fldChar w:fldCharType="separate"/>
            </w:r>
            <w:r>
              <w:rPr>
                <w:noProof/>
                <w:webHidden/>
              </w:rPr>
              <w:t>40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4" w:history="1">
            <w:r w:rsidRPr="006B134E">
              <w:rPr>
                <w:rStyle w:val="Hyperlink"/>
                <w:rFonts w:cs="Calibri"/>
                <w:b/>
                <w:noProof/>
              </w:rPr>
              <w:t>3.3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_Toc517282064 \h </w:instrText>
            </w:r>
            <w:r>
              <w:rPr>
                <w:noProof/>
                <w:webHidden/>
              </w:rPr>
            </w:r>
            <w:r>
              <w:rPr>
                <w:noProof/>
                <w:webHidden/>
              </w:rPr>
              <w:fldChar w:fldCharType="separate"/>
            </w:r>
            <w:r>
              <w:rPr>
                <w:noProof/>
                <w:webHidden/>
              </w:rPr>
              <w:t>42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5" w:history="1">
            <w:r w:rsidRPr="006B134E">
              <w:rPr>
                <w:rStyle w:val="Hyperlink"/>
                <w:rFonts w:cs="Calibri"/>
                <w:b/>
                <w:noProof/>
              </w:rPr>
              <w:t>3.4</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_Toc517282065 \h </w:instrText>
            </w:r>
            <w:r>
              <w:rPr>
                <w:noProof/>
                <w:webHidden/>
              </w:rPr>
            </w:r>
            <w:r>
              <w:rPr>
                <w:noProof/>
                <w:webHidden/>
              </w:rPr>
              <w:fldChar w:fldCharType="separate"/>
            </w:r>
            <w:r>
              <w:rPr>
                <w:noProof/>
                <w:webHidden/>
              </w:rPr>
              <w:t>44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6" w:history="1">
            <w:r w:rsidRPr="006B134E">
              <w:rPr>
                <w:rStyle w:val="Hyperlink"/>
                <w:rFonts w:cs="Calibri"/>
                <w:b/>
                <w:noProof/>
              </w:rPr>
              <w:t>3.5</w:t>
            </w:r>
            <w:r>
              <w:rPr>
                <w:rFonts w:eastAsiaTheme="minorEastAsia"/>
                <w:noProof/>
                <w:lang w:eastAsia="pt-BR"/>
              </w:rPr>
              <w:tab/>
            </w:r>
            <w:r w:rsidRPr="006B134E">
              <w:rPr>
                <w:rStyle w:val="Hyperlink"/>
                <w:rFonts w:cs="Calibri"/>
                <w:b/>
                <w:noProof/>
              </w:rPr>
              <w:t>IMPACTOS POTENCIAIS</w:t>
            </w:r>
            <w:r>
              <w:rPr>
                <w:noProof/>
                <w:webHidden/>
              </w:rPr>
              <w:tab/>
            </w:r>
            <w:r>
              <w:rPr>
                <w:noProof/>
                <w:webHidden/>
              </w:rPr>
              <w:fldChar w:fldCharType="begin"/>
            </w:r>
            <w:r>
              <w:rPr>
                <w:noProof/>
                <w:webHidden/>
              </w:rPr>
              <w:instrText xml:space="preserve"> PAGEREF _Toc517282066 \h </w:instrText>
            </w:r>
            <w:r>
              <w:rPr>
                <w:noProof/>
                <w:webHidden/>
              </w:rPr>
            </w:r>
            <w:r>
              <w:rPr>
                <w:noProof/>
                <w:webHidden/>
              </w:rPr>
              <w:fldChar w:fldCharType="separate"/>
            </w:r>
            <w:r>
              <w:rPr>
                <w:noProof/>
                <w:webHidden/>
              </w:rPr>
              <w:t>44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7" w:history="1">
            <w:r w:rsidRPr="006B134E">
              <w:rPr>
                <w:rStyle w:val="Hyperlink"/>
                <w:rFonts w:cs="Calibri"/>
                <w:b/>
                <w:noProof/>
              </w:rPr>
              <w:t>3.6</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_Toc517282067 \h </w:instrText>
            </w:r>
            <w:r>
              <w:rPr>
                <w:noProof/>
                <w:webHidden/>
              </w:rPr>
            </w:r>
            <w:r>
              <w:rPr>
                <w:noProof/>
                <w:webHidden/>
              </w:rPr>
              <w:fldChar w:fldCharType="separate"/>
            </w:r>
            <w:r>
              <w:rPr>
                <w:noProof/>
                <w:webHidden/>
              </w:rPr>
              <w:t>45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8" w:history="1">
            <w:r w:rsidRPr="006B134E">
              <w:rPr>
                <w:rStyle w:val="Hyperlink"/>
                <w:rFonts w:cs="Calibri"/>
                <w:b/>
                <w:noProof/>
              </w:rPr>
              <w:t>3.7</w:t>
            </w:r>
            <w:r>
              <w:rPr>
                <w:rFonts w:eastAsiaTheme="minorEastAsia"/>
                <w:noProof/>
                <w:lang w:eastAsia="pt-BR"/>
              </w:rPr>
              <w:tab/>
            </w:r>
            <w:r w:rsidRPr="006B134E">
              <w:rPr>
                <w:rStyle w:val="Hyperlink"/>
                <w:rFonts w:cs="Calibri"/>
                <w:b/>
                <w:noProof/>
              </w:rPr>
              <w:t>BENEFÍCIOS E RESULTADOS QUE PODERÃO SER ALCANÇADOS PARA ALÉM DO MARCO DE RESULTADOS</w:t>
            </w:r>
            <w:r>
              <w:rPr>
                <w:noProof/>
                <w:webHidden/>
              </w:rPr>
              <w:tab/>
            </w:r>
            <w:r>
              <w:rPr>
                <w:noProof/>
                <w:webHidden/>
              </w:rPr>
              <w:fldChar w:fldCharType="begin"/>
            </w:r>
            <w:r>
              <w:rPr>
                <w:noProof/>
                <w:webHidden/>
              </w:rPr>
              <w:instrText xml:space="preserve"> PAGEREF _Toc517282068 \h </w:instrText>
            </w:r>
            <w:r>
              <w:rPr>
                <w:noProof/>
                <w:webHidden/>
              </w:rPr>
            </w:r>
            <w:r>
              <w:rPr>
                <w:noProof/>
                <w:webHidden/>
              </w:rPr>
              <w:fldChar w:fldCharType="separate"/>
            </w:r>
            <w:r>
              <w:rPr>
                <w:noProof/>
                <w:webHidden/>
              </w:rPr>
              <w:t>46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69" w:history="1">
            <w:r w:rsidRPr="006B134E">
              <w:rPr>
                <w:rStyle w:val="Hyperlink"/>
                <w:rFonts w:cs="Calibri"/>
                <w:b/>
                <w:noProof/>
              </w:rPr>
              <w:t>3.8</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_Toc517282069 \h </w:instrText>
            </w:r>
            <w:r>
              <w:rPr>
                <w:noProof/>
                <w:webHidden/>
              </w:rPr>
            </w:r>
            <w:r>
              <w:rPr>
                <w:noProof/>
                <w:webHidden/>
              </w:rPr>
              <w:fldChar w:fldCharType="separate"/>
            </w:r>
            <w:r>
              <w:rPr>
                <w:noProof/>
                <w:webHidden/>
              </w:rPr>
              <w:t>47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0" w:history="1">
            <w:r w:rsidRPr="006B134E">
              <w:rPr>
                <w:rStyle w:val="Hyperlink"/>
                <w:rFonts w:cs="Calibri"/>
                <w:b/>
                <w:noProof/>
              </w:rPr>
              <w:t>3.9</w:t>
            </w:r>
            <w:r>
              <w:rPr>
                <w:rFonts w:eastAsiaTheme="minorEastAsia"/>
                <w:noProof/>
                <w:lang w:eastAsia="pt-BR"/>
              </w:rPr>
              <w:tab/>
            </w:r>
            <w:r w:rsidRPr="006B134E">
              <w:rPr>
                <w:rStyle w:val="Hyperlink"/>
                <w:rFonts w:cs="Calibri"/>
                <w:b/>
                <w:noProof/>
              </w:rPr>
              <w:t>CRONOGRAMA PROPOSTO DOS SUBPRODUTOS</w:t>
            </w:r>
            <w:r>
              <w:rPr>
                <w:noProof/>
                <w:webHidden/>
              </w:rPr>
              <w:tab/>
            </w:r>
            <w:r>
              <w:rPr>
                <w:noProof/>
                <w:webHidden/>
              </w:rPr>
              <w:fldChar w:fldCharType="begin"/>
            </w:r>
            <w:r>
              <w:rPr>
                <w:noProof/>
                <w:webHidden/>
              </w:rPr>
              <w:instrText xml:space="preserve"> PAGEREF _Toc517282070 \h </w:instrText>
            </w:r>
            <w:r>
              <w:rPr>
                <w:noProof/>
                <w:webHidden/>
              </w:rPr>
            </w:r>
            <w:r>
              <w:rPr>
                <w:noProof/>
                <w:webHidden/>
              </w:rPr>
              <w:fldChar w:fldCharType="separate"/>
            </w:r>
            <w:r>
              <w:rPr>
                <w:noProof/>
                <w:webHidden/>
              </w:rPr>
              <w:t>47</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71" w:history="1">
            <w:r w:rsidRPr="006B134E">
              <w:rPr>
                <w:rStyle w:val="Hyperlink"/>
                <w:rFonts w:eastAsia="Times New Roman" w:cs="Arial"/>
                <w:noProof/>
                <w:lang w:eastAsia="pt-BR"/>
              </w:rPr>
              <w:t>PRODUTO 4. MODELO DE GESTÃO DE TECNOLOGIA DA INFORMAÇÃO E COMUNICAÇÃO ATUALIZADO</w:t>
            </w:r>
            <w:r>
              <w:rPr>
                <w:noProof/>
                <w:webHidden/>
              </w:rPr>
              <w:tab/>
            </w:r>
            <w:r>
              <w:rPr>
                <w:noProof/>
                <w:webHidden/>
              </w:rPr>
              <w:fldChar w:fldCharType="begin"/>
            </w:r>
            <w:r>
              <w:rPr>
                <w:noProof/>
                <w:webHidden/>
              </w:rPr>
              <w:instrText xml:space="preserve"> PAGEREF _Toc517282071 \h </w:instrText>
            </w:r>
            <w:r>
              <w:rPr>
                <w:noProof/>
                <w:webHidden/>
              </w:rPr>
            </w:r>
            <w:r>
              <w:rPr>
                <w:noProof/>
                <w:webHidden/>
              </w:rPr>
              <w:fldChar w:fldCharType="separate"/>
            </w:r>
            <w:r>
              <w:rPr>
                <w:noProof/>
                <w:webHidden/>
              </w:rPr>
              <w:t>48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2" w:history="1">
            <w:r w:rsidRPr="006B134E">
              <w:rPr>
                <w:rStyle w:val="Hyperlink"/>
                <w:rFonts w:cs="Calibri"/>
                <w:b/>
                <w:noProof/>
              </w:rPr>
              <w:t>4.1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_Toc517282072 \h </w:instrText>
            </w:r>
            <w:r>
              <w:rPr>
                <w:noProof/>
                <w:webHidden/>
              </w:rPr>
            </w:r>
            <w:r>
              <w:rPr>
                <w:noProof/>
                <w:webHidden/>
              </w:rPr>
              <w:fldChar w:fldCharType="separate"/>
            </w:r>
            <w:r>
              <w:rPr>
                <w:noProof/>
                <w:webHidden/>
              </w:rPr>
              <w:t>49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3" w:history="1">
            <w:r w:rsidRPr="006B134E">
              <w:rPr>
                <w:rStyle w:val="Hyperlink"/>
                <w:rFonts w:cs="Calibri"/>
                <w:b/>
                <w:noProof/>
              </w:rPr>
              <w:t>4.2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_Toc517282073 \h </w:instrText>
            </w:r>
            <w:r>
              <w:rPr>
                <w:noProof/>
                <w:webHidden/>
              </w:rPr>
            </w:r>
            <w:r>
              <w:rPr>
                <w:noProof/>
                <w:webHidden/>
              </w:rPr>
              <w:fldChar w:fldCharType="separate"/>
            </w:r>
            <w:r>
              <w:rPr>
                <w:noProof/>
                <w:webHidden/>
              </w:rPr>
              <w:t>50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4" w:history="1">
            <w:r w:rsidRPr="006B134E">
              <w:rPr>
                <w:rStyle w:val="Hyperlink"/>
                <w:rFonts w:cs="Calibri"/>
                <w:b/>
                <w:noProof/>
              </w:rPr>
              <w:t>4.3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_Toc517282074 \h </w:instrText>
            </w:r>
            <w:r>
              <w:rPr>
                <w:noProof/>
                <w:webHidden/>
              </w:rPr>
            </w:r>
            <w:r>
              <w:rPr>
                <w:noProof/>
                <w:webHidden/>
              </w:rPr>
              <w:fldChar w:fldCharType="separate"/>
            </w:r>
            <w:r>
              <w:rPr>
                <w:noProof/>
                <w:webHidden/>
              </w:rPr>
              <w:t>52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5" w:history="1">
            <w:r w:rsidRPr="006B134E">
              <w:rPr>
                <w:rStyle w:val="Hyperlink"/>
                <w:rFonts w:cs="Calibri"/>
                <w:b/>
                <w:noProof/>
              </w:rPr>
              <w:t>4.4</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_Toc517282075 \h </w:instrText>
            </w:r>
            <w:r>
              <w:rPr>
                <w:noProof/>
                <w:webHidden/>
              </w:rPr>
            </w:r>
            <w:r>
              <w:rPr>
                <w:noProof/>
                <w:webHidden/>
              </w:rPr>
              <w:fldChar w:fldCharType="separate"/>
            </w:r>
            <w:r>
              <w:rPr>
                <w:noProof/>
                <w:webHidden/>
              </w:rPr>
              <w:t>54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6" w:history="1">
            <w:r w:rsidRPr="006B134E">
              <w:rPr>
                <w:rStyle w:val="Hyperlink"/>
                <w:rFonts w:cs="Calibri"/>
                <w:b/>
                <w:noProof/>
              </w:rPr>
              <w:t>4.5</w:t>
            </w:r>
            <w:r>
              <w:rPr>
                <w:rFonts w:eastAsiaTheme="minorEastAsia"/>
                <w:noProof/>
                <w:lang w:eastAsia="pt-BR"/>
              </w:rPr>
              <w:tab/>
            </w:r>
            <w:r w:rsidRPr="006B134E">
              <w:rPr>
                <w:rStyle w:val="Hyperlink"/>
                <w:rFonts w:cs="Calibri"/>
                <w:b/>
                <w:noProof/>
              </w:rPr>
              <w:t>IMPACTOS POTENCIAIS</w:t>
            </w:r>
            <w:r>
              <w:rPr>
                <w:noProof/>
                <w:webHidden/>
              </w:rPr>
              <w:tab/>
            </w:r>
            <w:r>
              <w:rPr>
                <w:noProof/>
                <w:webHidden/>
              </w:rPr>
              <w:fldChar w:fldCharType="begin"/>
            </w:r>
            <w:r>
              <w:rPr>
                <w:noProof/>
                <w:webHidden/>
              </w:rPr>
              <w:instrText xml:space="preserve"> PAGEREF _Toc517282076 \h </w:instrText>
            </w:r>
            <w:r>
              <w:rPr>
                <w:noProof/>
                <w:webHidden/>
              </w:rPr>
            </w:r>
            <w:r>
              <w:rPr>
                <w:noProof/>
                <w:webHidden/>
              </w:rPr>
              <w:fldChar w:fldCharType="separate"/>
            </w:r>
            <w:r>
              <w:rPr>
                <w:noProof/>
                <w:webHidden/>
              </w:rPr>
              <w:t>54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7" w:history="1">
            <w:r w:rsidRPr="006B134E">
              <w:rPr>
                <w:rStyle w:val="Hyperlink"/>
                <w:rFonts w:cs="Calibri"/>
                <w:b/>
                <w:noProof/>
              </w:rPr>
              <w:t>4.6</w:t>
            </w:r>
            <w:r>
              <w:rPr>
                <w:rFonts w:eastAsiaTheme="minorEastAsia"/>
                <w:noProof/>
                <w:lang w:eastAsia="pt-BR"/>
              </w:rPr>
              <w:tab/>
            </w:r>
            <w:r w:rsidRPr="006B134E">
              <w:rPr>
                <w:rStyle w:val="Hyperlink"/>
                <w:rFonts w:cs="Calibri"/>
                <w:b/>
                <w:noProof/>
              </w:rPr>
              <w:t>RISCOS DE EXECUÇÃO DOS PRODUTOS</w:t>
            </w:r>
            <w:r>
              <w:rPr>
                <w:noProof/>
                <w:webHidden/>
              </w:rPr>
              <w:tab/>
            </w:r>
            <w:r>
              <w:rPr>
                <w:noProof/>
                <w:webHidden/>
              </w:rPr>
              <w:fldChar w:fldCharType="begin"/>
            </w:r>
            <w:r>
              <w:rPr>
                <w:noProof/>
                <w:webHidden/>
              </w:rPr>
              <w:instrText xml:space="preserve"> PAGEREF _Toc517282077 \h </w:instrText>
            </w:r>
            <w:r>
              <w:rPr>
                <w:noProof/>
                <w:webHidden/>
              </w:rPr>
            </w:r>
            <w:r>
              <w:rPr>
                <w:noProof/>
                <w:webHidden/>
              </w:rPr>
              <w:fldChar w:fldCharType="separate"/>
            </w:r>
            <w:r>
              <w:rPr>
                <w:noProof/>
                <w:webHidden/>
              </w:rPr>
              <w:t>54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8" w:history="1">
            <w:r w:rsidRPr="006B134E">
              <w:rPr>
                <w:rStyle w:val="Hyperlink"/>
                <w:rFonts w:cs="Calibri"/>
                <w:b/>
                <w:noProof/>
              </w:rPr>
              <w:t>4.7</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_Toc517282078 \h </w:instrText>
            </w:r>
            <w:r>
              <w:rPr>
                <w:noProof/>
                <w:webHidden/>
              </w:rPr>
            </w:r>
            <w:r>
              <w:rPr>
                <w:noProof/>
                <w:webHidden/>
              </w:rPr>
              <w:fldChar w:fldCharType="separate"/>
            </w:r>
            <w:r>
              <w:rPr>
                <w:noProof/>
                <w:webHidden/>
              </w:rPr>
              <w:t>55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79" w:history="1">
            <w:r w:rsidRPr="006B134E">
              <w:rPr>
                <w:rStyle w:val="Hyperlink"/>
                <w:rFonts w:cs="Calibri"/>
                <w:b/>
                <w:noProof/>
              </w:rPr>
              <w:t>4.8</w:t>
            </w:r>
            <w:r>
              <w:rPr>
                <w:rFonts w:eastAsiaTheme="minorEastAsia"/>
                <w:noProof/>
                <w:lang w:eastAsia="pt-BR"/>
              </w:rPr>
              <w:tab/>
            </w:r>
            <w:r w:rsidRPr="006B134E">
              <w:rPr>
                <w:rStyle w:val="Hyperlink"/>
                <w:rFonts w:cs="Calibri"/>
                <w:b/>
                <w:noProof/>
              </w:rPr>
              <w:t>CRONOGRAMA PROPOSTO</w:t>
            </w:r>
            <w:r>
              <w:rPr>
                <w:noProof/>
                <w:webHidden/>
              </w:rPr>
              <w:tab/>
            </w:r>
            <w:r>
              <w:rPr>
                <w:noProof/>
                <w:webHidden/>
              </w:rPr>
              <w:fldChar w:fldCharType="begin"/>
            </w:r>
            <w:r>
              <w:rPr>
                <w:noProof/>
                <w:webHidden/>
              </w:rPr>
              <w:instrText xml:space="preserve"> PAGEREF _Toc517282079 \h </w:instrText>
            </w:r>
            <w:r>
              <w:rPr>
                <w:noProof/>
                <w:webHidden/>
              </w:rPr>
            </w:r>
            <w:r>
              <w:rPr>
                <w:noProof/>
                <w:webHidden/>
              </w:rPr>
              <w:fldChar w:fldCharType="separate"/>
            </w:r>
            <w:r>
              <w:rPr>
                <w:noProof/>
                <w:webHidden/>
              </w:rPr>
              <w:t>56</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80" w:history="1">
            <w:r w:rsidRPr="006B134E">
              <w:rPr>
                <w:rStyle w:val="Hyperlink"/>
                <w:rFonts w:eastAsia="Times New Roman" w:cs="Arial"/>
                <w:noProof/>
                <w:lang w:eastAsia="pt-BR"/>
              </w:rPr>
              <w:t>PRODUTO 5. NOVO MODELO DE CONTROLE INTERNO DO ESTADO IMPLANTADO</w:t>
            </w:r>
            <w:r>
              <w:rPr>
                <w:noProof/>
                <w:webHidden/>
              </w:rPr>
              <w:tab/>
            </w:r>
            <w:r>
              <w:rPr>
                <w:noProof/>
                <w:webHidden/>
              </w:rPr>
              <w:fldChar w:fldCharType="begin"/>
            </w:r>
            <w:r>
              <w:rPr>
                <w:noProof/>
                <w:webHidden/>
              </w:rPr>
              <w:instrText xml:space="preserve"> PAGEREF _Toc517282080 \h </w:instrText>
            </w:r>
            <w:r>
              <w:rPr>
                <w:noProof/>
                <w:webHidden/>
              </w:rPr>
            </w:r>
            <w:r>
              <w:rPr>
                <w:noProof/>
                <w:webHidden/>
              </w:rPr>
              <w:fldChar w:fldCharType="separate"/>
            </w:r>
            <w:r>
              <w:rPr>
                <w:noProof/>
                <w:webHidden/>
              </w:rPr>
              <w:t>57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1" w:history="1">
            <w:r w:rsidRPr="006B134E">
              <w:rPr>
                <w:rStyle w:val="Hyperlink"/>
                <w:rFonts w:cs="Calibri"/>
                <w:b/>
                <w:noProof/>
              </w:rPr>
              <w:t>5.1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_Toc517282081 \h </w:instrText>
            </w:r>
            <w:r>
              <w:rPr>
                <w:noProof/>
                <w:webHidden/>
              </w:rPr>
            </w:r>
            <w:r>
              <w:rPr>
                <w:noProof/>
                <w:webHidden/>
              </w:rPr>
              <w:fldChar w:fldCharType="separate"/>
            </w:r>
            <w:r>
              <w:rPr>
                <w:noProof/>
                <w:webHidden/>
              </w:rPr>
              <w:t>58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2" w:history="1">
            <w:r w:rsidRPr="006B134E">
              <w:rPr>
                <w:rStyle w:val="Hyperlink"/>
                <w:rFonts w:cs="Calibri"/>
                <w:b/>
                <w:noProof/>
              </w:rPr>
              <w:t>5.2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_Toc517282082 \h </w:instrText>
            </w:r>
            <w:r>
              <w:rPr>
                <w:noProof/>
                <w:webHidden/>
              </w:rPr>
            </w:r>
            <w:r>
              <w:rPr>
                <w:noProof/>
                <w:webHidden/>
              </w:rPr>
              <w:fldChar w:fldCharType="separate"/>
            </w:r>
            <w:r>
              <w:rPr>
                <w:noProof/>
                <w:webHidden/>
              </w:rPr>
              <w:t>59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3" w:history="1">
            <w:r w:rsidRPr="006B134E">
              <w:rPr>
                <w:rStyle w:val="Hyperlink"/>
                <w:rFonts w:cs="Calibri"/>
                <w:b/>
                <w:noProof/>
              </w:rPr>
              <w:t>5.3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_Toc517282083 \h </w:instrText>
            </w:r>
            <w:r>
              <w:rPr>
                <w:noProof/>
                <w:webHidden/>
              </w:rPr>
            </w:r>
            <w:r>
              <w:rPr>
                <w:noProof/>
                <w:webHidden/>
              </w:rPr>
              <w:fldChar w:fldCharType="separate"/>
            </w:r>
            <w:r>
              <w:rPr>
                <w:noProof/>
                <w:webHidden/>
              </w:rPr>
              <w:t>60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4" w:history="1">
            <w:r w:rsidRPr="006B134E">
              <w:rPr>
                <w:rStyle w:val="Hyperlink"/>
                <w:rFonts w:cs="Calibri"/>
                <w:b/>
                <w:noProof/>
              </w:rPr>
              <w:t>5.4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_Toc517282084 \h </w:instrText>
            </w:r>
            <w:r>
              <w:rPr>
                <w:noProof/>
                <w:webHidden/>
              </w:rPr>
            </w:r>
            <w:r>
              <w:rPr>
                <w:noProof/>
                <w:webHidden/>
              </w:rPr>
              <w:fldChar w:fldCharType="separate"/>
            </w:r>
            <w:r>
              <w:rPr>
                <w:noProof/>
                <w:webHidden/>
              </w:rPr>
              <w:t>66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5" w:history="1">
            <w:r w:rsidRPr="006B134E">
              <w:rPr>
                <w:rStyle w:val="Hyperlink"/>
                <w:rFonts w:cs="Calibri"/>
                <w:b/>
                <w:noProof/>
              </w:rPr>
              <w:t>5.5</w:t>
            </w:r>
            <w:r>
              <w:rPr>
                <w:rFonts w:eastAsiaTheme="minorEastAsia"/>
                <w:noProof/>
                <w:lang w:eastAsia="pt-BR"/>
              </w:rPr>
              <w:tab/>
            </w:r>
            <w:r w:rsidRPr="006B134E">
              <w:rPr>
                <w:rStyle w:val="Hyperlink"/>
                <w:rFonts w:cs="Calibri"/>
                <w:b/>
                <w:noProof/>
              </w:rPr>
              <w:t>ASPECTOS INOVADORES DOS SUBPRODUTOS</w:t>
            </w:r>
            <w:r>
              <w:rPr>
                <w:noProof/>
                <w:webHidden/>
              </w:rPr>
              <w:tab/>
            </w:r>
            <w:r>
              <w:rPr>
                <w:noProof/>
                <w:webHidden/>
              </w:rPr>
              <w:fldChar w:fldCharType="begin"/>
            </w:r>
            <w:r>
              <w:rPr>
                <w:noProof/>
                <w:webHidden/>
              </w:rPr>
              <w:instrText xml:space="preserve"> PAGEREF _Toc517282085 \h </w:instrText>
            </w:r>
            <w:r>
              <w:rPr>
                <w:noProof/>
                <w:webHidden/>
              </w:rPr>
            </w:r>
            <w:r>
              <w:rPr>
                <w:noProof/>
                <w:webHidden/>
              </w:rPr>
              <w:fldChar w:fldCharType="separate"/>
            </w:r>
            <w:r>
              <w:rPr>
                <w:noProof/>
                <w:webHidden/>
              </w:rPr>
              <w:t>68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6" w:history="1">
            <w:r w:rsidRPr="006B134E">
              <w:rPr>
                <w:rStyle w:val="Hyperlink"/>
                <w:rFonts w:cs="Calibri"/>
                <w:b/>
                <w:noProof/>
              </w:rPr>
              <w:t>5.6</w:t>
            </w:r>
            <w:r>
              <w:rPr>
                <w:rFonts w:eastAsiaTheme="minorEastAsia"/>
                <w:noProof/>
                <w:lang w:eastAsia="pt-BR"/>
              </w:rPr>
              <w:tab/>
            </w:r>
            <w:r w:rsidRPr="006B134E">
              <w:rPr>
                <w:rStyle w:val="Hyperlink"/>
                <w:rFonts w:cs="Calibri"/>
                <w:b/>
                <w:noProof/>
              </w:rPr>
              <w:t>RISCOS DE EXECUÇÃO RELACIONADOS AOS SUBPRODUTOS</w:t>
            </w:r>
            <w:r>
              <w:rPr>
                <w:noProof/>
                <w:webHidden/>
              </w:rPr>
              <w:tab/>
            </w:r>
            <w:r>
              <w:rPr>
                <w:noProof/>
                <w:webHidden/>
              </w:rPr>
              <w:fldChar w:fldCharType="begin"/>
            </w:r>
            <w:r>
              <w:rPr>
                <w:noProof/>
                <w:webHidden/>
              </w:rPr>
              <w:instrText xml:space="preserve"> PAGEREF _Toc517282086 \h </w:instrText>
            </w:r>
            <w:r>
              <w:rPr>
                <w:noProof/>
                <w:webHidden/>
              </w:rPr>
            </w:r>
            <w:r>
              <w:rPr>
                <w:noProof/>
                <w:webHidden/>
              </w:rPr>
              <w:fldChar w:fldCharType="separate"/>
            </w:r>
            <w:r>
              <w:rPr>
                <w:noProof/>
                <w:webHidden/>
              </w:rPr>
              <w:t>69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7" w:history="1">
            <w:r w:rsidRPr="006B134E">
              <w:rPr>
                <w:rStyle w:val="Hyperlink"/>
                <w:rFonts w:cs="Calibri"/>
                <w:b/>
                <w:noProof/>
              </w:rPr>
              <w:t>5.7</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_Toc517282087 \h </w:instrText>
            </w:r>
            <w:r>
              <w:rPr>
                <w:noProof/>
                <w:webHidden/>
              </w:rPr>
            </w:r>
            <w:r>
              <w:rPr>
                <w:noProof/>
                <w:webHidden/>
              </w:rPr>
              <w:fldChar w:fldCharType="separate"/>
            </w:r>
            <w:r>
              <w:rPr>
                <w:noProof/>
                <w:webHidden/>
              </w:rPr>
              <w:t>70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88" w:history="1">
            <w:r w:rsidRPr="006B134E">
              <w:rPr>
                <w:rStyle w:val="Hyperlink"/>
                <w:rFonts w:cs="Calibri"/>
                <w:b/>
                <w:noProof/>
              </w:rPr>
              <w:t>5.8</w:t>
            </w:r>
            <w:r>
              <w:rPr>
                <w:rFonts w:eastAsiaTheme="minorEastAsia"/>
                <w:noProof/>
                <w:lang w:eastAsia="pt-BR"/>
              </w:rPr>
              <w:tab/>
            </w:r>
            <w:r w:rsidRPr="006B134E">
              <w:rPr>
                <w:rStyle w:val="Hyperlink"/>
                <w:rFonts w:cs="Calibri"/>
                <w:b/>
                <w:noProof/>
              </w:rPr>
              <w:t>CRONOGRAMA DE DESEMBOLSO PROPOSTO</w:t>
            </w:r>
            <w:r>
              <w:rPr>
                <w:noProof/>
                <w:webHidden/>
              </w:rPr>
              <w:tab/>
            </w:r>
            <w:r>
              <w:rPr>
                <w:noProof/>
                <w:webHidden/>
              </w:rPr>
              <w:fldChar w:fldCharType="begin"/>
            </w:r>
            <w:r>
              <w:rPr>
                <w:noProof/>
                <w:webHidden/>
              </w:rPr>
              <w:instrText xml:space="preserve"> PAGEREF _Toc517282088 \h </w:instrText>
            </w:r>
            <w:r>
              <w:rPr>
                <w:noProof/>
                <w:webHidden/>
              </w:rPr>
            </w:r>
            <w:r>
              <w:rPr>
                <w:noProof/>
                <w:webHidden/>
              </w:rPr>
              <w:fldChar w:fldCharType="separate"/>
            </w:r>
            <w:r>
              <w:rPr>
                <w:noProof/>
                <w:webHidden/>
              </w:rPr>
              <w:t>72</w:t>
            </w:r>
            <w:r>
              <w:rPr>
                <w:noProof/>
                <w:webHidden/>
              </w:rPr>
              <w:fldChar w:fldCharType="end"/>
            </w:r>
          </w:hyperlink>
        </w:p>
        <w:p w:rsidR="00E85505" w:rsidRDefault="00E85505">
          <w:pPr>
            <w:pStyle w:val="Sumrio1"/>
            <w:tabs>
              <w:tab w:val="right" w:pos="9770"/>
            </w:tabs>
            <w:rPr>
              <w:rFonts w:eastAsiaTheme="minorEastAsia"/>
              <w:noProof/>
              <w:lang w:eastAsia="pt-BR"/>
            </w:rPr>
          </w:pPr>
          <w:hyperlink w:anchor="_Toc517282089" w:history="1">
            <w:r w:rsidRPr="006B134E">
              <w:rPr>
                <w:rStyle w:val="Hyperlink"/>
                <w:rFonts w:eastAsia="Times New Roman" w:cs="Arial"/>
                <w:noProof/>
                <w:lang w:eastAsia="pt-BR"/>
              </w:rPr>
              <w:t>COMPONENTE 2. ADMINISTRAÇÃO TRIBUTÁRIA E CONTENCIOSO FISCAL</w:t>
            </w:r>
            <w:r>
              <w:rPr>
                <w:noProof/>
                <w:webHidden/>
              </w:rPr>
              <w:tab/>
            </w:r>
            <w:r>
              <w:rPr>
                <w:noProof/>
                <w:webHidden/>
              </w:rPr>
              <w:fldChar w:fldCharType="begin"/>
            </w:r>
            <w:r>
              <w:rPr>
                <w:noProof/>
                <w:webHidden/>
              </w:rPr>
              <w:instrText xml:space="preserve"> PAGEREF _Toc517282089 \h </w:instrText>
            </w:r>
            <w:r>
              <w:rPr>
                <w:noProof/>
                <w:webHidden/>
              </w:rPr>
            </w:r>
            <w:r>
              <w:rPr>
                <w:noProof/>
                <w:webHidden/>
              </w:rPr>
              <w:fldChar w:fldCharType="separate"/>
            </w:r>
            <w:r>
              <w:rPr>
                <w:noProof/>
                <w:webHidden/>
              </w:rPr>
              <w:t>73</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90" w:history="1">
            <w:r w:rsidRPr="006B134E">
              <w:rPr>
                <w:rStyle w:val="Hyperlink"/>
                <w:rFonts w:eastAsia="Times New Roman" w:cs="Arial"/>
                <w:noProof/>
                <w:lang w:eastAsia="pt-BR"/>
              </w:rPr>
              <w:t>PRODUTO 1. SISTEMA DE GESTÃO DO GASTO TRIBUTÁRIAS IMPLANTADO</w:t>
            </w:r>
            <w:r>
              <w:rPr>
                <w:noProof/>
                <w:webHidden/>
              </w:rPr>
              <w:tab/>
            </w:r>
            <w:r>
              <w:rPr>
                <w:noProof/>
                <w:webHidden/>
              </w:rPr>
              <w:fldChar w:fldCharType="begin"/>
            </w:r>
            <w:r>
              <w:rPr>
                <w:noProof/>
                <w:webHidden/>
              </w:rPr>
              <w:instrText xml:space="preserve"> PAGEREF _Toc517282090 \h </w:instrText>
            </w:r>
            <w:r>
              <w:rPr>
                <w:noProof/>
                <w:webHidden/>
              </w:rPr>
            </w:r>
            <w:r>
              <w:rPr>
                <w:noProof/>
                <w:webHidden/>
              </w:rPr>
              <w:fldChar w:fldCharType="separate"/>
            </w:r>
            <w:r>
              <w:rPr>
                <w:noProof/>
                <w:webHidden/>
              </w:rPr>
              <w:t>73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1" w:history="1">
            <w:r w:rsidRPr="006B134E">
              <w:rPr>
                <w:rStyle w:val="Hyperlink"/>
                <w:rFonts w:cs="Calibri"/>
                <w:b/>
                <w:noProof/>
              </w:rPr>
              <w:t>1.1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_Toc517282091 \h </w:instrText>
            </w:r>
            <w:r>
              <w:rPr>
                <w:noProof/>
                <w:webHidden/>
              </w:rPr>
            </w:r>
            <w:r>
              <w:rPr>
                <w:noProof/>
                <w:webHidden/>
              </w:rPr>
              <w:fldChar w:fldCharType="separate"/>
            </w:r>
            <w:r>
              <w:rPr>
                <w:noProof/>
                <w:webHidden/>
              </w:rPr>
              <w:t>74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2" w:history="1">
            <w:r w:rsidRPr="006B134E">
              <w:rPr>
                <w:rStyle w:val="Hyperlink"/>
                <w:rFonts w:cs="Calibri"/>
                <w:b/>
                <w:noProof/>
              </w:rPr>
              <w:t>1.2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_Toc517282092 \h </w:instrText>
            </w:r>
            <w:r>
              <w:rPr>
                <w:noProof/>
                <w:webHidden/>
              </w:rPr>
            </w:r>
            <w:r>
              <w:rPr>
                <w:noProof/>
                <w:webHidden/>
              </w:rPr>
              <w:fldChar w:fldCharType="separate"/>
            </w:r>
            <w:r>
              <w:rPr>
                <w:noProof/>
                <w:webHidden/>
              </w:rPr>
              <w:t>74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3" w:history="1">
            <w:r w:rsidRPr="006B134E">
              <w:rPr>
                <w:rStyle w:val="Hyperlink"/>
                <w:rFonts w:cs="Calibri"/>
                <w:b/>
                <w:noProof/>
              </w:rPr>
              <w:t>1.3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_Toc517282093 \h </w:instrText>
            </w:r>
            <w:r>
              <w:rPr>
                <w:noProof/>
                <w:webHidden/>
              </w:rPr>
            </w:r>
            <w:r>
              <w:rPr>
                <w:noProof/>
                <w:webHidden/>
              </w:rPr>
              <w:fldChar w:fldCharType="separate"/>
            </w:r>
            <w:r>
              <w:rPr>
                <w:noProof/>
                <w:webHidden/>
              </w:rPr>
              <w:t>75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4" w:history="1">
            <w:r w:rsidRPr="006B134E">
              <w:rPr>
                <w:rStyle w:val="Hyperlink"/>
                <w:rFonts w:cs="Calibri"/>
                <w:b/>
                <w:noProof/>
              </w:rPr>
              <w:t>1.4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_Toc517282094 \h </w:instrText>
            </w:r>
            <w:r>
              <w:rPr>
                <w:noProof/>
                <w:webHidden/>
              </w:rPr>
            </w:r>
            <w:r>
              <w:rPr>
                <w:noProof/>
                <w:webHidden/>
              </w:rPr>
              <w:fldChar w:fldCharType="separate"/>
            </w:r>
            <w:r>
              <w:rPr>
                <w:noProof/>
                <w:webHidden/>
              </w:rPr>
              <w:t>76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5" w:history="1">
            <w:r w:rsidRPr="006B134E">
              <w:rPr>
                <w:rStyle w:val="Hyperlink"/>
                <w:rFonts w:cs="Calibri"/>
                <w:b/>
                <w:noProof/>
              </w:rPr>
              <w:t>1.5</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_Toc517282095 \h </w:instrText>
            </w:r>
            <w:r>
              <w:rPr>
                <w:noProof/>
                <w:webHidden/>
              </w:rPr>
            </w:r>
            <w:r>
              <w:rPr>
                <w:noProof/>
                <w:webHidden/>
              </w:rPr>
              <w:fldChar w:fldCharType="separate"/>
            </w:r>
            <w:r>
              <w:rPr>
                <w:noProof/>
                <w:webHidden/>
              </w:rPr>
              <w:t>78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6" w:history="1">
            <w:r w:rsidRPr="006B134E">
              <w:rPr>
                <w:rStyle w:val="Hyperlink"/>
                <w:rFonts w:cs="Calibri"/>
                <w:b/>
                <w:noProof/>
              </w:rPr>
              <w:t>1.6</w:t>
            </w:r>
            <w:r>
              <w:rPr>
                <w:rFonts w:eastAsiaTheme="minorEastAsia"/>
                <w:noProof/>
                <w:lang w:eastAsia="pt-BR"/>
              </w:rPr>
              <w:tab/>
            </w:r>
            <w:r w:rsidRPr="006B134E">
              <w:rPr>
                <w:rStyle w:val="Hyperlink"/>
                <w:rFonts w:cs="Calibri"/>
                <w:b/>
                <w:noProof/>
              </w:rPr>
              <w:t>RISCOS DE EXECUÇÃO RELACIONADOS AO PRODUTO</w:t>
            </w:r>
            <w:r>
              <w:rPr>
                <w:noProof/>
                <w:webHidden/>
              </w:rPr>
              <w:tab/>
            </w:r>
            <w:r>
              <w:rPr>
                <w:noProof/>
                <w:webHidden/>
              </w:rPr>
              <w:fldChar w:fldCharType="begin"/>
            </w:r>
            <w:r>
              <w:rPr>
                <w:noProof/>
                <w:webHidden/>
              </w:rPr>
              <w:instrText xml:space="preserve"> PAGEREF _Toc517282096 \h </w:instrText>
            </w:r>
            <w:r>
              <w:rPr>
                <w:noProof/>
                <w:webHidden/>
              </w:rPr>
            </w:r>
            <w:r>
              <w:rPr>
                <w:noProof/>
                <w:webHidden/>
              </w:rPr>
              <w:fldChar w:fldCharType="separate"/>
            </w:r>
            <w:r>
              <w:rPr>
                <w:noProof/>
                <w:webHidden/>
              </w:rPr>
              <w:t>78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7" w:history="1">
            <w:r w:rsidRPr="006B134E">
              <w:rPr>
                <w:rStyle w:val="Hyperlink"/>
                <w:rFonts w:cs="Calibri"/>
                <w:b/>
                <w:noProof/>
              </w:rPr>
              <w:t>1.7</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_Toc517282097 \h </w:instrText>
            </w:r>
            <w:r>
              <w:rPr>
                <w:noProof/>
                <w:webHidden/>
              </w:rPr>
            </w:r>
            <w:r>
              <w:rPr>
                <w:noProof/>
                <w:webHidden/>
              </w:rPr>
              <w:fldChar w:fldCharType="separate"/>
            </w:r>
            <w:r>
              <w:rPr>
                <w:noProof/>
                <w:webHidden/>
              </w:rPr>
              <w:t>78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098" w:history="1">
            <w:r w:rsidRPr="006B134E">
              <w:rPr>
                <w:rStyle w:val="Hyperlink"/>
                <w:rFonts w:cs="Calibri"/>
                <w:b/>
                <w:noProof/>
              </w:rPr>
              <w:t>1.8</w:t>
            </w:r>
            <w:r>
              <w:rPr>
                <w:rFonts w:eastAsiaTheme="minorEastAsia"/>
                <w:noProof/>
                <w:lang w:eastAsia="pt-BR"/>
              </w:rPr>
              <w:tab/>
            </w:r>
            <w:r w:rsidRPr="006B134E">
              <w:rPr>
                <w:rStyle w:val="Hyperlink"/>
                <w:rFonts w:cs="Calibri"/>
                <w:b/>
                <w:noProof/>
              </w:rPr>
              <w:t>CRONOGRAMA PROPOSTO</w:t>
            </w:r>
            <w:r>
              <w:rPr>
                <w:noProof/>
                <w:webHidden/>
              </w:rPr>
              <w:tab/>
            </w:r>
            <w:r>
              <w:rPr>
                <w:noProof/>
                <w:webHidden/>
              </w:rPr>
              <w:fldChar w:fldCharType="begin"/>
            </w:r>
            <w:r>
              <w:rPr>
                <w:noProof/>
                <w:webHidden/>
              </w:rPr>
              <w:instrText xml:space="preserve"> PAGEREF _Toc517282098 \h </w:instrText>
            </w:r>
            <w:r>
              <w:rPr>
                <w:noProof/>
                <w:webHidden/>
              </w:rPr>
            </w:r>
            <w:r>
              <w:rPr>
                <w:noProof/>
                <w:webHidden/>
              </w:rPr>
              <w:fldChar w:fldCharType="separate"/>
            </w:r>
            <w:r>
              <w:rPr>
                <w:noProof/>
                <w:webHidden/>
              </w:rPr>
              <w:t>79</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099" w:history="1">
            <w:r w:rsidRPr="006B134E">
              <w:rPr>
                <w:rStyle w:val="Hyperlink"/>
                <w:rFonts w:eastAsia="Times New Roman" w:cs="Arial"/>
                <w:noProof/>
                <w:lang w:eastAsia="pt-BR"/>
              </w:rPr>
              <w:t>PRODUTO 2. NOVO MODELO DE FISCALIZAÇÃO IMPLANTADO</w:t>
            </w:r>
            <w:r>
              <w:rPr>
                <w:noProof/>
                <w:webHidden/>
              </w:rPr>
              <w:tab/>
            </w:r>
            <w:r>
              <w:rPr>
                <w:noProof/>
                <w:webHidden/>
              </w:rPr>
              <w:fldChar w:fldCharType="begin"/>
            </w:r>
            <w:r>
              <w:rPr>
                <w:noProof/>
                <w:webHidden/>
              </w:rPr>
              <w:instrText xml:space="preserve"> PAGEREF _Toc517282099 \h </w:instrText>
            </w:r>
            <w:r>
              <w:rPr>
                <w:noProof/>
                <w:webHidden/>
              </w:rPr>
            </w:r>
            <w:r>
              <w:rPr>
                <w:noProof/>
                <w:webHidden/>
              </w:rPr>
              <w:fldChar w:fldCharType="separate"/>
            </w:r>
            <w:r>
              <w:rPr>
                <w:noProof/>
                <w:webHidden/>
              </w:rPr>
              <w:t>80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0" w:history="1">
            <w:r w:rsidRPr="006B134E">
              <w:rPr>
                <w:rStyle w:val="Hyperlink"/>
                <w:rFonts w:cs="Calibri"/>
                <w:b/>
                <w:noProof/>
              </w:rPr>
              <w:t>2.1</w:t>
            </w:r>
            <w:r>
              <w:rPr>
                <w:rFonts w:eastAsiaTheme="minorEastAsia"/>
                <w:noProof/>
                <w:lang w:eastAsia="pt-BR"/>
              </w:rPr>
              <w:tab/>
            </w:r>
            <w:r w:rsidRPr="006B134E">
              <w:rPr>
                <w:rStyle w:val="Hyperlink"/>
                <w:rFonts w:cs="Calibri"/>
                <w:b/>
                <w:noProof/>
              </w:rPr>
              <w:t>ANTECEDENTES</w:t>
            </w:r>
            <w:r>
              <w:rPr>
                <w:noProof/>
                <w:webHidden/>
              </w:rPr>
              <w:tab/>
            </w:r>
            <w:r>
              <w:rPr>
                <w:noProof/>
                <w:webHidden/>
              </w:rPr>
              <w:fldChar w:fldCharType="begin"/>
            </w:r>
            <w:r>
              <w:rPr>
                <w:noProof/>
                <w:webHidden/>
              </w:rPr>
              <w:instrText xml:space="preserve"> PAGEREF _Toc517282100 \h </w:instrText>
            </w:r>
            <w:r>
              <w:rPr>
                <w:noProof/>
                <w:webHidden/>
              </w:rPr>
            </w:r>
            <w:r>
              <w:rPr>
                <w:noProof/>
                <w:webHidden/>
              </w:rPr>
              <w:fldChar w:fldCharType="separate"/>
            </w:r>
            <w:r>
              <w:rPr>
                <w:noProof/>
                <w:webHidden/>
              </w:rPr>
              <w:t>81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1" w:history="1">
            <w:r w:rsidRPr="006B134E">
              <w:rPr>
                <w:rStyle w:val="Hyperlink"/>
                <w:rFonts w:cs="Calibri"/>
                <w:b/>
                <w:noProof/>
              </w:rPr>
              <w:t>2.2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_Toc517282101 \h </w:instrText>
            </w:r>
            <w:r>
              <w:rPr>
                <w:noProof/>
                <w:webHidden/>
              </w:rPr>
            </w:r>
            <w:r>
              <w:rPr>
                <w:noProof/>
                <w:webHidden/>
              </w:rPr>
              <w:fldChar w:fldCharType="separate"/>
            </w:r>
            <w:r>
              <w:rPr>
                <w:noProof/>
                <w:webHidden/>
              </w:rPr>
              <w:t>83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2" w:history="1">
            <w:r w:rsidRPr="006B134E">
              <w:rPr>
                <w:rStyle w:val="Hyperlink"/>
                <w:rFonts w:cs="Calibri"/>
                <w:b/>
                <w:noProof/>
              </w:rPr>
              <w:t>2.3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_Toc517282102 \h </w:instrText>
            </w:r>
            <w:r>
              <w:rPr>
                <w:noProof/>
                <w:webHidden/>
              </w:rPr>
            </w:r>
            <w:r>
              <w:rPr>
                <w:noProof/>
                <w:webHidden/>
              </w:rPr>
              <w:fldChar w:fldCharType="separate"/>
            </w:r>
            <w:r>
              <w:rPr>
                <w:noProof/>
                <w:webHidden/>
              </w:rPr>
              <w:t>85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3" w:history="1">
            <w:r w:rsidRPr="006B134E">
              <w:rPr>
                <w:rStyle w:val="Hyperlink"/>
                <w:rFonts w:cs="Calibri"/>
                <w:b/>
                <w:noProof/>
              </w:rPr>
              <w:t>2.4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_Toc517282103 \h </w:instrText>
            </w:r>
            <w:r>
              <w:rPr>
                <w:noProof/>
                <w:webHidden/>
              </w:rPr>
            </w:r>
            <w:r>
              <w:rPr>
                <w:noProof/>
                <w:webHidden/>
              </w:rPr>
              <w:fldChar w:fldCharType="separate"/>
            </w:r>
            <w:r>
              <w:rPr>
                <w:noProof/>
                <w:webHidden/>
              </w:rPr>
              <w:t>88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4" w:history="1">
            <w:r w:rsidRPr="006B134E">
              <w:rPr>
                <w:rStyle w:val="Hyperlink"/>
                <w:rFonts w:cs="Calibri"/>
                <w:b/>
                <w:noProof/>
              </w:rPr>
              <w:t>2.5</w:t>
            </w:r>
            <w:r>
              <w:rPr>
                <w:rFonts w:eastAsiaTheme="minorEastAsia"/>
                <w:noProof/>
                <w:lang w:eastAsia="pt-BR"/>
              </w:rPr>
              <w:tab/>
            </w:r>
            <w:r w:rsidRPr="006B134E">
              <w:rPr>
                <w:rStyle w:val="Hyperlink"/>
                <w:rFonts w:cs="Calibri"/>
                <w:b/>
                <w:noProof/>
              </w:rPr>
              <w:t>ASPECTOS INOVADORES DOS SUBPRODUTO</w:t>
            </w:r>
            <w:r>
              <w:rPr>
                <w:noProof/>
                <w:webHidden/>
              </w:rPr>
              <w:tab/>
            </w:r>
            <w:r>
              <w:rPr>
                <w:noProof/>
                <w:webHidden/>
              </w:rPr>
              <w:fldChar w:fldCharType="begin"/>
            </w:r>
            <w:r>
              <w:rPr>
                <w:noProof/>
                <w:webHidden/>
              </w:rPr>
              <w:instrText xml:space="preserve"> PAGEREF _Toc517282104 \h </w:instrText>
            </w:r>
            <w:r>
              <w:rPr>
                <w:noProof/>
                <w:webHidden/>
              </w:rPr>
            </w:r>
            <w:r>
              <w:rPr>
                <w:noProof/>
                <w:webHidden/>
              </w:rPr>
              <w:fldChar w:fldCharType="separate"/>
            </w:r>
            <w:r>
              <w:rPr>
                <w:noProof/>
                <w:webHidden/>
              </w:rPr>
              <w:t>90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5" w:history="1">
            <w:r w:rsidRPr="006B134E">
              <w:rPr>
                <w:rStyle w:val="Hyperlink"/>
                <w:rFonts w:cs="Calibri"/>
                <w:b/>
                <w:noProof/>
              </w:rPr>
              <w:t>2.6</w:t>
            </w:r>
            <w:r>
              <w:rPr>
                <w:rFonts w:eastAsiaTheme="minorEastAsia"/>
                <w:noProof/>
                <w:lang w:eastAsia="pt-BR"/>
              </w:rPr>
              <w:tab/>
            </w:r>
            <w:r w:rsidRPr="006B134E">
              <w:rPr>
                <w:rStyle w:val="Hyperlink"/>
                <w:rFonts w:cs="Calibri"/>
                <w:b/>
                <w:noProof/>
              </w:rPr>
              <w:t>RISCOS DE EXECUÇÃO RELACIONADOS AOS SUBPRODUTO</w:t>
            </w:r>
            <w:r>
              <w:rPr>
                <w:noProof/>
                <w:webHidden/>
              </w:rPr>
              <w:tab/>
            </w:r>
            <w:r>
              <w:rPr>
                <w:noProof/>
                <w:webHidden/>
              </w:rPr>
              <w:fldChar w:fldCharType="begin"/>
            </w:r>
            <w:r>
              <w:rPr>
                <w:noProof/>
                <w:webHidden/>
              </w:rPr>
              <w:instrText xml:space="preserve"> PAGEREF _Toc517282105 \h </w:instrText>
            </w:r>
            <w:r>
              <w:rPr>
                <w:noProof/>
                <w:webHidden/>
              </w:rPr>
            </w:r>
            <w:r>
              <w:rPr>
                <w:noProof/>
                <w:webHidden/>
              </w:rPr>
              <w:fldChar w:fldCharType="separate"/>
            </w:r>
            <w:r>
              <w:rPr>
                <w:noProof/>
                <w:webHidden/>
              </w:rPr>
              <w:t>91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6" w:history="1">
            <w:r w:rsidRPr="006B134E">
              <w:rPr>
                <w:rStyle w:val="Hyperlink"/>
                <w:rFonts w:cs="Calibri"/>
                <w:b/>
                <w:noProof/>
              </w:rPr>
              <w:t>2.7</w:t>
            </w:r>
            <w:r>
              <w:rPr>
                <w:rFonts w:eastAsiaTheme="minorEastAsia"/>
                <w:noProof/>
                <w:lang w:eastAsia="pt-BR"/>
              </w:rPr>
              <w:tab/>
            </w:r>
            <w:r w:rsidRPr="006B134E">
              <w:rPr>
                <w:rStyle w:val="Hyperlink"/>
                <w:rFonts w:cs="Calibri"/>
                <w:b/>
                <w:noProof/>
              </w:rPr>
              <w:t>QUADRO DE CUSTOS POR TIPO DE INVESTIMENTO</w:t>
            </w:r>
            <w:r>
              <w:rPr>
                <w:noProof/>
                <w:webHidden/>
              </w:rPr>
              <w:tab/>
            </w:r>
            <w:r>
              <w:rPr>
                <w:noProof/>
                <w:webHidden/>
              </w:rPr>
              <w:fldChar w:fldCharType="begin"/>
            </w:r>
            <w:r>
              <w:rPr>
                <w:noProof/>
                <w:webHidden/>
              </w:rPr>
              <w:instrText xml:space="preserve"> PAGEREF _Toc517282106 \h </w:instrText>
            </w:r>
            <w:r>
              <w:rPr>
                <w:noProof/>
                <w:webHidden/>
              </w:rPr>
            </w:r>
            <w:r>
              <w:rPr>
                <w:noProof/>
                <w:webHidden/>
              </w:rPr>
              <w:fldChar w:fldCharType="separate"/>
            </w:r>
            <w:r>
              <w:rPr>
                <w:noProof/>
                <w:webHidden/>
              </w:rPr>
              <w:t>92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7" w:history="1">
            <w:r w:rsidRPr="006B134E">
              <w:rPr>
                <w:rStyle w:val="Hyperlink"/>
                <w:rFonts w:cs="Calibri"/>
                <w:b/>
                <w:noProof/>
              </w:rPr>
              <w:t>2.8</w:t>
            </w:r>
            <w:r>
              <w:rPr>
                <w:rFonts w:eastAsiaTheme="minorEastAsia"/>
                <w:noProof/>
                <w:lang w:eastAsia="pt-BR"/>
              </w:rPr>
              <w:tab/>
            </w:r>
            <w:r w:rsidRPr="006B134E">
              <w:rPr>
                <w:rStyle w:val="Hyperlink"/>
                <w:rFonts w:cs="Calibri"/>
                <w:b/>
                <w:noProof/>
              </w:rPr>
              <w:t>CRONOGRAMA DE DESEMBOLSO PROPOSTO</w:t>
            </w:r>
            <w:r>
              <w:rPr>
                <w:noProof/>
                <w:webHidden/>
              </w:rPr>
              <w:tab/>
            </w:r>
            <w:r>
              <w:rPr>
                <w:noProof/>
                <w:webHidden/>
              </w:rPr>
              <w:fldChar w:fldCharType="begin"/>
            </w:r>
            <w:r>
              <w:rPr>
                <w:noProof/>
                <w:webHidden/>
              </w:rPr>
              <w:instrText xml:space="preserve"> PAGEREF _Toc517282107 \h </w:instrText>
            </w:r>
            <w:r>
              <w:rPr>
                <w:noProof/>
                <w:webHidden/>
              </w:rPr>
            </w:r>
            <w:r>
              <w:rPr>
                <w:noProof/>
                <w:webHidden/>
              </w:rPr>
              <w:fldChar w:fldCharType="separate"/>
            </w:r>
            <w:r>
              <w:rPr>
                <w:noProof/>
                <w:webHidden/>
              </w:rPr>
              <w:t>92</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08" w:history="1">
            <w:r w:rsidRPr="006B134E">
              <w:rPr>
                <w:rStyle w:val="Hyperlink"/>
                <w:rFonts w:eastAsia="Times New Roman" w:cs="Arial"/>
                <w:noProof/>
                <w:lang w:eastAsia="pt-BR"/>
              </w:rPr>
              <w:t>PRODUTO 3. PROCESSO ELETRÔNICO DO CONTENCIOSO IMPLANTADO</w:t>
            </w:r>
            <w:r>
              <w:rPr>
                <w:noProof/>
                <w:webHidden/>
              </w:rPr>
              <w:tab/>
            </w:r>
            <w:r>
              <w:rPr>
                <w:noProof/>
                <w:webHidden/>
              </w:rPr>
              <w:fldChar w:fldCharType="begin"/>
            </w:r>
            <w:r>
              <w:rPr>
                <w:noProof/>
                <w:webHidden/>
              </w:rPr>
              <w:instrText xml:space="preserve"> PAGEREF _Toc517282108 \h </w:instrText>
            </w:r>
            <w:r>
              <w:rPr>
                <w:noProof/>
                <w:webHidden/>
              </w:rPr>
            </w:r>
            <w:r>
              <w:rPr>
                <w:noProof/>
                <w:webHidden/>
              </w:rPr>
              <w:fldChar w:fldCharType="separate"/>
            </w:r>
            <w:r>
              <w:rPr>
                <w:noProof/>
                <w:webHidden/>
              </w:rPr>
              <w:t>93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09" w:history="1">
            <w:r w:rsidRPr="006B134E">
              <w:rPr>
                <w:rStyle w:val="Hyperlink"/>
                <w:rFonts w:cs="Calibri"/>
                <w:b/>
                <w:noProof/>
              </w:rPr>
              <w:t>3.1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_Toc517282109 \h </w:instrText>
            </w:r>
            <w:r>
              <w:rPr>
                <w:noProof/>
                <w:webHidden/>
              </w:rPr>
            </w:r>
            <w:r>
              <w:rPr>
                <w:noProof/>
                <w:webHidden/>
              </w:rPr>
              <w:fldChar w:fldCharType="separate"/>
            </w:r>
            <w:r>
              <w:rPr>
                <w:noProof/>
                <w:webHidden/>
              </w:rPr>
              <w:t>94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0" w:history="1">
            <w:r w:rsidRPr="006B134E">
              <w:rPr>
                <w:rStyle w:val="Hyperlink"/>
                <w:rFonts w:cs="Calibri"/>
                <w:b/>
                <w:noProof/>
              </w:rPr>
              <w:t>3.2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_Toc517282110 \h </w:instrText>
            </w:r>
            <w:r>
              <w:rPr>
                <w:noProof/>
                <w:webHidden/>
              </w:rPr>
            </w:r>
            <w:r>
              <w:rPr>
                <w:noProof/>
                <w:webHidden/>
              </w:rPr>
              <w:fldChar w:fldCharType="separate"/>
            </w:r>
            <w:r>
              <w:rPr>
                <w:noProof/>
                <w:webHidden/>
              </w:rPr>
              <w:t>96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1" w:history="1">
            <w:r w:rsidRPr="006B134E">
              <w:rPr>
                <w:rStyle w:val="Hyperlink"/>
                <w:rFonts w:cs="Calibri"/>
                <w:b/>
                <w:noProof/>
              </w:rPr>
              <w:t>3.3</w:t>
            </w:r>
            <w:r>
              <w:rPr>
                <w:rFonts w:eastAsiaTheme="minorEastAsia"/>
                <w:noProof/>
                <w:lang w:eastAsia="pt-BR"/>
              </w:rPr>
              <w:tab/>
            </w:r>
            <w:r w:rsidRPr="006B134E">
              <w:rPr>
                <w:rStyle w:val="Hyperlink"/>
                <w:rFonts w:cs="Calibri"/>
                <w:b/>
                <w:noProof/>
              </w:rPr>
              <w:t>DESCRIÇÃO DO PRODUTO E SUA META QUANTITATIVA E QUALITATIVA</w:t>
            </w:r>
            <w:r>
              <w:rPr>
                <w:noProof/>
                <w:webHidden/>
              </w:rPr>
              <w:tab/>
            </w:r>
            <w:r>
              <w:rPr>
                <w:noProof/>
                <w:webHidden/>
              </w:rPr>
              <w:fldChar w:fldCharType="begin"/>
            </w:r>
            <w:r>
              <w:rPr>
                <w:noProof/>
                <w:webHidden/>
              </w:rPr>
              <w:instrText xml:space="preserve"> PAGEREF _Toc517282111 \h </w:instrText>
            </w:r>
            <w:r>
              <w:rPr>
                <w:noProof/>
                <w:webHidden/>
              </w:rPr>
            </w:r>
            <w:r>
              <w:rPr>
                <w:noProof/>
                <w:webHidden/>
              </w:rPr>
              <w:fldChar w:fldCharType="separate"/>
            </w:r>
            <w:r>
              <w:rPr>
                <w:noProof/>
                <w:webHidden/>
              </w:rPr>
              <w:t>97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2" w:history="1">
            <w:r w:rsidRPr="006B134E">
              <w:rPr>
                <w:rStyle w:val="Hyperlink"/>
                <w:rFonts w:cs="Calibri"/>
                <w:b/>
                <w:noProof/>
              </w:rPr>
              <w:t>3.4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_Toc517282112 \h </w:instrText>
            </w:r>
            <w:r>
              <w:rPr>
                <w:noProof/>
                <w:webHidden/>
              </w:rPr>
            </w:r>
            <w:r>
              <w:rPr>
                <w:noProof/>
                <w:webHidden/>
              </w:rPr>
              <w:fldChar w:fldCharType="separate"/>
            </w:r>
            <w:r>
              <w:rPr>
                <w:noProof/>
                <w:webHidden/>
              </w:rPr>
              <w:t>98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3" w:history="1">
            <w:r w:rsidRPr="006B134E">
              <w:rPr>
                <w:rStyle w:val="Hyperlink"/>
                <w:rFonts w:cs="Calibri"/>
                <w:b/>
                <w:noProof/>
              </w:rPr>
              <w:t>3.5</w:t>
            </w:r>
            <w:r>
              <w:rPr>
                <w:rFonts w:eastAsiaTheme="minorEastAsia"/>
                <w:noProof/>
                <w:lang w:eastAsia="pt-BR"/>
              </w:rPr>
              <w:tab/>
            </w:r>
            <w:r w:rsidRPr="006B134E">
              <w:rPr>
                <w:rStyle w:val="Hyperlink"/>
                <w:rFonts w:cs="Calibri"/>
                <w:b/>
                <w:noProof/>
              </w:rPr>
              <w:t>ASPECTO INOVADOR DO PRODUTO</w:t>
            </w:r>
            <w:r>
              <w:rPr>
                <w:noProof/>
                <w:webHidden/>
              </w:rPr>
              <w:tab/>
            </w:r>
            <w:r>
              <w:rPr>
                <w:noProof/>
                <w:webHidden/>
              </w:rPr>
              <w:fldChar w:fldCharType="begin"/>
            </w:r>
            <w:r>
              <w:rPr>
                <w:noProof/>
                <w:webHidden/>
              </w:rPr>
              <w:instrText xml:space="preserve"> PAGEREF _Toc517282113 \h </w:instrText>
            </w:r>
            <w:r>
              <w:rPr>
                <w:noProof/>
                <w:webHidden/>
              </w:rPr>
            </w:r>
            <w:r>
              <w:rPr>
                <w:noProof/>
                <w:webHidden/>
              </w:rPr>
              <w:fldChar w:fldCharType="separate"/>
            </w:r>
            <w:r>
              <w:rPr>
                <w:noProof/>
                <w:webHidden/>
              </w:rPr>
              <w:t>98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4" w:history="1">
            <w:r w:rsidRPr="006B134E">
              <w:rPr>
                <w:rStyle w:val="Hyperlink"/>
                <w:rFonts w:cs="Calibri"/>
                <w:b/>
                <w:noProof/>
              </w:rPr>
              <w:t>3.6</w:t>
            </w:r>
            <w:r>
              <w:rPr>
                <w:rFonts w:eastAsiaTheme="minorEastAsia"/>
                <w:noProof/>
                <w:lang w:eastAsia="pt-BR"/>
              </w:rPr>
              <w:tab/>
            </w:r>
            <w:r w:rsidRPr="006B134E">
              <w:rPr>
                <w:rStyle w:val="Hyperlink"/>
                <w:rFonts w:cs="Calibri"/>
                <w:b/>
                <w:noProof/>
              </w:rPr>
              <w:t>IMPACTOS POTENCIAIS DO PRODUTO</w:t>
            </w:r>
            <w:r>
              <w:rPr>
                <w:noProof/>
                <w:webHidden/>
              </w:rPr>
              <w:tab/>
            </w:r>
            <w:r>
              <w:rPr>
                <w:noProof/>
                <w:webHidden/>
              </w:rPr>
              <w:fldChar w:fldCharType="begin"/>
            </w:r>
            <w:r>
              <w:rPr>
                <w:noProof/>
                <w:webHidden/>
              </w:rPr>
              <w:instrText xml:space="preserve"> PAGEREF _Toc517282114 \h </w:instrText>
            </w:r>
            <w:r>
              <w:rPr>
                <w:noProof/>
                <w:webHidden/>
              </w:rPr>
            </w:r>
            <w:r>
              <w:rPr>
                <w:noProof/>
                <w:webHidden/>
              </w:rPr>
              <w:fldChar w:fldCharType="separate"/>
            </w:r>
            <w:r>
              <w:rPr>
                <w:noProof/>
                <w:webHidden/>
              </w:rPr>
              <w:t>99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5" w:history="1">
            <w:r w:rsidRPr="006B134E">
              <w:rPr>
                <w:rStyle w:val="Hyperlink"/>
                <w:rFonts w:cs="Calibri"/>
                <w:b/>
                <w:noProof/>
              </w:rPr>
              <w:t>3.7</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_Toc517282115 \h </w:instrText>
            </w:r>
            <w:r>
              <w:rPr>
                <w:noProof/>
                <w:webHidden/>
              </w:rPr>
            </w:r>
            <w:r>
              <w:rPr>
                <w:noProof/>
                <w:webHidden/>
              </w:rPr>
              <w:fldChar w:fldCharType="separate"/>
            </w:r>
            <w:r>
              <w:rPr>
                <w:noProof/>
                <w:webHidden/>
              </w:rPr>
              <w:t>100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6" w:history="1">
            <w:r w:rsidRPr="006B134E">
              <w:rPr>
                <w:rStyle w:val="Hyperlink"/>
                <w:rFonts w:cs="Calibri"/>
                <w:b/>
                <w:noProof/>
              </w:rPr>
              <w:t>3.8</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_Toc517282116 \h </w:instrText>
            </w:r>
            <w:r>
              <w:rPr>
                <w:noProof/>
                <w:webHidden/>
              </w:rPr>
            </w:r>
            <w:r>
              <w:rPr>
                <w:noProof/>
                <w:webHidden/>
              </w:rPr>
              <w:fldChar w:fldCharType="separate"/>
            </w:r>
            <w:r>
              <w:rPr>
                <w:noProof/>
                <w:webHidden/>
              </w:rPr>
              <w:t>100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7" w:history="1">
            <w:r w:rsidRPr="006B134E">
              <w:rPr>
                <w:rStyle w:val="Hyperlink"/>
                <w:rFonts w:cs="Calibri"/>
                <w:b/>
                <w:noProof/>
              </w:rPr>
              <w:t>3.9</w:t>
            </w:r>
            <w:r>
              <w:rPr>
                <w:rFonts w:eastAsiaTheme="minorEastAsia"/>
                <w:noProof/>
                <w:lang w:eastAsia="pt-BR"/>
              </w:rPr>
              <w:tab/>
            </w:r>
            <w:r w:rsidRPr="006B134E">
              <w:rPr>
                <w:rStyle w:val="Hyperlink"/>
                <w:rFonts w:cs="Calibri"/>
                <w:b/>
                <w:noProof/>
              </w:rPr>
              <w:t>CRONOGRAMA PROPOSTO DO PRODUTO</w:t>
            </w:r>
            <w:r>
              <w:rPr>
                <w:noProof/>
                <w:webHidden/>
              </w:rPr>
              <w:tab/>
            </w:r>
            <w:r>
              <w:rPr>
                <w:noProof/>
                <w:webHidden/>
              </w:rPr>
              <w:fldChar w:fldCharType="begin"/>
            </w:r>
            <w:r>
              <w:rPr>
                <w:noProof/>
                <w:webHidden/>
              </w:rPr>
              <w:instrText xml:space="preserve"> PAGEREF _Toc517282117 \h </w:instrText>
            </w:r>
            <w:r>
              <w:rPr>
                <w:noProof/>
                <w:webHidden/>
              </w:rPr>
            </w:r>
            <w:r>
              <w:rPr>
                <w:noProof/>
                <w:webHidden/>
              </w:rPr>
              <w:fldChar w:fldCharType="separate"/>
            </w:r>
            <w:r>
              <w:rPr>
                <w:noProof/>
                <w:webHidden/>
              </w:rPr>
              <w:t>100</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18" w:history="1">
            <w:r w:rsidRPr="006B134E">
              <w:rPr>
                <w:rStyle w:val="Hyperlink"/>
                <w:rFonts w:eastAsia="Times New Roman" w:cs="Arial"/>
                <w:noProof/>
                <w:lang w:eastAsia="pt-BR"/>
              </w:rPr>
              <w:t>PRODUTO 4. SISTEMA DE ATENDIMENTO INTEGRAL IMPLANTADO</w:t>
            </w:r>
            <w:r>
              <w:rPr>
                <w:noProof/>
                <w:webHidden/>
              </w:rPr>
              <w:tab/>
            </w:r>
            <w:r>
              <w:rPr>
                <w:noProof/>
                <w:webHidden/>
              </w:rPr>
              <w:fldChar w:fldCharType="begin"/>
            </w:r>
            <w:r>
              <w:rPr>
                <w:noProof/>
                <w:webHidden/>
              </w:rPr>
              <w:instrText xml:space="preserve"> PAGEREF _Toc517282118 \h </w:instrText>
            </w:r>
            <w:r>
              <w:rPr>
                <w:noProof/>
                <w:webHidden/>
              </w:rPr>
            </w:r>
            <w:r>
              <w:rPr>
                <w:noProof/>
                <w:webHidden/>
              </w:rPr>
              <w:fldChar w:fldCharType="separate"/>
            </w:r>
            <w:r>
              <w:rPr>
                <w:noProof/>
                <w:webHidden/>
              </w:rPr>
              <w:t>101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19" w:history="1">
            <w:r w:rsidRPr="006B134E">
              <w:rPr>
                <w:rStyle w:val="Hyperlink"/>
                <w:rFonts w:cs="Calibri"/>
                <w:b/>
                <w:noProof/>
              </w:rPr>
              <w:t>4.1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_Toc517282119 \h </w:instrText>
            </w:r>
            <w:r>
              <w:rPr>
                <w:noProof/>
                <w:webHidden/>
              </w:rPr>
            </w:r>
            <w:r>
              <w:rPr>
                <w:noProof/>
                <w:webHidden/>
              </w:rPr>
              <w:fldChar w:fldCharType="separate"/>
            </w:r>
            <w:r>
              <w:rPr>
                <w:noProof/>
                <w:webHidden/>
              </w:rPr>
              <w:t>102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0" w:history="1">
            <w:r w:rsidRPr="006B134E">
              <w:rPr>
                <w:rStyle w:val="Hyperlink"/>
                <w:rFonts w:cs="Calibri"/>
                <w:b/>
                <w:noProof/>
              </w:rPr>
              <w:t>4.2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_Toc517282120 \h </w:instrText>
            </w:r>
            <w:r>
              <w:rPr>
                <w:noProof/>
                <w:webHidden/>
              </w:rPr>
            </w:r>
            <w:r>
              <w:rPr>
                <w:noProof/>
                <w:webHidden/>
              </w:rPr>
              <w:fldChar w:fldCharType="separate"/>
            </w:r>
            <w:r>
              <w:rPr>
                <w:noProof/>
                <w:webHidden/>
              </w:rPr>
              <w:t>103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1" w:history="1">
            <w:r w:rsidRPr="006B134E">
              <w:rPr>
                <w:rStyle w:val="Hyperlink"/>
                <w:rFonts w:cs="Calibri"/>
                <w:b/>
                <w:noProof/>
              </w:rPr>
              <w:t>4.3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_Toc517282121 \h </w:instrText>
            </w:r>
            <w:r>
              <w:rPr>
                <w:noProof/>
                <w:webHidden/>
              </w:rPr>
            </w:r>
            <w:r>
              <w:rPr>
                <w:noProof/>
                <w:webHidden/>
              </w:rPr>
              <w:fldChar w:fldCharType="separate"/>
            </w:r>
            <w:r>
              <w:rPr>
                <w:noProof/>
                <w:webHidden/>
              </w:rPr>
              <w:t>105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2" w:history="1">
            <w:r w:rsidRPr="006B134E">
              <w:rPr>
                <w:rStyle w:val="Hyperlink"/>
                <w:rFonts w:cs="Calibri"/>
                <w:b/>
                <w:noProof/>
              </w:rPr>
              <w:t>4.4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_Toc517282122 \h </w:instrText>
            </w:r>
            <w:r>
              <w:rPr>
                <w:noProof/>
                <w:webHidden/>
              </w:rPr>
            </w:r>
            <w:r>
              <w:rPr>
                <w:noProof/>
                <w:webHidden/>
              </w:rPr>
              <w:fldChar w:fldCharType="separate"/>
            </w:r>
            <w:r>
              <w:rPr>
                <w:noProof/>
                <w:webHidden/>
              </w:rPr>
              <w:t>107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3" w:history="1">
            <w:r w:rsidRPr="006B134E">
              <w:rPr>
                <w:rStyle w:val="Hyperlink"/>
                <w:rFonts w:cs="Calibri"/>
                <w:b/>
                <w:noProof/>
              </w:rPr>
              <w:t>4.5</w:t>
            </w:r>
            <w:r>
              <w:rPr>
                <w:rFonts w:eastAsiaTheme="minorEastAsia"/>
                <w:noProof/>
                <w:lang w:eastAsia="pt-BR"/>
              </w:rPr>
              <w:tab/>
            </w:r>
            <w:r w:rsidRPr="006B134E">
              <w:rPr>
                <w:rStyle w:val="Hyperlink"/>
                <w:rFonts w:cs="Calibri"/>
                <w:b/>
                <w:noProof/>
              </w:rPr>
              <w:t>ASPECTO INOVADOR DO PRODUTO</w:t>
            </w:r>
            <w:r>
              <w:rPr>
                <w:noProof/>
                <w:webHidden/>
              </w:rPr>
              <w:tab/>
            </w:r>
            <w:r>
              <w:rPr>
                <w:noProof/>
                <w:webHidden/>
              </w:rPr>
              <w:fldChar w:fldCharType="begin"/>
            </w:r>
            <w:r>
              <w:rPr>
                <w:noProof/>
                <w:webHidden/>
              </w:rPr>
              <w:instrText xml:space="preserve"> PAGEREF _Toc517282123 \h </w:instrText>
            </w:r>
            <w:r>
              <w:rPr>
                <w:noProof/>
                <w:webHidden/>
              </w:rPr>
            </w:r>
            <w:r>
              <w:rPr>
                <w:noProof/>
                <w:webHidden/>
              </w:rPr>
              <w:fldChar w:fldCharType="separate"/>
            </w:r>
            <w:r>
              <w:rPr>
                <w:noProof/>
                <w:webHidden/>
              </w:rPr>
              <w:t>108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4" w:history="1">
            <w:r w:rsidRPr="006B134E">
              <w:rPr>
                <w:rStyle w:val="Hyperlink"/>
                <w:rFonts w:cs="Calibri"/>
                <w:b/>
                <w:noProof/>
              </w:rPr>
              <w:t>4.6</w:t>
            </w:r>
            <w:r>
              <w:rPr>
                <w:rFonts w:eastAsiaTheme="minorEastAsia"/>
                <w:noProof/>
                <w:lang w:eastAsia="pt-BR"/>
              </w:rPr>
              <w:tab/>
            </w:r>
            <w:r w:rsidRPr="006B134E">
              <w:rPr>
                <w:rStyle w:val="Hyperlink"/>
                <w:rFonts w:cs="Calibri"/>
                <w:b/>
                <w:noProof/>
              </w:rPr>
              <w:t>RISCOS DE EXECUÇÃO REELACIONADOS AO PRODUTO</w:t>
            </w:r>
            <w:r>
              <w:rPr>
                <w:noProof/>
                <w:webHidden/>
              </w:rPr>
              <w:tab/>
            </w:r>
            <w:r>
              <w:rPr>
                <w:noProof/>
                <w:webHidden/>
              </w:rPr>
              <w:fldChar w:fldCharType="begin"/>
            </w:r>
            <w:r>
              <w:rPr>
                <w:noProof/>
                <w:webHidden/>
              </w:rPr>
              <w:instrText xml:space="preserve"> PAGEREF _Toc517282124 \h </w:instrText>
            </w:r>
            <w:r>
              <w:rPr>
                <w:noProof/>
                <w:webHidden/>
              </w:rPr>
            </w:r>
            <w:r>
              <w:rPr>
                <w:noProof/>
                <w:webHidden/>
              </w:rPr>
              <w:fldChar w:fldCharType="separate"/>
            </w:r>
            <w:r>
              <w:rPr>
                <w:noProof/>
                <w:webHidden/>
              </w:rPr>
              <w:t>108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5" w:history="1">
            <w:r w:rsidRPr="006B134E">
              <w:rPr>
                <w:rStyle w:val="Hyperlink"/>
                <w:rFonts w:cs="Calibri"/>
                <w:b/>
                <w:noProof/>
              </w:rPr>
              <w:t>4.7</w:t>
            </w:r>
            <w:r>
              <w:rPr>
                <w:rFonts w:eastAsiaTheme="minorEastAsia"/>
                <w:noProof/>
                <w:lang w:eastAsia="pt-BR"/>
              </w:rPr>
              <w:tab/>
            </w:r>
            <w:r w:rsidRPr="006B134E">
              <w:rPr>
                <w:rStyle w:val="Hyperlink"/>
                <w:rFonts w:cs="Calibri"/>
                <w:b/>
                <w:noProof/>
              </w:rPr>
              <w:t>QUADRO DE CUSTO DO PRODUTO POR TIPO DE INVESTIMENTO</w:t>
            </w:r>
            <w:r>
              <w:rPr>
                <w:noProof/>
                <w:webHidden/>
              </w:rPr>
              <w:tab/>
            </w:r>
            <w:r>
              <w:rPr>
                <w:noProof/>
                <w:webHidden/>
              </w:rPr>
              <w:fldChar w:fldCharType="begin"/>
            </w:r>
            <w:r>
              <w:rPr>
                <w:noProof/>
                <w:webHidden/>
              </w:rPr>
              <w:instrText xml:space="preserve"> PAGEREF _Toc517282125 \h </w:instrText>
            </w:r>
            <w:r>
              <w:rPr>
                <w:noProof/>
                <w:webHidden/>
              </w:rPr>
            </w:r>
            <w:r>
              <w:rPr>
                <w:noProof/>
                <w:webHidden/>
              </w:rPr>
              <w:fldChar w:fldCharType="separate"/>
            </w:r>
            <w:r>
              <w:rPr>
                <w:noProof/>
                <w:webHidden/>
              </w:rPr>
              <w:t>108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6" w:history="1">
            <w:r w:rsidRPr="006B134E">
              <w:rPr>
                <w:rStyle w:val="Hyperlink"/>
                <w:rFonts w:cs="Calibri"/>
                <w:b/>
                <w:noProof/>
              </w:rPr>
              <w:t>4.8</w:t>
            </w:r>
            <w:r>
              <w:rPr>
                <w:rFonts w:eastAsiaTheme="minorEastAsia"/>
                <w:noProof/>
                <w:lang w:eastAsia="pt-BR"/>
              </w:rPr>
              <w:tab/>
            </w:r>
            <w:r w:rsidRPr="006B134E">
              <w:rPr>
                <w:rStyle w:val="Hyperlink"/>
                <w:rFonts w:cs="Calibri"/>
                <w:b/>
                <w:noProof/>
              </w:rPr>
              <w:t>CRONOGRAMA PROPOSTO DO PRODUTO</w:t>
            </w:r>
            <w:r>
              <w:rPr>
                <w:noProof/>
                <w:webHidden/>
              </w:rPr>
              <w:tab/>
            </w:r>
            <w:r>
              <w:rPr>
                <w:noProof/>
                <w:webHidden/>
              </w:rPr>
              <w:fldChar w:fldCharType="begin"/>
            </w:r>
            <w:r>
              <w:rPr>
                <w:noProof/>
                <w:webHidden/>
              </w:rPr>
              <w:instrText xml:space="preserve"> PAGEREF _Toc517282126 \h </w:instrText>
            </w:r>
            <w:r>
              <w:rPr>
                <w:noProof/>
                <w:webHidden/>
              </w:rPr>
            </w:r>
            <w:r>
              <w:rPr>
                <w:noProof/>
                <w:webHidden/>
              </w:rPr>
              <w:fldChar w:fldCharType="separate"/>
            </w:r>
            <w:r>
              <w:rPr>
                <w:noProof/>
                <w:webHidden/>
              </w:rPr>
              <w:t>109</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27" w:history="1">
            <w:r w:rsidRPr="006B134E">
              <w:rPr>
                <w:rStyle w:val="Hyperlink"/>
                <w:rFonts w:eastAsia="Times New Roman" w:cs="Arial"/>
                <w:noProof/>
                <w:lang w:eastAsia="pt-BR"/>
              </w:rPr>
              <w:t>PRODUTO 5. MODELO DE COBRANÇA ADMINISTRATIVA IMPLANTADO</w:t>
            </w:r>
            <w:r>
              <w:rPr>
                <w:noProof/>
                <w:webHidden/>
              </w:rPr>
              <w:tab/>
            </w:r>
            <w:r>
              <w:rPr>
                <w:noProof/>
                <w:webHidden/>
              </w:rPr>
              <w:fldChar w:fldCharType="begin"/>
            </w:r>
            <w:r>
              <w:rPr>
                <w:noProof/>
                <w:webHidden/>
              </w:rPr>
              <w:instrText xml:space="preserve"> PAGEREF _Toc517282127 \h </w:instrText>
            </w:r>
            <w:r>
              <w:rPr>
                <w:noProof/>
                <w:webHidden/>
              </w:rPr>
            </w:r>
            <w:r>
              <w:rPr>
                <w:noProof/>
                <w:webHidden/>
              </w:rPr>
              <w:fldChar w:fldCharType="separate"/>
            </w:r>
            <w:r>
              <w:rPr>
                <w:noProof/>
                <w:webHidden/>
              </w:rPr>
              <w:t>110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8" w:history="1">
            <w:r w:rsidRPr="006B134E">
              <w:rPr>
                <w:rStyle w:val="Hyperlink"/>
                <w:rFonts w:cs="Calibri"/>
                <w:b/>
                <w:noProof/>
              </w:rPr>
              <w:t>1.1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_Toc517282128 \h </w:instrText>
            </w:r>
            <w:r>
              <w:rPr>
                <w:noProof/>
                <w:webHidden/>
              </w:rPr>
            </w:r>
            <w:r>
              <w:rPr>
                <w:noProof/>
                <w:webHidden/>
              </w:rPr>
              <w:fldChar w:fldCharType="separate"/>
            </w:r>
            <w:r>
              <w:rPr>
                <w:noProof/>
                <w:webHidden/>
              </w:rPr>
              <w:t>111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29" w:history="1">
            <w:r w:rsidRPr="006B134E">
              <w:rPr>
                <w:rStyle w:val="Hyperlink"/>
                <w:rFonts w:cs="Calibri"/>
                <w:b/>
                <w:noProof/>
              </w:rPr>
              <w:t>1.2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_Toc517282129 \h </w:instrText>
            </w:r>
            <w:r>
              <w:rPr>
                <w:noProof/>
                <w:webHidden/>
              </w:rPr>
            </w:r>
            <w:r>
              <w:rPr>
                <w:noProof/>
                <w:webHidden/>
              </w:rPr>
              <w:fldChar w:fldCharType="separate"/>
            </w:r>
            <w:r>
              <w:rPr>
                <w:noProof/>
                <w:webHidden/>
              </w:rPr>
              <w:t>111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0" w:history="1">
            <w:r w:rsidRPr="006B134E">
              <w:rPr>
                <w:rStyle w:val="Hyperlink"/>
                <w:rFonts w:cs="Calibri"/>
                <w:b/>
                <w:noProof/>
              </w:rPr>
              <w:t>1.3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_Toc517282130 \h </w:instrText>
            </w:r>
            <w:r>
              <w:rPr>
                <w:noProof/>
                <w:webHidden/>
              </w:rPr>
            </w:r>
            <w:r>
              <w:rPr>
                <w:noProof/>
                <w:webHidden/>
              </w:rPr>
              <w:fldChar w:fldCharType="separate"/>
            </w:r>
            <w:r>
              <w:rPr>
                <w:noProof/>
                <w:webHidden/>
              </w:rPr>
              <w:t>112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1" w:history="1">
            <w:r w:rsidRPr="006B134E">
              <w:rPr>
                <w:rStyle w:val="Hyperlink"/>
                <w:rFonts w:cs="Calibri"/>
                <w:b/>
                <w:noProof/>
              </w:rPr>
              <w:t>1.4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_Toc517282131 \h </w:instrText>
            </w:r>
            <w:r>
              <w:rPr>
                <w:noProof/>
                <w:webHidden/>
              </w:rPr>
            </w:r>
            <w:r>
              <w:rPr>
                <w:noProof/>
                <w:webHidden/>
              </w:rPr>
              <w:fldChar w:fldCharType="separate"/>
            </w:r>
            <w:r>
              <w:rPr>
                <w:noProof/>
                <w:webHidden/>
              </w:rPr>
              <w:t>112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2" w:history="1">
            <w:r w:rsidRPr="006B134E">
              <w:rPr>
                <w:rStyle w:val="Hyperlink"/>
                <w:rFonts w:cs="Calibri"/>
                <w:b/>
                <w:noProof/>
              </w:rPr>
              <w:t>1.5</w:t>
            </w:r>
            <w:r>
              <w:rPr>
                <w:rFonts w:eastAsiaTheme="minorEastAsia"/>
                <w:noProof/>
                <w:lang w:eastAsia="pt-BR"/>
              </w:rPr>
              <w:tab/>
            </w:r>
            <w:r w:rsidRPr="006B134E">
              <w:rPr>
                <w:rStyle w:val="Hyperlink"/>
                <w:rFonts w:cs="Calibri"/>
                <w:b/>
                <w:noProof/>
              </w:rPr>
              <w:t>ASPECTO INOVADOR DO PRODUTO</w:t>
            </w:r>
            <w:r>
              <w:rPr>
                <w:noProof/>
                <w:webHidden/>
              </w:rPr>
              <w:tab/>
            </w:r>
            <w:r>
              <w:rPr>
                <w:noProof/>
                <w:webHidden/>
              </w:rPr>
              <w:fldChar w:fldCharType="begin"/>
            </w:r>
            <w:r>
              <w:rPr>
                <w:noProof/>
                <w:webHidden/>
              </w:rPr>
              <w:instrText xml:space="preserve"> PAGEREF _Toc517282132 \h </w:instrText>
            </w:r>
            <w:r>
              <w:rPr>
                <w:noProof/>
                <w:webHidden/>
              </w:rPr>
            </w:r>
            <w:r>
              <w:rPr>
                <w:noProof/>
                <w:webHidden/>
              </w:rPr>
              <w:fldChar w:fldCharType="separate"/>
            </w:r>
            <w:r>
              <w:rPr>
                <w:noProof/>
                <w:webHidden/>
              </w:rPr>
              <w:t>113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3" w:history="1">
            <w:r w:rsidRPr="006B134E">
              <w:rPr>
                <w:rStyle w:val="Hyperlink"/>
                <w:rFonts w:cs="Calibri"/>
                <w:b/>
                <w:noProof/>
              </w:rPr>
              <w:t>1.6</w:t>
            </w:r>
            <w:r>
              <w:rPr>
                <w:rFonts w:eastAsiaTheme="minorEastAsia"/>
                <w:noProof/>
                <w:lang w:eastAsia="pt-BR"/>
              </w:rPr>
              <w:tab/>
            </w:r>
            <w:r w:rsidRPr="006B134E">
              <w:rPr>
                <w:rStyle w:val="Hyperlink"/>
                <w:rFonts w:cs="Calibri"/>
                <w:b/>
                <w:noProof/>
              </w:rPr>
              <w:t>RISCOS DE EXECUÇÃO RELACIONADOS AO PRODUTO</w:t>
            </w:r>
            <w:r>
              <w:rPr>
                <w:noProof/>
                <w:webHidden/>
              </w:rPr>
              <w:tab/>
            </w:r>
            <w:r>
              <w:rPr>
                <w:noProof/>
                <w:webHidden/>
              </w:rPr>
              <w:fldChar w:fldCharType="begin"/>
            </w:r>
            <w:r>
              <w:rPr>
                <w:noProof/>
                <w:webHidden/>
              </w:rPr>
              <w:instrText xml:space="preserve"> PAGEREF _Toc517282133 \h </w:instrText>
            </w:r>
            <w:r>
              <w:rPr>
                <w:noProof/>
                <w:webHidden/>
              </w:rPr>
            </w:r>
            <w:r>
              <w:rPr>
                <w:noProof/>
                <w:webHidden/>
              </w:rPr>
              <w:fldChar w:fldCharType="separate"/>
            </w:r>
            <w:r>
              <w:rPr>
                <w:noProof/>
                <w:webHidden/>
              </w:rPr>
              <w:t>113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4" w:history="1">
            <w:r w:rsidRPr="006B134E">
              <w:rPr>
                <w:rStyle w:val="Hyperlink"/>
                <w:rFonts w:cs="Calibri"/>
                <w:b/>
                <w:noProof/>
              </w:rPr>
              <w:t>1.7</w:t>
            </w:r>
            <w:r>
              <w:rPr>
                <w:rFonts w:eastAsiaTheme="minorEastAsia"/>
                <w:noProof/>
                <w:lang w:eastAsia="pt-BR"/>
              </w:rPr>
              <w:tab/>
            </w:r>
            <w:r w:rsidRPr="006B134E">
              <w:rPr>
                <w:rStyle w:val="Hyperlink"/>
                <w:rFonts w:cs="Calibri"/>
                <w:b/>
                <w:noProof/>
              </w:rPr>
              <w:t>QUADRO DE CUSTOS DO SUBPRODUTO POR TIPO DE INVESTIMENTO</w:t>
            </w:r>
            <w:r>
              <w:rPr>
                <w:noProof/>
                <w:webHidden/>
              </w:rPr>
              <w:tab/>
            </w:r>
            <w:r>
              <w:rPr>
                <w:noProof/>
                <w:webHidden/>
              </w:rPr>
              <w:fldChar w:fldCharType="begin"/>
            </w:r>
            <w:r>
              <w:rPr>
                <w:noProof/>
                <w:webHidden/>
              </w:rPr>
              <w:instrText xml:space="preserve"> PAGEREF _Toc517282134 \h </w:instrText>
            </w:r>
            <w:r>
              <w:rPr>
                <w:noProof/>
                <w:webHidden/>
              </w:rPr>
            </w:r>
            <w:r>
              <w:rPr>
                <w:noProof/>
                <w:webHidden/>
              </w:rPr>
              <w:fldChar w:fldCharType="separate"/>
            </w:r>
            <w:r>
              <w:rPr>
                <w:noProof/>
                <w:webHidden/>
              </w:rPr>
              <w:t>114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5" w:history="1">
            <w:r w:rsidRPr="006B134E">
              <w:rPr>
                <w:rStyle w:val="Hyperlink"/>
                <w:rFonts w:cs="Calibri"/>
                <w:b/>
                <w:noProof/>
              </w:rPr>
              <w:t>1.8</w:t>
            </w:r>
            <w:r>
              <w:rPr>
                <w:rFonts w:eastAsiaTheme="minorEastAsia"/>
                <w:noProof/>
                <w:lang w:eastAsia="pt-BR"/>
              </w:rPr>
              <w:tab/>
            </w:r>
            <w:r w:rsidRPr="006B134E">
              <w:rPr>
                <w:rStyle w:val="Hyperlink"/>
                <w:rFonts w:cs="Calibri"/>
                <w:b/>
                <w:noProof/>
              </w:rPr>
              <w:t>CRONOGRAMA PROPOSTO DO SUBPRODUTO</w:t>
            </w:r>
            <w:r>
              <w:rPr>
                <w:noProof/>
                <w:webHidden/>
              </w:rPr>
              <w:tab/>
            </w:r>
            <w:r>
              <w:rPr>
                <w:noProof/>
                <w:webHidden/>
              </w:rPr>
              <w:fldChar w:fldCharType="begin"/>
            </w:r>
            <w:r>
              <w:rPr>
                <w:noProof/>
                <w:webHidden/>
              </w:rPr>
              <w:instrText xml:space="preserve"> PAGEREF _Toc517282135 \h </w:instrText>
            </w:r>
            <w:r>
              <w:rPr>
                <w:noProof/>
                <w:webHidden/>
              </w:rPr>
            </w:r>
            <w:r>
              <w:rPr>
                <w:noProof/>
                <w:webHidden/>
              </w:rPr>
              <w:fldChar w:fldCharType="separate"/>
            </w:r>
            <w:r>
              <w:rPr>
                <w:noProof/>
                <w:webHidden/>
              </w:rPr>
              <w:t>114</w:t>
            </w:r>
            <w:r>
              <w:rPr>
                <w:noProof/>
                <w:webHidden/>
              </w:rPr>
              <w:fldChar w:fldCharType="end"/>
            </w:r>
          </w:hyperlink>
        </w:p>
        <w:p w:rsidR="00E85505" w:rsidRDefault="00E85505">
          <w:pPr>
            <w:pStyle w:val="Sumrio1"/>
            <w:tabs>
              <w:tab w:val="right" w:pos="9770"/>
            </w:tabs>
            <w:rPr>
              <w:rFonts w:eastAsiaTheme="minorEastAsia"/>
              <w:noProof/>
              <w:lang w:eastAsia="pt-BR"/>
            </w:rPr>
          </w:pPr>
          <w:hyperlink w:anchor="_Toc517282136" w:history="1">
            <w:r w:rsidRPr="006B134E">
              <w:rPr>
                <w:rStyle w:val="Hyperlink"/>
                <w:rFonts w:eastAsia="Times New Roman" w:cs="Arial"/>
                <w:noProof/>
                <w:lang w:eastAsia="pt-BR"/>
              </w:rPr>
              <w:t>COMPONENTE 3. ADMINISTRAÇÃO FINANCEIRA E GASTO PÚBLICO</w:t>
            </w:r>
            <w:r>
              <w:rPr>
                <w:noProof/>
                <w:webHidden/>
              </w:rPr>
              <w:tab/>
            </w:r>
            <w:r>
              <w:rPr>
                <w:noProof/>
                <w:webHidden/>
              </w:rPr>
              <w:fldChar w:fldCharType="begin"/>
            </w:r>
            <w:r>
              <w:rPr>
                <w:noProof/>
                <w:webHidden/>
              </w:rPr>
              <w:instrText xml:space="preserve"> PAGEREF _Toc517282136 \h </w:instrText>
            </w:r>
            <w:r>
              <w:rPr>
                <w:noProof/>
                <w:webHidden/>
              </w:rPr>
            </w:r>
            <w:r>
              <w:rPr>
                <w:noProof/>
                <w:webHidden/>
              </w:rPr>
              <w:fldChar w:fldCharType="separate"/>
            </w:r>
            <w:r>
              <w:rPr>
                <w:noProof/>
                <w:webHidden/>
              </w:rPr>
              <w:t>115</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37" w:history="1">
            <w:r w:rsidRPr="006B134E">
              <w:rPr>
                <w:rStyle w:val="Hyperlink"/>
                <w:rFonts w:eastAsia="Times New Roman" w:cs="Arial"/>
                <w:noProof/>
                <w:lang w:eastAsia="pt-BR"/>
              </w:rPr>
              <w:t>PRODUTO 1. NOVO MODELO DE PLANEJAMENTO ORÇAMENTÁRIO E DE INVESTIMENTOS ORIENTADO A RESULTADO</w:t>
            </w:r>
            <w:r>
              <w:rPr>
                <w:noProof/>
                <w:webHidden/>
              </w:rPr>
              <w:tab/>
            </w:r>
            <w:r>
              <w:rPr>
                <w:noProof/>
                <w:webHidden/>
              </w:rPr>
              <w:fldChar w:fldCharType="begin"/>
            </w:r>
            <w:r>
              <w:rPr>
                <w:noProof/>
                <w:webHidden/>
              </w:rPr>
              <w:instrText xml:space="preserve"> PAGEREF _Toc517282137 \h </w:instrText>
            </w:r>
            <w:r>
              <w:rPr>
                <w:noProof/>
                <w:webHidden/>
              </w:rPr>
            </w:r>
            <w:r>
              <w:rPr>
                <w:noProof/>
                <w:webHidden/>
              </w:rPr>
              <w:fldChar w:fldCharType="separate"/>
            </w:r>
            <w:r>
              <w:rPr>
                <w:noProof/>
                <w:webHidden/>
              </w:rPr>
              <w:t>115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8" w:history="1">
            <w:r w:rsidRPr="006B134E">
              <w:rPr>
                <w:rStyle w:val="Hyperlink"/>
                <w:rFonts w:cs="Calibri"/>
                <w:b/>
                <w:noProof/>
              </w:rPr>
              <w:t>1.1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_Toc517282138 \h </w:instrText>
            </w:r>
            <w:r>
              <w:rPr>
                <w:noProof/>
                <w:webHidden/>
              </w:rPr>
            </w:r>
            <w:r>
              <w:rPr>
                <w:noProof/>
                <w:webHidden/>
              </w:rPr>
              <w:fldChar w:fldCharType="separate"/>
            </w:r>
            <w:r>
              <w:rPr>
                <w:noProof/>
                <w:webHidden/>
              </w:rPr>
              <w:t>116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39" w:history="1">
            <w:r w:rsidRPr="006B134E">
              <w:rPr>
                <w:rStyle w:val="Hyperlink"/>
                <w:rFonts w:cs="Calibri"/>
                <w:b/>
                <w:noProof/>
              </w:rPr>
              <w:t>1.2</w:t>
            </w:r>
            <w:r>
              <w:rPr>
                <w:rFonts w:eastAsiaTheme="minorEastAsia"/>
                <w:noProof/>
                <w:lang w:eastAsia="pt-BR"/>
              </w:rPr>
              <w:tab/>
            </w:r>
            <w:r w:rsidRPr="006B134E">
              <w:rPr>
                <w:rStyle w:val="Hyperlink"/>
                <w:rFonts w:cs="Calibri"/>
                <w:b/>
                <w:noProof/>
              </w:rPr>
              <w:t>DESCRIÇÃO DO PROBLEMA</w:t>
            </w:r>
            <w:r>
              <w:rPr>
                <w:noProof/>
                <w:webHidden/>
              </w:rPr>
              <w:tab/>
            </w:r>
            <w:r>
              <w:rPr>
                <w:noProof/>
                <w:webHidden/>
              </w:rPr>
              <w:fldChar w:fldCharType="begin"/>
            </w:r>
            <w:r>
              <w:rPr>
                <w:noProof/>
                <w:webHidden/>
              </w:rPr>
              <w:instrText xml:space="preserve"> PAGEREF _Toc517282139 \h </w:instrText>
            </w:r>
            <w:r>
              <w:rPr>
                <w:noProof/>
                <w:webHidden/>
              </w:rPr>
            </w:r>
            <w:r>
              <w:rPr>
                <w:noProof/>
                <w:webHidden/>
              </w:rPr>
              <w:fldChar w:fldCharType="separate"/>
            </w:r>
            <w:r>
              <w:rPr>
                <w:noProof/>
                <w:webHidden/>
              </w:rPr>
              <w:t>118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0" w:history="1">
            <w:r w:rsidRPr="006B134E">
              <w:rPr>
                <w:rStyle w:val="Hyperlink"/>
                <w:rFonts w:cs="Calibri"/>
                <w:b/>
                <w:noProof/>
              </w:rPr>
              <w:t>1.3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_Toc517282140 \h </w:instrText>
            </w:r>
            <w:r>
              <w:rPr>
                <w:noProof/>
                <w:webHidden/>
              </w:rPr>
            </w:r>
            <w:r>
              <w:rPr>
                <w:noProof/>
                <w:webHidden/>
              </w:rPr>
              <w:fldChar w:fldCharType="separate"/>
            </w:r>
            <w:r>
              <w:rPr>
                <w:noProof/>
                <w:webHidden/>
              </w:rPr>
              <w:t>123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1" w:history="1">
            <w:r w:rsidRPr="006B134E">
              <w:rPr>
                <w:rStyle w:val="Hyperlink"/>
                <w:rFonts w:cs="Calibri"/>
                <w:b/>
                <w:noProof/>
              </w:rPr>
              <w:t>1.4</w:t>
            </w:r>
            <w:r>
              <w:rPr>
                <w:rFonts w:eastAsiaTheme="minorEastAsia"/>
                <w:noProof/>
                <w:lang w:eastAsia="pt-BR"/>
              </w:rPr>
              <w:tab/>
            </w:r>
            <w:r w:rsidRPr="006B134E">
              <w:rPr>
                <w:rStyle w:val="Hyperlink"/>
                <w:rFonts w:cs="Calibri"/>
                <w:b/>
                <w:noProof/>
              </w:rPr>
              <w:t>DESCRIÇÃO DO RESULTADO ESPERADO COM A IMPLANTAÇÃO DO PRODUTO E RESPECTIVA LINHA DE BASE</w:t>
            </w:r>
            <w:r>
              <w:rPr>
                <w:noProof/>
                <w:webHidden/>
              </w:rPr>
              <w:tab/>
            </w:r>
            <w:r>
              <w:rPr>
                <w:noProof/>
                <w:webHidden/>
              </w:rPr>
              <w:fldChar w:fldCharType="begin"/>
            </w:r>
            <w:r>
              <w:rPr>
                <w:noProof/>
                <w:webHidden/>
              </w:rPr>
              <w:instrText xml:space="preserve"> PAGEREF _Toc517282141 \h </w:instrText>
            </w:r>
            <w:r>
              <w:rPr>
                <w:noProof/>
                <w:webHidden/>
              </w:rPr>
            </w:r>
            <w:r>
              <w:rPr>
                <w:noProof/>
                <w:webHidden/>
              </w:rPr>
              <w:fldChar w:fldCharType="separate"/>
            </w:r>
            <w:r>
              <w:rPr>
                <w:noProof/>
                <w:webHidden/>
              </w:rPr>
              <w:t>125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2" w:history="1">
            <w:r w:rsidRPr="006B134E">
              <w:rPr>
                <w:rStyle w:val="Hyperlink"/>
                <w:rFonts w:cs="Calibri"/>
                <w:b/>
                <w:noProof/>
              </w:rPr>
              <w:t>1.5</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_Toc517282142 \h </w:instrText>
            </w:r>
            <w:r>
              <w:rPr>
                <w:noProof/>
                <w:webHidden/>
              </w:rPr>
            </w:r>
            <w:r>
              <w:rPr>
                <w:noProof/>
                <w:webHidden/>
              </w:rPr>
              <w:fldChar w:fldCharType="separate"/>
            </w:r>
            <w:r>
              <w:rPr>
                <w:noProof/>
                <w:webHidden/>
              </w:rPr>
              <w:t>126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3" w:history="1">
            <w:r w:rsidRPr="006B134E">
              <w:rPr>
                <w:rStyle w:val="Hyperlink"/>
                <w:rFonts w:cs="Calibri"/>
                <w:b/>
                <w:noProof/>
              </w:rPr>
              <w:t>1.6</w:t>
            </w:r>
            <w:r>
              <w:rPr>
                <w:rFonts w:eastAsiaTheme="minorEastAsia"/>
                <w:noProof/>
                <w:lang w:eastAsia="pt-BR"/>
              </w:rPr>
              <w:tab/>
            </w:r>
            <w:r w:rsidRPr="006B134E">
              <w:rPr>
                <w:rStyle w:val="Hyperlink"/>
                <w:rFonts w:cs="Calibri"/>
                <w:b/>
                <w:noProof/>
              </w:rPr>
              <w:t>RISCOS DE EXECUÇÃO RELACIONADOS AO PRODUTO</w:t>
            </w:r>
            <w:r>
              <w:rPr>
                <w:noProof/>
                <w:webHidden/>
              </w:rPr>
              <w:tab/>
            </w:r>
            <w:r>
              <w:rPr>
                <w:noProof/>
                <w:webHidden/>
              </w:rPr>
              <w:fldChar w:fldCharType="begin"/>
            </w:r>
            <w:r>
              <w:rPr>
                <w:noProof/>
                <w:webHidden/>
              </w:rPr>
              <w:instrText xml:space="preserve"> PAGEREF _Toc517282143 \h </w:instrText>
            </w:r>
            <w:r>
              <w:rPr>
                <w:noProof/>
                <w:webHidden/>
              </w:rPr>
            </w:r>
            <w:r>
              <w:rPr>
                <w:noProof/>
                <w:webHidden/>
              </w:rPr>
              <w:fldChar w:fldCharType="separate"/>
            </w:r>
            <w:r>
              <w:rPr>
                <w:noProof/>
                <w:webHidden/>
              </w:rPr>
              <w:t>126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4" w:history="1">
            <w:r w:rsidRPr="006B134E">
              <w:rPr>
                <w:rStyle w:val="Hyperlink"/>
                <w:rFonts w:cs="Calibri"/>
                <w:b/>
                <w:noProof/>
              </w:rPr>
              <w:t>1.7</w:t>
            </w:r>
            <w:r>
              <w:rPr>
                <w:rFonts w:eastAsiaTheme="minorEastAsia"/>
                <w:noProof/>
                <w:lang w:eastAsia="pt-BR"/>
              </w:rPr>
              <w:tab/>
            </w:r>
            <w:r w:rsidRPr="006B134E">
              <w:rPr>
                <w:rStyle w:val="Hyperlink"/>
                <w:rFonts w:cs="Calibri"/>
                <w:b/>
                <w:noProof/>
              </w:rPr>
              <w:t>QUADRO DE CUSTO DO PRODUTO POR TIPO DE INVESTIMENTO</w:t>
            </w:r>
            <w:r>
              <w:rPr>
                <w:noProof/>
                <w:webHidden/>
              </w:rPr>
              <w:tab/>
            </w:r>
            <w:r>
              <w:rPr>
                <w:noProof/>
                <w:webHidden/>
              </w:rPr>
              <w:fldChar w:fldCharType="begin"/>
            </w:r>
            <w:r>
              <w:rPr>
                <w:noProof/>
                <w:webHidden/>
              </w:rPr>
              <w:instrText xml:space="preserve"> PAGEREF _Toc517282144 \h </w:instrText>
            </w:r>
            <w:r>
              <w:rPr>
                <w:noProof/>
                <w:webHidden/>
              </w:rPr>
            </w:r>
            <w:r>
              <w:rPr>
                <w:noProof/>
                <w:webHidden/>
              </w:rPr>
              <w:fldChar w:fldCharType="separate"/>
            </w:r>
            <w:r>
              <w:rPr>
                <w:noProof/>
                <w:webHidden/>
              </w:rPr>
              <w:t>127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5" w:history="1">
            <w:r w:rsidRPr="006B134E">
              <w:rPr>
                <w:rStyle w:val="Hyperlink"/>
                <w:rFonts w:cs="Calibri"/>
                <w:b/>
                <w:noProof/>
              </w:rPr>
              <w:t>1.8</w:t>
            </w:r>
            <w:r>
              <w:rPr>
                <w:rFonts w:eastAsiaTheme="minorEastAsia"/>
                <w:noProof/>
                <w:lang w:eastAsia="pt-BR"/>
              </w:rPr>
              <w:tab/>
            </w:r>
            <w:r w:rsidRPr="006B134E">
              <w:rPr>
                <w:rStyle w:val="Hyperlink"/>
                <w:rFonts w:cs="Calibri"/>
                <w:b/>
                <w:noProof/>
              </w:rPr>
              <w:t>CRONOGRAMA DE DESEMBOLSO PROPOSTO</w:t>
            </w:r>
            <w:r>
              <w:rPr>
                <w:noProof/>
                <w:webHidden/>
              </w:rPr>
              <w:tab/>
            </w:r>
            <w:r>
              <w:rPr>
                <w:noProof/>
                <w:webHidden/>
              </w:rPr>
              <w:fldChar w:fldCharType="begin"/>
            </w:r>
            <w:r>
              <w:rPr>
                <w:noProof/>
                <w:webHidden/>
              </w:rPr>
              <w:instrText xml:space="preserve"> PAGEREF _Toc517282145 \h </w:instrText>
            </w:r>
            <w:r>
              <w:rPr>
                <w:noProof/>
                <w:webHidden/>
              </w:rPr>
            </w:r>
            <w:r>
              <w:rPr>
                <w:noProof/>
                <w:webHidden/>
              </w:rPr>
              <w:fldChar w:fldCharType="separate"/>
            </w:r>
            <w:r>
              <w:rPr>
                <w:noProof/>
                <w:webHidden/>
              </w:rPr>
              <w:t>128</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46" w:history="1">
            <w:r w:rsidRPr="006B134E">
              <w:rPr>
                <w:rStyle w:val="Hyperlink"/>
                <w:rFonts w:eastAsia="Times New Roman" w:cs="Arial"/>
                <w:noProof/>
                <w:lang w:eastAsia="pt-BR"/>
              </w:rPr>
              <w:t>PRODUTO 2. MODELO DE PROGRAMAÇÃO E EXECUÇÃO FINANCEIRA IMPLANTADO</w:t>
            </w:r>
            <w:r>
              <w:rPr>
                <w:noProof/>
                <w:webHidden/>
              </w:rPr>
              <w:tab/>
            </w:r>
            <w:r>
              <w:rPr>
                <w:noProof/>
                <w:webHidden/>
              </w:rPr>
              <w:fldChar w:fldCharType="begin"/>
            </w:r>
            <w:r>
              <w:rPr>
                <w:noProof/>
                <w:webHidden/>
              </w:rPr>
              <w:instrText xml:space="preserve"> PAGEREF _Toc517282146 \h </w:instrText>
            </w:r>
            <w:r>
              <w:rPr>
                <w:noProof/>
                <w:webHidden/>
              </w:rPr>
            </w:r>
            <w:r>
              <w:rPr>
                <w:noProof/>
                <w:webHidden/>
              </w:rPr>
              <w:fldChar w:fldCharType="separate"/>
            </w:r>
            <w:r>
              <w:rPr>
                <w:noProof/>
                <w:webHidden/>
              </w:rPr>
              <w:t>129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7" w:history="1">
            <w:r w:rsidRPr="006B134E">
              <w:rPr>
                <w:rStyle w:val="Hyperlink"/>
                <w:rFonts w:cs="Calibri"/>
                <w:b/>
                <w:noProof/>
              </w:rPr>
              <w:t>2.1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_Toc517282147 \h </w:instrText>
            </w:r>
            <w:r>
              <w:rPr>
                <w:noProof/>
                <w:webHidden/>
              </w:rPr>
            </w:r>
            <w:r>
              <w:rPr>
                <w:noProof/>
                <w:webHidden/>
              </w:rPr>
              <w:fldChar w:fldCharType="separate"/>
            </w:r>
            <w:r>
              <w:rPr>
                <w:noProof/>
                <w:webHidden/>
              </w:rPr>
              <w:t>130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8" w:history="1">
            <w:r w:rsidRPr="006B134E">
              <w:rPr>
                <w:rStyle w:val="Hyperlink"/>
                <w:rFonts w:cs="Calibri"/>
                <w:b/>
                <w:noProof/>
              </w:rPr>
              <w:t>2.2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_Toc517282148 \h </w:instrText>
            </w:r>
            <w:r>
              <w:rPr>
                <w:noProof/>
                <w:webHidden/>
              </w:rPr>
            </w:r>
            <w:r>
              <w:rPr>
                <w:noProof/>
                <w:webHidden/>
              </w:rPr>
              <w:fldChar w:fldCharType="separate"/>
            </w:r>
            <w:r>
              <w:rPr>
                <w:noProof/>
                <w:webHidden/>
              </w:rPr>
              <w:t>135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49" w:history="1">
            <w:r w:rsidRPr="006B134E">
              <w:rPr>
                <w:rStyle w:val="Hyperlink"/>
                <w:rFonts w:cs="Calibri"/>
                <w:b/>
                <w:noProof/>
              </w:rPr>
              <w:t>2.3</w:t>
            </w:r>
            <w:r>
              <w:rPr>
                <w:rFonts w:eastAsiaTheme="minorEastAsia"/>
                <w:noProof/>
                <w:lang w:eastAsia="pt-BR"/>
              </w:rPr>
              <w:tab/>
            </w:r>
            <w:r w:rsidRPr="006B134E">
              <w:rPr>
                <w:rStyle w:val="Hyperlink"/>
                <w:rFonts w:cs="Calibri"/>
                <w:b/>
                <w:noProof/>
              </w:rPr>
              <w:t>DESCRIÇÃO DO RESULTADO ESPERADO COM A IMPLANTAÇÃO DOS SUBPRODUTOS E RESPECTIVA LINHA DE BASE</w:t>
            </w:r>
            <w:r>
              <w:rPr>
                <w:noProof/>
                <w:webHidden/>
              </w:rPr>
              <w:tab/>
            </w:r>
            <w:r>
              <w:rPr>
                <w:noProof/>
                <w:webHidden/>
              </w:rPr>
              <w:fldChar w:fldCharType="begin"/>
            </w:r>
            <w:r>
              <w:rPr>
                <w:noProof/>
                <w:webHidden/>
              </w:rPr>
              <w:instrText xml:space="preserve"> PAGEREF _Toc517282149 \h </w:instrText>
            </w:r>
            <w:r>
              <w:rPr>
                <w:noProof/>
                <w:webHidden/>
              </w:rPr>
            </w:r>
            <w:r>
              <w:rPr>
                <w:noProof/>
                <w:webHidden/>
              </w:rPr>
              <w:fldChar w:fldCharType="separate"/>
            </w:r>
            <w:r>
              <w:rPr>
                <w:noProof/>
                <w:webHidden/>
              </w:rPr>
              <w:t>139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0" w:history="1">
            <w:r w:rsidRPr="006B134E">
              <w:rPr>
                <w:rStyle w:val="Hyperlink"/>
                <w:rFonts w:cs="Calibri"/>
                <w:b/>
                <w:noProof/>
              </w:rPr>
              <w:t>2.4</w:t>
            </w:r>
            <w:r>
              <w:rPr>
                <w:rFonts w:eastAsiaTheme="minorEastAsia"/>
                <w:noProof/>
                <w:lang w:eastAsia="pt-BR"/>
              </w:rPr>
              <w:tab/>
            </w:r>
            <w:r w:rsidRPr="006B134E">
              <w:rPr>
                <w:rStyle w:val="Hyperlink"/>
                <w:rFonts w:cs="Calibri"/>
                <w:b/>
                <w:noProof/>
              </w:rPr>
              <w:t>ASPECTO INOVADOR DO SUBPRODUTO</w:t>
            </w:r>
            <w:r>
              <w:rPr>
                <w:noProof/>
                <w:webHidden/>
              </w:rPr>
              <w:tab/>
            </w:r>
            <w:r>
              <w:rPr>
                <w:noProof/>
                <w:webHidden/>
              </w:rPr>
              <w:fldChar w:fldCharType="begin"/>
            </w:r>
            <w:r>
              <w:rPr>
                <w:noProof/>
                <w:webHidden/>
              </w:rPr>
              <w:instrText xml:space="preserve"> PAGEREF _Toc517282150 \h </w:instrText>
            </w:r>
            <w:r>
              <w:rPr>
                <w:noProof/>
                <w:webHidden/>
              </w:rPr>
            </w:r>
            <w:r>
              <w:rPr>
                <w:noProof/>
                <w:webHidden/>
              </w:rPr>
              <w:fldChar w:fldCharType="separate"/>
            </w:r>
            <w:r>
              <w:rPr>
                <w:noProof/>
                <w:webHidden/>
              </w:rPr>
              <w:t>140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1" w:history="1">
            <w:r w:rsidRPr="006B134E">
              <w:rPr>
                <w:rStyle w:val="Hyperlink"/>
                <w:rFonts w:cs="Calibri"/>
                <w:b/>
                <w:noProof/>
              </w:rPr>
              <w:t>2.5</w:t>
            </w:r>
            <w:r>
              <w:rPr>
                <w:rFonts w:eastAsiaTheme="minorEastAsia"/>
                <w:noProof/>
                <w:lang w:eastAsia="pt-BR"/>
              </w:rPr>
              <w:tab/>
            </w:r>
            <w:r w:rsidRPr="006B134E">
              <w:rPr>
                <w:rStyle w:val="Hyperlink"/>
                <w:rFonts w:cs="Calibri"/>
                <w:b/>
                <w:noProof/>
              </w:rPr>
              <w:t>IMPACTOS POTENCIAIS DO SUBPRODUTO</w:t>
            </w:r>
            <w:r>
              <w:rPr>
                <w:noProof/>
                <w:webHidden/>
              </w:rPr>
              <w:tab/>
            </w:r>
            <w:r>
              <w:rPr>
                <w:noProof/>
                <w:webHidden/>
              </w:rPr>
              <w:fldChar w:fldCharType="begin"/>
            </w:r>
            <w:r>
              <w:rPr>
                <w:noProof/>
                <w:webHidden/>
              </w:rPr>
              <w:instrText xml:space="preserve"> PAGEREF _Toc517282151 \h </w:instrText>
            </w:r>
            <w:r>
              <w:rPr>
                <w:noProof/>
                <w:webHidden/>
              </w:rPr>
            </w:r>
            <w:r>
              <w:rPr>
                <w:noProof/>
                <w:webHidden/>
              </w:rPr>
              <w:fldChar w:fldCharType="separate"/>
            </w:r>
            <w:r>
              <w:rPr>
                <w:noProof/>
                <w:webHidden/>
              </w:rPr>
              <w:t>140</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2" w:history="1">
            <w:r w:rsidRPr="006B134E">
              <w:rPr>
                <w:rStyle w:val="Hyperlink"/>
                <w:rFonts w:cs="Calibri"/>
                <w:b/>
                <w:noProof/>
              </w:rPr>
              <w:t>2.6</w:t>
            </w:r>
            <w:r>
              <w:rPr>
                <w:rFonts w:eastAsiaTheme="minorEastAsia"/>
                <w:noProof/>
                <w:lang w:eastAsia="pt-BR"/>
              </w:rPr>
              <w:tab/>
            </w:r>
            <w:r w:rsidRPr="006B134E">
              <w:rPr>
                <w:rStyle w:val="Hyperlink"/>
                <w:rFonts w:cs="Calibri"/>
                <w:b/>
                <w:noProof/>
              </w:rPr>
              <w:t>RISCOS DE EXECUÇÃO DO SUBPRODUTO</w:t>
            </w:r>
            <w:r>
              <w:rPr>
                <w:noProof/>
                <w:webHidden/>
              </w:rPr>
              <w:tab/>
            </w:r>
            <w:r>
              <w:rPr>
                <w:noProof/>
                <w:webHidden/>
              </w:rPr>
              <w:fldChar w:fldCharType="begin"/>
            </w:r>
            <w:r>
              <w:rPr>
                <w:noProof/>
                <w:webHidden/>
              </w:rPr>
              <w:instrText xml:space="preserve"> PAGEREF _Toc517282152 \h </w:instrText>
            </w:r>
            <w:r>
              <w:rPr>
                <w:noProof/>
                <w:webHidden/>
              </w:rPr>
            </w:r>
            <w:r>
              <w:rPr>
                <w:noProof/>
                <w:webHidden/>
              </w:rPr>
              <w:fldChar w:fldCharType="separate"/>
            </w:r>
            <w:r>
              <w:rPr>
                <w:noProof/>
                <w:webHidden/>
              </w:rPr>
              <w:t>141</w:t>
            </w:r>
            <w:r>
              <w:rPr>
                <w:noProof/>
                <w:webHidden/>
              </w:rPr>
              <w:fldChar w:fldCharType="end"/>
            </w:r>
          </w:hyperlink>
        </w:p>
        <w:p w:rsidR="00E85505" w:rsidRDefault="00E85505">
          <w:pPr>
            <w:pStyle w:val="Sumrio3"/>
            <w:tabs>
              <w:tab w:val="right" w:pos="9770"/>
            </w:tabs>
            <w:rPr>
              <w:rFonts w:eastAsiaTheme="minorEastAsia"/>
              <w:noProof/>
              <w:lang w:eastAsia="pt-BR"/>
            </w:rPr>
          </w:pPr>
          <w:hyperlink w:anchor="_Toc517282153" w:history="1">
            <w:r w:rsidRPr="006B134E">
              <w:rPr>
                <w:rStyle w:val="Hyperlink"/>
                <w:rFonts w:cs="Calibri"/>
                <w:b/>
                <w:noProof/>
              </w:rPr>
              <w:t>2.7 QUADRO DE CUSTOS DO PRODUTO POR TIPO DE INVESTIMENTO</w:t>
            </w:r>
            <w:r>
              <w:rPr>
                <w:noProof/>
                <w:webHidden/>
              </w:rPr>
              <w:tab/>
            </w:r>
            <w:r>
              <w:rPr>
                <w:noProof/>
                <w:webHidden/>
              </w:rPr>
              <w:fldChar w:fldCharType="begin"/>
            </w:r>
            <w:r>
              <w:rPr>
                <w:noProof/>
                <w:webHidden/>
              </w:rPr>
              <w:instrText xml:space="preserve"> PAGEREF _Toc517282153 \h </w:instrText>
            </w:r>
            <w:r>
              <w:rPr>
                <w:noProof/>
                <w:webHidden/>
              </w:rPr>
            </w:r>
            <w:r>
              <w:rPr>
                <w:noProof/>
                <w:webHidden/>
              </w:rPr>
              <w:fldChar w:fldCharType="separate"/>
            </w:r>
            <w:r>
              <w:rPr>
                <w:noProof/>
                <w:webHidden/>
              </w:rPr>
              <w:t>142</w:t>
            </w:r>
            <w:r>
              <w:rPr>
                <w:noProof/>
                <w:webHidden/>
              </w:rPr>
              <w:fldChar w:fldCharType="end"/>
            </w:r>
          </w:hyperlink>
        </w:p>
        <w:p w:rsidR="00E85505" w:rsidRDefault="00E85505">
          <w:pPr>
            <w:pStyle w:val="Sumrio3"/>
            <w:tabs>
              <w:tab w:val="right" w:pos="9770"/>
            </w:tabs>
            <w:rPr>
              <w:rFonts w:eastAsiaTheme="minorEastAsia"/>
              <w:noProof/>
              <w:lang w:eastAsia="pt-BR"/>
            </w:rPr>
          </w:pPr>
          <w:hyperlink w:anchor="_Toc517282154" w:history="1">
            <w:r w:rsidRPr="006B134E">
              <w:rPr>
                <w:rStyle w:val="Hyperlink"/>
                <w:rFonts w:cs="Calibri"/>
                <w:b/>
                <w:noProof/>
              </w:rPr>
              <w:t>2.8 CRONOGRAMA PROPOSTO DO SUBPRODUTO</w:t>
            </w:r>
            <w:r>
              <w:rPr>
                <w:noProof/>
                <w:webHidden/>
              </w:rPr>
              <w:tab/>
            </w:r>
            <w:r>
              <w:rPr>
                <w:noProof/>
                <w:webHidden/>
              </w:rPr>
              <w:fldChar w:fldCharType="begin"/>
            </w:r>
            <w:r>
              <w:rPr>
                <w:noProof/>
                <w:webHidden/>
              </w:rPr>
              <w:instrText xml:space="preserve"> PAGEREF _Toc517282154 \h </w:instrText>
            </w:r>
            <w:r>
              <w:rPr>
                <w:noProof/>
                <w:webHidden/>
              </w:rPr>
            </w:r>
            <w:r>
              <w:rPr>
                <w:noProof/>
                <w:webHidden/>
              </w:rPr>
              <w:fldChar w:fldCharType="separate"/>
            </w:r>
            <w:r>
              <w:rPr>
                <w:noProof/>
                <w:webHidden/>
              </w:rPr>
              <w:t>143</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55" w:history="1">
            <w:r w:rsidRPr="006B134E">
              <w:rPr>
                <w:rStyle w:val="Hyperlink"/>
                <w:rFonts w:eastAsia="Times New Roman" w:cs="Arial"/>
                <w:noProof/>
                <w:lang w:eastAsia="pt-BR"/>
              </w:rPr>
              <w:t>PRODUTO 3. NOVO MODELO DE GESTÃO DE COMPRAS DO ESTADO IMPLANTADO</w:t>
            </w:r>
            <w:r>
              <w:rPr>
                <w:noProof/>
                <w:webHidden/>
              </w:rPr>
              <w:tab/>
            </w:r>
            <w:r>
              <w:rPr>
                <w:noProof/>
                <w:webHidden/>
              </w:rPr>
              <w:fldChar w:fldCharType="begin"/>
            </w:r>
            <w:r>
              <w:rPr>
                <w:noProof/>
                <w:webHidden/>
              </w:rPr>
              <w:instrText xml:space="preserve"> PAGEREF _Toc517282155 \h </w:instrText>
            </w:r>
            <w:r>
              <w:rPr>
                <w:noProof/>
                <w:webHidden/>
              </w:rPr>
            </w:r>
            <w:r>
              <w:rPr>
                <w:noProof/>
                <w:webHidden/>
              </w:rPr>
              <w:fldChar w:fldCharType="separate"/>
            </w:r>
            <w:r>
              <w:rPr>
                <w:noProof/>
                <w:webHidden/>
              </w:rPr>
              <w:t>144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6" w:history="1">
            <w:r w:rsidRPr="006B134E">
              <w:rPr>
                <w:rStyle w:val="Hyperlink"/>
                <w:rFonts w:cs="Calibri"/>
                <w:b/>
                <w:noProof/>
              </w:rPr>
              <w:t>3.1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_Toc517282156 \h </w:instrText>
            </w:r>
            <w:r>
              <w:rPr>
                <w:noProof/>
                <w:webHidden/>
              </w:rPr>
            </w:r>
            <w:r>
              <w:rPr>
                <w:noProof/>
                <w:webHidden/>
              </w:rPr>
              <w:fldChar w:fldCharType="separate"/>
            </w:r>
            <w:r>
              <w:rPr>
                <w:noProof/>
                <w:webHidden/>
              </w:rPr>
              <w:t>145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7" w:history="1">
            <w:r w:rsidRPr="006B134E">
              <w:rPr>
                <w:rStyle w:val="Hyperlink"/>
                <w:rFonts w:cs="Calibri"/>
                <w:b/>
                <w:noProof/>
              </w:rPr>
              <w:t>3.2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_Toc517282157 \h </w:instrText>
            </w:r>
            <w:r>
              <w:rPr>
                <w:noProof/>
                <w:webHidden/>
              </w:rPr>
            </w:r>
            <w:r>
              <w:rPr>
                <w:noProof/>
                <w:webHidden/>
              </w:rPr>
              <w:fldChar w:fldCharType="separate"/>
            </w:r>
            <w:r>
              <w:rPr>
                <w:noProof/>
                <w:webHidden/>
              </w:rPr>
              <w:t>146</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8" w:history="1">
            <w:r w:rsidRPr="006B134E">
              <w:rPr>
                <w:rStyle w:val="Hyperlink"/>
                <w:rFonts w:cs="Calibri"/>
                <w:b/>
                <w:noProof/>
              </w:rPr>
              <w:t>3.3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_Toc517282158 \h </w:instrText>
            </w:r>
            <w:r>
              <w:rPr>
                <w:noProof/>
                <w:webHidden/>
              </w:rPr>
            </w:r>
            <w:r>
              <w:rPr>
                <w:noProof/>
                <w:webHidden/>
              </w:rPr>
              <w:fldChar w:fldCharType="separate"/>
            </w:r>
            <w:r>
              <w:rPr>
                <w:noProof/>
                <w:webHidden/>
              </w:rPr>
              <w:t>151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59" w:history="1">
            <w:r w:rsidRPr="006B134E">
              <w:rPr>
                <w:rStyle w:val="Hyperlink"/>
                <w:rFonts w:cs="Calibri"/>
                <w:b/>
                <w:noProof/>
              </w:rPr>
              <w:t>3.4</w:t>
            </w:r>
            <w:r>
              <w:rPr>
                <w:rFonts w:eastAsiaTheme="minorEastAsia"/>
                <w:noProof/>
                <w:lang w:eastAsia="pt-BR"/>
              </w:rPr>
              <w:tab/>
            </w:r>
            <w:r w:rsidRPr="006B134E">
              <w:rPr>
                <w:rStyle w:val="Hyperlink"/>
                <w:rFonts w:cs="Calibri"/>
                <w:b/>
                <w:noProof/>
              </w:rPr>
              <w:t>DESCRIÇÃO DO RESULTADO ESPERADO COM A IMPLANTAÇÃO DOS SUBPRODUTO E RESPECTIVA LINHA DE BASE</w:t>
            </w:r>
            <w:r>
              <w:rPr>
                <w:noProof/>
                <w:webHidden/>
              </w:rPr>
              <w:tab/>
            </w:r>
            <w:r>
              <w:rPr>
                <w:noProof/>
                <w:webHidden/>
              </w:rPr>
              <w:fldChar w:fldCharType="begin"/>
            </w:r>
            <w:r>
              <w:rPr>
                <w:noProof/>
                <w:webHidden/>
              </w:rPr>
              <w:instrText xml:space="preserve"> PAGEREF _Toc517282159 \h </w:instrText>
            </w:r>
            <w:r>
              <w:rPr>
                <w:noProof/>
                <w:webHidden/>
              </w:rPr>
            </w:r>
            <w:r>
              <w:rPr>
                <w:noProof/>
                <w:webHidden/>
              </w:rPr>
              <w:fldChar w:fldCharType="separate"/>
            </w:r>
            <w:r>
              <w:rPr>
                <w:noProof/>
                <w:webHidden/>
              </w:rPr>
              <w:t>152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0" w:history="1">
            <w:r w:rsidRPr="006B134E">
              <w:rPr>
                <w:rStyle w:val="Hyperlink"/>
                <w:rFonts w:cs="Calibri"/>
                <w:b/>
                <w:noProof/>
              </w:rPr>
              <w:t>3.5</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_Toc517282160 \h </w:instrText>
            </w:r>
            <w:r>
              <w:rPr>
                <w:noProof/>
                <w:webHidden/>
              </w:rPr>
            </w:r>
            <w:r>
              <w:rPr>
                <w:noProof/>
                <w:webHidden/>
              </w:rPr>
              <w:fldChar w:fldCharType="separate"/>
            </w:r>
            <w:r>
              <w:rPr>
                <w:noProof/>
                <w:webHidden/>
              </w:rPr>
              <w:t>153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1" w:history="1">
            <w:r w:rsidRPr="006B134E">
              <w:rPr>
                <w:rStyle w:val="Hyperlink"/>
                <w:rFonts w:cs="Calibri"/>
                <w:b/>
                <w:noProof/>
              </w:rPr>
              <w:t>3.6</w:t>
            </w:r>
            <w:r>
              <w:rPr>
                <w:rFonts w:eastAsiaTheme="minorEastAsia"/>
                <w:noProof/>
                <w:lang w:eastAsia="pt-BR"/>
              </w:rPr>
              <w:tab/>
            </w:r>
            <w:r w:rsidRPr="006B134E">
              <w:rPr>
                <w:rStyle w:val="Hyperlink"/>
                <w:rFonts w:cs="Calibri"/>
                <w:b/>
                <w:noProof/>
              </w:rPr>
              <w:t>IMPACTOS POTENCIAIS</w:t>
            </w:r>
            <w:r>
              <w:rPr>
                <w:noProof/>
                <w:webHidden/>
              </w:rPr>
              <w:tab/>
            </w:r>
            <w:r>
              <w:rPr>
                <w:noProof/>
                <w:webHidden/>
              </w:rPr>
              <w:fldChar w:fldCharType="begin"/>
            </w:r>
            <w:r>
              <w:rPr>
                <w:noProof/>
                <w:webHidden/>
              </w:rPr>
              <w:instrText xml:space="preserve"> PAGEREF _Toc517282161 \h </w:instrText>
            </w:r>
            <w:r>
              <w:rPr>
                <w:noProof/>
                <w:webHidden/>
              </w:rPr>
            </w:r>
            <w:r>
              <w:rPr>
                <w:noProof/>
                <w:webHidden/>
              </w:rPr>
              <w:fldChar w:fldCharType="separate"/>
            </w:r>
            <w:r>
              <w:rPr>
                <w:noProof/>
                <w:webHidden/>
              </w:rPr>
              <w:t>154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2" w:history="1">
            <w:r w:rsidRPr="006B134E">
              <w:rPr>
                <w:rStyle w:val="Hyperlink"/>
                <w:rFonts w:cs="Calibri"/>
                <w:b/>
                <w:noProof/>
              </w:rPr>
              <w:t>3.7</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_Toc517282162 \h </w:instrText>
            </w:r>
            <w:r>
              <w:rPr>
                <w:noProof/>
                <w:webHidden/>
              </w:rPr>
            </w:r>
            <w:r>
              <w:rPr>
                <w:noProof/>
                <w:webHidden/>
              </w:rPr>
              <w:fldChar w:fldCharType="separate"/>
            </w:r>
            <w:r>
              <w:rPr>
                <w:noProof/>
                <w:webHidden/>
              </w:rPr>
              <w:t>154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3" w:history="1">
            <w:r w:rsidRPr="006B134E">
              <w:rPr>
                <w:rStyle w:val="Hyperlink"/>
                <w:rFonts w:cs="Calibri"/>
                <w:b/>
                <w:noProof/>
              </w:rPr>
              <w:t>3.8</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_Toc517282163 \h </w:instrText>
            </w:r>
            <w:r>
              <w:rPr>
                <w:noProof/>
                <w:webHidden/>
              </w:rPr>
            </w:r>
            <w:r>
              <w:rPr>
                <w:noProof/>
                <w:webHidden/>
              </w:rPr>
              <w:fldChar w:fldCharType="separate"/>
            </w:r>
            <w:r>
              <w:rPr>
                <w:noProof/>
                <w:webHidden/>
              </w:rPr>
              <w:t>155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4" w:history="1">
            <w:r w:rsidRPr="006B134E">
              <w:rPr>
                <w:rStyle w:val="Hyperlink"/>
                <w:rFonts w:cs="Calibri"/>
                <w:b/>
                <w:noProof/>
              </w:rPr>
              <w:t>3.9</w:t>
            </w:r>
            <w:r>
              <w:rPr>
                <w:rFonts w:eastAsiaTheme="minorEastAsia"/>
                <w:noProof/>
                <w:lang w:eastAsia="pt-BR"/>
              </w:rPr>
              <w:tab/>
            </w:r>
            <w:r w:rsidRPr="006B134E">
              <w:rPr>
                <w:rStyle w:val="Hyperlink"/>
                <w:rFonts w:cs="Calibri"/>
                <w:b/>
                <w:noProof/>
              </w:rPr>
              <w:t>CRONOGRAMA PROPOSTO</w:t>
            </w:r>
            <w:r>
              <w:rPr>
                <w:noProof/>
                <w:webHidden/>
              </w:rPr>
              <w:tab/>
            </w:r>
            <w:r>
              <w:rPr>
                <w:noProof/>
                <w:webHidden/>
              </w:rPr>
              <w:fldChar w:fldCharType="begin"/>
            </w:r>
            <w:r>
              <w:rPr>
                <w:noProof/>
                <w:webHidden/>
              </w:rPr>
              <w:instrText xml:space="preserve"> PAGEREF _Toc517282164 \h </w:instrText>
            </w:r>
            <w:r>
              <w:rPr>
                <w:noProof/>
                <w:webHidden/>
              </w:rPr>
            </w:r>
            <w:r>
              <w:rPr>
                <w:noProof/>
                <w:webHidden/>
              </w:rPr>
              <w:fldChar w:fldCharType="separate"/>
            </w:r>
            <w:r>
              <w:rPr>
                <w:noProof/>
                <w:webHidden/>
              </w:rPr>
              <w:t>156</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65" w:history="1">
            <w:r w:rsidRPr="006B134E">
              <w:rPr>
                <w:rStyle w:val="Hyperlink"/>
                <w:rFonts w:eastAsia="Times New Roman" w:cs="Arial"/>
                <w:noProof/>
                <w:lang w:eastAsia="pt-BR"/>
              </w:rPr>
              <w:t>PRODUTO 4. NORMAS DE CONTABILIDADE APLICADAS AO SETOR PÚBLICO IMPLANTADAS</w:t>
            </w:r>
            <w:r>
              <w:rPr>
                <w:noProof/>
                <w:webHidden/>
              </w:rPr>
              <w:tab/>
            </w:r>
            <w:r>
              <w:rPr>
                <w:noProof/>
                <w:webHidden/>
              </w:rPr>
              <w:fldChar w:fldCharType="begin"/>
            </w:r>
            <w:r>
              <w:rPr>
                <w:noProof/>
                <w:webHidden/>
              </w:rPr>
              <w:instrText xml:space="preserve"> PAGEREF _Toc517282165 \h </w:instrText>
            </w:r>
            <w:r>
              <w:rPr>
                <w:noProof/>
                <w:webHidden/>
              </w:rPr>
            </w:r>
            <w:r>
              <w:rPr>
                <w:noProof/>
                <w:webHidden/>
              </w:rPr>
              <w:fldChar w:fldCharType="separate"/>
            </w:r>
            <w:r>
              <w:rPr>
                <w:noProof/>
                <w:webHidden/>
              </w:rPr>
              <w:t>157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6" w:history="1">
            <w:r w:rsidRPr="006B134E">
              <w:rPr>
                <w:rStyle w:val="Hyperlink"/>
                <w:rFonts w:cs="Calibri"/>
                <w:b/>
                <w:noProof/>
              </w:rPr>
              <w:t>4.1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_Toc517282166 \h </w:instrText>
            </w:r>
            <w:r>
              <w:rPr>
                <w:noProof/>
                <w:webHidden/>
              </w:rPr>
            </w:r>
            <w:r>
              <w:rPr>
                <w:noProof/>
                <w:webHidden/>
              </w:rPr>
              <w:fldChar w:fldCharType="separate"/>
            </w:r>
            <w:r>
              <w:rPr>
                <w:noProof/>
                <w:webHidden/>
              </w:rPr>
              <w:t>158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7" w:history="1">
            <w:r w:rsidRPr="006B134E">
              <w:rPr>
                <w:rStyle w:val="Hyperlink"/>
                <w:rFonts w:cs="Calibri"/>
                <w:b/>
                <w:noProof/>
              </w:rPr>
              <w:t>4.2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_Toc517282167 \h </w:instrText>
            </w:r>
            <w:r>
              <w:rPr>
                <w:noProof/>
                <w:webHidden/>
              </w:rPr>
            </w:r>
            <w:r>
              <w:rPr>
                <w:noProof/>
                <w:webHidden/>
              </w:rPr>
              <w:fldChar w:fldCharType="separate"/>
            </w:r>
            <w:r>
              <w:rPr>
                <w:noProof/>
                <w:webHidden/>
              </w:rPr>
              <w:t>161</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8" w:history="1">
            <w:r w:rsidRPr="006B134E">
              <w:rPr>
                <w:rStyle w:val="Hyperlink"/>
                <w:rFonts w:cs="Calibri"/>
                <w:b/>
                <w:noProof/>
              </w:rPr>
              <w:t>4.3</w:t>
            </w:r>
            <w:r>
              <w:rPr>
                <w:rFonts w:eastAsiaTheme="minorEastAsia"/>
                <w:noProof/>
                <w:lang w:eastAsia="pt-BR"/>
              </w:rPr>
              <w:tab/>
            </w:r>
            <w:r w:rsidRPr="006B134E">
              <w:rPr>
                <w:rStyle w:val="Hyperlink"/>
                <w:rFonts w:cs="Calibri"/>
                <w:b/>
                <w:noProof/>
              </w:rPr>
              <w:t>DESCRIÇÃO DO PRODUTO E SUA META QUANTITATIVA</w:t>
            </w:r>
            <w:r>
              <w:rPr>
                <w:noProof/>
                <w:webHidden/>
              </w:rPr>
              <w:tab/>
            </w:r>
            <w:r>
              <w:rPr>
                <w:noProof/>
                <w:webHidden/>
              </w:rPr>
              <w:fldChar w:fldCharType="begin"/>
            </w:r>
            <w:r>
              <w:rPr>
                <w:noProof/>
                <w:webHidden/>
              </w:rPr>
              <w:instrText xml:space="preserve"> PAGEREF _Toc517282168 \h </w:instrText>
            </w:r>
            <w:r>
              <w:rPr>
                <w:noProof/>
                <w:webHidden/>
              </w:rPr>
            </w:r>
            <w:r>
              <w:rPr>
                <w:noProof/>
                <w:webHidden/>
              </w:rPr>
              <w:fldChar w:fldCharType="separate"/>
            </w:r>
            <w:r>
              <w:rPr>
                <w:noProof/>
                <w:webHidden/>
              </w:rPr>
              <w:t>162</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69" w:history="1">
            <w:r w:rsidRPr="006B134E">
              <w:rPr>
                <w:rStyle w:val="Hyperlink"/>
                <w:rFonts w:cs="Calibri"/>
                <w:b/>
                <w:noProof/>
              </w:rPr>
              <w:t>4.4</w:t>
            </w:r>
            <w:r>
              <w:rPr>
                <w:rFonts w:eastAsiaTheme="minorEastAsia"/>
                <w:noProof/>
                <w:lang w:eastAsia="pt-BR"/>
              </w:rPr>
              <w:tab/>
            </w:r>
            <w:r w:rsidRPr="006B134E">
              <w:rPr>
                <w:rStyle w:val="Hyperlink"/>
                <w:rFonts w:cs="Calibri"/>
                <w:b/>
                <w:noProof/>
              </w:rPr>
              <w:t>DESCRIÇÃO DO RESULTADO ESPERADO COM A IMPLANTAÇÃO DOS SUBPRODUTO E RESPECTIVA LINHA DE BASE</w:t>
            </w:r>
            <w:r>
              <w:rPr>
                <w:noProof/>
                <w:webHidden/>
              </w:rPr>
              <w:tab/>
            </w:r>
            <w:r>
              <w:rPr>
                <w:noProof/>
                <w:webHidden/>
              </w:rPr>
              <w:fldChar w:fldCharType="begin"/>
            </w:r>
            <w:r>
              <w:rPr>
                <w:noProof/>
                <w:webHidden/>
              </w:rPr>
              <w:instrText xml:space="preserve"> PAGEREF _Toc517282169 \h </w:instrText>
            </w:r>
            <w:r>
              <w:rPr>
                <w:noProof/>
                <w:webHidden/>
              </w:rPr>
            </w:r>
            <w:r>
              <w:rPr>
                <w:noProof/>
                <w:webHidden/>
              </w:rPr>
              <w:fldChar w:fldCharType="separate"/>
            </w:r>
            <w:r>
              <w:rPr>
                <w:noProof/>
                <w:webHidden/>
              </w:rPr>
              <w:t>163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0" w:history="1">
            <w:r w:rsidRPr="006B134E">
              <w:rPr>
                <w:rStyle w:val="Hyperlink"/>
                <w:rFonts w:cs="Calibri"/>
                <w:b/>
                <w:noProof/>
              </w:rPr>
              <w:t>4.5</w:t>
            </w:r>
            <w:r>
              <w:rPr>
                <w:rFonts w:eastAsiaTheme="minorEastAsia"/>
                <w:noProof/>
                <w:lang w:eastAsia="pt-BR"/>
              </w:rPr>
              <w:tab/>
            </w:r>
            <w:r w:rsidRPr="006B134E">
              <w:rPr>
                <w:rStyle w:val="Hyperlink"/>
                <w:rFonts w:cs="Calibri"/>
                <w:b/>
                <w:noProof/>
              </w:rPr>
              <w:t>ASPECTO INOVADOR DO PRODUTO</w:t>
            </w:r>
            <w:r>
              <w:rPr>
                <w:noProof/>
                <w:webHidden/>
              </w:rPr>
              <w:tab/>
            </w:r>
            <w:r>
              <w:rPr>
                <w:noProof/>
                <w:webHidden/>
              </w:rPr>
              <w:fldChar w:fldCharType="begin"/>
            </w:r>
            <w:r>
              <w:rPr>
                <w:noProof/>
                <w:webHidden/>
              </w:rPr>
              <w:instrText xml:space="preserve"> PAGEREF _Toc517282170 \h </w:instrText>
            </w:r>
            <w:r>
              <w:rPr>
                <w:noProof/>
                <w:webHidden/>
              </w:rPr>
            </w:r>
            <w:r>
              <w:rPr>
                <w:noProof/>
                <w:webHidden/>
              </w:rPr>
              <w:fldChar w:fldCharType="separate"/>
            </w:r>
            <w:r>
              <w:rPr>
                <w:noProof/>
                <w:webHidden/>
              </w:rPr>
              <w:t>164</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1" w:history="1">
            <w:r w:rsidRPr="006B134E">
              <w:rPr>
                <w:rStyle w:val="Hyperlink"/>
                <w:rFonts w:cs="Calibri"/>
                <w:b/>
                <w:noProof/>
              </w:rPr>
              <w:t>4.6</w:t>
            </w:r>
            <w:r>
              <w:rPr>
                <w:rFonts w:eastAsiaTheme="minorEastAsia"/>
                <w:noProof/>
                <w:lang w:eastAsia="pt-BR"/>
              </w:rPr>
              <w:tab/>
            </w:r>
            <w:r w:rsidRPr="006B134E">
              <w:rPr>
                <w:rStyle w:val="Hyperlink"/>
                <w:rFonts w:cs="Calibri"/>
                <w:b/>
                <w:noProof/>
              </w:rPr>
              <w:t>IMPACTOS POTENCIAIS</w:t>
            </w:r>
            <w:r>
              <w:rPr>
                <w:noProof/>
                <w:webHidden/>
              </w:rPr>
              <w:tab/>
            </w:r>
            <w:r>
              <w:rPr>
                <w:noProof/>
                <w:webHidden/>
              </w:rPr>
              <w:fldChar w:fldCharType="begin"/>
            </w:r>
            <w:r>
              <w:rPr>
                <w:noProof/>
                <w:webHidden/>
              </w:rPr>
              <w:instrText xml:space="preserve"> PAGEREF _Toc517282171 \h </w:instrText>
            </w:r>
            <w:r>
              <w:rPr>
                <w:noProof/>
                <w:webHidden/>
              </w:rPr>
            </w:r>
            <w:r>
              <w:rPr>
                <w:noProof/>
                <w:webHidden/>
              </w:rPr>
              <w:fldChar w:fldCharType="separate"/>
            </w:r>
            <w:r>
              <w:rPr>
                <w:noProof/>
                <w:webHidden/>
              </w:rPr>
              <w:t>165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2" w:history="1">
            <w:r w:rsidRPr="006B134E">
              <w:rPr>
                <w:rStyle w:val="Hyperlink"/>
                <w:rFonts w:cs="Calibri"/>
                <w:b/>
                <w:noProof/>
              </w:rPr>
              <w:t>4.7</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_Toc517282172 \h </w:instrText>
            </w:r>
            <w:r>
              <w:rPr>
                <w:noProof/>
                <w:webHidden/>
              </w:rPr>
            </w:r>
            <w:r>
              <w:rPr>
                <w:noProof/>
                <w:webHidden/>
              </w:rPr>
              <w:fldChar w:fldCharType="separate"/>
            </w:r>
            <w:r>
              <w:rPr>
                <w:noProof/>
                <w:webHidden/>
              </w:rPr>
              <w:t>165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3" w:history="1">
            <w:r w:rsidRPr="006B134E">
              <w:rPr>
                <w:rStyle w:val="Hyperlink"/>
                <w:rFonts w:cs="Calibri"/>
                <w:b/>
                <w:noProof/>
              </w:rPr>
              <w:t>4.8</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_Toc517282173 \h </w:instrText>
            </w:r>
            <w:r>
              <w:rPr>
                <w:noProof/>
                <w:webHidden/>
              </w:rPr>
            </w:r>
            <w:r>
              <w:rPr>
                <w:noProof/>
                <w:webHidden/>
              </w:rPr>
              <w:fldChar w:fldCharType="separate"/>
            </w:r>
            <w:r>
              <w:rPr>
                <w:noProof/>
                <w:webHidden/>
              </w:rPr>
              <w:t>165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4" w:history="1">
            <w:r w:rsidRPr="006B134E">
              <w:rPr>
                <w:rStyle w:val="Hyperlink"/>
                <w:rFonts w:cs="Calibri"/>
                <w:b/>
                <w:noProof/>
              </w:rPr>
              <w:t>4.9</w:t>
            </w:r>
            <w:r>
              <w:rPr>
                <w:rFonts w:eastAsiaTheme="minorEastAsia"/>
                <w:noProof/>
                <w:lang w:eastAsia="pt-BR"/>
              </w:rPr>
              <w:tab/>
            </w:r>
            <w:r w:rsidRPr="006B134E">
              <w:rPr>
                <w:rStyle w:val="Hyperlink"/>
                <w:rFonts w:cs="Calibri"/>
                <w:b/>
                <w:noProof/>
              </w:rPr>
              <w:t>CRONOGRAMA PROPOSTO</w:t>
            </w:r>
            <w:r>
              <w:rPr>
                <w:noProof/>
                <w:webHidden/>
              </w:rPr>
              <w:tab/>
            </w:r>
            <w:r>
              <w:rPr>
                <w:noProof/>
                <w:webHidden/>
              </w:rPr>
              <w:fldChar w:fldCharType="begin"/>
            </w:r>
            <w:r>
              <w:rPr>
                <w:noProof/>
                <w:webHidden/>
              </w:rPr>
              <w:instrText xml:space="preserve"> PAGEREF _Toc517282174 \h </w:instrText>
            </w:r>
            <w:r>
              <w:rPr>
                <w:noProof/>
                <w:webHidden/>
              </w:rPr>
            </w:r>
            <w:r>
              <w:rPr>
                <w:noProof/>
                <w:webHidden/>
              </w:rPr>
              <w:fldChar w:fldCharType="separate"/>
            </w:r>
            <w:r>
              <w:rPr>
                <w:noProof/>
                <w:webHidden/>
              </w:rPr>
              <w:t>166</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75" w:history="1">
            <w:r w:rsidRPr="006B134E">
              <w:rPr>
                <w:rStyle w:val="Hyperlink"/>
                <w:rFonts w:eastAsia="Times New Roman" w:cs="Arial"/>
                <w:noProof/>
                <w:lang w:eastAsia="pt-BR"/>
              </w:rPr>
              <w:t>PRODUTO 5. MODELO DE GESTÃO DE CUSTOS PÚBLICOS IMPLANTADO</w:t>
            </w:r>
            <w:r>
              <w:rPr>
                <w:noProof/>
                <w:webHidden/>
              </w:rPr>
              <w:tab/>
            </w:r>
            <w:r>
              <w:rPr>
                <w:noProof/>
                <w:webHidden/>
              </w:rPr>
              <w:fldChar w:fldCharType="begin"/>
            </w:r>
            <w:r>
              <w:rPr>
                <w:noProof/>
                <w:webHidden/>
              </w:rPr>
              <w:instrText xml:space="preserve"> PAGEREF _Toc517282175 \h </w:instrText>
            </w:r>
            <w:r>
              <w:rPr>
                <w:noProof/>
                <w:webHidden/>
              </w:rPr>
            </w:r>
            <w:r>
              <w:rPr>
                <w:noProof/>
                <w:webHidden/>
              </w:rPr>
              <w:fldChar w:fldCharType="separate"/>
            </w:r>
            <w:r>
              <w:rPr>
                <w:noProof/>
                <w:webHidden/>
              </w:rPr>
              <w:t>167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6" w:history="1">
            <w:r w:rsidRPr="006B134E">
              <w:rPr>
                <w:rStyle w:val="Hyperlink"/>
                <w:rFonts w:cs="Calibri"/>
                <w:b/>
                <w:noProof/>
              </w:rPr>
              <w:t>5.1</w:t>
            </w:r>
            <w:r>
              <w:rPr>
                <w:rFonts w:eastAsiaTheme="minorEastAsia"/>
                <w:noProof/>
                <w:lang w:eastAsia="pt-BR"/>
              </w:rPr>
              <w:tab/>
            </w:r>
            <w:r w:rsidRPr="006B134E">
              <w:rPr>
                <w:rStyle w:val="Hyperlink"/>
                <w:rFonts w:cs="Calibri"/>
                <w:b/>
                <w:noProof/>
              </w:rPr>
              <w:t>ANTECEDENTES DO PRODUTO</w:t>
            </w:r>
            <w:r>
              <w:rPr>
                <w:noProof/>
                <w:webHidden/>
              </w:rPr>
              <w:tab/>
            </w:r>
            <w:r>
              <w:rPr>
                <w:noProof/>
                <w:webHidden/>
              </w:rPr>
              <w:fldChar w:fldCharType="begin"/>
            </w:r>
            <w:r>
              <w:rPr>
                <w:noProof/>
                <w:webHidden/>
              </w:rPr>
              <w:instrText xml:space="preserve"> PAGEREF _Toc517282176 \h </w:instrText>
            </w:r>
            <w:r>
              <w:rPr>
                <w:noProof/>
                <w:webHidden/>
              </w:rPr>
            </w:r>
            <w:r>
              <w:rPr>
                <w:noProof/>
                <w:webHidden/>
              </w:rPr>
              <w:fldChar w:fldCharType="separate"/>
            </w:r>
            <w:r>
              <w:rPr>
                <w:noProof/>
                <w:webHidden/>
              </w:rPr>
              <w:t>168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7" w:history="1">
            <w:r w:rsidRPr="006B134E">
              <w:rPr>
                <w:rStyle w:val="Hyperlink"/>
                <w:rFonts w:cs="Calibri"/>
                <w:b/>
                <w:noProof/>
              </w:rPr>
              <w:t>5.2</w:t>
            </w:r>
            <w:r>
              <w:rPr>
                <w:rFonts w:eastAsiaTheme="minorEastAsia"/>
                <w:noProof/>
                <w:lang w:eastAsia="pt-BR"/>
              </w:rPr>
              <w:tab/>
            </w:r>
            <w:r w:rsidRPr="006B134E">
              <w:rPr>
                <w:rStyle w:val="Hyperlink"/>
                <w:rFonts w:cs="Calibri"/>
                <w:b/>
                <w:noProof/>
              </w:rPr>
              <w:t>DESCRIÇÃO DO PROBLEMA E SUAS EVIDÊNCIAS</w:t>
            </w:r>
            <w:r>
              <w:rPr>
                <w:noProof/>
                <w:webHidden/>
              </w:rPr>
              <w:tab/>
            </w:r>
            <w:r>
              <w:rPr>
                <w:noProof/>
                <w:webHidden/>
              </w:rPr>
              <w:fldChar w:fldCharType="begin"/>
            </w:r>
            <w:r>
              <w:rPr>
                <w:noProof/>
                <w:webHidden/>
              </w:rPr>
              <w:instrText xml:space="preserve"> PAGEREF _Toc517282177 \h </w:instrText>
            </w:r>
            <w:r>
              <w:rPr>
                <w:noProof/>
                <w:webHidden/>
              </w:rPr>
            </w:r>
            <w:r>
              <w:rPr>
                <w:noProof/>
                <w:webHidden/>
              </w:rPr>
              <w:fldChar w:fldCharType="separate"/>
            </w:r>
            <w:r>
              <w:rPr>
                <w:noProof/>
                <w:webHidden/>
              </w:rPr>
              <w:t>173</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8" w:history="1">
            <w:r w:rsidRPr="006B134E">
              <w:rPr>
                <w:rStyle w:val="Hyperlink"/>
                <w:rFonts w:cs="Calibri"/>
                <w:b/>
                <w:noProof/>
              </w:rPr>
              <w:t>5.3</w:t>
            </w:r>
            <w:r>
              <w:rPr>
                <w:rFonts w:eastAsiaTheme="minorEastAsia"/>
                <w:noProof/>
                <w:lang w:eastAsia="pt-BR"/>
              </w:rPr>
              <w:tab/>
            </w:r>
            <w:r w:rsidRPr="006B134E">
              <w:rPr>
                <w:rStyle w:val="Hyperlink"/>
                <w:rFonts w:cs="Calibri"/>
                <w:b/>
                <w:noProof/>
              </w:rPr>
              <w:t>DESCRIÇÃO DO PRODUTO/SUBPRODUTO E SUA META QUANTITATIVA</w:t>
            </w:r>
            <w:r>
              <w:rPr>
                <w:noProof/>
                <w:webHidden/>
              </w:rPr>
              <w:tab/>
            </w:r>
            <w:r>
              <w:rPr>
                <w:noProof/>
                <w:webHidden/>
              </w:rPr>
              <w:fldChar w:fldCharType="begin"/>
            </w:r>
            <w:r>
              <w:rPr>
                <w:noProof/>
                <w:webHidden/>
              </w:rPr>
              <w:instrText xml:space="preserve"> PAGEREF _Toc517282178 \h </w:instrText>
            </w:r>
            <w:r>
              <w:rPr>
                <w:noProof/>
                <w:webHidden/>
              </w:rPr>
            </w:r>
            <w:r>
              <w:rPr>
                <w:noProof/>
                <w:webHidden/>
              </w:rPr>
              <w:fldChar w:fldCharType="separate"/>
            </w:r>
            <w:r>
              <w:rPr>
                <w:noProof/>
                <w:webHidden/>
              </w:rPr>
              <w:t>175</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79" w:history="1">
            <w:r w:rsidRPr="006B134E">
              <w:rPr>
                <w:rStyle w:val="Hyperlink"/>
                <w:rFonts w:cs="Calibri"/>
                <w:b/>
                <w:noProof/>
              </w:rPr>
              <w:t>5.4</w:t>
            </w:r>
            <w:r>
              <w:rPr>
                <w:rFonts w:eastAsiaTheme="minorEastAsia"/>
                <w:noProof/>
                <w:lang w:eastAsia="pt-BR"/>
              </w:rPr>
              <w:tab/>
            </w:r>
            <w:r w:rsidRPr="006B134E">
              <w:rPr>
                <w:rStyle w:val="Hyperlink"/>
                <w:rFonts w:cs="Calibri"/>
                <w:b/>
                <w:noProof/>
              </w:rPr>
              <w:t>ASPECTOS INOVADORES DO PRODUTO</w:t>
            </w:r>
            <w:r>
              <w:rPr>
                <w:noProof/>
                <w:webHidden/>
              </w:rPr>
              <w:tab/>
            </w:r>
            <w:r>
              <w:rPr>
                <w:noProof/>
                <w:webHidden/>
              </w:rPr>
              <w:fldChar w:fldCharType="begin"/>
            </w:r>
            <w:r>
              <w:rPr>
                <w:noProof/>
                <w:webHidden/>
              </w:rPr>
              <w:instrText xml:space="preserve"> PAGEREF _Toc517282179 \h </w:instrText>
            </w:r>
            <w:r>
              <w:rPr>
                <w:noProof/>
                <w:webHidden/>
              </w:rPr>
            </w:r>
            <w:r>
              <w:rPr>
                <w:noProof/>
                <w:webHidden/>
              </w:rPr>
              <w:fldChar w:fldCharType="separate"/>
            </w:r>
            <w:r>
              <w:rPr>
                <w:noProof/>
                <w:webHidden/>
              </w:rPr>
              <w:t>177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80" w:history="1">
            <w:r w:rsidRPr="006B134E">
              <w:rPr>
                <w:rStyle w:val="Hyperlink"/>
                <w:rFonts w:cs="Calibri"/>
                <w:b/>
                <w:noProof/>
              </w:rPr>
              <w:t>5.5</w:t>
            </w:r>
            <w:r>
              <w:rPr>
                <w:rFonts w:eastAsiaTheme="minorEastAsia"/>
                <w:noProof/>
                <w:lang w:eastAsia="pt-BR"/>
              </w:rPr>
              <w:tab/>
            </w:r>
            <w:r w:rsidRPr="006B134E">
              <w:rPr>
                <w:rStyle w:val="Hyperlink"/>
                <w:rFonts w:cs="Calibri"/>
                <w:b/>
                <w:noProof/>
              </w:rPr>
              <w:t>IMPACTOS POTENCIAIS</w:t>
            </w:r>
            <w:r>
              <w:rPr>
                <w:noProof/>
                <w:webHidden/>
              </w:rPr>
              <w:tab/>
            </w:r>
            <w:r>
              <w:rPr>
                <w:noProof/>
                <w:webHidden/>
              </w:rPr>
              <w:fldChar w:fldCharType="begin"/>
            </w:r>
            <w:r>
              <w:rPr>
                <w:noProof/>
                <w:webHidden/>
              </w:rPr>
              <w:instrText xml:space="preserve"> PAGEREF _Toc517282180 \h </w:instrText>
            </w:r>
            <w:r>
              <w:rPr>
                <w:noProof/>
                <w:webHidden/>
              </w:rPr>
            </w:r>
            <w:r>
              <w:rPr>
                <w:noProof/>
                <w:webHidden/>
              </w:rPr>
              <w:fldChar w:fldCharType="separate"/>
            </w:r>
            <w:r>
              <w:rPr>
                <w:noProof/>
                <w:webHidden/>
              </w:rPr>
              <w:t>177</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81" w:history="1">
            <w:r w:rsidRPr="006B134E">
              <w:rPr>
                <w:rStyle w:val="Hyperlink"/>
                <w:rFonts w:cs="Calibri"/>
                <w:b/>
                <w:noProof/>
              </w:rPr>
              <w:t>5.6</w:t>
            </w:r>
            <w:r>
              <w:rPr>
                <w:rFonts w:eastAsiaTheme="minorEastAsia"/>
                <w:noProof/>
                <w:lang w:eastAsia="pt-BR"/>
              </w:rPr>
              <w:tab/>
            </w:r>
            <w:r w:rsidRPr="006B134E">
              <w:rPr>
                <w:rStyle w:val="Hyperlink"/>
                <w:rFonts w:cs="Calibri"/>
                <w:b/>
                <w:noProof/>
              </w:rPr>
              <w:t>RISCOS DE EXECUÇÃO DO PRODUTO</w:t>
            </w:r>
            <w:r>
              <w:rPr>
                <w:noProof/>
                <w:webHidden/>
              </w:rPr>
              <w:tab/>
            </w:r>
            <w:r>
              <w:rPr>
                <w:noProof/>
                <w:webHidden/>
              </w:rPr>
              <w:fldChar w:fldCharType="begin"/>
            </w:r>
            <w:r>
              <w:rPr>
                <w:noProof/>
                <w:webHidden/>
              </w:rPr>
              <w:instrText xml:space="preserve"> PAGEREF _Toc517282181 \h </w:instrText>
            </w:r>
            <w:r>
              <w:rPr>
                <w:noProof/>
                <w:webHidden/>
              </w:rPr>
            </w:r>
            <w:r>
              <w:rPr>
                <w:noProof/>
                <w:webHidden/>
              </w:rPr>
              <w:fldChar w:fldCharType="separate"/>
            </w:r>
            <w:r>
              <w:rPr>
                <w:noProof/>
                <w:webHidden/>
              </w:rPr>
              <w:t>178</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82" w:history="1">
            <w:r w:rsidRPr="006B134E">
              <w:rPr>
                <w:rStyle w:val="Hyperlink"/>
                <w:rFonts w:cs="Calibri"/>
                <w:b/>
                <w:noProof/>
              </w:rPr>
              <w:t>5.7</w:t>
            </w:r>
            <w:r>
              <w:rPr>
                <w:rFonts w:eastAsiaTheme="minorEastAsia"/>
                <w:noProof/>
                <w:lang w:eastAsia="pt-BR"/>
              </w:rPr>
              <w:tab/>
            </w:r>
            <w:r w:rsidRPr="006B134E">
              <w:rPr>
                <w:rStyle w:val="Hyperlink"/>
                <w:rFonts w:cs="Calibri"/>
                <w:b/>
                <w:noProof/>
              </w:rPr>
              <w:t>QUADRO DE CUSTOS DO PRODUTO POR TIPO DE INVESTIMENTO</w:t>
            </w:r>
            <w:r>
              <w:rPr>
                <w:noProof/>
                <w:webHidden/>
              </w:rPr>
              <w:tab/>
            </w:r>
            <w:r>
              <w:rPr>
                <w:noProof/>
                <w:webHidden/>
              </w:rPr>
              <w:fldChar w:fldCharType="begin"/>
            </w:r>
            <w:r>
              <w:rPr>
                <w:noProof/>
                <w:webHidden/>
              </w:rPr>
              <w:instrText xml:space="preserve"> PAGEREF _Toc517282182 \h </w:instrText>
            </w:r>
            <w:r>
              <w:rPr>
                <w:noProof/>
                <w:webHidden/>
              </w:rPr>
            </w:r>
            <w:r>
              <w:rPr>
                <w:noProof/>
                <w:webHidden/>
              </w:rPr>
              <w:fldChar w:fldCharType="separate"/>
            </w:r>
            <w:r>
              <w:rPr>
                <w:noProof/>
                <w:webHidden/>
              </w:rPr>
              <w:t>179</w:t>
            </w:r>
            <w:r>
              <w:rPr>
                <w:noProof/>
                <w:webHidden/>
              </w:rPr>
              <w:fldChar w:fldCharType="end"/>
            </w:r>
          </w:hyperlink>
        </w:p>
        <w:p w:rsidR="00E85505" w:rsidRDefault="00E85505">
          <w:pPr>
            <w:pStyle w:val="Sumrio3"/>
            <w:tabs>
              <w:tab w:val="left" w:pos="1100"/>
              <w:tab w:val="right" w:pos="9770"/>
            </w:tabs>
            <w:rPr>
              <w:rFonts w:eastAsiaTheme="minorEastAsia"/>
              <w:noProof/>
              <w:lang w:eastAsia="pt-BR"/>
            </w:rPr>
          </w:pPr>
          <w:hyperlink w:anchor="_Toc517282183" w:history="1">
            <w:r w:rsidRPr="006B134E">
              <w:rPr>
                <w:rStyle w:val="Hyperlink"/>
                <w:rFonts w:cs="Calibri"/>
                <w:b/>
                <w:noProof/>
              </w:rPr>
              <w:t>5.8</w:t>
            </w:r>
            <w:r>
              <w:rPr>
                <w:rFonts w:eastAsiaTheme="minorEastAsia"/>
                <w:noProof/>
                <w:lang w:eastAsia="pt-BR"/>
              </w:rPr>
              <w:tab/>
            </w:r>
            <w:r w:rsidRPr="006B134E">
              <w:rPr>
                <w:rStyle w:val="Hyperlink"/>
                <w:rFonts w:cs="Calibri"/>
                <w:b/>
                <w:noProof/>
              </w:rPr>
              <w:t>CRONOGRAMA PROPOSTO</w:t>
            </w:r>
            <w:r>
              <w:rPr>
                <w:noProof/>
                <w:webHidden/>
              </w:rPr>
              <w:tab/>
            </w:r>
            <w:r>
              <w:rPr>
                <w:noProof/>
                <w:webHidden/>
              </w:rPr>
              <w:fldChar w:fldCharType="begin"/>
            </w:r>
            <w:r>
              <w:rPr>
                <w:noProof/>
                <w:webHidden/>
              </w:rPr>
              <w:instrText xml:space="preserve"> PAGEREF _Toc517282183 \h </w:instrText>
            </w:r>
            <w:r>
              <w:rPr>
                <w:noProof/>
                <w:webHidden/>
              </w:rPr>
            </w:r>
            <w:r>
              <w:rPr>
                <w:noProof/>
                <w:webHidden/>
              </w:rPr>
              <w:fldChar w:fldCharType="separate"/>
            </w:r>
            <w:r>
              <w:rPr>
                <w:noProof/>
                <w:webHidden/>
              </w:rPr>
              <w:t>179</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84" w:history="1">
            <w:r w:rsidRPr="006B134E">
              <w:rPr>
                <w:rStyle w:val="Hyperlink"/>
                <w:rFonts w:eastAsia="Times New Roman" w:cs="Arial"/>
                <w:noProof/>
                <w:lang w:eastAsia="pt-BR"/>
              </w:rPr>
              <w:t>ANEXOS I - MATRIZ DE PROBLEMAS, SOLUÇÕES E RESULTADOS</w:t>
            </w:r>
            <w:r>
              <w:rPr>
                <w:noProof/>
                <w:webHidden/>
              </w:rPr>
              <w:tab/>
            </w:r>
            <w:r>
              <w:rPr>
                <w:noProof/>
                <w:webHidden/>
              </w:rPr>
              <w:fldChar w:fldCharType="begin"/>
            </w:r>
            <w:r>
              <w:rPr>
                <w:noProof/>
                <w:webHidden/>
              </w:rPr>
              <w:instrText xml:space="preserve"> PAGEREF _Toc517282184 \h </w:instrText>
            </w:r>
            <w:r>
              <w:rPr>
                <w:noProof/>
                <w:webHidden/>
              </w:rPr>
            </w:r>
            <w:r>
              <w:rPr>
                <w:noProof/>
                <w:webHidden/>
              </w:rPr>
              <w:fldChar w:fldCharType="separate"/>
            </w:r>
            <w:r>
              <w:rPr>
                <w:noProof/>
                <w:webHidden/>
              </w:rPr>
              <w:t>180</w:t>
            </w:r>
            <w:r>
              <w:rPr>
                <w:noProof/>
                <w:webHidden/>
              </w:rPr>
              <w:fldChar w:fldCharType="end"/>
            </w:r>
          </w:hyperlink>
        </w:p>
        <w:p w:rsidR="00E85505" w:rsidRDefault="00E85505">
          <w:pPr>
            <w:pStyle w:val="Sumrio2"/>
            <w:tabs>
              <w:tab w:val="right" w:pos="9770"/>
            </w:tabs>
            <w:rPr>
              <w:rFonts w:eastAsiaTheme="minorEastAsia"/>
              <w:noProof/>
              <w:lang w:eastAsia="pt-BR"/>
            </w:rPr>
          </w:pPr>
          <w:hyperlink w:anchor="_Toc517282185" w:history="1">
            <w:r w:rsidRPr="006B134E">
              <w:rPr>
                <w:rStyle w:val="Hyperlink"/>
                <w:rFonts w:eastAsia="Times New Roman" w:cs="Arial"/>
                <w:noProof/>
                <w:lang w:eastAsia="pt-BR"/>
              </w:rPr>
              <w:t>ANEXO II - ORÇAMENTO DO PROJETO POR COMPONENTES E PRODUTOS</w:t>
            </w:r>
            <w:r>
              <w:rPr>
                <w:noProof/>
                <w:webHidden/>
              </w:rPr>
              <w:tab/>
            </w:r>
            <w:r>
              <w:rPr>
                <w:noProof/>
                <w:webHidden/>
              </w:rPr>
              <w:fldChar w:fldCharType="begin"/>
            </w:r>
            <w:r>
              <w:rPr>
                <w:noProof/>
                <w:webHidden/>
              </w:rPr>
              <w:instrText xml:space="preserve"> PAGEREF _Toc517282185 \h </w:instrText>
            </w:r>
            <w:r>
              <w:rPr>
                <w:noProof/>
                <w:webHidden/>
              </w:rPr>
            </w:r>
            <w:r>
              <w:rPr>
                <w:noProof/>
                <w:webHidden/>
              </w:rPr>
              <w:fldChar w:fldCharType="separate"/>
            </w:r>
            <w:r>
              <w:rPr>
                <w:noProof/>
                <w:webHidden/>
              </w:rPr>
              <w:t>187</w:t>
            </w:r>
            <w:r>
              <w:rPr>
                <w:noProof/>
                <w:webHidden/>
              </w:rPr>
              <w:fldChar w:fldCharType="end"/>
            </w:r>
          </w:hyperlink>
        </w:p>
        <w:p w:rsidR="00A73CF4" w:rsidRPr="00DE2D55" w:rsidRDefault="00A73CF4" w:rsidP="00FE560B">
          <w:pPr>
            <w:tabs>
              <w:tab w:val="left" w:pos="0"/>
            </w:tabs>
            <w:jc w:val="both"/>
          </w:pPr>
          <w:r w:rsidRPr="00DE2D55">
            <w:rPr>
              <w:b/>
              <w:bCs/>
            </w:rPr>
            <w:fldChar w:fldCharType="end"/>
          </w:r>
        </w:p>
      </w:sdtContent>
    </w:sdt>
    <w:p w:rsidR="00900AC9" w:rsidRPr="00DE2D55" w:rsidRDefault="00900AC9" w:rsidP="00FE560B">
      <w:pPr>
        <w:pStyle w:val="Ttulo1"/>
        <w:tabs>
          <w:tab w:val="left" w:pos="0"/>
        </w:tabs>
        <w:spacing w:before="0"/>
        <w:jc w:val="both"/>
        <w:rPr>
          <w:rFonts w:asciiTheme="minorHAnsi" w:hAnsiTheme="minorHAnsi"/>
          <w:color w:val="auto"/>
          <w:sz w:val="22"/>
          <w:szCs w:val="22"/>
        </w:rPr>
      </w:pPr>
    </w:p>
    <w:p w:rsidR="00283B68" w:rsidRPr="00DE2D55" w:rsidRDefault="002E0503" w:rsidP="00FE560B">
      <w:pPr>
        <w:pStyle w:val="PargrafodaLista"/>
        <w:tabs>
          <w:tab w:val="left" w:pos="0"/>
        </w:tabs>
        <w:jc w:val="both"/>
        <w:rPr>
          <w:rFonts w:eastAsia="Times New Roman" w:cs="Arial"/>
          <w:color w:val="996633"/>
          <w:lang w:eastAsia="pt-BR"/>
        </w:rPr>
      </w:pPr>
      <w:bookmarkStart w:id="14" w:name="_Toc378259452"/>
      <w:r w:rsidRPr="00DE2D55">
        <w:rPr>
          <w:rFonts w:eastAsia="Times New Roman" w:cs="Arial"/>
          <w:color w:val="996633"/>
          <w:lang w:eastAsia="pt-BR"/>
        </w:rPr>
        <w:br w:type="page"/>
      </w:r>
    </w:p>
    <w:p w:rsidR="00A86C6A" w:rsidRPr="00860C05" w:rsidRDefault="00283B68" w:rsidP="00FE560B">
      <w:pPr>
        <w:pStyle w:val="Ttulo1"/>
        <w:tabs>
          <w:tab w:val="left" w:pos="0"/>
        </w:tabs>
        <w:spacing w:before="0"/>
        <w:rPr>
          <w:rFonts w:eastAsiaTheme="minorHAnsi" w:cs="Calibri"/>
        </w:rPr>
      </w:pPr>
      <w:bookmarkStart w:id="15" w:name="_Toc517282041"/>
      <w:r w:rsidRPr="00860C05">
        <w:rPr>
          <w:rFonts w:eastAsiaTheme="minorHAnsi" w:cs="Calibri"/>
        </w:rPr>
        <w:t>INTRODUÇÃO</w:t>
      </w:r>
      <w:bookmarkEnd w:id="15"/>
    </w:p>
    <w:p w:rsidR="000120A7" w:rsidRPr="00DE2D55" w:rsidRDefault="001B3512" w:rsidP="00FE560B">
      <w:pPr>
        <w:tabs>
          <w:tab w:val="left" w:pos="0"/>
        </w:tabs>
        <w:ind w:firstLine="708"/>
        <w:jc w:val="both"/>
        <w:rPr>
          <w:rFonts w:cs="Arial"/>
          <w:bCs/>
        </w:rPr>
      </w:pPr>
      <w:r>
        <w:rPr>
          <w:rFonts w:cs="Arial"/>
          <w:bCs/>
        </w:rPr>
        <w:t>Estabelecer o</w:t>
      </w:r>
      <w:r w:rsidR="000120A7" w:rsidRPr="00DE2D55">
        <w:rPr>
          <w:rFonts w:cs="Arial"/>
          <w:bCs/>
        </w:rPr>
        <w:t xml:space="preserve"> eq</w:t>
      </w:r>
      <w:r>
        <w:rPr>
          <w:rFonts w:cs="Arial"/>
          <w:bCs/>
        </w:rPr>
        <w:t xml:space="preserve">uilíbrio das finanças públicas </w:t>
      </w:r>
      <w:r w:rsidR="000120A7" w:rsidRPr="00DE2D55">
        <w:rPr>
          <w:rFonts w:cs="Arial"/>
          <w:bCs/>
        </w:rPr>
        <w:t xml:space="preserve">é condição </w:t>
      </w:r>
      <w:r w:rsidR="00DD3AC2">
        <w:rPr>
          <w:rFonts w:cs="Arial"/>
          <w:bCs/>
        </w:rPr>
        <w:t>primordial</w:t>
      </w:r>
      <w:r w:rsidR="000120A7" w:rsidRPr="00DE2D55">
        <w:rPr>
          <w:rFonts w:cs="Arial"/>
          <w:bCs/>
        </w:rPr>
        <w:t xml:space="preserve"> para o estado que almeja </w:t>
      </w:r>
      <w:r w:rsidR="00DD3AC2">
        <w:rPr>
          <w:rFonts w:cs="Arial"/>
          <w:bCs/>
        </w:rPr>
        <w:t>melhorar o</w:t>
      </w:r>
      <w:r w:rsidR="000120A7" w:rsidRPr="00DE2D55">
        <w:rPr>
          <w:rFonts w:cs="Arial"/>
          <w:bCs/>
        </w:rPr>
        <w:t xml:space="preserve"> bem-estar social. Para tal, dada a conjuntura adversa não seria interessante penalizar ainda mais as empresas elevando alíquotas tributárias, tão pouco seria salutar ao governo promover cortes ainda mais rigorosos nos setores essências a sociedade. O caminho alternativo neste momento seria reduzir ao máximo o hiato tributário, ou seja, os espaços para a competição desleal que os sonegadores se apropriam e passam a praticar sobre os empresários que pagam seus impostos conforme exigência das leis tributárias.</w:t>
      </w:r>
    </w:p>
    <w:p w:rsidR="000120A7" w:rsidRPr="00DE2D55" w:rsidRDefault="000120A7" w:rsidP="00FE560B">
      <w:pPr>
        <w:tabs>
          <w:tab w:val="left" w:pos="0"/>
        </w:tabs>
        <w:ind w:firstLine="708"/>
        <w:jc w:val="both"/>
        <w:rPr>
          <w:rFonts w:cs="Arial"/>
          <w:bCs/>
        </w:rPr>
      </w:pPr>
      <w:r w:rsidRPr="00DE2D55">
        <w:rPr>
          <w:rFonts w:cs="Arial"/>
          <w:bCs/>
        </w:rPr>
        <w:t>Neste momento, o Governo tem o dever de criar medidas que garantam um ambiente</w:t>
      </w:r>
      <w:r w:rsidR="00DD3AC2">
        <w:rPr>
          <w:rFonts w:cs="Arial"/>
          <w:bCs/>
        </w:rPr>
        <w:t xml:space="preserve"> de negócio prospero e saudável, atuando</w:t>
      </w:r>
      <w:r w:rsidRPr="00DE2D55">
        <w:rPr>
          <w:rFonts w:cs="Arial"/>
          <w:bCs/>
        </w:rPr>
        <w:t xml:space="preserve"> como um agente facilitador</w:t>
      </w:r>
      <w:r w:rsidR="00DD3AC2">
        <w:rPr>
          <w:rFonts w:cs="Arial"/>
          <w:bCs/>
        </w:rPr>
        <w:t>,</w:t>
      </w:r>
      <w:r w:rsidRPr="00DE2D55">
        <w:rPr>
          <w:rFonts w:cs="Arial"/>
          <w:bCs/>
        </w:rPr>
        <w:t xml:space="preserve"> seja reduzindo ao máximo a burocracia e/ou buscando de forma contínua a simplificação tributária. De outra forma, cabe ainda ao governo o papel de fiscal do erário público, uma vez que deve buscar ser mais eficiente como arrecadador de impostos, impondo sanções legais para aqueles que preferem correr o risco de ficar na   ilegalidade, sinalizando para o contribuinte as penalidades e o risco de sonegar. </w:t>
      </w:r>
    </w:p>
    <w:p w:rsidR="000120A7" w:rsidRPr="00DE2D55" w:rsidRDefault="000120A7" w:rsidP="00FE560B">
      <w:pPr>
        <w:tabs>
          <w:tab w:val="left" w:pos="0"/>
        </w:tabs>
        <w:ind w:firstLine="708"/>
        <w:jc w:val="both"/>
        <w:rPr>
          <w:rFonts w:cs="Arial"/>
          <w:bCs/>
        </w:rPr>
      </w:pPr>
      <w:r w:rsidRPr="00DE2D55">
        <w:rPr>
          <w:rFonts w:cs="Arial"/>
          <w:bCs/>
        </w:rPr>
        <w:t>Tornar um governo mais eficiente do ponto de vista da arrecadação é o primeiro passo para a modernização do sistema tributário estadual, no entanto não é suficiente se não for associado a uma gestão orientada por resultados e que promovam a melhoria na qualidade dos gastos. O governo que não leva estes efeitos em consideração, e que tem ineficiência nos seus serviços prestados onera os cofres públicos e penaliza e priva os cidadãos dos seus direitos.</w:t>
      </w:r>
    </w:p>
    <w:p w:rsidR="000120A7" w:rsidRPr="00DE2D55" w:rsidRDefault="000120A7" w:rsidP="00FE560B">
      <w:pPr>
        <w:tabs>
          <w:tab w:val="left" w:pos="0"/>
        </w:tabs>
        <w:ind w:firstLine="708"/>
        <w:jc w:val="both"/>
        <w:rPr>
          <w:rFonts w:cs="Arial"/>
          <w:bCs/>
        </w:rPr>
      </w:pPr>
      <w:r w:rsidRPr="00DE2D55">
        <w:rPr>
          <w:rFonts w:cs="Arial"/>
          <w:bCs/>
        </w:rPr>
        <w:t>Para tornar esse desafio realidade é de suma importância que ocorram investimentos em tecnologia, capacitação e qualificação de mão-de-obra. É necessário ter um sistema tributário eficiente, transparente e seguro de monitoramento de contribuintes e de racionalização de despesas. Contudo, todo investimento que não tem como base o treinamento e a capacitação de profissionais não tem resultado, por isto investimentos nestes setores são essenciais a fim de tornar estes profissionais capazes de transformar as informações estatísticas em análises úteis nas tomadas de decisão dos gestores.</w:t>
      </w:r>
    </w:p>
    <w:p w:rsidR="000120A7" w:rsidRPr="00DE2D55" w:rsidRDefault="000120A7" w:rsidP="00FE560B">
      <w:pPr>
        <w:tabs>
          <w:tab w:val="left" w:pos="0"/>
        </w:tabs>
        <w:ind w:firstLine="708"/>
        <w:jc w:val="both"/>
        <w:rPr>
          <w:rFonts w:eastAsia="Times New Roman" w:cs="Arial"/>
          <w:color w:val="996633"/>
          <w:lang w:eastAsia="pt-BR"/>
        </w:rPr>
      </w:pPr>
      <w:r w:rsidRPr="00DE2D55">
        <w:rPr>
          <w:rFonts w:cs="Arial"/>
          <w:bCs/>
        </w:rPr>
        <w:t>Consciente dos problemas supracitados e visando promover o crescimento e elevar o nível de Bem-Estar social nos próximos anos, o</w:t>
      </w:r>
      <w:r w:rsidR="00283B68" w:rsidRPr="00DE2D55">
        <w:rPr>
          <w:rFonts w:cs="Arial"/>
          <w:bCs/>
        </w:rPr>
        <w:t xml:space="preserve"> Governo do Estado do Espírito Santo , por meio da Secretaria de Estado da Fazenda, encaminhou a Carta Consulta a Secretaria de Assuntos Internacionais – SEAIN, tendo sido autorizada a preparação do projeto no valor de </w:t>
      </w:r>
      <w:r w:rsidR="00283B68" w:rsidRPr="00DE2D55">
        <w:rPr>
          <w:rFonts w:cs="Arial"/>
          <w:b/>
          <w:bCs/>
        </w:rPr>
        <w:t>US$ 42.000.00,00</w:t>
      </w:r>
      <w:r w:rsidR="00283B68" w:rsidRPr="00DE2D55">
        <w:rPr>
          <w:rFonts w:cs="Arial"/>
          <w:bCs/>
        </w:rPr>
        <w:t xml:space="preserve"> (quarenta e dois milhões de dólares americanos), sendo US$ 37.800.000,00 (trinta e sete milhões e oitocentos mil dólares americanos) oriundo de financiamento do BID e US$ 4.200.000.00 ( quatro milhões e duzentos mil dólares americanos) de contrapartida. Os investimentos previstos no PROFISCO II ES estão focados na continuidade da modernização da organização fazendária, com destaque para as áreas de tecnologia da informação, gestão fiscal, gestão financeira, gestão de pessoas e de atendimento ao contribuinte, áreas de suma importância para o alcance das metas programáticas do governo estadual.</w:t>
      </w:r>
      <w:r w:rsidRPr="00DE2D55">
        <w:rPr>
          <w:rFonts w:eastAsia="Times New Roman" w:cs="Arial"/>
          <w:color w:val="996633"/>
          <w:lang w:eastAsia="pt-BR"/>
        </w:rPr>
        <w:br w:type="page"/>
      </w:r>
    </w:p>
    <w:p w:rsidR="000120A7" w:rsidRPr="006F1AEB" w:rsidRDefault="000120A7" w:rsidP="00FE560B">
      <w:pPr>
        <w:pStyle w:val="Ttulo1"/>
        <w:tabs>
          <w:tab w:val="left" w:pos="0"/>
        </w:tabs>
        <w:spacing w:before="0"/>
        <w:jc w:val="both"/>
        <w:rPr>
          <w:rFonts w:asciiTheme="minorHAnsi" w:eastAsia="Times New Roman" w:hAnsiTheme="minorHAnsi" w:cs="Arial"/>
          <w:lang w:eastAsia="pt-BR"/>
        </w:rPr>
      </w:pPr>
      <w:bookmarkStart w:id="16" w:name="_Toc517282042"/>
      <w:r w:rsidRPr="006F1AEB">
        <w:rPr>
          <w:rFonts w:asciiTheme="minorHAnsi" w:eastAsia="Times New Roman" w:hAnsiTheme="minorHAnsi" w:cs="Arial"/>
          <w:lang w:eastAsia="pt-BR"/>
        </w:rPr>
        <w:t>COMPONENTE 1. GESTÃO FAZENDÁRIA E TRANSPARÊNCIA FISCAL</w:t>
      </w:r>
      <w:bookmarkEnd w:id="16"/>
    </w:p>
    <w:p w:rsidR="000120A7" w:rsidRPr="00DE2D55" w:rsidRDefault="000120A7" w:rsidP="00FE560B">
      <w:pPr>
        <w:pStyle w:val="PargrafodaLista"/>
        <w:tabs>
          <w:tab w:val="left" w:pos="0"/>
        </w:tabs>
        <w:jc w:val="both"/>
        <w:rPr>
          <w:rFonts w:eastAsia="Times New Roman" w:cs="Arial"/>
          <w:lang w:eastAsia="pt-BR"/>
        </w:rPr>
      </w:pPr>
    </w:p>
    <w:p w:rsidR="000120A7" w:rsidRPr="00DE2D55" w:rsidRDefault="003D68E9" w:rsidP="00FE560B">
      <w:pPr>
        <w:pStyle w:val="Ttulo2"/>
        <w:tabs>
          <w:tab w:val="left" w:pos="0"/>
        </w:tabs>
        <w:spacing w:before="0"/>
        <w:jc w:val="both"/>
        <w:rPr>
          <w:rFonts w:asciiTheme="minorHAnsi" w:eastAsia="Times New Roman" w:hAnsiTheme="minorHAnsi" w:cs="Arial"/>
          <w:sz w:val="22"/>
          <w:szCs w:val="22"/>
          <w:lang w:eastAsia="pt-BR"/>
        </w:rPr>
      </w:pPr>
      <w:bookmarkStart w:id="17" w:name="_Toc517282043"/>
      <w:r w:rsidRPr="00DE2D55">
        <w:rPr>
          <w:rFonts w:asciiTheme="minorHAnsi" w:eastAsia="Times New Roman" w:hAnsiTheme="minorHAnsi" w:cs="Arial"/>
          <w:sz w:val="22"/>
          <w:szCs w:val="22"/>
          <w:lang w:eastAsia="pt-BR"/>
        </w:rPr>
        <w:t>PRODUTO 1. MODELO DE GOVERNANÇA DA GESTÃO FISCAL IMPLANTADO</w:t>
      </w:r>
      <w:bookmarkEnd w:id="17"/>
    </w:p>
    <w:p w:rsidR="00265E7F" w:rsidRPr="00DE2D55" w:rsidRDefault="00265E7F" w:rsidP="00FE560B">
      <w:pPr>
        <w:pStyle w:val="Corpodetexto"/>
        <w:tabs>
          <w:tab w:val="left" w:pos="0"/>
        </w:tabs>
        <w:spacing w:line="360" w:lineRule="auto"/>
        <w:rPr>
          <w:rFonts w:asciiTheme="minorHAnsi" w:hAnsiTheme="minorHAnsi" w:cs="Calibri"/>
          <w:b/>
          <w:sz w:val="22"/>
          <w:szCs w:val="22"/>
        </w:rPr>
      </w:pPr>
    </w:p>
    <w:p w:rsidR="00265E7F" w:rsidRPr="00DE2D55" w:rsidRDefault="00265E7F" w:rsidP="00FE560B">
      <w:pPr>
        <w:pStyle w:val="WW-Primeirorecuodecorpodetexto"/>
        <w:tabs>
          <w:tab w:val="left" w:pos="0"/>
          <w:tab w:val="center" w:pos="1560"/>
        </w:tabs>
        <w:snapToGrid w:val="0"/>
        <w:spacing w:after="0" w:line="360" w:lineRule="auto"/>
        <w:ind w:left="-115"/>
        <w:jc w:val="both"/>
        <w:rPr>
          <w:rFonts w:asciiTheme="minorHAnsi" w:hAnsiTheme="minorHAnsi" w:cs="Calibri"/>
          <w:b/>
          <w:sz w:val="22"/>
          <w:szCs w:val="22"/>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265E7F" w:rsidRPr="00DE2D55" w:rsidTr="001A2594">
        <w:trPr>
          <w:trHeight w:val="2219"/>
        </w:trPr>
        <w:tc>
          <w:tcPr>
            <w:tcW w:w="9810" w:type="dxa"/>
            <w:tcBorders>
              <w:top w:val="single" w:sz="4" w:space="0" w:color="auto"/>
              <w:left w:val="nil"/>
              <w:bottom w:val="single" w:sz="4" w:space="0" w:color="auto"/>
              <w:right w:val="nil"/>
            </w:tcBorders>
            <w:shd w:val="clear" w:color="auto" w:fill="D5DCE4"/>
          </w:tcPr>
          <w:p w:rsidR="00265E7F" w:rsidRPr="00DE2D55" w:rsidRDefault="00265E7F"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265E7F" w:rsidRPr="00DE2D55" w:rsidRDefault="00265E7F" w:rsidP="00FE560B">
            <w:pPr>
              <w:shd w:val="clear" w:color="auto" w:fill="D5DCE4"/>
              <w:tabs>
                <w:tab w:val="left" w:pos="0"/>
              </w:tabs>
              <w:jc w:val="both"/>
              <w:rPr>
                <w:rFonts w:cs="Calibri"/>
                <w:b/>
                <w:noProof/>
                <w:color w:val="0070C0"/>
              </w:rPr>
            </w:pPr>
            <w:r w:rsidRPr="00DE2D55">
              <w:rPr>
                <w:rFonts w:cs="Calibri"/>
                <w:b/>
                <w:bCs/>
                <w:color w:val="0070C0"/>
              </w:rPr>
              <w:t>P</w:t>
            </w:r>
            <w:r w:rsidRPr="00DE2D55">
              <w:rPr>
                <w:b/>
              </w:rPr>
              <w:t xml:space="preserve"> </w:t>
            </w:r>
            <w:r w:rsidRPr="00DE2D55">
              <w:rPr>
                <w:rFonts w:cs="Calibri"/>
                <w:b/>
                <w:noProof/>
                <w:color w:val="0070C0"/>
              </w:rPr>
              <w:t>1.1 Modelo de Governança da Gestão Fiscal Implantado</w:t>
            </w:r>
          </w:p>
          <w:p w:rsidR="00265E7F" w:rsidRPr="00DE2D55" w:rsidRDefault="00265E7F" w:rsidP="00FE560B">
            <w:pPr>
              <w:numPr>
                <w:ilvl w:val="2"/>
                <w:numId w:val="3"/>
              </w:numPr>
              <w:tabs>
                <w:tab w:val="left" w:pos="0"/>
              </w:tabs>
              <w:jc w:val="both"/>
              <w:rPr>
                <w:rFonts w:cs="Calibri"/>
                <w:b/>
                <w:bCs/>
                <w:color w:val="0070C0"/>
              </w:rPr>
            </w:pPr>
            <w:r w:rsidRPr="00DE2D55">
              <w:rPr>
                <w:rFonts w:cs="Calibri"/>
                <w:b/>
                <w:bCs/>
                <w:color w:val="0070C0"/>
              </w:rPr>
              <w:t>Planejamento estratégico</w:t>
            </w:r>
          </w:p>
          <w:p w:rsidR="00265E7F" w:rsidRPr="00DE2D55" w:rsidRDefault="00265E7F" w:rsidP="00FE560B">
            <w:pPr>
              <w:numPr>
                <w:ilvl w:val="2"/>
                <w:numId w:val="3"/>
              </w:numPr>
              <w:tabs>
                <w:tab w:val="left" w:pos="0"/>
              </w:tabs>
              <w:jc w:val="both"/>
              <w:rPr>
                <w:rFonts w:cs="Calibri"/>
                <w:b/>
                <w:bCs/>
                <w:color w:val="0070C0"/>
              </w:rPr>
            </w:pPr>
            <w:r w:rsidRPr="00DE2D55">
              <w:rPr>
                <w:rFonts w:cs="Calibri"/>
                <w:b/>
                <w:bCs/>
                <w:color w:val="0070C0"/>
              </w:rPr>
              <w:t>Escritório de Projetos</w:t>
            </w:r>
          </w:p>
        </w:tc>
      </w:tr>
    </w:tbl>
    <w:p w:rsidR="00265E7F" w:rsidRDefault="00265E7F" w:rsidP="00FE560B">
      <w:pPr>
        <w:tabs>
          <w:tab w:val="left" w:pos="0"/>
        </w:tabs>
        <w:jc w:val="both"/>
        <w:rPr>
          <w:rFonts w:cs="Calibri"/>
        </w:rPr>
      </w:pPr>
    </w:p>
    <w:p w:rsidR="006F1AEB" w:rsidRPr="00DE2D55" w:rsidRDefault="006F1AEB" w:rsidP="00FE560B">
      <w:pPr>
        <w:tabs>
          <w:tab w:val="left" w:pos="0"/>
        </w:tabs>
        <w:jc w:val="both"/>
        <w:rPr>
          <w:rFonts w:cs="Calibri"/>
        </w:rPr>
      </w:pPr>
    </w:p>
    <w:p w:rsidR="00265E7F" w:rsidRPr="00DE2D55" w:rsidRDefault="006F1AEB" w:rsidP="00FE560B">
      <w:pPr>
        <w:tabs>
          <w:tab w:val="left" w:pos="0"/>
        </w:tabs>
        <w:ind w:left="360"/>
        <w:jc w:val="both"/>
        <w:rPr>
          <w:rFonts w:cs="Calibri"/>
        </w:rPr>
      </w:pPr>
      <w:r>
        <w:rPr>
          <w:rFonts w:cs="Calibri"/>
        </w:rPr>
        <w:t>Autores</w:t>
      </w:r>
      <w:r w:rsidR="00265E7F" w:rsidRPr="00DE2D55">
        <w:rPr>
          <w:rFonts w:cs="Calibri"/>
        </w:rPr>
        <w:t xml:space="preserve">: </w:t>
      </w:r>
    </w:p>
    <w:tbl>
      <w:tblPr>
        <w:tblW w:w="5000" w:type="pct"/>
        <w:tblLook w:val="0000" w:firstRow="0" w:lastRow="0" w:firstColumn="0" w:lastColumn="0" w:noHBand="0" w:noVBand="0"/>
      </w:tblPr>
      <w:tblGrid>
        <w:gridCol w:w="2565"/>
        <w:gridCol w:w="3714"/>
        <w:gridCol w:w="819"/>
        <w:gridCol w:w="2672"/>
      </w:tblGrid>
      <w:tr w:rsidR="00265E7F" w:rsidRPr="00DE2D55" w:rsidTr="00265E7F">
        <w:trPr>
          <w:trHeight w:val="253"/>
        </w:trPr>
        <w:tc>
          <w:tcPr>
            <w:tcW w:w="1332"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rPr>
                <w:b/>
              </w:rPr>
            </w:pPr>
            <w:r w:rsidRPr="00DE2D55">
              <w:rPr>
                <w:b/>
              </w:rPr>
              <w:t>Nomes</w:t>
            </w:r>
          </w:p>
        </w:tc>
        <w:tc>
          <w:tcPr>
            <w:tcW w:w="192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rPr>
                <w:b/>
              </w:rPr>
            </w:pPr>
            <w:r w:rsidRPr="00DE2D55">
              <w:rPr>
                <w:b/>
              </w:rPr>
              <w:t>Cargos</w:t>
            </w:r>
          </w:p>
        </w:tc>
        <w:tc>
          <w:tcPr>
            <w:tcW w:w="438"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rPr>
                <w:b/>
              </w:rPr>
            </w:pPr>
            <w:r w:rsidRPr="00DE2D55">
              <w:rPr>
                <w:rFonts w:cs="Calibri"/>
                <w:b/>
              </w:rPr>
              <w:t>Área</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rPr>
                <w:b/>
              </w:rPr>
              <w:t>E-mail</w:t>
            </w:r>
          </w:p>
        </w:tc>
      </w:tr>
      <w:tr w:rsidR="00265E7F" w:rsidRPr="00DE2D55" w:rsidTr="00265E7F">
        <w:trPr>
          <w:trHeight w:val="585"/>
        </w:trPr>
        <w:tc>
          <w:tcPr>
            <w:tcW w:w="13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 xml:space="preserve">Luís Antonio Rangel </w:t>
            </w:r>
          </w:p>
        </w:tc>
        <w:tc>
          <w:tcPr>
            <w:tcW w:w="19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Gerente de Desenvolvimento Fazendário (GEDEF)</w:t>
            </w:r>
          </w:p>
        </w:tc>
        <w:tc>
          <w:tcPr>
            <w:tcW w:w="43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GEDEF</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lrangel@sefaz.es.gov.br</w:t>
            </w:r>
          </w:p>
        </w:tc>
      </w:tr>
      <w:tr w:rsidR="00265E7F" w:rsidRPr="00DE2D55" w:rsidTr="00265E7F">
        <w:trPr>
          <w:trHeight w:val="70"/>
        </w:trPr>
        <w:tc>
          <w:tcPr>
            <w:tcW w:w="13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Maria Elizabeth Pitanga Costa Seccadio</w:t>
            </w:r>
          </w:p>
        </w:tc>
        <w:tc>
          <w:tcPr>
            <w:tcW w:w="19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Subgerente de Avaliação e Desenvolvimento Organizacional</w:t>
            </w:r>
          </w:p>
        </w:tc>
        <w:tc>
          <w:tcPr>
            <w:tcW w:w="43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GEDEF</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mcosta@sefaz.es.gov.br</w:t>
            </w:r>
          </w:p>
        </w:tc>
      </w:tr>
      <w:tr w:rsidR="00265E7F" w:rsidRPr="00DE2D55" w:rsidTr="00265E7F">
        <w:trPr>
          <w:trHeight w:val="70"/>
        </w:trPr>
        <w:tc>
          <w:tcPr>
            <w:tcW w:w="13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 xml:space="preserve">Eduardo Pereira de Carvalho </w:t>
            </w:r>
          </w:p>
        </w:tc>
        <w:tc>
          <w:tcPr>
            <w:tcW w:w="19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Supervisor de Área Fazendária</w:t>
            </w:r>
          </w:p>
        </w:tc>
        <w:tc>
          <w:tcPr>
            <w:tcW w:w="43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GEDEF</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ecarvalho@sefaz.es.gov.br</w:t>
            </w:r>
          </w:p>
        </w:tc>
      </w:tr>
      <w:tr w:rsidR="00265E7F" w:rsidRPr="00DE2D55" w:rsidTr="00265E7F">
        <w:trPr>
          <w:trHeight w:val="70"/>
        </w:trPr>
        <w:tc>
          <w:tcPr>
            <w:tcW w:w="13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 xml:space="preserve">Eliane Canal Leite da Silva </w:t>
            </w:r>
          </w:p>
        </w:tc>
        <w:tc>
          <w:tcPr>
            <w:tcW w:w="19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Coordenadora de Projetos</w:t>
            </w:r>
          </w:p>
        </w:tc>
        <w:tc>
          <w:tcPr>
            <w:tcW w:w="43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GEDEF</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elsilva@sefaz.es.gov.br</w:t>
            </w:r>
          </w:p>
        </w:tc>
      </w:tr>
      <w:tr w:rsidR="00265E7F" w:rsidRPr="00DE2D55" w:rsidTr="00265E7F">
        <w:trPr>
          <w:trHeight w:val="500"/>
        </w:trPr>
        <w:tc>
          <w:tcPr>
            <w:tcW w:w="13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ind w:left="21" w:hanging="21"/>
              <w:jc w:val="both"/>
            </w:pPr>
            <w:r w:rsidRPr="00DE2D55">
              <w:t>Marta Gonçalves Achiamé</w:t>
            </w:r>
          </w:p>
        </w:tc>
        <w:tc>
          <w:tcPr>
            <w:tcW w:w="19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Supervisora de Área Fazendária</w:t>
            </w:r>
          </w:p>
        </w:tc>
        <w:tc>
          <w:tcPr>
            <w:tcW w:w="43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265E7F" w:rsidRPr="00DE2D55" w:rsidRDefault="00265E7F" w:rsidP="00FE560B">
            <w:pPr>
              <w:tabs>
                <w:tab w:val="left" w:pos="0"/>
              </w:tabs>
              <w:jc w:val="both"/>
            </w:pPr>
            <w:r w:rsidRPr="00DE2D55">
              <w:t>GEDEF</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machiame@sefaz.es.gov.br</w:t>
            </w:r>
          </w:p>
        </w:tc>
      </w:tr>
      <w:tr w:rsidR="00265E7F" w:rsidRPr="00DE2D55" w:rsidTr="00265E7F">
        <w:trPr>
          <w:trHeight w:val="70"/>
        </w:trPr>
        <w:tc>
          <w:tcPr>
            <w:tcW w:w="1332"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ind w:left="21" w:hanging="21"/>
              <w:jc w:val="both"/>
            </w:pPr>
            <w:r w:rsidRPr="00DE2D55">
              <w:t>Andressa Rodrigues Pavão</w:t>
            </w:r>
          </w:p>
        </w:tc>
        <w:tc>
          <w:tcPr>
            <w:tcW w:w="192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ind w:left="21" w:hanging="21"/>
              <w:jc w:val="both"/>
            </w:pPr>
            <w:r w:rsidRPr="00DE2D55">
              <w:t>Coordenadora da UCP</w:t>
            </w:r>
          </w:p>
        </w:tc>
        <w:tc>
          <w:tcPr>
            <w:tcW w:w="438"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jc w:val="both"/>
            </w:pPr>
            <w:r w:rsidRPr="00DE2D55">
              <w:t>UCP</w:t>
            </w:r>
          </w:p>
        </w:tc>
        <w:tc>
          <w:tcPr>
            <w:tcW w:w="1310" w:type="pct"/>
            <w:tcBorders>
              <w:top w:val="single" w:sz="4" w:space="0" w:color="00000A"/>
              <w:left w:val="single" w:sz="4" w:space="0" w:color="00000A"/>
              <w:bottom w:val="single" w:sz="4" w:space="0" w:color="00000A"/>
              <w:right w:val="single" w:sz="4" w:space="0" w:color="00000A"/>
            </w:tcBorders>
            <w:shd w:val="clear" w:color="auto" w:fill="FFFFFF"/>
          </w:tcPr>
          <w:p w:rsidR="00265E7F" w:rsidRPr="00DE2D55" w:rsidRDefault="00265E7F" w:rsidP="00FE560B">
            <w:pPr>
              <w:tabs>
                <w:tab w:val="left" w:pos="0"/>
              </w:tabs>
              <w:ind w:left="21" w:hanging="21"/>
              <w:jc w:val="both"/>
            </w:pPr>
            <w:r w:rsidRPr="00DE2D55">
              <w:t>apavao@sefaz.es.gov.br</w:t>
            </w:r>
          </w:p>
        </w:tc>
      </w:tr>
    </w:tbl>
    <w:p w:rsidR="00265E7F" w:rsidRPr="00DE2D55" w:rsidRDefault="00265E7F" w:rsidP="00FE560B">
      <w:pPr>
        <w:tabs>
          <w:tab w:val="left" w:pos="0"/>
        </w:tabs>
        <w:jc w:val="both"/>
        <w:rPr>
          <w:rFonts w:cs="Calibri"/>
        </w:rPr>
      </w:pPr>
    </w:p>
    <w:p w:rsidR="00265E7F" w:rsidRPr="00DE2D55" w:rsidRDefault="00265E7F" w:rsidP="00FE560B">
      <w:pPr>
        <w:tabs>
          <w:tab w:val="left" w:pos="0"/>
        </w:tabs>
        <w:jc w:val="both"/>
        <w:rPr>
          <w:rFonts w:cs="Calibri"/>
        </w:rPr>
      </w:pPr>
    </w:p>
    <w:p w:rsidR="00265E7F" w:rsidRDefault="00265E7F" w:rsidP="00FE560B">
      <w:pPr>
        <w:tabs>
          <w:tab w:val="left" w:pos="0"/>
        </w:tabs>
        <w:jc w:val="both"/>
        <w:rPr>
          <w:rFonts w:cs="Calibri"/>
        </w:rPr>
      </w:pPr>
    </w:p>
    <w:p w:rsidR="006F1AEB" w:rsidRPr="00DE2D55" w:rsidRDefault="006F1AEB" w:rsidP="00FE560B">
      <w:pPr>
        <w:tabs>
          <w:tab w:val="left" w:pos="0"/>
        </w:tabs>
        <w:jc w:val="both"/>
        <w:rPr>
          <w:rFonts w:cs="Calibri"/>
        </w:rPr>
      </w:pPr>
    </w:p>
    <w:p w:rsidR="00265E7F" w:rsidRPr="00DE2D55" w:rsidRDefault="00265E7F" w:rsidP="00FE560B">
      <w:pPr>
        <w:tabs>
          <w:tab w:val="left" w:pos="0"/>
        </w:tabs>
        <w:jc w:val="both"/>
        <w:rPr>
          <w:rFonts w:cs="Calibri"/>
        </w:rPr>
      </w:pPr>
    </w:p>
    <w:p w:rsidR="00265E7F" w:rsidRPr="00DE2D55" w:rsidRDefault="00265E7F" w:rsidP="00FE560B">
      <w:pPr>
        <w:tabs>
          <w:tab w:val="left" w:pos="0"/>
        </w:tabs>
        <w:jc w:val="center"/>
        <w:rPr>
          <w:rFonts w:cs="Calibri"/>
        </w:rPr>
      </w:pPr>
      <w:r w:rsidRPr="00DE2D55">
        <w:rPr>
          <w:rFonts w:cs="Calibri"/>
          <w:b/>
        </w:rPr>
        <w:t>Vitória/ES - junho de 2018</w:t>
      </w:r>
    </w:p>
    <w:p w:rsidR="00265E7F" w:rsidRPr="00DE2D55" w:rsidRDefault="00265E7F" w:rsidP="00FE560B">
      <w:pPr>
        <w:pStyle w:val="Corpodetexto"/>
        <w:tabs>
          <w:tab w:val="left" w:pos="0"/>
        </w:tabs>
        <w:spacing w:line="360" w:lineRule="auto"/>
        <w:rPr>
          <w:rFonts w:asciiTheme="minorHAnsi" w:hAnsiTheme="minorHAnsi" w:cs="Calibri"/>
          <w:b/>
          <w:sz w:val="22"/>
          <w:szCs w:val="22"/>
        </w:rPr>
      </w:pPr>
    </w:p>
    <w:p w:rsidR="003A44BC" w:rsidRPr="00DE2D55" w:rsidRDefault="003A44BC" w:rsidP="00FE560B">
      <w:pPr>
        <w:pStyle w:val="Corpodetexto"/>
        <w:tabs>
          <w:tab w:val="left" w:pos="0"/>
        </w:tabs>
        <w:spacing w:line="360" w:lineRule="auto"/>
        <w:rPr>
          <w:rFonts w:asciiTheme="minorHAnsi" w:hAnsiTheme="minorHAnsi" w:cs="Calibri"/>
          <w:b/>
          <w:sz w:val="22"/>
          <w:szCs w:val="22"/>
        </w:rPr>
      </w:pPr>
    </w:p>
    <w:p w:rsidR="00265E7F" w:rsidRDefault="00265E7F" w:rsidP="00FE560B">
      <w:pPr>
        <w:pStyle w:val="Corpodetexto"/>
        <w:tabs>
          <w:tab w:val="left" w:pos="0"/>
        </w:tabs>
        <w:spacing w:line="360" w:lineRule="auto"/>
        <w:rPr>
          <w:rFonts w:asciiTheme="minorHAnsi" w:hAnsiTheme="minorHAnsi" w:cs="Calibri"/>
          <w:b/>
          <w:sz w:val="22"/>
          <w:szCs w:val="22"/>
        </w:rPr>
      </w:pPr>
    </w:p>
    <w:p w:rsidR="006F1AEB" w:rsidRDefault="006F1AEB" w:rsidP="00FE560B">
      <w:pPr>
        <w:pStyle w:val="Corpodetexto"/>
        <w:tabs>
          <w:tab w:val="left" w:pos="0"/>
        </w:tabs>
        <w:spacing w:line="360" w:lineRule="auto"/>
        <w:rPr>
          <w:rFonts w:asciiTheme="minorHAnsi" w:hAnsiTheme="minorHAnsi" w:cs="Calibri"/>
          <w:b/>
          <w:sz w:val="22"/>
          <w:szCs w:val="22"/>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18" w:name="_Toc517282044"/>
      <w:bookmarkEnd w:id="14"/>
      <w:r w:rsidRPr="00DE2D55">
        <w:rPr>
          <w:rFonts w:cs="Calibri"/>
          <w:b/>
        </w:rPr>
        <w:t>ANTECEDENTES DO PRODUTO</w:t>
      </w:r>
      <w:bookmarkEnd w:id="18"/>
    </w:p>
    <w:p w:rsidR="00D15E3B" w:rsidRDefault="00D15E3B" w:rsidP="00FE560B">
      <w:pPr>
        <w:tabs>
          <w:tab w:val="left" w:pos="0"/>
        </w:tabs>
        <w:ind w:left="278"/>
        <w:jc w:val="both"/>
        <w:rPr>
          <w:spacing w:val="4"/>
        </w:rPr>
      </w:pPr>
      <w:r w:rsidRPr="00DE2D55">
        <w:rPr>
          <w:spacing w:val="4"/>
        </w:rPr>
        <w:t xml:space="preserve">No Estado do Espírito Santo, desde 2006, a partir do Plano de Desenvolvimento ES2025, e posteriormente ES2030, a gestão pública tem se preocupado em utilizar instrumentos capazes de melhorar seus resultados a partir de boas práticas na administração do Estado. </w:t>
      </w:r>
    </w:p>
    <w:p w:rsidR="006F1AEB" w:rsidRPr="00DE2D55" w:rsidRDefault="006F1AEB" w:rsidP="00FE560B">
      <w:pPr>
        <w:tabs>
          <w:tab w:val="left" w:pos="0"/>
        </w:tabs>
        <w:ind w:left="278"/>
        <w:jc w:val="both"/>
        <w:rPr>
          <w:spacing w:val="4"/>
        </w:rPr>
      </w:pPr>
    </w:p>
    <w:p w:rsidR="00D15E3B" w:rsidRDefault="00D15E3B" w:rsidP="00FE560B">
      <w:pPr>
        <w:tabs>
          <w:tab w:val="left" w:pos="0"/>
          <w:tab w:val="left" w:pos="426"/>
        </w:tabs>
        <w:ind w:left="278"/>
        <w:jc w:val="both"/>
        <w:rPr>
          <w:rFonts w:cs="Calibri"/>
        </w:rPr>
      </w:pPr>
      <w:r w:rsidRPr="00DE2D55">
        <w:rPr>
          <w:rFonts w:cs="Calibri"/>
        </w:rPr>
        <w:t xml:space="preserve">Em 2010, a SEFAZ implantou o Escritório de Projetos da TI, apesar de nunca ter sido instituído formalmente. Todavia, na ausência de um grupo centralizado de responsáveis por priorizar as necessidades, essas eram definidas pela capacidade da TI em desenvolver novos projetos e o poder do demandante em relação ao secretário da pasta. Vale ressaltar que a SEFAZ também não consta com uma metodologia clara de gestão de risco, o que impossibilita que a priorização dos projetos ocorra de forma objetiva a atender os interesses da SEFAZ. </w:t>
      </w:r>
    </w:p>
    <w:p w:rsidR="006F1AEB" w:rsidRPr="00DE2D55" w:rsidRDefault="006F1AEB" w:rsidP="00FE560B">
      <w:pPr>
        <w:tabs>
          <w:tab w:val="left" w:pos="0"/>
          <w:tab w:val="left" w:pos="426"/>
        </w:tabs>
        <w:ind w:left="278"/>
        <w:jc w:val="both"/>
        <w:rPr>
          <w:rFonts w:cs="Calibri"/>
        </w:rPr>
      </w:pPr>
    </w:p>
    <w:p w:rsidR="00D15E3B" w:rsidRDefault="00D15E3B" w:rsidP="00FE560B">
      <w:pPr>
        <w:tabs>
          <w:tab w:val="left" w:pos="0"/>
          <w:tab w:val="left" w:pos="426"/>
        </w:tabs>
        <w:ind w:left="278"/>
        <w:jc w:val="both"/>
        <w:rPr>
          <w:rFonts w:cs="Calibri"/>
        </w:rPr>
      </w:pPr>
      <w:r w:rsidRPr="00DE2D55">
        <w:rPr>
          <w:rFonts w:cs="Calibri"/>
        </w:rPr>
        <w:t>Ainda em 2010, com a assinatura do contrato de empréstimo do PROFISCO, foi proposto a implantação do Escritório de Projetos que de fato não aconteceu. As consequências observadas foi que apesar do contrato de empréstimo ter sido prorrogado, não foi possível utilizar o recurso na integra e os resultados do programa atingiu cerca de 50% das metas planejadas.</w:t>
      </w:r>
    </w:p>
    <w:p w:rsidR="006F1AEB" w:rsidRPr="00DE2D55" w:rsidRDefault="006F1AEB" w:rsidP="00FE560B">
      <w:pPr>
        <w:tabs>
          <w:tab w:val="left" w:pos="0"/>
          <w:tab w:val="left" w:pos="426"/>
        </w:tabs>
        <w:ind w:left="278"/>
        <w:jc w:val="both"/>
        <w:rPr>
          <w:rFonts w:cs="Calibri"/>
        </w:rPr>
      </w:pPr>
    </w:p>
    <w:p w:rsidR="00D15E3B" w:rsidRDefault="00D15E3B" w:rsidP="00FE560B">
      <w:pPr>
        <w:shd w:val="clear" w:color="auto" w:fill="FFFFFF"/>
        <w:tabs>
          <w:tab w:val="left" w:pos="0"/>
        </w:tabs>
        <w:ind w:left="278"/>
        <w:jc w:val="both"/>
        <w:rPr>
          <w:rFonts w:cs="Calibri"/>
        </w:rPr>
      </w:pPr>
      <w:r w:rsidRPr="00DE2D55">
        <w:rPr>
          <w:rFonts w:cs="Calibri"/>
        </w:rPr>
        <w:t xml:space="preserve">A gestão por processos foi o caminho definido pela SEFAZ-ES, </w:t>
      </w:r>
      <w:r w:rsidRPr="00DE2D55">
        <w:rPr>
          <w:spacing w:val="4"/>
        </w:rPr>
        <w:t xml:space="preserve">conforme Portaria nº 57-S/2011, </w:t>
      </w:r>
      <w:r w:rsidRPr="00DE2D55">
        <w:rPr>
          <w:rFonts w:cs="Calibri"/>
        </w:rPr>
        <w:t>para que, a partir de uma metodologia consistente e por meio da mobilização de seus servidores, fossem aprimoradas e desenvolvidas novas formas de trabalho para modelagem, análise, melhoria e implantação de novos processos de trabalho, com ênfase no aproveitamento das boas práticas existentes e aporte de conhecimentos novos para criação de processos, com vistas à modernização de sua gestão.</w:t>
      </w:r>
    </w:p>
    <w:p w:rsidR="006F1AEB" w:rsidRPr="00DE2D55" w:rsidRDefault="006F1AEB" w:rsidP="00FE560B">
      <w:pPr>
        <w:shd w:val="clear" w:color="auto" w:fill="FFFFFF"/>
        <w:tabs>
          <w:tab w:val="left" w:pos="0"/>
        </w:tabs>
        <w:ind w:left="278"/>
        <w:jc w:val="both"/>
        <w:rPr>
          <w:rFonts w:cs="Calibri"/>
        </w:rPr>
      </w:pPr>
    </w:p>
    <w:p w:rsidR="00D15E3B" w:rsidRDefault="00D15E3B" w:rsidP="00FE560B">
      <w:pPr>
        <w:tabs>
          <w:tab w:val="left" w:pos="0"/>
        </w:tabs>
        <w:ind w:left="278"/>
        <w:jc w:val="both"/>
        <w:rPr>
          <w:spacing w:val="4"/>
        </w:rPr>
      </w:pPr>
      <w:r w:rsidRPr="00DE2D55">
        <w:rPr>
          <w:spacing w:val="4"/>
        </w:rPr>
        <w:t xml:space="preserve">Em 2015, com publicação do Decreto Nº 3756-R, que dispõe sobre a Política de Gestão Pública do Estado, no âmbito do Poder Executivo, foram estabelecidas as seguintes diretrizes a serem implementadas pelos gestores: gestão direcionada à produção de resultados para a sociedade; modernização de processos e de procedimentos; incentivo e fomento à inovação na gestão; racionalização de gastos; transparência e desburocratização. </w:t>
      </w:r>
    </w:p>
    <w:p w:rsidR="006F1AEB" w:rsidRPr="00DE2D55" w:rsidRDefault="006F1AEB" w:rsidP="00FE560B">
      <w:pPr>
        <w:tabs>
          <w:tab w:val="left" w:pos="0"/>
        </w:tabs>
        <w:ind w:left="278"/>
        <w:jc w:val="both"/>
        <w:rPr>
          <w:spacing w:val="4"/>
        </w:rPr>
      </w:pPr>
    </w:p>
    <w:p w:rsidR="00D15E3B" w:rsidRPr="00DE2D55" w:rsidRDefault="00D15E3B" w:rsidP="00FE560B">
      <w:pPr>
        <w:tabs>
          <w:tab w:val="left" w:pos="0"/>
        </w:tabs>
        <w:ind w:left="278"/>
        <w:jc w:val="both"/>
        <w:rPr>
          <w:spacing w:val="4"/>
        </w:rPr>
      </w:pPr>
      <w:r w:rsidRPr="00DE2D55">
        <w:rPr>
          <w:spacing w:val="4"/>
        </w:rPr>
        <w:t>Diante do exposto, a Secretaria da Fazenda vem trabalhando com o propósito de aumentar sua eficiência, aperfeiçoando seus processos de trabalho e a prestação dos serviços para aprimorar o atendimento à sociedade capixaba.</w:t>
      </w:r>
    </w:p>
    <w:p w:rsidR="00D15E3B" w:rsidRPr="00DE2D55" w:rsidRDefault="00D15E3B" w:rsidP="00FE560B">
      <w:pPr>
        <w:tabs>
          <w:tab w:val="left" w:pos="0"/>
        </w:tabs>
        <w:ind w:left="709"/>
        <w:jc w:val="both"/>
        <w:rPr>
          <w:spacing w:val="4"/>
        </w:rPr>
      </w:pPr>
    </w:p>
    <w:p w:rsidR="00D15E3B" w:rsidRDefault="00D15E3B" w:rsidP="00FE560B">
      <w:pPr>
        <w:tabs>
          <w:tab w:val="left" w:pos="0"/>
        </w:tabs>
        <w:ind w:left="278"/>
        <w:jc w:val="both"/>
        <w:rPr>
          <w:spacing w:val="4"/>
        </w:rPr>
      </w:pPr>
      <w:r w:rsidRPr="00DE2D55">
        <w:rPr>
          <w:spacing w:val="4"/>
        </w:rPr>
        <w:t xml:space="preserve">Preocupada com esse novo modelo de gestão, em 2017, a SEFAZ-ES, com a Consultoria da MBS, contratada com recursos do BID, implementou o Redesenho de Processos. Na fase de mapeamento, 65 processos foram priorizados e mapeados. Na fase de redesenho, 176 processos foram identificados e 76 foram mapeados. Desse trabalho, foram relacionadas 308 inovações. </w:t>
      </w:r>
    </w:p>
    <w:p w:rsidR="006F1AEB" w:rsidRPr="00DE2D55" w:rsidRDefault="006F1AEB" w:rsidP="00FE560B">
      <w:pPr>
        <w:tabs>
          <w:tab w:val="left" w:pos="0"/>
        </w:tabs>
        <w:ind w:left="278"/>
        <w:jc w:val="both"/>
        <w:rPr>
          <w:spacing w:val="4"/>
        </w:rPr>
      </w:pPr>
    </w:p>
    <w:p w:rsidR="00D15E3B" w:rsidRDefault="00D15E3B" w:rsidP="00FE560B">
      <w:pPr>
        <w:tabs>
          <w:tab w:val="left" w:pos="0"/>
        </w:tabs>
        <w:ind w:left="278"/>
        <w:jc w:val="both"/>
        <w:rPr>
          <w:spacing w:val="4"/>
        </w:rPr>
      </w:pPr>
      <w:r w:rsidRPr="00DE2D55">
        <w:rPr>
          <w:spacing w:val="4"/>
        </w:rPr>
        <w:t>Ao final de 2017, por meio da Portaria nº 24-R, foi criado o Comitê Executivo de Gestão Estratégica – composto pelo Secretário – Subsecretários – GETEC – GEDEF – UCP, com a finalidade de coordenar os processos de alinhamento institucional, envolvendo o planejamento estratégico, o planejamento da Tecnologia da Informação e a gestão de programas e projetos de modernização, com vistas à análise, validações e decisões das principais ações e inovações propostas pelas diversas unidades organizacionais da Secretaria de Estado da Fazenda.</w:t>
      </w:r>
    </w:p>
    <w:p w:rsidR="006F1AEB" w:rsidRPr="00DE2D55" w:rsidRDefault="006F1AEB" w:rsidP="00FE560B">
      <w:pPr>
        <w:tabs>
          <w:tab w:val="left" w:pos="0"/>
        </w:tabs>
        <w:ind w:left="278"/>
        <w:jc w:val="both"/>
        <w:rPr>
          <w:spacing w:val="4"/>
        </w:rPr>
      </w:pPr>
    </w:p>
    <w:p w:rsidR="00D15E3B" w:rsidRDefault="00D15E3B" w:rsidP="00FE560B">
      <w:pPr>
        <w:tabs>
          <w:tab w:val="left" w:pos="0"/>
        </w:tabs>
        <w:ind w:left="278"/>
        <w:jc w:val="both"/>
        <w:rPr>
          <w:spacing w:val="4"/>
        </w:rPr>
      </w:pPr>
      <w:r w:rsidRPr="00DE2D55">
        <w:rPr>
          <w:spacing w:val="4"/>
        </w:rPr>
        <w:t>Logo em seguida, por meio da Portaria nº 24-R, foi instituído o Escritório Local de Processos (ELP), no âmbito da Secretaria de Estado da Fazenda - SEFAZ, com a finalidade de facilitar a elaboração, execução e controle dos processos organizacionais, disseminando a cultura de gerenciamento por processos no âmbito da organização.</w:t>
      </w:r>
    </w:p>
    <w:p w:rsidR="006F1AEB" w:rsidRPr="00DE2D55" w:rsidRDefault="006F1AEB" w:rsidP="00FE560B">
      <w:pPr>
        <w:tabs>
          <w:tab w:val="left" w:pos="0"/>
        </w:tabs>
        <w:ind w:left="278"/>
        <w:jc w:val="both"/>
        <w:rPr>
          <w:spacing w:val="4"/>
        </w:rPr>
      </w:pPr>
    </w:p>
    <w:p w:rsidR="00D15E3B" w:rsidRPr="00DE2D55" w:rsidRDefault="00D15E3B" w:rsidP="00FE560B">
      <w:pPr>
        <w:tabs>
          <w:tab w:val="left" w:pos="0"/>
        </w:tabs>
        <w:ind w:left="278"/>
        <w:jc w:val="both"/>
        <w:rPr>
          <w:spacing w:val="4"/>
        </w:rPr>
      </w:pPr>
      <w:r w:rsidRPr="00DE2D55">
        <w:rPr>
          <w:spacing w:val="4"/>
        </w:rPr>
        <w:t>Nesse contexto, a meta e o alcance pretendidos com os investimentos propostos na área de planejamento estratégico, gestão de projetos e processos no âmbito da instituição fazendária é a condução de suas ações de forma coordenada e a adoção de melhores práticas no acompanhamento e avaliação do desempenho de suas unidades, a fim de contribuir decisivamente para o Plano de Desenvolvimento do Estado.</w:t>
      </w:r>
    </w:p>
    <w:p w:rsidR="006F1AEB" w:rsidRPr="00DE2D55" w:rsidRDefault="006F1AEB" w:rsidP="00FE560B">
      <w:pPr>
        <w:tabs>
          <w:tab w:val="left" w:pos="0"/>
        </w:tabs>
        <w:jc w:val="both"/>
        <w:rPr>
          <w:rFonts w:cs="Calibri"/>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19" w:name="_Toc517282045"/>
      <w:r w:rsidRPr="00DE2D55">
        <w:rPr>
          <w:rFonts w:cs="Calibri"/>
          <w:b/>
        </w:rPr>
        <w:t>DESCRIÇÃO DO PROBLEMA</w:t>
      </w:r>
      <w:bookmarkEnd w:id="19"/>
    </w:p>
    <w:p w:rsidR="00FE560B" w:rsidRDefault="00FE560B" w:rsidP="00FE560B">
      <w:pPr>
        <w:tabs>
          <w:tab w:val="left" w:pos="0"/>
        </w:tabs>
        <w:jc w:val="both"/>
        <w:rPr>
          <w:rFonts w:cs="Calibri"/>
          <w:b/>
        </w:rPr>
      </w:pPr>
    </w:p>
    <w:p w:rsidR="00D15E3B" w:rsidRPr="00DE2D55" w:rsidRDefault="006F1AEB" w:rsidP="00FE560B">
      <w:pPr>
        <w:tabs>
          <w:tab w:val="left" w:pos="0"/>
        </w:tabs>
        <w:jc w:val="both"/>
        <w:rPr>
          <w:rFonts w:cs="Calibri"/>
        </w:rPr>
      </w:pPr>
      <w:r>
        <w:rPr>
          <w:rFonts w:cs="Calibri"/>
          <w:b/>
        </w:rPr>
        <w:t>1.</w:t>
      </w:r>
      <w:r w:rsidR="00D15E3B" w:rsidRPr="00DE2D55">
        <w:rPr>
          <w:rFonts w:cs="Calibri"/>
          <w:b/>
        </w:rPr>
        <w:t>2.1 – Síntese do Problema</w:t>
      </w:r>
      <w:r w:rsidR="00D15E3B" w:rsidRPr="00DE2D55">
        <w:rPr>
          <w:rFonts w:cs="Calibri"/>
        </w:rPr>
        <w:t xml:space="preserve"> </w:t>
      </w:r>
    </w:p>
    <w:p w:rsidR="00D15E3B" w:rsidRPr="00DE2D55" w:rsidRDefault="00D15E3B" w:rsidP="00FE560B">
      <w:pPr>
        <w:pBdr>
          <w:top w:val="dotted" w:sz="4" w:space="1" w:color="auto"/>
          <w:left w:val="dotted" w:sz="4" w:space="4" w:color="auto"/>
          <w:bottom w:val="dotted" w:sz="4" w:space="1" w:color="auto"/>
          <w:right w:val="dotted" w:sz="4" w:space="4" w:color="auto"/>
        </w:pBdr>
        <w:shd w:val="clear" w:color="auto" w:fill="C5E0B3"/>
        <w:tabs>
          <w:tab w:val="left" w:pos="0"/>
        </w:tabs>
        <w:ind w:left="709"/>
        <w:jc w:val="both"/>
        <w:rPr>
          <w:rFonts w:cs="Calibri"/>
          <w:noProof/>
        </w:rPr>
      </w:pPr>
      <w:r w:rsidRPr="00DE2D55">
        <w:rPr>
          <w:rFonts w:cs="Calibri"/>
          <w:noProof/>
        </w:rPr>
        <w:t>O processo decisório da SEFAZ não está baseado num planejamento estratégico com metas e indicadores para avaliação.</w:t>
      </w:r>
    </w:p>
    <w:p w:rsidR="00D15E3B" w:rsidRPr="00DE2D55" w:rsidRDefault="00D15E3B" w:rsidP="00FE560B">
      <w:pPr>
        <w:pStyle w:val="PargrafodaLista"/>
        <w:tabs>
          <w:tab w:val="left" w:pos="0"/>
        </w:tabs>
        <w:ind w:left="225"/>
        <w:jc w:val="both"/>
        <w:rPr>
          <w:noProof/>
        </w:rPr>
      </w:pPr>
    </w:p>
    <w:p w:rsidR="00D15E3B" w:rsidRPr="00DE2D55" w:rsidRDefault="006F1AEB" w:rsidP="00FE560B">
      <w:pPr>
        <w:tabs>
          <w:tab w:val="left" w:pos="0"/>
        </w:tabs>
        <w:jc w:val="both"/>
        <w:rPr>
          <w:rFonts w:cs="Calibri"/>
          <w:b/>
        </w:rPr>
      </w:pPr>
      <w:r>
        <w:rPr>
          <w:rFonts w:cs="Calibri"/>
          <w:b/>
        </w:rPr>
        <w:t>1.</w:t>
      </w:r>
      <w:r w:rsidR="00D15E3B" w:rsidRPr="00DE2D55">
        <w:rPr>
          <w:rFonts w:cs="Calibri"/>
          <w:b/>
        </w:rPr>
        <w:t>2.2 – Principais causas</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As políticas e diretrizes para a gestão fiscal (áreas tributária e financeira) não são definidas de forma integrada e suas ferramentas de planejamento e avaliação de resultado são deficientes.</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Esforços alocados em ações tempestivas que acabam não sendo finalizadas devido ao surgimento de novas prioridades, originando custos mais elevados que o necessário;</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Falta de integração entre as áreas;</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Falta de qualificação para definição e uso de metodologias para elaboração, implantação e acompanhamento do planejamento estratégico;</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Ausência</w:t>
      </w:r>
      <w:r w:rsidRPr="00DE2D55">
        <w:rPr>
          <w:rFonts w:asciiTheme="minorHAnsi" w:hAnsiTheme="minorHAnsi" w:cs="Calibri"/>
          <w:i/>
          <w:noProof/>
          <w:sz w:val="22"/>
          <w:szCs w:val="22"/>
        </w:rPr>
        <w:t xml:space="preserve"> </w:t>
      </w:r>
      <w:r w:rsidRPr="00DE2D55">
        <w:rPr>
          <w:rFonts w:asciiTheme="minorHAnsi" w:hAnsiTheme="minorHAnsi" w:cs="Calibri"/>
          <w:noProof/>
          <w:sz w:val="22"/>
          <w:szCs w:val="22"/>
        </w:rPr>
        <w:t xml:space="preserve">de metodologia que mescle ferramenta de gerenciamento dos processos de negócios da SEFAZ, incluindo a capacidade de acompanhar, medir o desempenho, mensurar indicadores e realizar automatização. </w:t>
      </w:r>
    </w:p>
    <w:p w:rsidR="00D15E3B" w:rsidRPr="00DE2D55" w:rsidRDefault="00D15E3B" w:rsidP="00FE560B">
      <w:pPr>
        <w:pStyle w:val="Corpodetexto"/>
        <w:numPr>
          <w:ilvl w:val="0"/>
          <w:numId w:val="5"/>
        </w:numPr>
        <w:tabs>
          <w:tab w:val="left" w:pos="0"/>
        </w:tabs>
        <w:spacing w:line="360" w:lineRule="auto"/>
        <w:rPr>
          <w:rFonts w:asciiTheme="minorHAnsi" w:hAnsiTheme="minorHAnsi" w:cs="Calibri"/>
          <w:noProof/>
          <w:sz w:val="22"/>
          <w:szCs w:val="22"/>
        </w:rPr>
      </w:pPr>
      <w:r w:rsidRPr="00DE2D55">
        <w:rPr>
          <w:rFonts w:asciiTheme="minorHAnsi" w:hAnsiTheme="minorHAnsi" w:cs="Calibri"/>
          <w:noProof/>
          <w:sz w:val="22"/>
          <w:szCs w:val="22"/>
        </w:rPr>
        <w:t xml:space="preserve">Dificuldade em identificar áreas que exijam maior atenção, tendo em vista os resultados necessários e esperados pelo Governo, contribuintes e sociedade; </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A gestão de projetos está dispersa em várias áreas da SEFAZ e suas ferramentas de gestão não atendem aos requerimentos da SEFAZ.</w:t>
      </w:r>
    </w:p>
    <w:p w:rsidR="00D15E3B" w:rsidRPr="00DE2D55" w:rsidRDefault="00D15E3B" w:rsidP="00FE560B">
      <w:pPr>
        <w:pStyle w:val="PargrafodaLista"/>
        <w:numPr>
          <w:ilvl w:val="0"/>
          <w:numId w:val="5"/>
        </w:numPr>
        <w:tabs>
          <w:tab w:val="left" w:pos="0"/>
        </w:tabs>
        <w:contextualSpacing w:val="0"/>
        <w:jc w:val="both"/>
        <w:rPr>
          <w:rFonts w:cs="Calibri"/>
          <w:b/>
        </w:rPr>
      </w:pPr>
      <w:r w:rsidRPr="00DE2D55">
        <w:rPr>
          <w:rFonts w:cs="Calibri"/>
        </w:rPr>
        <w:t>Falta de instrumentos para incentivar os líderes de projetos;</w:t>
      </w:r>
    </w:p>
    <w:p w:rsidR="00D15E3B" w:rsidRPr="00DE2D55" w:rsidRDefault="00D15E3B" w:rsidP="00FE560B">
      <w:pPr>
        <w:pStyle w:val="PargrafodaLista"/>
        <w:numPr>
          <w:ilvl w:val="0"/>
          <w:numId w:val="5"/>
        </w:numPr>
        <w:tabs>
          <w:tab w:val="left" w:pos="0"/>
        </w:tabs>
        <w:contextualSpacing w:val="0"/>
        <w:jc w:val="both"/>
        <w:rPr>
          <w:rFonts w:cs="Calibri"/>
          <w:b/>
        </w:rPr>
      </w:pPr>
      <w:r w:rsidRPr="00DE2D55">
        <w:rPr>
          <w:rFonts w:cs="Calibri"/>
        </w:rPr>
        <w:t>Falta de capacitação em gestão de projetos;</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p>
    <w:p w:rsidR="00D15E3B" w:rsidRPr="00DE2D55" w:rsidRDefault="006F1AEB" w:rsidP="00FE560B">
      <w:pPr>
        <w:tabs>
          <w:tab w:val="left" w:pos="0"/>
        </w:tabs>
        <w:jc w:val="both"/>
        <w:rPr>
          <w:rFonts w:cs="Calibri"/>
          <w:b/>
        </w:rPr>
      </w:pPr>
      <w:r>
        <w:rPr>
          <w:rFonts w:cs="Calibri"/>
          <w:b/>
        </w:rPr>
        <w:t>1.</w:t>
      </w:r>
      <w:r w:rsidR="00D15E3B" w:rsidRPr="00DE2D55">
        <w:rPr>
          <w:rFonts w:cs="Calibri"/>
          <w:b/>
        </w:rPr>
        <w:t xml:space="preserve">2.3 – Evidências/Magnitudes </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Existem 42 áreas prioritárias de SEFAZ que não contam com mapeamento e indicadores de medição de desempenho.</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Nenhum dos 32 projetos da SEFAZ está estruturado de acordo com a melhores práticas em gestão de projeto.</w:t>
      </w:r>
    </w:p>
    <w:p w:rsidR="00D15E3B" w:rsidRPr="00DE2D55" w:rsidRDefault="00D15E3B" w:rsidP="00FE560B">
      <w:pPr>
        <w:pStyle w:val="Corpodetexto"/>
        <w:numPr>
          <w:ilvl w:val="0"/>
          <w:numId w:val="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Nos últimos 5 anos a SEFAZ não realizou nenhuma capacitação na área de planejamento estratégico.</w:t>
      </w:r>
    </w:p>
    <w:p w:rsidR="00D15E3B" w:rsidRPr="00DE2D55" w:rsidRDefault="00D15E3B" w:rsidP="00FE560B">
      <w:pPr>
        <w:pStyle w:val="PargrafodaLista"/>
        <w:numPr>
          <w:ilvl w:val="0"/>
          <w:numId w:val="5"/>
        </w:numPr>
        <w:tabs>
          <w:tab w:val="left" w:pos="0"/>
        </w:tabs>
        <w:contextualSpacing w:val="0"/>
        <w:jc w:val="both"/>
        <w:rPr>
          <w:rFonts w:cs="Calibri"/>
          <w:b/>
        </w:rPr>
      </w:pPr>
      <w:r w:rsidRPr="00DE2D55">
        <w:rPr>
          <w:rFonts w:cs="Calibri"/>
        </w:rPr>
        <w:t>Os 10 últimos projetos financiados pelo PROFISCO que utilizaram a modalidade de contratação de pregão eletrônico levaram em média 513 dias entre a autuação do projeto e a homologação do secretário;</w:t>
      </w:r>
    </w:p>
    <w:p w:rsidR="00D15E3B" w:rsidRPr="00DE2D55" w:rsidRDefault="00D15E3B" w:rsidP="00FE560B">
      <w:pPr>
        <w:pStyle w:val="PargrafodaLista"/>
        <w:numPr>
          <w:ilvl w:val="0"/>
          <w:numId w:val="5"/>
        </w:numPr>
        <w:tabs>
          <w:tab w:val="left" w:pos="0"/>
        </w:tabs>
        <w:contextualSpacing w:val="0"/>
        <w:jc w:val="both"/>
        <w:rPr>
          <w:rFonts w:cs="Calibri"/>
          <w:b/>
        </w:rPr>
      </w:pPr>
      <w:r w:rsidRPr="00DE2D55">
        <w:rPr>
          <w:rFonts w:cs="Calibri"/>
        </w:rPr>
        <w:t>Os documentos de auditória realizado pelo TCE em relação ao PROFISCO detectaram ausência de matriz de risco.</w:t>
      </w:r>
    </w:p>
    <w:p w:rsidR="00D15E3B" w:rsidRPr="006F1AEB" w:rsidRDefault="00D15E3B" w:rsidP="00FE560B">
      <w:pPr>
        <w:pStyle w:val="PargrafodaLista"/>
        <w:tabs>
          <w:tab w:val="left" w:pos="0"/>
        </w:tabs>
        <w:ind w:left="1800"/>
        <w:jc w:val="both"/>
        <w:rPr>
          <w:rFonts w:cs="Calibri"/>
          <w:b/>
        </w:rPr>
      </w:pPr>
      <w:r w:rsidRPr="00DE2D55">
        <w:rPr>
          <w:color w:val="000000"/>
        </w:rPr>
        <w:t>(</w:t>
      </w:r>
      <w:r w:rsidRPr="00DE2D55">
        <w:rPr>
          <w:rFonts w:cs="Calibri"/>
        </w:rPr>
        <w:t>Relatório de Auditoria 00017/2017-1) A avaliação de controles internos realizada nos permite dizer que a UCP PROFAZ e a Sefaz não utilizam modelo de avaliação de risco com base na probabilidade de incidência e no impacto nos objetivos e metas dos seus processos, de forma que não há uma matriz de riscos utilizada como instrumento de acompanhamento e monitoramento de processos.</w:t>
      </w:r>
    </w:p>
    <w:p w:rsidR="00D15E3B" w:rsidRPr="00DE2D55" w:rsidRDefault="00D15E3B" w:rsidP="00FE560B">
      <w:pPr>
        <w:pStyle w:val="Corpodetexto"/>
        <w:tabs>
          <w:tab w:val="left" w:pos="0"/>
        </w:tabs>
        <w:spacing w:line="360" w:lineRule="auto"/>
        <w:ind w:left="709"/>
        <w:rPr>
          <w:rFonts w:asciiTheme="minorHAnsi" w:hAnsiTheme="minorHAnsi" w:cs="Calibri"/>
          <w:sz w:val="22"/>
          <w:szCs w:val="22"/>
        </w:rPr>
      </w:pPr>
    </w:p>
    <w:p w:rsidR="00D15E3B" w:rsidRPr="00DE2D55" w:rsidRDefault="00D15E3B" w:rsidP="00FE560B">
      <w:pPr>
        <w:pStyle w:val="Corpodetexto"/>
        <w:tabs>
          <w:tab w:val="left" w:pos="0"/>
        </w:tabs>
        <w:spacing w:line="360" w:lineRule="auto"/>
        <w:ind w:left="-71"/>
        <w:rPr>
          <w:rFonts w:asciiTheme="minorHAnsi" w:hAnsiTheme="minorHAnsi" w:cs="Calibri"/>
          <w:sz w:val="22"/>
          <w:szCs w:val="22"/>
        </w:rPr>
      </w:pPr>
      <w:r w:rsidRPr="00DE2D55">
        <w:rPr>
          <w:rFonts w:asciiTheme="minorHAnsi" w:hAnsiTheme="minorHAnsi" w:cs="Calibri"/>
          <w:sz w:val="22"/>
          <w:szCs w:val="22"/>
        </w:rPr>
        <w:t xml:space="preserve">Tais evidências podem ser exemplificadas por duas situações que ocorrem na SEFAZ. A primeira se refere ao fato de existir na instituição dois grandes sistemas, que não estão integrados: o Sistema de Informações Tributárias – SIT, cujo objetivo é gerenciar todas as informações relacionadas à arrecadação estadual, e outro sistema, o </w:t>
      </w:r>
      <w:r w:rsidRPr="00DE2D55">
        <w:rPr>
          <w:rFonts w:asciiTheme="minorHAnsi" w:hAnsiTheme="minorHAnsi"/>
          <w:color w:val="000000"/>
          <w:sz w:val="22"/>
          <w:szCs w:val="22"/>
        </w:rPr>
        <w:t xml:space="preserve">Sistema Integrado de Gestão das Finanças Públicas do Espírito Santo – </w:t>
      </w:r>
      <w:r w:rsidRPr="00DE2D55">
        <w:rPr>
          <w:rFonts w:asciiTheme="minorHAnsi" w:hAnsiTheme="minorHAnsi" w:cs="Calibri"/>
          <w:sz w:val="22"/>
          <w:szCs w:val="22"/>
        </w:rPr>
        <w:t xml:space="preserve">SIGEFES, cujo objetivo é o gerenciamento dos recursos orçamentários, financeiros e contábeis do Estado. </w:t>
      </w:r>
    </w:p>
    <w:p w:rsidR="00D15E3B" w:rsidRDefault="00D15E3B" w:rsidP="00FE560B">
      <w:pPr>
        <w:pStyle w:val="Corpodetexto"/>
        <w:tabs>
          <w:tab w:val="left" w:pos="0"/>
        </w:tabs>
        <w:spacing w:line="360" w:lineRule="auto"/>
        <w:ind w:left="-71"/>
        <w:rPr>
          <w:rFonts w:asciiTheme="minorHAnsi" w:hAnsiTheme="minorHAnsi" w:cs="Calibri"/>
          <w:sz w:val="22"/>
          <w:szCs w:val="22"/>
        </w:rPr>
      </w:pPr>
      <w:r w:rsidRPr="00DE2D55">
        <w:rPr>
          <w:rFonts w:asciiTheme="minorHAnsi" w:hAnsiTheme="minorHAnsi" w:cs="Calibri"/>
          <w:sz w:val="22"/>
          <w:szCs w:val="22"/>
        </w:rPr>
        <w:t xml:space="preserve">A segunda situação se materializa com o diagnóstico realizado em 2017 pela consultoria responsável pelo projeto de Redesenho dos Processos Organizacionais da SEFAZ que, no Relatório Técnico 1 (RT1) - a partir do item 8.4, destacam os diversos pontos de atenção e necessidades de melhorias, com relação à Avaliação da Estratégia, como por exemplo: ausência de um plano estruturado de planejamento estratégico, ausência de métricas, indicadores devidamente formalizados e gerenciados. Sistemas de informação independentes, com carências nítidas de integração com outros processos e sistemas e, eventualmente, até com informações inconsistentes. </w:t>
      </w:r>
    </w:p>
    <w:p w:rsidR="006F1AEB" w:rsidRPr="00DE2D55" w:rsidRDefault="006F1AEB" w:rsidP="00FE560B">
      <w:pPr>
        <w:pStyle w:val="Corpodetexto"/>
        <w:tabs>
          <w:tab w:val="left" w:pos="0"/>
        </w:tabs>
        <w:spacing w:line="360" w:lineRule="auto"/>
        <w:ind w:left="-71"/>
        <w:rPr>
          <w:rFonts w:asciiTheme="minorHAnsi" w:hAnsiTheme="minorHAnsi" w:cs="Calibri"/>
          <w:sz w:val="22"/>
          <w:szCs w:val="22"/>
        </w:rPr>
      </w:pPr>
    </w:p>
    <w:p w:rsidR="00D15E3B" w:rsidRPr="00DE2D55" w:rsidRDefault="00555E76"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0" w:name="_Toc517282046"/>
      <w:r>
        <w:rPr>
          <w:rFonts w:cs="Calibri"/>
          <w:b/>
        </w:rPr>
        <w:t>DESCRIÇÃO DO PRODUTO</w:t>
      </w:r>
      <w:r w:rsidR="00D15E3B" w:rsidRPr="00DE2D55">
        <w:rPr>
          <w:rFonts w:cs="Calibri"/>
          <w:b/>
        </w:rPr>
        <w:t xml:space="preserve"> E SUA META QUANTITATIVA</w:t>
      </w:r>
      <w:bookmarkEnd w:id="20"/>
    </w:p>
    <w:p w:rsidR="00D15E3B" w:rsidRPr="00DE2D55" w:rsidRDefault="006F1AEB" w:rsidP="00FE560B">
      <w:pPr>
        <w:pStyle w:val="PargrafodaLista"/>
        <w:tabs>
          <w:tab w:val="left" w:pos="0"/>
        </w:tabs>
        <w:ind w:left="0"/>
        <w:jc w:val="both"/>
        <w:rPr>
          <w:rFonts w:cs="Calibri"/>
          <w:b/>
          <w:bCs/>
        </w:rPr>
      </w:pPr>
      <w:r>
        <w:rPr>
          <w:rFonts w:cs="Calibri"/>
          <w:b/>
          <w:bCs/>
        </w:rPr>
        <w:t>1.</w:t>
      </w:r>
      <w:r w:rsidR="00D15E3B" w:rsidRPr="00DE2D55">
        <w:rPr>
          <w:rFonts w:cs="Calibri"/>
          <w:b/>
          <w:bCs/>
        </w:rPr>
        <w:t>3.1 - Subprodutos</w:t>
      </w:r>
    </w:p>
    <w:p w:rsidR="00D15E3B" w:rsidRPr="00DE2D55" w:rsidRDefault="006F1AEB" w:rsidP="00FE560B">
      <w:pPr>
        <w:pStyle w:val="PargrafodaLista"/>
        <w:tabs>
          <w:tab w:val="left" w:pos="0"/>
        </w:tabs>
        <w:ind w:left="0"/>
        <w:jc w:val="both"/>
        <w:rPr>
          <w:rFonts w:cs="Calibri"/>
          <w:b/>
          <w:bCs/>
        </w:rPr>
      </w:pPr>
      <w:r>
        <w:rPr>
          <w:rFonts w:cs="Calibri"/>
          <w:b/>
          <w:bCs/>
        </w:rPr>
        <w:t>1.3.1</w:t>
      </w:r>
      <w:r w:rsidR="00D15E3B" w:rsidRPr="00DE2D55">
        <w:rPr>
          <w:rFonts w:cs="Calibri"/>
          <w:b/>
          <w:bCs/>
        </w:rPr>
        <w:t>.1 - Planejamento estratégico da SEFAZ implantado</w:t>
      </w:r>
    </w:p>
    <w:p w:rsidR="00D15E3B" w:rsidRPr="00DE2D55" w:rsidRDefault="00D15E3B" w:rsidP="00FE560B">
      <w:pPr>
        <w:pStyle w:val="PargrafodaLista"/>
        <w:tabs>
          <w:tab w:val="left" w:pos="0"/>
        </w:tabs>
        <w:ind w:left="0"/>
        <w:jc w:val="both"/>
        <w:rPr>
          <w:rFonts w:cs="Calibri"/>
          <w:b/>
          <w:bCs/>
        </w:rPr>
      </w:pPr>
      <w:r w:rsidRPr="00DE2D55">
        <w:rPr>
          <w:rFonts w:cs="Calibri"/>
          <w:b/>
          <w:bCs/>
        </w:rPr>
        <w:t>i) Planejamento estratégico</w:t>
      </w:r>
    </w:p>
    <w:p w:rsidR="00D15E3B" w:rsidRPr="00DE2D55" w:rsidRDefault="00D15E3B" w:rsidP="00FE560B">
      <w:pPr>
        <w:pStyle w:val="PargrafodaLista"/>
        <w:numPr>
          <w:ilvl w:val="0"/>
          <w:numId w:val="17"/>
        </w:numPr>
        <w:tabs>
          <w:tab w:val="left" w:pos="0"/>
        </w:tabs>
        <w:autoSpaceDE w:val="0"/>
        <w:autoSpaceDN w:val="0"/>
        <w:adjustRightInd w:val="0"/>
        <w:jc w:val="both"/>
        <w:rPr>
          <w:rFonts w:cs="Calibri"/>
        </w:rPr>
      </w:pPr>
      <w:r w:rsidRPr="00DE2D55">
        <w:rPr>
          <w:rFonts w:cs="Calibri"/>
        </w:rPr>
        <w:t>Etapa I: Atividades Preparatórias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Essa etapa tem como objetivo preparar as equipes técnicas diretamente envolvidas, para o início das atividades, além de conscientizar os gestores e demais servidores da SEFAZ-ES sobre os trabalhos a serem desenvolvidos e a importância do Planejamento Estratégico para a instituição.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b/>
          <w:sz w:val="22"/>
          <w:szCs w:val="22"/>
        </w:rPr>
        <w:t>Produto 1:</w:t>
      </w:r>
      <w:r w:rsidRPr="00DE2D55">
        <w:rPr>
          <w:rFonts w:asciiTheme="minorHAnsi" w:hAnsiTheme="minorHAnsi" w:cs="Calibri"/>
          <w:sz w:val="22"/>
          <w:szCs w:val="22"/>
        </w:rPr>
        <w:t xml:space="preserve"> PLANO DE TRABALHO E DIAGNÓSTICO ORGANIZACIONAL</w:t>
      </w:r>
    </w:p>
    <w:p w:rsidR="00D15E3B" w:rsidRPr="00DE2D55" w:rsidRDefault="00D15E3B" w:rsidP="00FE560B">
      <w:pPr>
        <w:pStyle w:val="Corpodetexto"/>
        <w:numPr>
          <w:ilvl w:val="0"/>
          <w:numId w:val="6"/>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Reunião de abertura do projeto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Oficina de trabalho para sensibilização dos Servidores e Gestores da SEFAZ-ES para os desafios da instituição no processo de elaboração e implantação do Planejamento Estratégico e do modelo institucional de Planejamento e Gestão Estratégica.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Nessa reunião deverão ser apresentados os projetos, as equipes envolvidas, objetivos, escopo e a metodologia de trabalho, de forma interativa, a fim de permitir a exposição de dúvidas e sugestões.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 Reunião de abertura do projeto terá duração de até 3 horas e será realizada com 4 turmas. A exposição do conteúdo terá duração máxima de 2 horas e o restante do tempo será destinado ao esclarecimento de dúvidas.</w:t>
      </w:r>
    </w:p>
    <w:p w:rsidR="00D15E3B" w:rsidRPr="00DE2D55" w:rsidRDefault="00D15E3B" w:rsidP="00FE560B">
      <w:pPr>
        <w:pStyle w:val="Corpodetexto"/>
        <w:numPr>
          <w:ilvl w:val="0"/>
          <w:numId w:val="6"/>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Diagnóstico organizacional</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Consiste no levantamento de dados preliminares sobre a organização, conhecimento dos principais processos, os gestores, entendimento do contexto da organização (atores, estrutura, normas, stakeholders, etc.), planos anteriores e projetos em andamento.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Essa atividade será realizada por meio de levantamento de materiais (leis, decretos, normas, etc.) e entrevistas semiestruturadas com pessoas chave da SEFAZ-ES. </w:t>
      </w:r>
    </w:p>
    <w:p w:rsidR="00D15E3B" w:rsidRPr="00DE2D55" w:rsidRDefault="00D15E3B" w:rsidP="00FE560B">
      <w:pPr>
        <w:pStyle w:val="Corpodetexto"/>
        <w:numPr>
          <w:ilvl w:val="0"/>
          <w:numId w:val="6"/>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Plano de Trabalho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Elaboração e apresentação do detalhamento dos produtos, conteúdos, cronogramas, metodologia, procedimentos, recursos materiais e humanos e matriz de responsabilidades para a execução das atividades previstas no escopo dos serviços.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Poderão ser propostas novas atividades que facilitem a condução, ou aperfeiçoamento das atividades previstas.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 Plano de Trabalho será apresentado em reunião e entregue impresso para apreciação e aprovação da SEFAZ-ES e só após a sua aprovação será considerado concluído.</w:t>
      </w:r>
    </w:p>
    <w:p w:rsidR="00D15E3B" w:rsidRPr="00DE2D55" w:rsidRDefault="00D15E3B" w:rsidP="00FE560B">
      <w:pPr>
        <w:pStyle w:val="Corpodetexto"/>
        <w:numPr>
          <w:ilvl w:val="0"/>
          <w:numId w:val="6"/>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Definição das equipes para aplicação da metodologia</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Definição, em conjunto com a SEFAZ-ES, de equipes compostas por especialistas e gestores para aplicação da metodologia, a partir de critérios e perfis previamente definidos. </w:t>
      </w:r>
    </w:p>
    <w:p w:rsidR="00D15E3B" w:rsidRPr="00DE2D55" w:rsidRDefault="00D15E3B" w:rsidP="00FE560B">
      <w:pPr>
        <w:pStyle w:val="Corpodetexto"/>
        <w:tabs>
          <w:tab w:val="left" w:pos="0"/>
        </w:tabs>
        <w:spacing w:line="360" w:lineRule="auto"/>
        <w:rPr>
          <w:rFonts w:asciiTheme="minorHAnsi" w:hAnsiTheme="minorHAnsi" w:cs="Calibri"/>
          <w:b/>
          <w:sz w:val="22"/>
          <w:szCs w:val="22"/>
        </w:rPr>
      </w:pPr>
      <w:r w:rsidRPr="00DE2D55">
        <w:rPr>
          <w:rFonts w:asciiTheme="minorHAnsi" w:hAnsiTheme="minorHAnsi" w:cs="Calibri"/>
          <w:b/>
          <w:sz w:val="22"/>
          <w:szCs w:val="22"/>
        </w:rPr>
        <w:t xml:space="preserve">Produto 2: </w:t>
      </w:r>
      <w:r w:rsidRPr="00DE2D55">
        <w:rPr>
          <w:rFonts w:asciiTheme="minorHAnsi" w:hAnsiTheme="minorHAnsi" w:cs="Calibri"/>
          <w:sz w:val="22"/>
          <w:szCs w:val="22"/>
        </w:rPr>
        <w:t>SENSIBILIZAÇÃO E CAPACITAÇÃO DO QUADRO DE PESSOAL DA SEFAZ-ES</w:t>
      </w:r>
    </w:p>
    <w:p w:rsidR="00D15E3B" w:rsidRPr="00DE2D55" w:rsidRDefault="00D15E3B" w:rsidP="00FE560B">
      <w:pPr>
        <w:pStyle w:val="Corpodetexto"/>
        <w:numPr>
          <w:ilvl w:val="0"/>
          <w:numId w:val="7"/>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Reunião de alinhamento da metodologia</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Consiste em reunião, a ser realizada com a equipe técnica da SEFAZ-ES, em sua sede, com o objetivo de fazer um alinhamento de linguagem e metodologia, bem como esclarecer pontos relevantes para o desenvolvimento dos trabalhos.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Nesta oportunidade serão definidas as responsabilidades e procedimentos na execução dos trabalhos e nas tomadas de decisão, possibilitando a compreensão do nível de comprometimento e de participação requerido das partes envolvidas.</w:t>
      </w:r>
    </w:p>
    <w:p w:rsidR="00D15E3B" w:rsidRPr="00DE2D55" w:rsidRDefault="00D15E3B" w:rsidP="00FE560B">
      <w:pPr>
        <w:pStyle w:val="Corpodetexto"/>
        <w:numPr>
          <w:ilvl w:val="0"/>
          <w:numId w:val="7"/>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Capacitação para aplicação da metodologia e formação de multiplicadores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Elaboração e sistematização de treinamentos para a equipe técnica da SEFAZ-ES e equipes de multiplicadores (gestores, especialistas de negócios e de TI) na construção, implementação e uso de metodologia de planejamento estratégico como modelo de gestão estratégica, a ser aplicado na SEFAZ-ES, a serem ministrados por profissionais com qualificação comprovada nas referidas áreas de conhecimento.</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Durante os treinamentos, bem como ao longo de toda a execução dos trabalhos, deverá ocorrer a transferência de conhecimento da metodologia à equipe técnica da SEFAZ-ES.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O treinamento deverá prever conteúdo teórico relacionado às atividades previstas nas Etapas II a IV, com carga horária mínima de 40 horas.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Cada turma realizará avaliação da capacitação e, caso a avaliação final seja inferior a 60% da avaliação máxima, o treinamento será recusado, e, nesta hipótese, a capacitação deverá ser novamente executada sem custos adicionais para a SEFAZ-ES. Em caso de nova recusa, será caracterizada como inexecução total do serviço.</w:t>
      </w:r>
    </w:p>
    <w:p w:rsidR="00D15E3B" w:rsidRPr="00DE2D55" w:rsidRDefault="00D15E3B" w:rsidP="00FE560B">
      <w:pPr>
        <w:pStyle w:val="PargrafodaLista"/>
        <w:numPr>
          <w:ilvl w:val="0"/>
          <w:numId w:val="17"/>
        </w:numPr>
        <w:tabs>
          <w:tab w:val="left" w:pos="0"/>
        </w:tabs>
        <w:autoSpaceDE w:val="0"/>
        <w:autoSpaceDN w:val="0"/>
        <w:adjustRightInd w:val="0"/>
        <w:jc w:val="both"/>
        <w:rPr>
          <w:rFonts w:cs="Calibri"/>
        </w:rPr>
      </w:pPr>
      <w:r w:rsidRPr="00DE2D55">
        <w:rPr>
          <w:rFonts w:cs="Calibri"/>
        </w:rPr>
        <w:t xml:space="preserve">Etapa II: Elaboração do Plano Estratégico </w:t>
      </w:r>
    </w:p>
    <w:p w:rsidR="00D15E3B" w:rsidRPr="00DE2D55" w:rsidRDefault="00D15E3B" w:rsidP="00FE560B">
      <w:pPr>
        <w:pStyle w:val="Corpodetexto"/>
        <w:tabs>
          <w:tab w:val="left" w:pos="0"/>
        </w:tabs>
        <w:spacing w:line="360" w:lineRule="auto"/>
        <w:ind w:left="709"/>
        <w:rPr>
          <w:rFonts w:asciiTheme="minorHAnsi" w:hAnsiTheme="minorHAnsi" w:cs="Calibri"/>
          <w:sz w:val="22"/>
          <w:szCs w:val="22"/>
        </w:rPr>
      </w:pPr>
      <w:r w:rsidRPr="00DE2D55">
        <w:rPr>
          <w:rFonts w:asciiTheme="minorHAnsi" w:hAnsiTheme="minorHAnsi" w:cs="Calibri"/>
          <w:sz w:val="22"/>
          <w:szCs w:val="22"/>
        </w:rPr>
        <w:t xml:space="preserve">Essa etapa contempla as atividades necessárias para o desenvolvimento e entrega do </w:t>
      </w:r>
    </w:p>
    <w:p w:rsidR="00D15E3B" w:rsidRPr="00DE2D55" w:rsidRDefault="00D15E3B" w:rsidP="00FE560B">
      <w:pPr>
        <w:pStyle w:val="Corpodetexto"/>
        <w:tabs>
          <w:tab w:val="left" w:pos="0"/>
        </w:tabs>
        <w:spacing w:line="360" w:lineRule="auto"/>
        <w:ind w:left="709"/>
        <w:rPr>
          <w:rFonts w:asciiTheme="minorHAnsi" w:hAnsiTheme="minorHAnsi" w:cs="Calibri"/>
          <w:sz w:val="22"/>
          <w:szCs w:val="22"/>
        </w:rPr>
      </w:pPr>
      <w:r w:rsidRPr="00DE2D55">
        <w:rPr>
          <w:rFonts w:asciiTheme="minorHAnsi" w:hAnsiTheme="minorHAnsi" w:cs="Calibri"/>
          <w:sz w:val="22"/>
          <w:szCs w:val="22"/>
        </w:rPr>
        <w:t xml:space="preserve">Plano Estratégico, impresso e em meio eletrônico. </w:t>
      </w:r>
    </w:p>
    <w:p w:rsidR="00D15E3B" w:rsidRPr="00DE2D55" w:rsidRDefault="00D15E3B" w:rsidP="00FE560B">
      <w:pPr>
        <w:pStyle w:val="Corpodetexto"/>
        <w:tabs>
          <w:tab w:val="left" w:pos="0"/>
        </w:tabs>
        <w:spacing w:line="360" w:lineRule="auto"/>
        <w:rPr>
          <w:rFonts w:asciiTheme="minorHAnsi" w:hAnsiTheme="minorHAnsi" w:cs="Calibri"/>
          <w:b/>
          <w:sz w:val="22"/>
          <w:szCs w:val="22"/>
        </w:rPr>
      </w:pPr>
      <w:r w:rsidRPr="00DE2D55">
        <w:rPr>
          <w:rFonts w:asciiTheme="minorHAnsi" w:hAnsiTheme="minorHAnsi" w:cs="Calibri"/>
          <w:b/>
          <w:sz w:val="22"/>
          <w:szCs w:val="22"/>
        </w:rPr>
        <w:t xml:space="preserve">Produto 3: </w:t>
      </w:r>
      <w:r w:rsidRPr="00DE2D55">
        <w:rPr>
          <w:rFonts w:asciiTheme="minorHAnsi" w:hAnsiTheme="minorHAnsi" w:cs="Calibri"/>
          <w:sz w:val="22"/>
          <w:szCs w:val="22"/>
        </w:rPr>
        <w:t>MAPA ESTRATÉGICO</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8"/>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Análises dos ambientes interno e externo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Levantamento de expectativas, percepções e sugestões das partes interessadas, que contribuam para a elaboração do diagnóstico e para o delineamento estratégico da SEFAZ-ES.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r w:rsidRPr="00DE2D55">
        <w:rPr>
          <w:rFonts w:asciiTheme="minorHAnsi" w:hAnsiTheme="minorHAnsi" w:cs="Calibri"/>
          <w:sz w:val="22"/>
          <w:szCs w:val="22"/>
        </w:rPr>
        <w:t xml:space="preserve">Para essa atividade, serão constituídos os seguintes grupos de interesses: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r w:rsidRPr="00DE2D55">
        <w:rPr>
          <w:rFonts w:asciiTheme="minorHAnsi" w:hAnsiTheme="minorHAnsi" w:cs="Calibri"/>
          <w:b/>
          <w:sz w:val="22"/>
          <w:szCs w:val="22"/>
        </w:rPr>
        <w:t xml:space="preserve">i </w:t>
      </w:r>
      <w:r w:rsidRPr="00DE2D55">
        <w:rPr>
          <w:rFonts w:asciiTheme="minorHAnsi" w:hAnsiTheme="minorHAnsi" w:cs="Calibri"/>
          <w:sz w:val="22"/>
          <w:szCs w:val="22"/>
        </w:rPr>
        <w:t xml:space="preserve">- grupo do poder público: um representante do Governo Estadual e um representante de cada um dos Municípios onde se localizam as Agências da SEFAZ-ES;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r w:rsidRPr="00DE2D55">
        <w:rPr>
          <w:rFonts w:asciiTheme="minorHAnsi" w:hAnsiTheme="minorHAnsi" w:cs="Calibri"/>
          <w:b/>
          <w:sz w:val="22"/>
          <w:szCs w:val="22"/>
        </w:rPr>
        <w:t>ii</w:t>
      </w:r>
      <w:r w:rsidRPr="00DE2D55">
        <w:rPr>
          <w:rFonts w:asciiTheme="minorHAnsi" w:hAnsiTheme="minorHAnsi" w:cs="Calibri"/>
          <w:sz w:val="22"/>
          <w:szCs w:val="22"/>
        </w:rPr>
        <w:t xml:space="preserve"> - grupo dos contribuintes: dois representantes;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r w:rsidRPr="00DE2D55">
        <w:rPr>
          <w:rFonts w:asciiTheme="minorHAnsi" w:hAnsiTheme="minorHAnsi" w:cs="Calibri"/>
          <w:b/>
          <w:sz w:val="22"/>
          <w:szCs w:val="22"/>
        </w:rPr>
        <w:t>iii</w:t>
      </w:r>
      <w:r w:rsidRPr="00DE2D55">
        <w:rPr>
          <w:rFonts w:asciiTheme="minorHAnsi" w:hAnsiTheme="minorHAnsi" w:cs="Calibri"/>
          <w:sz w:val="22"/>
          <w:szCs w:val="22"/>
        </w:rPr>
        <w:t xml:space="preserve"> - grupo dos executivos e técnicos da SEFAZ-ES: um representante de cada subsecretaria.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As informações sobre os ambientes interno e externo serão sintetizadas em um diagnóstico estratégico, a partir da aplicação da Matriz SWOT, consolidando o conhecimento existente sobre o negócio e identificando os elementos chave para a gestão da SEFAZ-ES.</w:t>
      </w:r>
    </w:p>
    <w:p w:rsidR="00D15E3B" w:rsidRPr="00DE2D55" w:rsidRDefault="00D15E3B" w:rsidP="00FE560B">
      <w:pPr>
        <w:pStyle w:val="Corpodetexto"/>
        <w:numPr>
          <w:ilvl w:val="0"/>
          <w:numId w:val="8"/>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Identificação e análise de Cenários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Com base nas análises dos ambientes, será realizada uma reflexão sobre o estado futuro da SEFAZ-ES, considerando o Plano ES2030 e os diferentes cenários traçados para ressaltar os riscos e oportunidades identificados, a fim de reduzir as incertezas e orientar as decisões estratégicas.</w:t>
      </w:r>
    </w:p>
    <w:p w:rsidR="00D15E3B" w:rsidRPr="00DE2D55" w:rsidRDefault="00D15E3B" w:rsidP="00FE560B">
      <w:pPr>
        <w:pStyle w:val="Corpodetexto"/>
        <w:numPr>
          <w:ilvl w:val="0"/>
          <w:numId w:val="8"/>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Delineamento Estratégico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Essa atividade prevê uma reflexão para afirmação do negócio e da missão da SEFAZ-ES, bem como a definição da sua visão de futuro, dos valores e princípios que irão sustentar sua posição estratégica e das políticas que irão nortear a conduta de seus servidores na busca de seus objetivos estratégicos.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 trabalho será desenvolvido por meio de workshop, com participação de servidores e gestores da SEFAZ-ES, para homologação.</w:t>
      </w:r>
    </w:p>
    <w:p w:rsidR="00D15E3B" w:rsidRPr="00DE2D55" w:rsidRDefault="00D15E3B" w:rsidP="00FE560B">
      <w:pPr>
        <w:pStyle w:val="Corpodetexto"/>
        <w:numPr>
          <w:ilvl w:val="0"/>
          <w:numId w:val="8"/>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Construção do Mapa Estratégico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Nessa etapa serão definirão os objetivos estratégicos da SEFAZ-ES, visando os propósitos identificados na missão e visão estratégica.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 mapa estratégico, com a representação gráfica da estratégia, após homologação pela alta gestão, deverá ser um instrumento direcionador da gestão da estratégia da SEFAZ-ES.</w:t>
      </w:r>
    </w:p>
    <w:p w:rsidR="00D15E3B" w:rsidRPr="00DE2D55" w:rsidRDefault="00D15E3B" w:rsidP="00FE560B">
      <w:pPr>
        <w:pStyle w:val="Corpodetexto"/>
        <w:tabs>
          <w:tab w:val="left" w:pos="0"/>
        </w:tabs>
        <w:spacing w:line="360" w:lineRule="auto"/>
        <w:rPr>
          <w:rFonts w:asciiTheme="minorHAnsi" w:hAnsiTheme="minorHAnsi" w:cs="Calibri"/>
          <w:b/>
          <w:sz w:val="22"/>
          <w:szCs w:val="22"/>
        </w:rPr>
      </w:pPr>
      <w:r w:rsidRPr="00DE2D55">
        <w:rPr>
          <w:rFonts w:asciiTheme="minorHAnsi" w:hAnsiTheme="minorHAnsi" w:cs="Calibri"/>
          <w:b/>
          <w:sz w:val="22"/>
          <w:szCs w:val="22"/>
        </w:rPr>
        <w:t xml:space="preserve">Produto 4: </w:t>
      </w:r>
      <w:r w:rsidRPr="00DE2D55">
        <w:rPr>
          <w:rFonts w:asciiTheme="minorHAnsi" w:hAnsiTheme="minorHAnsi" w:cs="Calibri"/>
          <w:sz w:val="22"/>
          <w:szCs w:val="22"/>
        </w:rPr>
        <w:t>PAINEL DE INDICADORES</w:t>
      </w:r>
    </w:p>
    <w:p w:rsidR="00D15E3B" w:rsidRPr="00DE2D55" w:rsidRDefault="00D15E3B" w:rsidP="00FE560B">
      <w:pPr>
        <w:pStyle w:val="Corpodetexto"/>
        <w:numPr>
          <w:ilvl w:val="0"/>
          <w:numId w:val="9"/>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Estabelecimento de metas e indicadores de desempenho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As metas serão detalhadas em linha com os objetivos estratégicos, com a definição de valores-alvo, desdobrados entre as três subsecretarias e entre as Gerências de cada Subsecretaria.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Nessa atividade também serão estabelecidos indicadores que permitam monitorar o desempenho da SEFAZ-ES quanto à efetiva realização de seus objetivos estratégicos, que servirão de base para a estruturação de um sistema informatizado a ser definido pela SEFAZ-ES.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b/>
          <w:sz w:val="22"/>
          <w:szCs w:val="22"/>
        </w:rPr>
        <w:t>Produto 5:</w:t>
      </w:r>
      <w:r w:rsidRPr="00DE2D55">
        <w:rPr>
          <w:rFonts w:asciiTheme="minorHAnsi" w:hAnsiTheme="minorHAnsi" w:cs="Calibri"/>
          <w:sz w:val="22"/>
          <w:szCs w:val="22"/>
        </w:rPr>
        <w:t xml:space="preserve"> MEDIDAS INSTITUCIONAIS E CARTEIRA DE PROJETOS ESTRUTURANTES </w:t>
      </w:r>
    </w:p>
    <w:p w:rsidR="00D15E3B" w:rsidRPr="00DE2D55" w:rsidRDefault="00D15E3B" w:rsidP="00FE560B">
      <w:pPr>
        <w:pStyle w:val="Corpodetexto"/>
        <w:numPr>
          <w:ilvl w:val="0"/>
          <w:numId w:val="10"/>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Definição de medidas institucionais e de projetos estruturantes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Serão definidos um conjunto de medidas institucionais, organizacionais e de gestão, bem como os projetos necessários para a implementação da Estratégia da SEFAZ-ES, com a clara identificação dos responsáveis por sua implantação e acompanhamento dos resultados a serem alcançados.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b/>
          <w:sz w:val="22"/>
          <w:szCs w:val="22"/>
        </w:rPr>
        <w:t>Produto 6:</w:t>
      </w:r>
      <w:r w:rsidRPr="00DE2D55">
        <w:rPr>
          <w:rFonts w:asciiTheme="minorHAnsi" w:hAnsiTheme="minorHAnsi" w:cs="Calibri"/>
          <w:sz w:val="22"/>
          <w:szCs w:val="22"/>
        </w:rPr>
        <w:t xml:space="preserve"> PLANO ESTRATÉGICO </w:t>
      </w:r>
    </w:p>
    <w:p w:rsidR="00D15E3B" w:rsidRPr="00DE2D55" w:rsidRDefault="00D15E3B" w:rsidP="00FE560B">
      <w:pPr>
        <w:pStyle w:val="Corpodetexto"/>
        <w:numPr>
          <w:ilvl w:val="0"/>
          <w:numId w:val="11"/>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Elaboração do Plano Estratégico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r w:rsidRPr="00DE2D55">
        <w:rPr>
          <w:rFonts w:asciiTheme="minorHAnsi" w:hAnsiTheme="minorHAnsi" w:cs="Calibri"/>
          <w:sz w:val="22"/>
          <w:szCs w:val="22"/>
        </w:rPr>
        <w:t xml:space="preserve">Elaboração de documento formal de consolidação de todas as entregas da ETAPA II, acompanhado de um sumário executivo que facilite a sua apresentação e análise por parte dos dirigentes e demais partes interessadas. </w:t>
      </w:r>
    </w:p>
    <w:p w:rsidR="00D15E3B" w:rsidRPr="00DE2D55" w:rsidRDefault="00D15E3B" w:rsidP="00FE560B">
      <w:pPr>
        <w:pStyle w:val="PargrafodaLista"/>
        <w:numPr>
          <w:ilvl w:val="0"/>
          <w:numId w:val="17"/>
        </w:numPr>
        <w:tabs>
          <w:tab w:val="left" w:pos="0"/>
        </w:tabs>
        <w:autoSpaceDE w:val="0"/>
        <w:autoSpaceDN w:val="0"/>
        <w:adjustRightInd w:val="0"/>
        <w:jc w:val="both"/>
        <w:rPr>
          <w:rFonts w:cs="Calibri"/>
        </w:rPr>
      </w:pPr>
      <w:r w:rsidRPr="00DE2D55">
        <w:rPr>
          <w:rFonts w:cs="Calibri"/>
        </w:rPr>
        <w:t xml:space="preserve">Etapa III: Implantação da Estratégia </w:t>
      </w:r>
    </w:p>
    <w:p w:rsidR="00D15E3B" w:rsidRPr="00DE2D55" w:rsidRDefault="00D15E3B" w:rsidP="00FE560B">
      <w:pPr>
        <w:pStyle w:val="Corpodetexto"/>
        <w:tabs>
          <w:tab w:val="left" w:pos="0"/>
        </w:tabs>
        <w:spacing w:line="360" w:lineRule="auto"/>
        <w:ind w:left="709"/>
        <w:rPr>
          <w:rFonts w:asciiTheme="minorHAnsi" w:hAnsiTheme="minorHAnsi" w:cs="Calibri"/>
          <w:sz w:val="22"/>
          <w:szCs w:val="22"/>
        </w:rPr>
      </w:pPr>
      <w:r w:rsidRPr="00DE2D55">
        <w:rPr>
          <w:rFonts w:asciiTheme="minorHAnsi" w:hAnsiTheme="minorHAnsi" w:cs="Calibri"/>
          <w:sz w:val="22"/>
          <w:szCs w:val="22"/>
        </w:rPr>
        <w:t>Nessa etapa serão desenvolvidas as atividades necessárias para o alcance das metas estabelecidas no plano estratégico: comunicação da estratégia e a elaboração de planos de ação.</w:t>
      </w:r>
    </w:p>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pStyle w:val="Corpodetexto"/>
        <w:tabs>
          <w:tab w:val="left" w:pos="0"/>
        </w:tabs>
        <w:spacing w:line="360" w:lineRule="auto"/>
        <w:ind w:left="709"/>
        <w:rPr>
          <w:rFonts w:asciiTheme="minorHAnsi" w:hAnsiTheme="minorHAnsi" w:cs="Calibri"/>
          <w:b/>
          <w:sz w:val="22"/>
          <w:szCs w:val="22"/>
        </w:rPr>
      </w:pPr>
      <w:r w:rsidRPr="00DE2D55">
        <w:rPr>
          <w:rFonts w:asciiTheme="minorHAnsi" w:hAnsiTheme="minorHAnsi" w:cs="Calibri"/>
          <w:b/>
          <w:sz w:val="22"/>
          <w:szCs w:val="22"/>
        </w:rPr>
        <w:t xml:space="preserve">Produto 7: </w:t>
      </w:r>
      <w:r w:rsidRPr="00DE2D55">
        <w:rPr>
          <w:rFonts w:asciiTheme="minorHAnsi" w:hAnsiTheme="minorHAnsi" w:cs="Calibri"/>
          <w:sz w:val="22"/>
          <w:szCs w:val="22"/>
        </w:rPr>
        <w:t>COMUNICAÇÃO DA ESTRATÉGIA</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1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Divulgação interna do plano estratégico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Condução de workshops, com a participação de todos os servidores da SEFAZ-ES, para divulgação do plano estratégico e promoção do entendimento do papel de cada um no alcance dos objetivos propostos.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O cronograma, bem como a carga horária para realização dos workshops serão definidos pela equipe técnica da SEFAZ-ES. </w:t>
      </w:r>
    </w:p>
    <w:p w:rsidR="00D15E3B" w:rsidRPr="00DE2D55" w:rsidRDefault="00D15E3B" w:rsidP="00FE560B">
      <w:pPr>
        <w:pStyle w:val="Corpodetexto"/>
        <w:tabs>
          <w:tab w:val="left" w:pos="0"/>
        </w:tabs>
        <w:spacing w:line="360" w:lineRule="auto"/>
        <w:rPr>
          <w:rFonts w:asciiTheme="minorHAnsi" w:hAnsiTheme="minorHAnsi" w:cs="Calibri"/>
          <w:b/>
          <w:sz w:val="22"/>
          <w:szCs w:val="22"/>
        </w:rPr>
      </w:pPr>
      <w:r w:rsidRPr="00DE2D55">
        <w:rPr>
          <w:rFonts w:asciiTheme="minorHAnsi" w:hAnsiTheme="minorHAnsi" w:cs="Calibri"/>
          <w:b/>
          <w:sz w:val="22"/>
          <w:szCs w:val="22"/>
        </w:rPr>
        <w:t xml:space="preserve">Produto 8: </w:t>
      </w:r>
      <w:r w:rsidRPr="00DE2D55">
        <w:rPr>
          <w:rFonts w:asciiTheme="minorHAnsi" w:hAnsiTheme="minorHAnsi" w:cs="Calibri"/>
          <w:sz w:val="22"/>
          <w:szCs w:val="22"/>
        </w:rPr>
        <w:t>PLANOS DE AÇÃO</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13"/>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Elaboração e implantação dos Planos de Ação por área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Nessa atividade, as iniciativas apresentadas nos painéis estratégicos são desdobradas em planos de ação, com prazos e responsabilidades bem definidos. Cada plano terá a definição clara dos objetivos a serem atingidos, datas de início e término, os recursos necessários, bem como os indicadores de medição de execução.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A elaboração dos planos será feita pela equipe técnica da SEFAZ-ES, com participação das áreas responsáveis pela sua implantação e execução.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Também será elaborado o planejamento orçamentário de cada área, com o desdobramento da necessidade de alocação de recursos para realização dos planos.</w:t>
      </w:r>
    </w:p>
    <w:p w:rsidR="00D15E3B" w:rsidRPr="00DE2D55" w:rsidRDefault="00D15E3B" w:rsidP="00FE560B">
      <w:pPr>
        <w:pStyle w:val="PargrafodaLista"/>
        <w:numPr>
          <w:ilvl w:val="0"/>
          <w:numId w:val="17"/>
        </w:numPr>
        <w:tabs>
          <w:tab w:val="left" w:pos="0"/>
        </w:tabs>
        <w:autoSpaceDE w:val="0"/>
        <w:autoSpaceDN w:val="0"/>
        <w:adjustRightInd w:val="0"/>
        <w:jc w:val="both"/>
        <w:rPr>
          <w:rFonts w:cs="Calibri"/>
        </w:rPr>
      </w:pPr>
      <w:r w:rsidRPr="00DE2D55">
        <w:rPr>
          <w:rFonts w:cs="Calibri"/>
        </w:rPr>
        <w:t xml:space="preserve">Etapa IV: Acompanhamento da Estratégia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Esta etapa tem como objetivo implantar a Gestão Estratégica no acompanhamento dos resultados e na identificação das ações corretivas para o alcance dos objetivos estratégicos. </w:t>
      </w:r>
    </w:p>
    <w:p w:rsidR="00D15E3B" w:rsidRPr="00DE2D55" w:rsidRDefault="00D15E3B" w:rsidP="00FE560B">
      <w:pPr>
        <w:pStyle w:val="Corpodetexto"/>
        <w:tabs>
          <w:tab w:val="left" w:pos="0"/>
        </w:tabs>
        <w:spacing w:line="360" w:lineRule="auto"/>
        <w:ind w:left="709"/>
        <w:rPr>
          <w:rFonts w:asciiTheme="minorHAnsi" w:hAnsiTheme="minorHAnsi" w:cs="Calibri"/>
          <w:b/>
          <w:sz w:val="22"/>
          <w:szCs w:val="22"/>
        </w:rPr>
      </w:pPr>
      <w:r w:rsidRPr="00DE2D55">
        <w:rPr>
          <w:rFonts w:asciiTheme="minorHAnsi" w:hAnsiTheme="minorHAnsi" w:cs="Calibri"/>
          <w:b/>
          <w:sz w:val="22"/>
          <w:szCs w:val="22"/>
        </w:rPr>
        <w:t xml:space="preserve">Produto 9: </w:t>
      </w:r>
      <w:r w:rsidRPr="00DE2D55">
        <w:rPr>
          <w:rFonts w:asciiTheme="minorHAnsi" w:hAnsiTheme="minorHAnsi" w:cs="Calibri"/>
          <w:sz w:val="22"/>
          <w:szCs w:val="22"/>
        </w:rPr>
        <w:t>MONITORAMENTO E CONTROLE DOS RESULTADOS</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14"/>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Reuniões de Avaliação e Controle dos Resultados</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Trata-se do conjunto de ações necessárias para assegurar a realização dos objetivos da SEFAZ-ES, por meio de análise e comparação dos resultados alcançados com os previstos, de forma a permitir correções no desempenho. </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p>
    <w:p w:rsidR="00D15E3B"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Será prevista a realização de 4 (quatro) reuniões mensais, ao longo de 6 (seis) meses, para o acompanhamento dos indicadores de desempenho e apresentação de relatórios gerenciais, ocasião em que ações corretivas poderão ser propostas. </w:t>
      </w:r>
    </w:p>
    <w:p w:rsidR="006F1AEB" w:rsidRPr="00DE2D55" w:rsidRDefault="006F1AEB" w:rsidP="00FE560B">
      <w:pPr>
        <w:pStyle w:val="Corpodetexto"/>
        <w:tabs>
          <w:tab w:val="left" w:pos="0"/>
        </w:tabs>
        <w:spacing w:line="360" w:lineRule="auto"/>
        <w:rPr>
          <w:rFonts w:asciiTheme="minorHAnsi" w:hAnsiTheme="minorHAnsi" w:cs="Calibri"/>
          <w:sz w:val="22"/>
          <w:szCs w:val="22"/>
        </w:rPr>
      </w:pPr>
    </w:p>
    <w:p w:rsidR="00D15E3B"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Após as reuniões e a homologação dos resultados mensais, o desempenho será divulgado através do site da SEFAZ-ES e informativos por e-mail. </w:t>
      </w:r>
    </w:p>
    <w:p w:rsidR="006F1AEB" w:rsidRPr="00DE2D55" w:rsidRDefault="006F1AE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Também será prevista a realização trimestral de 2 (duas) Reuniões de Análise Estratégica, conduzidas pela SEFAZ-ES, para avaliação dos resultados do período, do andamento das ações definidas em reuniões anteriores e da necessidade de adequação dos objetivos e estratégias definidos. Essas reuniões serão realizadas nos meses subsequentes aos da realização da 2ª e da 4ª reunião mensal e delas deverão resultar recomendações para melhoria e ações corretivas. </w:t>
      </w:r>
    </w:p>
    <w:p w:rsidR="00D15E3B" w:rsidRPr="00DE2D55" w:rsidRDefault="00D15E3B" w:rsidP="00FE560B">
      <w:pPr>
        <w:pStyle w:val="Corpodetexto"/>
        <w:tabs>
          <w:tab w:val="left" w:pos="0"/>
        </w:tabs>
        <w:spacing w:line="360" w:lineRule="auto"/>
        <w:ind w:left="709"/>
        <w:rPr>
          <w:rFonts w:asciiTheme="minorHAnsi" w:hAnsiTheme="minorHAnsi" w:cs="Calibri"/>
          <w:b/>
          <w:sz w:val="22"/>
          <w:szCs w:val="22"/>
        </w:rPr>
      </w:pPr>
      <w:r w:rsidRPr="00DE2D55">
        <w:rPr>
          <w:rFonts w:asciiTheme="minorHAnsi" w:hAnsiTheme="minorHAnsi" w:cs="Calibri"/>
          <w:b/>
          <w:sz w:val="22"/>
          <w:szCs w:val="22"/>
        </w:rPr>
        <w:t xml:space="preserve">Produto 10: </w:t>
      </w:r>
      <w:r w:rsidRPr="00DE2D55">
        <w:rPr>
          <w:rFonts w:asciiTheme="minorHAnsi" w:hAnsiTheme="minorHAnsi" w:cs="Calibri"/>
          <w:sz w:val="22"/>
          <w:szCs w:val="22"/>
        </w:rPr>
        <w:t>MODELO INSTITUCIONAL DE PLANEJAMENTO E GESTÃO ESTRATÉGICA</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15"/>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Definição do processo de planejamento e gestão estratégica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Estruturação de sistema gerencial para suporte ao planejamento e à gestão estratégica da SEFAZ-ES que garanta a adoção dos instrumentos de administração de forma continuada, confiável e eficaz, com ênfase na melhoria contínua quanto à estrutura, estratégias, objetivos, processos e sistemas de controle.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O processo de planejamento e gestão estratégica da SEFAZ-ES terá sua sistemática estabelecida por meio de procedimentos documentados. </w:t>
      </w:r>
    </w:p>
    <w:p w:rsidR="00D15E3B" w:rsidRPr="00DE2D55" w:rsidRDefault="00D15E3B" w:rsidP="00FE560B">
      <w:pPr>
        <w:pStyle w:val="PargrafodaLista"/>
        <w:numPr>
          <w:ilvl w:val="0"/>
          <w:numId w:val="17"/>
        </w:numPr>
        <w:tabs>
          <w:tab w:val="left" w:pos="0"/>
        </w:tabs>
        <w:autoSpaceDE w:val="0"/>
        <w:autoSpaceDN w:val="0"/>
        <w:adjustRightInd w:val="0"/>
        <w:jc w:val="both"/>
        <w:rPr>
          <w:rFonts w:cs="Calibri"/>
        </w:rPr>
      </w:pPr>
      <w:r w:rsidRPr="00DE2D55">
        <w:rPr>
          <w:rFonts w:cs="Calibri"/>
        </w:rPr>
        <w:t xml:space="preserve">Etapa V: Encerramento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Esta etapa tem como objetivo avaliar e documentar a realização do projeto e os resultados alcançados. </w:t>
      </w:r>
    </w:p>
    <w:p w:rsidR="00D15E3B" w:rsidRPr="00DE2D55" w:rsidRDefault="00D15E3B" w:rsidP="00FE560B">
      <w:pPr>
        <w:pStyle w:val="Corpodetexto"/>
        <w:tabs>
          <w:tab w:val="left" w:pos="0"/>
        </w:tabs>
        <w:spacing w:line="360" w:lineRule="auto"/>
        <w:ind w:left="709"/>
        <w:rPr>
          <w:rFonts w:asciiTheme="minorHAnsi" w:hAnsiTheme="minorHAnsi" w:cs="Calibri"/>
          <w:b/>
          <w:sz w:val="22"/>
          <w:szCs w:val="22"/>
        </w:rPr>
      </w:pPr>
      <w:r w:rsidRPr="00DE2D55">
        <w:rPr>
          <w:rFonts w:asciiTheme="minorHAnsi" w:hAnsiTheme="minorHAnsi" w:cs="Calibri"/>
          <w:b/>
          <w:sz w:val="22"/>
          <w:szCs w:val="22"/>
        </w:rPr>
        <w:t xml:space="preserve">Produto 11: </w:t>
      </w:r>
      <w:r w:rsidRPr="00DE2D55">
        <w:rPr>
          <w:rFonts w:asciiTheme="minorHAnsi" w:hAnsiTheme="minorHAnsi" w:cs="Calibri"/>
          <w:sz w:val="22"/>
          <w:szCs w:val="22"/>
        </w:rPr>
        <w:t>RELATÓRIO TÉCNICO FINAL DO PROJETO</w:t>
      </w:r>
      <w:r w:rsidRPr="00DE2D55">
        <w:rPr>
          <w:rFonts w:asciiTheme="minorHAnsi" w:hAnsiTheme="minorHAnsi" w:cs="Calibri"/>
          <w:b/>
          <w:sz w:val="22"/>
          <w:szCs w:val="22"/>
        </w:rPr>
        <w:t xml:space="preserve"> </w:t>
      </w:r>
    </w:p>
    <w:p w:rsidR="00D15E3B" w:rsidRPr="00DE2D55" w:rsidRDefault="00D15E3B" w:rsidP="00FE560B">
      <w:pPr>
        <w:pStyle w:val="Corpodetexto"/>
        <w:numPr>
          <w:ilvl w:val="0"/>
          <w:numId w:val="16"/>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Avaliação da Implantação e Execução da Estratégia </w:t>
      </w:r>
    </w:p>
    <w:p w:rsidR="00D15E3B" w:rsidRPr="00DE2D55" w:rsidRDefault="00D15E3B" w:rsidP="00FE560B">
      <w:pPr>
        <w:pStyle w:val="Corpodetexto"/>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Elaboração e Apresentação do Relatório Técnico Final contendo todas as informações que subsidiaram os produtos previstos, acompanhado de um sumário executivo, contendo recomendações para melhoria. </w:t>
      </w:r>
    </w:p>
    <w:p w:rsidR="00D15E3B" w:rsidRPr="00DE2D55" w:rsidRDefault="00D15E3B" w:rsidP="00FE560B">
      <w:pPr>
        <w:pStyle w:val="PargrafodaLista"/>
        <w:tabs>
          <w:tab w:val="left" w:pos="0"/>
        </w:tabs>
        <w:jc w:val="both"/>
        <w:rPr>
          <w:rFonts w:cs="Calibri"/>
          <w:bCs/>
        </w:rPr>
      </w:pPr>
    </w:p>
    <w:p w:rsidR="00D15E3B" w:rsidRPr="00DE2D55" w:rsidRDefault="00D15E3B" w:rsidP="00FE560B">
      <w:pPr>
        <w:pStyle w:val="PargrafodaLista"/>
        <w:tabs>
          <w:tab w:val="left" w:pos="0"/>
        </w:tabs>
        <w:ind w:left="0"/>
        <w:jc w:val="both"/>
        <w:rPr>
          <w:rFonts w:cs="Calibri"/>
          <w:b/>
          <w:bCs/>
        </w:rPr>
      </w:pPr>
      <w:r w:rsidRPr="00DE2D55">
        <w:rPr>
          <w:rFonts w:cs="Calibri"/>
          <w:b/>
          <w:bCs/>
        </w:rPr>
        <w:t>ii) Metodologia de gerenciamento de processos de negócios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Implantação, gestão e utilização de ferramentas de gerenciamento e automatização de processos;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noProof/>
          <w:sz w:val="22"/>
          <w:szCs w:val="22"/>
        </w:rPr>
        <w:t>Visitas Técnicas para</w:t>
      </w:r>
      <w:r w:rsidRPr="00DE2D55">
        <w:rPr>
          <w:rFonts w:asciiTheme="minorHAnsi" w:hAnsiTheme="minorHAnsi" w:cs="Calibri"/>
          <w:sz w:val="22"/>
          <w:szCs w:val="22"/>
        </w:rPr>
        <w:t xml:space="preserve"> conhecer outras realidades mais avançadas;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Capacitação para o pessoal envolvido na Gestão por processos na SEFAZ.</w:t>
      </w:r>
    </w:p>
    <w:p w:rsidR="00D15E3B" w:rsidRPr="00DE2D55" w:rsidRDefault="006F1AEB" w:rsidP="00FE560B">
      <w:pPr>
        <w:pStyle w:val="PargrafodaLista"/>
        <w:tabs>
          <w:tab w:val="left" w:pos="0"/>
        </w:tabs>
        <w:ind w:left="0"/>
        <w:jc w:val="both"/>
        <w:rPr>
          <w:rFonts w:cs="Calibri"/>
          <w:b/>
          <w:noProof/>
          <w:color w:val="0070C0"/>
        </w:rPr>
      </w:pPr>
      <w:r>
        <w:rPr>
          <w:rFonts w:cs="Calibri"/>
          <w:b/>
          <w:bCs/>
        </w:rPr>
        <w:t>1.3.1</w:t>
      </w:r>
      <w:r w:rsidR="00D15E3B" w:rsidRPr="00DE2D55">
        <w:rPr>
          <w:rFonts w:cs="Calibri"/>
          <w:b/>
          <w:bCs/>
        </w:rPr>
        <w:t>.2 – Escritório de Projetos implantado</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Visitas Técnicas;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Aquisição de produto informatizado de gestão de projetos.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Capacitação em gestão de projeto;</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Modelo de Governança de gestão de projetos, com metodologia em análise de riscos;</w:t>
      </w:r>
    </w:p>
    <w:p w:rsidR="00D15E3B"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Certificação em gerenciamento de projetos.</w:t>
      </w:r>
    </w:p>
    <w:p w:rsidR="006F1AEB" w:rsidRDefault="006F1AEB" w:rsidP="00FE560B">
      <w:pPr>
        <w:pStyle w:val="Corpodetexto"/>
        <w:tabs>
          <w:tab w:val="left" w:pos="0"/>
        </w:tabs>
        <w:spacing w:line="360" w:lineRule="auto"/>
        <w:ind w:left="1134"/>
        <w:rPr>
          <w:rFonts w:asciiTheme="minorHAnsi" w:hAnsiTheme="minorHAnsi" w:cs="Calibri"/>
          <w:noProof/>
          <w:sz w:val="22"/>
          <w:szCs w:val="22"/>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1" w:name="_Toc517282047"/>
      <w:r w:rsidRPr="00DE2D55">
        <w:rPr>
          <w:rFonts w:cs="Calibri"/>
          <w:b/>
        </w:rPr>
        <w:t>DESCRIÇÃO DO RESULTADO ESPER</w:t>
      </w:r>
      <w:r w:rsidR="00555E76">
        <w:rPr>
          <w:rFonts w:cs="Calibri"/>
          <w:b/>
        </w:rPr>
        <w:t xml:space="preserve">ADO COM A IMPLANTAÇÃO DOS </w:t>
      </w:r>
      <w:r w:rsidRPr="00DE2D55">
        <w:rPr>
          <w:rFonts w:cs="Calibri"/>
          <w:b/>
        </w:rPr>
        <w:t>SUBPRODUTO E RESPECTIVA LINHA DE BASE</w:t>
      </w:r>
      <w:bookmarkEnd w:id="21"/>
    </w:p>
    <w:p w:rsidR="00D15E3B" w:rsidRPr="00DE2D55" w:rsidRDefault="006F1AEB" w:rsidP="00FE560B">
      <w:pPr>
        <w:tabs>
          <w:tab w:val="left" w:pos="0"/>
        </w:tabs>
        <w:spacing w:line="240" w:lineRule="auto"/>
        <w:jc w:val="both"/>
        <w:rPr>
          <w:rFonts w:cs="Calibri"/>
          <w:b/>
        </w:rPr>
      </w:pPr>
      <w:r>
        <w:rPr>
          <w:rFonts w:cs="Calibri"/>
          <w:b/>
        </w:rPr>
        <w:t>1.</w:t>
      </w:r>
      <w:r w:rsidR="00D15E3B" w:rsidRPr="00DE2D55">
        <w:rPr>
          <w:rFonts w:cs="Calibri"/>
          <w:b/>
        </w:rPr>
        <w:t>4.1- Meta e Indicador de SubProduto: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D15E3B" w:rsidRPr="00DE2D55" w:rsidTr="00D15E3B">
        <w:tc>
          <w:tcPr>
            <w:tcW w:w="7087"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D15E3B" w:rsidRPr="00DE2D55" w:rsidRDefault="00D15E3B" w:rsidP="00FE560B">
            <w:pPr>
              <w:tabs>
                <w:tab w:val="left" w:pos="0"/>
              </w:tabs>
              <w:spacing w:line="240" w:lineRule="auto"/>
              <w:jc w:val="both"/>
              <w:rPr>
                <w:rFonts w:cs="Calibri"/>
                <w:b/>
                <w:bCs/>
              </w:rPr>
            </w:pPr>
          </w:p>
        </w:tc>
      </w:tr>
      <w:tr w:rsidR="00D15E3B" w:rsidRPr="00DE2D55" w:rsidTr="00D15E3B">
        <w:tc>
          <w:tcPr>
            <w:tcW w:w="7087"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 xml:space="preserve">SubP 1.1.1 </w:t>
            </w:r>
            <w:r w:rsidRPr="00DE2D55">
              <w:rPr>
                <w:rFonts w:cs="Arial"/>
                <w:b/>
              </w:rPr>
              <w:t>Planejamento estratégico da SEFAZ implantado</w:t>
            </w:r>
            <w:r w:rsidRPr="00DE2D55">
              <w:rPr>
                <w:rFonts w:cs="Calibri"/>
                <w:b/>
                <w:bCs/>
              </w:rPr>
              <w:t>.</w:t>
            </w:r>
          </w:p>
        </w:tc>
        <w:tc>
          <w:tcPr>
            <w:tcW w:w="2126"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Meta</w:t>
            </w:r>
          </w:p>
        </w:tc>
      </w:tr>
      <w:tr w:rsidR="00D15E3B" w:rsidRPr="00DE2D55" w:rsidTr="00D15E3B">
        <w:tc>
          <w:tcPr>
            <w:tcW w:w="7087" w:type="dxa"/>
            <w:shd w:val="clear" w:color="auto" w:fill="auto"/>
          </w:tcPr>
          <w:p w:rsidR="00D15E3B" w:rsidRPr="00DE2D55" w:rsidRDefault="00D15E3B" w:rsidP="00FE560B">
            <w:pPr>
              <w:pStyle w:val="PargrafodaLista"/>
              <w:numPr>
                <w:ilvl w:val="0"/>
                <w:numId w:val="56"/>
              </w:numPr>
              <w:tabs>
                <w:tab w:val="left" w:pos="0"/>
              </w:tabs>
              <w:spacing w:line="240" w:lineRule="auto"/>
              <w:jc w:val="both"/>
              <w:rPr>
                <w:rFonts w:cs="Calibri"/>
                <w:bCs/>
              </w:rPr>
            </w:pPr>
            <w:r w:rsidRPr="00DE2D55">
              <w:rPr>
                <w:lang w:val="es-ES"/>
              </w:rPr>
              <w:t>Planejamento estratégico da Sefaz implantado</w:t>
            </w:r>
          </w:p>
        </w:tc>
        <w:tc>
          <w:tcPr>
            <w:tcW w:w="2126" w:type="dxa"/>
            <w:shd w:val="clear" w:color="auto" w:fill="auto"/>
          </w:tcPr>
          <w:p w:rsidR="00D15E3B" w:rsidRPr="00DE2D55" w:rsidRDefault="00D15E3B" w:rsidP="00FE560B">
            <w:pPr>
              <w:tabs>
                <w:tab w:val="left" w:pos="0"/>
              </w:tabs>
              <w:spacing w:line="240" w:lineRule="auto"/>
              <w:jc w:val="center"/>
              <w:rPr>
                <w:rFonts w:cs="Calibri"/>
                <w:bCs/>
              </w:rPr>
            </w:pPr>
            <w:r w:rsidRPr="00DE2D55">
              <w:rPr>
                <w:rFonts w:cs="Calibri"/>
                <w:bCs/>
              </w:rPr>
              <w:t>1</w:t>
            </w:r>
          </w:p>
        </w:tc>
      </w:tr>
      <w:tr w:rsidR="00D15E3B" w:rsidRPr="00DE2D55" w:rsidTr="00D15E3B">
        <w:tc>
          <w:tcPr>
            <w:tcW w:w="7087" w:type="dxa"/>
            <w:shd w:val="clear" w:color="auto" w:fill="auto"/>
          </w:tcPr>
          <w:p w:rsidR="00D15E3B" w:rsidRPr="00DE2D55" w:rsidRDefault="00D15E3B" w:rsidP="00FE560B">
            <w:pPr>
              <w:numPr>
                <w:ilvl w:val="0"/>
                <w:numId w:val="56"/>
              </w:numPr>
              <w:tabs>
                <w:tab w:val="left" w:pos="0"/>
              </w:tabs>
              <w:spacing w:line="240" w:lineRule="auto"/>
              <w:jc w:val="both"/>
              <w:rPr>
                <w:rFonts w:cs="Calibri"/>
                <w:bCs/>
              </w:rPr>
            </w:pPr>
            <w:r w:rsidRPr="00DE2D55">
              <w:rPr>
                <w:rFonts w:cs="Arial"/>
              </w:rPr>
              <w:t>Plano de Capacitação e Comunicação estratégica implantado</w:t>
            </w:r>
          </w:p>
        </w:tc>
        <w:tc>
          <w:tcPr>
            <w:tcW w:w="2126" w:type="dxa"/>
            <w:shd w:val="clear" w:color="auto" w:fill="auto"/>
          </w:tcPr>
          <w:p w:rsidR="00D15E3B" w:rsidRPr="00DE2D55" w:rsidRDefault="00D15E3B" w:rsidP="00FE560B">
            <w:pPr>
              <w:tabs>
                <w:tab w:val="left" w:pos="0"/>
              </w:tabs>
              <w:spacing w:line="240" w:lineRule="auto"/>
              <w:jc w:val="center"/>
              <w:rPr>
                <w:rFonts w:cs="Calibri"/>
                <w:bCs/>
              </w:rPr>
            </w:pPr>
            <w:r w:rsidRPr="00DE2D55">
              <w:rPr>
                <w:rFonts w:cs="Calibri"/>
                <w:bCs/>
              </w:rPr>
              <w:t>1</w:t>
            </w:r>
          </w:p>
        </w:tc>
      </w:tr>
    </w:tbl>
    <w:p w:rsidR="00D15E3B" w:rsidRPr="00DE2D55"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D15E3B" w:rsidRPr="00DE2D55" w:rsidTr="00D15E3B">
        <w:tc>
          <w:tcPr>
            <w:tcW w:w="7087"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D15E3B" w:rsidRPr="00DE2D55" w:rsidRDefault="00D15E3B" w:rsidP="00FE560B">
            <w:pPr>
              <w:tabs>
                <w:tab w:val="left" w:pos="0"/>
              </w:tabs>
              <w:spacing w:line="240" w:lineRule="auto"/>
              <w:jc w:val="both"/>
              <w:rPr>
                <w:rFonts w:cs="Calibri"/>
                <w:b/>
                <w:bCs/>
              </w:rPr>
            </w:pPr>
          </w:p>
        </w:tc>
      </w:tr>
      <w:tr w:rsidR="00D15E3B" w:rsidRPr="00DE2D55" w:rsidTr="00D15E3B">
        <w:tc>
          <w:tcPr>
            <w:tcW w:w="7087"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 xml:space="preserve">SubP 1.1.2 </w:t>
            </w:r>
            <w:r w:rsidRPr="00DE2D55">
              <w:rPr>
                <w:rFonts w:cs="Arial"/>
                <w:b/>
              </w:rPr>
              <w:t>Escritório de Projetos implantado</w:t>
            </w:r>
          </w:p>
        </w:tc>
        <w:tc>
          <w:tcPr>
            <w:tcW w:w="2126" w:type="dxa"/>
            <w:shd w:val="clear" w:color="auto" w:fill="D6E3BC"/>
          </w:tcPr>
          <w:p w:rsidR="00D15E3B" w:rsidRPr="00DE2D55" w:rsidRDefault="00D15E3B" w:rsidP="00FE560B">
            <w:pPr>
              <w:tabs>
                <w:tab w:val="left" w:pos="0"/>
              </w:tabs>
              <w:spacing w:line="240" w:lineRule="auto"/>
              <w:jc w:val="both"/>
              <w:rPr>
                <w:rFonts w:cs="Calibri"/>
                <w:b/>
                <w:bCs/>
              </w:rPr>
            </w:pPr>
            <w:r w:rsidRPr="00DE2D55">
              <w:rPr>
                <w:rFonts w:cs="Calibri"/>
                <w:b/>
                <w:bCs/>
              </w:rPr>
              <w:t>Meta</w:t>
            </w:r>
          </w:p>
        </w:tc>
      </w:tr>
      <w:tr w:rsidR="00D15E3B" w:rsidRPr="00DE2D55" w:rsidTr="00D15E3B">
        <w:tc>
          <w:tcPr>
            <w:tcW w:w="7087" w:type="dxa"/>
            <w:shd w:val="clear" w:color="auto" w:fill="auto"/>
          </w:tcPr>
          <w:p w:rsidR="00D15E3B" w:rsidRPr="00DE2D55" w:rsidRDefault="00D15E3B" w:rsidP="00FE560B">
            <w:pPr>
              <w:pStyle w:val="PargrafodaLista"/>
              <w:numPr>
                <w:ilvl w:val="0"/>
                <w:numId w:val="57"/>
              </w:numPr>
              <w:tabs>
                <w:tab w:val="left" w:pos="0"/>
              </w:tabs>
              <w:spacing w:line="240" w:lineRule="auto"/>
              <w:jc w:val="both"/>
              <w:rPr>
                <w:rFonts w:cs="Calibri"/>
                <w:bCs/>
              </w:rPr>
            </w:pPr>
            <w:r w:rsidRPr="00DE2D55">
              <w:rPr>
                <w:lang w:val="es-ES"/>
              </w:rPr>
              <w:t>Metodologia de gerenciamiento de projetos e gestão de risco elaborada</w:t>
            </w:r>
          </w:p>
        </w:tc>
        <w:tc>
          <w:tcPr>
            <w:tcW w:w="2126" w:type="dxa"/>
            <w:shd w:val="clear" w:color="auto" w:fill="auto"/>
          </w:tcPr>
          <w:p w:rsidR="00D15E3B" w:rsidRPr="00DE2D55" w:rsidRDefault="00D15E3B" w:rsidP="00FE560B">
            <w:pPr>
              <w:tabs>
                <w:tab w:val="left" w:pos="0"/>
              </w:tabs>
              <w:spacing w:line="240" w:lineRule="auto"/>
              <w:jc w:val="center"/>
              <w:rPr>
                <w:rFonts w:cs="Calibri"/>
                <w:bCs/>
              </w:rPr>
            </w:pPr>
            <w:r w:rsidRPr="00DE2D55">
              <w:rPr>
                <w:rFonts w:cs="Calibri"/>
              </w:rPr>
              <w:t>1</w:t>
            </w:r>
          </w:p>
        </w:tc>
      </w:tr>
    </w:tbl>
    <w:p w:rsidR="006F1AEB" w:rsidRDefault="006F1AEB" w:rsidP="00FE560B">
      <w:pPr>
        <w:tabs>
          <w:tab w:val="left" w:pos="0"/>
        </w:tabs>
        <w:spacing w:line="240" w:lineRule="auto"/>
        <w:jc w:val="both"/>
        <w:rPr>
          <w:rFonts w:cs="Calibri"/>
          <w:b/>
        </w:rPr>
      </w:pPr>
    </w:p>
    <w:p w:rsidR="00D15E3B" w:rsidRPr="00DE2D55" w:rsidRDefault="006F1AEB" w:rsidP="00FE560B">
      <w:pPr>
        <w:tabs>
          <w:tab w:val="left" w:pos="0"/>
        </w:tabs>
        <w:jc w:val="both"/>
        <w:rPr>
          <w:rFonts w:cs="Calibri"/>
          <w:b/>
        </w:rPr>
      </w:pPr>
      <w:r>
        <w:rPr>
          <w:rFonts w:cs="Calibri"/>
          <w:b/>
        </w:rPr>
        <w:t>1.</w:t>
      </w:r>
      <w:r w:rsidR="00D15E3B" w:rsidRPr="00DE2D55">
        <w:rPr>
          <w:rFonts w:cs="Calibri"/>
          <w:b/>
        </w:rPr>
        <w:t>4.2- Resultados quantificáveis:</w:t>
      </w:r>
    </w:p>
    <w:p w:rsidR="00D15E3B" w:rsidRPr="00DE2D55" w:rsidRDefault="006F1AEB" w:rsidP="00FE560B">
      <w:pPr>
        <w:tabs>
          <w:tab w:val="left" w:pos="0"/>
        </w:tabs>
        <w:jc w:val="both"/>
        <w:rPr>
          <w:rFonts w:cs="Calibri"/>
          <w:b/>
        </w:rPr>
      </w:pPr>
      <w:r>
        <w:rPr>
          <w:rFonts w:cs="Calibri"/>
          <w:b/>
        </w:rPr>
        <w:t>1.</w:t>
      </w:r>
      <w:r w:rsidR="00D15E3B" w:rsidRPr="00DE2D55">
        <w:rPr>
          <w:rFonts w:cs="Calibri"/>
          <w:b/>
        </w:rPr>
        <w:t>4.2.1</w:t>
      </w:r>
      <w:r w:rsidR="00D15E3B" w:rsidRPr="00DE2D55">
        <w:rPr>
          <w:rFonts w:cs="Calibri"/>
          <w:b/>
        </w:rPr>
        <w:tab/>
        <w:t xml:space="preserve">- </w:t>
      </w:r>
      <w:r w:rsidR="00D15E3B" w:rsidRPr="00DE2D55">
        <w:rPr>
          <w:rFonts w:cs="Calibri"/>
          <w:b/>
          <w:bCs/>
        </w:rPr>
        <w:t>Revisão e implantação dos procedimentos de auditoria interna e controle interno, utilizando modelo de gerenciamento de riscos e integridade e sistemas informatizados de apoio à gestão.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1</w:t>
            </w:r>
          </w:p>
        </w:tc>
        <w:tc>
          <w:tcPr>
            <w:tcW w:w="7403"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noProof/>
              </w:rPr>
              <w:t>Elevar o padrão de eficiencia organizacional</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Quantidade projetos ou ações finalizadas com êxito/Total previsto na carteira de projetos no período de 4 anos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9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D15E3B">
        <w:tc>
          <w:tcPr>
            <w:tcW w:w="184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&gt;70%</w:t>
            </w:r>
          </w:p>
        </w:tc>
        <w:tc>
          <w:tcPr>
            <w:tcW w:w="1984"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9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Pr="00DE2D55"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2</w:t>
            </w:r>
          </w:p>
        </w:tc>
        <w:tc>
          <w:tcPr>
            <w:tcW w:w="7403"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noProof/>
              </w:rPr>
              <w:t>Capacitação da equipe técnica e multiplicadores da SEFAZ-ES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Número de servidores capacitados em planejamento estratégico/número total de servidores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9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D15E3B">
        <w:tc>
          <w:tcPr>
            <w:tcW w:w="184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100%</w:t>
            </w:r>
          </w:p>
        </w:tc>
        <w:tc>
          <w:tcPr>
            <w:tcW w:w="1984"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FE560B">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3</w:t>
            </w:r>
          </w:p>
        </w:tc>
        <w:tc>
          <w:tcPr>
            <w:tcW w:w="7395"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noProof/>
              </w:rPr>
              <w:t>Aperfeiçoar os indicadores da administração fazendária</w:t>
            </w:r>
          </w:p>
        </w:tc>
      </w:tr>
      <w:tr w:rsidR="00D15E3B" w:rsidRPr="00DE2D55" w:rsidTr="00FE560B">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Quantidade de indicadores que atingiram a meta/ quantidade de metas estabelecidas</w:t>
            </w:r>
          </w:p>
        </w:tc>
      </w:tr>
      <w:tr w:rsidR="00D15E3B" w:rsidRPr="00DE2D55" w:rsidTr="00FE560B">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FE560B">
        <w:tc>
          <w:tcPr>
            <w:tcW w:w="1841"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&gt;70%</w:t>
            </w:r>
          </w:p>
        </w:tc>
        <w:tc>
          <w:tcPr>
            <w:tcW w:w="1982"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88"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0F67FC" w:rsidRPr="00DE2D55" w:rsidTr="00D117E1">
        <w:tc>
          <w:tcPr>
            <w:tcW w:w="1841"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Resultado 4</w:t>
            </w:r>
          </w:p>
        </w:tc>
        <w:tc>
          <w:tcPr>
            <w:tcW w:w="7395" w:type="dxa"/>
            <w:gridSpan w:val="3"/>
            <w:shd w:val="clear" w:color="auto" w:fill="auto"/>
          </w:tcPr>
          <w:p w:rsidR="000F67FC" w:rsidRPr="00DE2D55" w:rsidRDefault="000F67FC" w:rsidP="00D117E1">
            <w:pPr>
              <w:tabs>
                <w:tab w:val="left" w:pos="0"/>
              </w:tabs>
              <w:spacing w:line="240" w:lineRule="auto"/>
              <w:jc w:val="both"/>
              <w:rPr>
                <w:rFonts w:cs="Calibri"/>
                <w:noProof/>
              </w:rPr>
            </w:pPr>
            <w:r w:rsidRPr="00DE2D55">
              <w:rPr>
                <w:rFonts w:cs="Calibri"/>
              </w:rPr>
              <w:t>Comunicação da Estratégia Implementada</w:t>
            </w:r>
          </w:p>
        </w:tc>
      </w:tr>
      <w:tr w:rsidR="000F67FC" w:rsidRPr="00DE2D55" w:rsidTr="00D117E1">
        <w:tc>
          <w:tcPr>
            <w:tcW w:w="1841"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0F67FC" w:rsidRPr="00DE2D55" w:rsidRDefault="000F67FC" w:rsidP="00D117E1">
            <w:pPr>
              <w:tabs>
                <w:tab w:val="left" w:pos="0"/>
              </w:tabs>
              <w:spacing w:line="240" w:lineRule="auto"/>
              <w:jc w:val="both"/>
              <w:rPr>
                <w:rFonts w:cs="Calibri"/>
                <w:b/>
              </w:rPr>
            </w:pPr>
            <w:r w:rsidRPr="00DE2D55">
              <w:rPr>
                <w:rFonts w:cs="Calibri"/>
                <w:noProof/>
              </w:rPr>
              <w:t>Número de ações de comunicação realizadas alinhadas ao Planejamento Estratégico/número total de ações de comunicação da SEFAZ-ES</w:t>
            </w:r>
          </w:p>
        </w:tc>
      </w:tr>
      <w:tr w:rsidR="000F67FC" w:rsidRPr="00DE2D55" w:rsidTr="00D117E1">
        <w:tc>
          <w:tcPr>
            <w:tcW w:w="1841"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0F67FC" w:rsidRPr="00DE2D55" w:rsidRDefault="000F67FC" w:rsidP="00D117E1">
            <w:pPr>
              <w:tabs>
                <w:tab w:val="left" w:pos="0"/>
              </w:tabs>
              <w:spacing w:line="240" w:lineRule="auto"/>
              <w:jc w:val="both"/>
              <w:rPr>
                <w:rFonts w:cs="Calibri"/>
                <w:b/>
              </w:rPr>
            </w:pPr>
            <w:r w:rsidRPr="00DE2D55">
              <w:rPr>
                <w:rFonts w:cs="Calibri"/>
                <w:b/>
              </w:rPr>
              <w:t>Fonte</w:t>
            </w:r>
          </w:p>
        </w:tc>
      </w:tr>
      <w:tr w:rsidR="000F67FC" w:rsidRPr="00DE2D55" w:rsidTr="00D117E1">
        <w:tc>
          <w:tcPr>
            <w:tcW w:w="1841" w:type="dxa"/>
            <w:shd w:val="clear" w:color="auto" w:fill="auto"/>
            <w:vAlign w:val="center"/>
          </w:tcPr>
          <w:p w:rsidR="000F67FC" w:rsidRPr="00DE2D55" w:rsidRDefault="000F67FC" w:rsidP="00D117E1">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0F67FC" w:rsidRPr="00DE2D55" w:rsidRDefault="000F67FC" w:rsidP="00D117E1">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0F67FC" w:rsidRPr="00DE2D55" w:rsidRDefault="000F67FC" w:rsidP="00D117E1">
            <w:pPr>
              <w:tabs>
                <w:tab w:val="left" w:pos="0"/>
                <w:tab w:val="left" w:pos="795"/>
              </w:tabs>
              <w:spacing w:line="240" w:lineRule="auto"/>
              <w:ind w:left="33" w:hanging="33"/>
              <w:jc w:val="both"/>
              <w:rPr>
                <w:rFonts w:cs="Calibri"/>
                <w:highlight w:val="yellow"/>
              </w:rPr>
            </w:pPr>
            <w:r w:rsidRPr="00DE2D55">
              <w:rPr>
                <w:rFonts w:cs="Calibri"/>
              </w:rPr>
              <w:t>N/A</w:t>
            </w:r>
          </w:p>
        </w:tc>
        <w:tc>
          <w:tcPr>
            <w:tcW w:w="3288" w:type="dxa"/>
            <w:shd w:val="clear" w:color="auto" w:fill="auto"/>
            <w:vAlign w:val="center"/>
          </w:tcPr>
          <w:p w:rsidR="000F67FC" w:rsidRPr="00DE2D55" w:rsidRDefault="000F67FC" w:rsidP="00D117E1">
            <w:pPr>
              <w:tabs>
                <w:tab w:val="left" w:pos="0"/>
              </w:tabs>
              <w:spacing w:line="240" w:lineRule="auto"/>
              <w:jc w:val="both"/>
              <w:rPr>
                <w:rFonts w:cs="Calibri"/>
              </w:rPr>
            </w:pPr>
            <w:r w:rsidRPr="00DE2D55">
              <w:rPr>
                <w:rFonts w:cs="Calibri"/>
              </w:rPr>
              <w:t>GEDEF</w:t>
            </w:r>
          </w:p>
        </w:tc>
      </w:tr>
    </w:tbl>
    <w:p w:rsidR="000F67FC" w:rsidRPr="00DE2D55" w:rsidRDefault="000F67FC"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5</w:t>
            </w:r>
          </w:p>
        </w:tc>
        <w:tc>
          <w:tcPr>
            <w:tcW w:w="7403"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Elevar o padrão de eficiência do desenvolvimento organizacional pela implantação de processos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Quantidade processos implantados com êxito/Total de processos mapeados na SEFAZ</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9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D15E3B">
        <w:tc>
          <w:tcPr>
            <w:tcW w:w="184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&gt;70%</w:t>
            </w:r>
          </w:p>
        </w:tc>
        <w:tc>
          <w:tcPr>
            <w:tcW w:w="1984"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9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Pr="00DE2D55"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6</w:t>
            </w:r>
          </w:p>
        </w:tc>
        <w:tc>
          <w:tcPr>
            <w:tcW w:w="7403"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Elevar o padrão de eficiência do desenvolvimento organizacional pela automatização dos processos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Quantidade processos automatizados com êxito/Total de processos passíveis de automatização.</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9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D15E3B">
        <w:tc>
          <w:tcPr>
            <w:tcW w:w="184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&gt;70%</w:t>
            </w:r>
          </w:p>
        </w:tc>
        <w:tc>
          <w:tcPr>
            <w:tcW w:w="1984"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9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Pr="00DE2D55"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7</w:t>
            </w:r>
          </w:p>
        </w:tc>
        <w:tc>
          <w:tcPr>
            <w:tcW w:w="7395"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Capacitação da equipe técnica e multiplicadores da SEFAZ-ES</w:t>
            </w:r>
          </w:p>
        </w:tc>
      </w:tr>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Número de servidores capacitados em gerenciamento de processos/número de servidores responsáveis pelos processos</w:t>
            </w:r>
          </w:p>
        </w:tc>
      </w:tr>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533F4F">
        <w:tc>
          <w:tcPr>
            <w:tcW w:w="1841"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88"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GEDEF</w:t>
            </w:r>
          </w:p>
        </w:tc>
      </w:tr>
    </w:tbl>
    <w:p w:rsidR="00D15E3B"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533F4F" w:rsidRPr="00DE2D55" w:rsidTr="00D117E1">
        <w:tc>
          <w:tcPr>
            <w:tcW w:w="1841"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Resultado 8</w:t>
            </w:r>
          </w:p>
        </w:tc>
        <w:tc>
          <w:tcPr>
            <w:tcW w:w="7395" w:type="dxa"/>
            <w:gridSpan w:val="3"/>
            <w:shd w:val="clear" w:color="auto" w:fill="auto"/>
          </w:tcPr>
          <w:p w:rsidR="00533F4F" w:rsidRPr="00DE2D55" w:rsidRDefault="00533F4F" w:rsidP="00FE560B">
            <w:pPr>
              <w:tabs>
                <w:tab w:val="left" w:pos="0"/>
              </w:tabs>
              <w:spacing w:line="240" w:lineRule="auto"/>
              <w:jc w:val="both"/>
              <w:rPr>
                <w:rFonts w:cs="Calibri"/>
                <w:noProof/>
              </w:rPr>
            </w:pPr>
            <w:r w:rsidRPr="00DE2D55">
              <w:rPr>
                <w:rFonts w:cs="Calibri"/>
              </w:rPr>
              <w:t>Aperfeiçoar os indicadores do gerenciamento de processos</w:t>
            </w:r>
          </w:p>
        </w:tc>
      </w:tr>
      <w:tr w:rsidR="00533F4F" w:rsidRPr="00DE2D55" w:rsidTr="00D117E1">
        <w:tc>
          <w:tcPr>
            <w:tcW w:w="1841"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533F4F" w:rsidRPr="00DE2D55" w:rsidRDefault="00533F4F" w:rsidP="00FE560B">
            <w:pPr>
              <w:tabs>
                <w:tab w:val="left" w:pos="0"/>
              </w:tabs>
              <w:spacing w:line="240" w:lineRule="auto"/>
              <w:jc w:val="both"/>
              <w:rPr>
                <w:rFonts w:cs="Calibri"/>
                <w:b/>
              </w:rPr>
            </w:pPr>
            <w:r w:rsidRPr="00DE2D55">
              <w:rPr>
                <w:rFonts w:cs="Calibri"/>
              </w:rPr>
              <w:t>Quantidade de indicadores que atingiram a meta/ quantidade de metas estabelecidas</w:t>
            </w:r>
          </w:p>
        </w:tc>
      </w:tr>
      <w:tr w:rsidR="00533F4F" w:rsidRPr="00DE2D55" w:rsidTr="00D117E1">
        <w:tc>
          <w:tcPr>
            <w:tcW w:w="1841"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533F4F" w:rsidRPr="00DE2D55" w:rsidRDefault="00533F4F" w:rsidP="00FE560B">
            <w:pPr>
              <w:tabs>
                <w:tab w:val="left" w:pos="0"/>
              </w:tabs>
              <w:spacing w:line="240" w:lineRule="auto"/>
              <w:jc w:val="both"/>
              <w:rPr>
                <w:rFonts w:cs="Calibri"/>
                <w:b/>
              </w:rPr>
            </w:pPr>
            <w:r w:rsidRPr="00DE2D55">
              <w:rPr>
                <w:rFonts w:cs="Calibri"/>
                <w:b/>
              </w:rPr>
              <w:t>Fonte</w:t>
            </w:r>
          </w:p>
        </w:tc>
      </w:tr>
      <w:tr w:rsidR="00533F4F" w:rsidRPr="00DE2D55" w:rsidTr="00D117E1">
        <w:tc>
          <w:tcPr>
            <w:tcW w:w="1841" w:type="dxa"/>
            <w:shd w:val="clear" w:color="auto" w:fill="auto"/>
            <w:vAlign w:val="center"/>
          </w:tcPr>
          <w:p w:rsidR="00533F4F" w:rsidRPr="00DE2D55" w:rsidRDefault="00533F4F" w:rsidP="00FE560B">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533F4F" w:rsidRPr="00DE2D55" w:rsidRDefault="00533F4F" w:rsidP="00FE560B">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533F4F" w:rsidRPr="00DE2D55" w:rsidRDefault="00533F4F" w:rsidP="00FE560B">
            <w:pPr>
              <w:tabs>
                <w:tab w:val="left" w:pos="0"/>
                <w:tab w:val="left" w:pos="795"/>
              </w:tabs>
              <w:spacing w:line="240" w:lineRule="auto"/>
              <w:ind w:left="33" w:hanging="33"/>
              <w:jc w:val="both"/>
              <w:rPr>
                <w:rFonts w:cs="Calibri"/>
                <w:highlight w:val="yellow"/>
              </w:rPr>
            </w:pPr>
            <w:r w:rsidRPr="00DE2D55">
              <w:rPr>
                <w:rFonts w:cs="Calibri"/>
              </w:rPr>
              <w:t>N/A</w:t>
            </w:r>
          </w:p>
        </w:tc>
        <w:tc>
          <w:tcPr>
            <w:tcW w:w="3288" w:type="dxa"/>
            <w:shd w:val="clear" w:color="auto" w:fill="auto"/>
            <w:vAlign w:val="center"/>
          </w:tcPr>
          <w:p w:rsidR="00533F4F" w:rsidRPr="00DE2D55" w:rsidRDefault="00533F4F" w:rsidP="00FE560B">
            <w:pPr>
              <w:tabs>
                <w:tab w:val="left" w:pos="0"/>
              </w:tabs>
              <w:spacing w:line="240" w:lineRule="auto"/>
              <w:jc w:val="both"/>
              <w:rPr>
                <w:rFonts w:cs="Calibri"/>
              </w:rPr>
            </w:pPr>
            <w:r w:rsidRPr="00DE2D55">
              <w:rPr>
                <w:rFonts w:cs="Calibri"/>
              </w:rPr>
              <w:t>GEDEF</w:t>
            </w:r>
          </w:p>
        </w:tc>
      </w:tr>
    </w:tbl>
    <w:p w:rsidR="00533F4F" w:rsidRPr="00DE2D55" w:rsidRDefault="00533F4F"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9</w:t>
            </w:r>
          </w:p>
        </w:tc>
        <w:tc>
          <w:tcPr>
            <w:tcW w:w="7403"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Aumentar a celeridade na contratação e execução dos projetos</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 de projetos em conformidade com o cronograma planejado</w:t>
            </w:r>
          </w:p>
        </w:tc>
      </w:tr>
      <w:tr w:rsidR="00D15E3B" w:rsidRPr="00DE2D55" w:rsidTr="00D15E3B">
        <w:tc>
          <w:tcPr>
            <w:tcW w:w="184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9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D15E3B">
        <w:tc>
          <w:tcPr>
            <w:tcW w:w="184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&gt;70%</w:t>
            </w:r>
          </w:p>
        </w:tc>
        <w:tc>
          <w:tcPr>
            <w:tcW w:w="1984"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UCP</w:t>
            </w:r>
          </w:p>
        </w:tc>
      </w:tr>
    </w:tbl>
    <w:p w:rsidR="00D15E3B" w:rsidRDefault="00D15E3B"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10</w:t>
            </w:r>
          </w:p>
        </w:tc>
        <w:tc>
          <w:tcPr>
            <w:tcW w:w="7395"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Melhorar o desempenho dos resultados almejados</w:t>
            </w:r>
          </w:p>
        </w:tc>
      </w:tr>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 de metas alcançadas/total de metas</w:t>
            </w:r>
          </w:p>
        </w:tc>
      </w:tr>
      <w:tr w:rsidR="00D15E3B" w:rsidRPr="00DE2D55" w:rsidTr="00533F4F">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533F4F">
        <w:tc>
          <w:tcPr>
            <w:tcW w:w="1841"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50%</w:t>
            </w:r>
          </w:p>
        </w:tc>
        <w:tc>
          <w:tcPr>
            <w:tcW w:w="3288"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UCP</w:t>
            </w:r>
          </w:p>
        </w:tc>
      </w:tr>
      <w:tr w:rsidR="00D15E3B" w:rsidRPr="00DE2D55" w:rsidTr="000F67FC">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Resultado 11</w:t>
            </w:r>
          </w:p>
        </w:tc>
        <w:tc>
          <w:tcPr>
            <w:tcW w:w="7395" w:type="dxa"/>
            <w:gridSpan w:val="3"/>
            <w:shd w:val="clear" w:color="auto" w:fill="auto"/>
          </w:tcPr>
          <w:p w:rsidR="00D15E3B" w:rsidRPr="00DE2D55" w:rsidRDefault="00D15E3B" w:rsidP="00FE560B">
            <w:pPr>
              <w:tabs>
                <w:tab w:val="left" w:pos="0"/>
              </w:tabs>
              <w:spacing w:line="240" w:lineRule="auto"/>
              <w:jc w:val="both"/>
              <w:rPr>
                <w:rFonts w:cs="Calibri"/>
                <w:noProof/>
              </w:rPr>
            </w:pPr>
            <w:r w:rsidRPr="00DE2D55">
              <w:rPr>
                <w:rFonts w:cs="Calibri"/>
              </w:rPr>
              <w:t>Melhorar a utilização dos recursos capitados</w:t>
            </w:r>
          </w:p>
        </w:tc>
      </w:tr>
      <w:tr w:rsidR="00D15E3B" w:rsidRPr="00DE2D55" w:rsidTr="000F67FC">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Fórmula de cálculo</w:t>
            </w:r>
          </w:p>
        </w:tc>
        <w:tc>
          <w:tcPr>
            <w:tcW w:w="7395" w:type="dxa"/>
            <w:gridSpan w:val="3"/>
            <w:shd w:val="clear" w:color="auto" w:fill="auto"/>
            <w:vAlign w:val="center"/>
          </w:tcPr>
          <w:p w:rsidR="00D15E3B" w:rsidRPr="00DE2D55" w:rsidRDefault="00D15E3B" w:rsidP="00FE560B">
            <w:pPr>
              <w:tabs>
                <w:tab w:val="left" w:pos="0"/>
              </w:tabs>
              <w:spacing w:line="240" w:lineRule="auto"/>
              <w:jc w:val="both"/>
              <w:rPr>
                <w:rFonts w:cs="Calibri"/>
                <w:b/>
              </w:rPr>
            </w:pPr>
            <w:r w:rsidRPr="00DE2D55">
              <w:rPr>
                <w:rFonts w:cs="Calibri"/>
              </w:rPr>
              <w:t>% de utilização dos recursos utilizados/ valor total do financiamento obtido</w:t>
            </w:r>
          </w:p>
        </w:tc>
      </w:tr>
      <w:tr w:rsidR="00D15E3B" w:rsidRPr="00DE2D55" w:rsidTr="000F67FC">
        <w:tc>
          <w:tcPr>
            <w:tcW w:w="1841"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Linha de Base (2018)</w:t>
            </w:r>
          </w:p>
        </w:tc>
        <w:tc>
          <w:tcPr>
            <w:tcW w:w="3288" w:type="dxa"/>
            <w:shd w:val="clear" w:color="auto" w:fill="D6E3BC"/>
            <w:vAlign w:val="center"/>
          </w:tcPr>
          <w:p w:rsidR="00D15E3B" w:rsidRPr="00DE2D55" w:rsidRDefault="00D15E3B" w:rsidP="00FE560B">
            <w:pPr>
              <w:tabs>
                <w:tab w:val="left" w:pos="0"/>
              </w:tabs>
              <w:spacing w:line="240" w:lineRule="auto"/>
              <w:jc w:val="both"/>
              <w:rPr>
                <w:rFonts w:cs="Calibri"/>
                <w:b/>
              </w:rPr>
            </w:pPr>
            <w:r w:rsidRPr="00DE2D55">
              <w:rPr>
                <w:rFonts w:cs="Calibri"/>
                <w:b/>
              </w:rPr>
              <w:t>Fonte</w:t>
            </w:r>
          </w:p>
        </w:tc>
      </w:tr>
      <w:tr w:rsidR="00D15E3B" w:rsidRPr="00DE2D55" w:rsidTr="000F67FC">
        <w:tc>
          <w:tcPr>
            <w:tcW w:w="1841"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w:t>
            </w:r>
          </w:p>
        </w:tc>
        <w:tc>
          <w:tcPr>
            <w:tcW w:w="2125"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D15E3B" w:rsidRPr="00DE2D55" w:rsidRDefault="00D15E3B" w:rsidP="00FE560B">
            <w:pPr>
              <w:tabs>
                <w:tab w:val="left" w:pos="0"/>
                <w:tab w:val="left" w:pos="795"/>
              </w:tabs>
              <w:spacing w:line="240" w:lineRule="auto"/>
              <w:ind w:left="33" w:hanging="33"/>
              <w:jc w:val="both"/>
              <w:rPr>
                <w:rFonts w:cs="Calibri"/>
                <w:highlight w:val="yellow"/>
              </w:rPr>
            </w:pPr>
            <w:r w:rsidRPr="00DE2D55">
              <w:rPr>
                <w:rFonts w:cs="Calibri"/>
              </w:rPr>
              <w:t>77%</w:t>
            </w:r>
          </w:p>
        </w:tc>
        <w:tc>
          <w:tcPr>
            <w:tcW w:w="3288" w:type="dxa"/>
            <w:shd w:val="clear" w:color="auto" w:fill="auto"/>
            <w:vAlign w:val="center"/>
          </w:tcPr>
          <w:p w:rsidR="00D15E3B" w:rsidRPr="00DE2D55" w:rsidRDefault="00D15E3B" w:rsidP="00FE560B">
            <w:pPr>
              <w:tabs>
                <w:tab w:val="left" w:pos="0"/>
              </w:tabs>
              <w:spacing w:line="240" w:lineRule="auto"/>
              <w:jc w:val="both"/>
              <w:rPr>
                <w:rFonts w:cs="Calibri"/>
              </w:rPr>
            </w:pPr>
            <w:r w:rsidRPr="00DE2D55">
              <w:rPr>
                <w:rFonts w:cs="Calibri"/>
              </w:rPr>
              <w:t>UCP</w:t>
            </w:r>
          </w:p>
        </w:tc>
      </w:tr>
    </w:tbl>
    <w:p w:rsidR="00D15E3B" w:rsidRPr="00DE2D55" w:rsidRDefault="00D15E3B" w:rsidP="00FE560B">
      <w:pPr>
        <w:tabs>
          <w:tab w:val="left" w:pos="0"/>
        </w:tabs>
        <w:jc w:val="both"/>
        <w:rPr>
          <w:rFonts w:cs="Calibri"/>
          <w:b/>
        </w:rPr>
      </w:pPr>
    </w:p>
    <w:p w:rsidR="00D15E3B" w:rsidRPr="00DE2D55" w:rsidRDefault="006F1AEB" w:rsidP="00FE560B">
      <w:pPr>
        <w:tabs>
          <w:tab w:val="left" w:pos="0"/>
        </w:tabs>
        <w:jc w:val="both"/>
        <w:rPr>
          <w:rFonts w:cs="Calibri"/>
          <w:b/>
        </w:rPr>
      </w:pPr>
      <w:r>
        <w:rPr>
          <w:rFonts w:cs="Calibri"/>
          <w:b/>
        </w:rPr>
        <w:t>1.</w:t>
      </w:r>
      <w:r w:rsidR="00D15E3B" w:rsidRPr="00DE2D55">
        <w:rPr>
          <w:rFonts w:cs="Calibri"/>
          <w:b/>
        </w:rPr>
        <w:t xml:space="preserve">4.3 – Outros possíveis resultados: </w:t>
      </w:r>
    </w:p>
    <w:p w:rsidR="00D15E3B" w:rsidRPr="00DE2D55" w:rsidRDefault="006F1AEB" w:rsidP="00FE560B">
      <w:pPr>
        <w:tabs>
          <w:tab w:val="left" w:pos="0"/>
        </w:tabs>
        <w:jc w:val="both"/>
        <w:rPr>
          <w:rFonts w:cs="Calibri"/>
          <w:b/>
        </w:rPr>
      </w:pPr>
      <w:r>
        <w:rPr>
          <w:rFonts w:cs="Calibri"/>
          <w:b/>
        </w:rPr>
        <w:t>1.</w:t>
      </w:r>
      <w:r w:rsidR="00D15E3B" w:rsidRPr="00DE2D55">
        <w:rPr>
          <w:rFonts w:cs="Calibri"/>
          <w:b/>
        </w:rPr>
        <w:t>4.3.1 – Planejamento estratégico implantado</w:t>
      </w:r>
    </w:p>
    <w:p w:rsidR="00D15E3B" w:rsidRPr="00DE2D55" w:rsidRDefault="00D15E3B" w:rsidP="00FE560B">
      <w:pPr>
        <w:tabs>
          <w:tab w:val="left" w:pos="0"/>
        </w:tabs>
        <w:jc w:val="both"/>
        <w:rPr>
          <w:rFonts w:cs="Calibri"/>
          <w:b/>
        </w:rPr>
      </w:pPr>
      <w:r w:rsidRPr="00DE2D55">
        <w:rPr>
          <w:rFonts w:cs="Calibri"/>
          <w:b/>
        </w:rPr>
        <w:t>a) Planejamento Estratégico</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Dados para avaliação e auxílio na tomada de decisões. </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Criação de indicadores.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Garantir o foco, o alinhamento e direcionamento para o alcance da posição futura e resultados esperados.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Fortalecer a imagem institucional e a percepção das estratégias e objetivos capazes de aumentar o desempenho da gestão fazendária;</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Propiciar o envolvimento e comprometimento de todos os servidores com os objetivos institucionais;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Identificar áreas que exijam maior atenção, tendo em vista os resultados necessários e esperados;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Obter comportamento sinérgico e comprometimento das diversas áreas da instituição;</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Transformar a SEFAZ-ES em uma instituição proativa, capaz de gerar melhores resultados operacionais;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Aumentar o grau de satisfação dos contribuintes e usuários em relação aos serviços prestados pela SEFAZ-ES;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Obter maior transparência de procedimentos e de tempos estimados para atendimento de demandas internas e externas;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Contribuir para o aprimoramento das relações com o Governo, Contribuintes e Sociedade, de forma a promover a cidadania fiscal, transparência nas ações e processos da SEFAZ-ES, e melhoria na prestação de serviços;</w:t>
      </w:r>
    </w:p>
    <w:p w:rsidR="00D15E3B" w:rsidRPr="00DE2D55" w:rsidRDefault="00D15E3B" w:rsidP="00FE560B">
      <w:pPr>
        <w:tabs>
          <w:tab w:val="left" w:pos="0"/>
        </w:tabs>
        <w:jc w:val="both"/>
        <w:rPr>
          <w:rFonts w:cs="Calibri"/>
        </w:rPr>
      </w:pPr>
      <w:r w:rsidRPr="00DE2D55">
        <w:rPr>
          <w:rFonts w:cs="Calibri"/>
        </w:rPr>
        <w:t>Promover a modernização da gestão fazendária para a consecução dos seus objetivos.</w:t>
      </w:r>
    </w:p>
    <w:p w:rsidR="00D15E3B" w:rsidRPr="00DE2D55" w:rsidRDefault="00D15E3B" w:rsidP="00FE560B">
      <w:pPr>
        <w:tabs>
          <w:tab w:val="left" w:pos="0"/>
        </w:tabs>
        <w:jc w:val="both"/>
        <w:rPr>
          <w:rFonts w:cs="Calibri"/>
          <w:b/>
        </w:rPr>
      </w:pPr>
      <w:r w:rsidRPr="00DE2D55">
        <w:rPr>
          <w:rFonts w:cs="Calibri"/>
          <w:b/>
        </w:rPr>
        <w:t>b) Metodologia de gerenciamento de processos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Melhoria da eficiência global;</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dos desperdícios de máteria-prima e RH;</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de redundâncias, esperas e retrabalhos dos processos reestruturados;</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Melhoria significativa dos indicadores de qualidade;</w:t>
      </w:r>
    </w:p>
    <w:p w:rsidR="00D15E3B" w:rsidRPr="00DE2D55" w:rsidRDefault="00D15E3B" w:rsidP="00FE560B">
      <w:pPr>
        <w:pStyle w:val="Corpodetexto"/>
        <w:numPr>
          <w:ilvl w:val="0"/>
          <w:numId w:val="1"/>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Aumento da produtividade e garantia de processos estáveis.</w:t>
      </w:r>
    </w:p>
    <w:p w:rsidR="000F67FC" w:rsidRDefault="000F67FC" w:rsidP="00FE560B">
      <w:pPr>
        <w:pStyle w:val="PargrafodaLista"/>
        <w:tabs>
          <w:tab w:val="left" w:pos="0"/>
        </w:tabs>
        <w:ind w:left="426"/>
        <w:jc w:val="both"/>
        <w:rPr>
          <w:rFonts w:cs="Calibri"/>
          <w:b/>
        </w:rPr>
      </w:pPr>
    </w:p>
    <w:p w:rsidR="00D15E3B" w:rsidRPr="00DE2D55" w:rsidRDefault="006F1AEB" w:rsidP="00FE560B">
      <w:pPr>
        <w:pStyle w:val="PargrafodaLista"/>
        <w:tabs>
          <w:tab w:val="left" w:pos="0"/>
        </w:tabs>
        <w:ind w:left="426"/>
        <w:jc w:val="both"/>
        <w:rPr>
          <w:rFonts w:cs="Calibri"/>
          <w:b/>
        </w:rPr>
      </w:pPr>
      <w:r>
        <w:rPr>
          <w:rFonts w:cs="Calibri"/>
          <w:b/>
        </w:rPr>
        <w:t>1.</w:t>
      </w:r>
      <w:r w:rsidR="00D15E3B" w:rsidRPr="00DE2D55">
        <w:rPr>
          <w:rFonts w:cs="Calibri"/>
          <w:b/>
        </w:rPr>
        <w:t>4.3.2 – Modelo de gestão de processos administrativos da gestão estadual implantado</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Gerenciamento de projetos visando alcançar a condução dos projetos de forma mais eficaz e eficiente possível, por meio da consolidação de funções do gerenciamento de projetos, proporcionando a adoção de padrões para itens comuns, como cronogramas e relatórios, além da centralização de informações e outros benefícios derivados de sua estrutura, funções e recursos.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Reduzir o tempo de contração e execução dos projetos;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Avaliar a importância dos projetos realizados em relação aos objetivos da SEFAZ/ES;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Aumentar a confiança dos servidores nas soluções das suas demandas;</w:t>
      </w:r>
    </w:p>
    <w:p w:rsidR="00D15E3B" w:rsidRPr="00DE2D55" w:rsidRDefault="00D15E3B" w:rsidP="00FE560B">
      <w:pPr>
        <w:pStyle w:val="Corpodetexto"/>
        <w:numPr>
          <w:ilvl w:val="0"/>
          <w:numId w:val="1"/>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Aumentar a motivação dos servidores.</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2" w:name="_Toc517282048"/>
      <w:r w:rsidRPr="00DE2D55">
        <w:rPr>
          <w:rFonts w:cs="Calibri"/>
          <w:b/>
        </w:rPr>
        <w:t>ASPECTO</w:t>
      </w:r>
      <w:r w:rsidR="00555E76">
        <w:rPr>
          <w:rFonts w:cs="Calibri"/>
          <w:b/>
        </w:rPr>
        <w:t>S INOVADORES</w:t>
      </w:r>
      <w:r w:rsidRPr="00DE2D55">
        <w:rPr>
          <w:rFonts w:cs="Calibri"/>
          <w:b/>
        </w:rPr>
        <w:t xml:space="preserve"> DO</w:t>
      </w:r>
      <w:r w:rsidR="00555E76">
        <w:rPr>
          <w:rFonts w:cs="Calibri"/>
          <w:b/>
        </w:rPr>
        <w:t xml:space="preserve">S </w:t>
      </w:r>
      <w:r w:rsidRPr="00DE2D55">
        <w:rPr>
          <w:rFonts w:cs="Calibri"/>
          <w:b/>
        </w:rPr>
        <w:t>SUBPRODUTO</w:t>
      </w:r>
      <w:bookmarkEnd w:id="22"/>
    </w:p>
    <w:p w:rsidR="00D15E3B" w:rsidRPr="00DE2D55" w:rsidRDefault="006F1AEB" w:rsidP="00FE560B">
      <w:pPr>
        <w:tabs>
          <w:tab w:val="left" w:pos="0"/>
        </w:tabs>
        <w:jc w:val="both"/>
        <w:rPr>
          <w:rFonts w:cs="Calibri"/>
          <w:b/>
        </w:rPr>
      </w:pPr>
      <w:r>
        <w:rPr>
          <w:rFonts w:cs="Calibri"/>
          <w:b/>
        </w:rPr>
        <w:t>1.5</w:t>
      </w:r>
      <w:r w:rsidR="00D15E3B" w:rsidRPr="00DE2D55">
        <w:rPr>
          <w:rFonts w:cs="Calibri"/>
          <w:b/>
        </w:rPr>
        <w:t>.1 – Planejamento estratégico implantado</w:t>
      </w:r>
    </w:p>
    <w:p w:rsidR="00D15E3B" w:rsidRPr="00DE2D55" w:rsidRDefault="00D15E3B" w:rsidP="00FE560B">
      <w:pPr>
        <w:tabs>
          <w:tab w:val="left" w:pos="0"/>
        </w:tabs>
        <w:jc w:val="both"/>
        <w:rPr>
          <w:rFonts w:cs="Calibri"/>
          <w:b/>
        </w:rPr>
      </w:pPr>
      <w:r w:rsidRPr="00DE2D55">
        <w:rPr>
          <w:rFonts w:cs="Calibri"/>
          <w:b/>
        </w:rPr>
        <w:t>a) Planejamento Estratégico</w:t>
      </w: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 de Trabalho e Diagnóstico Organizacional</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Promover o envolvimento dos servidores e gestores no processo de elaboração e utilização do Planejamento Estratégico;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Disseminar a cultura de Planejamento Estratégico nas diversas áreas da instituição; </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Permitir maior integração entre as unidades da SEFAZ-ES. </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Sensibilização e Capacitação do Quadro de Pessoal da SEFAZ-ES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Permitir maior alinhamento de linguagem e metodologia, bem como esclarecer pontos relevantes para o desenvolvimento dos trabalhos. </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Obter servidores qualificados na construção, implementação e uso de metodologia de planejamento estratégico como modelo de gestão estratégica. </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Mapa Estratégico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Obter maior eficácia no processo de tomada de decisão a partir da aplicação da Matriz SWOT, consolidando o conhecimento existente sobre o negócio e identificando os elementos chave para a gestão da SEFAZ-ES;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Permitir melhor reflexão sobre o estado futuro da SEFAZ-ES, considerando o Plano ES2030 e os diferentes cenários traçados para ressaltar os riscos e oportunidades identificados, a fim de reduzir as incertezas e orientar as decisões estratégicas;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Promover maior reflexão para afirmação do negócio e da missão da SEFAZ-ES, bem como a definição da sua visão de futuro, dos valores e princípios que irão sustentar sua posição estratégica e das políticas que irão nortear a conduta de seus servidores na busca de seus objetivos estratégicos.</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Painel de Indicadores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Instituir metas em linha com os objetivos estratégicos, com a definição de valores-alvo, desdobrados entre as três Subsecretarias e entre as Gerências de cada Subsecretaria;</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Estabelecer indicadores que permitam monitorar o desempenho da SEFAZ-ES quanto à efetiva realização de seus objetivos estratégicos, que servirão de base para a estruturação de um sistema informatizado a ser definido pela SEFAZ-ES.</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Medidas Institucionais e Carteira de Projetos Estruturantes Definidos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Definir um conjunto de medidas institucionais, organizacionais e de gestão, bem como os projetos necessários para a implementação da Estratégia da SEFAZ-ES, com a clara identificação dos responsáveis por sua implantação e acompanhamento dos resultados a serem alcançados.</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 Estratégico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Obter documento formal de consolidação de todas as entregas da ETAPA II (Mapa Estratégico; Painel de Indicadores; Medidas Institucionais e Carteira de Projetos Estruturantes; Plano Estratégico), acompanhado de um sumário executivo que facilite a sua apresentação e análise por parte dos gestores e demais partes interessadas.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Melhoria na Avaliação dos Resultados da Secretaria da Fazenda.</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Comunicação da Estratégia Implementada</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Promover a realização de workshops, com a participação de todos os servidores da SEFAZ-ES, para divulgação do plano estratégico e promoção do entendimento do papel de cada um no alcance dos objetivos propostos.</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Planos de Ação das Áreas Implementados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Estabelecer planos com a definição clara dos objetivos a serem atingidos, datas de início e término, os recursos necessários, bem como os indicadores de medição de execução;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Instituir o planejamento orçamentário de cada área, com o desdobramento da necessidade de alocação de recursos para realização dos planos de ação.</w:t>
      </w:r>
    </w:p>
    <w:p w:rsidR="00D15E3B" w:rsidRDefault="00D15E3B" w:rsidP="00FE560B">
      <w:pPr>
        <w:pStyle w:val="Corpodetexto"/>
        <w:tabs>
          <w:tab w:val="left" w:pos="0"/>
        </w:tabs>
        <w:spacing w:line="360" w:lineRule="auto"/>
        <w:ind w:left="720"/>
        <w:rPr>
          <w:rFonts w:asciiTheme="minorHAnsi" w:hAnsiTheme="minorHAnsi" w:cs="Calibri"/>
          <w:sz w:val="22"/>
          <w:szCs w:val="22"/>
        </w:rPr>
      </w:pPr>
    </w:p>
    <w:p w:rsidR="000F67FC" w:rsidRPr="00DE2D55" w:rsidRDefault="000F67FC"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Monitoramento e Controle dos Resultados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Instituir, trimestralmente, Reuniões de Análise Estratégica, para avaliação dos resultados do período, do andamento das ações definidas em reuniões anteriores e da necessidade de adequação dos objetivos e estratégias definidos. De tais reuniões deverão resultar recomendações para melhoria e ações corretivas.</w:t>
      </w:r>
    </w:p>
    <w:p w:rsidR="00D15E3B" w:rsidRPr="00DE2D55" w:rsidRDefault="00D15E3B" w:rsidP="00FE560B">
      <w:pPr>
        <w:pStyle w:val="Corpodetexto"/>
        <w:tabs>
          <w:tab w:val="left" w:pos="0"/>
        </w:tabs>
        <w:spacing w:line="360" w:lineRule="auto"/>
        <w:ind w:left="1134"/>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Modelo Institucional de Planejamento e Gestão Estratégica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Estruturar sistema gerencial para suporte ao planejamento e à gestão estratégica da SEFAZ-ES que garanta a adoção dos instrumentos de administração de forma continuada, confiável e eficaz, com ênfase na melhoria contínua quanto à estrutura, estratégias, objetivos, processos e sistemas de controle.</w:t>
      </w:r>
    </w:p>
    <w:p w:rsidR="00D15E3B" w:rsidRPr="00DE2D55" w:rsidRDefault="00D15E3B" w:rsidP="00FE560B">
      <w:pPr>
        <w:tabs>
          <w:tab w:val="left" w:pos="0"/>
        </w:tabs>
        <w:jc w:val="both"/>
        <w:rPr>
          <w:rFonts w:cs="Calibri"/>
          <w:b/>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3" w:name="_Toc517282049"/>
      <w:r w:rsidRPr="00DE2D55">
        <w:rPr>
          <w:rFonts w:cs="Calibri"/>
          <w:b/>
        </w:rPr>
        <w:t>RISC</w:t>
      </w:r>
      <w:r w:rsidR="00555E76">
        <w:rPr>
          <w:rFonts w:cs="Calibri"/>
          <w:b/>
        </w:rPr>
        <w:t xml:space="preserve">OS DE EXECUÇÃO REELACIONADOS AOS </w:t>
      </w:r>
      <w:r w:rsidRPr="00DE2D55">
        <w:rPr>
          <w:rFonts w:cs="Calibri"/>
          <w:b/>
        </w:rPr>
        <w:t>SUBPRODUTO</w:t>
      </w:r>
      <w:bookmarkEnd w:id="23"/>
      <w:r w:rsidRPr="00DE2D55">
        <w:rPr>
          <w:rFonts w:cs="Calibri"/>
          <w:b/>
        </w:rPr>
        <w:t xml:space="preserve"> </w:t>
      </w:r>
    </w:p>
    <w:p w:rsidR="00D15E3B" w:rsidRPr="00DE2D55" w:rsidRDefault="006F1AEB" w:rsidP="00FE560B">
      <w:pPr>
        <w:tabs>
          <w:tab w:val="left" w:pos="0"/>
        </w:tabs>
        <w:jc w:val="both"/>
        <w:rPr>
          <w:rFonts w:cs="Calibri"/>
          <w:b/>
        </w:rPr>
      </w:pPr>
      <w:r>
        <w:rPr>
          <w:rFonts w:cs="Calibri"/>
          <w:b/>
        </w:rPr>
        <w:t>1.6.1</w:t>
      </w:r>
      <w:r w:rsidR="00D15E3B" w:rsidRPr="00DE2D55">
        <w:rPr>
          <w:rFonts w:cs="Calibri"/>
          <w:b/>
        </w:rPr>
        <w:t xml:space="preserve"> – Planejamento estratégico implantado</w:t>
      </w:r>
    </w:p>
    <w:p w:rsidR="00D15E3B" w:rsidRPr="00DE2D55" w:rsidRDefault="00D15E3B" w:rsidP="00FE560B">
      <w:pPr>
        <w:tabs>
          <w:tab w:val="left" w:pos="0"/>
        </w:tabs>
        <w:jc w:val="both"/>
        <w:rPr>
          <w:rFonts w:cs="Calibri"/>
          <w:b/>
        </w:rPr>
      </w:pPr>
      <w:r w:rsidRPr="00DE2D55">
        <w:rPr>
          <w:rFonts w:cs="Calibri"/>
          <w:b/>
        </w:rPr>
        <w:t>a) Planejamento Estratégico</w:t>
      </w:r>
    </w:p>
    <w:p w:rsidR="00D15E3B" w:rsidRPr="00DE2D55" w:rsidRDefault="00D15E3B" w:rsidP="00FE560B">
      <w:pPr>
        <w:pStyle w:val="PargrafodaLista"/>
        <w:tabs>
          <w:tab w:val="left" w:pos="0"/>
        </w:tabs>
        <w:ind w:left="709"/>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 de Trabalho e Diagnóstico Organizacional</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Restrições de tempo das equipes de trabalho;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Resistência dos servidores quanto à participação e prestação das informações; </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Sensibilização e Capacitação do Quadro de Pessoal da SEFAZ-ES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Restrições de tempo das equipes de trabalho;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Resistência dos servidores quanto à participação em relação a novas tecnologias e metodologias. </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Mapa Estratégico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Restrições de servidores e equipe quanto à elaboração, institucionalização e uso do mapa. </w:t>
      </w:r>
    </w:p>
    <w:p w:rsidR="00D15E3B" w:rsidRPr="00DE2D55" w:rsidRDefault="00D15E3B" w:rsidP="00FE560B">
      <w:pPr>
        <w:pStyle w:val="Corpodetexto"/>
        <w:tabs>
          <w:tab w:val="left" w:pos="0"/>
        </w:tabs>
        <w:spacing w:line="360" w:lineRule="auto"/>
        <w:ind w:left="720"/>
        <w:rPr>
          <w:rFonts w:asciiTheme="minorHAnsi" w:hAnsiTheme="minorHAnsi"/>
          <w:spacing w:val="4"/>
          <w:sz w:val="22"/>
          <w:szCs w:val="22"/>
          <w:lang w:eastAsia="en-US"/>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Painel de Indicadores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Ausência de ferramentas e sistemas;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Restrições de pessoal de TI; </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Ausência de pessoal qualificado para elaboração e uso de indicadores. </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Medidas Institucionais e Carteira de Projetos Estruturantes Definidos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Dificuldade na definição dos Projetos Estruturantes. </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 Estratégico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Falta de comprometimento das áreas com a elaboração do Planejamento estratégico;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Atraso na entrega das etapas pela empresa de consultoria;</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Não disseminação e incorporação da cultura de monitoramento das ações; </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Planejamento estratégico não ser utilizado e entendido como importante ferramenta de gestão.</w:t>
      </w:r>
    </w:p>
    <w:p w:rsidR="00D15E3B" w:rsidRPr="00DE2D55" w:rsidRDefault="00D15E3B" w:rsidP="00FE560B">
      <w:pPr>
        <w:tabs>
          <w:tab w:val="left" w:pos="0"/>
        </w:tabs>
        <w:suppressAutoHyphens/>
        <w:jc w:val="both"/>
        <w:rPr>
          <w:rFonts w:cs="Calibri"/>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Comunicação da Estratégia Implementada</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Falta de leitura e entendimento quanto à importância das informações disseminadas.  </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Planos de Ação das Áreas Implementados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Dificuldade para a definição dos objetivos a serem atingidos e os indicadores de medição de execução. </w:t>
      </w:r>
    </w:p>
    <w:p w:rsidR="00D15E3B" w:rsidRPr="00DE2D55" w:rsidRDefault="00D15E3B"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Monitoramento e Controle dos Resultados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Ausência de ferramentas de monitoramento e controle de resultados;</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Comprometimento dos diversos setores para acompanhamento, controle e implantação das ações. </w:t>
      </w:r>
    </w:p>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pStyle w:val="PargrafodaLista"/>
        <w:numPr>
          <w:ilvl w:val="2"/>
          <w:numId w:val="4"/>
        </w:numPr>
        <w:tabs>
          <w:tab w:val="left" w:pos="0"/>
        </w:tabs>
        <w:suppressAutoHyphens/>
        <w:autoSpaceDE w:val="0"/>
        <w:autoSpaceDN w:val="0"/>
        <w:adjustRightInd w:val="0"/>
        <w:jc w:val="both"/>
        <w:rPr>
          <w:rFonts w:cs="Calibri"/>
        </w:rPr>
      </w:pPr>
      <w:r w:rsidRPr="00DE2D55">
        <w:rPr>
          <w:rFonts w:cs="Calibri"/>
        </w:rPr>
        <w:t>Modelo Institucional de Planejamento e Gestão Estratégica Implantado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Resistência quanto ao uso do novo modelo;</w:t>
      </w:r>
    </w:p>
    <w:p w:rsidR="00D15E3B" w:rsidRPr="00DE2D55" w:rsidRDefault="00D15E3B" w:rsidP="00FE560B">
      <w:pPr>
        <w:pStyle w:val="Corpodetexto"/>
        <w:numPr>
          <w:ilvl w:val="0"/>
          <w:numId w:val="2"/>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 xml:space="preserve">Implantação da cultura de planejamento estratégico. </w:t>
      </w:r>
    </w:p>
    <w:p w:rsidR="00D15E3B" w:rsidRPr="00DE2D55" w:rsidRDefault="00D15E3B" w:rsidP="00FE560B">
      <w:pPr>
        <w:tabs>
          <w:tab w:val="left" w:pos="0"/>
        </w:tabs>
        <w:jc w:val="both"/>
        <w:rPr>
          <w:rFonts w:cs="Calibri"/>
          <w:b/>
        </w:rPr>
      </w:pPr>
    </w:p>
    <w:p w:rsidR="00D15E3B" w:rsidRPr="00DE2D55" w:rsidRDefault="00D15E3B" w:rsidP="00FE560B">
      <w:pPr>
        <w:tabs>
          <w:tab w:val="left" w:pos="0"/>
        </w:tabs>
        <w:jc w:val="both"/>
        <w:rPr>
          <w:rFonts w:cs="Calibri"/>
          <w:b/>
        </w:rPr>
      </w:pPr>
      <w:r w:rsidRPr="00DE2D55">
        <w:rPr>
          <w:rFonts w:cs="Calibri"/>
          <w:b/>
        </w:rPr>
        <w:t>b) Metodologia de gerenciamento de processos</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Restrições de tempo das equipes de trabalho;</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Resistência dos servidores quanto à participação em relação a novas tecnologias e metodologias. </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Ausência de ferramentas e sistemas;</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Restrições de pessoal de TI; </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Ausência de pessoal qualificado para elaboração e uso das ferramentas.</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Falta de comprometimento das áreas com a utilização das ferramentas; </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Não disseminação e incorporação da cultura de monitoramento das ações; </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Sistema não ser utilizado e entendido como importante ferramenta de gestão.</w:t>
      </w:r>
    </w:p>
    <w:p w:rsidR="00D15E3B" w:rsidRDefault="00D15E3B" w:rsidP="00FE560B">
      <w:pPr>
        <w:tabs>
          <w:tab w:val="left" w:pos="0"/>
        </w:tabs>
        <w:jc w:val="both"/>
        <w:rPr>
          <w:rFonts w:cs="Calibri"/>
          <w:b/>
        </w:rPr>
      </w:pPr>
    </w:p>
    <w:p w:rsidR="000F67FC" w:rsidRPr="00DE2D55" w:rsidRDefault="000F67FC" w:rsidP="00FE560B">
      <w:pPr>
        <w:tabs>
          <w:tab w:val="left" w:pos="0"/>
        </w:tabs>
        <w:jc w:val="both"/>
        <w:rPr>
          <w:rFonts w:cs="Calibri"/>
          <w:b/>
        </w:rPr>
      </w:pPr>
    </w:p>
    <w:p w:rsidR="00D15E3B" w:rsidRPr="00DE2D55" w:rsidRDefault="006F1AEB" w:rsidP="00FE560B">
      <w:pPr>
        <w:pStyle w:val="PargrafodaLista"/>
        <w:tabs>
          <w:tab w:val="left" w:pos="0"/>
        </w:tabs>
        <w:ind w:left="426"/>
        <w:jc w:val="both"/>
        <w:rPr>
          <w:rFonts w:cs="Calibri"/>
          <w:b/>
        </w:rPr>
      </w:pPr>
      <w:r>
        <w:rPr>
          <w:rFonts w:cs="Calibri"/>
          <w:b/>
        </w:rPr>
        <w:t>1.6</w:t>
      </w:r>
      <w:r w:rsidR="00D15E3B" w:rsidRPr="00DE2D55">
        <w:rPr>
          <w:rFonts w:cs="Calibri"/>
          <w:b/>
        </w:rPr>
        <w:t>.2 – Modelo de gestão de processos administrativos da gestão estadual implantado</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O sucesso da gestão de projetos depende de um planejamento estratégico bem elaborado;</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 falta de capacitação em gestão de projetos pode acarretar em um setor ineficaz;</w:t>
      </w:r>
    </w:p>
    <w:p w:rsidR="00D15E3B" w:rsidRPr="00DE2D55" w:rsidRDefault="00D15E3B" w:rsidP="00FE560B">
      <w:pPr>
        <w:pStyle w:val="Corpodetexto"/>
        <w:numPr>
          <w:ilvl w:val="0"/>
          <w:numId w:val="18"/>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A ausência de gratificação para o líder dos projetos pode gerar desmotivação e limitar a pró atividade dos mesmos. </w:t>
      </w:r>
    </w:p>
    <w:p w:rsidR="00533F4F" w:rsidRPr="00DE2D55" w:rsidRDefault="00533F4F" w:rsidP="00FE560B">
      <w:pPr>
        <w:pStyle w:val="Corpodetexto"/>
        <w:tabs>
          <w:tab w:val="left" w:pos="0"/>
        </w:tabs>
        <w:spacing w:line="360" w:lineRule="auto"/>
        <w:ind w:left="720"/>
        <w:rPr>
          <w:rFonts w:asciiTheme="minorHAnsi" w:hAnsiTheme="minorHAnsi" w:cs="Calibri"/>
          <w:sz w:val="22"/>
          <w:szCs w:val="22"/>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4" w:name="_Toc517282050"/>
      <w:r w:rsidRPr="00DE2D55">
        <w:rPr>
          <w:rFonts w:cs="Calibri"/>
          <w:b/>
        </w:rPr>
        <w:t>QUADRO DE CUSTOS DO SUBPRODUTO POR TIPO DE INVESTIMENTO</w:t>
      </w:r>
      <w:bookmarkEnd w:id="24"/>
    </w:p>
    <w:tbl>
      <w:tblPr>
        <w:tblW w:w="5000" w:type="pct"/>
        <w:tblCellMar>
          <w:left w:w="70" w:type="dxa"/>
          <w:right w:w="70" w:type="dxa"/>
        </w:tblCellMar>
        <w:tblLook w:val="04A0" w:firstRow="1" w:lastRow="0" w:firstColumn="1" w:lastColumn="0" w:noHBand="0" w:noVBand="1"/>
      </w:tblPr>
      <w:tblGrid>
        <w:gridCol w:w="598"/>
        <w:gridCol w:w="4760"/>
        <w:gridCol w:w="854"/>
        <w:gridCol w:w="1722"/>
        <w:gridCol w:w="1831"/>
      </w:tblGrid>
      <w:tr w:rsidR="00D15E3B" w:rsidRPr="00DE2D55" w:rsidTr="00D15E3B">
        <w:trPr>
          <w:trHeight w:val="300"/>
        </w:trPr>
        <w:tc>
          <w:tcPr>
            <w:tcW w:w="284" w:type="pct"/>
            <w:tcBorders>
              <w:top w:val="single" w:sz="4" w:space="0" w:color="000000"/>
              <w:left w:val="single" w:sz="8" w:space="0" w:color="auto"/>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pPr>
            <w:r w:rsidRPr="00DE2D55">
              <w:t> </w:t>
            </w:r>
          </w:p>
        </w:tc>
        <w:tc>
          <w:tcPr>
            <w:tcW w:w="2504" w:type="pct"/>
            <w:tcBorders>
              <w:top w:val="single" w:sz="4" w:space="0" w:color="000000"/>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color w:val="0000FF"/>
              </w:rPr>
            </w:pPr>
            <w:r w:rsidRPr="00DE2D55">
              <w:rPr>
                <w:b/>
                <w:bCs/>
                <w:color w:val="0000FF"/>
              </w:rPr>
              <w:t>CAPACITAÇÃO</w:t>
            </w:r>
          </w:p>
        </w:tc>
        <w:tc>
          <w:tcPr>
            <w:tcW w:w="504" w:type="pct"/>
            <w:tcBorders>
              <w:top w:val="single" w:sz="4" w:space="0" w:color="000000"/>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11" w:type="pct"/>
            <w:tcBorders>
              <w:top w:val="single" w:sz="4" w:space="0" w:color="000000"/>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96" w:type="pct"/>
            <w:tcBorders>
              <w:top w:val="single" w:sz="4" w:space="0" w:color="000000"/>
              <w:left w:val="single" w:sz="4" w:space="0" w:color="000000"/>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xml:space="preserve"> R$          81.000,00 </w:t>
            </w:r>
          </w:p>
        </w:tc>
      </w:tr>
      <w:tr w:rsidR="00D15E3B" w:rsidRPr="00DE2D55" w:rsidTr="00D15E3B">
        <w:trPr>
          <w:trHeight w:val="300"/>
        </w:trPr>
        <w:tc>
          <w:tcPr>
            <w:tcW w:w="284" w:type="pct"/>
            <w:tcBorders>
              <w:top w:val="nil"/>
              <w:left w:val="single" w:sz="8" w:space="0" w:color="auto"/>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SubP</w:t>
            </w:r>
          </w:p>
        </w:tc>
        <w:tc>
          <w:tcPr>
            <w:tcW w:w="2504" w:type="pct"/>
            <w:tcBorders>
              <w:top w:val="nil"/>
              <w:left w:val="nil"/>
              <w:bottom w:val="nil"/>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DESCRIÇÃO</w:t>
            </w:r>
          </w:p>
        </w:tc>
        <w:tc>
          <w:tcPr>
            <w:tcW w:w="504" w:type="pct"/>
            <w:tcBorders>
              <w:top w:val="nil"/>
              <w:left w:val="single" w:sz="4" w:space="0" w:color="000000"/>
              <w:bottom w:val="nil"/>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QT PART.</w:t>
            </w:r>
          </w:p>
        </w:tc>
        <w:tc>
          <w:tcPr>
            <w:tcW w:w="811" w:type="pct"/>
            <w:tcBorders>
              <w:top w:val="nil"/>
              <w:left w:val="nil"/>
              <w:bottom w:val="nil"/>
              <w:right w:val="nil"/>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VALOR UNIT. (R$)</w:t>
            </w:r>
          </w:p>
        </w:tc>
        <w:tc>
          <w:tcPr>
            <w:tcW w:w="896" w:type="pct"/>
            <w:tcBorders>
              <w:top w:val="nil"/>
              <w:left w:val="single" w:sz="4" w:space="0" w:color="000000"/>
              <w:bottom w:val="single" w:sz="4" w:space="0" w:color="000000"/>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 xml:space="preserve">VALOR TOTAL (R$) </w:t>
            </w:r>
          </w:p>
        </w:tc>
      </w:tr>
      <w:tr w:rsidR="00D15E3B" w:rsidRPr="00DE2D55" w:rsidTr="00D15E3B">
        <w:trPr>
          <w:trHeight w:val="30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504"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Capacitação</w:t>
            </w:r>
          </w:p>
        </w:tc>
        <w:tc>
          <w:tcPr>
            <w:tcW w:w="504"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42</w:t>
            </w:r>
          </w:p>
        </w:tc>
        <w:tc>
          <w:tcPr>
            <w:tcW w:w="811"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42.000,00 </w:t>
            </w:r>
          </w:p>
        </w:tc>
      </w:tr>
      <w:tr w:rsidR="00D15E3B" w:rsidRPr="00DE2D55" w:rsidTr="00D15E3B">
        <w:trPr>
          <w:trHeight w:val="30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Visita técnica</w:t>
            </w:r>
          </w:p>
        </w:tc>
        <w:tc>
          <w:tcPr>
            <w:tcW w:w="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4</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2.000,00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8.000,00 </w:t>
            </w:r>
          </w:p>
        </w:tc>
      </w:tr>
      <w:tr w:rsidR="00D15E3B" w:rsidRPr="00DE2D55" w:rsidTr="00D15E3B">
        <w:trPr>
          <w:trHeight w:val="30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Visita técnica</w:t>
            </w:r>
          </w:p>
        </w:tc>
        <w:tc>
          <w:tcPr>
            <w:tcW w:w="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3</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2.000,00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6.000,00 </w:t>
            </w:r>
          </w:p>
        </w:tc>
      </w:tr>
      <w:tr w:rsidR="00D15E3B" w:rsidRPr="00DE2D55" w:rsidTr="00D15E3B">
        <w:trPr>
          <w:trHeight w:val="51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Capacitação e Certificação em gerenciamento de projetos</w:t>
            </w:r>
          </w:p>
        </w:tc>
        <w:tc>
          <w:tcPr>
            <w:tcW w:w="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6</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2.500,00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15.000,00 </w:t>
            </w:r>
          </w:p>
        </w:tc>
      </w:tr>
      <w:tr w:rsidR="00D15E3B" w:rsidRPr="00DE2D55" w:rsidTr="00D15E3B">
        <w:trPr>
          <w:trHeight w:val="51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Curso de elaboração de indicadores e avaliação de resultados</w:t>
            </w:r>
          </w:p>
        </w:tc>
        <w:tc>
          <w:tcPr>
            <w:tcW w:w="504"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10</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10.000,00 </w:t>
            </w:r>
          </w:p>
        </w:tc>
      </w:tr>
      <w:tr w:rsidR="00D15E3B" w:rsidRPr="00DE2D55" w:rsidTr="00D15E3B">
        <w:trPr>
          <w:trHeight w:val="300"/>
        </w:trPr>
        <w:tc>
          <w:tcPr>
            <w:tcW w:w="284" w:type="pct"/>
            <w:tcBorders>
              <w:top w:val="nil"/>
              <w:left w:val="single" w:sz="8" w:space="0" w:color="auto"/>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pPr>
            <w:r w:rsidRPr="00DE2D55">
              <w:t> </w:t>
            </w:r>
          </w:p>
        </w:tc>
        <w:tc>
          <w:tcPr>
            <w:tcW w:w="2504"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color w:val="0000FF"/>
              </w:rPr>
            </w:pPr>
            <w:r w:rsidRPr="00DE2D55">
              <w:rPr>
                <w:b/>
                <w:bCs/>
                <w:color w:val="0000FF"/>
              </w:rPr>
              <w:t>SERVIÇOS DE CONSULTORIA</w:t>
            </w:r>
          </w:p>
        </w:tc>
        <w:tc>
          <w:tcPr>
            <w:tcW w:w="504"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11"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96" w:type="pct"/>
            <w:tcBorders>
              <w:top w:val="nil"/>
              <w:left w:val="single" w:sz="4" w:space="0" w:color="000000"/>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xml:space="preserve"> R$    2.000.000,00 </w:t>
            </w:r>
          </w:p>
        </w:tc>
      </w:tr>
      <w:tr w:rsidR="00D15E3B" w:rsidRPr="00DE2D55" w:rsidTr="00D15E3B">
        <w:trPr>
          <w:trHeight w:val="480"/>
        </w:trPr>
        <w:tc>
          <w:tcPr>
            <w:tcW w:w="284" w:type="pct"/>
            <w:tcBorders>
              <w:top w:val="nil"/>
              <w:left w:val="single" w:sz="8" w:space="0" w:color="auto"/>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SubP</w:t>
            </w:r>
          </w:p>
        </w:tc>
        <w:tc>
          <w:tcPr>
            <w:tcW w:w="2504" w:type="pct"/>
            <w:tcBorders>
              <w:top w:val="nil"/>
              <w:left w:val="nil"/>
              <w:bottom w:val="nil"/>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ÁREA</w:t>
            </w:r>
          </w:p>
        </w:tc>
        <w:tc>
          <w:tcPr>
            <w:tcW w:w="504" w:type="pct"/>
            <w:tcBorders>
              <w:top w:val="nil"/>
              <w:left w:val="single" w:sz="4" w:space="0" w:color="000000"/>
              <w:bottom w:val="nil"/>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QT HS / DIAS</w:t>
            </w:r>
          </w:p>
        </w:tc>
        <w:tc>
          <w:tcPr>
            <w:tcW w:w="811" w:type="pct"/>
            <w:tcBorders>
              <w:top w:val="nil"/>
              <w:left w:val="nil"/>
              <w:bottom w:val="nil"/>
              <w:right w:val="nil"/>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VALOR UNIT. (R$)</w:t>
            </w:r>
          </w:p>
        </w:tc>
        <w:tc>
          <w:tcPr>
            <w:tcW w:w="896" w:type="pct"/>
            <w:tcBorders>
              <w:top w:val="nil"/>
              <w:left w:val="single" w:sz="4" w:space="0" w:color="000000"/>
              <w:bottom w:val="single" w:sz="4" w:space="0" w:color="000000"/>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 xml:space="preserve">VALOR TOTAL (R$) </w:t>
            </w:r>
          </w:p>
        </w:tc>
      </w:tr>
      <w:tr w:rsidR="00D15E3B" w:rsidRPr="00DE2D55" w:rsidTr="00D15E3B">
        <w:trPr>
          <w:trHeight w:val="51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504" w:type="pct"/>
            <w:tcBorders>
              <w:top w:val="single" w:sz="4" w:space="0" w:color="000000"/>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Implantação, gestão e avaliação do Planejamento Estratégico</w:t>
            </w:r>
          </w:p>
        </w:tc>
        <w:tc>
          <w:tcPr>
            <w:tcW w:w="504" w:type="pct"/>
            <w:tcBorders>
              <w:top w:val="single" w:sz="4" w:space="0" w:color="000000"/>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 xml:space="preserve">1 </w:t>
            </w:r>
          </w:p>
        </w:tc>
        <w:tc>
          <w:tcPr>
            <w:tcW w:w="811"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600.000,00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600.000,00 </w:t>
            </w:r>
          </w:p>
        </w:tc>
      </w:tr>
      <w:tr w:rsidR="00D15E3B" w:rsidRPr="00DE2D55" w:rsidTr="00D15E3B">
        <w:trPr>
          <w:trHeight w:val="765"/>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Implantação, gestão e utilização de ferramentas de gerenciamento e automatização de processos</w:t>
            </w:r>
          </w:p>
        </w:tc>
        <w:tc>
          <w:tcPr>
            <w:tcW w:w="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 xml:space="preserve">1 </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R$ 1.000.000,00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 xml:space="preserve"> R$    1.000.000,00 </w:t>
            </w:r>
          </w:p>
        </w:tc>
      </w:tr>
      <w:tr w:rsidR="00D15E3B" w:rsidRPr="00DE2D55" w:rsidTr="00D15E3B">
        <w:trPr>
          <w:trHeight w:val="765"/>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Modelo de Governança de gestão de projetos, com metodologia em análise de riscos</w:t>
            </w:r>
          </w:p>
        </w:tc>
        <w:tc>
          <w:tcPr>
            <w:tcW w:w="504" w:type="pct"/>
            <w:tcBorders>
              <w:top w:val="nil"/>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t xml:space="preserve">1 </w:t>
            </w:r>
          </w:p>
        </w:tc>
        <w:tc>
          <w:tcPr>
            <w:tcW w:w="811"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xml:space="preserve"> R$      400.000,00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xml:space="preserve"> R$        400.000,00 </w:t>
            </w:r>
          </w:p>
        </w:tc>
      </w:tr>
      <w:tr w:rsidR="00D15E3B" w:rsidRPr="00DE2D55" w:rsidTr="00D15E3B">
        <w:trPr>
          <w:trHeight w:val="300"/>
        </w:trPr>
        <w:tc>
          <w:tcPr>
            <w:tcW w:w="284" w:type="pct"/>
            <w:tcBorders>
              <w:top w:val="nil"/>
              <w:left w:val="single" w:sz="8" w:space="0" w:color="auto"/>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pPr>
            <w:r w:rsidRPr="00DE2D55">
              <w:t> </w:t>
            </w:r>
          </w:p>
        </w:tc>
        <w:tc>
          <w:tcPr>
            <w:tcW w:w="2504"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color w:val="0000FF"/>
              </w:rPr>
            </w:pPr>
            <w:r w:rsidRPr="00DE2D55">
              <w:rPr>
                <w:b/>
                <w:bCs/>
                <w:color w:val="0000FF"/>
              </w:rPr>
              <w:t>SERVIÇOS QUE NÃO SÃO DE CONSULTORIA</w:t>
            </w:r>
          </w:p>
        </w:tc>
        <w:tc>
          <w:tcPr>
            <w:tcW w:w="504"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11" w:type="pct"/>
            <w:tcBorders>
              <w:top w:val="nil"/>
              <w:left w:val="nil"/>
              <w:bottom w:val="single" w:sz="4" w:space="0" w:color="000000"/>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w:t>
            </w:r>
          </w:p>
        </w:tc>
        <w:tc>
          <w:tcPr>
            <w:tcW w:w="896" w:type="pct"/>
            <w:tcBorders>
              <w:top w:val="nil"/>
              <w:left w:val="single" w:sz="4" w:space="0" w:color="000000"/>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 xml:space="preserve"> R$        383.000,00 </w:t>
            </w:r>
          </w:p>
        </w:tc>
      </w:tr>
      <w:tr w:rsidR="00D15E3B" w:rsidRPr="00DE2D55" w:rsidTr="00D15E3B">
        <w:trPr>
          <w:trHeight w:val="480"/>
        </w:trPr>
        <w:tc>
          <w:tcPr>
            <w:tcW w:w="284" w:type="pct"/>
            <w:tcBorders>
              <w:top w:val="nil"/>
              <w:left w:val="single" w:sz="8" w:space="0" w:color="auto"/>
              <w:bottom w:val="single" w:sz="4" w:space="0" w:color="000000"/>
              <w:right w:val="single" w:sz="4" w:space="0" w:color="000000"/>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SubP</w:t>
            </w:r>
          </w:p>
        </w:tc>
        <w:tc>
          <w:tcPr>
            <w:tcW w:w="2504" w:type="pct"/>
            <w:tcBorders>
              <w:top w:val="nil"/>
              <w:left w:val="nil"/>
              <w:bottom w:val="nil"/>
              <w:right w:val="nil"/>
            </w:tcBorders>
            <w:shd w:val="clear" w:color="00CCFF" w:fill="D9D9D9"/>
            <w:noWrap/>
            <w:vAlign w:val="center"/>
            <w:hideMark/>
          </w:tcPr>
          <w:p w:rsidR="00D15E3B" w:rsidRPr="00DE2D55" w:rsidRDefault="00D15E3B" w:rsidP="00FE560B">
            <w:pPr>
              <w:tabs>
                <w:tab w:val="left" w:pos="0"/>
              </w:tabs>
              <w:spacing w:line="240" w:lineRule="auto"/>
              <w:jc w:val="both"/>
              <w:rPr>
                <w:b/>
                <w:bCs/>
              </w:rPr>
            </w:pPr>
            <w:r w:rsidRPr="00DE2D55">
              <w:rPr>
                <w:b/>
                <w:bCs/>
              </w:rPr>
              <w:t>ÁREA</w:t>
            </w:r>
          </w:p>
        </w:tc>
        <w:tc>
          <w:tcPr>
            <w:tcW w:w="504" w:type="pct"/>
            <w:tcBorders>
              <w:top w:val="nil"/>
              <w:left w:val="single" w:sz="4" w:space="0" w:color="000000"/>
              <w:bottom w:val="nil"/>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QT HS / DIAS</w:t>
            </w:r>
          </w:p>
        </w:tc>
        <w:tc>
          <w:tcPr>
            <w:tcW w:w="811" w:type="pct"/>
            <w:tcBorders>
              <w:top w:val="nil"/>
              <w:left w:val="nil"/>
              <w:bottom w:val="nil"/>
              <w:right w:val="nil"/>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VALOR UNIT. (R$)</w:t>
            </w:r>
          </w:p>
        </w:tc>
        <w:tc>
          <w:tcPr>
            <w:tcW w:w="896" w:type="pct"/>
            <w:tcBorders>
              <w:top w:val="nil"/>
              <w:left w:val="single" w:sz="4" w:space="0" w:color="000000"/>
              <w:bottom w:val="single" w:sz="4" w:space="0" w:color="000000"/>
              <w:right w:val="single" w:sz="4" w:space="0" w:color="000000"/>
            </w:tcBorders>
            <w:shd w:val="clear" w:color="00CCFF" w:fill="D9D9D9"/>
            <w:vAlign w:val="center"/>
            <w:hideMark/>
          </w:tcPr>
          <w:p w:rsidR="00D15E3B" w:rsidRPr="00DE2D55" w:rsidRDefault="00D15E3B" w:rsidP="00FE560B">
            <w:pPr>
              <w:tabs>
                <w:tab w:val="left" w:pos="0"/>
              </w:tabs>
              <w:spacing w:line="240" w:lineRule="auto"/>
              <w:jc w:val="both"/>
              <w:rPr>
                <w:b/>
                <w:bCs/>
              </w:rPr>
            </w:pPr>
            <w:r w:rsidRPr="00DE2D55">
              <w:rPr>
                <w:b/>
                <w:bCs/>
              </w:rPr>
              <w:t xml:space="preserve">VALOR TOTAL (R$) </w:t>
            </w:r>
          </w:p>
        </w:tc>
      </w:tr>
      <w:tr w:rsidR="00D15E3B" w:rsidRPr="00DE2D55" w:rsidTr="00D15E3B">
        <w:trPr>
          <w:trHeight w:val="1020"/>
        </w:trPr>
        <w:tc>
          <w:tcPr>
            <w:tcW w:w="284"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504" w:type="pct"/>
            <w:tcBorders>
              <w:top w:val="single" w:sz="4" w:space="0" w:color="000000"/>
              <w:left w:val="nil"/>
              <w:bottom w:val="single" w:sz="4" w:space="0" w:color="000000"/>
              <w:right w:val="single" w:sz="4" w:space="0" w:color="000000"/>
            </w:tcBorders>
            <w:shd w:val="clear" w:color="auto" w:fill="auto"/>
            <w:vAlign w:val="center"/>
            <w:hideMark/>
          </w:tcPr>
          <w:p w:rsidR="00D15E3B" w:rsidRPr="00DE2D55" w:rsidRDefault="00D15E3B" w:rsidP="00FE560B">
            <w:pPr>
              <w:tabs>
                <w:tab w:val="left" w:pos="0"/>
              </w:tabs>
              <w:spacing w:line="240" w:lineRule="auto"/>
              <w:jc w:val="both"/>
            </w:pPr>
            <w:r w:rsidRPr="00DE2D55">
              <w:t>Sistema integrado de gestão de planejamento estratégico, acompanhamento de processos e projetos.</w:t>
            </w:r>
          </w:p>
        </w:tc>
        <w:tc>
          <w:tcPr>
            <w:tcW w:w="504"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w:t>
            </w:r>
          </w:p>
        </w:tc>
        <w:tc>
          <w:tcPr>
            <w:tcW w:w="811" w:type="pct"/>
            <w:tcBorders>
              <w:top w:val="single" w:sz="4" w:space="0" w:color="000000"/>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xml:space="preserve"> R$      383.000,00 </w:t>
            </w:r>
          </w:p>
        </w:tc>
        <w:tc>
          <w:tcPr>
            <w:tcW w:w="896" w:type="pct"/>
            <w:tcBorders>
              <w:top w:val="nil"/>
              <w:left w:val="nil"/>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xml:space="preserve"> R$        383.000,00 </w:t>
            </w:r>
          </w:p>
        </w:tc>
      </w:tr>
      <w:tr w:rsidR="00D15E3B" w:rsidRPr="00DE2D55" w:rsidTr="00D15E3B">
        <w:trPr>
          <w:trHeight w:val="300"/>
        </w:trPr>
        <w:tc>
          <w:tcPr>
            <w:tcW w:w="284" w:type="pct"/>
            <w:tcBorders>
              <w:top w:val="nil"/>
              <w:left w:val="single" w:sz="8" w:space="0" w:color="auto"/>
              <w:bottom w:val="nil"/>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w:t>
            </w:r>
          </w:p>
        </w:tc>
        <w:tc>
          <w:tcPr>
            <w:tcW w:w="2504" w:type="pct"/>
            <w:tcBorders>
              <w:top w:val="nil"/>
              <w:left w:val="nil"/>
              <w:bottom w:val="nil"/>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w:t>
            </w:r>
          </w:p>
        </w:tc>
        <w:tc>
          <w:tcPr>
            <w:tcW w:w="504" w:type="pct"/>
            <w:tcBorders>
              <w:top w:val="nil"/>
              <w:left w:val="nil"/>
              <w:bottom w:val="nil"/>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w:t>
            </w:r>
          </w:p>
        </w:tc>
        <w:tc>
          <w:tcPr>
            <w:tcW w:w="811" w:type="pct"/>
            <w:tcBorders>
              <w:top w:val="nil"/>
              <w:left w:val="nil"/>
              <w:bottom w:val="nil"/>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w:t>
            </w:r>
          </w:p>
        </w:tc>
        <w:tc>
          <w:tcPr>
            <w:tcW w:w="896" w:type="pct"/>
            <w:tcBorders>
              <w:top w:val="nil"/>
              <w:left w:val="nil"/>
              <w:bottom w:val="nil"/>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 </w:t>
            </w:r>
          </w:p>
        </w:tc>
      </w:tr>
      <w:tr w:rsidR="00D15E3B" w:rsidRPr="00DE2D55" w:rsidTr="00D15E3B">
        <w:trPr>
          <w:trHeight w:val="300"/>
        </w:trPr>
        <w:tc>
          <w:tcPr>
            <w:tcW w:w="410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b/>
                <w:bCs/>
                <w:color w:val="000000"/>
              </w:rPr>
            </w:pPr>
            <w:r w:rsidRPr="00DE2D55">
              <w:rPr>
                <w:b/>
                <w:bCs/>
                <w:color w:val="000000"/>
              </w:rPr>
              <w:t>Total do projeto</w:t>
            </w:r>
          </w:p>
        </w:tc>
        <w:tc>
          <w:tcPr>
            <w:tcW w:w="896" w:type="pct"/>
            <w:tcBorders>
              <w:top w:val="single" w:sz="4" w:space="0" w:color="auto"/>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b/>
                <w:bCs/>
                <w:color w:val="000000"/>
              </w:rPr>
            </w:pPr>
            <w:r w:rsidRPr="00DE2D55">
              <w:rPr>
                <w:b/>
                <w:bCs/>
                <w:color w:val="000000"/>
              </w:rPr>
              <w:t xml:space="preserve"> R$   2.464.000,00 </w:t>
            </w:r>
          </w:p>
        </w:tc>
      </w:tr>
    </w:tbl>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Default="00D15E3B" w:rsidP="00FE560B">
      <w:pPr>
        <w:pStyle w:val="Corpodetexto"/>
        <w:tabs>
          <w:tab w:val="left" w:pos="0"/>
        </w:tabs>
        <w:spacing w:line="360" w:lineRule="auto"/>
        <w:rPr>
          <w:rFonts w:asciiTheme="minorHAnsi" w:hAnsiTheme="minorHAnsi" w:cs="Calibri"/>
          <w:sz w:val="22"/>
          <w:szCs w:val="22"/>
        </w:rPr>
      </w:pPr>
    </w:p>
    <w:p w:rsidR="006F1AEB" w:rsidRDefault="006F1AEB" w:rsidP="00FE560B">
      <w:pPr>
        <w:pStyle w:val="Corpodetexto"/>
        <w:tabs>
          <w:tab w:val="left" w:pos="0"/>
        </w:tabs>
        <w:spacing w:line="360" w:lineRule="auto"/>
        <w:rPr>
          <w:rFonts w:asciiTheme="minorHAnsi" w:hAnsiTheme="minorHAnsi" w:cs="Calibri"/>
          <w:sz w:val="22"/>
          <w:szCs w:val="22"/>
        </w:rPr>
      </w:pPr>
    </w:p>
    <w:p w:rsidR="006F1AEB" w:rsidRDefault="006F1AEB" w:rsidP="00FE560B">
      <w:pPr>
        <w:pStyle w:val="Corpodetexto"/>
        <w:tabs>
          <w:tab w:val="left" w:pos="0"/>
        </w:tabs>
        <w:spacing w:line="360" w:lineRule="auto"/>
        <w:rPr>
          <w:rFonts w:asciiTheme="minorHAnsi" w:hAnsiTheme="minorHAnsi" w:cs="Calibri"/>
          <w:sz w:val="22"/>
          <w:szCs w:val="22"/>
        </w:rPr>
      </w:pPr>
    </w:p>
    <w:p w:rsidR="006F1AEB" w:rsidRDefault="006F1AEB" w:rsidP="00FE560B">
      <w:pPr>
        <w:pStyle w:val="Corpodetexto"/>
        <w:tabs>
          <w:tab w:val="left" w:pos="0"/>
        </w:tabs>
        <w:spacing w:line="360" w:lineRule="auto"/>
        <w:rPr>
          <w:rFonts w:asciiTheme="minorHAnsi" w:hAnsiTheme="minorHAnsi" w:cs="Calibri"/>
          <w:sz w:val="22"/>
          <w:szCs w:val="22"/>
        </w:rPr>
      </w:pPr>
    </w:p>
    <w:p w:rsidR="006F1AEB" w:rsidRDefault="006F1AE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A249C9">
      <w:pPr>
        <w:pStyle w:val="PargrafodaLista"/>
        <w:numPr>
          <w:ilvl w:val="1"/>
          <w:numId w:val="84"/>
        </w:numPr>
        <w:pBdr>
          <w:bottom w:val="single" w:sz="12" w:space="1" w:color="auto"/>
        </w:pBdr>
        <w:tabs>
          <w:tab w:val="left" w:pos="0"/>
          <w:tab w:val="left" w:pos="426"/>
        </w:tabs>
        <w:jc w:val="both"/>
        <w:outlineLvl w:val="2"/>
        <w:rPr>
          <w:rFonts w:cs="Calibri"/>
          <w:b/>
        </w:rPr>
      </w:pPr>
      <w:bookmarkStart w:id="25" w:name="_Toc517282051"/>
      <w:r w:rsidRPr="00DE2D55">
        <w:rPr>
          <w:rFonts w:cs="Calibri"/>
          <w:b/>
        </w:rPr>
        <w:t>CRONOGRAMA DE DESEMBOLSO PROPOSTO</w:t>
      </w:r>
      <w:bookmarkEnd w:id="25"/>
    </w:p>
    <w:p w:rsidR="00D15E3B" w:rsidRPr="00DE2D55" w:rsidRDefault="00D15E3B" w:rsidP="00FE560B">
      <w:pPr>
        <w:pStyle w:val="Corpodetexto"/>
        <w:tabs>
          <w:tab w:val="left" w:pos="0"/>
        </w:tabs>
        <w:spacing w:line="360" w:lineRule="auto"/>
        <w:rPr>
          <w:rFonts w:asciiTheme="minorHAnsi" w:hAnsiTheme="minorHAnsi" w:cs="Calibri"/>
          <w:b/>
          <w:sz w:val="22"/>
          <w:szCs w:val="22"/>
        </w:rPr>
      </w:pPr>
    </w:p>
    <w:tbl>
      <w:tblPr>
        <w:tblW w:w="5000" w:type="pct"/>
        <w:tblCellMar>
          <w:left w:w="70" w:type="dxa"/>
          <w:right w:w="70" w:type="dxa"/>
        </w:tblCellMar>
        <w:tblLook w:val="04A0" w:firstRow="1" w:lastRow="0" w:firstColumn="1" w:lastColumn="0" w:noHBand="0" w:noVBand="1"/>
      </w:tblPr>
      <w:tblGrid>
        <w:gridCol w:w="643"/>
        <w:gridCol w:w="4239"/>
        <w:gridCol w:w="488"/>
        <w:gridCol w:w="490"/>
        <w:gridCol w:w="490"/>
        <w:gridCol w:w="490"/>
        <w:gridCol w:w="488"/>
        <w:gridCol w:w="488"/>
        <w:gridCol w:w="492"/>
        <w:gridCol w:w="492"/>
        <w:gridCol w:w="488"/>
        <w:gridCol w:w="472"/>
      </w:tblGrid>
      <w:tr w:rsidR="00D15E3B" w:rsidRPr="00DE2D55" w:rsidTr="00D15E3B">
        <w:trPr>
          <w:trHeight w:val="315"/>
        </w:trPr>
        <w:tc>
          <w:tcPr>
            <w:tcW w:w="329" w:type="pct"/>
            <w:tcBorders>
              <w:top w:val="single" w:sz="8" w:space="0" w:color="auto"/>
              <w:left w:val="single" w:sz="8" w:space="0" w:color="auto"/>
              <w:bottom w:val="single" w:sz="8" w:space="0" w:color="auto"/>
              <w:right w:val="single" w:sz="8" w:space="0" w:color="auto"/>
            </w:tcBorders>
            <w:shd w:val="clear" w:color="000000" w:fill="C5E0B3"/>
            <w:vAlign w:val="center"/>
            <w:hideMark/>
          </w:tcPr>
          <w:p w:rsidR="00D15E3B" w:rsidRPr="00DE2D55" w:rsidRDefault="00D15E3B" w:rsidP="00FE560B">
            <w:pPr>
              <w:tabs>
                <w:tab w:val="left" w:pos="0"/>
              </w:tabs>
              <w:spacing w:line="240" w:lineRule="auto"/>
              <w:jc w:val="both"/>
              <w:rPr>
                <w:b/>
                <w:bCs/>
                <w:color w:val="000000"/>
              </w:rPr>
            </w:pPr>
            <w:r w:rsidRPr="00DE2D55">
              <w:rPr>
                <w:rFonts w:cs="Calibri"/>
                <w:b/>
                <w:bCs/>
                <w:color w:val="000000"/>
              </w:rPr>
              <w:t>SubP</w:t>
            </w:r>
          </w:p>
        </w:tc>
        <w:tc>
          <w:tcPr>
            <w:tcW w:w="2171" w:type="pct"/>
            <w:tcBorders>
              <w:top w:val="single" w:sz="8" w:space="0" w:color="auto"/>
              <w:left w:val="nil"/>
              <w:bottom w:val="single" w:sz="8" w:space="0" w:color="auto"/>
              <w:right w:val="single" w:sz="8" w:space="0" w:color="auto"/>
            </w:tcBorders>
            <w:shd w:val="clear" w:color="000000" w:fill="C5E0B3"/>
            <w:vAlign w:val="center"/>
            <w:hideMark/>
          </w:tcPr>
          <w:p w:rsidR="00D15E3B" w:rsidRPr="00DE2D55" w:rsidRDefault="00D15E3B" w:rsidP="00FE560B">
            <w:pPr>
              <w:tabs>
                <w:tab w:val="left" w:pos="0"/>
              </w:tabs>
              <w:spacing w:line="240" w:lineRule="auto"/>
              <w:jc w:val="both"/>
              <w:rPr>
                <w:b/>
                <w:bCs/>
                <w:color w:val="000000"/>
              </w:rPr>
            </w:pPr>
            <w:r w:rsidRPr="00DE2D55">
              <w:rPr>
                <w:rFonts w:cs="Calibri"/>
                <w:b/>
                <w:bCs/>
                <w:color w:val="000000"/>
              </w:rPr>
              <w:t>Item de Custo</w:t>
            </w:r>
          </w:p>
        </w:tc>
        <w:tc>
          <w:tcPr>
            <w:tcW w:w="501" w:type="pct"/>
            <w:gridSpan w:val="2"/>
            <w:tcBorders>
              <w:top w:val="single" w:sz="8" w:space="0" w:color="auto"/>
              <w:left w:val="nil"/>
              <w:bottom w:val="single" w:sz="8" w:space="0" w:color="auto"/>
              <w:right w:val="single" w:sz="8" w:space="0" w:color="000000"/>
            </w:tcBorders>
            <w:shd w:val="clear" w:color="000000" w:fill="C5E0B3"/>
            <w:vAlign w:val="center"/>
            <w:hideMark/>
          </w:tcPr>
          <w:p w:rsidR="00D15E3B" w:rsidRPr="00DE2D55" w:rsidRDefault="00D15E3B" w:rsidP="00FE560B">
            <w:pPr>
              <w:tabs>
                <w:tab w:val="left" w:pos="0"/>
              </w:tabs>
              <w:spacing w:line="240" w:lineRule="auto"/>
              <w:jc w:val="center"/>
              <w:rPr>
                <w:b/>
                <w:bCs/>
                <w:color w:val="000000"/>
              </w:rPr>
            </w:pPr>
            <w:r w:rsidRPr="00DE2D55">
              <w:rPr>
                <w:rFonts w:cs="Calibri"/>
                <w:b/>
                <w:bCs/>
                <w:color w:val="000000"/>
              </w:rPr>
              <w:t>2019</w:t>
            </w:r>
          </w:p>
        </w:tc>
        <w:tc>
          <w:tcPr>
            <w:tcW w:w="502" w:type="pct"/>
            <w:gridSpan w:val="2"/>
            <w:tcBorders>
              <w:top w:val="single" w:sz="8" w:space="0" w:color="auto"/>
              <w:left w:val="nil"/>
              <w:bottom w:val="single" w:sz="8" w:space="0" w:color="auto"/>
              <w:right w:val="single" w:sz="8" w:space="0" w:color="000000"/>
            </w:tcBorders>
            <w:shd w:val="clear" w:color="000000" w:fill="C5E0B3"/>
            <w:vAlign w:val="center"/>
            <w:hideMark/>
          </w:tcPr>
          <w:p w:rsidR="00D15E3B" w:rsidRPr="00DE2D55" w:rsidRDefault="00D15E3B" w:rsidP="00FE560B">
            <w:pPr>
              <w:tabs>
                <w:tab w:val="left" w:pos="0"/>
              </w:tabs>
              <w:spacing w:line="240" w:lineRule="auto"/>
              <w:jc w:val="center"/>
              <w:rPr>
                <w:b/>
                <w:bCs/>
                <w:color w:val="000000"/>
              </w:rPr>
            </w:pPr>
            <w:r w:rsidRPr="00DE2D55">
              <w:rPr>
                <w:rFonts w:cs="Calibri"/>
                <w:b/>
                <w:bCs/>
                <w:color w:val="000000"/>
              </w:rPr>
              <w:t>2020</w:t>
            </w:r>
          </w:p>
        </w:tc>
        <w:tc>
          <w:tcPr>
            <w:tcW w:w="500" w:type="pct"/>
            <w:gridSpan w:val="2"/>
            <w:tcBorders>
              <w:top w:val="single" w:sz="8" w:space="0" w:color="auto"/>
              <w:left w:val="nil"/>
              <w:bottom w:val="single" w:sz="8" w:space="0" w:color="auto"/>
              <w:right w:val="single" w:sz="8" w:space="0" w:color="000000"/>
            </w:tcBorders>
            <w:shd w:val="clear" w:color="000000" w:fill="C5E0B3"/>
            <w:vAlign w:val="center"/>
            <w:hideMark/>
          </w:tcPr>
          <w:p w:rsidR="00D15E3B" w:rsidRPr="00DE2D55" w:rsidRDefault="00D15E3B" w:rsidP="00FE560B">
            <w:pPr>
              <w:tabs>
                <w:tab w:val="left" w:pos="0"/>
              </w:tabs>
              <w:spacing w:line="240" w:lineRule="auto"/>
              <w:jc w:val="center"/>
              <w:rPr>
                <w:b/>
                <w:bCs/>
                <w:color w:val="000000"/>
              </w:rPr>
            </w:pPr>
            <w:r w:rsidRPr="00DE2D55">
              <w:rPr>
                <w:rFonts w:cs="Calibri"/>
                <w:b/>
                <w:bCs/>
                <w:color w:val="000000"/>
              </w:rPr>
              <w:t>2021</w:t>
            </w:r>
          </w:p>
        </w:tc>
        <w:tc>
          <w:tcPr>
            <w:tcW w:w="504" w:type="pct"/>
            <w:gridSpan w:val="2"/>
            <w:tcBorders>
              <w:top w:val="single" w:sz="8" w:space="0" w:color="auto"/>
              <w:left w:val="nil"/>
              <w:bottom w:val="single" w:sz="8" w:space="0" w:color="auto"/>
              <w:right w:val="single" w:sz="8" w:space="0" w:color="000000"/>
            </w:tcBorders>
            <w:shd w:val="clear" w:color="000000" w:fill="C5E0B3"/>
            <w:vAlign w:val="center"/>
            <w:hideMark/>
          </w:tcPr>
          <w:p w:rsidR="00D15E3B" w:rsidRPr="00DE2D55" w:rsidRDefault="00D15E3B" w:rsidP="00FE560B">
            <w:pPr>
              <w:tabs>
                <w:tab w:val="left" w:pos="0"/>
              </w:tabs>
              <w:spacing w:line="240" w:lineRule="auto"/>
              <w:jc w:val="center"/>
              <w:rPr>
                <w:b/>
                <w:bCs/>
                <w:color w:val="000000"/>
              </w:rPr>
            </w:pPr>
            <w:r w:rsidRPr="00DE2D55">
              <w:rPr>
                <w:rFonts w:cs="Calibri"/>
                <w:b/>
                <w:bCs/>
                <w:color w:val="000000"/>
              </w:rPr>
              <w:t>2022</w:t>
            </w:r>
          </w:p>
        </w:tc>
        <w:tc>
          <w:tcPr>
            <w:tcW w:w="492" w:type="pct"/>
            <w:gridSpan w:val="2"/>
            <w:tcBorders>
              <w:top w:val="single" w:sz="8" w:space="0" w:color="auto"/>
              <w:left w:val="nil"/>
              <w:bottom w:val="single" w:sz="8" w:space="0" w:color="auto"/>
              <w:right w:val="single" w:sz="8" w:space="0" w:color="000000"/>
            </w:tcBorders>
            <w:shd w:val="clear" w:color="000000" w:fill="C5E0B3"/>
            <w:vAlign w:val="center"/>
            <w:hideMark/>
          </w:tcPr>
          <w:p w:rsidR="00D15E3B" w:rsidRPr="00DE2D55" w:rsidRDefault="00D15E3B" w:rsidP="00FE560B">
            <w:pPr>
              <w:tabs>
                <w:tab w:val="left" w:pos="0"/>
              </w:tabs>
              <w:spacing w:line="240" w:lineRule="auto"/>
              <w:jc w:val="center"/>
              <w:rPr>
                <w:b/>
                <w:bCs/>
                <w:color w:val="000000"/>
              </w:rPr>
            </w:pPr>
            <w:r w:rsidRPr="00DE2D55">
              <w:rPr>
                <w:rFonts w:cs="Calibri"/>
                <w:b/>
                <w:bCs/>
                <w:color w:val="000000"/>
              </w:rPr>
              <w:t>2023</w:t>
            </w:r>
          </w:p>
        </w:tc>
      </w:tr>
      <w:tr w:rsidR="00D15E3B" w:rsidRPr="00DE2D55" w:rsidTr="00D15E3B">
        <w:trPr>
          <w:trHeight w:val="51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Capacitação em planejamento estratégico e gestão de processos</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30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171" w:type="pct"/>
            <w:tcBorders>
              <w:top w:val="nil"/>
              <w:left w:val="nil"/>
              <w:bottom w:val="single" w:sz="4" w:space="0" w:color="000000"/>
              <w:right w:val="nil"/>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Visita técnica</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30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171" w:type="pct"/>
            <w:tcBorders>
              <w:top w:val="nil"/>
              <w:left w:val="nil"/>
              <w:bottom w:val="single" w:sz="4" w:space="0" w:color="000000"/>
              <w:right w:val="nil"/>
            </w:tcBorders>
            <w:shd w:val="clear" w:color="auto" w:fill="auto"/>
            <w:noWrap/>
            <w:vAlign w:val="center"/>
            <w:hideMark/>
          </w:tcPr>
          <w:p w:rsidR="00D15E3B" w:rsidRPr="00DE2D55" w:rsidRDefault="00D15E3B" w:rsidP="00FE560B">
            <w:pPr>
              <w:tabs>
                <w:tab w:val="left" w:pos="0"/>
              </w:tabs>
              <w:spacing w:line="240" w:lineRule="auto"/>
              <w:jc w:val="both"/>
            </w:pPr>
            <w:r w:rsidRPr="00DE2D55">
              <w:rPr>
                <w:rFonts w:cs="Calibri"/>
              </w:rPr>
              <w:t>Visita técnica</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51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Capacitação e Certificação em gerenciamento de projetos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51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Curso de elaboração de indicadores e avaliação de resultados</w:t>
            </w:r>
          </w:p>
        </w:tc>
        <w:tc>
          <w:tcPr>
            <w:tcW w:w="250" w:type="pct"/>
            <w:tcBorders>
              <w:top w:val="nil"/>
              <w:left w:val="single" w:sz="4" w:space="0" w:color="auto"/>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510"/>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Implantação, gestão e avaliação do Planejamento Estratégico</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765"/>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1.1.1</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Implantação, gestão e utilização de ferramentas de gerenciamento e automatização de processos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765"/>
        </w:trPr>
        <w:tc>
          <w:tcPr>
            <w:tcW w:w="329" w:type="pct"/>
            <w:tcBorders>
              <w:top w:val="nil"/>
              <w:left w:val="single" w:sz="8" w:space="0" w:color="auto"/>
              <w:bottom w:val="single" w:sz="4" w:space="0" w:color="000000"/>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171" w:type="pct"/>
            <w:tcBorders>
              <w:top w:val="nil"/>
              <w:left w:val="nil"/>
              <w:bottom w:val="single" w:sz="4" w:space="0" w:color="000000"/>
              <w:right w:val="nil"/>
            </w:tcBorders>
            <w:shd w:val="clear" w:color="auto" w:fill="auto"/>
            <w:vAlign w:val="center"/>
            <w:hideMark/>
          </w:tcPr>
          <w:p w:rsidR="00D15E3B" w:rsidRPr="00DE2D55" w:rsidRDefault="00D15E3B" w:rsidP="00FE560B">
            <w:pPr>
              <w:tabs>
                <w:tab w:val="left" w:pos="0"/>
              </w:tabs>
              <w:spacing w:line="240" w:lineRule="auto"/>
              <w:jc w:val="both"/>
            </w:pPr>
            <w:r w:rsidRPr="00DE2D55">
              <w:rPr>
                <w:rFonts w:cs="Calibri"/>
              </w:rPr>
              <w:t>Modelo de Governança de gestão de projetos, com metodologia em análise de riscos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1"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4"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2" w:type="pct"/>
            <w:tcBorders>
              <w:top w:val="nil"/>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4"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4" w:space="0" w:color="auto"/>
              <w:right w:val="single" w:sz="8"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r>
      <w:tr w:rsidR="00D15E3B" w:rsidRPr="00DE2D55" w:rsidTr="00D15E3B">
        <w:trPr>
          <w:trHeight w:val="780"/>
        </w:trPr>
        <w:tc>
          <w:tcPr>
            <w:tcW w:w="329" w:type="pct"/>
            <w:tcBorders>
              <w:top w:val="nil"/>
              <w:left w:val="single" w:sz="8" w:space="0" w:color="auto"/>
              <w:bottom w:val="single" w:sz="8" w:space="0" w:color="auto"/>
              <w:right w:val="single" w:sz="4" w:space="0" w:color="000000"/>
            </w:tcBorders>
            <w:shd w:val="clear" w:color="auto" w:fill="auto"/>
            <w:noWrap/>
            <w:vAlign w:val="center"/>
            <w:hideMark/>
          </w:tcPr>
          <w:p w:rsidR="00D15E3B" w:rsidRPr="00DE2D55" w:rsidRDefault="00D15E3B" w:rsidP="00FE560B">
            <w:pPr>
              <w:tabs>
                <w:tab w:val="left" w:pos="0"/>
              </w:tabs>
              <w:spacing w:line="240" w:lineRule="auto"/>
              <w:jc w:val="both"/>
            </w:pPr>
            <w:r w:rsidRPr="00DE2D55">
              <w:t>1.1.2</w:t>
            </w:r>
          </w:p>
        </w:tc>
        <w:tc>
          <w:tcPr>
            <w:tcW w:w="2171" w:type="pct"/>
            <w:tcBorders>
              <w:top w:val="nil"/>
              <w:left w:val="nil"/>
              <w:bottom w:val="single" w:sz="8" w:space="0" w:color="auto"/>
              <w:right w:val="nil"/>
            </w:tcBorders>
            <w:shd w:val="clear" w:color="auto" w:fill="auto"/>
            <w:vAlign w:val="center"/>
            <w:hideMark/>
          </w:tcPr>
          <w:p w:rsidR="00D15E3B" w:rsidRPr="00DE2D55" w:rsidRDefault="00D15E3B" w:rsidP="00FE560B">
            <w:pPr>
              <w:tabs>
                <w:tab w:val="left" w:pos="0"/>
              </w:tabs>
              <w:spacing w:line="240" w:lineRule="auto"/>
              <w:jc w:val="both"/>
            </w:pPr>
            <w:r w:rsidRPr="00DE2D55">
              <w:t>Sistema integrado de gestão de planejamento estratégico, acompanhamento de processos e projetos.</w:t>
            </w:r>
          </w:p>
        </w:tc>
        <w:tc>
          <w:tcPr>
            <w:tcW w:w="250" w:type="pct"/>
            <w:tcBorders>
              <w:top w:val="nil"/>
              <w:left w:val="single" w:sz="4" w:space="0" w:color="auto"/>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1" w:type="pct"/>
            <w:tcBorders>
              <w:top w:val="nil"/>
              <w:left w:val="nil"/>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50" w:type="pct"/>
            <w:tcBorders>
              <w:top w:val="nil"/>
              <w:left w:val="nil"/>
              <w:bottom w:val="single" w:sz="8"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8"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2" w:type="pct"/>
            <w:tcBorders>
              <w:top w:val="nil"/>
              <w:left w:val="nil"/>
              <w:bottom w:val="single" w:sz="8" w:space="0" w:color="auto"/>
              <w:right w:val="single" w:sz="4" w:space="0" w:color="auto"/>
            </w:tcBorders>
            <w:shd w:val="clear" w:color="auto" w:fill="auto"/>
            <w:vAlign w:val="center"/>
            <w:hideMark/>
          </w:tcPr>
          <w:p w:rsidR="00D15E3B" w:rsidRPr="00DE2D55" w:rsidRDefault="00D15E3B" w:rsidP="00FE560B">
            <w:pPr>
              <w:tabs>
                <w:tab w:val="left" w:pos="0"/>
              </w:tabs>
              <w:spacing w:line="240" w:lineRule="auto"/>
              <w:jc w:val="both"/>
              <w:rPr>
                <w:color w:val="000000"/>
              </w:rPr>
            </w:pPr>
            <w:r w:rsidRPr="00DE2D55">
              <w:rPr>
                <w:rFonts w:cs="Calibri"/>
                <w:color w:val="000000"/>
              </w:rPr>
              <w:t>x</w:t>
            </w:r>
          </w:p>
        </w:tc>
        <w:tc>
          <w:tcPr>
            <w:tcW w:w="250" w:type="pct"/>
            <w:tcBorders>
              <w:top w:val="nil"/>
              <w:left w:val="nil"/>
              <w:bottom w:val="single" w:sz="8" w:space="0" w:color="auto"/>
              <w:right w:val="single" w:sz="4"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c>
          <w:tcPr>
            <w:tcW w:w="242" w:type="pct"/>
            <w:tcBorders>
              <w:top w:val="nil"/>
              <w:left w:val="nil"/>
              <w:bottom w:val="single" w:sz="8" w:space="0" w:color="auto"/>
              <w:right w:val="single" w:sz="8" w:space="0" w:color="auto"/>
            </w:tcBorders>
            <w:shd w:val="clear" w:color="auto" w:fill="auto"/>
            <w:noWrap/>
            <w:vAlign w:val="bottom"/>
            <w:hideMark/>
          </w:tcPr>
          <w:p w:rsidR="00D15E3B" w:rsidRPr="00DE2D55" w:rsidRDefault="00D15E3B" w:rsidP="00FE560B">
            <w:pPr>
              <w:tabs>
                <w:tab w:val="left" w:pos="0"/>
              </w:tabs>
              <w:spacing w:line="240" w:lineRule="auto"/>
              <w:jc w:val="both"/>
              <w:rPr>
                <w:color w:val="000000"/>
              </w:rPr>
            </w:pPr>
            <w:r w:rsidRPr="00DE2D55">
              <w:rPr>
                <w:color w:val="000000"/>
              </w:rPr>
              <w:t> </w:t>
            </w:r>
          </w:p>
        </w:tc>
      </w:tr>
    </w:tbl>
    <w:p w:rsidR="00D15E3B" w:rsidRPr="00DE2D55" w:rsidRDefault="00D15E3B" w:rsidP="00FE560B">
      <w:pPr>
        <w:pStyle w:val="Corpodetexto"/>
        <w:tabs>
          <w:tab w:val="left" w:pos="0"/>
        </w:tabs>
        <w:spacing w:line="360" w:lineRule="auto"/>
        <w:rPr>
          <w:rFonts w:asciiTheme="minorHAnsi" w:hAnsiTheme="minorHAnsi" w:cs="Calibri"/>
          <w:sz w:val="22"/>
          <w:szCs w:val="22"/>
        </w:rPr>
      </w:pPr>
    </w:p>
    <w:p w:rsidR="00D15E3B" w:rsidRPr="00DE2D55" w:rsidRDefault="00D15E3B" w:rsidP="00FE560B">
      <w:pPr>
        <w:tabs>
          <w:tab w:val="left" w:pos="0"/>
        </w:tabs>
        <w:jc w:val="both"/>
        <w:rPr>
          <w:rFonts w:eastAsia="Times New Roman" w:cs="Arial"/>
          <w:color w:val="996633"/>
          <w:lang w:eastAsia="pt-BR"/>
        </w:rPr>
      </w:pPr>
      <w:r w:rsidRPr="00DE2D55">
        <w:rPr>
          <w:rFonts w:eastAsia="Times New Roman" w:cs="Arial"/>
          <w:color w:val="996633"/>
          <w:lang w:eastAsia="pt-BR"/>
        </w:rPr>
        <w:br w:type="page"/>
      </w:r>
    </w:p>
    <w:p w:rsidR="008E4A8D" w:rsidRPr="00DE2D55" w:rsidRDefault="008E4A8D" w:rsidP="00FE560B">
      <w:pPr>
        <w:pStyle w:val="Ttulo2"/>
        <w:tabs>
          <w:tab w:val="left" w:pos="0"/>
        </w:tabs>
        <w:spacing w:before="0"/>
        <w:jc w:val="both"/>
        <w:rPr>
          <w:rFonts w:asciiTheme="minorHAnsi" w:eastAsia="Times New Roman" w:hAnsiTheme="minorHAnsi" w:cs="Arial"/>
          <w:sz w:val="22"/>
          <w:szCs w:val="22"/>
          <w:lang w:eastAsia="pt-BR"/>
        </w:rPr>
      </w:pPr>
      <w:bookmarkStart w:id="26" w:name="_Toc517282052"/>
      <w:r w:rsidRPr="00DE2D55">
        <w:rPr>
          <w:rFonts w:asciiTheme="minorHAnsi" w:eastAsia="Times New Roman" w:hAnsiTheme="minorHAnsi" w:cs="Arial"/>
          <w:sz w:val="22"/>
          <w:szCs w:val="22"/>
          <w:lang w:eastAsia="pt-BR"/>
        </w:rPr>
        <w:t>PRODUTO 2. MODELO DE GESTÃO DE PROCESSOS ADMINISTRATIVOS DA GESTÃO ESTADUAL IMPLANTADO</w:t>
      </w:r>
      <w:bookmarkEnd w:id="26"/>
    </w:p>
    <w:p w:rsidR="008E4A8D" w:rsidRDefault="008E4A8D" w:rsidP="00FE560B">
      <w:pPr>
        <w:pStyle w:val="Corpodetexto"/>
        <w:tabs>
          <w:tab w:val="left" w:pos="0"/>
        </w:tabs>
        <w:spacing w:line="360" w:lineRule="auto"/>
        <w:rPr>
          <w:rFonts w:asciiTheme="minorHAnsi" w:hAnsiTheme="minorHAnsi" w:cs="Calibri"/>
          <w:b/>
          <w:sz w:val="22"/>
          <w:szCs w:val="22"/>
        </w:rPr>
      </w:pPr>
    </w:p>
    <w:p w:rsidR="00860C05" w:rsidRPr="00DE2D55" w:rsidRDefault="00860C05" w:rsidP="00FE560B">
      <w:pPr>
        <w:pStyle w:val="Corpodetexto"/>
        <w:tabs>
          <w:tab w:val="left" w:pos="0"/>
        </w:tabs>
        <w:spacing w:line="360" w:lineRule="auto"/>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5"/>
      </w:tblGrid>
      <w:tr w:rsidR="008E4A8D" w:rsidRPr="00DE2D55" w:rsidTr="00860C05">
        <w:trPr>
          <w:trHeight w:val="2546"/>
        </w:trPr>
        <w:tc>
          <w:tcPr>
            <w:tcW w:w="9765" w:type="dxa"/>
            <w:tcBorders>
              <w:top w:val="single" w:sz="4" w:space="0" w:color="auto"/>
              <w:left w:val="nil"/>
              <w:bottom w:val="single" w:sz="4" w:space="0" w:color="auto"/>
              <w:right w:val="nil"/>
            </w:tcBorders>
            <w:shd w:val="clear" w:color="auto" w:fill="D5DCE4"/>
          </w:tcPr>
          <w:p w:rsidR="008E4A8D" w:rsidRPr="00DE2D55" w:rsidRDefault="008E4A8D"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8E4A8D" w:rsidRPr="00DE2D55" w:rsidRDefault="008E4A8D" w:rsidP="00FE560B">
            <w:pPr>
              <w:shd w:val="clear" w:color="auto" w:fill="D5DCE4"/>
              <w:tabs>
                <w:tab w:val="left" w:pos="0"/>
              </w:tabs>
              <w:jc w:val="both"/>
              <w:rPr>
                <w:rFonts w:cs="Calibri"/>
                <w:b/>
                <w:bCs/>
                <w:color w:val="0070C0"/>
              </w:rPr>
            </w:pPr>
            <w:r w:rsidRPr="00DE2D55">
              <w:rPr>
                <w:rFonts w:cs="Calibri"/>
                <w:b/>
                <w:bCs/>
                <w:color w:val="0070C0"/>
              </w:rPr>
              <w:t>P</w:t>
            </w:r>
            <w:r w:rsidRPr="00DE2D55">
              <w:rPr>
                <w:b/>
              </w:rPr>
              <w:t xml:space="preserve"> </w:t>
            </w:r>
            <w:r w:rsidRPr="00DE2D55">
              <w:rPr>
                <w:rFonts w:cs="Calibri"/>
                <w:b/>
                <w:noProof/>
                <w:color w:val="0070C0"/>
              </w:rPr>
              <w:t>1</w:t>
            </w:r>
            <w:r w:rsidRPr="00DE2D55">
              <w:rPr>
                <w:rFonts w:cs="Calibri"/>
                <w:b/>
                <w:bCs/>
                <w:color w:val="0070C0"/>
              </w:rPr>
              <w:t>.2 Modelo de gestão de processos administrativos da gestão estadual implantado</w:t>
            </w:r>
          </w:p>
          <w:p w:rsidR="008E4A8D" w:rsidRPr="00DE2D55" w:rsidRDefault="008E4A8D" w:rsidP="00FE560B">
            <w:pPr>
              <w:pStyle w:val="PargrafodaLista"/>
              <w:numPr>
                <w:ilvl w:val="2"/>
                <w:numId w:val="19"/>
              </w:numPr>
              <w:tabs>
                <w:tab w:val="left" w:pos="0"/>
              </w:tabs>
              <w:jc w:val="both"/>
              <w:rPr>
                <w:rFonts w:cs="Calibri"/>
                <w:b/>
                <w:bCs/>
                <w:color w:val="0070C0"/>
              </w:rPr>
            </w:pPr>
            <w:r w:rsidRPr="00DE2D55">
              <w:rPr>
                <w:rFonts w:cs="Calibri"/>
                <w:b/>
                <w:bCs/>
                <w:color w:val="0070C0"/>
              </w:rPr>
              <w:t xml:space="preserve">Metodologia de gerenciamento de processos, incluindo a revisão dos processos, da legislação e normas vigentes, customização no BPMS de 150 processos e seus respectivos documentos e as devidas interfaces/integração com os sistemas de gestão do estado (SIGEFES, SIGA, SIARHES, SIT, SEP, EDOCS entre outros). </w:t>
            </w:r>
          </w:p>
        </w:tc>
      </w:tr>
    </w:tbl>
    <w:p w:rsidR="008E4A8D" w:rsidRDefault="008E4A8D" w:rsidP="00FE560B">
      <w:pPr>
        <w:tabs>
          <w:tab w:val="left" w:pos="0"/>
        </w:tabs>
        <w:jc w:val="both"/>
        <w:rPr>
          <w:rFonts w:cs="Calibri"/>
        </w:rPr>
      </w:pPr>
    </w:p>
    <w:p w:rsidR="00860C05" w:rsidRPr="00DE2D55" w:rsidRDefault="00860C05" w:rsidP="00FE560B">
      <w:pPr>
        <w:tabs>
          <w:tab w:val="left" w:pos="0"/>
        </w:tabs>
        <w:jc w:val="both"/>
        <w:rPr>
          <w:rFonts w:cs="Calibri"/>
        </w:rPr>
      </w:pPr>
    </w:p>
    <w:p w:rsidR="008E4A8D" w:rsidRPr="00DE2D55" w:rsidRDefault="00860C05" w:rsidP="00FE560B">
      <w:pPr>
        <w:tabs>
          <w:tab w:val="left" w:pos="0"/>
        </w:tabs>
        <w:ind w:left="360"/>
        <w:jc w:val="both"/>
        <w:rPr>
          <w:rFonts w:cs="Calibri"/>
        </w:rPr>
      </w:pPr>
      <w:r>
        <w:rPr>
          <w:rFonts w:cs="Calibri"/>
        </w:rPr>
        <w:t>Autores</w:t>
      </w:r>
      <w:r w:rsidR="008E4A8D" w:rsidRPr="00DE2D55">
        <w:rPr>
          <w:rFonts w:cs="Calibri"/>
        </w:rPr>
        <w:t xml:space="preserve">: </w:t>
      </w:r>
    </w:p>
    <w:tbl>
      <w:tblPr>
        <w:tblW w:w="5000" w:type="pct"/>
        <w:tblLook w:val="0000" w:firstRow="0" w:lastRow="0" w:firstColumn="0" w:lastColumn="0" w:noHBand="0" w:noVBand="0"/>
      </w:tblPr>
      <w:tblGrid>
        <w:gridCol w:w="1554"/>
        <w:gridCol w:w="2048"/>
        <w:gridCol w:w="2970"/>
        <w:gridCol w:w="3198"/>
      </w:tblGrid>
      <w:tr w:rsidR="008E4A8D" w:rsidRPr="00DE2D55" w:rsidTr="00860C05">
        <w:trPr>
          <w:trHeight w:val="253"/>
        </w:trPr>
        <w:tc>
          <w:tcPr>
            <w:tcW w:w="796" w:type="pct"/>
            <w:tcBorders>
              <w:top w:val="single" w:sz="4" w:space="0" w:color="00000A"/>
              <w:left w:val="single" w:sz="4" w:space="0" w:color="00000A"/>
              <w:bottom w:val="single" w:sz="4" w:space="0" w:color="00000A"/>
              <w:right w:val="single" w:sz="4" w:space="0" w:color="00000A"/>
            </w:tcBorders>
            <w:shd w:val="clear" w:color="auto" w:fill="FFFFFF"/>
          </w:tcPr>
          <w:p w:rsidR="008E4A8D" w:rsidRPr="00DE2D55" w:rsidRDefault="008E4A8D" w:rsidP="00FE560B">
            <w:pPr>
              <w:tabs>
                <w:tab w:val="left" w:pos="0"/>
              </w:tabs>
              <w:spacing w:line="240" w:lineRule="auto"/>
              <w:jc w:val="both"/>
              <w:rPr>
                <w:b/>
              </w:rPr>
            </w:pPr>
            <w:r w:rsidRPr="00DE2D55">
              <w:rPr>
                <w:b/>
              </w:rPr>
              <w:t>Nomes</w:t>
            </w:r>
          </w:p>
        </w:tc>
        <w:tc>
          <w:tcPr>
            <w:tcW w:w="1048" w:type="pct"/>
            <w:tcBorders>
              <w:top w:val="single" w:sz="4" w:space="0" w:color="00000A"/>
              <w:left w:val="single" w:sz="4" w:space="0" w:color="00000A"/>
              <w:bottom w:val="single" w:sz="4" w:space="0" w:color="00000A"/>
              <w:right w:val="single" w:sz="4" w:space="0" w:color="00000A"/>
            </w:tcBorders>
            <w:shd w:val="clear" w:color="auto" w:fill="FFFFFF"/>
          </w:tcPr>
          <w:p w:rsidR="008E4A8D" w:rsidRPr="00DE2D55" w:rsidRDefault="008E4A8D" w:rsidP="00FE560B">
            <w:pPr>
              <w:tabs>
                <w:tab w:val="left" w:pos="0"/>
              </w:tabs>
              <w:spacing w:line="240" w:lineRule="auto"/>
              <w:jc w:val="both"/>
              <w:rPr>
                <w:b/>
              </w:rPr>
            </w:pPr>
            <w:r w:rsidRPr="00DE2D55">
              <w:rPr>
                <w:b/>
              </w:rPr>
              <w:t>Cargos</w:t>
            </w:r>
          </w:p>
        </w:tc>
        <w:tc>
          <w:tcPr>
            <w:tcW w:w="1520" w:type="pct"/>
            <w:tcBorders>
              <w:top w:val="single" w:sz="4" w:space="0" w:color="00000A"/>
              <w:left w:val="single" w:sz="4" w:space="0" w:color="00000A"/>
              <w:bottom w:val="single" w:sz="4" w:space="0" w:color="00000A"/>
              <w:right w:val="single" w:sz="4" w:space="0" w:color="00000A"/>
            </w:tcBorders>
            <w:shd w:val="clear" w:color="auto" w:fill="FFFFFF"/>
          </w:tcPr>
          <w:p w:rsidR="008E4A8D" w:rsidRPr="00DE2D55" w:rsidRDefault="008E4A8D" w:rsidP="00FE560B">
            <w:pPr>
              <w:tabs>
                <w:tab w:val="left" w:pos="0"/>
              </w:tabs>
              <w:spacing w:line="240" w:lineRule="auto"/>
              <w:jc w:val="both"/>
              <w:rPr>
                <w:b/>
              </w:rPr>
            </w:pPr>
            <w:r w:rsidRPr="00DE2D55">
              <w:rPr>
                <w:rFonts w:cs="Calibri"/>
                <w:b/>
              </w:rPr>
              <w:t>Área</w:t>
            </w:r>
          </w:p>
        </w:tc>
        <w:tc>
          <w:tcPr>
            <w:tcW w:w="1637" w:type="pct"/>
            <w:tcBorders>
              <w:top w:val="single" w:sz="4" w:space="0" w:color="00000A"/>
              <w:left w:val="single" w:sz="4" w:space="0" w:color="00000A"/>
              <w:bottom w:val="single" w:sz="4" w:space="0" w:color="00000A"/>
              <w:right w:val="single" w:sz="4" w:space="0" w:color="00000A"/>
            </w:tcBorders>
            <w:shd w:val="clear" w:color="auto" w:fill="FFFFFF"/>
          </w:tcPr>
          <w:p w:rsidR="008E4A8D" w:rsidRPr="00DE2D55" w:rsidRDefault="008E4A8D" w:rsidP="00FE560B">
            <w:pPr>
              <w:tabs>
                <w:tab w:val="left" w:pos="0"/>
              </w:tabs>
              <w:spacing w:line="240" w:lineRule="auto"/>
              <w:jc w:val="both"/>
            </w:pPr>
            <w:r w:rsidRPr="00DE2D55">
              <w:rPr>
                <w:b/>
              </w:rPr>
              <w:t>E-mail</w:t>
            </w:r>
          </w:p>
        </w:tc>
      </w:tr>
      <w:tr w:rsidR="008E4A8D" w:rsidRPr="00DE2D55" w:rsidTr="00860C05">
        <w:trPr>
          <w:trHeight w:val="585"/>
        </w:trPr>
        <w:tc>
          <w:tcPr>
            <w:tcW w:w="79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Marilia Câmara de Assis</w:t>
            </w:r>
          </w:p>
        </w:tc>
        <w:tc>
          <w:tcPr>
            <w:tcW w:w="104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Subsecretária de Inovação na Gestão</w:t>
            </w:r>
          </w:p>
        </w:tc>
        <w:tc>
          <w:tcPr>
            <w:tcW w:w="15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Subsecretaria de Inovação na Gestão (SUBGES) - Secretaria de Gestão e Recursos Humanos (SEGER)</w:t>
            </w:r>
          </w:p>
        </w:tc>
        <w:tc>
          <w:tcPr>
            <w:tcW w:w="16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marilia.assis@seger.es.gov.br</w:t>
            </w:r>
          </w:p>
        </w:tc>
      </w:tr>
      <w:tr w:rsidR="008E4A8D" w:rsidRPr="00DE2D55" w:rsidTr="00860C05">
        <w:trPr>
          <w:trHeight w:val="70"/>
        </w:trPr>
        <w:tc>
          <w:tcPr>
            <w:tcW w:w="79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Rodrigo Del Fiume Zambon</w:t>
            </w:r>
          </w:p>
        </w:tc>
        <w:tc>
          <w:tcPr>
            <w:tcW w:w="104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Gerente de Processos e Projetos</w:t>
            </w:r>
          </w:p>
        </w:tc>
        <w:tc>
          <w:tcPr>
            <w:tcW w:w="15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Gerência de Processos e Projetos - Subsecretaria de Inovação na Gestão (SUBGES/SEGER)</w:t>
            </w:r>
          </w:p>
        </w:tc>
        <w:tc>
          <w:tcPr>
            <w:tcW w:w="16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rodrigo.zambon@seger.es.gov.br</w:t>
            </w:r>
          </w:p>
        </w:tc>
      </w:tr>
      <w:tr w:rsidR="008E4A8D" w:rsidRPr="00DE2D55" w:rsidTr="00860C05">
        <w:trPr>
          <w:trHeight w:val="70"/>
        </w:trPr>
        <w:tc>
          <w:tcPr>
            <w:tcW w:w="79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Nara Falqueto Caliman</w:t>
            </w:r>
          </w:p>
        </w:tc>
        <w:tc>
          <w:tcPr>
            <w:tcW w:w="104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Especialista em Políticas Públicas e Gestão Governamental</w:t>
            </w:r>
          </w:p>
        </w:tc>
        <w:tc>
          <w:tcPr>
            <w:tcW w:w="15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Gerência de Inovação na Gestão - Subsecretaria de Inovação na Gestão (SUBGES/SEGER)</w:t>
            </w:r>
          </w:p>
        </w:tc>
        <w:tc>
          <w:tcPr>
            <w:tcW w:w="16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nara.caliman@seger.es.gov.br</w:t>
            </w:r>
          </w:p>
        </w:tc>
      </w:tr>
      <w:tr w:rsidR="008E4A8D" w:rsidRPr="00DE2D55" w:rsidTr="00860C05">
        <w:trPr>
          <w:trHeight w:val="70"/>
        </w:trPr>
        <w:tc>
          <w:tcPr>
            <w:tcW w:w="79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Marilia Câmara de Assis</w:t>
            </w:r>
          </w:p>
        </w:tc>
        <w:tc>
          <w:tcPr>
            <w:tcW w:w="104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Subsecretária de Inovação na Gestão</w:t>
            </w:r>
          </w:p>
        </w:tc>
        <w:tc>
          <w:tcPr>
            <w:tcW w:w="15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Subsecretaria de Inovação na Gestão (SUBGES) - Secretaria de Gestão e Recursos Humanos (SEGER)</w:t>
            </w:r>
          </w:p>
        </w:tc>
        <w:tc>
          <w:tcPr>
            <w:tcW w:w="16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E4A8D" w:rsidRPr="00DE2D55" w:rsidRDefault="008E4A8D" w:rsidP="00FE560B">
            <w:pPr>
              <w:tabs>
                <w:tab w:val="left" w:pos="0"/>
              </w:tabs>
              <w:spacing w:line="240" w:lineRule="auto"/>
              <w:ind w:left="21" w:hanging="21"/>
              <w:jc w:val="both"/>
            </w:pPr>
            <w:r w:rsidRPr="00DE2D55">
              <w:t>marilia.assis@seger.es.gov.br</w:t>
            </w:r>
          </w:p>
        </w:tc>
      </w:tr>
    </w:tbl>
    <w:p w:rsidR="008E4A8D" w:rsidRPr="00DE2D55" w:rsidRDefault="008E4A8D" w:rsidP="00FE560B">
      <w:pPr>
        <w:tabs>
          <w:tab w:val="left" w:pos="0"/>
        </w:tabs>
        <w:jc w:val="both"/>
        <w:rPr>
          <w:rFonts w:cs="Calibri"/>
        </w:rPr>
      </w:pPr>
    </w:p>
    <w:p w:rsidR="008E4A8D" w:rsidRPr="00DE2D55" w:rsidRDefault="008E4A8D" w:rsidP="00FE560B">
      <w:pPr>
        <w:tabs>
          <w:tab w:val="left" w:pos="0"/>
        </w:tabs>
        <w:jc w:val="both"/>
        <w:rPr>
          <w:rFonts w:cs="Calibri"/>
        </w:rPr>
      </w:pPr>
    </w:p>
    <w:p w:rsidR="008E4A8D" w:rsidRPr="00DE2D55" w:rsidRDefault="008E4A8D" w:rsidP="00FE560B">
      <w:pPr>
        <w:tabs>
          <w:tab w:val="left" w:pos="0"/>
        </w:tabs>
        <w:jc w:val="both"/>
        <w:rPr>
          <w:rFonts w:cs="Arial"/>
        </w:rPr>
      </w:pPr>
    </w:p>
    <w:p w:rsidR="008E4A8D" w:rsidRPr="00DE2D55" w:rsidRDefault="008E4A8D" w:rsidP="00FE560B">
      <w:pPr>
        <w:tabs>
          <w:tab w:val="left" w:pos="0"/>
        </w:tabs>
        <w:jc w:val="both"/>
        <w:rPr>
          <w:rFonts w:cs="Arial"/>
        </w:rPr>
      </w:pPr>
    </w:p>
    <w:p w:rsidR="008E4A8D" w:rsidRDefault="008E4A8D" w:rsidP="00FE560B">
      <w:pPr>
        <w:pStyle w:val="Corpodetexto"/>
        <w:tabs>
          <w:tab w:val="left" w:pos="0"/>
        </w:tabs>
        <w:spacing w:line="360" w:lineRule="auto"/>
        <w:jc w:val="center"/>
        <w:rPr>
          <w:rFonts w:asciiTheme="minorHAnsi" w:hAnsiTheme="minorHAnsi" w:cs="Arial"/>
          <w:b/>
          <w:sz w:val="22"/>
          <w:szCs w:val="22"/>
        </w:rPr>
      </w:pPr>
      <w:r w:rsidRPr="00DE2D55">
        <w:rPr>
          <w:rFonts w:asciiTheme="minorHAnsi" w:hAnsiTheme="minorHAnsi" w:cs="Arial"/>
          <w:b/>
          <w:sz w:val="22"/>
          <w:szCs w:val="22"/>
        </w:rPr>
        <w:t>Vitória/ES – Maio de 2018</w:t>
      </w:r>
    </w:p>
    <w:p w:rsidR="00860C05" w:rsidRDefault="00860C05" w:rsidP="00FE560B">
      <w:pPr>
        <w:pStyle w:val="Corpodetexto"/>
        <w:tabs>
          <w:tab w:val="left" w:pos="0"/>
        </w:tabs>
        <w:spacing w:line="360" w:lineRule="auto"/>
        <w:rPr>
          <w:rFonts w:asciiTheme="minorHAnsi" w:hAnsiTheme="minorHAnsi" w:cs="Arial"/>
          <w:b/>
          <w:sz w:val="22"/>
          <w:szCs w:val="22"/>
        </w:rPr>
      </w:pPr>
    </w:p>
    <w:p w:rsidR="00860C05" w:rsidRDefault="00860C05" w:rsidP="00FE560B">
      <w:pPr>
        <w:pStyle w:val="Corpodetexto"/>
        <w:tabs>
          <w:tab w:val="left" w:pos="0"/>
        </w:tabs>
        <w:spacing w:line="360" w:lineRule="auto"/>
        <w:rPr>
          <w:rFonts w:asciiTheme="minorHAnsi" w:hAnsiTheme="minorHAnsi" w:cs="Arial"/>
          <w:b/>
          <w:sz w:val="22"/>
          <w:szCs w:val="22"/>
        </w:rPr>
      </w:pPr>
    </w:p>
    <w:p w:rsidR="00860C05" w:rsidRDefault="00860C05" w:rsidP="00FE560B">
      <w:pPr>
        <w:pStyle w:val="Corpodetexto"/>
        <w:tabs>
          <w:tab w:val="left" w:pos="0"/>
        </w:tabs>
        <w:spacing w:line="360" w:lineRule="auto"/>
        <w:rPr>
          <w:rFonts w:asciiTheme="minorHAnsi" w:hAnsiTheme="minorHAnsi" w:cs="Arial"/>
          <w:b/>
          <w:sz w:val="22"/>
          <w:szCs w:val="22"/>
        </w:rPr>
      </w:pPr>
    </w:p>
    <w:p w:rsidR="00860C05" w:rsidRDefault="00860C05" w:rsidP="00FE560B">
      <w:pPr>
        <w:pStyle w:val="Corpodetexto"/>
        <w:tabs>
          <w:tab w:val="left" w:pos="0"/>
        </w:tabs>
        <w:spacing w:line="360" w:lineRule="auto"/>
        <w:rPr>
          <w:rFonts w:asciiTheme="minorHAnsi" w:hAnsiTheme="minorHAnsi" w:cs="Arial"/>
          <w:b/>
          <w:sz w:val="22"/>
          <w:szCs w:val="22"/>
        </w:rPr>
      </w:pPr>
    </w:p>
    <w:p w:rsidR="00860C05" w:rsidRPr="00DE2D55" w:rsidRDefault="00860C05" w:rsidP="00FE560B">
      <w:pPr>
        <w:pStyle w:val="Corpodetexto"/>
        <w:tabs>
          <w:tab w:val="left" w:pos="0"/>
        </w:tabs>
        <w:spacing w:line="360" w:lineRule="auto"/>
        <w:rPr>
          <w:rFonts w:asciiTheme="minorHAnsi" w:hAnsiTheme="minorHAnsi" w:cs="Calibri"/>
          <w:b/>
          <w:sz w:val="22"/>
          <w:szCs w:val="22"/>
        </w:rPr>
      </w:pPr>
    </w:p>
    <w:p w:rsidR="008E4A8D" w:rsidRPr="00860C05" w:rsidRDefault="008E4A8D" w:rsidP="00A249C9">
      <w:pPr>
        <w:pStyle w:val="PargrafodaLista"/>
        <w:numPr>
          <w:ilvl w:val="1"/>
          <w:numId w:val="95"/>
        </w:numPr>
        <w:pBdr>
          <w:bottom w:val="single" w:sz="12" w:space="1" w:color="auto"/>
        </w:pBdr>
        <w:tabs>
          <w:tab w:val="left" w:pos="0"/>
          <w:tab w:val="left" w:pos="426"/>
        </w:tabs>
        <w:jc w:val="both"/>
        <w:outlineLvl w:val="2"/>
        <w:rPr>
          <w:rFonts w:cs="Calibri"/>
          <w:b/>
        </w:rPr>
      </w:pPr>
      <w:bookmarkStart w:id="27" w:name="_Toc517282053"/>
      <w:r w:rsidRPr="00860C05">
        <w:rPr>
          <w:rFonts w:cs="Calibri"/>
          <w:b/>
        </w:rPr>
        <w:t>ANTECEDENTES DO PRODUTO</w:t>
      </w:r>
      <w:bookmarkEnd w:id="27"/>
    </w:p>
    <w:p w:rsidR="000547B1" w:rsidRPr="00DE2D55" w:rsidRDefault="000547B1" w:rsidP="00FE560B">
      <w:pPr>
        <w:pStyle w:val="PargrafodaLista"/>
        <w:tabs>
          <w:tab w:val="left" w:pos="0"/>
        </w:tabs>
        <w:ind w:left="1065"/>
        <w:jc w:val="both"/>
      </w:pPr>
    </w:p>
    <w:p w:rsidR="008E4A8D" w:rsidRDefault="008E4A8D" w:rsidP="00FE560B">
      <w:pPr>
        <w:tabs>
          <w:tab w:val="left" w:pos="0"/>
        </w:tabs>
        <w:jc w:val="both"/>
        <w:rPr>
          <w:rFonts w:cs="Arial"/>
        </w:rPr>
      </w:pPr>
      <w:r w:rsidRPr="00DE2D55">
        <w:rPr>
          <w:rFonts w:cs="Arial"/>
        </w:rPr>
        <w:t xml:space="preserve">A administração pública no Brasil traz a herança histórica e cultural de nosso passado colonial, cuja marca ainda visível é a burocracia. Burocracia não compreendida aqui no sentido weberiano, de organização administrativa, mas no seu sentido popular de morosidade, complicação, papelório, excesso de formalismo, perda de tempo, insensibilidade, fila, carimbo, protocolo, despachos não conclusivos, processos volumosos e despesas inúteis. </w:t>
      </w:r>
    </w:p>
    <w:p w:rsidR="00860C05" w:rsidRPr="00DE2D55" w:rsidRDefault="00860C05" w:rsidP="00FE560B">
      <w:pPr>
        <w:tabs>
          <w:tab w:val="left" w:pos="0"/>
        </w:tabs>
        <w:jc w:val="both"/>
        <w:rPr>
          <w:rFonts w:cs="Arial"/>
        </w:rPr>
      </w:pPr>
    </w:p>
    <w:p w:rsidR="008E4A8D" w:rsidRDefault="008E4A8D" w:rsidP="00FE560B">
      <w:pPr>
        <w:tabs>
          <w:tab w:val="left" w:pos="0"/>
        </w:tabs>
        <w:jc w:val="both"/>
        <w:rPr>
          <w:rFonts w:cs="Arial"/>
        </w:rPr>
      </w:pPr>
      <w:r w:rsidRPr="00DE2D55">
        <w:rPr>
          <w:rFonts w:cs="Arial"/>
        </w:rPr>
        <w:t>Mesmo com as grandes mudanças ocorridas no país desde a proclamação da República até a abertura democrática e o movimento de descentralização administrativa, resquícios desse comportamento de tradição formalística são abrigo para o autoritarismo, o centralismo, o formalismo, a desconfiança e a tutela, que estigmatizam a administração pública que, por sua vez, trata o cidadão como súdito e não como destinatário dos serviços, esquecendo-se da premissa básica de que serviço público é exatamente “servir ao público”.</w:t>
      </w:r>
    </w:p>
    <w:p w:rsidR="00860C05" w:rsidRPr="00DE2D55" w:rsidRDefault="00860C05" w:rsidP="00FE560B">
      <w:pPr>
        <w:tabs>
          <w:tab w:val="left" w:pos="0"/>
        </w:tabs>
        <w:jc w:val="both"/>
        <w:rPr>
          <w:rFonts w:cs="Arial"/>
        </w:rPr>
      </w:pPr>
    </w:p>
    <w:p w:rsidR="008E4A8D" w:rsidRDefault="008E4A8D" w:rsidP="00FE560B">
      <w:pPr>
        <w:tabs>
          <w:tab w:val="left" w:pos="0"/>
        </w:tabs>
        <w:jc w:val="both"/>
        <w:rPr>
          <w:rFonts w:cs="Arial"/>
        </w:rPr>
      </w:pPr>
      <w:r w:rsidRPr="00DE2D55">
        <w:rPr>
          <w:rFonts w:cs="Arial"/>
        </w:rPr>
        <w:t>Os problemas enfrentados pelo setor público estão cada dia mais complexos e demandam dos governos novas formas de gestão, mudanças organizacionais, revisão nos processos de trabalho, modernização do aparato legal, ou seja, um processo permanente de inovação em gestão.</w:t>
      </w:r>
    </w:p>
    <w:p w:rsidR="00860C05" w:rsidRPr="00DE2D55" w:rsidRDefault="00860C05" w:rsidP="00FE560B">
      <w:pPr>
        <w:tabs>
          <w:tab w:val="left" w:pos="0"/>
        </w:tabs>
        <w:jc w:val="both"/>
        <w:rPr>
          <w:rFonts w:cs="Arial"/>
        </w:rPr>
      </w:pPr>
    </w:p>
    <w:p w:rsidR="008E4A8D" w:rsidRDefault="008E4A8D" w:rsidP="00FE560B">
      <w:pPr>
        <w:tabs>
          <w:tab w:val="left" w:pos="0"/>
        </w:tabs>
        <w:jc w:val="both"/>
        <w:rPr>
          <w:rFonts w:cs="Arial"/>
        </w:rPr>
      </w:pPr>
      <w:r w:rsidRPr="00DE2D55">
        <w:rPr>
          <w:rFonts w:cs="Arial"/>
        </w:rPr>
        <w:t>As mudanças trazidas pela globalização e pela economia centrada no conhecimento estão impactando as organizações governamentais em todos os níveis e setores. A sociedade moldada por esses fenômenos tende a se tornar, a cada dia que passa, mais veloz, reivindicativa, plural e diversa.</w:t>
      </w:r>
    </w:p>
    <w:p w:rsidR="00860C05" w:rsidRPr="00DE2D55" w:rsidRDefault="00860C05" w:rsidP="00FE560B">
      <w:pPr>
        <w:tabs>
          <w:tab w:val="left" w:pos="0"/>
        </w:tabs>
        <w:jc w:val="both"/>
        <w:rPr>
          <w:rFonts w:cs="Arial"/>
        </w:rPr>
      </w:pPr>
    </w:p>
    <w:p w:rsidR="008E4A8D" w:rsidRPr="00DE2D55" w:rsidRDefault="008E4A8D" w:rsidP="00FE560B">
      <w:pPr>
        <w:tabs>
          <w:tab w:val="left" w:pos="0"/>
        </w:tabs>
        <w:jc w:val="both"/>
        <w:rPr>
          <w:rFonts w:cs="Arial"/>
        </w:rPr>
      </w:pPr>
      <w:r w:rsidRPr="00DE2D55">
        <w:rPr>
          <w:rFonts w:cs="Arial"/>
        </w:rPr>
        <w:t xml:space="preserve">Para que os governos mantenham sua capacidade de coordenação nesse novo quadro, torna-se imperioso enxergar essas mudanças. Neste sentido, diversas organizações em vários setores, tanto no âmbito nacional quanto em âmbito internacional, estão desenvolvendo ações no sentido de fomentar a inovação na administração pública, pela disseminação da cultura de inovação e melhoria de processos e pelo incentivo à adoção de boas práticas de gestão, com vistas a aumentar a arrecadação, reduzir despesas e entregar melhores serviços à sociedade. </w:t>
      </w:r>
    </w:p>
    <w:p w:rsidR="000547B1" w:rsidRPr="00DE2D55" w:rsidRDefault="000547B1" w:rsidP="00FE560B">
      <w:pPr>
        <w:tabs>
          <w:tab w:val="left" w:pos="0"/>
        </w:tabs>
        <w:jc w:val="both"/>
        <w:rPr>
          <w:rFonts w:cs="Arial"/>
        </w:rPr>
      </w:pPr>
    </w:p>
    <w:p w:rsidR="000547B1" w:rsidRPr="00860C05" w:rsidRDefault="008E4A8D" w:rsidP="00A249C9">
      <w:pPr>
        <w:pStyle w:val="PargrafodaLista"/>
        <w:numPr>
          <w:ilvl w:val="1"/>
          <w:numId w:val="95"/>
        </w:numPr>
        <w:pBdr>
          <w:bottom w:val="single" w:sz="12" w:space="1" w:color="auto"/>
        </w:pBdr>
        <w:tabs>
          <w:tab w:val="left" w:pos="0"/>
          <w:tab w:val="left" w:pos="426"/>
        </w:tabs>
        <w:jc w:val="both"/>
        <w:outlineLvl w:val="2"/>
        <w:rPr>
          <w:rFonts w:cs="Calibri"/>
          <w:b/>
        </w:rPr>
      </w:pPr>
      <w:bookmarkStart w:id="28" w:name="_Toc517282054"/>
      <w:r w:rsidRPr="00860C05">
        <w:rPr>
          <w:rFonts w:cs="Calibri"/>
          <w:b/>
        </w:rPr>
        <w:t>DESCRIÇÃO DO PROBLEMA E SUAS EVIDÊNCIAS</w:t>
      </w:r>
      <w:bookmarkEnd w:id="28"/>
    </w:p>
    <w:p w:rsidR="00860C05" w:rsidRPr="00860C05" w:rsidRDefault="00860C05" w:rsidP="00FE560B">
      <w:pPr>
        <w:tabs>
          <w:tab w:val="left" w:pos="0"/>
        </w:tabs>
      </w:pP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sz w:val="22"/>
          <w:szCs w:val="22"/>
        </w:rPr>
        <w:t>O desafio de melhorar a relação entre Estado e Sociedade passa por uma questão crucial: descentralizar e simplificar os processos, com o foco nas expectativas dos usuários dos serviços públicos: servidores, cidadãos e empresas. A importância de simplificar a relação entre o Estado e a Sociedade é assim resumida por Piquet Carneiro (2007):</w:t>
      </w:r>
    </w:p>
    <w:p w:rsidR="008E4A8D" w:rsidRDefault="008E4A8D" w:rsidP="00FE560B">
      <w:pPr>
        <w:tabs>
          <w:tab w:val="left" w:pos="0"/>
        </w:tabs>
        <w:spacing w:line="240" w:lineRule="auto"/>
        <w:ind w:left="2832"/>
        <w:jc w:val="both"/>
        <w:rPr>
          <w:rFonts w:cs="Arial"/>
        </w:rPr>
      </w:pPr>
      <w:r w:rsidRPr="00DE2D55">
        <w:rPr>
          <w:rFonts w:cs="Arial"/>
        </w:rPr>
        <w:t xml:space="preserve">“No Estado democrático, é dever da administração tratar com dignidade o cidadão. Mas também é do interesse da administração atender bem ao cidadão, pois é nas filas e nos guichês das repartições que o governo é julgado diariamente”. </w:t>
      </w:r>
    </w:p>
    <w:p w:rsidR="00860C05" w:rsidRPr="00DE2D55" w:rsidRDefault="00860C05" w:rsidP="00FE560B">
      <w:pPr>
        <w:tabs>
          <w:tab w:val="left" w:pos="0"/>
        </w:tabs>
        <w:ind w:left="2832"/>
        <w:jc w:val="both"/>
        <w:rPr>
          <w:rFonts w:cs="Arial"/>
        </w:rPr>
      </w:pPr>
    </w:p>
    <w:p w:rsidR="008E4A8D" w:rsidRDefault="008E4A8D" w:rsidP="00FE560B">
      <w:pPr>
        <w:tabs>
          <w:tab w:val="left" w:pos="0"/>
        </w:tabs>
        <w:jc w:val="both"/>
        <w:rPr>
          <w:rFonts w:cs="Arial"/>
        </w:rPr>
      </w:pPr>
      <w:r w:rsidRPr="00DE2D55">
        <w:rPr>
          <w:rFonts w:cs="Arial"/>
        </w:rPr>
        <w:t>Por mais que medidas modernizadoras sejam adotadas na gestão pública, torna-se primordial a atenção especial à interface com o usuário, pois este é o ponto mais sensível e visível de avaliação da qualidade da administração.</w:t>
      </w:r>
    </w:p>
    <w:p w:rsidR="00860C05" w:rsidRPr="00DE2D55" w:rsidRDefault="00860C05" w:rsidP="00FE560B">
      <w:pPr>
        <w:tabs>
          <w:tab w:val="left" w:pos="0"/>
        </w:tabs>
        <w:jc w:val="both"/>
        <w:rPr>
          <w:rFonts w:cs="Arial"/>
        </w:rPr>
      </w:pPr>
    </w:p>
    <w:p w:rsidR="008E4A8D" w:rsidRDefault="008E4A8D" w:rsidP="00FE560B">
      <w:pPr>
        <w:tabs>
          <w:tab w:val="left" w:pos="0"/>
        </w:tabs>
        <w:jc w:val="both"/>
        <w:rPr>
          <w:rFonts w:cs="Arial"/>
        </w:rPr>
      </w:pPr>
      <w:r w:rsidRPr="00DE2D55">
        <w:rPr>
          <w:rFonts w:cs="Arial"/>
        </w:rPr>
        <w:t xml:space="preserve">O usuário do serviço público tem a expectativa de um relacionamento simplificado, com informações e regras claras para a melhoria do exercício da cidadania, no caso dos cidadãos, melhoria da capacidade de gestão, no caso dos servidores, e melhoria do ambiente de negócios, no caso das empresas. Este relacionamento deve se basear em uma interface em sintonia com as ferramentas tecnológicas disponíveis e sob os princípios da transparência e da participação da sociedade nos processos decisórios. Porém, apesar de alguns esforços já empreendidos, a visão geral que se tem é de uma administração pública ainda burocratizada, autoritária e centralizada, voltada para as necessidades de quem conduz os processos e não ao atendimento das expectativas e demandas dos usuários. </w:t>
      </w:r>
    </w:p>
    <w:p w:rsidR="00860C05" w:rsidRPr="00DE2D55" w:rsidRDefault="00860C05" w:rsidP="00FE560B">
      <w:pPr>
        <w:tabs>
          <w:tab w:val="left" w:pos="0"/>
        </w:tabs>
        <w:jc w:val="both"/>
        <w:rPr>
          <w:rFonts w:cs="Arial"/>
        </w:rPr>
      </w:pPr>
    </w:p>
    <w:p w:rsidR="008E4A8D" w:rsidRPr="00DE2D55" w:rsidRDefault="008E4A8D" w:rsidP="00FE560B">
      <w:pPr>
        <w:tabs>
          <w:tab w:val="left" w:pos="0"/>
        </w:tabs>
        <w:jc w:val="both"/>
        <w:rPr>
          <w:rFonts w:cs="Arial"/>
        </w:rPr>
      </w:pPr>
      <w:r w:rsidRPr="00DE2D55">
        <w:rPr>
          <w:rFonts w:cs="Arial"/>
        </w:rPr>
        <w:t xml:space="preserve">No tocante à Gestão Fiscal a situação não é diferente. Assim como os demais órgãos do Poder Executivo Estadual, os órgãos envolvidos na gestão fiscal de forma direta ou indireta precisam se modernizar e tornar sua atuação a mais eficiente e transparente possível, tendo pela via da transformação digital o principal caminho para o salto de qualidade necessário e esperado pelo governo e pela sociedade.  </w:t>
      </w:r>
    </w:p>
    <w:p w:rsidR="008E4A8D" w:rsidRPr="00DE2D55" w:rsidRDefault="008E4A8D" w:rsidP="00FE560B">
      <w:pPr>
        <w:tabs>
          <w:tab w:val="left" w:pos="0"/>
        </w:tabs>
        <w:jc w:val="both"/>
        <w:rPr>
          <w:rFonts w:cs="Arial"/>
        </w:rPr>
      </w:pPr>
    </w:p>
    <w:p w:rsidR="008E4A8D" w:rsidRPr="00DE2D55" w:rsidRDefault="008E4A8D" w:rsidP="00FE560B">
      <w:pPr>
        <w:tabs>
          <w:tab w:val="left" w:pos="0"/>
        </w:tabs>
        <w:jc w:val="both"/>
        <w:rPr>
          <w:rFonts w:cs="Arial"/>
          <w:noProof/>
        </w:rPr>
      </w:pPr>
      <w:r w:rsidRPr="00DE2D55">
        <w:rPr>
          <w:rFonts w:cs="Arial"/>
          <w:b/>
        </w:rPr>
        <w:t>Síntese do Problema:</w:t>
      </w:r>
      <w:r w:rsidRPr="00DE2D55">
        <w:rPr>
          <w:rFonts w:cs="Arial"/>
        </w:rPr>
        <w:t xml:space="preserve"> </w:t>
      </w:r>
    </w:p>
    <w:p w:rsidR="008E4A8D" w:rsidRPr="00DE2D55" w:rsidRDefault="008E4A8D" w:rsidP="00FE560B">
      <w:pPr>
        <w:tabs>
          <w:tab w:val="left" w:pos="0"/>
        </w:tabs>
        <w:jc w:val="both"/>
        <w:rPr>
          <w:rFonts w:cs="Arial"/>
        </w:rPr>
      </w:pPr>
      <w:r w:rsidRPr="00DE2D55">
        <w:rPr>
          <w:rFonts w:cs="Arial"/>
        </w:rPr>
        <w:t>Deficiência para realizar uma gestão orientada a processos no Estado.</w:t>
      </w:r>
    </w:p>
    <w:p w:rsidR="008E4A8D" w:rsidRPr="00DE2D55" w:rsidRDefault="008E4A8D" w:rsidP="00FE560B">
      <w:pPr>
        <w:tabs>
          <w:tab w:val="left" w:pos="0"/>
        </w:tabs>
        <w:jc w:val="both"/>
        <w:rPr>
          <w:rFonts w:cs="Arial"/>
        </w:rPr>
      </w:pPr>
      <w:r w:rsidRPr="00DE2D55">
        <w:rPr>
          <w:rFonts w:cs="Arial"/>
        </w:rPr>
        <w:t>a.</w:t>
      </w:r>
      <w:r w:rsidRPr="00DE2D55">
        <w:rPr>
          <w:rFonts w:cs="Arial"/>
        </w:rPr>
        <w:tab/>
        <w:t>Crescimento exponencial dos documentos referentes a processos administrativos iniciados anualmente pelas diversas entidades estaduais. Grande quantidade de processos de trabalho do Governo são realizados de forma manual, seus documentos não são armazenados de forma estruturada, gerando dificuldade para acessar e processar a informação.</w:t>
      </w:r>
    </w:p>
    <w:p w:rsidR="008E4A8D" w:rsidRDefault="008E4A8D" w:rsidP="00FE560B">
      <w:pPr>
        <w:tabs>
          <w:tab w:val="left" w:pos="0"/>
        </w:tabs>
        <w:jc w:val="both"/>
        <w:rPr>
          <w:rFonts w:cs="Arial"/>
          <w:b/>
        </w:rPr>
      </w:pPr>
    </w:p>
    <w:p w:rsidR="00860C05" w:rsidRPr="00DE2D55" w:rsidRDefault="00860C05" w:rsidP="00FE560B">
      <w:pPr>
        <w:tabs>
          <w:tab w:val="left" w:pos="0"/>
        </w:tabs>
        <w:jc w:val="both"/>
        <w:rPr>
          <w:rFonts w:cs="Arial"/>
          <w:b/>
        </w:rPr>
      </w:pPr>
    </w:p>
    <w:p w:rsidR="008E4A8D" w:rsidRPr="00DE2D55" w:rsidRDefault="008E4A8D" w:rsidP="00FE560B">
      <w:pPr>
        <w:tabs>
          <w:tab w:val="left" w:pos="0"/>
        </w:tabs>
        <w:jc w:val="both"/>
        <w:rPr>
          <w:rFonts w:cs="Arial"/>
          <w:b/>
        </w:rPr>
      </w:pPr>
      <w:r w:rsidRPr="00DE2D55">
        <w:rPr>
          <w:rFonts w:cs="Arial"/>
          <w:b/>
        </w:rPr>
        <w:t>Principais causas:</w:t>
      </w:r>
    </w:p>
    <w:p w:rsidR="008E4A8D" w:rsidRPr="00DE2D55" w:rsidRDefault="008E4A8D" w:rsidP="00FE560B">
      <w:pPr>
        <w:pStyle w:val="Profisco"/>
        <w:numPr>
          <w:ilvl w:val="0"/>
          <w:numId w:val="21"/>
        </w:numPr>
        <w:tabs>
          <w:tab w:val="left" w:pos="0"/>
        </w:tabs>
        <w:spacing w:after="0"/>
        <w:rPr>
          <w:rFonts w:asciiTheme="minorHAnsi" w:hAnsiTheme="minorHAnsi"/>
          <w:sz w:val="22"/>
          <w:szCs w:val="22"/>
        </w:rPr>
      </w:pPr>
      <w:r w:rsidRPr="00DE2D55">
        <w:rPr>
          <w:rFonts w:asciiTheme="minorHAnsi" w:hAnsiTheme="minorHAnsi"/>
          <w:sz w:val="22"/>
          <w:szCs w:val="22"/>
        </w:rPr>
        <w:t>Crescimento exponencial do número de processos em tramitação: ao longo dos anos, o número de processos autuados vem se apresentando superior ao número de processos finalizados.</w:t>
      </w:r>
    </w:p>
    <w:p w:rsidR="008E4A8D" w:rsidRPr="00DE2D55" w:rsidRDefault="008E4A8D" w:rsidP="00FE560B">
      <w:pPr>
        <w:pStyle w:val="Profisco"/>
        <w:numPr>
          <w:ilvl w:val="0"/>
          <w:numId w:val="21"/>
        </w:numPr>
        <w:tabs>
          <w:tab w:val="left" w:pos="0"/>
        </w:tabs>
        <w:spacing w:after="0"/>
        <w:rPr>
          <w:rFonts w:asciiTheme="minorHAnsi" w:hAnsiTheme="minorHAnsi"/>
          <w:sz w:val="22"/>
          <w:szCs w:val="22"/>
        </w:rPr>
      </w:pPr>
      <w:r w:rsidRPr="00DE2D55">
        <w:rPr>
          <w:rFonts w:asciiTheme="minorHAnsi" w:hAnsiTheme="minorHAnsi"/>
          <w:sz w:val="22"/>
          <w:szCs w:val="22"/>
        </w:rPr>
        <w:t>Cultura organizacional desfavorável à implantação de novas formas de trabalho: baixa adesão à estratégia de gestão de processos em andamento no estado, baixo percentual de servidores capacitados e resistência dos servidores e gestores à adoção de novas práticas.</w:t>
      </w:r>
    </w:p>
    <w:p w:rsidR="008E4A8D" w:rsidRPr="00DE2D55" w:rsidRDefault="008E4A8D" w:rsidP="00FE560B">
      <w:pPr>
        <w:pStyle w:val="Profisco"/>
        <w:numPr>
          <w:ilvl w:val="0"/>
          <w:numId w:val="21"/>
        </w:numPr>
        <w:tabs>
          <w:tab w:val="left" w:pos="0"/>
        </w:tabs>
        <w:spacing w:after="0"/>
        <w:rPr>
          <w:rFonts w:asciiTheme="minorHAnsi" w:hAnsiTheme="minorHAnsi"/>
          <w:sz w:val="22"/>
          <w:szCs w:val="22"/>
        </w:rPr>
      </w:pPr>
      <w:r w:rsidRPr="00DE2D55">
        <w:rPr>
          <w:rFonts w:asciiTheme="minorHAnsi" w:hAnsiTheme="minorHAnsi"/>
          <w:sz w:val="22"/>
          <w:szCs w:val="22"/>
        </w:rPr>
        <w:t>Descompasso com o desenvolvimento tecnológico e comportamental da sociedade contemporânea, verificado pelo baixo uso de metodologias inovadoras e ausência de integração dos sistemas disponíveis.</w:t>
      </w:r>
    </w:p>
    <w:p w:rsidR="008E4A8D" w:rsidRPr="00DE2D55" w:rsidRDefault="008E4A8D" w:rsidP="00FE560B">
      <w:pPr>
        <w:pStyle w:val="Profisco"/>
        <w:numPr>
          <w:ilvl w:val="0"/>
          <w:numId w:val="21"/>
        </w:numPr>
        <w:tabs>
          <w:tab w:val="left" w:pos="0"/>
        </w:tabs>
        <w:spacing w:after="0"/>
        <w:rPr>
          <w:rFonts w:asciiTheme="minorHAnsi" w:hAnsiTheme="minorHAnsi"/>
          <w:sz w:val="22"/>
          <w:szCs w:val="22"/>
        </w:rPr>
      </w:pPr>
      <w:r w:rsidRPr="00DE2D55">
        <w:rPr>
          <w:rFonts w:asciiTheme="minorHAnsi" w:hAnsiTheme="minorHAnsi"/>
          <w:sz w:val="22"/>
          <w:szCs w:val="22"/>
        </w:rPr>
        <w:t>Morosidade e ineficiência na identificação e gestão de gargalos presentes na tramitação dos processos devido à ausência de dados estruturados e relatórios gerenciais.</w:t>
      </w:r>
    </w:p>
    <w:p w:rsidR="00860C05" w:rsidRDefault="00860C05" w:rsidP="00FE560B">
      <w:pPr>
        <w:tabs>
          <w:tab w:val="left" w:pos="0"/>
        </w:tabs>
        <w:jc w:val="both"/>
        <w:rPr>
          <w:rFonts w:cs="Arial"/>
          <w:b/>
        </w:rPr>
      </w:pPr>
    </w:p>
    <w:p w:rsidR="008E4A8D" w:rsidRDefault="008E4A8D" w:rsidP="00FE560B">
      <w:pPr>
        <w:tabs>
          <w:tab w:val="left" w:pos="0"/>
        </w:tabs>
        <w:jc w:val="both"/>
        <w:rPr>
          <w:rFonts w:cs="Arial"/>
          <w:b/>
        </w:rPr>
      </w:pPr>
      <w:r w:rsidRPr="00DE2D55">
        <w:rPr>
          <w:rFonts w:cs="Arial"/>
          <w:b/>
        </w:rPr>
        <w:t xml:space="preserve">Evidências sobre o crescimento exponencial dos </w:t>
      </w:r>
      <w:r w:rsidRPr="00DE2D55">
        <w:rPr>
          <w:b/>
        </w:rPr>
        <w:t>processos em tramitação</w:t>
      </w:r>
      <w:r w:rsidRPr="00DE2D55">
        <w:rPr>
          <w:rFonts w:cs="Arial"/>
          <w:b/>
        </w:rPr>
        <w:t xml:space="preserve"> </w:t>
      </w:r>
    </w:p>
    <w:p w:rsidR="00860C05" w:rsidRPr="00DE2D55" w:rsidRDefault="00860C05" w:rsidP="00FE560B">
      <w:pPr>
        <w:tabs>
          <w:tab w:val="left" w:pos="0"/>
        </w:tabs>
        <w:jc w:val="both"/>
        <w:rPr>
          <w:rFonts w:cs="Arial"/>
          <w:b/>
        </w:rPr>
      </w:pPr>
    </w:p>
    <w:p w:rsidR="008E4A8D" w:rsidRPr="00DE2D55" w:rsidRDefault="008E4A8D" w:rsidP="00FE560B">
      <w:pPr>
        <w:tabs>
          <w:tab w:val="left" w:pos="0"/>
        </w:tabs>
        <w:jc w:val="both"/>
        <w:rPr>
          <w:rFonts w:cs="Arial"/>
        </w:rPr>
      </w:pPr>
      <w:r w:rsidRPr="00DE2D55">
        <w:rPr>
          <w:rFonts w:cs="Arial"/>
        </w:rPr>
        <w:t xml:space="preserve">Dados levantados pelo Instituto de Tecnologia da Informação e Comunicação do Espírito Santo (PRODEST) dão conta que, atualmente (maio/2018), o total de processos em tramitação no âmbito do Governo Estadual é superior a um milhão (1.472.700). Tal número só deve crescer caso não sejam promovidas mudanças na forma de gerir os processos, pois, conforme é possível observar na tabela a seguir, a cada ano aumenta o número de processos abertos pelos diversos setores de protocolos, enquanto o inverso acontece no que diz respeito à finalização desses processos. </w:t>
      </w:r>
    </w:p>
    <w:p w:rsidR="008E4A8D" w:rsidRPr="00DE2D55" w:rsidRDefault="008E4A8D" w:rsidP="00FE560B">
      <w:pPr>
        <w:tabs>
          <w:tab w:val="left" w:pos="0"/>
        </w:tabs>
        <w:jc w:val="both"/>
        <w:rPr>
          <w:rFonts w:cs="Arial"/>
        </w:rPr>
      </w:pPr>
    </w:p>
    <w:tbl>
      <w:tblPr>
        <w:tblW w:w="6960" w:type="dxa"/>
        <w:jc w:val="center"/>
        <w:tblCellMar>
          <w:left w:w="70" w:type="dxa"/>
          <w:right w:w="70" w:type="dxa"/>
        </w:tblCellMar>
        <w:tblLook w:val="04A0" w:firstRow="1" w:lastRow="0" w:firstColumn="1" w:lastColumn="0" w:noHBand="0" w:noVBand="1"/>
      </w:tblPr>
      <w:tblGrid>
        <w:gridCol w:w="596"/>
        <w:gridCol w:w="3182"/>
        <w:gridCol w:w="3182"/>
      </w:tblGrid>
      <w:tr w:rsidR="008E4A8D" w:rsidRPr="00DE2D55" w:rsidTr="0022192E">
        <w:trPr>
          <w:trHeight w:val="750"/>
          <w:jc w:val="center"/>
        </w:trPr>
        <w:tc>
          <w:tcPr>
            <w:tcW w:w="6960" w:type="dxa"/>
            <w:gridSpan w:val="3"/>
            <w:tcBorders>
              <w:top w:val="single" w:sz="8" w:space="0" w:color="auto"/>
              <w:left w:val="single" w:sz="8" w:space="0" w:color="auto"/>
              <w:bottom w:val="single" w:sz="4" w:space="0" w:color="auto"/>
              <w:right w:val="single" w:sz="8" w:space="0" w:color="000000"/>
            </w:tcBorders>
            <w:shd w:val="clear" w:color="000000" w:fill="948A54"/>
            <w:vAlign w:val="center"/>
            <w:hideMark/>
          </w:tcPr>
          <w:p w:rsidR="008E4A8D" w:rsidRPr="00DE2D55" w:rsidRDefault="008E4A8D" w:rsidP="00FE560B">
            <w:pPr>
              <w:tabs>
                <w:tab w:val="left" w:pos="0"/>
              </w:tabs>
              <w:jc w:val="both"/>
              <w:rPr>
                <w:rFonts w:cs="Arial"/>
                <w:b/>
                <w:bCs/>
                <w:color w:val="FFFFFF"/>
              </w:rPr>
            </w:pPr>
            <w:r w:rsidRPr="00DE2D55">
              <w:rPr>
                <w:rFonts w:cs="Arial"/>
                <w:b/>
                <w:bCs/>
                <w:color w:val="FFFFFF"/>
              </w:rPr>
              <w:t xml:space="preserve">NÚMERO DE PROCESSOS </w:t>
            </w:r>
            <w:r w:rsidRPr="00DE2D55">
              <w:rPr>
                <w:rFonts w:cs="Arial"/>
                <w:b/>
                <w:bCs/>
                <w:color w:val="FFFFFF"/>
              </w:rPr>
              <w:br/>
              <w:t>AUTUADOS E FINALIZADOS</w:t>
            </w:r>
          </w:p>
        </w:tc>
      </w:tr>
      <w:tr w:rsidR="008E4A8D" w:rsidRPr="00DE2D55" w:rsidTr="0022192E">
        <w:trPr>
          <w:trHeight w:val="735"/>
          <w:jc w:val="center"/>
        </w:trPr>
        <w:tc>
          <w:tcPr>
            <w:tcW w:w="596" w:type="dxa"/>
            <w:tcBorders>
              <w:top w:val="nil"/>
              <w:left w:val="single" w:sz="8" w:space="0" w:color="auto"/>
              <w:bottom w:val="single" w:sz="4" w:space="0" w:color="auto"/>
              <w:right w:val="single" w:sz="4" w:space="0" w:color="auto"/>
            </w:tcBorders>
            <w:shd w:val="clear" w:color="000000" w:fill="DDD9C4"/>
            <w:noWrap/>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Ano</w:t>
            </w:r>
          </w:p>
        </w:tc>
        <w:tc>
          <w:tcPr>
            <w:tcW w:w="3182" w:type="dxa"/>
            <w:tcBorders>
              <w:top w:val="nil"/>
              <w:left w:val="nil"/>
              <w:bottom w:val="single" w:sz="4" w:space="0" w:color="auto"/>
              <w:right w:val="single" w:sz="4" w:space="0" w:color="auto"/>
            </w:tcBorders>
            <w:shd w:val="clear" w:color="000000" w:fill="DDD9C4"/>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Processos</w:t>
            </w:r>
            <w:r w:rsidRPr="00DE2D55">
              <w:rPr>
                <w:rFonts w:cs="Arial"/>
                <w:b/>
                <w:bCs/>
                <w:color w:val="000000"/>
              </w:rPr>
              <w:br/>
              <w:t>autuados</w:t>
            </w:r>
          </w:p>
        </w:tc>
        <w:tc>
          <w:tcPr>
            <w:tcW w:w="3182" w:type="dxa"/>
            <w:tcBorders>
              <w:top w:val="nil"/>
              <w:left w:val="nil"/>
              <w:bottom w:val="single" w:sz="4" w:space="0" w:color="auto"/>
              <w:right w:val="single" w:sz="8" w:space="0" w:color="auto"/>
            </w:tcBorders>
            <w:shd w:val="clear" w:color="000000" w:fill="DDD9C4"/>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Processos</w:t>
            </w:r>
            <w:r w:rsidRPr="00DE2D55">
              <w:rPr>
                <w:rFonts w:cs="Arial"/>
                <w:b/>
                <w:bCs/>
                <w:color w:val="000000"/>
              </w:rPr>
              <w:br/>
              <w:t>finalizados</w:t>
            </w:r>
          </w:p>
        </w:tc>
      </w:tr>
      <w:tr w:rsidR="008E4A8D" w:rsidRPr="00DE2D55" w:rsidTr="0022192E">
        <w:trPr>
          <w:trHeight w:val="435"/>
          <w:jc w:val="center"/>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2015</w:t>
            </w:r>
          </w:p>
        </w:tc>
        <w:tc>
          <w:tcPr>
            <w:tcW w:w="3182" w:type="dxa"/>
            <w:tcBorders>
              <w:top w:val="nil"/>
              <w:left w:val="nil"/>
              <w:bottom w:val="single" w:sz="4"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398.355</w:t>
            </w:r>
          </w:p>
        </w:tc>
        <w:tc>
          <w:tcPr>
            <w:tcW w:w="3182" w:type="dxa"/>
            <w:tcBorders>
              <w:top w:val="nil"/>
              <w:left w:val="nil"/>
              <w:bottom w:val="single" w:sz="4" w:space="0" w:color="auto"/>
              <w:right w:val="single" w:sz="8"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316.188</w:t>
            </w:r>
          </w:p>
        </w:tc>
      </w:tr>
      <w:tr w:rsidR="008E4A8D" w:rsidRPr="00DE2D55" w:rsidTr="0022192E">
        <w:trPr>
          <w:trHeight w:val="435"/>
          <w:jc w:val="center"/>
        </w:trPr>
        <w:tc>
          <w:tcPr>
            <w:tcW w:w="596" w:type="dxa"/>
            <w:tcBorders>
              <w:top w:val="nil"/>
              <w:left w:val="single" w:sz="8" w:space="0" w:color="auto"/>
              <w:bottom w:val="single" w:sz="4"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2016</w:t>
            </w:r>
          </w:p>
        </w:tc>
        <w:tc>
          <w:tcPr>
            <w:tcW w:w="3182" w:type="dxa"/>
            <w:tcBorders>
              <w:top w:val="nil"/>
              <w:left w:val="nil"/>
              <w:bottom w:val="single" w:sz="4"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369.102</w:t>
            </w:r>
          </w:p>
        </w:tc>
        <w:tc>
          <w:tcPr>
            <w:tcW w:w="3182" w:type="dxa"/>
            <w:tcBorders>
              <w:top w:val="nil"/>
              <w:left w:val="nil"/>
              <w:bottom w:val="single" w:sz="4" w:space="0" w:color="auto"/>
              <w:right w:val="single" w:sz="8"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275.971</w:t>
            </w:r>
          </w:p>
        </w:tc>
      </w:tr>
      <w:tr w:rsidR="008E4A8D" w:rsidRPr="00DE2D55" w:rsidTr="0022192E">
        <w:trPr>
          <w:trHeight w:val="435"/>
          <w:jc w:val="center"/>
        </w:trPr>
        <w:tc>
          <w:tcPr>
            <w:tcW w:w="596" w:type="dxa"/>
            <w:tcBorders>
              <w:top w:val="nil"/>
              <w:left w:val="single" w:sz="8" w:space="0" w:color="auto"/>
              <w:bottom w:val="single" w:sz="8"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b/>
                <w:bCs/>
                <w:color w:val="000000"/>
              </w:rPr>
            </w:pPr>
            <w:r w:rsidRPr="00DE2D55">
              <w:rPr>
                <w:rFonts w:cs="Arial"/>
                <w:b/>
                <w:bCs/>
                <w:color w:val="000000"/>
              </w:rPr>
              <w:t>2017</w:t>
            </w:r>
          </w:p>
        </w:tc>
        <w:tc>
          <w:tcPr>
            <w:tcW w:w="3182" w:type="dxa"/>
            <w:tcBorders>
              <w:top w:val="nil"/>
              <w:left w:val="nil"/>
              <w:bottom w:val="single" w:sz="8" w:space="0" w:color="auto"/>
              <w:right w:val="single" w:sz="4"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410.792</w:t>
            </w:r>
          </w:p>
        </w:tc>
        <w:tc>
          <w:tcPr>
            <w:tcW w:w="3182" w:type="dxa"/>
            <w:tcBorders>
              <w:top w:val="nil"/>
              <w:left w:val="nil"/>
              <w:bottom w:val="single" w:sz="8" w:space="0" w:color="auto"/>
              <w:right w:val="single" w:sz="8" w:space="0" w:color="auto"/>
            </w:tcBorders>
            <w:shd w:val="clear" w:color="auto" w:fill="auto"/>
            <w:noWrap/>
            <w:vAlign w:val="center"/>
            <w:hideMark/>
          </w:tcPr>
          <w:p w:rsidR="008E4A8D" w:rsidRPr="00DE2D55" w:rsidRDefault="008E4A8D" w:rsidP="00FE560B">
            <w:pPr>
              <w:tabs>
                <w:tab w:val="left" w:pos="0"/>
              </w:tabs>
              <w:jc w:val="both"/>
              <w:rPr>
                <w:rFonts w:cs="Arial"/>
                <w:color w:val="000000"/>
              </w:rPr>
            </w:pPr>
            <w:r w:rsidRPr="00DE2D55">
              <w:rPr>
                <w:rFonts w:cs="Arial"/>
                <w:color w:val="000000"/>
              </w:rPr>
              <w:t>285.860</w:t>
            </w:r>
          </w:p>
        </w:tc>
      </w:tr>
      <w:tr w:rsidR="008E4A8D" w:rsidRPr="00DE2D55" w:rsidTr="0022192E">
        <w:trPr>
          <w:trHeight w:val="300"/>
          <w:jc w:val="center"/>
        </w:trPr>
        <w:tc>
          <w:tcPr>
            <w:tcW w:w="6960" w:type="dxa"/>
            <w:gridSpan w:val="3"/>
            <w:tcBorders>
              <w:top w:val="single" w:sz="8" w:space="0" w:color="auto"/>
              <w:left w:val="nil"/>
              <w:bottom w:val="nil"/>
              <w:right w:val="nil"/>
            </w:tcBorders>
            <w:shd w:val="clear" w:color="auto" w:fill="auto"/>
            <w:noWrap/>
            <w:vAlign w:val="bottom"/>
            <w:hideMark/>
          </w:tcPr>
          <w:p w:rsidR="008E4A8D" w:rsidRPr="00DE2D55" w:rsidRDefault="008E4A8D" w:rsidP="00FE560B">
            <w:pPr>
              <w:tabs>
                <w:tab w:val="left" w:pos="0"/>
              </w:tabs>
              <w:jc w:val="both"/>
              <w:rPr>
                <w:rFonts w:cs="Arial"/>
                <w:b/>
                <w:bCs/>
              </w:rPr>
            </w:pPr>
            <w:r w:rsidRPr="00DE2D55">
              <w:rPr>
                <w:rFonts w:cs="Arial"/>
                <w:b/>
                <w:bCs/>
              </w:rPr>
              <w:t>Fonte: PRODEST/2018</w:t>
            </w:r>
          </w:p>
        </w:tc>
      </w:tr>
    </w:tbl>
    <w:p w:rsidR="008E4A8D" w:rsidRPr="00DE2D55" w:rsidRDefault="008E4A8D" w:rsidP="00FE560B">
      <w:pPr>
        <w:tabs>
          <w:tab w:val="left" w:pos="0"/>
        </w:tabs>
        <w:jc w:val="both"/>
        <w:rPr>
          <w:rFonts w:cs="Arial"/>
        </w:rPr>
      </w:pPr>
    </w:p>
    <w:p w:rsidR="008E4A8D" w:rsidRPr="00DE2D55" w:rsidRDefault="008E4A8D" w:rsidP="00FE560B">
      <w:pPr>
        <w:tabs>
          <w:tab w:val="left" w:pos="0"/>
        </w:tabs>
        <w:jc w:val="both"/>
        <w:rPr>
          <w:rFonts w:cs="Arial"/>
        </w:rPr>
      </w:pPr>
      <w:r w:rsidRPr="00DE2D55">
        <w:rPr>
          <w:rFonts w:cs="Arial"/>
        </w:rPr>
        <w:t>O imenso volume de processos ocasiona altos custos com papel, impressão, transporte e armazenamento dos processos, falta de padrão no armazenamento, o que gera dificuldade para localizar informações, e preservação inadequada dos processos, o que pode gerar deterioração e perda dos documentos. Entre os anos de 2011 e 2013, o custo aproximado com papel, insumos, toner e transporte para os processos foi de R$ 14,3 milhões</w:t>
      </w:r>
      <w:r w:rsidRPr="00DE2D55">
        <w:rPr>
          <w:rStyle w:val="Refdenotaderodap"/>
          <w:rFonts w:cs="Arial"/>
        </w:rPr>
        <w:footnoteReference w:id="1"/>
      </w:r>
      <w:r w:rsidRPr="00DE2D55">
        <w:rPr>
          <w:rFonts w:cs="Arial"/>
        </w:rPr>
        <w:t>.</w:t>
      </w:r>
    </w:p>
    <w:p w:rsidR="008E4A8D" w:rsidRPr="00DE2D55" w:rsidRDefault="008E4A8D" w:rsidP="00FE560B">
      <w:pPr>
        <w:tabs>
          <w:tab w:val="left" w:pos="0"/>
        </w:tabs>
        <w:jc w:val="both"/>
        <w:rPr>
          <w:rFonts w:cs="Arial"/>
        </w:rPr>
      </w:pPr>
      <w:r w:rsidRPr="00DE2D55">
        <w:rPr>
          <w:rFonts w:cs="Arial"/>
        </w:rPr>
        <w:t>Em relação ao armazenamento dos processos, as imagens abaixo foram feitas em diferentes órgãos da Administração estadual e mostram não somente a falta de padrão para arquivar os processos, como problemas mais graves como o armazenamento junto a produtos de limpeza e também a fios da rede elétrica.</w:t>
      </w:r>
    </w:p>
    <w:p w:rsidR="008E4A8D" w:rsidRPr="00DE2D55" w:rsidRDefault="008E4A8D" w:rsidP="00FE560B">
      <w:pPr>
        <w:tabs>
          <w:tab w:val="left" w:pos="0"/>
        </w:tabs>
        <w:jc w:val="both"/>
        <w:rPr>
          <w:rFonts w:cs="Arial"/>
        </w:rPr>
      </w:pPr>
      <w:r w:rsidRPr="00DE2D55">
        <w:rPr>
          <w:rFonts w:cs="Arial"/>
          <w:noProof/>
          <w:lang w:eastAsia="pt-BR"/>
        </w:rPr>
        <w:drawing>
          <wp:inline distT="0" distB="0" distL="0" distR="0" wp14:anchorId="63698DB9" wp14:editId="636ED676">
            <wp:extent cx="5829935" cy="414040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4358" cy="4143550"/>
                    </a:xfrm>
                    <a:prstGeom prst="rect">
                      <a:avLst/>
                    </a:prstGeom>
                    <a:noFill/>
                  </pic:spPr>
                </pic:pic>
              </a:graphicData>
            </a:graphic>
          </wp:inline>
        </w:drawing>
      </w:r>
    </w:p>
    <w:p w:rsidR="008E4A8D" w:rsidRPr="00DE2D55" w:rsidRDefault="008E4A8D" w:rsidP="00FE560B">
      <w:pPr>
        <w:tabs>
          <w:tab w:val="left" w:pos="0"/>
        </w:tabs>
        <w:jc w:val="both"/>
        <w:rPr>
          <w:rFonts w:cs="Arial"/>
          <w:b/>
        </w:rPr>
      </w:pPr>
      <w:r w:rsidRPr="00DE2D55">
        <w:rPr>
          <w:rFonts w:cs="Arial"/>
          <w:b/>
        </w:rPr>
        <w:t>Evidências sobre o cenário da cultura organizacional desfavorável à implantação de novas formas de trabalho</w:t>
      </w:r>
    </w:p>
    <w:p w:rsidR="008E4A8D" w:rsidRDefault="008E4A8D" w:rsidP="00FE560B">
      <w:pPr>
        <w:tabs>
          <w:tab w:val="left" w:pos="0"/>
        </w:tabs>
        <w:jc w:val="both"/>
        <w:rPr>
          <w:rFonts w:cs="Arial"/>
        </w:rPr>
      </w:pPr>
      <w:r w:rsidRPr="00DE2D55">
        <w:rPr>
          <w:rFonts w:cs="Arial"/>
        </w:rPr>
        <w:t>Vários estudos descrevem como a cultura organizacional pode ter um impacto substancial na adoção de um modelo de gestão de processos (</w:t>
      </w:r>
      <w:r w:rsidRPr="00DE2D55">
        <w:rPr>
          <w:rFonts w:cs="Arial"/>
          <w:i/>
        </w:rPr>
        <w:t>Bussiness Process Management</w:t>
      </w:r>
      <w:r w:rsidRPr="00DE2D55">
        <w:rPr>
          <w:rFonts w:cs="Arial"/>
        </w:rPr>
        <w:t xml:space="preserve"> – BPM), estando ela diretamente ligada ao sucesso ou fracasso das iniciativas de BPM</w:t>
      </w:r>
      <w:r w:rsidRPr="00DE2D55">
        <w:rPr>
          <w:rStyle w:val="Refdenotaderodap"/>
          <w:rFonts w:cs="Arial"/>
        </w:rPr>
        <w:footnoteReference w:id="2"/>
      </w:r>
      <w:r w:rsidRPr="00DE2D55">
        <w:rPr>
          <w:rFonts w:cs="Arial"/>
        </w:rPr>
        <w:t>. Além disso, os mesmos estudos apontam que, para o sucesso da implantação de um modelo de gestão de processos eficiente, uma boa governança é fundamental. O termo “governança do processo empresarial” refere-se à direção, coordenação e controle de indivíduos, grupos ou organizações que são, pelo menos até certo ponto, autônomos, o que significa que a autoridade hierárquica sozinha não é suficiente para garantir um desempenho efetivo</w:t>
      </w:r>
      <w:r w:rsidRPr="00DE2D55">
        <w:rPr>
          <w:rStyle w:val="Refdenotaderodap"/>
          <w:rFonts w:cs="Arial"/>
        </w:rPr>
        <w:footnoteReference w:id="3"/>
      </w:r>
      <w:r w:rsidRPr="00DE2D55">
        <w:rPr>
          <w:rFonts w:cs="Arial"/>
        </w:rPr>
        <w:t>.</w:t>
      </w:r>
    </w:p>
    <w:p w:rsidR="00860C05" w:rsidRPr="00DE2D55" w:rsidRDefault="00860C05" w:rsidP="00FE560B">
      <w:pPr>
        <w:tabs>
          <w:tab w:val="left" w:pos="0"/>
        </w:tabs>
        <w:jc w:val="both"/>
        <w:rPr>
          <w:rFonts w:cs="Arial"/>
        </w:rPr>
      </w:pPr>
    </w:p>
    <w:p w:rsidR="008E4A8D" w:rsidRPr="00DE2D55" w:rsidRDefault="008E4A8D" w:rsidP="00FE560B">
      <w:pPr>
        <w:tabs>
          <w:tab w:val="left" w:pos="0"/>
        </w:tabs>
        <w:jc w:val="both"/>
        <w:rPr>
          <w:rFonts w:cs="Arial"/>
        </w:rPr>
      </w:pPr>
      <w:r w:rsidRPr="00DE2D55">
        <w:rPr>
          <w:rFonts w:cs="Arial"/>
        </w:rPr>
        <w:t xml:space="preserve">Algumas evidências mostram como a cultura organizacional no Executivo estadual capixaba ainda precisa de muita mudança para dar conta das premissas de um modelo eficiente e transformador de gestão de processos. </w:t>
      </w:r>
    </w:p>
    <w:p w:rsidR="008E4A8D" w:rsidRPr="00DE2D55" w:rsidRDefault="008E4A8D" w:rsidP="00FE560B">
      <w:pPr>
        <w:tabs>
          <w:tab w:val="left" w:pos="0"/>
        </w:tabs>
        <w:jc w:val="both"/>
        <w:rPr>
          <w:rFonts w:cs="Arial"/>
        </w:rPr>
      </w:pPr>
      <w:r w:rsidRPr="00DE2D55">
        <w:rPr>
          <w:rFonts w:cs="Arial"/>
        </w:rPr>
        <w:t>Uma dessas evidências é a baixa adesão dos órgãos do estado à estratégia de gestão de processos proposta na parceria entre a Secretaria de Gestão e Recursos Humanos (SEGER) e o PRODEST que se consolida na publicação do Decreto nº 4112-R/2017</w:t>
      </w:r>
      <w:r w:rsidRPr="00DE2D55">
        <w:rPr>
          <w:rStyle w:val="Refdenotaderodap"/>
          <w:rFonts w:cs="Arial"/>
        </w:rPr>
        <w:footnoteReference w:id="4"/>
      </w:r>
      <w:r w:rsidRPr="00DE2D55">
        <w:rPr>
          <w:rFonts w:cs="Arial"/>
        </w:rPr>
        <w:t xml:space="preserve"> e na instituição do Escritório Central de Processos do Governo (ECP)</w:t>
      </w:r>
      <w:r w:rsidRPr="00DE2D55">
        <w:rPr>
          <w:rStyle w:val="Refdenotaderodap"/>
          <w:rFonts w:cs="Arial"/>
        </w:rPr>
        <w:footnoteReference w:id="5"/>
      </w:r>
      <w:r w:rsidRPr="00DE2D55">
        <w:rPr>
          <w:rFonts w:cs="Arial"/>
        </w:rPr>
        <w:t>. Em um ano, apenas 22 % dos órgãos formalizaram seus Escritórios Locais de Processos (ELP), o que deixa claro o grande desafio que será garantir a adesão de 100% dos órgãos, condição necessária para garantir a capilaridade da atuação do ECP e a implementação de um modelo de gestão de processos inovador e eficiente.</w:t>
      </w:r>
    </w:p>
    <w:p w:rsidR="008E4A8D" w:rsidRDefault="008E4A8D" w:rsidP="00FE560B">
      <w:pPr>
        <w:tabs>
          <w:tab w:val="left" w:pos="0"/>
        </w:tabs>
        <w:jc w:val="both"/>
        <w:rPr>
          <w:rFonts w:cs="Arial"/>
        </w:rPr>
      </w:pPr>
      <w:r w:rsidRPr="00DE2D55">
        <w:rPr>
          <w:rFonts w:cs="Arial"/>
        </w:rPr>
        <w:t xml:space="preserve">Outra evidência importante é representada pelo baixo percentual de servidores capacitados na ‘Trilha de Aprendizagem – Gestão Estratégica de Processos’, disponível na Escola de Governo do Estado (ESESP). Tal Trilha, associada à ‘Trilha de Aprendizagem em Inovação’ (também disponível na ESESP), tem o objetivo de promover a mudança de </w:t>
      </w:r>
      <w:r w:rsidRPr="00DE2D55">
        <w:rPr>
          <w:rFonts w:cs="Arial"/>
          <w:i/>
        </w:rPr>
        <w:t>mindset</w:t>
      </w:r>
      <w:r w:rsidRPr="00DE2D55">
        <w:rPr>
          <w:rFonts w:cs="Arial"/>
        </w:rPr>
        <w:t xml:space="preserve"> nos servidores a partir da apresentação de conceitos e práticas que propiciem as condições para uma atuação mais propositiva e inovadora no que diz respeito à gestão dos processos no estado. No momento atual (maio/2018), apenas 16% dos servidores identificados como público-alvo da ação de capacitação</w:t>
      </w:r>
      <w:r w:rsidRPr="00DE2D55">
        <w:rPr>
          <w:rStyle w:val="Refdenotaderodap"/>
          <w:rFonts w:cs="Arial"/>
        </w:rPr>
        <w:footnoteReference w:id="6"/>
      </w:r>
      <w:r w:rsidRPr="00DE2D55">
        <w:rPr>
          <w:rFonts w:cs="Arial"/>
        </w:rPr>
        <w:t>, por estarem diretamente ligado a atividades-chave da gestão de processos, passaram por algum curso das mencionadas Trilhas.</w:t>
      </w:r>
    </w:p>
    <w:p w:rsidR="00860C05" w:rsidRPr="00DE2D55" w:rsidRDefault="00860C05" w:rsidP="00FE560B">
      <w:pPr>
        <w:tabs>
          <w:tab w:val="left" w:pos="0"/>
        </w:tabs>
        <w:jc w:val="both"/>
        <w:rPr>
          <w:rFonts w:cs="Arial"/>
        </w:rPr>
      </w:pPr>
    </w:p>
    <w:p w:rsidR="008E4A8D" w:rsidRPr="00DE2D55" w:rsidRDefault="008E4A8D" w:rsidP="00FE560B">
      <w:pPr>
        <w:tabs>
          <w:tab w:val="left" w:pos="0"/>
        </w:tabs>
        <w:jc w:val="both"/>
        <w:rPr>
          <w:rFonts w:cs="Arial"/>
        </w:rPr>
      </w:pPr>
      <w:r w:rsidRPr="00DE2D55">
        <w:rPr>
          <w:rFonts w:cs="Arial"/>
        </w:rPr>
        <w:t xml:space="preserve">Neste grupo inicial, serão formados multiplicadores que estarão aptos a, posteriormente, capacitar todos os 11 mil servidores envolvidos na gestão de processos. A ação de capacitação deve ser contínua e deve chegar, ao longo dos anos, a beneficiar todos os 45 mil servidores do estado em pelo menos alguns dos cursos que compõem as Trilhas. </w:t>
      </w:r>
    </w:p>
    <w:p w:rsidR="00860C05" w:rsidRPr="00DE2D55" w:rsidRDefault="00860C05" w:rsidP="00FE560B">
      <w:pPr>
        <w:tabs>
          <w:tab w:val="left" w:pos="0"/>
        </w:tabs>
        <w:jc w:val="both"/>
        <w:rPr>
          <w:rFonts w:cs="Arial"/>
          <w:b/>
        </w:rPr>
      </w:pPr>
    </w:p>
    <w:p w:rsidR="008E4A8D" w:rsidRPr="00DE2D55" w:rsidRDefault="008E4A8D" w:rsidP="00FE560B">
      <w:pPr>
        <w:tabs>
          <w:tab w:val="left" w:pos="0"/>
        </w:tabs>
        <w:jc w:val="both"/>
        <w:rPr>
          <w:rFonts w:cs="Arial"/>
          <w:b/>
        </w:rPr>
      </w:pPr>
      <w:r w:rsidRPr="00DE2D55">
        <w:rPr>
          <w:rFonts w:cs="Arial"/>
          <w:b/>
        </w:rPr>
        <w:t xml:space="preserve">Evidências sobre a baixa utilização das metodologias e tecnologias disponíveis </w:t>
      </w:r>
    </w:p>
    <w:p w:rsidR="008E4A8D" w:rsidRPr="00DE2D55" w:rsidRDefault="008E4A8D" w:rsidP="00FE560B">
      <w:pPr>
        <w:tabs>
          <w:tab w:val="left" w:pos="0"/>
        </w:tabs>
        <w:jc w:val="both"/>
        <w:rPr>
          <w:rFonts w:cs="Arial"/>
        </w:rPr>
      </w:pPr>
      <w:r w:rsidRPr="00DE2D55">
        <w:rPr>
          <w:rFonts w:cs="Arial"/>
        </w:rPr>
        <w:t xml:space="preserve">É frequente escutar a máxima que diz que vivemos nosso cotidiano com as ferramentas do século XXI e nos relacionamos com o serviço público como se vivêssemos no século XIX. Tal ideia pode conter algum exagero, mas é evidente o descompasso entre o desenvolvimento tecnológico e comportamental da sociedade contemporânea e as ferramentas e práticas utilizadas no serviço público. </w:t>
      </w:r>
    </w:p>
    <w:p w:rsidR="008E4A8D" w:rsidRPr="00DE2D55" w:rsidRDefault="008E4A8D" w:rsidP="00FE560B">
      <w:pPr>
        <w:tabs>
          <w:tab w:val="left" w:pos="0"/>
        </w:tabs>
        <w:jc w:val="both"/>
        <w:rPr>
          <w:rFonts w:cs="Arial"/>
        </w:rPr>
      </w:pPr>
      <w:r w:rsidRPr="00DE2D55">
        <w:rPr>
          <w:rFonts w:cs="Arial"/>
        </w:rPr>
        <w:t>Em relação ao ferramental tecnológico da gestão de processos (sistemas de gestão de documentos e tramitação de processos), há três soluções disponíveis no estado, a saber: BPMS Lecom, Sistema Eletrônico de Protocolo - SEP e E-Docs</w:t>
      </w:r>
      <w:r w:rsidRPr="00DE2D55">
        <w:rPr>
          <w:rStyle w:val="Refdenotaderodap"/>
          <w:rFonts w:cs="Arial"/>
        </w:rPr>
        <w:footnoteReference w:id="7"/>
      </w:r>
      <w:r w:rsidRPr="00DE2D55">
        <w:rPr>
          <w:rFonts w:cs="Arial"/>
        </w:rPr>
        <w:t xml:space="preserve">. Dentre elas, apenas o SEP, que é o sistema corporativo para controlar as operações referentes às funções de produção, recebimento, registro e tramitação de processos, está atualmente em uso por todos os órgãos do Governo. O BPMS, sistema eletrônico para tramitação padronizada de processos, encontra-se em fase de homologação e o E-Docs, sistema para tramitação ad hoc de documentos iniciará um piloto para sua implementação em junho de 2018. </w:t>
      </w:r>
    </w:p>
    <w:p w:rsidR="008E4A8D" w:rsidRPr="00DE2D55" w:rsidRDefault="008E4A8D" w:rsidP="00FE560B">
      <w:pPr>
        <w:tabs>
          <w:tab w:val="left" w:pos="0"/>
        </w:tabs>
        <w:jc w:val="both"/>
        <w:rPr>
          <w:rFonts w:cs="Arial"/>
        </w:rPr>
      </w:pPr>
      <w:r w:rsidRPr="00DE2D55">
        <w:rPr>
          <w:rFonts w:cs="Arial"/>
        </w:rPr>
        <w:t>Além disso, dentre os 45 sistemas mantidos pelo PRODEST, apenas 9 estão integrados a essas soluções de processos digitais do governo. Tais evidências apontam para uma baixa disponibilidade de dados estruturados e relatórios gerenciais sobre a tramitação dos processos, o que implica em morosidade e ineficiência na identificação e gestão de deficiências e gargalos. Tal melhoria na gestão deve ser viabilizada a partir da automação dos processos e da integração entre os diversos sistemas.</w:t>
      </w:r>
    </w:p>
    <w:p w:rsidR="008E4A8D" w:rsidRPr="00DE2D55" w:rsidRDefault="008E4A8D" w:rsidP="00FE560B">
      <w:pPr>
        <w:tabs>
          <w:tab w:val="left" w:pos="0"/>
        </w:tabs>
        <w:jc w:val="both"/>
        <w:rPr>
          <w:rFonts w:cs="Arial"/>
        </w:rPr>
      </w:pPr>
      <w:r w:rsidRPr="00DE2D55">
        <w:rPr>
          <w:rFonts w:cs="Arial"/>
        </w:rPr>
        <w:t>Porém, antes de falarmos em automação, é necessário pensar na otimização dos processos. Nem sempre o caminho mais adequado para o ganho de eficiência é a automação de um processo tal como ele se encontra.  Antes é necessário um diagnóstico do seu estado atual, sua revisão pelas pessoas diretamente envolvidas em sua tramitação e, com o insumo de tal revisão, a escolha do caminho para sua otimização, que pode envolver tanto sua automação, quanto uma revisão de legislação ou apenas a extinção de etapas ou instâncias deliberativas.</w:t>
      </w:r>
    </w:p>
    <w:p w:rsidR="008E4A8D" w:rsidRDefault="008E4A8D" w:rsidP="00FE560B">
      <w:pPr>
        <w:tabs>
          <w:tab w:val="left" w:pos="0"/>
        </w:tabs>
        <w:jc w:val="both"/>
        <w:rPr>
          <w:rFonts w:cs="Arial"/>
        </w:rPr>
      </w:pPr>
      <w:r w:rsidRPr="00DE2D55">
        <w:rPr>
          <w:rFonts w:cs="Arial"/>
        </w:rPr>
        <w:t>A instituição de um Laboratório de Inovação na Gestão pela SEGER</w:t>
      </w:r>
      <w:r w:rsidRPr="00DE2D55">
        <w:rPr>
          <w:rStyle w:val="Refdenotaderodap"/>
          <w:rFonts w:cs="Arial"/>
        </w:rPr>
        <w:footnoteReference w:id="8"/>
      </w:r>
      <w:r w:rsidRPr="00DE2D55">
        <w:rPr>
          <w:rFonts w:cs="Arial"/>
        </w:rPr>
        <w:t xml:space="preserve"> e sua atuação coordenada ao ECP vem possibilitando a identificação e a aplicação de metodologias inovadoras para a otimização de processos, tais como o Design Thinking, Design Sprint, Planejamento de Cenários, Pensamento Sistêmico, dentre outras. Porém, a baixa abrangência da aplicação dessas metodologias evidencia a necessidade de investimento na identificação de mais metodologias e sua aplicação de forma mais sistêmica e efetiva nos diversos órgãos do Governo. Oficinas para aplicação de metodologias inovadoras foram realizadas até o momento apenas de forma experimental em projetos-piloto: Design Sprint aplicado para melhorar o processo de atendimento da Gerência de Contratos e Convênios da SEGER; Pensamento Sistêmico para a Secretaria de Estado de Trabalho, Assistência e Desenvolvimento Social criar o Mapa da Extrema Pobreza e reavaliar suas políticas e processos para otimizar sua atuação, dentre outras experiências.</w:t>
      </w:r>
    </w:p>
    <w:p w:rsidR="000F67FC" w:rsidRDefault="000F67FC" w:rsidP="00FE560B">
      <w:pPr>
        <w:tabs>
          <w:tab w:val="left" w:pos="0"/>
        </w:tabs>
        <w:jc w:val="both"/>
        <w:rPr>
          <w:rFonts w:cs="Arial"/>
        </w:rPr>
      </w:pPr>
    </w:p>
    <w:p w:rsidR="008E4A8D" w:rsidRPr="00860C05" w:rsidRDefault="000547B1" w:rsidP="00A249C9">
      <w:pPr>
        <w:pStyle w:val="PargrafodaLista"/>
        <w:numPr>
          <w:ilvl w:val="1"/>
          <w:numId w:val="95"/>
        </w:numPr>
        <w:pBdr>
          <w:bottom w:val="single" w:sz="12" w:space="1" w:color="auto"/>
        </w:pBdr>
        <w:tabs>
          <w:tab w:val="left" w:pos="0"/>
          <w:tab w:val="left" w:pos="426"/>
        </w:tabs>
        <w:jc w:val="both"/>
        <w:outlineLvl w:val="2"/>
        <w:rPr>
          <w:rFonts w:cs="Calibri"/>
          <w:b/>
        </w:rPr>
      </w:pPr>
      <w:r w:rsidRPr="00860C05">
        <w:rPr>
          <w:rFonts w:cs="Calibri"/>
          <w:b/>
        </w:rPr>
        <w:t xml:space="preserve"> </w:t>
      </w:r>
      <w:bookmarkStart w:id="29" w:name="_Toc517282055"/>
      <w:r w:rsidR="00F04A84" w:rsidRPr="00860C05">
        <w:rPr>
          <w:rFonts w:cs="Calibri"/>
          <w:b/>
        </w:rPr>
        <w:t>DESCRIÇÃO DO PRODUTO E SUA META QUANTITATIVA</w:t>
      </w:r>
      <w:bookmarkEnd w:id="29"/>
    </w:p>
    <w:p w:rsidR="008E4A8D" w:rsidRPr="00DE2D55" w:rsidRDefault="008E4A8D" w:rsidP="00FE560B">
      <w:pPr>
        <w:tabs>
          <w:tab w:val="left" w:pos="0"/>
        </w:tabs>
        <w:jc w:val="both"/>
        <w:rPr>
          <w:rFonts w:cs="Arial"/>
        </w:rPr>
      </w:pPr>
      <w:r w:rsidRPr="00DE2D55">
        <w:rPr>
          <w:rFonts w:cs="Arial"/>
        </w:rPr>
        <w:t xml:space="preserve">As ações de melhoria previstas têm o objetivo principal de implementar um modelo de gestão de processos administrativos e se destinam a todos os órgãos do Executivo estadual, com prioridade para os que apoiam a gestão fiscal. Elas estão descritas a seguir. </w:t>
      </w:r>
    </w:p>
    <w:p w:rsidR="008E4A8D" w:rsidRPr="00DE2D55" w:rsidRDefault="008E4A8D" w:rsidP="00FE560B">
      <w:pPr>
        <w:pStyle w:val="Profisco"/>
        <w:numPr>
          <w:ilvl w:val="0"/>
          <w:numId w:val="22"/>
        </w:numPr>
        <w:tabs>
          <w:tab w:val="left" w:pos="0"/>
        </w:tabs>
        <w:spacing w:after="0"/>
        <w:rPr>
          <w:rFonts w:asciiTheme="minorHAnsi" w:hAnsiTheme="minorHAnsi"/>
          <w:sz w:val="22"/>
          <w:szCs w:val="22"/>
        </w:rPr>
      </w:pPr>
      <w:r w:rsidRPr="00DE2D55">
        <w:rPr>
          <w:rFonts w:asciiTheme="minorHAnsi" w:hAnsiTheme="minorHAnsi"/>
          <w:sz w:val="22"/>
          <w:szCs w:val="22"/>
        </w:rPr>
        <w:t>Implementação de metodologia de gerenciamento de processos com mapeamento e otimização, apoiada por ações de gestão de mudanças.</w:t>
      </w:r>
    </w:p>
    <w:p w:rsidR="008E4A8D" w:rsidRPr="00DE2D55" w:rsidRDefault="008E4A8D" w:rsidP="00FE560B">
      <w:pPr>
        <w:pStyle w:val="Profisco"/>
        <w:numPr>
          <w:ilvl w:val="0"/>
          <w:numId w:val="22"/>
        </w:numPr>
        <w:tabs>
          <w:tab w:val="left" w:pos="0"/>
        </w:tabs>
        <w:spacing w:after="0"/>
        <w:rPr>
          <w:rFonts w:asciiTheme="minorHAnsi" w:hAnsiTheme="minorHAnsi"/>
          <w:sz w:val="22"/>
          <w:szCs w:val="22"/>
        </w:rPr>
      </w:pPr>
      <w:r w:rsidRPr="00DE2D55">
        <w:rPr>
          <w:rFonts w:asciiTheme="minorHAnsi" w:hAnsiTheme="minorHAnsi"/>
          <w:sz w:val="22"/>
          <w:szCs w:val="22"/>
        </w:rPr>
        <w:t>Revisão da legislação e normas vigentes relativas à gestão de processos;</w:t>
      </w:r>
    </w:p>
    <w:p w:rsidR="008E4A8D" w:rsidRPr="00DE2D55" w:rsidRDefault="008E4A8D" w:rsidP="00FE560B">
      <w:pPr>
        <w:pStyle w:val="Profisco"/>
        <w:numPr>
          <w:ilvl w:val="0"/>
          <w:numId w:val="22"/>
        </w:numPr>
        <w:tabs>
          <w:tab w:val="left" w:pos="0"/>
        </w:tabs>
        <w:spacing w:after="0"/>
        <w:rPr>
          <w:rFonts w:asciiTheme="minorHAnsi" w:hAnsiTheme="minorHAnsi"/>
          <w:sz w:val="22"/>
          <w:szCs w:val="22"/>
        </w:rPr>
      </w:pPr>
      <w:r w:rsidRPr="00DE2D55">
        <w:rPr>
          <w:rFonts w:asciiTheme="minorHAnsi" w:hAnsiTheme="minorHAnsi"/>
          <w:sz w:val="22"/>
          <w:szCs w:val="22"/>
        </w:rPr>
        <w:t>Automação de processos com integração dos sistemas de gestão dos fluxos e documentos dos processos administrativos;</w:t>
      </w:r>
    </w:p>
    <w:p w:rsidR="008E4A8D" w:rsidRPr="00DE2D55" w:rsidRDefault="008E4A8D" w:rsidP="00FE560B">
      <w:pPr>
        <w:pStyle w:val="Profisco"/>
        <w:numPr>
          <w:ilvl w:val="0"/>
          <w:numId w:val="22"/>
        </w:numPr>
        <w:tabs>
          <w:tab w:val="left" w:pos="0"/>
        </w:tabs>
        <w:spacing w:after="0"/>
        <w:rPr>
          <w:rFonts w:asciiTheme="minorHAnsi" w:hAnsiTheme="minorHAnsi"/>
          <w:sz w:val="22"/>
          <w:szCs w:val="22"/>
        </w:rPr>
      </w:pPr>
      <w:r w:rsidRPr="00DE2D55">
        <w:rPr>
          <w:rFonts w:asciiTheme="minorHAnsi" w:hAnsiTheme="minorHAnsi"/>
          <w:sz w:val="22"/>
          <w:szCs w:val="22"/>
        </w:rPr>
        <w:t>Capacitação dos Recursos Humanos das unidades setoriais responsáveis pela tramitação de processos;</w:t>
      </w:r>
    </w:p>
    <w:p w:rsidR="008E4A8D" w:rsidRPr="00DE2D55" w:rsidRDefault="008E4A8D" w:rsidP="00FE560B">
      <w:pPr>
        <w:pStyle w:val="Profisco"/>
        <w:numPr>
          <w:ilvl w:val="0"/>
          <w:numId w:val="22"/>
        </w:numPr>
        <w:tabs>
          <w:tab w:val="left" w:pos="0"/>
        </w:tabs>
        <w:spacing w:after="0"/>
        <w:rPr>
          <w:rFonts w:asciiTheme="minorHAnsi" w:hAnsiTheme="minorHAnsi"/>
          <w:sz w:val="22"/>
          <w:szCs w:val="22"/>
        </w:rPr>
      </w:pPr>
      <w:r w:rsidRPr="00DE2D55">
        <w:rPr>
          <w:rFonts w:asciiTheme="minorHAnsi" w:hAnsiTheme="minorHAnsi"/>
          <w:sz w:val="22"/>
          <w:szCs w:val="22"/>
        </w:rPr>
        <w:t>Campanhas de sensibilização para os diferentes públicos envolvidos na gestão de processos.</w:t>
      </w:r>
    </w:p>
    <w:p w:rsidR="000547B1" w:rsidRPr="00DE2D55" w:rsidRDefault="000547B1" w:rsidP="00FE560B">
      <w:pPr>
        <w:pStyle w:val="Profisco"/>
        <w:tabs>
          <w:tab w:val="left" w:pos="0"/>
        </w:tabs>
        <w:spacing w:after="0"/>
        <w:ind w:left="720"/>
        <w:rPr>
          <w:rFonts w:asciiTheme="minorHAnsi" w:hAnsiTheme="minorHAnsi"/>
          <w:sz w:val="22"/>
          <w:szCs w:val="22"/>
        </w:rPr>
      </w:pPr>
    </w:p>
    <w:p w:rsidR="008E4A8D" w:rsidRPr="00DE2D55" w:rsidRDefault="008E4A8D" w:rsidP="00FE560B">
      <w:pPr>
        <w:tabs>
          <w:tab w:val="left" w:pos="0"/>
        </w:tabs>
        <w:jc w:val="both"/>
        <w:rPr>
          <w:rFonts w:cs="Arial"/>
          <w:b/>
        </w:rPr>
      </w:pPr>
      <w:r w:rsidRPr="00DE2D55">
        <w:rPr>
          <w:rFonts w:cs="Arial"/>
          <w:b/>
        </w:rPr>
        <w:t>Resultados quantificáveis: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559"/>
        <w:gridCol w:w="2127"/>
        <w:gridCol w:w="1837"/>
      </w:tblGrid>
      <w:tr w:rsidR="008E4A8D" w:rsidRPr="00DE2D55" w:rsidTr="00860C05">
        <w:trPr>
          <w:trHeight w:val="449"/>
        </w:trPr>
        <w:tc>
          <w:tcPr>
            <w:tcW w:w="3572" w:type="dxa"/>
            <w:shd w:val="clear" w:color="auto" w:fill="C5E0B3"/>
            <w:vAlign w:val="center"/>
          </w:tcPr>
          <w:p w:rsidR="008E4A8D" w:rsidRPr="00DE2D55" w:rsidRDefault="008E4A8D" w:rsidP="00FE560B">
            <w:pPr>
              <w:tabs>
                <w:tab w:val="left" w:pos="0"/>
              </w:tabs>
              <w:spacing w:line="240" w:lineRule="auto"/>
              <w:jc w:val="both"/>
              <w:rPr>
                <w:rFonts w:cs="Arial"/>
                <w:b/>
              </w:rPr>
            </w:pPr>
            <w:r w:rsidRPr="00DE2D55">
              <w:rPr>
                <w:rFonts w:cs="Arial"/>
                <w:b/>
              </w:rPr>
              <w:t xml:space="preserve">Resultado </w:t>
            </w:r>
          </w:p>
        </w:tc>
        <w:tc>
          <w:tcPr>
            <w:tcW w:w="5523" w:type="dxa"/>
            <w:gridSpan w:val="3"/>
            <w:shd w:val="clear" w:color="auto" w:fill="auto"/>
            <w:vAlign w:val="center"/>
          </w:tcPr>
          <w:p w:rsidR="008E4A8D" w:rsidRPr="00DE2D55" w:rsidRDefault="008E4A8D" w:rsidP="00FE560B">
            <w:pPr>
              <w:tabs>
                <w:tab w:val="left" w:pos="0"/>
              </w:tabs>
              <w:spacing w:line="240" w:lineRule="auto"/>
              <w:jc w:val="both"/>
              <w:rPr>
                <w:rFonts w:cs="Arial"/>
                <w:noProof/>
              </w:rPr>
            </w:pPr>
            <w:r w:rsidRPr="00DE2D55">
              <w:rPr>
                <w:rFonts w:cs="Arial"/>
              </w:rPr>
              <w:t>Modelo de gestão de processos administrativos implantado</w:t>
            </w:r>
          </w:p>
        </w:tc>
      </w:tr>
      <w:tr w:rsidR="008E4A8D" w:rsidRPr="00DE2D55" w:rsidTr="00860C05">
        <w:tc>
          <w:tcPr>
            <w:tcW w:w="3572" w:type="dxa"/>
            <w:shd w:val="clear" w:color="auto" w:fill="C5E0B3"/>
            <w:vAlign w:val="center"/>
          </w:tcPr>
          <w:p w:rsidR="008E4A8D" w:rsidRPr="00DE2D55" w:rsidRDefault="008E4A8D" w:rsidP="00FE560B">
            <w:pPr>
              <w:tabs>
                <w:tab w:val="left" w:pos="0"/>
              </w:tabs>
              <w:spacing w:line="240" w:lineRule="auto"/>
              <w:jc w:val="both"/>
              <w:rPr>
                <w:rFonts w:cs="Arial"/>
                <w:b/>
              </w:rPr>
            </w:pPr>
            <w:r w:rsidRPr="00DE2D55">
              <w:rPr>
                <w:rFonts w:cs="Arial"/>
                <w:b/>
              </w:rPr>
              <w:t>Unidade de medida</w:t>
            </w:r>
          </w:p>
        </w:tc>
        <w:tc>
          <w:tcPr>
            <w:tcW w:w="1559" w:type="dxa"/>
            <w:shd w:val="clear" w:color="auto" w:fill="C5E0B3"/>
            <w:vAlign w:val="center"/>
          </w:tcPr>
          <w:p w:rsidR="008E4A8D" w:rsidRPr="00DE2D55" w:rsidRDefault="008E4A8D" w:rsidP="00FE560B">
            <w:pPr>
              <w:tabs>
                <w:tab w:val="left" w:pos="0"/>
              </w:tabs>
              <w:spacing w:line="240" w:lineRule="auto"/>
              <w:jc w:val="both"/>
              <w:rPr>
                <w:rFonts w:cs="Arial"/>
                <w:b/>
              </w:rPr>
            </w:pPr>
            <w:r w:rsidRPr="00DE2D55">
              <w:rPr>
                <w:rFonts w:cs="Arial"/>
                <w:b/>
              </w:rPr>
              <w:t>Meta</w:t>
            </w:r>
            <w:r w:rsidR="00860C05">
              <w:rPr>
                <w:rFonts w:cs="Arial"/>
                <w:b/>
              </w:rPr>
              <w:t xml:space="preserve"> </w:t>
            </w:r>
            <w:r w:rsidRPr="00DE2D55">
              <w:rPr>
                <w:rFonts w:cs="Arial"/>
                <w:b/>
              </w:rPr>
              <w:t>(2023)</w:t>
            </w:r>
          </w:p>
        </w:tc>
        <w:tc>
          <w:tcPr>
            <w:tcW w:w="2127" w:type="dxa"/>
            <w:shd w:val="clear" w:color="auto" w:fill="C5E0B3"/>
            <w:vAlign w:val="center"/>
          </w:tcPr>
          <w:p w:rsidR="008E4A8D" w:rsidRPr="00DE2D55" w:rsidRDefault="008E4A8D" w:rsidP="00FE560B">
            <w:pPr>
              <w:tabs>
                <w:tab w:val="left" w:pos="0"/>
              </w:tabs>
              <w:spacing w:line="240" w:lineRule="auto"/>
              <w:jc w:val="both"/>
              <w:rPr>
                <w:rFonts w:cs="Arial"/>
                <w:b/>
              </w:rPr>
            </w:pPr>
            <w:r w:rsidRPr="00DE2D55">
              <w:rPr>
                <w:rFonts w:cs="Arial"/>
                <w:b/>
              </w:rPr>
              <w:t>Linha de Base (2018)</w:t>
            </w:r>
          </w:p>
        </w:tc>
        <w:tc>
          <w:tcPr>
            <w:tcW w:w="1837" w:type="dxa"/>
            <w:shd w:val="clear" w:color="auto" w:fill="C5E0B3"/>
            <w:vAlign w:val="center"/>
          </w:tcPr>
          <w:p w:rsidR="008E4A8D" w:rsidRPr="00DE2D55" w:rsidRDefault="008E4A8D" w:rsidP="00FE560B">
            <w:pPr>
              <w:tabs>
                <w:tab w:val="left" w:pos="0"/>
              </w:tabs>
              <w:spacing w:line="240" w:lineRule="auto"/>
              <w:jc w:val="both"/>
              <w:rPr>
                <w:rFonts w:cs="Arial"/>
                <w:b/>
              </w:rPr>
            </w:pPr>
            <w:r w:rsidRPr="00DE2D55">
              <w:rPr>
                <w:rFonts w:cs="Arial"/>
                <w:b/>
              </w:rPr>
              <w:t>Fonte</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Metodologia implantada</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1</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0</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 ECP</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Servidores capacitados</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2.000</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200</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 ECP</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Processos mapeados</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500</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130</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 ECP</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Processos automatizados</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150</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2</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GPP/ECP</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Oficinas de otimização realizadas</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60</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2</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 ECP</w:t>
            </w:r>
          </w:p>
        </w:tc>
      </w:tr>
      <w:tr w:rsidR="008E4A8D" w:rsidRPr="00DE2D55" w:rsidTr="00860C05">
        <w:tc>
          <w:tcPr>
            <w:tcW w:w="3572"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Campanhas de sensibilização realizadas</w:t>
            </w:r>
          </w:p>
        </w:tc>
        <w:tc>
          <w:tcPr>
            <w:tcW w:w="1559" w:type="dxa"/>
            <w:shd w:val="clear" w:color="auto" w:fill="auto"/>
            <w:vAlign w:val="center"/>
          </w:tcPr>
          <w:p w:rsidR="008E4A8D" w:rsidRPr="00DE2D55" w:rsidRDefault="008E4A8D" w:rsidP="00FE560B">
            <w:pPr>
              <w:tabs>
                <w:tab w:val="left" w:pos="0"/>
              </w:tabs>
              <w:spacing w:line="240" w:lineRule="auto"/>
              <w:jc w:val="center"/>
              <w:rPr>
                <w:rFonts w:cs="Arial"/>
              </w:rPr>
            </w:pPr>
            <w:r w:rsidRPr="00DE2D55">
              <w:rPr>
                <w:rFonts w:cs="Arial"/>
              </w:rPr>
              <w:t>2</w:t>
            </w:r>
          </w:p>
        </w:tc>
        <w:tc>
          <w:tcPr>
            <w:tcW w:w="2127" w:type="dxa"/>
            <w:shd w:val="clear" w:color="auto" w:fill="auto"/>
            <w:vAlign w:val="center"/>
          </w:tcPr>
          <w:p w:rsidR="008E4A8D" w:rsidRPr="00DE2D55" w:rsidRDefault="008E4A8D" w:rsidP="00FE560B">
            <w:pPr>
              <w:tabs>
                <w:tab w:val="left" w:pos="0"/>
                <w:tab w:val="left" w:pos="795"/>
              </w:tabs>
              <w:spacing w:line="240" w:lineRule="auto"/>
              <w:ind w:left="33" w:hanging="33"/>
              <w:jc w:val="center"/>
              <w:rPr>
                <w:rFonts w:cs="Arial"/>
              </w:rPr>
            </w:pPr>
            <w:r w:rsidRPr="00DE2D55">
              <w:rPr>
                <w:rFonts w:cs="Arial"/>
              </w:rPr>
              <w:t>0</w:t>
            </w:r>
          </w:p>
        </w:tc>
        <w:tc>
          <w:tcPr>
            <w:tcW w:w="1837" w:type="dxa"/>
            <w:shd w:val="clear" w:color="auto" w:fill="auto"/>
            <w:vAlign w:val="center"/>
          </w:tcPr>
          <w:p w:rsidR="008E4A8D" w:rsidRPr="00DE2D55" w:rsidRDefault="008E4A8D" w:rsidP="00FE560B">
            <w:pPr>
              <w:tabs>
                <w:tab w:val="left" w:pos="0"/>
              </w:tabs>
              <w:spacing w:line="240" w:lineRule="auto"/>
              <w:jc w:val="both"/>
              <w:rPr>
                <w:rFonts w:cs="Arial"/>
              </w:rPr>
            </w:pPr>
            <w:r w:rsidRPr="00DE2D55">
              <w:rPr>
                <w:rFonts w:cs="Arial"/>
              </w:rPr>
              <w:t>GPP/ ECP</w:t>
            </w:r>
          </w:p>
        </w:tc>
      </w:tr>
    </w:tbl>
    <w:p w:rsidR="008E4A8D" w:rsidRDefault="008E4A8D" w:rsidP="00FE560B">
      <w:pPr>
        <w:tabs>
          <w:tab w:val="left" w:pos="0"/>
        </w:tabs>
        <w:jc w:val="both"/>
        <w:rPr>
          <w:rFonts w:cs="Arial"/>
        </w:rPr>
      </w:pPr>
    </w:p>
    <w:p w:rsidR="008E4A8D" w:rsidRPr="00DE2D55" w:rsidRDefault="008E4A8D" w:rsidP="00FE560B">
      <w:pPr>
        <w:tabs>
          <w:tab w:val="left" w:pos="0"/>
        </w:tabs>
        <w:jc w:val="both"/>
        <w:rPr>
          <w:rFonts w:cs="Arial"/>
          <w:b/>
        </w:rPr>
      </w:pPr>
      <w:r w:rsidRPr="00DE2D55">
        <w:rPr>
          <w:rFonts w:cs="Arial"/>
          <w:b/>
        </w:rPr>
        <w:t xml:space="preserve"> Outros possíveis resultados: </w:t>
      </w:r>
    </w:p>
    <w:p w:rsidR="008E4A8D" w:rsidRPr="00DE2D55" w:rsidRDefault="008E4A8D" w:rsidP="00FE560B">
      <w:pPr>
        <w:tabs>
          <w:tab w:val="left" w:pos="0"/>
        </w:tabs>
        <w:jc w:val="both"/>
        <w:rPr>
          <w:rFonts w:cs="Arial"/>
        </w:rPr>
      </w:pPr>
    </w:p>
    <w:p w:rsidR="008E4A8D" w:rsidRPr="00DE2D55" w:rsidRDefault="008E4A8D" w:rsidP="00FE560B">
      <w:pPr>
        <w:pStyle w:val="Profisco"/>
        <w:numPr>
          <w:ilvl w:val="0"/>
          <w:numId w:val="20"/>
        </w:numPr>
        <w:tabs>
          <w:tab w:val="left" w:pos="0"/>
        </w:tabs>
        <w:spacing w:after="0"/>
        <w:rPr>
          <w:rFonts w:asciiTheme="minorHAnsi" w:hAnsiTheme="minorHAnsi"/>
          <w:sz w:val="22"/>
          <w:szCs w:val="22"/>
        </w:rPr>
      </w:pPr>
      <w:r w:rsidRPr="00DE2D55">
        <w:rPr>
          <w:rFonts w:asciiTheme="minorHAnsi" w:hAnsiTheme="minorHAnsi"/>
          <w:sz w:val="22"/>
          <w:szCs w:val="22"/>
        </w:rPr>
        <w:t>Atendimento à legislação vigente e a efetiva gestão dos processos administrativos, evitando-se o retrabalho de atividades, bem como evolução dos aspectos de transparência e do controle dos processos;</w:t>
      </w:r>
    </w:p>
    <w:p w:rsidR="008E4A8D" w:rsidRPr="00DE2D55" w:rsidRDefault="008E4A8D" w:rsidP="00FE560B">
      <w:pPr>
        <w:pStyle w:val="Profisco"/>
        <w:numPr>
          <w:ilvl w:val="0"/>
          <w:numId w:val="20"/>
        </w:numPr>
        <w:tabs>
          <w:tab w:val="left" w:pos="0"/>
        </w:tabs>
        <w:spacing w:after="0"/>
        <w:rPr>
          <w:rFonts w:asciiTheme="minorHAnsi" w:hAnsiTheme="minorHAnsi"/>
          <w:sz w:val="22"/>
          <w:szCs w:val="22"/>
        </w:rPr>
      </w:pPr>
      <w:r w:rsidRPr="00DE2D55">
        <w:rPr>
          <w:rFonts w:asciiTheme="minorHAnsi" w:hAnsiTheme="minorHAnsi"/>
          <w:sz w:val="22"/>
          <w:szCs w:val="22"/>
        </w:rPr>
        <w:t>Otimização do uso de recursos humanos, materiais e financeiros;</w:t>
      </w:r>
    </w:p>
    <w:p w:rsidR="008E4A8D" w:rsidRPr="00DE2D55" w:rsidRDefault="008E4A8D" w:rsidP="00FE560B">
      <w:pPr>
        <w:pStyle w:val="Profisco"/>
        <w:numPr>
          <w:ilvl w:val="0"/>
          <w:numId w:val="20"/>
        </w:numPr>
        <w:tabs>
          <w:tab w:val="left" w:pos="0"/>
        </w:tabs>
        <w:spacing w:after="0"/>
        <w:rPr>
          <w:rFonts w:asciiTheme="minorHAnsi" w:hAnsiTheme="minorHAnsi"/>
          <w:sz w:val="22"/>
          <w:szCs w:val="22"/>
        </w:rPr>
      </w:pPr>
      <w:r w:rsidRPr="00DE2D55">
        <w:rPr>
          <w:rFonts w:asciiTheme="minorHAnsi" w:hAnsiTheme="minorHAnsi"/>
          <w:sz w:val="22"/>
          <w:szCs w:val="22"/>
        </w:rPr>
        <w:t>Disponibilização de informação estruturada como subsídio à tomada de decisão e melhoria da qualidade do atendimento aos órgãos de controle e de fiscalização;</w:t>
      </w:r>
    </w:p>
    <w:p w:rsidR="008E4A8D" w:rsidRPr="00DE2D55" w:rsidRDefault="008E4A8D" w:rsidP="00FE560B">
      <w:pPr>
        <w:pStyle w:val="Profisco"/>
        <w:numPr>
          <w:ilvl w:val="0"/>
          <w:numId w:val="20"/>
        </w:numPr>
        <w:tabs>
          <w:tab w:val="left" w:pos="0"/>
        </w:tabs>
        <w:spacing w:after="0"/>
        <w:rPr>
          <w:rFonts w:asciiTheme="minorHAnsi" w:hAnsiTheme="minorHAnsi"/>
          <w:sz w:val="22"/>
          <w:szCs w:val="22"/>
        </w:rPr>
      </w:pPr>
      <w:r w:rsidRPr="00DE2D55">
        <w:rPr>
          <w:rFonts w:asciiTheme="minorHAnsi" w:hAnsiTheme="minorHAnsi"/>
          <w:sz w:val="22"/>
          <w:szCs w:val="22"/>
        </w:rPr>
        <w:t>Integração com outros sistemas de informação do Governo do Estado, diminuindo a ocorrência de erros manuais, propiciando maior agilidade e confiança nas atividades diárias.</w:t>
      </w:r>
    </w:p>
    <w:p w:rsidR="008E4A8D" w:rsidRDefault="008E4A8D" w:rsidP="00FE560B">
      <w:pPr>
        <w:pStyle w:val="Profisco"/>
        <w:tabs>
          <w:tab w:val="left" w:pos="0"/>
        </w:tabs>
        <w:spacing w:after="0"/>
        <w:ind w:left="720"/>
        <w:rPr>
          <w:rFonts w:asciiTheme="minorHAnsi" w:hAnsiTheme="minorHAnsi"/>
          <w:sz w:val="22"/>
          <w:szCs w:val="22"/>
        </w:rPr>
      </w:pPr>
    </w:p>
    <w:p w:rsidR="000F67FC" w:rsidRDefault="000F67FC" w:rsidP="00FE560B">
      <w:pPr>
        <w:pStyle w:val="Profisco"/>
        <w:tabs>
          <w:tab w:val="left" w:pos="0"/>
        </w:tabs>
        <w:spacing w:after="0"/>
        <w:ind w:left="720"/>
        <w:rPr>
          <w:rFonts w:asciiTheme="minorHAnsi" w:hAnsiTheme="minorHAnsi"/>
          <w:sz w:val="22"/>
          <w:szCs w:val="22"/>
        </w:rPr>
      </w:pPr>
    </w:p>
    <w:p w:rsidR="000F67FC" w:rsidRPr="00DE2D55" w:rsidRDefault="000F67FC" w:rsidP="00FE560B">
      <w:pPr>
        <w:pStyle w:val="Profisco"/>
        <w:tabs>
          <w:tab w:val="left" w:pos="0"/>
        </w:tabs>
        <w:spacing w:after="0"/>
        <w:ind w:left="720"/>
        <w:rPr>
          <w:rFonts w:asciiTheme="minorHAnsi" w:hAnsiTheme="minorHAnsi"/>
          <w:sz w:val="22"/>
          <w:szCs w:val="22"/>
        </w:rPr>
      </w:pPr>
    </w:p>
    <w:p w:rsidR="008E4A8D" w:rsidRPr="00860C05" w:rsidRDefault="000547B1" w:rsidP="00A249C9">
      <w:pPr>
        <w:pStyle w:val="PargrafodaLista"/>
        <w:numPr>
          <w:ilvl w:val="1"/>
          <w:numId w:val="95"/>
        </w:numPr>
        <w:pBdr>
          <w:bottom w:val="single" w:sz="12" w:space="1" w:color="auto"/>
        </w:pBdr>
        <w:tabs>
          <w:tab w:val="left" w:pos="0"/>
          <w:tab w:val="left" w:pos="426"/>
        </w:tabs>
        <w:jc w:val="both"/>
        <w:outlineLvl w:val="2"/>
        <w:rPr>
          <w:rFonts w:cs="Calibri"/>
          <w:b/>
        </w:rPr>
      </w:pPr>
      <w:r w:rsidRPr="00860C05">
        <w:rPr>
          <w:rFonts w:cs="Calibri"/>
          <w:b/>
        </w:rPr>
        <w:t xml:space="preserve"> </w:t>
      </w:r>
      <w:bookmarkStart w:id="30" w:name="_Toc517282056"/>
      <w:r w:rsidR="008E4A8D" w:rsidRPr="00860C05">
        <w:rPr>
          <w:rFonts w:cs="Calibri"/>
          <w:b/>
        </w:rPr>
        <w:t>ASPECTOS INOVADORES DO PRODUTO</w:t>
      </w:r>
      <w:bookmarkEnd w:id="30"/>
    </w:p>
    <w:p w:rsidR="000547B1" w:rsidRPr="00DE2D55" w:rsidRDefault="000547B1" w:rsidP="00FE560B">
      <w:pPr>
        <w:tabs>
          <w:tab w:val="left" w:pos="0"/>
        </w:tabs>
        <w:jc w:val="both"/>
      </w:pP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Otimização das funcionalidades e fluxos de processos;</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Melhoria da usabilidade;</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Melhoria da experiência do usuário;</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Integração efetiva entre os sistemas de informação do Estado;</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Implantação de BI proporcionando a extração de dados de acordo com as necessidades específicas dos órgãos;</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Melhoria da qualidade de vida dos servidores públicos;</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 xml:space="preserve">Identificação e aplicação de novas formas para aprimoramento dos processos com foco no usuário; </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Possibilidade do trabalho remoto;</w:t>
      </w:r>
    </w:p>
    <w:p w:rsidR="008E4A8D" w:rsidRPr="00DE2D55" w:rsidRDefault="008E4A8D" w:rsidP="00FE560B">
      <w:pPr>
        <w:pStyle w:val="Profisco"/>
        <w:numPr>
          <w:ilvl w:val="0"/>
          <w:numId w:val="23"/>
        </w:numPr>
        <w:tabs>
          <w:tab w:val="left" w:pos="0"/>
        </w:tabs>
        <w:spacing w:after="0"/>
        <w:rPr>
          <w:rFonts w:asciiTheme="minorHAnsi" w:hAnsiTheme="minorHAnsi"/>
          <w:sz w:val="22"/>
          <w:szCs w:val="22"/>
        </w:rPr>
      </w:pPr>
      <w:r w:rsidRPr="00DE2D55">
        <w:rPr>
          <w:rFonts w:asciiTheme="minorHAnsi" w:hAnsiTheme="minorHAnsi"/>
          <w:sz w:val="22"/>
          <w:szCs w:val="22"/>
        </w:rPr>
        <w:t>Preparação com dados estruturados para implantação de política de dados abertos.</w:t>
      </w:r>
    </w:p>
    <w:p w:rsidR="00533F4F" w:rsidRPr="00DE2D55" w:rsidRDefault="00533F4F" w:rsidP="00FE560B">
      <w:pPr>
        <w:pStyle w:val="Profisco"/>
        <w:tabs>
          <w:tab w:val="left" w:pos="0"/>
        </w:tabs>
        <w:spacing w:after="0"/>
        <w:ind w:left="720"/>
        <w:rPr>
          <w:rFonts w:asciiTheme="minorHAnsi" w:hAnsiTheme="minorHAnsi"/>
          <w:sz w:val="22"/>
          <w:szCs w:val="22"/>
        </w:rPr>
      </w:pPr>
    </w:p>
    <w:p w:rsidR="008E4A8D" w:rsidRPr="00860C05" w:rsidRDefault="000547B1" w:rsidP="00A249C9">
      <w:pPr>
        <w:pStyle w:val="PargrafodaLista"/>
        <w:numPr>
          <w:ilvl w:val="1"/>
          <w:numId w:val="95"/>
        </w:numPr>
        <w:pBdr>
          <w:bottom w:val="single" w:sz="12" w:space="1" w:color="auto"/>
        </w:pBdr>
        <w:tabs>
          <w:tab w:val="left" w:pos="0"/>
          <w:tab w:val="left" w:pos="426"/>
        </w:tabs>
        <w:jc w:val="both"/>
        <w:outlineLvl w:val="2"/>
        <w:rPr>
          <w:rFonts w:cs="Calibri"/>
          <w:b/>
        </w:rPr>
      </w:pPr>
      <w:r w:rsidRPr="00860C05">
        <w:rPr>
          <w:rFonts w:cs="Calibri"/>
          <w:b/>
        </w:rPr>
        <w:t xml:space="preserve"> </w:t>
      </w:r>
      <w:bookmarkStart w:id="31" w:name="_Toc517282057"/>
      <w:r w:rsidR="008E4A8D" w:rsidRPr="00860C05">
        <w:rPr>
          <w:rFonts w:cs="Calibri"/>
          <w:b/>
        </w:rPr>
        <w:t>IMPACTOS POTENCIAIS DO PRODUTO</w:t>
      </w:r>
      <w:bookmarkEnd w:id="31"/>
    </w:p>
    <w:p w:rsidR="000547B1" w:rsidRPr="00DE2D55" w:rsidRDefault="000547B1" w:rsidP="00FE560B">
      <w:pPr>
        <w:tabs>
          <w:tab w:val="left" w:pos="0"/>
        </w:tabs>
        <w:jc w:val="both"/>
      </w:pP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Melhoria da prestação de serviços públicos, focados nas expectativas e demandas dos servidores, cidadãos e empresas;</w:t>
      </w: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Ampliação da oferta de serviços digitais para os usuários;</w:t>
      </w: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Melhoria no ambiente de negócios e maior competitividade para o Estado, com menor burocracia, mais agilidade e transparência;</w:t>
      </w: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Melhoria de eficiência e redução de desperdícios, contribuindo também para a maior facilidade na tomada de decisão, controles mais efetivos, maior transparência e melhor utilização dos recursos financeiros;</w:t>
      </w: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Campo fértil para a implementação de uma política de dados abertos pela integração de sistemas e automação dos processos;</w:t>
      </w:r>
    </w:p>
    <w:p w:rsidR="008E4A8D" w:rsidRPr="00DE2D55" w:rsidRDefault="008E4A8D" w:rsidP="00FE560B">
      <w:pPr>
        <w:pStyle w:val="Profisco"/>
        <w:numPr>
          <w:ilvl w:val="0"/>
          <w:numId w:val="24"/>
        </w:numPr>
        <w:tabs>
          <w:tab w:val="left" w:pos="0"/>
        </w:tabs>
        <w:spacing w:after="0"/>
        <w:rPr>
          <w:rFonts w:asciiTheme="minorHAnsi" w:hAnsiTheme="minorHAnsi"/>
          <w:sz w:val="22"/>
          <w:szCs w:val="22"/>
        </w:rPr>
      </w:pPr>
      <w:r w:rsidRPr="00DE2D55">
        <w:rPr>
          <w:rFonts w:asciiTheme="minorHAnsi" w:hAnsiTheme="minorHAnsi"/>
          <w:sz w:val="22"/>
          <w:szCs w:val="22"/>
        </w:rPr>
        <w:t xml:space="preserve">Estrutura organizacional mais receptiva à transformação digital e mudança de </w:t>
      </w:r>
      <w:r w:rsidRPr="00DE2D55">
        <w:rPr>
          <w:rFonts w:asciiTheme="minorHAnsi" w:hAnsiTheme="minorHAnsi"/>
          <w:i/>
          <w:sz w:val="22"/>
          <w:szCs w:val="22"/>
        </w:rPr>
        <w:t>mindset</w:t>
      </w:r>
      <w:r w:rsidRPr="00DE2D55">
        <w:rPr>
          <w:rFonts w:asciiTheme="minorHAnsi" w:hAnsiTheme="minorHAnsi"/>
          <w:sz w:val="22"/>
          <w:szCs w:val="22"/>
        </w:rPr>
        <w:t xml:space="preserve"> dos servidores, com maior abertura para a inovação e melhorias permanentes.</w:t>
      </w:r>
    </w:p>
    <w:p w:rsidR="008E4A8D" w:rsidRPr="00DE2D55" w:rsidRDefault="008E4A8D" w:rsidP="00FE560B">
      <w:pPr>
        <w:pStyle w:val="Profisco"/>
        <w:tabs>
          <w:tab w:val="left" w:pos="0"/>
        </w:tabs>
        <w:spacing w:after="0"/>
        <w:ind w:left="720"/>
        <w:rPr>
          <w:rFonts w:asciiTheme="minorHAnsi" w:hAnsiTheme="minorHAnsi"/>
          <w:sz w:val="22"/>
          <w:szCs w:val="22"/>
        </w:rPr>
      </w:pPr>
    </w:p>
    <w:p w:rsidR="008E4A8D" w:rsidRPr="00860C05" w:rsidRDefault="000547B1" w:rsidP="00A249C9">
      <w:pPr>
        <w:pStyle w:val="PargrafodaLista"/>
        <w:numPr>
          <w:ilvl w:val="1"/>
          <w:numId w:val="95"/>
        </w:numPr>
        <w:pBdr>
          <w:bottom w:val="single" w:sz="12" w:space="1" w:color="auto"/>
        </w:pBdr>
        <w:tabs>
          <w:tab w:val="left" w:pos="0"/>
          <w:tab w:val="left" w:pos="426"/>
        </w:tabs>
        <w:jc w:val="both"/>
        <w:outlineLvl w:val="2"/>
        <w:rPr>
          <w:rFonts w:cs="Calibri"/>
          <w:b/>
        </w:rPr>
      </w:pPr>
      <w:r w:rsidRPr="00860C05">
        <w:rPr>
          <w:rFonts w:cs="Calibri"/>
          <w:b/>
        </w:rPr>
        <w:t xml:space="preserve"> </w:t>
      </w:r>
      <w:bookmarkStart w:id="32" w:name="_Toc517282058"/>
      <w:r w:rsidR="008E4A8D" w:rsidRPr="00860C05">
        <w:rPr>
          <w:rFonts w:cs="Calibri"/>
          <w:b/>
        </w:rPr>
        <w:t>RISCOS DE EXECUÇÃO DO PRODUTO</w:t>
      </w:r>
      <w:bookmarkEnd w:id="32"/>
      <w:r w:rsidR="008E4A8D" w:rsidRPr="00860C05">
        <w:rPr>
          <w:rFonts w:cs="Calibri"/>
          <w:b/>
        </w:rPr>
        <w:t xml:space="preserve"> </w:t>
      </w: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sz w:val="22"/>
          <w:szCs w:val="22"/>
        </w:rPr>
        <w:t>Equipe do Escritório Central de Processos insuficiente para possibilitar o acompanhamento das ações em todos os Órgãos envolvidos:</w:t>
      </w: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b/>
          <w:sz w:val="22"/>
          <w:szCs w:val="22"/>
        </w:rPr>
        <w:t>Situação atual</w:t>
      </w:r>
      <w:r w:rsidRPr="00DE2D55">
        <w:rPr>
          <w:rFonts w:asciiTheme="minorHAnsi" w:hAnsiTheme="minorHAnsi"/>
          <w:sz w:val="22"/>
          <w:szCs w:val="22"/>
        </w:rPr>
        <w:t>: o quantitativo de 05 (cinco) servidores efetivos nas equipes do Escritório Central de Processos do Governo e Escritório Local de Processos da SEGER, insuficiente para as novas ações previstas.</w:t>
      </w: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b/>
          <w:sz w:val="22"/>
          <w:szCs w:val="22"/>
        </w:rPr>
        <w:t>Ação de mitigação</w:t>
      </w:r>
      <w:r w:rsidRPr="00DE2D55">
        <w:rPr>
          <w:rFonts w:asciiTheme="minorHAnsi" w:hAnsiTheme="minorHAnsi"/>
          <w:sz w:val="22"/>
          <w:szCs w:val="22"/>
        </w:rPr>
        <w:t>: Alocar, no mínimo, mais 03 (três) servidores na equipe com conhecimento prévio em BPM.</w:t>
      </w:r>
    </w:p>
    <w:p w:rsidR="008E4A8D" w:rsidRPr="00DE2D55" w:rsidRDefault="008E4A8D" w:rsidP="00FE560B">
      <w:pPr>
        <w:pStyle w:val="Profisco"/>
        <w:tabs>
          <w:tab w:val="left" w:pos="0"/>
        </w:tabs>
        <w:spacing w:after="0"/>
        <w:rPr>
          <w:rFonts w:asciiTheme="minorHAnsi" w:hAnsiTheme="minorHAnsi"/>
          <w:sz w:val="22"/>
          <w:szCs w:val="22"/>
        </w:rPr>
      </w:pP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sz w:val="22"/>
          <w:szCs w:val="22"/>
        </w:rPr>
        <w:t>Cultura Organizacional desfavorável para a implantação da gestão por processos:</w:t>
      </w:r>
    </w:p>
    <w:p w:rsidR="008E4A8D" w:rsidRPr="00DE2D55"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b/>
          <w:sz w:val="22"/>
          <w:szCs w:val="22"/>
        </w:rPr>
        <w:t>Situação atual</w:t>
      </w:r>
      <w:r w:rsidRPr="00DE2D55">
        <w:rPr>
          <w:rFonts w:asciiTheme="minorHAnsi" w:hAnsiTheme="minorHAnsi"/>
          <w:sz w:val="22"/>
          <w:szCs w:val="22"/>
        </w:rPr>
        <w:t>: Resistência dos gestores e servidores em mudar a forma como trabalham.</w:t>
      </w:r>
    </w:p>
    <w:p w:rsidR="008E4A8D" w:rsidRDefault="008E4A8D" w:rsidP="00FE560B">
      <w:pPr>
        <w:pStyle w:val="Profisco"/>
        <w:tabs>
          <w:tab w:val="left" w:pos="0"/>
        </w:tabs>
        <w:spacing w:after="0"/>
        <w:rPr>
          <w:rFonts w:asciiTheme="minorHAnsi" w:hAnsiTheme="minorHAnsi"/>
          <w:sz w:val="22"/>
          <w:szCs w:val="22"/>
        </w:rPr>
      </w:pPr>
      <w:r w:rsidRPr="00DE2D55">
        <w:rPr>
          <w:rFonts w:asciiTheme="minorHAnsi" w:hAnsiTheme="minorHAnsi"/>
          <w:b/>
          <w:sz w:val="22"/>
          <w:szCs w:val="22"/>
        </w:rPr>
        <w:t>Ação de mitigação</w:t>
      </w:r>
      <w:r w:rsidRPr="00DE2D55">
        <w:rPr>
          <w:rFonts w:asciiTheme="minorHAnsi" w:hAnsiTheme="minorHAnsi"/>
          <w:sz w:val="22"/>
          <w:szCs w:val="22"/>
        </w:rPr>
        <w:t>: Sensibilização e capacitação de gestores e servidores por meio de campanhas, capacitações e eventos.</w:t>
      </w:r>
    </w:p>
    <w:p w:rsidR="00860C05" w:rsidRDefault="00860C05" w:rsidP="00FE560B">
      <w:pPr>
        <w:pStyle w:val="Profisco"/>
        <w:tabs>
          <w:tab w:val="left" w:pos="0"/>
        </w:tabs>
        <w:spacing w:after="0"/>
        <w:rPr>
          <w:rFonts w:asciiTheme="minorHAnsi" w:hAnsiTheme="minorHAnsi"/>
          <w:sz w:val="22"/>
          <w:szCs w:val="22"/>
        </w:rPr>
      </w:pPr>
    </w:p>
    <w:p w:rsidR="008E4A8D" w:rsidRPr="00860C05" w:rsidRDefault="008E4A8D" w:rsidP="00A249C9">
      <w:pPr>
        <w:pStyle w:val="PargrafodaLista"/>
        <w:numPr>
          <w:ilvl w:val="1"/>
          <w:numId w:val="95"/>
        </w:numPr>
        <w:pBdr>
          <w:bottom w:val="single" w:sz="12" w:space="1" w:color="auto"/>
        </w:pBdr>
        <w:tabs>
          <w:tab w:val="left" w:pos="0"/>
          <w:tab w:val="left" w:pos="426"/>
        </w:tabs>
        <w:jc w:val="both"/>
        <w:outlineLvl w:val="2"/>
        <w:rPr>
          <w:rFonts w:cs="Calibri"/>
          <w:b/>
        </w:rPr>
      </w:pPr>
      <w:bookmarkStart w:id="33" w:name="_Toc517282059"/>
      <w:r w:rsidRPr="00860C05">
        <w:rPr>
          <w:rFonts w:cs="Calibri"/>
          <w:b/>
        </w:rPr>
        <w:t>QUADRO DE CUSTOS DO PRODUTO POR TIPO DE INVESTIMENTO</w:t>
      </w:r>
      <w:bookmarkEnd w:id="33"/>
    </w:p>
    <w:p w:rsidR="008E4A8D" w:rsidRPr="00DE2D55" w:rsidRDefault="008E4A8D" w:rsidP="00FE560B">
      <w:pPr>
        <w:tabs>
          <w:tab w:val="left" w:pos="0"/>
        </w:tabs>
        <w:suppressAutoHyphens/>
        <w:jc w:val="both"/>
        <w:rPr>
          <w:rFonts w:cs="Arial"/>
        </w:rPr>
      </w:pPr>
      <w:r w:rsidRPr="00DE2D55">
        <w:rPr>
          <w:rFonts w:cs="Arial"/>
        </w:rPr>
        <w:t>Valores em R$</w:t>
      </w:r>
    </w:p>
    <w:tbl>
      <w:tblPr>
        <w:tblW w:w="967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386"/>
        <w:gridCol w:w="1471"/>
        <w:gridCol w:w="1606"/>
        <w:gridCol w:w="1549"/>
        <w:gridCol w:w="1529"/>
      </w:tblGrid>
      <w:tr w:rsidR="008E4A8D" w:rsidRPr="00DE2D55" w:rsidTr="0022192E">
        <w:trPr>
          <w:trHeight w:val="314"/>
        </w:trPr>
        <w:tc>
          <w:tcPr>
            <w:tcW w:w="9673" w:type="dxa"/>
            <w:gridSpan w:val="6"/>
            <w:shd w:val="clear" w:color="auto" w:fill="C5E0B3"/>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Capacitação</w:t>
            </w:r>
          </w:p>
        </w:tc>
      </w:tr>
      <w:tr w:rsidR="008E4A8D" w:rsidRPr="00DE2D55" w:rsidTr="0022192E">
        <w:tc>
          <w:tcPr>
            <w:tcW w:w="2176"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Descrição detalhada</w:t>
            </w:r>
          </w:p>
        </w:tc>
        <w:tc>
          <w:tcPr>
            <w:tcW w:w="1275"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Unidade</w:t>
            </w:r>
          </w:p>
        </w:tc>
        <w:tc>
          <w:tcPr>
            <w:tcW w:w="1482"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Quantidade</w:t>
            </w:r>
          </w:p>
        </w:tc>
        <w:tc>
          <w:tcPr>
            <w:tcW w:w="1637"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unit.</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59"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total</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44"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Observação</w:t>
            </w:r>
          </w:p>
        </w:tc>
      </w:tr>
      <w:tr w:rsidR="008E4A8D" w:rsidRPr="00DE2D55" w:rsidTr="0022192E">
        <w:tc>
          <w:tcPr>
            <w:tcW w:w="2176"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Capacitação em processos</w:t>
            </w:r>
          </w:p>
        </w:tc>
        <w:tc>
          <w:tcPr>
            <w:tcW w:w="1275"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Participantes</w:t>
            </w:r>
          </w:p>
        </w:tc>
        <w:tc>
          <w:tcPr>
            <w:tcW w:w="1482"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2000</w:t>
            </w:r>
          </w:p>
        </w:tc>
        <w:tc>
          <w:tcPr>
            <w:tcW w:w="1637"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1000,00</w:t>
            </w:r>
          </w:p>
        </w:tc>
        <w:tc>
          <w:tcPr>
            <w:tcW w:w="1559"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2.000.000,00</w:t>
            </w:r>
          </w:p>
        </w:tc>
        <w:tc>
          <w:tcPr>
            <w:tcW w:w="1544"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Quantidade estimada</w:t>
            </w:r>
          </w:p>
        </w:tc>
      </w:tr>
      <w:tr w:rsidR="008E4A8D" w:rsidRPr="00DE2D55" w:rsidTr="00860C05">
        <w:tc>
          <w:tcPr>
            <w:tcW w:w="2176"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c>
          <w:tcPr>
            <w:tcW w:w="1275"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c>
          <w:tcPr>
            <w:tcW w:w="1482"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c>
          <w:tcPr>
            <w:tcW w:w="1637"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c>
          <w:tcPr>
            <w:tcW w:w="1559"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c>
          <w:tcPr>
            <w:tcW w:w="1544" w:type="dxa"/>
            <w:tcBorders>
              <w:left w:val="nil"/>
              <w:bottom w:val="single" w:sz="4" w:space="0" w:color="auto"/>
              <w:right w:val="nil"/>
            </w:tcBorders>
            <w:vAlign w:val="center"/>
          </w:tcPr>
          <w:p w:rsidR="008E4A8D" w:rsidRPr="00DE2D55" w:rsidRDefault="008E4A8D" w:rsidP="00FE560B">
            <w:pPr>
              <w:tabs>
                <w:tab w:val="left" w:pos="0"/>
              </w:tabs>
              <w:suppressAutoHyphens/>
              <w:spacing w:line="240" w:lineRule="auto"/>
              <w:jc w:val="both"/>
              <w:rPr>
                <w:rFonts w:cs="Arial"/>
              </w:rPr>
            </w:pPr>
          </w:p>
        </w:tc>
      </w:tr>
      <w:tr w:rsidR="008E4A8D" w:rsidRPr="00DE2D55" w:rsidTr="0022192E">
        <w:trPr>
          <w:trHeight w:val="373"/>
        </w:trPr>
        <w:tc>
          <w:tcPr>
            <w:tcW w:w="9673" w:type="dxa"/>
            <w:gridSpan w:val="6"/>
            <w:shd w:val="clear" w:color="auto" w:fill="C5E0B3"/>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Consultoria</w:t>
            </w:r>
          </w:p>
        </w:tc>
      </w:tr>
      <w:tr w:rsidR="008E4A8D" w:rsidRPr="00DE2D55" w:rsidTr="0022192E">
        <w:tc>
          <w:tcPr>
            <w:tcW w:w="2176"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Descrição detalhada</w:t>
            </w:r>
          </w:p>
        </w:tc>
        <w:tc>
          <w:tcPr>
            <w:tcW w:w="1275"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Unidade</w:t>
            </w:r>
          </w:p>
        </w:tc>
        <w:tc>
          <w:tcPr>
            <w:tcW w:w="1482"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Quantidade</w:t>
            </w:r>
          </w:p>
        </w:tc>
        <w:tc>
          <w:tcPr>
            <w:tcW w:w="1637"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unit.</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59"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total</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44"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Observação</w:t>
            </w:r>
          </w:p>
        </w:tc>
      </w:tr>
      <w:tr w:rsidR="008E4A8D" w:rsidRPr="00DE2D55" w:rsidTr="0022192E">
        <w:tc>
          <w:tcPr>
            <w:tcW w:w="2176"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Mapeamento de processos</w:t>
            </w:r>
          </w:p>
        </w:tc>
        <w:tc>
          <w:tcPr>
            <w:tcW w:w="1275"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Processos</w:t>
            </w:r>
          </w:p>
        </w:tc>
        <w:tc>
          <w:tcPr>
            <w:tcW w:w="1482"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500</w:t>
            </w:r>
          </w:p>
        </w:tc>
        <w:tc>
          <w:tcPr>
            <w:tcW w:w="1637"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500,00</w:t>
            </w:r>
          </w:p>
        </w:tc>
        <w:tc>
          <w:tcPr>
            <w:tcW w:w="1559"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250.000,00</w:t>
            </w:r>
          </w:p>
        </w:tc>
        <w:tc>
          <w:tcPr>
            <w:tcW w:w="1544"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Quantidade estimada</w:t>
            </w:r>
          </w:p>
        </w:tc>
      </w:tr>
      <w:tr w:rsidR="008E4A8D" w:rsidRPr="00DE2D55" w:rsidTr="00860C05">
        <w:tc>
          <w:tcPr>
            <w:tcW w:w="2176"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Automação de Processos</w:t>
            </w:r>
          </w:p>
        </w:tc>
        <w:tc>
          <w:tcPr>
            <w:tcW w:w="1275"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Processos</w:t>
            </w:r>
          </w:p>
        </w:tc>
        <w:tc>
          <w:tcPr>
            <w:tcW w:w="1482"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150</w:t>
            </w:r>
          </w:p>
        </w:tc>
        <w:tc>
          <w:tcPr>
            <w:tcW w:w="1637"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35.000,00</w:t>
            </w:r>
          </w:p>
        </w:tc>
        <w:tc>
          <w:tcPr>
            <w:tcW w:w="1559"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5.250.000,00</w:t>
            </w:r>
          </w:p>
        </w:tc>
        <w:tc>
          <w:tcPr>
            <w:tcW w:w="1544"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Quantidade estimada</w:t>
            </w:r>
          </w:p>
        </w:tc>
      </w:tr>
    </w:tbl>
    <w:p w:rsidR="008E4A8D" w:rsidRPr="00DE2D55" w:rsidRDefault="008E4A8D" w:rsidP="00FE560B">
      <w:pPr>
        <w:tabs>
          <w:tab w:val="left" w:pos="0"/>
        </w:tabs>
        <w:spacing w:line="240" w:lineRule="auto"/>
        <w:jc w:val="both"/>
        <w:rPr>
          <w:rFonts w:cs="Arial"/>
        </w:rPr>
      </w:pPr>
    </w:p>
    <w:tbl>
      <w:tblPr>
        <w:tblW w:w="967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275"/>
        <w:gridCol w:w="1560"/>
        <w:gridCol w:w="1559"/>
        <w:gridCol w:w="1559"/>
        <w:gridCol w:w="1544"/>
      </w:tblGrid>
      <w:tr w:rsidR="008E4A8D" w:rsidRPr="00DE2D55" w:rsidTr="0022192E">
        <w:trPr>
          <w:trHeight w:val="347"/>
        </w:trPr>
        <w:tc>
          <w:tcPr>
            <w:tcW w:w="9673" w:type="dxa"/>
            <w:gridSpan w:val="6"/>
            <w:shd w:val="clear" w:color="auto" w:fill="C5E0B3"/>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Serviços que não Consultoria</w:t>
            </w:r>
          </w:p>
        </w:tc>
      </w:tr>
      <w:tr w:rsidR="008E4A8D" w:rsidRPr="00DE2D55" w:rsidTr="0022192E">
        <w:tc>
          <w:tcPr>
            <w:tcW w:w="2176"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Descrição detalhada</w:t>
            </w:r>
          </w:p>
        </w:tc>
        <w:tc>
          <w:tcPr>
            <w:tcW w:w="1275"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Unidade</w:t>
            </w:r>
          </w:p>
        </w:tc>
        <w:tc>
          <w:tcPr>
            <w:tcW w:w="1560"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Quantidade</w:t>
            </w:r>
          </w:p>
        </w:tc>
        <w:tc>
          <w:tcPr>
            <w:tcW w:w="1559"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unit.</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59"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Valor total</w:t>
            </w:r>
          </w:p>
          <w:p w:rsidR="008E4A8D" w:rsidRPr="00DE2D55" w:rsidRDefault="008E4A8D" w:rsidP="00FE560B">
            <w:pPr>
              <w:tabs>
                <w:tab w:val="left" w:pos="0"/>
              </w:tabs>
              <w:suppressAutoHyphens/>
              <w:spacing w:line="240" w:lineRule="auto"/>
              <w:jc w:val="both"/>
              <w:rPr>
                <w:rFonts w:cs="Arial"/>
                <w:b/>
              </w:rPr>
            </w:pPr>
            <w:r w:rsidRPr="00DE2D55">
              <w:rPr>
                <w:rFonts w:cs="Arial"/>
                <w:b/>
              </w:rPr>
              <w:t>R$</w:t>
            </w:r>
          </w:p>
        </w:tc>
        <w:tc>
          <w:tcPr>
            <w:tcW w:w="1544" w:type="dxa"/>
            <w:shd w:val="clear" w:color="auto" w:fill="E2EFD9"/>
            <w:vAlign w:val="center"/>
          </w:tcPr>
          <w:p w:rsidR="008E4A8D" w:rsidRPr="00DE2D55" w:rsidRDefault="008E4A8D" w:rsidP="00FE560B">
            <w:pPr>
              <w:tabs>
                <w:tab w:val="left" w:pos="0"/>
              </w:tabs>
              <w:suppressAutoHyphens/>
              <w:spacing w:line="240" w:lineRule="auto"/>
              <w:jc w:val="both"/>
              <w:rPr>
                <w:rFonts w:cs="Arial"/>
                <w:b/>
              </w:rPr>
            </w:pPr>
            <w:r w:rsidRPr="00DE2D55">
              <w:rPr>
                <w:rFonts w:cs="Arial"/>
                <w:b/>
              </w:rPr>
              <w:t>Observação</w:t>
            </w:r>
          </w:p>
        </w:tc>
      </w:tr>
      <w:tr w:rsidR="008E4A8D" w:rsidRPr="00DE2D55" w:rsidTr="0022192E">
        <w:tc>
          <w:tcPr>
            <w:tcW w:w="2176" w:type="dxa"/>
            <w:vAlign w:val="center"/>
          </w:tcPr>
          <w:p w:rsidR="008E4A8D" w:rsidRPr="00DE2D55" w:rsidRDefault="008E4A8D" w:rsidP="00FE560B">
            <w:pPr>
              <w:tabs>
                <w:tab w:val="left" w:pos="0"/>
              </w:tabs>
              <w:suppressAutoHyphens/>
              <w:spacing w:line="240" w:lineRule="auto"/>
              <w:jc w:val="both"/>
              <w:rPr>
                <w:rFonts w:cs="Arial"/>
                <w:b/>
              </w:rPr>
            </w:pPr>
            <w:r w:rsidRPr="00DE2D55">
              <w:rPr>
                <w:rFonts w:cs="Arial"/>
              </w:rPr>
              <w:t>Oficinas para otimização de processos</w:t>
            </w:r>
          </w:p>
        </w:tc>
        <w:tc>
          <w:tcPr>
            <w:tcW w:w="1275"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Oficinas</w:t>
            </w:r>
          </w:p>
        </w:tc>
        <w:tc>
          <w:tcPr>
            <w:tcW w:w="1560"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60</w:t>
            </w:r>
          </w:p>
        </w:tc>
        <w:tc>
          <w:tcPr>
            <w:tcW w:w="1559"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25.000,00</w:t>
            </w:r>
          </w:p>
        </w:tc>
        <w:tc>
          <w:tcPr>
            <w:tcW w:w="1559"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1.500.000,00</w:t>
            </w:r>
          </w:p>
        </w:tc>
        <w:tc>
          <w:tcPr>
            <w:tcW w:w="1544" w:type="dxa"/>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Quantidade estimada</w:t>
            </w:r>
          </w:p>
        </w:tc>
      </w:tr>
      <w:tr w:rsidR="008E4A8D" w:rsidRPr="00DE2D55" w:rsidTr="0022192E">
        <w:tc>
          <w:tcPr>
            <w:tcW w:w="2176"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Campanhas de sensibilização dos servidores</w:t>
            </w:r>
          </w:p>
        </w:tc>
        <w:tc>
          <w:tcPr>
            <w:tcW w:w="1275"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Campanhas</w:t>
            </w:r>
          </w:p>
        </w:tc>
        <w:tc>
          <w:tcPr>
            <w:tcW w:w="1560"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2</w:t>
            </w:r>
          </w:p>
        </w:tc>
        <w:tc>
          <w:tcPr>
            <w:tcW w:w="1559"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600.000,00</w:t>
            </w:r>
          </w:p>
        </w:tc>
        <w:tc>
          <w:tcPr>
            <w:tcW w:w="1559"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1.200.000,00</w:t>
            </w:r>
          </w:p>
        </w:tc>
        <w:tc>
          <w:tcPr>
            <w:tcW w:w="1544" w:type="dxa"/>
            <w:tcBorders>
              <w:bottom w:val="single" w:sz="4" w:space="0" w:color="auto"/>
            </w:tcBorders>
            <w:vAlign w:val="center"/>
          </w:tcPr>
          <w:p w:rsidR="008E4A8D" w:rsidRPr="00DE2D55" w:rsidRDefault="008E4A8D" w:rsidP="00FE560B">
            <w:pPr>
              <w:tabs>
                <w:tab w:val="left" w:pos="0"/>
              </w:tabs>
              <w:suppressAutoHyphens/>
              <w:spacing w:line="240" w:lineRule="auto"/>
              <w:jc w:val="both"/>
              <w:rPr>
                <w:rFonts w:cs="Arial"/>
              </w:rPr>
            </w:pPr>
            <w:r w:rsidRPr="00DE2D55">
              <w:rPr>
                <w:rFonts w:cs="Arial"/>
              </w:rPr>
              <w:t>Valor estimado</w:t>
            </w:r>
          </w:p>
        </w:tc>
      </w:tr>
      <w:tr w:rsidR="008E4A8D" w:rsidRPr="00DE2D55" w:rsidTr="0022192E">
        <w:tc>
          <w:tcPr>
            <w:tcW w:w="8129" w:type="dxa"/>
            <w:gridSpan w:val="5"/>
            <w:tcBorders>
              <w:left w:val="nil"/>
              <w:right w:val="nil"/>
            </w:tcBorders>
            <w:vAlign w:val="center"/>
          </w:tcPr>
          <w:p w:rsidR="008E4A8D" w:rsidRPr="00DE2D55" w:rsidRDefault="008E4A8D" w:rsidP="00FE560B">
            <w:pPr>
              <w:tabs>
                <w:tab w:val="left" w:pos="0"/>
              </w:tabs>
              <w:spacing w:line="240" w:lineRule="auto"/>
              <w:jc w:val="both"/>
              <w:rPr>
                <w:rFonts w:cs="Arial"/>
                <w:b/>
              </w:rPr>
            </w:pPr>
          </w:p>
        </w:tc>
        <w:tc>
          <w:tcPr>
            <w:tcW w:w="1544" w:type="dxa"/>
            <w:tcBorders>
              <w:left w:val="nil"/>
              <w:right w:val="nil"/>
            </w:tcBorders>
            <w:vAlign w:val="center"/>
          </w:tcPr>
          <w:p w:rsidR="008E4A8D" w:rsidRPr="00DE2D55" w:rsidRDefault="008E4A8D" w:rsidP="00FE560B">
            <w:pPr>
              <w:tabs>
                <w:tab w:val="left" w:pos="0"/>
              </w:tabs>
              <w:spacing w:line="240" w:lineRule="auto"/>
              <w:jc w:val="both"/>
              <w:rPr>
                <w:rFonts w:cs="Arial"/>
              </w:rPr>
            </w:pPr>
          </w:p>
        </w:tc>
      </w:tr>
      <w:tr w:rsidR="008E4A8D" w:rsidRPr="00DE2D55" w:rsidTr="0022192E">
        <w:tc>
          <w:tcPr>
            <w:tcW w:w="8129" w:type="dxa"/>
            <w:gridSpan w:val="5"/>
            <w:vAlign w:val="center"/>
          </w:tcPr>
          <w:p w:rsidR="008E4A8D" w:rsidRPr="00DE2D55" w:rsidRDefault="008E4A8D" w:rsidP="00FE560B">
            <w:pPr>
              <w:tabs>
                <w:tab w:val="left" w:pos="0"/>
              </w:tabs>
              <w:spacing w:line="240" w:lineRule="auto"/>
              <w:jc w:val="both"/>
              <w:rPr>
                <w:rFonts w:cs="Arial"/>
                <w:b/>
              </w:rPr>
            </w:pPr>
            <w:r w:rsidRPr="00DE2D55">
              <w:rPr>
                <w:rFonts w:cs="Arial"/>
                <w:b/>
              </w:rPr>
              <w:t>Total Geral R$ 10.200.000,00</w:t>
            </w:r>
          </w:p>
        </w:tc>
        <w:tc>
          <w:tcPr>
            <w:tcW w:w="1544" w:type="dxa"/>
            <w:vAlign w:val="center"/>
          </w:tcPr>
          <w:p w:rsidR="008E4A8D" w:rsidRPr="00DE2D55" w:rsidRDefault="008E4A8D" w:rsidP="00FE560B">
            <w:pPr>
              <w:tabs>
                <w:tab w:val="left" w:pos="0"/>
              </w:tabs>
              <w:spacing w:line="240" w:lineRule="auto"/>
              <w:jc w:val="both"/>
              <w:rPr>
                <w:rFonts w:cs="Arial"/>
              </w:rPr>
            </w:pPr>
            <w:r w:rsidRPr="00DE2D55">
              <w:rPr>
                <w:rFonts w:cs="Arial"/>
              </w:rPr>
              <w:t>-</w:t>
            </w:r>
          </w:p>
        </w:tc>
      </w:tr>
    </w:tbl>
    <w:p w:rsidR="00860C05" w:rsidRDefault="00860C05" w:rsidP="00FE560B">
      <w:pPr>
        <w:pStyle w:val="Profisco"/>
        <w:tabs>
          <w:tab w:val="left" w:pos="0"/>
        </w:tabs>
        <w:spacing w:after="0"/>
        <w:rPr>
          <w:rFonts w:asciiTheme="minorHAnsi" w:hAnsiTheme="minorHAnsi" w:cs="Arial"/>
          <w:b/>
          <w:sz w:val="22"/>
          <w:szCs w:val="22"/>
        </w:rPr>
      </w:pPr>
    </w:p>
    <w:p w:rsidR="00860C05" w:rsidRPr="00860C05" w:rsidRDefault="00860C05" w:rsidP="00A249C9">
      <w:pPr>
        <w:pStyle w:val="PargrafodaLista"/>
        <w:numPr>
          <w:ilvl w:val="1"/>
          <w:numId w:val="95"/>
        </w:numPr>
        <w:pBdr>
          <w:bottom w:val="single" w:sz="12" w:space="1" w:color="auto"/>
        </w:pBdr>
        <w:tabs>
          <w:tab w:val="left" w:pos="0"/>
          <w:tab w:val="left" w:pos="426"/>
        </w:tabs>
        <w:jc w:val="both"/>
        <w:outlineLvl w:val="2"/>
        <w:rPr>
          <w:rFonts w:cs="Calibri"/>
          <w:b/>
        </w:rPr>
      </w:pPr>
      <w:r w:rsidRPr="00860C05">
        <w:rPr>
          <w:rFonts w:cs="Calibri"/>
          <w:b/>
        </w:rPr>
        <w:t xml:space="preserve"> </w:t>
      </w:r>
      <w:bookmarkStart w:id="34" w:name="_Toc517282060"/>
      <w:r w:rsidRPr="00860C05">
        <w:rPr>
          <w:rFonts w:cs="Calibri"/>
          <w:b/>
        </w:rPr>
        <w:t>CRONOGRAMA PROPOSTO DO PRODUTO</w:t>
      </w:r>
      <w:bookmarkEnd w:id="34"/>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590"/>
        <w:gridCol w:w="431"/>
        <w:gridCol w:w="429"/>
        <w:gridCol w:w="398"/>
        <w:gridCol w:w="376"/>
        <w:gridCol w:w="513"/>
        <w:gridCol w:w="376"/>
        <w:gridCol w:w="478"/>
        <w:gridCol w:w="482"/>
        <w:gridCol w:w="384"/>
        <w:gridCol w:w="378"/>
        <w:gridCol w:w="376"/>
      </w:tblGrid>
      <w:tr w:rsidR="00860C05" w:rsidRPr="00DE2D55" w:rsidTr="00860C05">
        <w:trPr>
          <w:trHeight w:val="305"/>
        </w:trPr>
        <w:tc>
          <w:tcPr>
            <w:tcW w:w="2339" w:type="pct"/>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Item de Custo</w:t>
            </w:r>
          </w:p>
        </w:tc>
        <w:tc>
          <w:tcPr>
            <w:tcW w:w="521" w:type="pct"/>
            <w:gridSpan w:val="2"/>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2018</w:t>
            </w:r>
          </w:p>
        </w:tc>
        <w:tc>
          <w:tcPr>
            <w:tcW w:w="422" w:type="pct"/>
            <w:gridSpan w:val="2"/>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2019</w:t>
            </w:r>
          </w:p>
        </w:tc>
        <w:tc>
          <w:tcPr>
            <w:tcW w:w="454" w:type="pct"/>
            <w:gridSpan w:val="2"/>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2020</w:t>
            </w:r>
          </w:p>
        </w:tc>
        <w:tc>
          <w:tcPr>
            <w:tcW w:w="436" w:type="pct"/>
            <w:gridSpan w:val="2"/>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2021</w:t>
            </w:r>
          </w:p>
        </w:tc>
        <w:tc>
          <w:tcPr>
            <w:tcW w:w="442" w:type="pct"/>
            <w:gridSpan w:val="2"/>
            <w:tcBorders>
              <w:top w:val="single" w:sz="4" w:space="0" w:color="auto"/>
              <w:left w:val="single" w:sz="4" w:space="0" w:color="auto"/>
              <w:bottom w:val="single" w:sz="4" w:space="0" w:color="auto"/>
              <w:right w:val="single" w:sz="4" w:space="0" w:color="auto"/>
            </w:tcBorders>
            <w:shd w:val="clear" w:color="auto" w:fill="C5E0B3"/>
            <w:hideMark/>
          </w:tcPr>
          <w:p w:rsidR="00860C05" w:rsidRPr="00DE2D55" w:rsidRDefault="00860C05" w:rsidP="00FE560B">
            <w:pPr>
              <w:tabs>
                <w:tab w:val="left" w:pos="0"/>
              </w:tabs>
              <w:jc w:val="both"/>
              <w:rPr>
                <w:rFonts w:cs="Arial"/>
                <w:b/>
              </w:rPr>
            </w:pPr>
            <w:r w:rsidRPr="00DE2D55">
              <w:rPr>
                <w:rFonts w:cs="Arial"/>
                <w:b/>
              </w:rPr>
              <w:t>2022</w:t>
            </w:r>
          </w:p>
        </w:tc>
        <w:tc>
          <w:tcPr>
            <w:tcW w:w="385" w:type="pct"/>
            <w:gridSpan w:val="2"/>
            <w:tcBorders>
              <w:top w:val="single" w:sz="4" w:space="0" w:color="auto"/>
              <w:left w:val="single" w:sz="4" w:space="0" w:color="auto"/>
              <w:bottom w:val="single" w:sz="4" w:space="0" w:color="auto"/>
              <w:right w:val="single" w:sz="4" w:space="0" w:color="auto"/>
            </w:tcBorders>
            <w:shd w:val="clear" w:color="auto" w:fill="C5E0B3"/>
          </w:tcPr>
          <w:p w:rsidR="00860C05" w:rsidRPr="00DE2D55" w:rsidRDefault="00860C05" w:rsidP="00FE560B">
            <w:pPr>
              <w:tabs>
                <w:tab w:val="left" w:pos="0"/>
              </w:tabs>
              <w:jc w:val="both"/>
              <w:rPr>
                <w:rFonts w:cs="Arial"/>
                <w:b/>
              </w:rPr>
            </w:pPr>
            <w:r w:rsidRPr="00DE2D55">
              <w:rPr>
                <w:rFonts w:cs="Arial"/>
                <w:b/>
              </w:rPr>
              <w:t>2023</w:t>
            </w:r>
          </w:p>
        </w:tc>
      </w:tr>
      <w:tr w:rsidR="00860C05" w:rsidRPr="00DE2D55" w:rsidTr="00860C05">
        <w:tc>
          <w:tcPr>
            <w:tcW w:w="2339" w:type="pct"/>
            <w:tcBorders>
              <w:top w:val="single" w:sz="4" w:space="0" w:color="auto"/>
              <w:left w:val="single" w:sz="4" w:space="0" w:color="auto"/>
              <w:bottom w:val="single" w:sz="4" w:space="0" w:color="auto"/>
              <w:right w:val="single" w:sz="4" w:space="0" w:color="auto"/>
            </w:tcBorders>
            <w:shd w:val="clear" w:color="auto" w:fill="auto"/>
          </w:tcPr>
          <w:p w:rsidR="00860C05" w:rsidRPr="00DE2D55" w:rsidRDefault="00860C05" w:rsidP="00FE560B">
            <w:pPr>
              <w:tabs>
                <w:tab w:val="left" w:pos="0"/>
              </w:tabs>
              <w:jc w:val="both"/>
              <w:rPr>
                <w:rFonts w:cs="Arial"/>
                <w:highlight w:val="yellow"/>
              </w:rPr>
            </w:pPr>
            <w:r w:rsidRPr="00DE2D55">
              <w:rPr>
                <w:rFonts w:cs="Arial"/>
              </w:rPr>
              <w:t>Capacitação em processos</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3"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r>
      <w:tr w:rsidR="00860C05" w:rsidRPr="00DE2D55" w:rsidTr="00860C05">
        <w:tc>
          <w:tcPr>
            <w:tcW w:w="2339" w:type="pct"/>
            <w:tcBorders>
              <w:top w:val="single" w:sz="4" w:space="0" w:color="auto"/>
              <w:left w:val="single" w:sz="4" w:space="0" w:color="auto"/>
              <w:bottom w:val="single" w:sz="4" w:space="0" w:color="auto"/>
              <w:right w:val="single" w:sz="4" w:space="0" w:color="auto"/>
            </w:tcBorders>
            <w:shd w:val="clear" w:color="auto" w:fill="auto"/>
          </w:tcPr>
          <w:p w:rsidR="00860C05" w:rsidRPr="00DE2D55" w:rsidRDefault="00860C05" w:rsidP="00FE560B">
            <w:pPr>
              <w:tabs>
                <w:tab w:val="left" w:pos="0"/>
              </w:tabs>
              <w:jc w:val="both"/>
              <w:rPr>
                <w:rFonts w:cs="Arial"/>
                <w:highlight w:val="yellow"/>
              </w:rPr>
            </w:pPr>
            <w:r w:rsidRPr="00DE2D55">
              <w:rPr>
                <w:rFonts w:cs="Arial"/>
              </w:rPr>
              <w:t>Mapeamento de processos</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3"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p>
        </w:tc>
        <w:tc>
          <w:tcPr>
            <w:tcW w:w="192"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p>
        </w:tc>
      </w:tr>
      <w:tr w:rsidR="00860C05" w:rsidRPr="00DE2D55" w:rsidTr="00860C05">
        <w:tc>
          <w:tcPr>
            <w:tcW w:w="2339" w:type="pct"/>
            <w:tcBorders>
              <w:top w:val="single" w:sz="4" w:space="0" w:color="auto"/>
              <w:left w:val="single" w:sz="4" w:space="0" w:color="auto"/>
              <w:bottom w:val="single" w:sz="4" w:space="0" w:color="auto"/>
              <w:right w:val="single" w:sz="4" w:space="0" w:color="auto"/>
            </w:tcBorders>
            <w:shd w:val="clear" w:color="auto" w:fill="auto"/>
          </w:tcPr>
          <w:p w:rsidR="00860C05" w:rsidRPr="00DE2D55" w:rsidRDefault="00860C05" w:rsidP="00FE560B">
            <w:pPr>
              <w:tabs>
                <w:tab w:val="left" w:pos="0"/>
              </w:tabs>
              <w:jc w:val="both"/>
              <w:rPr>
                <w:rFonts w:cs="Arial"/>
                <w:highlight w:val="yellow"/>
              </w:rPr>
            </w:pPr>
            <w:r w:rsidRPr="00DE2D55">
              <w:rPr>
                <w:rFonts w:cs="Arial"/>
              </w:rPr>
              <w:t>Automação de Processos</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3"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r>
      <w:tr w:rsidR="00860C05" w:rsidRPr="00DE2D55" w:rsidTr="00860C05">
        <w:tc>
          <w:tcPr>
            <w:tcW w:w="2339" w:type="pct"/>
            <w:tcBorders>
              <w:top w:val="single" w:sz="4" w:space="0" w:color="auto"/>
              <w:left w:val="single" w:sz="4" w:space="0" w:color="auto"/>
              <w:bottom w:val="single" w:sz="4" w:space="0" w:color="auto"/>
              <w:right w:val="single" w:sz="4" w:space="0" w:color="auto"/>
            </w:tcBorders>
            <w:shd w:val="clear" w:color="auto" w:fill="auto"/>
          </w:tcPr>
          <w:p w:rsidR="00860C05" w:rsidRPr="00DE2D55" w:rsidRDefault="00860C05" w:rsidP="00FE560B">
            <w:pPr>
              <w:tabs>
                <w:tab w:val="left" w:pos="0"/>
              </w:tabs>
              <w:ind w:left="6"/>
              <w:jc w:val="both"/>
              <w:rPr>
                <w:rFonts w:cs="Arial"/>
              </w:rPr>
            </w:pPr>
            <w:r w:rsidRPr="00DE2D55">
              <w:rPr>
                <w:rFonts w:cs="Arial"/>
              </w:rPr>
              <w:t>Oficinas para otimização de processos</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3"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p>
        </w:tc>
        <w:tc>
          <w:tcPr>
            <w:tcW w:w="192"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p>
        </w:tc>
      </w:tr>
      <w:tr w:rsidR="00860C05" w:rsidRPr="00DE2D55" w:rsidTr="00860C05">
        <w:tc>
          <w:tcPr>
            <w:tcW w:w="2339" w:type="pct"/>
            <w:tcBorders>
              <w:top w:val="single" w:sz="4" w:space="0" w:color="auto"/>
              <w:left w:val="single" w:sz="4" w:space="0" w:color="auto"/>
              <w:bottom w:val="single" w:sz="4" w:space="0" w:color="auto"/>
              <w:right w:val="single" w:sz="4" w:space="0" w:color="auto"/>
            </w:tcBorders>
            <w:shd w:val="clear" w:color="auto" w:fill="auto"/>
          </w:tcPr>
          <w:p w:rsidR="00860C05" w:rsidRPr="00DE2D55" w:rsidRDefault="00860C05" w:rsidP="00FE560B">
            <w:pPr>
              <w:tabs>
                <w:tab w:val="left" w:pos="0"/>
              </w:tabs>
              <w:ind w:left="6"/>
              <w:jc w:val="both"/>
              <w:rPr>
                <w:rFonts w:cs="Arial"/>
              </w:rPr>
            </w:pPr>
            <w:r w:rsidRPr="00DE2D55">
              <w:rPr>
                <w:rFonts w:cs="Arial"/>
              </w:rPr>
              <w:t>Campanha de divulgação</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r w:rsidRPr="00DE2D55">
              <w:rPr>
                <w:rFonts w:cs="Arial"/>
              </w:rPr>
              <w:t>X</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0C05" w:rsidRPr="00DE2D55" w:rsidRDefault="00860C05" w:rsidP="00FE560B">
            <w:pPr>
              <w:tabs>
                <w:tab w:val="left" w:pos="0"/>
              </w:tabs>
              <w:jc w:val="both"/>
              <w:rPr>
                <w:rFonts w:cs="Arial"/>
              </w:rPr>
            </w:pPr>
          </w:p>
        </w:tc>
        <w:tc>
          <w:tcPr>
            <w:tcW w:w="193"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c>
          <w:tcPr>
            <w:tcW w:w="192" w:type="pct"/>
            <w:tcBorders>
              <w:top w:val="single" w:sz="4" w:space="0" w:color="auto"/>
              <w:left w:val="single" w:sz="4" w:space="0" w:color="auto"/>
              <w:bottom w:val="single" w:sz="4" w:space="0" w:color="auto"/>
              <w:right w:val="single" w:sz="4" w:space="0" w:color="auto"/>
            </w:tcBorders>
            <w:vAlign w:val="center"/>
          </w:tcPr>
          <w:p w:rsidR="00860C05" w:rsidRPr="00DE2D55" w:rsidRDefault="00860C05" w:rsidP="00FE560B">
            <w:pPr>
              <w:tabs>
                <w:tab w:val="left" w:pos="0"/>
              </w:tabs>
              <w:jc w:val="both"/>
              <w:rPr>
                <w:rFonts w:cs="Arial"/>
              </w:rPr>
            </w:pPr>
            <w:r w:rsidRPr="00DE2D55">
              <w:rPr>
                <w:rFonts w:cs="Arial"/>
              </w:rPr>
              <w:t>X</w:t>
            </w:r>
          </w:p>
        </w:tc>
      </w:tr>
    </w:tbl>
    <w:p w:rsidR="00594D5B" w:rsidRPr="00DE2D55" w:rsidRDefault="00594D5B" w:rsidP="00FE560B">
      <w:pPr>
        <w:pStyle w:val="Ttulo2"/>
        <w:tabs>
          <w:tab w:val="left" w:pos="0"/>
        </w:tabs>
        <w:spacing w:before="0"/>
        <w:jc w:val="both"/>
        <w:rPr>
          <w:rFonts w:asciiTheme="minorHAnsi" w:eastAsia="Times New Roman" w:hAnsiTheme="minorHAnsi" w:cs="Arial"/>
          <w:sz w:val="22"/>
          <w:szCs w:val="22"/>
          <w:lang w:eastAsia="pt-BR"/>
        </w:rPr>
      </w:pPr>
      <w:bookmarkStart w:id="35" w:name="_Toc517282061"/>
      <w:r w:rsidRPr="00DE2D55">
        <w:rPr>
          <w:rFonts w:asciiTheme="minorHAnsi" w:eastAsia="Times New Roman" w:hAnsiTheme="minorHAnsi" w:cs="Arial"/>
          <w:sz w:val="22"/>
          <w:szCs w:val="22"/>
          <w:lang w:eastAsia="pt-BR"/>
        </w:rPr>
        <w:t>PRODUTO 3. REVISÃO DE MODELO DE GESTÃO DE PESSOAS DA SEFAZ ATUALIZADO</w:t>
      </w:r>
      <w:bookmarkEnd w:id="35"/>
      <w:r w:rsidRPr="00DE2D55">
        <w:rPr>
          <w:rFonts w:asciiTheme="minorHAnsi" w:eastAsia="Times New Roman" w:hAnsiTheme="minorHAnsi" w:cs="Arial"/>
          <w:sz w:val="22"/>
          <w:szCs w:val="22"/>
          <w:lang w:eastAsia="pt-BR"/>
        </w:rPr>
        <w:t xml:space="preserve"> </w:t>
      </w:r>
    </w:p>
    <w:p w:rsidR="00594D5B" w:rsidRPr="00DE2D55" w:rsidRDefault="00594D5B" w:rsidP="00FE560B">
      <w:pPr>
        <w:tabs>
          <w:tab w:val="left" w:pos="0"/>
        </w:tabs>
        <w:jc w:val="both"/>
        <w:rPr>
          <w:rFonts w:cs="Calibri"/>
          <w:b/>
          <w:bCs/>
          <w:smallCaps/>
          <w:color w:val="0070C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594D5B" w:rsidRPr="00DE2D55" w:rsidTr="00594D5B">
        <w:tc>
          <w:tcPr>
            <w:tcW w:w="9039" w:type="dxa"/>
            <w:tcBorders>
              <w:top w:val="single" w:sz="4" w:space="0" w:color="auto"/>
              <w:left w:val="nil"/>
              <w:bottom w:val="single" w:sz="4" w:space="0" w:color="auto"/>
              <w:right w:val="nil"/>
            </w:tcBorders>
            <w:shd w:val="clear" w:color="auto" w:fill="D5DCE4"/>
          </w:tcPr>
          <w:p w:rsidR="00594D5B" w:rsidRPr="00DE2D55" w:rsidRDefault="00594D5B" w:rsidP="00FE560B">
            <w:pPr>
              <w:shd w:val="clear" w:color="auto" w:fill="D5DCE4"/>
              <w:tabs>
                <w:tab w:val="left" w:pos="0"/>
              </w:tabs>
              <w:jc w:val="both"/>
              <w:rPr>
                <w:rFonts w:cs="Calibri"/>
                <w:b/>
                <w:bCs/>
                <w:color w:val="0070C0"/>
              </w:rPr>
            </w:pPr>
            <w:r w:rsidRPr="00DE2D55">
              <w:rPr>
                <w:rFonts w:cs="Calibri"/>
                <w:b/>
                <w:bCs/>
                <w:color w:val="0070C0"/>
              </w:rPr>
              <w:t>NOTA TÉCNICA</w:t>
            </w:r>
          </w:p>
          <w:p w:rsidR="00594D5B" w:rsidRPr="00DE2D55" w:rsidRDefault="00594D5B" w:rsidP="00FE560B">
            <w:pPr>
              <w:shd w:val="clear" w:color="auto" w:fill="D5DCE4"/>
              <w:tabs>
                <w:tab w:val="left" w:pos="0"/>
              </w:tabs>
              <w:jc w:val="both"/>
              <w:rPr>
                <w:rFonts w:cs="Calibri"/>
                <w:b/>
                <w:bCs/>
                <w:color w:val="0070C0"/>
              </w:rPr>
            </w:pPr>
            <w:r w:rsidRPr="00DE2D55">
              <w:rPr>
                <w:rFonts w:cs="Calibri"/>
                <w:b/>
                <w:bCs/>
                <w:color w:val="0070C0"/>
              </w:rPr>
              <w:t>P.1.3 – Revisão do Modelo de Gestão de Pessoas da SEFAZ atualizado</w:t>
            </w:r>
          </w:p>
          <w:p w:rsidR="00594D5B" w:rsidRPr="00DE2D55" w:rsidRDefault="00594D5B" w:rsidP="00FE560B">
            <w:pPr>
              <w:shd w:val="clear" w:color="auto" w:fill="D5DCE4"/>
              <w:tabs>
                <w:tab w:val="left" w:pos="0"/>
              </w:tabs>
              <w:ind w:left="993" w:hanging="567"/>
              <w:jc w:val="both"/>
              <w:rPr>
                <w:rFonts w:cs="Calibri"/>
                <w:b/>
                <w:bCs/>
                <w:color w:val="0070C0"/>
              </w:rPr>
            </w:pPr>
            <w:r w:rsidRPr="00DE2D55">
              <w:rPr>
                <w:rFonts w:cs="Calibri"/>
                <w:b/>
                <w:bCs/>
                <w:color w:val="0070C0"/>
              </w:rPr>
              <w:t>1.3.1 Mapeamento das Competências individuais, análise do perfil da função e do gap de competências; dimensionamento qualitativo e quantitativo da força de trabalho e de sua localização; Plano de desenvolvimento individual (PDI) e definição das Trilhas de Aprendizagem</w:t>
            </w:r>
          </w:p>
          <w:p w:rsidR="00594D5B" w:rsidRPr="00DE2D55" w:rsidRDefault="00594D5B" w:rsidP="00FE560B">
            <w:pPr>
              <w:shd w:val="clear" w:color="auto" w:fill="D5DCE4"/>
              <w:tabs>
                <w:tab w:val="left" w:pos="0"/>
              </w:tabs>
              <w:ind w:left="993" w:hanging="567"/>
              <w:jc w:val="both"/>
              <w:rPr>
                <w:rFonts w:cs="Calibri"/>
                <w:b/>
                <w:bCs/>
                <w:color w:val="0070C0"/>
              </w:rPr>
            </w:pPr>
            <w:r w:rsidRPr="00DE2D55">
              <w:rPr>
                <w:rFonts w:cs="Calibri"/>
                <w:b/>
                <w:bCs/>
                <w:color w:val="0070C0"/>
              </w:rPr>
              <w:t>1.3.2 Readequação tecnológica do espaço multimeios para eventos de capacitação, com estúdio para gravação de aulas online e aquisição de equipamentos e materiais de apoio</w:t>
            </w:r>
          </w:p>
          <w:p w:rsidR="00594D5B" w:rsidRPr="00DE2D55" w:rsidRDefault="00594D5B" w:rsidP="00FE560B">
            <w:pPr>
              <w:shd w:val="clear" w:color="auto" w:fill="D5DCE4"/>
              <w:tabs>
                <w:tab w:val="left" w:pos="0"/>
              </w:tabs>
              <w:ind w:left="993" w:hanging="567"/>
              <w:jc w:val="both"/>
              <w:rPr>
                <w:rFonts w:cs="Calibri"/>
                <w:b/>
                <w:bCs/>
                <w:color w:val="0070C0"/>
              </w:rPr>
            </w:pPr>
            <w:r w:rsidRPr="00DE2D55">
              <w:rPr>
                <w:rFonts w:cs="Calibri"/>
                <w:b/>
                <w:bCs/>
                <w:color w:val="0070C0"/>
              </w:rPr>
              <w:t>1.3.3 Atualização tecnológica com novas funcionalidades e integração do Sistema Integrado de Administração de Recursos Humanos do Espírito Santo (SIARHES):</w:t>
            </w:r>
          </w:p>
        </w:tc>
      </w:tr>
    </w:tbl>
    <w:p w:rsidR="00860C05" w:rsidRDefault="00860C05" w:rsidP="00FE560B">
      <w:pPr>
        <w:tabs>
          <w:tab w:val="left" w:pos="0"/>
        </w:tabs>
        <w:ind w:left="360"/>
        <w:jc w:val="both"/>
        <w:rPr>
          <w:rFonts w:cs="Calibri"/>
        </w:rPr>
      </w:pPr>
    </w:p>
    <w:p w:rsidR="00594D5B" w:rsidRPr="00DE2D55" w:rsidRDefault="00860C05" w:rsidP="00FE560B">
      <w:pPr>
        <w:tabs>
          <w:tab w:val="left" w:pos="0"/>
        </w:tabs>
        <w:ind w:left="360"/>
        <w:jc w:val="both"/>
        <w:rPr>
          <w:rFonts w:cs="Calibri"/>
        </w:rPr>
      </w:pPr>
      <w:r>
        <w:rPr>
          <w:rFonts w:cs="Calibri"/>
        </w:rPr>
        <w:t>Autores</w:t>
      </w:r>
      <w:r w:rsidR="00594D5B" w:rsidRPr="00DE2D55">
        <w:rPr>
          <w:rFonts w:cs="Calibri"/>
        </w:rPr>
        <w:t xml:space="preserve">: </w:t>
      </w:r>
    </w:p>
    <w:tbl>
      <w:tblPr>
        <w:tblW w:w="5000" w:type="pct"/>
        <w:tblLook w:val="04A0" w:firstRow="1" w:lastRow="0" w:firstColumn="1" w:lastColumn="0" w:noHBand="0" w:noVBand="1"/>
      </w:tblPr>
      <w:tblGrid>
        <w:gridCol w:w="2113"/>
        <w:gridCol w:w="1247"/>
        <w:gridCol w:w="3247"/>
        <w:gridCol w:w="3163"/>
      </w:tblGrid>
      <w:tr w:rsidR="00594D5B" w:rsidRPr="00DE2D55" w:rsidTr="00594D5B">
        <w:tc>
          <w:tcPr>
            <w:tcW w:w="1232"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Nome</w:t>
            </w:r>
          </w:p>
        </w:tc>
        <w:tc>
          <w:tcPr>
            <w:tcW w:w="580"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Cargo</w:t>
            </w:r>
          </w:p>
        </w:tc>
        <w:tc>
          <w:tcPr>
            <w:tcW w:w="1812"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Área</w:t>
            </w:r>
          </w:p>
        </w:tc>
        <w:tc>
          <w:tcPr>
            <w:tcW w:w="1377"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E-mail</w:t>
            </w:r>
          </w:p>
        </w:tc>
      </w:tr>
      <w:tr w:rsidR="00594D5B" w:rsidRPr="00DE2D55" w:rsidTr="00594D5B">
        <w:tblPrEx>
          <w:tblLook w:val="0000" w:firstRow="0" w:lastRow="0" w:firstColumn="0" w:lastColumn="0" w:noHBand="0" w:noVBand="0"/>
        </w:tblPrEx>
        <w:trPr>
          <w:trHeight w:val="70"/>
        </w:trPr>
        <w:tc>
          <w:tcPr>
            <w:tcW w:w="12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ind w:left="21" w:hanging="21"/>
              <w:jc w:val="both"/>
            </w:pPr>
            <w:r w:rsidRPr="00DE2D55">
              <w:t xml:space="preserve">Luís Antonio Rangel </w:t>
            </w:r>
          </w:p>
        </w:tc>
        <w:tc>
          <w:tcPr>
            <w:tcW w:w="58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jc w:val="both"/>
            </w:pPr>
            <w:r w:rsidRPr="00DE2D55">
              <w:t>Gerente</w:t>
            </w:r>
          </w:p>
        </w:tc>
        <w:tc>
          <w:tcPr>
            <w:tcW w:w="181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ind w:left="21" w:hanging="21"/>
              <w:jc w:val="both"/>
            </w:pPr>
            <w:r w:rsidRPr="00DE2D55">
              <w:t>Gerência de Desenvolvimento Fazendário</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lrangel@sefaz.es.gov.br</w:t>
            </w:r>
          </w:p>
        </w:tc>
      </w:tr>
      <w:tr w:rsidR="00594D5B" w:rsidRPr="00DE2D55" w:rsidTr="00594D5B">
        <w:trPr>
          <w:trHeight w:val="285"/>
        </w:trPr>
        <w:tc>
          <w:tcPr>
            <w:tcW w:w="123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ind w:left="21" w:hanging="21"/>
              <w:jc w:val="both"/>
            </w:pPr>
            <w:r w:rsidRPr="00DE2D55">
              <w:t>Maria da Penha Zanoni Brito</w:t>
            </w:r>
          </w:p>
        </w:tc>
        <w:tc>
          <w:tcPr>
            <w:tcW w:w="58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ind w:left="21" w:hanging="21"/>
              <w:jc w:val="both"/>
            </w:pPr>
            <w:r w:rsidRPr="00DE2D55">
              <w:t>Subgerente</w:t>
            </w:r>
          </w:p>
        </w:tc>
        <w:tc>
          <w:tcPr>
            <w:tcW w:w="181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ind w:left="21" w:hanging="21"/>
              <w:jc w:val="both"/>
            </w:pPr>
            <w:r w:rsidRPr="00DE2D55">
              <w:t xml:space="preserve">Subgerência de Treinamento e Desenv. </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ind w:left="21" w:hanging="21"/>
              <w:jc w:val="both"/>
            </w:pPr>
            <w:r w:rsidRPr="00DE2D55">
              <w:t>mpbrito@sefaz.es.gov.br</w:t>
            </w:r>
          </w:p>
        </w:tc>
      </w:tr>
      <w:tr w:rsidR="00594D5B" w:rsidRPr="00DE2D55" w:rsidTr="00594D5B">
        <w:trPr>
          <w:trHeight w:val="285"/>
        </w:trPr>
        <w:tc>
          <w:tcPr>
            <w:tcW w:w="123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Celso Hamerski</w:t>
            </w:r>
          </w:p>
          <w:p w:rsidR="00594D5B" w:rsidRPr="00DE2D55" w:rsidRDefault="00594D5B" w:rsidP="00FE560B">
            <w:pPr>
              <w:tabs>
                <w:tab w:val="left" w:pos="0"/>
              </w:tabs>
              <w:spacing w:line="240" w:lineRule="auto"/>
              <w:jc w:val="both"/>
              <w:rPr>
                <w:rFonts w:cs="Calibri"/>
              </w:rPr>
            </w:pPr>
          </w:p>
        </w:tc>
        <w:tc>
          <w:tcPr>
            <w:tcW w:w="58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t>Gerente</w:t>
            </w:r>
          </w:p>
        </w:tc>
        <w:tc>
          <w:tcPr>
            <w:tcW w:w="181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Gerência do SIAHES</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celso.hamerski@seger.es.gov.br</w:t>
            </w:r>
          </w:p>
        </w:tc>
      </w:tr>
      <w:tr w:rsidR="00594D5B" w:rsidRPr="00DE2D55" w:rsidTr="00594D5B">
        <w:trPr>
          <w:trHeight w:val="285"/>
        </w:trPr>
        <w:tc>
          <w:tcPr>
            <w:tcW w:w="123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Heyde dos Santos Lemos</w:t>
            </w:r>
          </w:p>
        </w:tc>
        <w:tc>
          <w:tcPr>
            <w:tcW w:w="58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Gerente</w:t>
            </w:r>
          </w:p>
        </w:tc>
        <w:tc>
          <w:tcPr>
            <w:tcW w:w="181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Gerência de Carreiras e Desenv. do Servidor</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E04BB7" w:rsidP="00FE560B">
            <w:pPr>
              <w:tabs>
                <w:tab w:val="left" w:pos="0"/>
              </w:tabs>
              <w:spacing w:line="240" w:lineRule="auto"/>
              <w:jc w:val="both"/>
              <w:rPr>
                <w:rFonts w:cs="Calibri"/>
              </w:rPr>
            </w:pPr>
            <w:hyperlink r:id="rId12" w:history="1">
              <w:r w:rsidR="00594D5B" w:rsidRPr="00DE2D55">
                <w:rPr>
                  <w:rStyle w:val="Hyperlink"/>
                  <w:rFonts w:cs="Calibri"/>
                </w:rPr>
                <w:t>heyde.lemos@seger.es.gov.br</w:t>
              </w:r>
            </w:hyperlink>
          </w:p>
        </w:tc>
      </w:tr>
      <w:tr w:rsidR="00594D5B" w:rsidRPr="00DE2D55" w:rsidTr="00594D5B">
        <w:trPr>
          <w:trHeight w:val="285"/>
        </w:trPr>
        <w:tc>
          <w:tcPr>
            <w:tcW w:w="123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Renato Machado Albert</w:t>
            </w:r>
          </w:p>
        </w:tc>
        <w:tc>
          <w:tcPr>
            <w:tcW w:w="58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Gerente</w:t>
            </w:r>
          </w:p>
        </w:tc>
        <w:tc>
          <w:tcPr>
            <w:tcW w:w="181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Gerência de Sistemas de Informação</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renato.albert@prodest.es.gov.br</w:t>
            </w:r>
          </w:p>
        </w:tc>
      </w:tr>
      <w:tr w:rsidR="00594D5B" w:rsidRPr="00DE2D55" w:rsidTr="00594D5B">
        <w:trPr>
          <w:trHeight w:val="285"/>
        </w:trPr>
        <w:tc>
          <w:tcPr>
            <w:tcW w:w="123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Sylvana Torres Poças</w:t>
            </w:r>
          </w:p>
        </w:tc>
        <w:tc>
          <w:tcPr>
            <w:tcW w:w="58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Diretora</w:t>
            </w:r>
          </w:p>
        </w:tc>
        <w:tc>
          <w:tcPr>
            <w:tcW w:w="1812"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Diretoria Técnica da ESESP</w:t>
            </w:r>
          </w:p>
        </w:tc>
        <w:tc>
          <w:tcPr>
            <w:tcW w:w="137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rPr>
                <w:rFonts w:cs="Calibri"/>
              </w:rPr>
            </w:pPr>
            <w:r w:rsidRPr="00DE2D55">
              <w:rPr>
                <w:rFonts w:cs="Calibri"/>
              </w:rPr>
              <w:t>sylvana@esesp.es.gov.br</w:t>
            </w:r>
          </w:p>
        </w:tc>
      </w:tr>
    </w:tbl>
    <w:p w:rsidR="00594D5B" w:rsidRPr="00DE2D55" w:rsidRDefault="00594D5B" w:rsidP="00FE560B">
      <w:pPr>
        <w:tabs>
          <w:tab w:val="left" w:pos="0"/>
        </w:tabs>
        <w:jc w:val="both"/>
        <w:rPr>
          <w:rFonts w:cs="Calibri"/>
          <w:b/>
        </w:rPr>
      </w:pPr>
    </w:p>
    <w:p w:rsidR="00594D5B" w:rsidRDefault="00594D5B" w:rsidP="00FE560B">
      <w:pPr>
        <w:tabs>
          <w:tab w:val="left" w:pos="0"/>
        </w:tabs>
        <w:jc w:val="both"/>
        <w:rPr>
          <w:rFonts w:cs="Calibri"/>
          <w:b/>
        </w:rPr>
      </w:pPr>
    </w:p>
    <w:p w:rsidR="00751F2C" w:rsidRDefault="00751F2C" w:rsidP="00FE560B">
      <w:pPr>
        <w:tabs>
          <w:tab w:val="left" w:pos="0"/>
        </w:tabs>
        <w:jc w:val="both"/>
        <w:rPr>
          <w:rFonts w:cs="Calibri"/>
          <w:b/>
        </w:rPr>
      </w:pPr>
    </w:p>
    <w:p w:rsidR="00751F2C" w:rsidRDefault="00751F2C" w:rsidP="00FE560B">
      <w:pPr>
        <w:tabs>
          <w:tab w:val="left" w:pos="0"/>
        </w:tabs>
        <w:jc w:val="both"/>
        <w:rPr>
          <w:rFonts w:cs="Calibri"/>
          <w:b/>
        </w:rPr>
      </w:pPr>
    </w:p>
    <w:p w:rsidR="00751F2C" w:rsidRPr="00DE2D55" w:rsidRDefault="00751F2C" w:rsidP="00FE560B">
      <w:pPr>
        <w:tabs>
          <w:tab w:val="left" w:pos="0"/>
        </w:tabs>
        <w:jc w:val="both"/>
        <w:rPr>
          <w:rFonts w:cs="Calibri"/>
          <w:b/>
        </w:rPr>
      </w:pPr>
    </w:p>
    <w:p w:rsidR="00594D5B" w:rsidRPr="00DE2D55" w:rsidRDefault="00594D5B" w:rsidP="00FE560B">
      <w:pPr>
        <w:tabs>
          <w:tab w:val="left" w:pos="0"/>
        </w:tabs>
        <w:jc w:val="both"/>
        <w:rPr>
          <w:rFonts w:cs="Calibri"/>
          <w:b/>
        </w:rPr>
      </w:pPr>
    </w:p>
    <w:p w:rsidR="00594D5B" w:rsidRPr="00DE2D55" w:rsidRDefault="00594D5B" w:rsidP="00FE560B">
      <w:pPr>
        <w:tabs>
          <w:tab w:val="left" w:pos="0"/>
        </w:tabs>
        <w:jc w:val="center"/>
        <w:rPr>
          <w:rFonts w:cs="Calibri"/>
          <w:b/>
        </w:rPr>
      </w:pPr>
      <w:r w:rsidRPr="00DE2D55">
        <w:rPr>
          <w:rFonts w:cs="Calibri"/>
          <w:b/>
        </w:rPr>
        <w:t>Vitória/ES – junho de 2018</w:t>
      </w:r>
    </w:p>
    <w:p w:rsidR="00594D5B" w:rsidRDefault="00594D5B" w:rsidP="00FE560B">
      <w:pPr>
        <w:tabs>
          <w:tab w:val="left" w:pos="0"/>
        </w:tabs>
        <w:jc w:val="both"/>
        <w:rPr>
          <w:rFonts w:cs="Calibri"/>
          <w:b/>
        </w:rPr>
      </w:pPr>
    </w:p>
    <w:p w:rsidR="00533F4F" w:rsidRDefault="00533F4F" w:rsidP="00FE560B">
      <w:pPr>
        <w:tabs>
          <w:tab w:val="left" w:pos="0"/>
        </w:tabs>
        <w:jc w:val="both"/>
        <w:rPr>
          <w:rFonts w:cs="Calibri"/>
          <w:b/>
        </w:rPr>
      </w:pPr>
    </w:p>
    <w:p w:rsidR="000F67FC" w:rsidRDefault="000F67FC" w:rsidP="00FE560B">
      <w:pPr>
        <w:tabs>
          <w:tab w:val="left" w:pos="0"/>
        </w:tabs>
        <w:jc w:val="both"/>
        <w:rPr>
          <w:rFonts w:cs="Calibri"/>
          <w:b/>
        </w:rPr>
      </w:pPr>
    </w:p>
    <w:p w:rsidR="00860C05" w:rsidRPr="00DE2D55" w:rsidRDefault="00860C05" w:rsidP="00FE560B">
      <w:pPr>
        <w:tabs>
          <w:tab w:val="left" w:pos="0"/>
        </w:tabs>
        <w:jc w:val="both"/>
        <w:rPr>
          <w:rFonts w:cs="Calibri"/>
          <w:b/>
        </w:rPr>
      </w:pPr>
    </w:p>
    <w:p w:rsidR="00594D5B" w:rsidRPr="00860C0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36" w:name="_Toc517282062"/>
      <w:r w:rsidRPr="00860C05">
        <w:rPr>
          <w:rFonts w:cs="Calibri"/>
          <w:b/>
        </w:rPr>
        <w:t>ANTECEDENTES DO PRODUTO</w:t>
      </w:r>
      <w:bookmarkEnd w:id="36"/>
    </w:p>
    <w:p w:rsidR="00594D5B" w:rsidRPr="00860C05" w:rsidRDefault="00594D5B" w:rsidP="00FE560B">
      <w:pPr>
        <w:shd w:val="clear" w:color="auto" w:fill="FFFFFF"/>
        <w:tabs>
          <w:tab w:val="left" w:pos="0"/>
        </w:tabs>
        <w:jc w:val="both"/>
        <w:rPr>
          <w:rFonts w:cs="Arial"/>
        </w:rPr>
      </w:pPr>
      <w:r w:rsidRPr="00860C05">
        <w:rPr>
          <w:rFonts w:cs="Arial"/>
        </w:rPr>
        <w:t xml:space="preserve">       </w:t>
      </w:r>
    </w:p>
    <w:p w:rsidR="00594D5B" w:rsidRPr="00860C05" w:rsidRDefault="00594D5B" w:rsidP="00FE560B">
      <w:pPr>
        <w:shd w:val="clear" w:color="auto" w:fill="FFFFFF"/>
        <w:tabs>
          <w:tab w:val="left" w:pos="0"/>
        </w:tabs>
        <w:jc w:val="both"/>
        <w:rPr>
          <w:rFonts w:cs="Arial"/>
        </w:rPr>
      </w:pPr>
      <w:r w:rsidRPr="00860C05">
        <w:rPr>
          <w:rFonts w:cs="Arial"/>
        </w:rPr>
        <w:t>Todos os sucessos - ou fracassos - de uma organização passam necessariamente por quatro fatores: espaço físico, tecnologia, capital e pessoas. Todo o processo de aprendizagem e criação de novos conhecimentos começa no nível individual, isto é, nas pessoas. As pessoas são, sem dúvida, o centro de toda organização, idealizadoras e realizadoras de todas as atividades do órgão, por mais avançada tecnologicamente que ele seja.</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 xml:space="preserve">A capacitação é uma das responsabilidades gerenciais de maior importância nos dias de hoje, pois promove o desenvolvimento das pessoas e se constitui em suporte para a melhoria da gestão pública. A promoção do desenvolvimento, por sua vez, cristaliza a satisfação da clientela interna e externa da SEFAZ/ES. </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 xml:space="preserve">As pressões econômicas da conjuntura atual exigem contínuo aperfeiçoamento por parte da Administração contrapondo à crescente escassez de recursos em todas as esferas. A necessidade de aproximação do contribuinte dos serviços públicos exige um aumento da flexibilidade, da prontidão e da capacidade de adaptação da Secretaria de Fazenda. Isto implica na modernização tecnológica e organizacional, na estrutura normativa, na gestão de pessoas e essa última, está diretamente relacionada a maiores investimentos em capacitação para os servidores. </w:t>
      </w:r>
    </w:p>
    <w:p w:rsidR="00594D5B" w:rsidRPr="00860C05" w:rsidRDefault="00594D5B" w:rsidP="00FE560B">
      <w:pPr>
        <w:tabs>
          <w:tab w:val="left" w:pos="0"/>
        </w:tabs>
        <w:jc w:val="both"/>
        <w:rPr>
          <w:rFonts w:cs="Arial"/>
        </w:rPr>
      </w:pPr>
    </w:p>
    <w:p w:rsidR="00594D5B" w:rsidRPr="00860C05" w:rsidRDefault="00594D5B" w:rsidP="00FE560B">
      <w:pPr>
        <w:shd w:val="clear" w:color="auto" w:fill="FFFFFF"/>
        <w:tabs>
          <w:tab w:val="left" w:pos="0"/>
        </w:tabs>
        <w:jc w:val="both"/>
        <w:rPr>
          <w:rFonts w:cs="Arial"/>
        </w:rPr>
      </w:pPr>
      <w:r w:rsidRPr="00860C05">
        <w:rPr>
          <w:rFonts w:cs="Arial"/>
        </w:rPr>
        <w:t>A SEFAZ ES possui 844 servidores, sendo que no seu quadro de Carreiras vinculadas temos: 333 servidores da área da Receita e 58 servidores da área do Tesouro, totalizando 391 servidores ativos. Acrescenta-se ao número acima 93 servidores da área Administrativa e 76 sem vínculo efetivo, além de servidores terceirizados (222) e Estagiários (62).</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No âmbito da Secretaria de Estado de Fazenda do Espírito Santo não ocorreram  investimentos em capacitação de forma significativa e sistematizada ao longo dos últimos 04 anos sendo que as atividades de Treinamento foram desenvolvidas somente com recursos advindos do Banco Interamericano de Desenvolvimento - BID e  do Fundo de Modernização e Desenvolvimento Fazendário (FUNSEFAZ), mesmo assim, somente nos dois últimos anos, atendendo 344 servidores de carreira de Treinamento de Capacitação, o que, consequentemente, existe uma grande demanda represada; as iniciativas existentes de capacitação se deram por meio do Ensino a Distância implantado nesta SEFAZ e, mesmo assim, ocorreram sem o devido alinhamento com o planejamento estratégico e as competências institucionais; inexistiam Planos de Capacitação elaborados e mapeamento em competências, sendo realizados apenas sob demandas em caráter de urgência.</w:t>
      </w:r>
    </w:p>
    <w:p w:rsidR="00594D5B" w:rsidRPr="00860C05" w:rsidRDefault="00594D5B" w:rsidP="00FE560B">
      <w:pPr>
        <w:tabs>
          <w:tab w:val="left" w:pos="0"/>
        </w:tabs>
        <w:ind w:right="-1"/>
        <w:jc w:val="both"/>
        <w:rPr>
          <w:rFonts w:cs="Arial"/>
        </w:rPr>
      </w:pPr>
    </w:p>
    <w:p w:rsidR="00594D5B" w:rsidRPr="00860C05" w:rsidRDefault="00594D5B" w:rsidP="00FE560B">
      <w:pPr>
        <w:tabs>
          <w:tab w:val="left" w:pos="0"/>
        </w:tabs>
        <w:ind w:right="-1"/>
        <w:jc w:val="both"/>
        <w:rPr>
          <w:rFonts w:cs="Arial"/>
        </w:rPr>
      </w:pPr>
      <w:r w:rsidRPr="00860C05">
        <w:rPr>
          <w:rFonts w:cs="Arial"/>
        </w:rPr>
        <w:t>A partir do ano de 2016 o Plano de Capacitação da SEFAZ/ES foi idealizado na forma de Trilhas de Aprendizagem, totalizando onze (11) trilhas, com 16 (dezesseis) cursos, que abordam eixos de conhecimento categorizados apenas no técnico, deixando à mercê, o âmbito gerencial, comportamental e de gestão da informação, sendo que este último abrange as vertentes ligadas à tecnologia da informação e gestão do conhecimento. Esses eixos permeiam quatro componentes do plano: Gestão Estratégica Integrada; Administração Tributária e Contencioso Fiscal; Administração Financeira, Patrimonial e Controle Interno; e, por fim, Gestão de Produtos Estratégicos. Tais componentes são totalmente aderentes ao PROFISCO.</w:t>
      </w:r>
    </w:p>
    <w:p w:rsidR="00594D5B" w:rsidRPr="00860C05" w:rsidRDefault="00594D5B" w:rsidP="00FE560B">
      <w:pPr>
        <w:tabs>
          <w:tab w:val="left" w:pos="0"/>
          <w:tab w:val="left" w:pos="851"/>
        </w:tabs>
        <w:jc w:val="both"/>
        <w:rPr>
          <w:rFonts w:cs="Arial"/>
        </w:rPr>
      </w:pPr>
    </w:p>
    <w:p w:rsidR="00594D5B" w:rsidRPr="00860C05" w:rsidRDefault="00594D5B" w:rsidP="00FE560B">
      <w:pPr>
        <w:tabs>
          <w:tab w:val="left" w:pos="0"/>
          <w:tab w:val="left" w:pos="851"/>
        </w:tabs>
        <w:jc w:val="both"/>
        <w:rPr>
          <w:rFonts w:cs="Arial"/>
        </w:rPr>
      </w:pPr>
      <w:r w:rsidRPr="00860C05">
        <w:rPr>
          <w:rFonts w:cs="Arial"/>
        </w:rPr>
        <w:t>Esse modelo começou a ser executado em 2016, com recursos do BID por meio de contratação da Escola de Serviço Público do ES – ESESP com bons resultados, contudo, não houve possibilidade e recursos disponíveis para o atendimento a todas as necessidades elencadas nas Trilhas de Capacitação. Desse modo, só foi possível capacitar aproximadamente 50% dos servidores da Secretaria em face da exiguidade do tempo para a execução da capacitação e disponibilização de orçamento.</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Outra situação que merece destaque diz respeito ao Plano de Formação Pós-Graduada do Servidor Fazendário, que teve edital publicado em 2014, atendendo apenas 22 servidores nos últimos 05 anos, sendo necessária a publicação de novos editais com mais ofertas de vagas para atender a demanda significativa de servidores que demonstram interesse, necessidade e contribuiriam para melhor desenvolvimento dos trabalhos da Secretaria.</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Dado o exposto, observa-se a necessidade de mapear competências existentes e competências necessárias, atentando para que as estratégias de formação e capacitação permitam a eliminação de gaps entre o perfil observado e o desejado para o quadro de pessoal da instituição.</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No mais, os desafios do processo permanente de aperfeiçoamento em gestão de pessoas no serviço público são cada vez mais complexos, exigindo investimentos em metodologias e tecnologias ainda não aplicadas e com potencial de geração de resultados.</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Dessa forma o Governo do Estado do Espírito Santo em 1998, por meio de seu Instituto de Tecnologia da Informação e Comunicação (PRODEST) e da SEGER, optou pela adoção do sistema ERGON como solução de gestão corporativa de recursos humanos e de processamento da folha de pagamento no âmbito das administrações direta e indireta do Poder Executivo Estadual.</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 xml:space="preserve">Após parametrizações e customizações para atender às necessidades e particularidades do Estado, a solução recebeu a denominação de SIARHES – Sistema Integrado de Administração de Recursos Humanos do Espírito Santo – sendo implantada para o pessoal civil ativo da administração direta em outubro de 2000, para o pessoal militar ativo em janeiro de 2004 e para os servidores ativos das autarquias e fundações a partir de janeiro de 2007. A implantação da folha de pagamento para os servidores aposentados e pensionistas previdenciários foi concluída em agosto de 2007. </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Desde então, o SIARHES suporta, além da gestão e pagamento de servidores ativos do Poder Executivo, o pagamento de aposentados e pensionistas de todos os Poderes do Estado do Espírito Santo.</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Atualmente, após 18 (dezoito) anos de uso, o sistema corporativo do Estado para a gestão de recursos humanos e folha de pagamento possui um total de 13 (treze) módulos e 1.875 usuários ativos distribuídos por 54 órgãos centralizados e 475 unidades operacionais descentralizadas.</w:t>
      </w:r>
    </w:p>
    <w:p w:rsidR="00594D5B" w:rsidRPr="00860C05" w:rsidRDefault="00594D5B" w:rsidP="00FE560B">
      <w:pPr>
        <w:tabs>
          <w:tab w:val="left" w:pos="0"/>
        </w:tabs>
        <w:jc w:val="both"/>
        <w:rPr>
          <w:rFonts w:cs="Arial"/>
        </w:rPr>
      </w:pPr>
    </w:p>
    <w:p w:rsidR="00594D5B" w:rsidRPr="00860C05" w:rsidRDefault="00594D5B" w:rsidP="00FE560B">
      <w:pPr>
        <w:tabs>
          <w:tab w:val="left" w:pos="0"/>
        </w:tabs>
        <w:jc w:val="both"/>
        <w:rPr>
          <w:rFonts w:cs="Arial"/>
        </w:rPr>
      </w:pPr>
      <w:r w:rsidRPr="00860C05">
        <w:rPr>
          <w:rFonts w:cs="Arial"/>
        </w:rPr>
        <w:t>Os processos, serviços e atividades desenvolvidas no SIARHES são essenciais para a execução das atividades institucionais, de tal forma que sua indisponibilidade ou descontinuidade produziria impacto direto ao desempenho do Governo do Estado</w:t>
      </w:r>
    </w:p>
    <w:p w:rsidR="00594D5B" w:rsidRPr="00860C05" w:rsidRDefault="00594D5B" w:rsidP="00FE560B">
      <w:pPr>
        <w:tabs>
          <w:tab w:val="left" w:pos="0"/>
          <w:tab w:val="left" w:pos="720"/>
        </w:tabs>
        <w:jc w:val="both"/>
        <w:rPr>
          <w:rFonts w:cs="Arial"/>
        </w:rPr>
      </w:pPr>
    </w:p>
    <w:p w:rsidR="00594D5B" w:rsidRPr="00860C05" w:rsidRDefault="00594D5B" w:rsidP="00FE560B">
      <w:pPr>
        <w:tabs>
          <w:tab w:val="left" w:pos="0"/>
        </w:tabs>
        <w:jc w:val="both"/>
        <w:rPr>
          <w:rFonts w:cs="Arial"/>
        </w:rPr>
      </w:pPr>
      <w:r w:rsidRPr="00860C05">
        <w:rPr>
          <w:rFonts w:cs="Arial"/>
        </w:rPr>
        <w:t>Nesse contexto, a meta e o alcance pretendidos com a contratação de serviços, para modernização do Sistema Integrado de Administração de Recursos Humanos do Espírito Santo (SIARHES) e sua integração com o Sistema Integrado de Gestão das Finanças Públicas do Espírito Santo (SIGEFES) permitirão o controle mais efetivo dos gastos com folha de pagamento do pessoal do Poder Executivo, contribuindo para uma melhor gestão fiscal das contas públicas.</w:t>
      </w:r>
    </w:p>
    <w:p w:rsidR="00594D5B" w:rsidRPr="00860C05" w:rsidRDefault="00594D5B" w:rsidP="00FE560B">
      <w:pPr>
        <w:tabs>
          <w:tab w:val="left" w:pos="0"/>
        </w:tabs>
        <w:jc w:val="both"/>
        <w:rPr>
          <w:rFonts w:cs="Arial"/>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37" w:name="_Toc517282063"/>
      <w:r w:rsidRPr="00DE2D55">
        <w:rPr>
          <w:rFonts w:cs="Calibri"/>
          <w:b/>
        </w:rPr>
        <w:t>DESCRIÇÃO DO PROBLEMA E SUAS EVIDÊNCIAS</w:t>
      </w:r>
      <w:bookmarkEnd w:id="37"/>
    </w:p>
    <w:p w:rsidR="00594D5B" w:rsidRPr="00DE2D55" w:rsidRDefault="00594D5B" w:rsidP="00FE560B">
      <w:pPr>
        <w:pStyle w:val="Corpodetexto"/>
        <w:tabs>
          <w:tab w:val="left" w:pos="0"/>
        </w:tabs>
        <w:spacing w:line="360" w:lineRule="auto"/>
        <w:ind w:left="360"/>
        <w:rPr>
          <w:rFonts w:asciiTheme="minorHAnsi" w:hAnsiTheme="minorHAnsi" w:cs="Calibri"/>
          <w:noProof/>
          <w:sz w:val="22"/>
          <w:szCs w:val="22"/>
        </w:rPr>
      </w:pPr>
    </w:p>
    <w:p w:rsidR="00594D5B" w:rsidRPr="00DE2D55" w:rsidRDefault="00751F2C" w:rsidP="00FE560B">
      <w:pPr>
        <w:tabs>
          <w:tab w:val="left" w:pos="0"/>
        </w:tabs>
        <w:jc w:val="both"/>
        <w:rPr>
          <w:rFonts w:cs="Arial"/>
          <w:b/>
        </w:rPr>
      </w:pPr>
      <w:r>
        <w:rPr>
          <w:rFonts w:cs="Arial"/>
          <w:b/>
        </w:rPr>
        <w:t>3.</w:t>
      </w:r>
      <w:r w:rsidR="00594D5B" w:rsidRPr="00DE2D55">
        <w:rPr>
          <w:rFonts w:cs="Arial"/>
          <w:b/>
        </w:rPr>
        <w:t xml:space="preserve">2.1- Síntese do Problema: </w:t>
      </w:r>
    </w:p>
    <w:p w:rsidR="00594D5B" w:rsidRPr="00DE2D55" w:rsidRDefault="00594D5B" w:rsidP="00FE560B">
      <w:pPr>
        <w:numPr>
          <w:ilvl w:val="0"/>
          <w:numId w:val="36"/>
        </w:numPr>
        <w:tabs>
          <w:tab w:val="left" w:pos="0"/>
        </w:tabs>
        <w:jc w:val="both"/>
        <w:rPr>
          <w:rFonts w:cs="Arial"/>
          <w:b/>
        </w:rPr>
      </w:pPr>
      <w:r w:rsidRPr="00DE2D55">
        <w:rPr>
          <w:rFonts w:cs="Calibri"/>
          <w:noProof/>
        </w:rPr>
        <w:t>Sistema de gestão de pessoas defasado tecnologicamente e sem integração com o sistema de contabilidade e finanças.</w:t>
      </w:r>
    </w:p>
    <w:p w:rsidR="00594D5B" w:rsidRPr="00DE2D55" w:rsidRDefault="00594D5B" w:rsidP="00FE560B">
      <w:pPr>
        <w:pBdr>
          <w:top w:val="dotted" w:sz="4" w:space="2" w:color="auto"/>
          <w:left w:val="dotted" w:sz="4" w:space="4" w:color="auto"/>
          <w:bottom w:val="dotted" w:sz="4" w:space="1" w:color="auto"/>
          <w:right w:val="dotted" w:sz="4" w:space="4" w:color="auto"/>
        </w:pBdr>
        <w:shd w:val="clear" w:color="auto" w:fill="C5E0B3"/>
        <w:tabs>
          <w:tab w:val="left" w:pos="0"/>
        </w:tabs>
        <w:jc w:val="both"/>
        <w:rPr>
          <w:rFonts w:cs="Arial"/>
          <w:color w:val="000000"/>
        </w:rPr>
      </w:pPr>
      <w:r w:rsidRPr="00DE2D55">
        <w:rPr>
          <w:rFonts w:cs="Arial"/>
          <w:color w:val="000000"/>
        </w:rPr>
        <w:t>Baixa produtividade e precariedade na prestação de serviços da SEFAZ, evidenciados pelo insuficiente nível de arrecadação do estado.</w:t>
      </w:r>
    </w:p>
    <w:p w:rsidR="00594D5B" w:rsidRPr="00DE2D55" w:rsidRDefault="00751F2C" w:rsidP="00FE560B">
      <w:pPr>
        <w:tabs>
          <w:tab w:val="left" w:pos="0"/>
        </w:tabs>
        <w:jc w:val="both"/>
        <w:rPr>
          <w:rFonts w:cs="Arial"/>
          <w:b/>
        </w:rPr>
      </w:pPr>
      <w:r>
        <w:rPr>
          <w:rFonts w:cs="Arial"/>
          <w:b/>
        </w:rPr>
        <w:t>3.</w:t>
      </w:r>
      <w:r w:rsidR="00594D5B" w:rsidRPr="00DE2D55">
        <w:rPr>
          <w:rFonts w:cs="Arial"/>
          <w:b/>
        </w:rPr>
        <w:t>2.2- Principais causas:</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O plano de capacitação e os procedimentos de mobilidade de RH não consideram o perfil de competência dos funcionários envolvidos;</w:t>
      </w:r>
    </w:p>
    <w:p w:rsidR="00594D5B" w:rsidRPr="00DE2D55" w:rsidRDefault="00594D5B" w:rsidP="00FE560B">
      <w:pPr>
        <w:pStyle w:val="PargrafodaLista"/>
        <w:numPr>
          <w:ilvl w:val="0"/>
          <w:numId w:val="27"/>
        </w:numPr>
        <w:tabs>
          <w:tab w:val="left" w:pos="0"/>
        </w:tabs>
        <w:jc w:val="both"/>
        <w:rPr>
          <w:rFonts w:cs="Arial"/>
          <w:color w:val="000000"/>
          <w:lang w:eastAsia="pt-BR"/>
        </w:rPr>
      </w:pPr>
      <w:r w:rsidRPr="00DE2D55">
        <w:rPr>
          <w:rFonts w:cs="Arial"/>
          <w:color w:val="000000"/>
          <w:lang w:eastAsia="pt-BR"/>
        </w:rPr>
        <w:t>Os instrumentos tecnológicos para a capacitação dos funcionários são deficientes;</w:t>
      </w:r>
    </w:p>
    <w:p w:rsidR="00594D5B" w:rsidRPr="00DE2D55" w:rsidRDefault="00594D5B" w:rsidP="00FE560B">
      <w:pPr>
        <w:pStyle w:val="PargrafodaLista"/>
        <w:numPr>
          <w:ilvl w:val="0"/>
          <w:numId w:val="27"/>
        </w:numPr>
        <w:tabs>
          <w:tab w:val="left" w:pos="0"/>
        </w:tabs>
        <w:jc w:val="both"/>
        <w:rPr>
          <w:rFonts w:cs="Arial"/>
          <w:color w:val="000000"/>
          <w:lang w:eastAsia="pt-BR"/>
        </w:rPr>
      </w:pPr>
      <w:r w:rsidRPr="00DE2D55">
        <w:rPr>
          <w:rFonts w:cs="Arial"/>
          <w:color w:val="000000"/>
          <w:lang w:eastAsia="pt-BR"/>
        </w:rPr>
        <w:t>Dificuldade para consolidar e tratar informação de qualidade para a tomada de decisão dos RHs;</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Servidores insatisfeitos;</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Baixa produtividade e precariedade na prestação de serviços da SEFAZ;</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Não se conhece o perfil do servidor atual, suas habilidades e competências e, consequentemente;</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Não é possível um esforço coordenado de desenvolvimento de Programas de Desenvolvimento Individual;</w:t>
      </w:r>
    </w:p>
    <w:p w:rsidR="00594D5B" w:rsidRPr="00DE2D55" w:rsidRDefault="00594D5B" w:rsidP="00FE560B">
      <w:pPr>
        <w:numPr>
          <w:ilvl w:val="0"/>
          <w:numId w:val="27"/>
        </w:numPr>
        <w:tabs>
          <w:tab w:val="left" w:pos="0"/>
        </w:tabs>
        <w:jc w:val="both"/>
        <w:rPr>
          <w:rFonts w:cs="Arial"/>
          <w:color w:val="000000"/>
        </w:rPr>
      </w:pPr>
      <w:r w:rsidRPr="00DE2D55">
        <w:rPr>
          <w:rFonts w:cs="Arial"/>
          <w:color w:val="000000"/>
        </w:rPr>
        <w:t>Não é possível o planejamento mais eficiente da capacitação ofertada;</w:t>
      </w:r>
    </w:p>
    <w:p w:rsidR="00594D5B" w:rsidRPr="00DE2D55" w:rsidRDefault="00594D5B" w:rsidP="00FE560B">
      <w:pPr>
        <w:pStyle w:val="Corpodetexto"/>
        <w:numPr>
          <w:ilvl w:val="0"/>
          <w:numId w:val="27"/>
        </w:numPr>
        <w:tabs>
          <w:tab w:val="left" w:pos="0"/>
        </w:tabs>
        <w:spacing w:line="360" w:lineRule="auto"/>
        <w:rPr>
          <w:rFonts w:asciiTheme="minorHAnsi" w:hAnsiTheme="minorHAnsi" w:cs="Calibri"/>
          <w:noProof/>
          <w:sz w:val="22"/>
          <w:szCs w:val="22"/>
        </w:rPr>
      </w:pPr>
      <w:r w:rsidRPr="00DE2D55">
        <w:rPr>
          <w:rFonts w:asciiTheme="minorHAnsi" w:hAnsiTheme="minorHAnsi" w:cs="Calibri"/>
          <w:noProof/>
          <w:sz w:val="22"/>
          <w:szCs w:val="22"/>
        </w:rPr>
        <w:t>Demora na atualização da base de dados do servidor devido a demora na tramitação dos processos;</w:t>
      </w:r>
    </w:p>
    <w:p w:rsidR="00594D5B" w:rsidRPr="00DE2D55" w:rsidRDefault="00594D5B" w:rsidP="00FE560B">
      <w:pPr>
        <w:pStyle w:val="Corpodetexto"/>
        <w:numPr>
          <w:ilvl w:val="0"/>
          <w:numId w:val="27"/>
        </w:numPr>
        <w:tabs>
          <w:tab w:val="left" w:pos="0"/>
        </w:tabs>
        <w:spacing w:line="360" w:lineRule="auto"/>
        <w:rPr>
          <w:rFonts w:asciiTheme="minorHAnsi" w:hAnsiTheme="minorHAnsi" w:cs="Calibri"/>
          <w:noProof/>
          <w:sz w:val="22"/>
          <w:szCs w:val="22"/>
        </w:rPr>
      </w:pPr>
      <w:r w:rsidRPr="00DE2D55">
        <w:rPr>
          <w:rFonts w:asciiTheme="minorHAnsi" w:hAnsiTheme="minorHAnsi" w:cs="Calibri"/>
          <w:noProof/>
          <w:sz w:val="22"/>
          <w:szCs w:val="22"/>
        </w:rPr>
        <w:t>Baixo preparo dos técnicos e gestores que atuam na área de recursos humanos;</w:t>
      </w:r>
    </w:p>
    <w:p w:rsidR="00594D5B" w:rsidRPr="00DE2D55" w:rsidRDefault="00594D5B" w:rsidP="00FE560B">
      <w:pPr>
        <w:pStyle w:val="Corpodetexto"/>
        <w:numPr>
          <w:ilvl w:val="0"/>
          <w:numId w:val="27"/>
        </w:numPr>
        <w:tabs>
          <w:tab w:val="left" w:pos="0"/>
        </w:tabs>
        <w:spacing w:line="360" w:lineRule="auto"/>
        <w:rPr>
          <w:rFonts w:asciiTheme="minorHAnsi" w:hAnsiTheme="minorHAnsi" w:cs="Calibri"/>
          <w:noProof/>
          <w:sz w:val="22"/>
          <w:szCs w:val="22"/>
        </w:rPr>
      </w:pPr>
      <w:r w:rsidRPr="00DE2D55">
        <w:rPr>
          <w:rFonts w:asciiTheme="minorHAnsi" w:hAnsiTheme="minorHAnsi" w:cs="Calibri"/>
          <w:noProof/>
          <w:sz w:val="22"/>
          <w:szCs w:val="22"/>
        </w:rPr>
        <w:t>Baixa oferta e serviços de autoatendimento para os servidores;</w:t>
      </w:r>
    </w:p>
    <w:p w:rsidR="00594D5B" w:rsidRPr="00DE2D55" w:rsidRDefault="00594D5B" w:rsidP="00FE560B">
      <w:pPr>
        <w:pStyle w:val="Corpodetexto"/>
        <w:numPr>
          <w:ilvl w:val="0"/>
          <w:numId w:val="27"/>
        </w:numPr>
        <w:tabs>
          <w:tab w:val="left" w:pos="0"/>
        </w:tabs>
        <w:spacing w:line="360" w:lineRule="auto"/>
        <w:rPr>
          <w:rFonts w:asciiTheme="minorHAnsi" w:hAnsiTheme="minorHAnsi" w:cs="Calibri"/>
          <w:sz w:val="22"/>
          <w:szCs w:val="22"/>
        </w:rPr>
      </w:pPr>
      <w:r w:rsidRPr="00DE2D55">
        <w:rPr>
          <w:rFonts w:asciiTheme="minorHAnsi" w:hAnsiTheme="minorHAnsi" w:cs="Calibri"/>
          <w:noProof/>
          <w:sz w:val="22"/>
          <w:szCs w:val="22"/>
        </w:rPr>
        <w:t>Alta quantidade de documentos em papel com risco de perdas e danos.</w:t>
      </w:r>
    </w:p>
    <w:p w:rsidR="00594D5B" w:rsidRPr="00DE2D55" w:rsidRDefault="00594D5B" w:rsidP="00FE560B">
      <w:pPr>
        <w:tabs>
          <w:tab w:val="left" w:pos="0"/>
        </w:tabs>
        <w:ind w:left="708"/>
        <w:jc w:val="both"/>
        <w:rPr>
          <w:rFonts w:cs="Arial"/>
          <w:color w:val="000000"/>
        </w:rPr>
      </w:pPr>
    </w:p>
    <w:p w:rsidR="00594D5B" w:rsidRPr="00DE2D55" w:rsidRDefault="00751F2C" w:rsidP="00FE560B">
      <w:pPr>
        <w:tabs>
          <w:tab w:val="left" w:pos="0"/>
        </w:tabs>
        <w:jc w:val="both"/>
        <w:rPr>
          <w:b/>
        </w:rPr>
      </w:pPr>
      <w:r>
        <w:rPr>
          <w:rFonts w:cs="Arial"/>
          <w:b/>
        </w:rPr>
        <w:t>3.</w:t>
      </w:r>
      <w:r w:rsidR="00594D5B" w:rsidRPr="00DE2D55">
        <w:rPr>
          <w:rFonts w:cs="Arial"/>
          <w:b/>
        </w:rPr>
        <w:t xml:space="preserve">2.3- Evidências: </w:t>
      </w:r>
    </w:p>
    <w:p w:rsidR="00594D5B" w:rsidRPr="00DE2D55" w:rsidRDefault="00594D5B" w:rsidP="00FE560B">
      <w:pPr>
        <w:numPr>
          <w:ilvl w:val="0"/>
          <w:numId w:val="27"/>
        </w:numPr>
        <w:tabs>
          <w:tab w:val="left" w:pos="0"/>
        </w:tabs>
        <w:ind w:left="1134" w:hanging="425"/>
        <w:jc w:val="both"/>
      </w:pPr>
      <w:r w:rsidRPr="00DE2D55">
        <w:t>Somente 344 servidores de carreira, de 833 da força de trabalho da SEFAZ, receberam treinamento no período em 2016 e 2017, porém sem considerar seus perfis de competência.</w:t>
      </w:r>
    </w:p>
    <w:p w:rsidR="00594D5B" w:rsidRPr="00DE2D55" w:rsidRDefault="00594D5B" w:rsidP="00FE560B">
      <w:pPr>
        <w:numPr>
          <w:ilvl w:val="0"/>
          <w:numId w:val="27"/>
        </w:numPr>
        <w:tabs>
          <w:tab w:val="left" w:pos="0"/>
        </w:tabs>
        <w:ind w:left="1134" w:hanging="425"/>
        <w:jc w:val="both"/>
      </w:pPr>
      <w:r w:rsidRPr="00DE2D55">
        <w:t>Cada curso tem que ser contratado individualmente. 2017 foram realizados 16 cursos;</w:t>
      </w:r>
    </w:p>
    <w:p w:rsidR="00594D5B" w:rsidRPr="00DE2D55" w:rsidRDefault="00594D5B" w:rsidP="00FE560B">
      <w:pPr>
        <w:numPr>
          <w:ilvl w:val="0"/>
          <w:numId w:val="27"/>
        </w:numPr>
        <w:tabs>
          <w:tab w:val="left" w:pos="0"/>
        </w:tabs>
        <w:ind w:left="1134" w:hanging="425"/>
        <w:jc w:val="both"/>
      </w:pPr>
      <w:r w:rsidRPr="00DE2D55">
        <w:t>O atual sistema da gestão de pessoas está obsoleto e desatualizado tecnologicamente e sem integração com outros sistemas do estado. Existem 5 milhões de documentos em arquivos em papel.</w:t>
      </w:r>
    </w:p>
    <w:p w:rsidR="00594D5B" w:rsidRPr="00DE2D55" w:rsidRDefault="00594D5B" w:rsidP="00FE560B">
      <w:pPr>
        <w:numPr>
          <w:ilvl w:val="0"/>
          <w:numId w:val="27"/>
        </w:numPr>
        <w:tabs>
          <w:tab w:val="left" w:pos="0"/>
        </w:tabs>
        <w:ind w:left="1134" w:hanging="425"/>
        <w:jc w:val="both"/>
        <w:rPr>
          <w:rFonts w:cs="Arial"/>
          <w:color w:val="000000"/>
        </w:rPr>
      </w:pPr>
      <w:r w:rsidRPr="00DE2D55">
        <w:t>Nos últimos 4 anos o orçamento da SEFAZ disponível para Capacitação foi insuficiente para atender as demandas envolvendo Treinamentos de curta e média duração, além de atender somente 22 servidores envolvidos no Plano de Formação Pós-Graduada.</w:t>
      </w:r>
    </w:p>
    <w:p w:rsidR="00594D5B" w:rsidRPr="00DE2D55" w:rsidRDefault="00594D5B" w:rsidP="00FE560B">
      <w:pPr>
        <w:numPr>
          <w:ilvl w:val="0"/>
          <w:numId w:val="25"/>
        </w:numPr>
        <w:tabs>
          <w:tab w:val="left" w:pos="0"/>
        </w:tabs>
        <w:ind w:left="1134" w:hanging="425"/>
        <w:jc w:val="both"/>
        <w:rPr>
          <w:rFonts w:cs="Arial"/>
          <w:color w:val="000000"/>
        </w:rPr>
      </w:pPr>
      <w:r w:rsidRPr="00DE2D55">
        <w:rPr>
          <w:rFonts w:cs="Arial"/>
          <w:color w:val="000000"/>
        </w:rPr>
        <w:t>Ausência de mapa do perfil desejado dos servidores (competências), suas respectivas funções e grau de complexidade das entregas;</w:t>
      </w:r>
    </w:p>
    <w:p w:rsidR="00594D5B" w:rsidRPr="00DE2D55" w:rsidRDefault="00594D5B" w:rsidP="00FE560B">
      <w:pPr>
        <w:numPr>
          <w:ilvl w:val="0"/>
          <w:numId w:val="25"/>
        </w:numPr>
        <w:tabs>
          <w:tab w:val="left" w:pos="0"/>
        </w:tabs>
        <w:ind w:left="1134" w:hanging="425"/>
        <w:jc w:val="both"/>
        <w:rPr>
          <w:rFonts w:cs="Arial"/>
          <w:color w:val="000000"/>
        </w:rPr>
      </w:pPr>
      <w:r w:rsidRPr="00DE2D55">
        <w:rPr>
          <w:rFonts w:cs="Calibri"/>
          <w:noProof/>
        </w:rPr>
        <w:t>Pagamentos retroativos e em alguns casos indevidos aos servidores, devido ao elevado tempo de tramitação dos processos e a demora na atualização base da dados do servidor ocasiona. Em 2017 por exemplo, 66.141 servidores receberam algum tipo de pagamento retroativo que representou um montante de aproximadamente 187 milhões (fonte: ficha financeira SIARHES) e cerca de dois mil ex-servidores receberam pagamentos indevidos que resultou no montante de aproximadamente 3milhões (fonte: controle de débito SIARHES);</w:t>
      </w:r>
    </w:p>
    <w:p w:rsidR="00594D5B" w:rsidRPr="00DE2D55" w:rsidRDefault="00594D5B" w:rsidP="00FE560B">
      <w:pPr>
        <w:numPr>
          <w:ilvl w:val="0"/>
          <w:numId w:val="25"/>
        </w:numPr>
        <w:tabs>
          <w:tab w:val="left" w:pos="0"/>
        </w:tabs>
        <w:ind w:left="1134" w:hanging="425"/>
        <w:jc w:val="both"/>
        <w:rPr>
          <w:rFonts w:cs="Arial"/>
          <w:color w:val="000000"/>
        </w:rPr>
      </w:pPr>
      <w:r w:rsidRPr="00DE2D55">
        <w:rPr>
          <w:rFonts w:cs="Calibri"/>
          <w:noProof/>
        </w:rPr>
        <w:t>O pagamento retroativo aos servidores gerou um valor total de aproximadamente 300 mil reais de encargos financeiros sob a contribuição dos servidores do regime geral de previdência (fonte: Núcleo de Regularidade Fiscal – NUREF/SUBAP).</w:t>
      </w:r>
    </w:p>
    <w:p w:rsidR="00594D5B" w:rsidRPr="00DE2D55" w:rsidRDefault="00594D5B" w:rsidP="00FE560B">
      <w:pPr>
        <w:tabs>
          <w:tab w:val="left" w:pos="0"/>
        </w:tabs>
        <w:ind w:left="1134" w:hanging="425"/>
        <w:jc w:val="both"/>
        <w:rPr>
          <w:rFonts w:cs="Arial"/>
          <w:b/>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38" w:name="_Toc517282064"/>
      <w:r w:rsidRPr="00DE2D55">
        <w:rPr>
          <w:rFonts w:cs="Calibri"/>
          <w:b/>
        </w:rPr>
        <w:t>DESCRIÇÃO DO PRODUTO E SUA META QUANTITATIVA</w:t>
      </w:r>
      <w:bookmarkEnd w:id="38"/>
    </w:p>
    <w:p w:rsidR="00594D5B" w:rsidRPr="00DE2D55" w:rsidRDefault="00594D5B" w:rsidP="00FE560B">
      <w:pPr>
        <w:pStyle w:val="PargrafodaLista"/>
        <w:tabs>
          <w:tab w:val="left" w:pos="0"/>
        </w:tabs>
        <w:jc w:val="both"/>
        <w:rPr>
          <w:rFonts w:cs="Calibri"/>
        </w:rPr>
      </w:pPr>
    </w:p>
    <w:p w:rsidR="00594D5B" w:rsidRPr="00751F2C" w:rsidRDefault="00594D5B" w:rsidP="00A249C9">
      <w:pPr>
        <w:pStyle w:val="PargrafodaLista"/>
        <w:numPr>
          <w:ilvl w:val="2"/>
          <w:numId w:val="96"/>
        </w:numPr>
        <w:tabs>
          <w:tab w:val="left" w:pos="0"/>
        </w:tabs>
        <w:autoSpaceDE w:val="0"/>
        <w:autoSpaceDN w:val="0"/>
        <w:adjustRightInd w:val="0"/>
        <w:jc w:val="both"/>
        <w:rPr>
          <w:rFonts w:cs="Calibri"/>
          <w:b/>
        </w:rPr>
      </w:pPr>
      <w:r w:rsidRPr="00751F2C">
        <w:rPr>
          <w:rFonts w:cs="Calibri"/>
          <w:b/>
        </w:rPr>
        <w:t xml:space="preserve">Subproduto e atividades: </w:t>
      </w:r>
    </w:p>
    <w:p w:rsidR="00594D5B" w:rsidRPr="00DE2D55" w:rsidRDefault="00594D5B" w:rsidP="00FE560B">
      <w:pPr>
        <w:tabs>
          <w:tab w:val="left" w:pos="0"/>
        </w:tabs>
        <w:jc w:val="both"/>
        <w:rPr>
          <w:rFonts w:cs="Arial"/>
        </w:rPr>
      </w:pPr>
    </w:p>
    <w:p w:rsidR="00594D5B" w:rsidRPr="00DE2D55" w:rsidRDefault="00594D5B" w:rsidP="00FE560B">
      <w:pPr>
        <w:tabs>
          <w:tab w:val="left" w:pos="0"/>
        </w:tabs>
        <w:ind w:left="1701" w:hanging="1706"/>
        <w:jc w:val="both"/>
        <w:rPr>
          <w:rFonts w:cs="Arial"/>
          <w:color w:val="000000"/>
        </w:rPr>
      </w:pPr>
      <w:r w:rsidRPr="00DE2D55">
        <w:rPr>
          <w:rFonts w:cs="Arial"/>
          <w:b/>
        </w:rPr>
        <w:t xml:space="preserve">Subproduto 1: </w:t>
      </w:r>
      <w:r w:rsidRPr="00DE2D55">
        <w:rPr>
          <w:rFonts w:cs="Arial"/>
        </w:rPr>
        <w:t>Mapeamento das Competências individuais, análise do perfil da função e do gap de competências; dimensionamento qualitativo e quantitativo da força de trabalho e de sua localização; Plano de desenvolvimento individual (PDI) e definição das Trilhas de Aprendizagem.</w:t>
      </w:r>
    </w:p>
    <w:p w:rsidR="00594D5B" w:rsidRPr="00DE2D55" w:rsidRDefault="00594D5B" w:rsidP="00FE560B">
      <w:pPr>
        <w:numPr>
          <w:ilvl w:val="0"/>
          <w:numId w:val="37"/>
        </w:numPr>
        <w:tabs>
          <w:tab w:val="left" w:pos="0"/>
        </w:tabs>
        <w:jc w:val="both"/>
        <w:rPr>
          <w:rFonts w:cs="Arial"/>
        </w:rPr>
      </w:pPr>
      <w:r w:rsidRPr="00DE2D55">
        <w:rPr>
          <w:rFonts w:cs="Arial"/>
        </w:rPr>
        <w:t>Implantação de um Modelo de Gestão por Competências e Mapeamento das competências</w:t>
      </w:r>
    </w:p>
    <w:p w:rsidR="00594D5B" w:rsidRPr="00DE2D55" w:rsidRDefault="00594D5B" w:rsidP="00FE560B">
      <w:pPr>
        <w:numPr>
          <w:ilvl w:val="0"/>
          <w:numId w:val="37"/>
        </w:numPr>
        <w:tabs>
          <w:tab w:val="left" w:pos="0"/>
        </w:tabs>
        <w:jc w:val="both"/>
        <w:rPr>
          <w:rFonts w:cs="Arial"/>
        </w:rPr>
      </w:pPr>
      <w:r w:rsidRPr="00DE2D55">
        <w:rPr>
          <w:rFonts w:cs="Arial"/>
        </w:rPr>
        <w:t xml:space="preserve">Implantação de um Modelo de Gestão de Conhecimento </w:t>
      </w:r>
    </w:p>
    <w:p w:rsidR="00594D5B" w:rsidRPr="00DE2D55" w:rsidRDefault="00594D5B" w:rsidP="00FE560B">
      <w:pPr>
        <w:tabs>
          <w:tab w:val="left" w:pos="0"/>
        </w:tabs>
        <w:ind w:left="1068"/>
        <w:jc w:val="both"/>
        <w:rPr>
          <w:rFonts w:cs="Arial"/>
        </w:rPr>
      </w:pPr>
    </w:p>
    <w:p w:rsidR="00594D5B" w:rsidRPr="00DE2D55" w:rsidRDefault="00594D5B" w:rsidP="00FE560B">
      <w:pPr>
        <w:tabs>
          <w:tab w:val="left" w:pos="0"/>
        </w:tabs>
        <w:jc w:val="both"/>
        <w:rPr>
          <w:rFonts w:cs="Arial"/>
          <w:b/>
          <w:noProof/>
        </w:rPr>
      </w:pPr>
      <w:r w:rsidRPr="00DE2D55">
        <w:rPr>
          <w:rFonts w:cs="Arial"/>
          <w:b/>
        </w:rPr>
        <w:t xml:space="preserve">Subproduto 2: </w:t>
      </w:r>
      <w:r w:rsidRPr="00DE2D55">
        <w:rPr>
          <w:rFonts w:cs="Calibri"/>
        </w:rPr>
        <w:t>Readequação tecnológica do espaço multimeios para eventos de capacitação, com estúdio para gravação de aulas online e aquisição de equipamentos e materiais de apoio.</w:t>
      </w:r>
    </w:p>
    <w:p w:rsidR="00594D5B" w:rsidRPr="00DE2D55" w:rsidRDefault="00594D5B" w:rsidP="00FE560B">
      <w:pPr>
        <w:numPr>
          <w:ilvl w:val="0"/>
          <w:numId w:val="37"/>
        </w:numPr>
        <w:tabs>
          <w:tab w:val="left" w:pos="0"/>
        </w:tabs>
        <w:jc w:val="both"/>
        <w:rPr>
          <w:rFonts w:cs="Arial"/>
        </w:rPr>
      </w:pPr>
      <w:r w:rsidRPr="00DE2D55">
        <w:rPr>
          <w:rFonts w:cs="Arial"/>
        </w:rPr>
        <w:t>Implantação das Trilhas de Aprendizagem com aquisição de recursos multimeios;</w:t>
      </w:r>
    </w:p>
    <w:p w:rsidR="00594D5B" w:rsidRPr="00DE2D55" w:rsidRDefault="00594D5B" w:rsidP="00FE560B">
      <w:pPr>
        <w:numPr>
          <w:ilvl w:val="0"/>
          <w:numId w:val="37"/>
        </w:numPr>
        <w:tabs>
          <w:tab w:val="left" w:pos="0"/>
        </w:tabs>
        <w:jc w:val="both"/>
        <w:rPr>
          <w:rFonts w:cs="Arial"/>
        </w:rPr>
      </w:pPr>
      <w:r w:rsidRPr="00DE2D55">
        <w:rPr>
          <w:rFonts w:cs="Arial"/>
        </w:rPr>
        <w:t>Implementação de sistema informatizado para a gestão das Trilhas de Aprendizagem;</w:t>
      </w:r>
    </w:p>
    <w:p w:rsidR="00594D5B" w:rsidRPr="00DE2D55" w:rsidRDefault="00594D5B" w:rsidP="00FE560B">
      <w:pPr>
        <w:numPr>
          <w:ilvl w:val="0"/>
          <w:numId w:val="37"/>
        </w:numPr>
        <w:tabs>
          <w:tab w:val="left" w:pos="0"/>
        </w:tabs>
        <w:jc w:val="both"/>
        <w:rPr>
          <w:rFonts w:cs="Arial"/>
        </w:rPr>
      </w:pPr>
      <w:r w:rsidRPr="00DE2D55">
        <w:rPr>
          <w:rFonts w:cs="Arial"/>
        </w:rPr>
        <w:t>Capacitação da equipe técnica da SEFAZ.</w:t>
      </w:r>
    </w:p>
    <w:p w:rsidR="00594D5B" w:rsidRPr="00DE2D55" w:rsidRDefault="00594D5B" w:rsidP="00FE560B">
      <w:pPr>
        <w:tabs>
          <w:tab w:val="left" w:pos="0"/>
        </w:tabs>
        <w:jc w:val="both"/>
        <w:rPr>
          <w:rFonts w:cs="Arial"/>
          <w:b/>
        </w:rPr>
      </w:pPr>
      <w:r w:rsidRPr="00DE2D55">
        <w:rPr>
          <w:rFonts w:cs="Arial"/>
          <w:b/>
        </w:rPr>
        <w:t xml:space="preserve">Subproduto 3: </w:t>
      </w:r>
      <w:r w:rsidRPr="00DE2D55">
        <w:rPr>
          <w:rFonts w:cs="Arial"/>
        </w:rPr>
        <w:t>Atualização tecnológica com novas funcionalidades e integração do Sistema Integrado de Administração de Recursos Humanos do Espírito Santo (SIARHES).</w:t>
      </w:r>
    </w:p>
    <w:p w:rsidR="00594D5B" w:rsidRPr="00DE2D55" w:rsidRDefault="00594D5B" w:rsidP="00FE560B">
      <w:pPr>
        <w:pStyle w:val="Corpodetexto"/>
        <w:numPr>
          <w:ilvl w:val="0"/>
          <w:numId w:val="34"/>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Migração do SIARHES para nova tecnologia.</w:t>
      </w:r>
    </w:p>
    <w:p w:rsidR="00594D5B" w:rsidRPr="00DE2D55" w:rsidRDefault="00594D5B" w:rsidP="00FE560B">
      <w:pPr>
        <w:pStyle w:val="Corpodetexto"/>
        <w:numPr>
          <w:ilvl w:val="0"/>
          <w:numId w:val="34"/>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Implantar novas funcionalidades (módulos) e promover integração das mesmas no SIARHES</w:t>
      </w:r>
    </w:p>
    <w:p w:rsidR="00594D5B" w:rsidRPr="00DE2D55" w:rsidRDefault="00594D5B" w:rsidP="00FE560B">
      <w:pPr>
        <w:pStyle w:val="Corpodetexto"/>
        <w:tabs>
          <w:tab w:val="left" w:pos="0"/>
        </w:tabs>
        <w:spacing w:line="360" w:lineRule="auto"/>
        <w:ind w:firstLine="1134"/>
        <w:rPr>
          <w:rFonts w:asciiTheme="minorHAnsi" w:hAnsiTheme="minorHAnsi" w:cs="Calibri"/>
          <w:sz w:val="22"/>
          <w:szCs w:val="22"/>
        </w:rPr>
      </w:pPr>
      <w:r w:rsidRPr="00DE2D55">
        <w:rPr>
          <w:rFonts w:asciiTheme="minorHAnsi" w:hAnsiTheme="minorHAnsi" w:cs="Calibri"/>
          <w:sz w:val="22"/>
          <w:szCs w:val="22"/>
        </w:rPr>
        <w:t>Módulos:</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Seleção e Ingresso de Pessoal</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Gestão de Treinamentos</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 xml:space="preserve">Promoção de Policiais Militares e Civis </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Bônus Desempenho</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Serviços de Autoatendimento</w:t>
      </w:r>
    </w:p>
    <w:p w:rsidR="00594D5B" w:rsidRPr="00DE2D55" w:rsidRDefault="00594D5B" w:rsidP="00FE560B">
      <w:pPr>
        <w:pStyle w:val="Corpodetexto"/>
        <w:numPr>
          <w:ilvl w:val="0"/>
          <w:numId w:val="33"/>
        </w:numPr>
        <w:tabs>
          <w:tab w:val="left" w:pos="0"/>
        </w:tabs>
        <w:spacing w:line="360" w:lineRule="auto"/>
        <w:ind w:left="1560" w:hanging="426"/>
        <w:rPr>
          <w:rFonts w:asciiTheme="minorHAnsi" w:hAnsiTheme="minorHAnsi" w:cs="Calibri"/>
          <w:sz w:val="22"/>
          <w:szCs w:val="22"/>
        </w:rPr>
      </w:pPr>
      <w:r w:rsidRPr="00DE2D55">
        <w:rPr>
          <w:rFonts w:asciiTheme="minorHAnsi" w:hAnsiTheme="minorHAnsi" w:cs="Calibri"/>
          <w:sz w:val="22"/>
          <w:szCs w:val="22"/>
        </w:rPr>
        <w:t>Automação do processo de atos de pessoal</w:t>
      </w:r>
    </w:p>
    <w:p w:rsidR="00594D5B" w:rsidRPr="00DE2D55" w:rsidRDefault="00594D5B" w:rsidP="00FE560B">
      <w:pPr>
        <w:pStyle w:val="Corpodetexto"/>
        <w:numPr>
          <w:ilvl w:val="0"/>
          <w:numId w:val="34"/>
        </w:numPr>
        <w:tabs>
          <w:tab w:val="left" w:pos="0"/>
        </w:tabs>
        <w:spacing w:line="360" w:lineRule="auto"/>
        <w:ind w:left="1134" w:hanging="425"/>
        <w:rPr>
          <w:rFonts w:asciiTheme="minorHAnsi" w:hAnsiTheme="minorHAnsi" w:cs="Calibri"/>
          <w:sz w:val="22"/>
          <w:szCs w:val="22"/>
        </w:rPr>
      </w:pPr>
      <w:r w:rsidRPr="00DE2D55">
        <w:rPr>
          <w:rFonts w:asciiTheme="minorHAnsi" w:hAnsiTheme="minorHAnsi" w:cs="Calibri"/>
          <w:sz w:val="22"/>
          <w:szCs w:val="22"/>
        </w:rPr>
        <w:t>Capacitação de servidores para serem os multiplicadores nas novas funcionalidades do SIARHES.</w:t>
      </w:r>
    </w:p>
    <w:p w:rsidR="00594D5B" w:rsidRDefault="00594D5B" w:rsidP="00FE560B">
      <w:pPr>
        <w:tabs>
          <w:tab w:val="left" w:pos="0"/>
          <w:tab w:val="left" w:pos="1701"/>
        </w:tabs>
        <w:jc w:val="both"/>
        <w:rPr>
          <w:rFonts w:cs="Arial"/>
          <w:noProof/>
        </w:rPr>
      </w:pPr>
    </w:p>
    <w:p w:rsidR="000F67FC" w:rsidRPr="00DE2D55" w:rsidRDefault="000F67FC" w:rsidP="00FE560B">
      <w:pPr>
        <w:tabs>
          <w:tab w:val="left" w:pos="0"/>
          <w:tab w:val="left" w:pos="1701"/>
        </w:tabs>
        <w:jc w:val="both"/>
        <w:rPr>
          <w:rFonts w:cs="Arial"/>
          <w:noProof/>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Calibri"/>
          <w:b/>
        </w:rPr>
      </w:pPr>
      <w:r w:rsidRPr="00DE2D55">
        <w:rPr>
          <w:rFonts w:cs="Calibri"/>
          <w:b/>
        </w:rPr>
        <w:t>Meta e indicador de Produto:</w:t>
      </w:r>
    </w:p>
    <w:p w:rsidR="00594D5B" w:rsidRPr="00DE2D55" w:rsidRDefault="00594D5B" w:rsidP="00FE560B">
      <w:pPr>
        <w:tabs>
          <w:tab w:val="left" w:pos="0"/>
        </w:tabs>
        <w:ind w:left="709"/>
        <w:jc w:val="both"/>
        <w:rPr>
          <w:noProof/>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1184"/>
      </w:tblGrid>
      <w:tr w:rsidR="00594D5B" w:rsidRPr="00DE2D55" w:rsidTr="00594D5B">
        <w:trPr>
          <w:trHeight w:val="333"/>
        </w:trPr>
        <w:tc>
          <w:tcPr>
            <w:tcW w:w="4394" w:type="pct"/>
            <w:shd w:val="clear" w:color="auto" w:fill="C5E0B3"/>
          </w:tcPr>
          <w:p w:rsidR="00594D5B" w:rsidRPr="00DE2D55" w:rsidRDefault="00594D5B" w:rsidP="00FE560B">
            <w:pPr>
              <w:tabs>
                <w:tab w:val="left" w:pos="0"/>
              </w:tabs>
              <w:jc w:val="both"/>
              <w:rPr>
                <w:rFonts w:cs="Calibri"/>
                <w:b/>
                <w:bCs/>
              </w:rPr>
            </w:pPr>
            <w:r w:rsidRPr="00DE2D55">
              <w:rPr>
                <w:rFonts w:cs="Calibri"/>
                <w:b/>
                <w:bCs/>
              </w:rPr>
              <w:t>Indicador do Subproduto</w:t>
            </w:r>
          </w:p>
        </w:tc>
        <w:tc>
          <w:tcPr>
            <w:tcW w:w="606" w:type="pct"/>
            <w:shd w:val="clear" w:color="auto" w:fill="C5E0B3"/>
          </w:tcPr>
          <w:p w:rsidR="00594D5B" w:rsidRPr="00DE2D55" w:rsidRDefault="00594D5B" w:rsidP="00FE560B">
            <w:pPr>
              <w:tabs>
                <w:tab w:val="left" w:pos="0"/>
              </w:tabs>
              <w:jc w:val="both"/>
              <w:rPr>
                <w:rFonts w:cs="Calibri"/>
                <w:b/>
                <w:bCs/>
              </w:rPr>
            </w:pPr>
            <w:r w:rsidRPr="00DE2D55">
              <w:rPr>
                <w:rFonts w:cs="Calibri"/>
                <w:b/>
                <w:bCs/>
              </w:rPr>
              <w:t>Meta</w:t>
            </w:r>
          </w:p>
        </w:tc>
      </w:tr>
      <w:tr w:rsidR="00594D5B" w:rsidRPr="00DE2D55" w:rsidTr="00594D5B">
        <w:trPr>
          <w:trHeight w:val="333"/>
        </w:trPr>
        <w:tc>
          <w:tcPr>
            <w:tcW w:w="4394" w:type="pct"/>
            <w:shd w:val="clear" w:color="auto" w:fill="auto"/>
          </w:tcPr>
          <w:p w:rsidR="00594D5B" w:rsidRPr="00DE2D55" w:rsidRDefault="00594D5B" w:rsidP="00FE560B">
            <w:pPr>
              <w:tabs>
                <w:tab w:val="left" w:pos="0"/>
              </w:tabs>
              <w:jc w:val="both"/>
              <w:rPr>
                <w:rFonts w:cs="Calibri"/>
                <w:lang w:val="x-none" w:eastAsia="x-none"/>
              </w:rPr>
            </w:pPr>
            <w:r w:rsidRPr="00DE2D55">
              <w:rPr>
                <w:rFonts w:cs="Calibri"/>
                <w:lang w:val="x-none" w:eastAsia="x-none"/>
              </w:rPr>
              <w:t>1.3.1 Planos de Desenvolvimento de competências e formação individual implantados</w:t>
            </w:r>
          </w:p>
        </w:tc>
        <w:tc>
          <w:tcPr>
            <w:tcW w:w="606" w:type="pct"/>
            <w:shd w:val="clear" w:color="auto" w:fill="auto"/>
          </w:tcPr>
          <w:p w:rsidR="00594D5B" w:rsidRPr="00DE2D55" w:rsidRDefault="00594D5B" w:rsidP="00FE560B">
            <w:pPr>
              <w:tabs>
                <w:tab w:val="left" w:pos="0"/>
              </w:tabs>
              <w:jc w:val="both"/>
              <w:rPr>
                <w:rFonts w:cs="Calibri"/>
                <w:bCs/>
              </w:rPr>
            </w:pPr>
            <w:r w:rsidRPr="00DE2D55">
              <w:rPr>
                <w:rFonts w:cs="Calibri"/>
                <w:bCs/>
              </w:rPr>
              <w:t>1</w:t>
            </w:r>
          </w:p>
        </w:tc>
      </w:tr>
      <w:tr w:rsidR="00594D5B" w:rsidRPr="00DE2D55" w:rsidTr="00594D5B">
        <w:trPr>
          <w:trHeight w:val="339"/>
        </w:trPr>
        <w:tc>
          <w:tcPr>
            <w:tcW w:w="4394" w:type="pct"/>
            <w:shd w:val="clear" w:color="auto" w:fill="auto"/>
          </w:tcPr>
          <w:p w:rsidR="00594D5B" w:rsidRPr="00DE2D55" w:rsidRDefault="00594D5B" w:rsidP="00FE560B">
            <w:pPr>
              <w:tabs>
                <w:tab w:val="left" w:pos="0"/>
              </w:tabs>
              <w:jc w:val="both"/>
              <w:rPr>
                <w:rFonts w:cs="Calibri"/>
                <w:lang w:val="x-none" w:eastAsia="x-none"/>
              </w:rPr>
            </w:pPr>
            <w:r w:rsidRPr="00DE2D55">
              <w:rPr>
                <w:rFonts w:cs="Calibri"/>
                <w:lang w:val="x-none" w:eastAsia="x-none"/>
              </w:rPr>
              <w:t>1.3.2 Espaço multimeios implantado</w:t>
            </w:r>
          </w:p>
        </w:tc>
        <w:tc>
          <w:tcPr>
            <w:tcW w:w="606" w:type="pct"/>
            <w:shd w:val="clear" w:color="auto" w:fill="auto"/>
          </w:tcPr>
          <w:p w:rsidR="00594D5B" w:rsidRPr="00DE2D55" w:rsidRDefault="00594D5B" w:rsidP="00FE560B">
            <w:pPr>
              <w:tabs>
                <w:tab w:val="left" w:pos="0"/>
              </w:tabs>
              <w:jc w:val="both"/>
              <w:rPr>
                <w:rFonts w:cs="Calibri"/>
                <w:bCs/>
              </w:rPr>
            </w:pPr>
            <w:r w:rsidRPr="00DE2D55">
              <w:rPr>
                <w:rFonts w:cs="Calibri"/>
                <w:bCs/>
              </w:rPr>
              <w:t>1</w:t>
            </w:r>
          </w:p>
        </w:tc>
      </w:tr>
      <w:tr w:rsidR="00594D5B" w:rsidRPr="00DE2D55" w:rsidTr="00594D5B">
        <w:trPr>
          <w:trHeight w:val="339"/>
        </w:trPr>
        <w:tc>
          <w:tcPr>
            <w:tcW w:w="4394" w:type="pct"/>
            <w:shd w:val="clear" w:color="auto" w:fill="auto"/>
          </w:tcPr>
          <w:p w:rsidR="00594D5B" w:rsidRPr="00DE2D55" w:rsidRDefault="00594D5B" w:rsidP="00FE560B">
            <w:pPr>
              <w:tabs>
                <w:tab w:val="left" w:pos="0"/>
              </w:tabs>
              <w:jc w:val="both"/>
              <w:rPr>
                <w:rFonts w:cs="Calibri"/>
                <w:lang w:val="x-none" w:eastAsia="x-none"/>
              </w:rPr>
            </w:pPr>
            <w:r w:rsidRPr="00DE2D55">
              <w:rPr>
                <w:rFonts w:cs="Calibri"/>
                <w:lang w:val="x-none" w:eastAsia="x-none"/>
              </w:rPr>
              <w:t>1.3.3 Sistema Integrado de RH</w:t>
            </w:r>
          </w:p>
        </w:tc>
        <w:tc>
          <w:tcPr>
            <w:tcW w:w="606" w:type="pct"/>
            <w:shd w:val="clear" w:color="auto" w:fill="auto"/>
          </w:tcPr>
          <w:p w:rsidR="00594D5B" w:rsidRPr="00DE2D55" w:rsidRDefault="00594D5B" w:rsidP="00FE560B">
            <w:pPr>
              <w:tabs>
                <w:tab w:val="left" w:pos="0"/>
              </w:tabs>
              <w:jc w:val="both"/>
              <w:rPr>
                <w:rFonts w:cs="Calibri"/>
                <w:bCs/>
              </w:rPr>
            </w:pPr>
            <w:r w:rsidRPr="00DE2D55">
              <w:rPr>
                <w:rFonts w:cs="Calibri"/>
                <w:bCs/>
              </w:rPr>
              <w:t>1</w:t>
            </w:r>
          </w:p>
        </w:tc>
      </w:tr>
    </w:tbl>
    <w:p w:rsidR="00594D5B" w:rsidRPr="00DE2D55" w:rsidRDefault="00594D5B" w:rsidP="00FE560B">
      <w:pPr>
        <w:tabs>
          <w:tab w:val="left" w:pos="0"/>
        </w:tabs>
        <w:ind w:left="709"/>
        <w:jc w:val="both"/>
        <w:rPr>
          <w:noProof/>
          <w:color w:val="000000"/>
        </w:rPr>
      </w:pPr>
    </w:p>
    <w:p w:rsidR="00594D5B" w:rsidRPr="00DE2D55" w:rsidRDefault="00594D5B" w:rsidP="00FE560B">
      <w:pPr>
        <w:numPr>
          <w:ilvl w:val="0"/>
          <w:numId w:val="29"/>
        </w:numPr>
        <w:tabs>
          <w:tab w:val="left" w:pos="0"/>
        </w:tabs>
        <w:jc w:val="both"/>
        <w:rPr>
          <w:noProof/>
          <w:color w:val="000000"/>
        </w:rPr>
      </w:pPr>
      <w:r w:rsidRPr="00DE2D55">
        <w:rPr>
          <w:noProof/>
          <w:color w:val="000000"/>
        </w:rPr>
        <w:t>Melhorar o desempenho, como um processo facilitador do autoconhecimento, autocrítica e melhoria contínua dos funcionários</w:t>
      </w:r>
    </w:p>
    <w:p w:rsidR="00594D5B" w:rsidRPr="00DE2D55" w:rsidRDefault="00594D5B" w:rsidP="00FE560B">
      <w:pPr>
        <w:numPr>
          <w:ilvl w:val="0"/>
          <w:numId w:val="29"/>
        </w:numPr>
        <w:tabs>
          <w:tab w:val="left" w:pos="0"/>
        </w:tabs>
        <w:jc w:val="both"/>
        <w:rPr>
          <w:noProof/>
          <w:color w:val="000000"/>
        </w:rPr>
      </w:pPr>
      <w:r w:rsidRPr="00DE2D55">
        <w:rPr>
          <w:noProof/>
          <w:color w:val="000000"/>
        </w:rPr>
        <w:t>Buscar um quadro de profissionais mais talentosos e mais produtivos, o que representa uma mudança cultural em direção a um maior senso de responsabilidade e de autogestão por parte dos profissionais.</w:t>
      </w:r>
    </w:p>
    <w:p w:rsidR="00594D5B" w:rsidRPr="00DE2D55" w:rsidRDefault="00594D5B" w:rsidP="00FE560B">
      <w:pPr>
        <w:pStyle w:val="Corpodetexto"/>
        <w:numPr>
          <w:ilvl w:val="0"/>
          <w:numId w:val="29"/>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 xml:space="preserve">Maximizar os resultados das principais tarefas do setor de RH, entre elas a Administração de Pessoal, Controle de Benefícios, Controle de Frequência, Controle de Custos, Folha de Pagamento, Recrutamento e Seleção. </w:t>
      </w:r>
    </w:p>
    <w:p w:rsidR="00594D5B" w:rsidRPr="00DE2D55" w:rsidRDefault="00594D5B" w:rsidP="00FE560B">
      <w:pPr>
        <w:pStyle w:val="Corpodetexto"/>
        <w:numPr>
          <w:ilvl w:val="0"/>
          <w:numId w:val="29"/>
        </w:numPr>
        <w:tabs>
          <w:tab w:val="left" w:pos="0"/>
        </w:tabs>
        <w:spacing w:line="360" w:lineRule="auto"/>
        <w:rPr>
          <w:rFonts w:asciiTheme="minorHAnsi" w:hAnsiTheme="minorHAnsi" w:cs="Calibri"/>
          <w:sz w:val="22"/>
          <w:szCs w:val="22"/>
        </w:rPr>
      </w:pPr>
      <w:r w:rsidRPr="00DE2D55">
        <w:rPr>
          <w:rFonts w:asciiTheme="minorHAnsi" w:hAnsiTheme="minorHAnsi" w:cs="Calibri"/>
          <w:sz w:val="22"/>
          <w:szCs w:val="22"/>
        </w:rPr>
        <w:t>Aumento da competitividade através da economia de tempo, redução de custos e qualidade nos resultados.</w:t>
      </w:r>
    </w:p>
    <w:p w:rsidR="00594D5B" w:rsidRPr="00DE2D55" w:rsidRDefault="00594D5B" w:rsidP="00FE560B">
      <w:pPr>
        <w:pStyle w:val="Corpodetexto"/>
        <w:tabs>
          <w:tab w:val="left" w:pos="0"/>
        </w:tabs>
        <w:spacing w:line="360" w:lineRule="auto"/>
        <w:ind w:left="1429"/>
        <w:rPr>
          <w:rFonts w:asciiTheme="minorHAnsi" w:hAnsiTheme="minorHAnsi" w:cs="Calibri"/>
          <w:sz w:val="22"/>
          <w:szCs w:val="22"/>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Calibri"/>
          <w:b/>
        </w:rPr>
      </w:pPr>
      <w:r w:rsidRPr="00DE2D55">
        <w:rPr>
          <w:rFonts w:cs="Calibri"/>
          <w:b/>
        </w:rPr>
        <w:t xml:space="preserve">Outros possíveis resultados: </w:t>
      </w:r>
    </w:p>
    <w:p w:rsidR="00594D5B" w:rsidRPr="00DE2D55" w:rsidRDefault="00594D5B" w:rsidP="00FE560B">
      <w:pPr>
        <w:pStyle w:val="Corpodetexto"/>
        <w:numPr>
          <w:ilvl w:val="0"/>
          <w:numId w:val="28"/>
        </w:numPr>
        <w:tabs>
          <w:tab w:val="left" w:pos="0"/>
        </w:tabs>
        <w:spacing w:line="360" w:lineRule="auto"/>
        <w:ind w:left="1134"/>
        <w:rPr>
          <w:rFonts w:asciiTheme="minorHAnsi" w:hAnsiTheme="minorHAnsi" w:cs="Calibri"/>
          <w:noProof/>
          <w:sz w:val="22"/>
          <w:szCs w:val="22"/>
        </w:rPr>
      </w:pPr>
      <w:r w:rsidRPr="00DE2D55">
        <w:rPr>
          <w:rFonts w:asciiTheme="minorHAnsi" w:hAnsiTheme="minorHAnsi" w:cs="Calibri"/>
          <w:noProof/>
          <w:sz w:val="22"/>
          <w:szCs w:val="22"/>
        </w:rPr>
        <w:t>Definição do perfil CHA (Conhecimentos/Habilidades/Atitudes) de cada cargo da organização;</w:t>
      </w:r>
    </w:p>
    <w:p w:rsidR="00594D5B" w:rsidRPr="00DE2D55" w:rsidRDefault="00594D5B" w:rsidP="00FE560B">
      <w:pPr>
        <w:pStyle w:val="Corpodetexto"/>
        <w:numPr>
          <w:ilvl w:val="0"/>
          <w:numId w:val="28"/>
        </w:numPr>
        <w:tabs>
          <w:tab w:val="left" w:pos="0"/>
        </w:tabs>
        <w:spacing w:line="360" w:lineRule="auto"/>
        <w:ind w:left="1134"/>
        <w:rPr>
          <w:rFonts w:asciiTheme="minorHAnsi" w:hAnsiTheme="minorHAnsi" w:cs="Calibri"/>
          <w:noProof/>
          <w:sz w:val="22"/>
          <w:szCs w:val="22"/>
        </w:rPr>
      </w:pPr>
      <w:r w:rsidRPr="00DE2D55">
        <w:rPr>
          <w:rFonts w:asciiTheme="minorHAnsi" w:hAnsiTheme="minorHAnsi" w:cs="Calibri"/>
          <w:noProof/>
          <w:sz w:val="22"/>
          <w:szCs w:val="22"/>
        </w:rPr>
        <w:t>Continuidade da liderança e sustentação aos planos de carreira;</w:t>
      </w:r>
    </w:p>
    <w:p w:rsidR="00594D5B" w:rsidRPr="00DE2D55" w:rsidRDefault="00594D5B" w:rsidP="00FE560B">
      <w:pPr>
        <w:pStyle w:val="Corpodetexto"/>
        <w:numPr>
          <w:ilvl w:val="0"/>
          <w:numId w:val="28"/>
        </w:numPr>
        <w:tabs>
          <w:tab w:val="left" w:pos="0"/>
        </w:tabs>
        <w:spacing w:line="360" w:lineRule="auto"/>
        <w:ind w:left="1134"/>
        <w:rPr>
          <w:rFonts w:asciiTheme="minorHAnsi" w:hAnsiTheme="minorHAnsi" w:cs="Calibri"/>
          <w:noProof/>
          <w:sz w:val="22"/>
          <w:szCs w:val="22"/>
        </w:rPr>
      </w:pPr>
      <w:r w:rsidRPr="00DE2D55">
        <w:rPr>
          <w:rFonts w:asciiTheme="minorHAnsi" w:hAnsiTheme="minorHAnsi" w:cs="Calibri"/>
          <w:noProof/>
          <w:sz w:val="22"/>
          <w:szCs w:val="22"/>
        </w:rPr>
        <w:t>Alinhamento dos investimentos em treinamento às metas estratégicas da organização;</w:t>
      </w:r>
    </w:p>
    <w:p w:rsidR="00594D5B" w:rsidRPr="00DE2D55" w:rsidRDefault="00594D5B" w:rsidP="00FE560B">
      <w:pPr>
        <w:pStyle w:val="Corpodetexto"/>
        <w:numPr>
          <w:ilvl w:val="0"/>
          <w:numId w:val="28"/>
        </w:numPr>
        <w:tabs>
          <w:tab w:val="left" w:pos="0"/>
        </w:tabs>
        <w:spacing w:line="360" w:lineRule="auto"/>
        <w:ind w:left="1134"/>
        <w:rPr>
          <w:rFonts w:asciiTheme="minorHAnsi" w:hAnsiTheme="minorHAnsi" w:cs="Calibri"/>
          <w:noProof/>
          <w:sz w:val="22"/>
          <w:szCs w:val="22"/>
        </w:rPr>
      </w:pPr>
      <w:r w:rsidRPr="00DE2D55">
        <w:rPr>
          <w:rFonts w:asciiTheme="minorHAnsi" w:hAnsiTheme="minorHAnsi" w:cs="Calibri"/>
          <w:noProof/>
          <w:sz w:val="22"/>
          <w:szCs w:val="22"/>
        </w:rPr>
        <w:t>Competências mapeadas;</w:t>
      </w:r>
    </w:p>
    <w:p w:rsidR="00594D5B" w:rsidRPr="00DE2D55" w:rsidRDefault="00594D5B" w:rsidP="00FE560B">
      <w:pPr>
        <w:pStyle w:val="Corpodetexto"/>
        <w:numPr>
          <w:ilvl w:val="0"/>
          <w:numId w:val="28"/>
        </w:numPr>
        <w:tabs>
          <w:tab w:val="left" w:pos="0"/>
        </w:tabs>
        <w:spacing w:line="360" w:lineRule="auto"/>
        <w:ind w:left="1134"/>
        <w:rPr>
          <w:rFonts w:asciiTheme="minorHAnsi" w:hAnsiTheme="minorHAnsi" w:cs="Calibri"/>
          <w:noProof/>
          <w:sz w:val="22"/>
          <w:szCs w:val="22"/>
        </w:rPr>
      </w:pPr>
      <w:r w:rsidRPr="00DE2D55">
        <w:rPr>
          <w:rFonts w:asciiTheme="minorHAnsi" w:hAnsiTheme="minorHAnsi" w:cs="Calibri"/>
          <w:noProof/>
          <w:sz w:val="22"/>
          <w:szCs w:val="22"/>
        </w:rPr>
        <w:t>Melhoria de processos e produtos de aprendizagem com maior controle das ações de capacitação realizadas.</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de custos operacionais na contratação de licenças de software CITRIX e Microsoft Terminal Server;</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Maior flexibilidade no prazo para a execução da folha de pagamento mensal;</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dos prazos para contabilização da folha de pagamento, com eliminação de erros decorrentes de trabalho manual;</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Padronização no processo de contabilização de folha de pagamento pela automação do processo, com melhoria nos produtos de prestação de contas;</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de utilização de mão de obra nos grupos financeiros para contabilização manual da folha de pagamento;</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Redução de alocação de pessoal no ambiente de produção do PRODEST, com redução de custos operacionais para geração de relatórios;</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Maior sincronia entre o fato e o registro do mesmo na base de dados do SIARHES, de forma que as informações geradas espelhem a realidade;</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Aumento da publicidade e transparência dos atos de recursos humanos, efetuando o registro de todos os atos na base de dados do SIARHES;</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Segurança nos registros de nomeações, exonerações concessão de direitos e vantagens na base de dados de recursos humanos;</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Melhoria na gestão da despesa de pessoal por centro de custo;</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Criação de indicadores de custo por unidade operacional;</w:t>
      </w:r>
    </w:p>
    <w:p w:rsidR="00594D5B" w:rsidRPr="00DE2D55" w:rsidRDefault="00594D5B" w:rsidP="00FE560B">
      <w:pPr>
        <w:pStyle w:val="Corpodetexto"/>
        <w:numPr>
          <w:ilvl w:val="0"/>
          <w:numId w:val="28"/>
        </w:numPr>
        <w:tabs>
          <w:tab w:val="left" w:pos="0"/>
        </w:tabs>
        <w:spacing w:line="360" w:lineRule="auto"/>
        <w:ind w:left="1134" w:hanging="425"/>
        <w:rPr>
          <w:rFonts w:asciiTheme="minorHAnsi" w:hAnsiTheme="minorHAnsi" w:cs="Calibri"/>
          <w:noProof/>
          <w:sz w:val="22"/>
          <w:szCs w:val="22"/>
        </w:rPr>
      </w:pPr>
      <w:r w:rsidRPr="00DE2D55">
        <w:rPr>
          <w:rFonts w:asciiTheme="minorHAnsi" w:hAnsiTheme="minorHAnsi" w:cs="Calibri"/>
          <w:noProof/>
          <w:sz w:val="22"/>
          <w:szCs w:val="22"/>
        </w:rPr>
        <w:t>Melhoria nas interfaces do sistema visando uma navegação entre telas mais eficiente.</w:t>
      </w:r>
    </w:p>
    <w:p w:rsidR="00594D5B" w:rsidRPr="00DE2D55" w:rsidRDefault="00594D5B" w:rsidP="00FE560B">
      <w:pPr>
        <w:tabs>
          <w:tab w:val="left" w:pos="0"/>
        </w:tabs>
        <w:ind w:left="426"/>
        <w:jc w:val="both"/>
        <w:rPr>
          <w:rFonts w:cs="Arial"/>
          <w:color w:val="000000"/>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39" w:name="_Toc517282065"/>
      <w:r w:rsidRPr="00DE2D55">
        <w:rPr>
          <w:rFonts w:cs="Calibri"/>
          <w:b/>
        </w:rPr>
        <w:t>ASPECTOS INOVADORES DO PRODUTO</w:t>
      </w:r>
      <w:bookmarkEnd w:id="39"/>
    </w:p>
    <w:p w:rsidR="00594D5B" w:rsidRPr="00DE2D55" w:rsidRDefault="00594D5B" w:rsidP="00FE560B">
      <w:pPr>
        <w:tabs>
          <w:tab w:val="left" w:pos="0"/>
        </w:tabs>
        <w:ind w:left="2410" w:hanging="1701"/>
        <w:jc w:val="both"/>
        <w:rPr>
          <w:rFonts w:cs="Arial"/>
          <w:b/>
          <w:color w:val="000000"/>
        </w:rPr>
      </w:pP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Viabilização da implementação do modelo de gestão por competências;</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Mapeamento de perfil desejado;</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Otimização de alocações;</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Redução de erros em alocações de profissionais em locais incompatíveis com suas competências;</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Aproveitamento dos Conhecimentos adquiridos.</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Viabilização da implementação do modelo de trilhas de aprendizagem;</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Mapeamento individual para desenvolvimento de Trilhas de Aprendizagem;</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Maior disponibilidade e estabilidade do sistema;</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Otimização das funcionalidades e fluxos;</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Melhoria da usabilidade;</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Melhoria da experiência do usuário;</w:t>
      </w:r>
    </w:p>
    <w:p w:rsidR="00594D5B" w:rsidRPr="00DE2D55" w:rsidRDefault="00594D5B" w:rsidP="00FE560B">
      <w:pPr>
        <w:pStyle w:val="Profisco"/>
        <w:numPr>
          <w:ilvl w:val="0"/>
          <w:numId w:val="26"/>
        </w:numPr>
        <w:tabs>
          <w:tab w:val="left" w:pos="0"/>
        </w:tabs>
        <w:spacing w:after="0"/>
        <w:ind w:left="1134" w:hanging="425"/>
        <w:rPr>
          <w:rFonts w:asciiTheme="minorHAnsi" w:hAnsiTheme="minorHAnsi" w:cs="Arial"/>
          <w:color w:val="000000"/>
          <w:sz w:val="22"/>
          <w:szCs w:val="22"/>
        </w:rPr>
      </w:pPr>
      <w:r w:rsidRPr="00DE2D55">
        <w:rPr>
          <w:rFonts w:asciiTheme="minorHAnsi" w:hAnsiTheme="minorHAnsi" w:cs="Arial"/>
          <w:color w:val="000000"/>
          <w:sz w:val="22"/>
          <w:szCs w:val="22"/>
        </w:rPr>
        <w:t>Integração efetiva entre os sistemas de informação do Estado.</w:t>
      </w:r>
    </w:p>
    <w:p w:rsidR="00594D5B" w:rsidRPr="00DE2D55" w:rsidRDefault="00594D5B" w:rsidP="00FE560B">
      <w:pPr>
        <w:pStyle w:val="Profisco"/>
        <w:tabs>
          <w:tab w:val="left" w:pos="0"/>
        </w:tabs>
        <w:spacing w:after="0"/>
        <w:rPr>
          <w:rFonts w:asciiTheme="minorHAnsi" w:hAnsiTheme="minorHAnsi" w:cs="Arial"/>
          <w:color w:val="000000"/>
          <w:sz w:val="22"/>
          <w:szCs w:val="22"/>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40" w:name="_Toc517282066"/>
      <w:r w:rsidRPr="00DE2D55">
        <w:rPr>
          <w:rFonts w:cs="Calibri"/>
          <w:b/>
        </w:rPr>
        <w:t>IMPACTOS POTENCIAIS</w:t>
      </w:r>
      <w:bookmarkEnd w:id="40"/>
    </w:p>
    <w:p w:rsidR="00594D5B" w:rsidRPr="00DE2D55" w:rsidRDefault="00594D5B" w:rsidP="00A249C9">
      <w:pPr>
        <w:pStyle w:val="PargrafodaLista"/>
        <w:numPr>
          <w:ilvl w:val="2"/>
          <w:numId w:val="96"/>
        </w:numPr>
        <w:tabs>
          <w:tab w:val="left" w:pos="0"/>
        </w:tabs>
        <w:autoSpaceDE w:val="0"/>
        <w:autoSpaceDN w:val="0"/>
        <w:adjustRightInd w:val="0"/>
        <w:jc w:val="both"/>
        <w:rPr>
          <w:rFonts w:cs="Arial"/>
          <w:b/>
        </w:rPr>
      </w:pPr>
      <w:r w:rsidRPr="00DE2D55">
        <w:rPr>
          <w:rFonts w:cs="Arial"/>
          <w:b/>
        </w:rPr>
        <w:t>Para o aumento da arrecadação:</w:t>
      </w:r>
    </w:p>
    <w:p w:rsidR="00594D5B" w:rsidRPr="00DE2D55" w:rsidRDefault="00594D5B" w:rsidP="00FE560B">
      <w:pPr>
        <w:tabs>
          <w:tab w:val="left" w:pos="0"/>
        </w:tabs>
        <w:ind w:left="709"/>
        <w:jc w:val="both"/>
        <w:rPr>
          <w:rFonts w:cs="Arial"/>
        </w:rPr>
      </w:pPr>
      <w:r w:rsidRPr="00DE2D55">
        <w:rPr>
          <w:rFonts w:cs="Arial"/>
        </w:rPr>
        <w:t>A implementação da Política de Gestão de Pessoas irá trazer para todas as áreas da SEFAZ/ES uma maior clareza das suas atribuições, fazendo com que possamos melhorar o desempenho e consequentemente os resultados na arrecadação dos tributos.</w:t>
      </w:r>
    </w:p>
    <w:p w:rsidR="00594D5B" w:rsidRPr="00DE2D55" w:rsidRDefault="00594D5B" w:rsidP="00FE560B">
      <w:pPr>
        <w:tabs>
          <w:tab w:val="left" w:pos="0"/>
        </w:tabs>
        <w:jc w:val="both"/>
        <w:rPr>
          <w:rFonts w:cs="Calibri"/>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Arial"/>
          <w:b/>
        </w:rPr>
      </w:pPr>
      <w:r w:rsidRPr="00DE2D55">
        <w:rPr>
          <w:rFonts w:cs="Arial"/>
          <w:b/>
        </w:rPr>
        <w:t>Para redução ou aumento da eficiência dos gastos:</w:t>
      </w:r>
    </w:p>
    <w:p w:rsidR="00594D5B" w:rsidRPr="00DE2D55" w:rsidRDefault="00594D5B" w:rsidP="00FE560B">
      <w:pPr>
        <w:tabs>
          <w:tab w:val="left" w:pos="0"/>
        </w:tabs>
        <w:ind w:left="709"/>
        <w:jc w:val="both"/>
        <w:rPr>
          <w:rFonts w:cs="Arial"/>
        </w:rPr>
      </w:pPr>
      <w:r w:rsidRPr="00DE2D55">
        <w:rPr>
          <w:rFonts w:cs="Arial"/>
        </w:rPr>
        <w:t>Com a implementação da Gestão por Competências reduziremos o tempo perdido em retrabalho, em sobreposição de competências e consequentemente otimizaremos os recursos humanos e materiais. Da mesma forma, com o mapeamento de Conhecimentos adquiridos, possibilita-se a transferência de conhecimentos entre servidores.</w:t>
      </w:r>
    </w:p>
    <w:p w:rsidR="00594D5B" w:rsidRPr="00DE2D55" w:rsidRDefault="00594D5B" w:rsidP="00FE560B">
      <w:pPr>
        <w:pStyle w:val="PargrafodaLista"/>
        <w:numPr>
          <w:ilvl w:val="0"/>
          <w:numId w:val="35"/>
        </w:numPr>
        <w:tabs>
          <w:tab w:val="left" w:pos="0"/>
        </w:tabs>
        <w:suppressAutoHyphens/>
        <w:autoSpaceDE w:val="0"/>
        <w:autoSpaceDN w:val="0"/>
        <w:adjustRightInd w:val="0"/>
        <w:ind w:left="1134" w:hanging="425"/>
        <w:jc w:val="both"/>
        <w:rPr>
          <w:rFonts w:cs="Calibri"/>
          <w:b/>
        </w:rPr>
      </w:pPr>
      <w:r w:rsidRPr="00DE2D55">
        <w:rPr>
          <w:rFonts w:cs="Calibri"/>
        </w:rPr>
        <w:t>Ampliação da longevidade do software que suporta o SIARHES;</w:t>
      </w:r>
    </w:p>
    <w:p w:rsidR="00594D5B" w:rsidRPr="00DE2D55" w:rsidRDefault="00594D5B" w:rsidP="00FE560B">
      <w:pPr>
        <w:pStyle w:val="PargrafodaLista"/>
        <w:numPr>
          <w:ilvl w:val="0"/>
          <w:numId w:val="35"/>
        </w:numPr>
        <w:tabs>
          <w:tab w:val="left" w:pos="0"/>
        </w:tabs>
        <w:suppressAutoHyphens/>
        <w:autoSpaceDE w:val="0"/>
        <w:autoSpaceDN w:val="0"/>
        <w:adjustRightInd w:val="0"/>
        <w:ind w:left="1134" w:hanging="425"/>
        <w:jc w:val="both"/>
        <w:rPr>
          <w:rFonts w:cs="Calibri"/>
          <w:b/>
        </w:rPr>
      </w:pPr>
      <w:r w:rsidRPr="00DE2D55">
        <w:rPr>
          <w:rFonts w:cs="Calibri"/>
        </w:rPr>
        <w:t>Padronização no processo de contabilização da folha de pagamento, o que agilizará este processo e reduzirá possíveis erros ocasionados pela contabilização manual;</w:t>
      </w:r>
    </w:p>
    <w:p w:rsidR="00594D5B" w:rsidRPr="00DE2D55" w:rsidRDefault="00594D5B" w:rsidP="00FE560B">
      <w:pPr>
        <w:pStyle w:val="PargrafodaLista"/>
        <w:numPr>
          <w:ilvl w:val="0"/>
          <w:numId w:val="35"/>
        </w:numPr>
        <w:tabs>
          <w:tab w:val="left" w:pos="0"/>
        </w:tabs>
        <w:suppressAutoHyphens/>
        <w:autoSpaceDE w:val="0"/>
        <w:autoSpaceDN w:val="0"/>
        <w:adjustRightInd w:val="0"/>
        <w:ind w:left="1134" w:hanging="425"/>
        <w:jc w:val="both"/>
        <w:rPr>
          <w:rFonts w:cs="Calibri"/>
          <w:b/>
        </w:rPr>
      </w:pPr>
      <w:r w:rsidRPr="00DE2D55">
        <w:rPr>
          <w:rFonts w:cs="Calibri"/>
        </w:rPr>
        <w:t>Redução de custos operacionais decorrente da geração, arquivamento, manutenção e tramitação de processos físicos.</w:t>
      </w:r>
    </w:p>
    <w:p w:rsidR="00594D5B" w:rsidRPr="00DE2D55" w:rsidRDefault="00594D5B" w:rsidP="00FE560B">
      <w:pPr>
        <w:pStyle w:val="PargrafodaLista"/>
        <w:numPr>
          <w:ilvl w:val="0"/>
          <w:numId w:val="35"/>
        </w:numPr>
        <w:tabs>
          <w:tab w:val="left" w:pos="0"/>
        </w:tabs>
        <w:suppressAutoHyphens/>
        <w:autoSpaceDE w:val="0"/>
        <w:autoSpaceDN w:val="0"/>
        <w:adjustRightInd w:val="0"/>
        <w:ind w:left="1134" w:hanging="425"/>
        <w:jc w:val="both"/>
        <w:rPr>
          <w:rFonts w:cs="Calibri"/>
          <w:b/>
        </w:rPr>
      </w:pPr>
      <w:r w:rsidRPr="00DE2D55">
        <w:rPr>
          <w:rFonts w:cs="Calibri"/>
        </w:rPr>
        <w:t>Disponibilização da documentação dos servidores públicos em meio eletrônico, facilitando o acesso a esta informação e seu encaminhamento ao Tribunal de Contas do Estado do Espírito Santo, na aposentadoria do servidor.</w:t>
      </w:r>
    </w:p>
    <w:p w:rsidR="00594D5B" w:rsidRPr="00DE2D55" w:rsidRDefault="00594D5B" w:rsidP="00FE560B">
      <w:pPr>
        <w:tabs>
          <w:tab w:val="left" w:pos="0"/>
        </w:tabs>
        <w:jc w:val="both"/>
        <w:rPr>
          <w:rFonts w:cs="Calibri"/>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Arial"/>
          <w:b/>
        </w:rPr>
      </w:pPr>
      <w:r w:rsidRPr="00DE2D55">
        <w:rPr>
          <w:rFonts w:cs="Arial"/>
          <w:b/>
        </w:rPr>
        <w:t>Para a melhoria dos serviços ao contribuinte e ao usuário interno:</w:t>
      </w:r>
    </w:p>
    <w:p w:rsidR="00594D5B" w:rsidRPr="00DE2D55" w:rsidRDefault="00594D5B" w:rsidP="00FE560B">
      <w:pPr>
        <w:numPr>
          <w:ilvl w:val="0"/>
          <w:numId w:val="30"/>
        </w:numPr>
        <w:tabs>
          <w:tab w:val="left" w:pos="0"/>
        </w:tabs>
        <w:jc w:val="both"/>
        <w:rPr>
          <w:rFonts w:cs="Arial"/>
        </w:rPr>
      </w:pPr>
      <w:r w:rsidRPr="00DE2D55">
        <w:rPr>
          <w:rFonts w:cs="Arial"/>
        </w:rPr>
        <w:t>Redução de tempo do trâmite dos processos e a qualidade tanto para o público externo, como para o interno;</w:t>
      </w:r>
    </w:p>
    <w:p w:rsidR="00594D5B" w:rsidRPr="00DE2D55" w:rsidRDefault="00594D5B" w:rsidP="00FE560B">
      <w:pPr>
        <w:numPr>
          <w:ilvl w:val="0"/>
          <w:numId w:val="30"/>
        </w:numPr>
        <w:tabs>
          <w:tab w:val="left" w:pos="0"/>
        </w:tabs>
        <w:jc w:val="both"/>
        <w:rPr>
          <w:rFonts w:cs="Arial"/>
        </w:rPr>
      </w:pPr>
      <w:r w:rsidRPr="00DE2D55">
        <w:rPr>
          <w:rFonts w:cs="Arial"/>
        </w:rPr>
        <w:t>Implementação uma capacitação mais dinâmica em ambiente de rede para que os servidores tenham disponibilizados no ambiente de trabalho soluções para os seus gaps;</w:t>
      </w:r>
    </w:p>
    <w:p w:rsidR="00594D5B" w:rsidRPr="00DE2D55" w:rsidRDefault="00594D5B" w:rsidP="00FE560B">
      <w:pPr>
        <w:numPr>
          <w:ilvl w:val="0"/>
          <w:numId w:val="30"/>
        </w:numPr>
        <w:tabs>
          <w:tab w:val="left" w:pos="0"/>
        </w:tabs>
        <w:jc w:val="both"/>
        <w:rPr>
          <w:rFonts w:cs="Arial"/>
        </w:rPr>
      </w:pPr>
      <w:r w:rsidRPr="00DE2D55">
        <w:rPr>
          <w:rFonts w:cs="Arial"/>
        </w:rPr>
        <w:t>Trabalhar o sentimento de pertencimento a instituição, para que o servidor se sinta motivado a seguir missão da Secretaria para que possa assim realizar um trabalho de excelência.</w:t>
      </w:r>
    </w:p>
    <w:p w:rsidR="00594D5B" w:rsidRPr="00DE2D55" w:rsidRDefault="00594D5B" w:rsidP="00FE560B">
      <w:pPr>
        <w:pStyle w:val="PargrafodaLista"/>
        <w:tabs>
          <w:tab w:val="left" w:pos="0"/>
        </w:tabs>
        <w:ind w:left="0"/>
        <w:jc w:val="both"/>
        <w:rPr>
          <w:lang w:eastAsia="pt-BR"/>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41" w:name="_Toc517282067"/>
      <w:r w:rsidRPr="00DE2D55">
        <w:rPr>
          <w:rFonts w:cs="Calibri"/>
          <w:b/>
        </w:rPr>
        <w:t>RISCOS DE EXECUÇÃO DO PRODUTO</w:t>
      </w:r>
      <w:bookmarkEnd w:id="41"/>
    </w:p>
    <w:p w:rsidR="00594D5B" w:rsidRPr="00DE2D55" w:rsidRDefault="00594D5B" w:rsidP="00FE560B">
      <w:pPr>
        <w:tabs>
          <w:tab w:val="left" w:pos="0"/>
        </w:tabs>
        <w:jc w:val="both"/>
        <w:rPr>
          <w:rFonts w:cs="Arial"/>
        </w:rPr>
      </w:pPr>
    </w:p>
    <w:p w:rsidR="00594D5B" w:rsidRPr="00DE2D55" w:rsidRDefault="00594D5B" w:rsidP="00FE560B">
      <w:pPr>
        <w:numPr>
          <w:ilvl w:val="0"/>
          <w:numId w:val="31"/>
        </w:numPr>
        <w:tabs>
          <w:tab w:val="left" w:pos="0"/>
        </w:tabs>
        <w:jc w:val="both"/>
        <w:rPr>
          <w:rFonts w:cs="Arial"/>
        </w:rPr>
      </w:pPr>
      <w:r w:rsidRPr="00DE2D55">
        <w:rPr>
          <w:rFonts w:cs="Arial"/>
        </w:rPr>
        <w:t>Mudança de Gestores, descontinuando o Projeto</w:t>
      </w:r>
    </w:p>
    <w:p w:rsidR="00594D5B" w:rsidRPr="00DE2D55" w:rsidRDefault="00594D5B" w:rsidP="00FE560B">
      <w:pPr>
        <w:numPr>
          <w:ilvl w:val="0"/>
          <w:numId w:val="31"/>
        </w:numPr>
        <w:tabs>
          <w:tab w:val="left" w:pos="0"/>
        </w:tabs>
        <w:jc w:val="both"/>
        <w:rPr>
          <w:rFonts w:cs="Arial"/>
        </w:rPr>
      </w:pPr>
      <w:r w:rsidRPr="00DE2D55">
        <w:rPr>
          <w:rFonts w:cs="Arial"/>
        </w:rPr>
        <w:t>Falta de apoio da equipe gestora;</w:t>
      </w:r>
    </w:p>
    <w:p w:rsidR="00594D5B" w:rsidRPr="00DE2D55" w:rsidRDefault="00594D5B" w:rsidP="00FE560B">
      <w:pPr>
        <w:numPr>
          <w:ilvl w:val="0"/>
          <w:numId w:val="31"/>
        </w:numPr>
        <w:tabs>
          <w:tab w:val="left" w:pos="0"/>
        </w:tabs>
        <w:jc w:val="both"/>
        <w:rPr>
          <w:rFonts w:cs="Arial"/>
        </w:rPr>
      </w:pPr>
      <w:r w:rsidRPr="00DE2D55">
        <w:rPr>
          <w:rFonts w:cs="Arial"/>
        </w:rPr>
        <w:t>Liderança que não patrocine o projeto.</w:t>
      </w:r>
    </w:p>
    <w:p w:rsidR="00594D5B" w:rsidRPr="00DE2D55" w:rsidRDefault="00594D5B" w:rsidP="00FE560B">
      <w:pPr>
        <w:pStyle w:val="PargrafodaLista"/>
        <w:numPr>
          <w:ilvl w:val="0"/>
          <w:numId w:val="31"/>
        </w:numPr>
        <w:tabs>
          <w:tab w:val="left" w:pos="0"/>
        </w:tabs>
        <w:suppressAutoHyphens/>
        <w:autoSpaceDE w:val="0"/>
        <w:autoSpaceDN w:val="0"/>
        <w:adjustRightInd w:val="0"/>
        <w:jc w:val="both"/>
        <w:rPr>
          <w:rFonts w:cs="Calibri"/>
          <w:b/>
        </w:rPr>
      </w:pPr>
      <w:r w:rsidRPr="00DE2D55">
        <w:rPr>
          <w:rFonts w:cs="Calibri"/>
        </w:rPr>
        <w:t>Quantitativo reduzido de técnicos alocados na Gerência gestora do sistema e no PRODEST para manutenção das novas funcionalidades.</w:t>
      </w:r>
    </w:p>
    <w:p w:rsidR="00594D5B" w:rsidRPr="00DE2D55" w:rsidRDefault="00594D5B" w:rsidP="00FE560B">
      <w:pPr>
        <w:tabs>
          <w:tab w:val="left" w:pos="0"/>
        </w:tabs>
        <w:ind w:left="1701" w:hanging="567"/>
        <w:jc w:val="both"/>
        <w:rPr>
          <w:rFonts w:cs="Calibri"/>
        </w:rPr>
      </w:pPr>
      <w:r w:rsidRPr="00DE2D55">
        <w:rPr>
          <w:rFonts w:cs="Calibri"/>
          <w:b/>
        </w:rPr>
        <w:t>Ação de Mitigação:</w:t>
      </w:r>
      <w:r w:rsidRPr="00DE2D55">
        <w:rPr>
          <w:rFonts w:cs="Calibri"/>
        </w:rPr>
        <w:t xml:space="preserve"> Alocação de técnicos na equipe responsável pelo projeto.</w:t>
      </w:r>
    </w:p>
    <w:p w:rsidR="00594D5B" w:rsidRPr="00DE2D55" w:rsidRDefault="00594D5B" w:rsidP="00FE560B">
      <w:pPr>
        <w:pStyle w:val="PargrafodaLista"/>
        <w:numPr>
          <w:ilvl w:val="0"/>
          <w:numId w:val="31"/>
        </w:numPr>
        <w:tabs>
          <w:tab w:val="left" w:pos="0"/>
        </w:tabs>
        <w:suppressAutoHyphens/>
        <w:autoSpaceDE w:val="0"/>
        <w:autoSpaceDN w:val="0"/>
        <w:adjustRightInd w:val="0"/>
        <w:jc w:val="both"/>
        <w:rPr>
          <w:rFonts w:cs="Calibri"/>
          <w:b/>
        </w:rPr>
      </w:pPr>
      <w:r w:rsidRPr="00DE2D55">
        <w:rPr>
          <w:rFonts w:cs="Calibri"/>
        </w:rPr>
        <w:t>Atraso no processo de licitação e contratação de consultoria especializada.</w:t>
      </w:r>
    </w:p>
    <w:p w:rsidR="00594D5B" w:rsidRPr="00DE2D55" w:rsidRDefault="00594D5B" w:rsidP="00FE560B">
      <w:pPr>
        <w:tabs>
          <w:tab w:val="left" w:pos="0"/>
        </w:tabs>
        <w:suppressAutoHyphens/>
        <w:ind w:left="1701" w:hanging="567"/>
        <w:jc w:val="both"/>
        <w:rPr>
          <w:rFonts w:cs="Calibri"/>
        </w:rPr>
      </w:pPr>
      <w:r w:rsidRPr="00DE2D55">
        <w:rPr>
          <w:rFonts w:cs="Calibri"/>
          <w:b/>
        </w:rPr>
        <w:t>Ação de Mitigação:</w:t>
      </w:r>
      <w:r w:rsidRPr="00DE2D55">
        <w:rPr>
          <w:rFonts w:cs="Calibri"/>
        </w:rPr>
        <w:t xml:space="preserve"> Alinhamento junto aos órgãos responsáveis pela tramitação do processo licitatório, afim de garantir agilidade nas análises pertinentes e demais procedimentos.</w:t>
      </w:r>
    </w:p>
    <w:p w:rsidR="00594D5B" w:rsidRDefault="00594D5B" w:rsidP="00FE560B">
      <w:pPr>
        <w:pStyle w:val="PargrafodaLista"/>
        <w:tabs>
          <w:tab w:val="left" w:pos="0"/>
        </w:tabs>
        <w:ind w:left="0"/>
        <w:jc w:val="both"/>
        <w:rPr>
          <w:lang w:eastAsia="pt-BR"/>
        </w:rPr>
      </w:pPr>
    </w:p>
    <w:p w:rsidR="000F67FC" w:rsidRPr="00DE2D55" w:rsidRDefault="000F67FC" w:rsidP="00FE560B">
      <w:pPr>
        <w:pStyle w:val="PargrafodaLista"/>
        <w:tabs>
          <w:tab w:val="left" w:pos="0"/>
        </w:tabs>
        <w:ind w:left="0"/>
        <w:jc w:val="both"/>
        <w:rPr>
          <w:lang w:eastAsia="pt-BR"/>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42" w:name="_Toc517282068"/>
      <w:r w:rsidRPr="00DE2D55">
        <w:rPr>
          <w:rFonts w:cs="Calibri"/>
          <w:b/>
        </w:rPr>
        <w:t>BENEFÍCIOS E RESULTADOS QUE PODERÃO SER ALCANÇADOS PARA ALÉM DO MARCO DE RESULTADOS</w:t>
      </w:r>
      <w:bookmarkEnd w:id="42"/>
      <w:r w:rsidRPr="00DE2D55">
        <w:rPr>
          <w:rFonts w:cs="Calibri"/>
          <w:b/>
        </w:rPr>
        <w:t xml:space="preserve"> </w:t>
      </w:r>
    </w:p>
    <w:p w:rsidR="00533F4F" w:rsidRDefault="00533F4F" w:rsidP="00FE560B">
      <w:pPr>
        <w:pStyle w:val="PargrafodaLista"/>
        <w:tabs>
          <w:tab w:val="left" w:pos="0"/>
        </w:tabs>
        <w:autoSpaceDE w:val="0"/>
        <w:autoSpaceDN w:val="0"/>
        <w:adjustRightInd w:val="0"/>
        <w:jc w:val="both"/>
        <w:rPr>
          <w:rFonts w:cs="Arial"/>
          <w:b/>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Arial"/>
          <w:b/>
        </w:rPr>
      </w:pPr>
      <w:r w:rsidRPr="00DE2D55">
        <w:rPr>
          <w:rFonts w:cs="Arial"/>
          <w:b/>
        </w:rPr>
        <w:t>Benefícios qualitativos</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Aumento da capacitação sistêmico-operacional: servidores com Plano de Desenvolvimento Individual, base de toda capacitação por conta da identificação do GAP.</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 xml:space="preserve">Redução de custos com a produção de cursos na modalidade EaD  –verificado por meio da diminuição de participação em cursos externos, consequentemente com redução de concessão de diárias e transporte. </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Oferta de eventos de capacitação com maior número de servidores - instalações e equipamentos modernos possibilitam o treinamento simultâneo, verificado por meio de relatório de capacitação.</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Capacitação da Equipe da Área de Treinamento, de forma a compatibilizar o aparato estrutural e físico com a capacidade profissional da equipe de treinamento.</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Possibilidade de atender a crescente exigência de capacitação num contexto de fortalecimento institucional. Ambiente estruturado, com sala de aula, auditório, laboratório de informática, equipamentos e materiais de apoio, com a condição de adequar-se, inclusive, à extensão do quadro funcional, além da criação de salas laboratórios de informática nas regionais.</w:t>
      </w:r>
    </w:p>
    <w:p w:rsidR="00594D5B" w:rsidRPr="00DE2D55" w:rsidRDefault="00594D5B" w:rsidP="00FE560B">
      <w:pPr>
        <w:tabs>
          <w:tab w:val="left" w:pos="0"/>
        </w:tabs>
        <w:jc w:val="both"/>
        <w:rPr>
          <w:rFonts w:cs="Arial"/>
          <w:bCs/>
          <w:color w:val="FF0000"/>
        </w:rPr>
      </w:pPr>
    </w:p>
    <w:p w:rsidR="00594D5B" w:rsidRPr="00DE2D55" w:rsidRDefault="00594D5B" w:rsidP="00A249C9">
      <w:pPr>
        <w:pStyle w:val="PargrafodaLista"/>
        <w:numPr>
          <w:ilvl w:val="2"/>
          <w:numId w:val="96"/>
        </w:numPr>
        <w:tabs>
          <w:tab w:val="left" w:pos="0"/>
        </w:tabs>
        <w:autoSpaceDE w:val="0"/>
        <w:autoSpaceDN w:val="0"/>
        <w:adjustRightInd w:val="0"/>
        <w:jc w:val="both"/>
        <w:rPr>
          <w:rFonts w:cs="Arial"/>
          <w:b/>
        </w:rPr>
      </w:pPr>
      <w:r w:rsidRPr="00DE2D55">
        <w:rPr>
          <w:rFonts w:cs="Arial"/>
          <w:b/>
        </w:rPr>
        <w:t>Outros resultados quantificados</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Meta superada em 90% em relação ao produto:  Elaboração e Implantação do Programa de Desenvolvimento de Competências Fazendárias</w:t>
      </w:r>
    </w:p>
    <w:p w:rsidR="00594D5B" w:rsidRPr="00DE2D55" w:rsidRDefault="00594D5B" w:rsidP="00FE560B">
      <w:pPr>
        <w:numPr>
          <w:ilvl w:val="0"/>
          <w:numId w:val="32"/>
        </w:numPr>
        <w:tabs>
          <w:tab w:val="left" w:pos="0"/>
        </w:tabs>
        <w:ind w:left="1134" w:hanging="425"/>
        <w:jc w:val="both"/>
        <w:rPr>
          <w:rFonts w:cs="Arial"/>
          <w:color w:val="000000"/>
        </w:rPr>
      </w:pPr>
      <w:r w:rsidRPr="00DE2D55">
        <w:rPr>
          <w:rFonts w:cs="Arial"/>
          <w:color w:val="000000"/>
        </w:rPr>
        <w:t>Meta superada em 90% em relação ao produto: Fortalecimento da área de treinamento</w:t>
      </w:r>
    </w:p>
    <w:p w:rsidR="00594D5B" w:rsidRDefault="00594D5B" w:rsidP="00FE560B">
      <w:pPr>
        <w:numPr>
          <w:ilvl w:val="0"/>
          <w:numId w:val="32"/>
        </w:numPr>
        <w:tabs>
          <w:tab w:val="left" w:pos="0"/>
        </w:tabs>
        <w:ind w:left="1134" w:hanging="425"/>
        <w:jc w:val="both"/>
        <w:rPr>
          <w:rFonts w:cs="Arial"/>
          <w:bCs/>
          <w:noProof/>
        </w:rPr>
      </w:pPr>
      <w:r w:rsidRPr="00DE2D55">
        <w:rPr>
          <w:rFonts w:cs="Arial"/>
          <w:bCs/>
          <w:noProof/>
        </w:rPr>
        <w:t xml:space="preserve">A </w:t>
      </w:r>
      <w:r w:rsidRPr="00DE2D55">
        <w:rPr>
          <w:rFonts w:cs="Arial"/>
          <w:color w:val="000000"/>
        </w:rPr>
        <w:t>superação</w:t>
      </w:r>
      <w:r w:rsidRPr="00DE2D55">
        <w:rPr>
          <w:rFonts w:cs="Arial"/>
          <w:bCs/>
          <w:noProof/>
        </w:rPr>
        <w:t xml:space="preserve"> das metas acordadas será dada em função da possibilidade de ampliação da estruturação física e tecnológica, por meio de redimensionamento das condições da área reservada como espaço para capacitação dos servidores e espaço para eventos, com auditório devidamente aparelhado, redundando na ampliação do escopo; sala de aula e Laboratório de Informática devidamente equipados.</w:t>
      </w:r>
    </w:p>
    <w:p w:rsidR="000F67FC" w:rsidRDefault="000F67FC" w:rsidP="000F67FC">
      <w:pPr>
        <w:tabs>
          <w:tab w:val="left" w:pos="0"/>
        </w:tabs>
        <w:jc w:val="both"/>
        <w:rPr>
          <w:rFonts w:cs="Arial"/>
          <w:bCs/>
          <w:noProof/>
        </w:rPr>
      </w:pPr>
    </w:p>
    <w:p w:rsidR="000F67FC" w:rsidRDefault="000F67FC" w:rsidP="000F67FC">
      <w:pPr>
        <w:tabs>
          <w:tab w:val="left" w:pos="0"/>
        </w:tabs>
        <w:jc w:val="both"/>
        <w:rPr>
          <w:rFonts w:cs="Arial"/>
          <w:bCs/>
          <w:noProof/>
        </w:rPr>
      </w:pPr>
    </w:p>
    <w:p w:rsidR="000F67FC" w:rsidRDefault="000F67FC" w:rsidP="000F67FC">
      <w:pPr>
        <w:tabs>
          <w:tab w:val="left" w:pos="0"/>
        </w:tabs>
        <w:jc w:val="both"/>
        <w:rPr>
          <w:rFonts w:cs="Arial"/>
          <w:bCs/>
          <w:noProof/>
        </w:rPr>
      </w:pPr>
    </w:p>
    <w:p w:rsidR="000F67FC" w:rsidRDefault="000F67FC" w:rsidP="000F67FC">
      <w:pPr>
        <w:tabs>
          <w:tab w:val="left" w:pos="0"/>
        </w:tabs>
        <w:jc w:val="both"/>
        <w:rPr>
          <w:rFonts w:cs="Arial"/>
          <w:bCs/>
          <w:noProof/>
        </w:rPr>
      </w:pPr>
    </w:p>
    <w:p w:rsidR="000F67FC" w:rsidRDefault="000F67FC" w:rsidP="000F67FC">
      <w:pPr>
        <w:tabs>
          <w:tab w:val="left" w:pos="0"/>
        </w:tabs>
        <w:jc w:val="both"/>
        <w:rPr>
          <w:rFonts w:cs="Arial"/>
          <w:bCs/>
          <w:noProof/>
        </w:rPr>
      </w:pPr>
    </w:p>
    <w:p w:rsidR="000F67FC" w:rsidRDefault="000F67FC" w:rsidP="000F67FC">
      <w:pPr>
        <w:tabs>
          <w:tab w:val="left" w:pos="0"/>
        </w:tabs>
        <w:jc w:val="both"/>
        <w:rPr>
          <w:rFonts w:cs="Arial"/>
          <w:bCs/>
          <w:noProof/>
        </w:rPr>
      </w:pPr>
    </w:p>
    <w:p w:rsidR="000F67FC" w:rsidRPr="00DE2D55" w:rsidRDefault="000F67FC" w:rsidP="000F67FC">
      <w:pPr>
        <w:tabs>
          <w:tab w:val="left" w:pos="0"/>
        </w:tabs>
        <w:jc w:val="both"/>
        <w:rPr>
          <w:rFonts w:cs="Arial"/>
          <w:bCs/>
          <w:noProof/>
        </w:rPr>
      </w:pPr>
    </w:p>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43" w:name="_Toc517282069"/>
      <w:r w:rsidRPr="00DE2D55">
        <w:rPr>
          <w:rFonts w:cs="Calibri"/>
          <w:b/>
        </w:rPr>
        <w:t>QUADRO DE CUSTOS DO PRODUTO POR TIPO DE INVESTIMENTO</w:t>
      </w:r>
      <w:bookmarkEnd w:id="43"/>
    </w:p>
    <w:p w:rsidR="00594D5B" w:rsidRPr="00DE2D55" w:rsidRDefault="00594D5B" w:rsidP="00FE560B">
      <w:pPr>
        <w:pStyle w:val="PargrafodaLista"/>
        <w:tabs>
          <w:tab w:val="left" w:pos="0"/>
        </w:tabs>
        <w:autoSpaceDE w:val="0"/>
        <w:autoSpaceDN w:val="0"/>
        <w:adjustRightInd w:val="0"/>
        <w:ind w:left="0"/>
        <w:jc w:val="both"/>
        <w:rPr>
          <w:rFonts w:cs="Calibri"/>
          <w:b/>
        </w:rPr>
      </w:pPr>
    </w:p>
    <w:tbl>
      <w:tblPr>
        <w:tblW w:w="5000" w:type="pct"/>
        <w:tblCellMar>
          <w:left w:w="70" w:type="dxa"/>
          <w:right w:w="70" w:type="dxa"/>
        </w:tblCellMar>
        <w:tblLook w:val="04A0" w:firstRow="1" w:lastRow="0" w:firstColumn="1" w:lastColumn="0" w:noHBand="0" w:noVBand="1"/>
      </w:tblPr>
      <w:tblGrid>
        <w:gridCol w:w="1531"/>
        <w:gridCol w:w="3873"/>
        <w:gridCol w:w="682"/>
        <w:gridCol w:w="1722"/>
        <w:gridCol w:w="1952"/>
      </w:tblGrid>
      <w:tr w:rsidR="00594D5B" w:rsidRPr="00DE2D55" w:rsidTr="00594D5B">
        <w:trPr>
          <w:trHeight w:val="300"/>
        </w:trPr>
        <w:tc>
          <w:tcPr>
            <w:tcW w:w="813" w:type="pct"/>
            <w:tcBorders>
              <w:top w:val="single" w:sz="8" w:space="0" w:color="auto"/>
              <w:left w:val="single" w:sz="8" w:space="0" w:color="auto"/>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pPr>
            <w:r w:rsidRPr="00DE2D55">
              <w:t> </w:t>
            </w:r>
          </w:p>
        </w:tc>
        <w:tc>
          <w:tcPr>
            <w:tcW w:w="1948" w:type="pct"/>
            <w:tcBorders>
              <w:top w:val="single" w:sz="8" w:space="0" w:color="auto"/>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color w:val="0000FF"/>
              </w:rPr>
            </w:pPr>
            <w:r w:rsidRPr="00DE2D55">
              <w:rPr>
                <w:b/>
                <w:bCs/>
                <w:color w:val="0000FF"/>
              </w:rPr>
              <w:t>CAPACITAÇÃO</w:t>
            </w:r>
          </w:p>
        </w:tc>
        <w:tc>
          <w:tcPr>
            <w:tcW w:w="349" w:type="pct"/>
            <w:tcBorders>
              <w:top w:val="single" w:sz="8" w:space="0" w:color="auto"/>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870" w:type="pct"/>
            <w:tcBorders>
              <w:top w:val="single" w:sz="8" w:space="0" w:color="auto"/>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1020" w:type="pct"/>
            <w:tcBorders>
              <w:top w:val="single" w:sz="8" w:space="0" w:color="auto"/>
              <w:left w:val="single" w:sz="4" w:space="0" w:color="000000"/>
              <w:bottom w:val="single" w:sz="4" w:space="0" w:color="000000"/>
              <w:right w:val="single" w:sz="8" w:space="0" w:color="auto"/>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xml:space="preserve"> R$          100.000,00 </w:t>
            </w:r>
          </w:p>
        </w:tc>
      </w:tr>
      <w:tr w:rsidR="00594D5B" w:rsidRPr="00DE2D55" w:rsidTr="00594D5B">
        <w:trPr>
          <w:trHeight w:val="510"/>
        </w:trPr>
        <w:tc>
          <w:tcPr>
            <w:tcW w:w="813" w:type="pct"/>
            <w:tcBorders>
              <w:top w:val="nil"/>
              <w:left w:val="single" w:sz="8" w:space="0" w:color="auto"/>
              <w:bottom w:val="single" w:sz="4" w:space="0" w:color="000000"/>
              <w:right w:val="single" w:sz="4" w:space="0" w:color="000000"/>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SubP</w:t>
            </w:r>
          </w:p>
        </w:tc>
        <w:tc>
          <w:tcPr>
            <w:tcW w:w="1948" w:type="pct"/>
            <w:tcBorders>
              <w:top w:val="nil"/>
              <w:left w:val="nil"/>
              <w:bottom w:val="nil"/>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DESCRIÇÃO</w:t>
            </w:r>
          </w:p>
        </w:tc>
        <w:tc>
          <w:tcPr>
            <w:tcW w:w="349" w:type="pct"/>
            <w:tcBorders>
              <w:top w:val="nil"/>
              <w:left w:val="single" w:sz="4" w:space="0" w:color="000000"/>
              <w:bottom w:val="nil"/>
              <w:right w:val="single" w:sz="4" w:space="0" w:color="000000"/>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QT PART.</w:t>
            </w:r>
          </w:p>
        </w:tc>
        <w:tc>
          <w:tcPr>
            <w:tcW w:w="870" w:type="pct"/>
            <w:tcBorders>
              <w:top w:val="nil"/>
              <w:left w:val="nil"/>
              <w:bottom w:val="nil"/>
              <w:right w:val="nil"/>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VALOR UNIT. (R$)</w:t>
            </w:r>
          </w:p>
        </w:tc>
        <w:tc>
          <w:tcPr>
            <w:tcW w:w="1020" w:type="pct"/>
            <w:tcBorders>
              <w:top w:val="nil"/>
              <w:left w:val="single" w:sz="4" w:space="0" w:color="000000"/>
              <w:bottom w:val="single" w:sz="4" w:space="0" w:color="000000"/>
              <w:right w:val="single" w:sz="8" w:space="0" w:color="auto"/>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 xml:space="preserve">VALOR TOTAL (R$) </w:t>
            </w:r>
          </w:p>
        </w:tc>
      </w:tr>
      <w:tr w:rsidR="00594D5B" w:rsidRPr="00DE2D55" w:rsidTr="00594D5B">
        <w:trPr>
          <w:trHeight w:val="30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1.3.1</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94D5B" w:rsidRPr="00DE2D55" w:rsidRDefault="00594D5B" w:rsidP="00FE560B">
            <w:pPr>
              <w:tabs>
                <w:tab w:val="left" w:pos="0"/>
              </w:tabs>
              <w:spacing w:line="240" w:lineRule="auto"/>
              <w:jc w:val="both"/>
            </w:pPr>
            <w:r w:rsidRPr="00DE2D55">
              <w:t>Capacitação da equipe gestora</w:t>
            </w:r>
          </w:p>
        </w:tc>
        <w:tc>
          <w:tcPr>
            <w:tcW w:w="349" w:type="pct"/>
            <w:tcBorders>
              <w:top w:val="single" w:sz="4" w:space="0" w:color="auto"/>
              <w:left w:val="nil"/>
              <w:bottom w:val="single" w:sz="4" w:space="0" w:color="auto"/>
              <w:right w:val="single" w:sz="4" w:space="0" w:color="auto"/>
            </w:tcBorders>
            <w:shd w:val="clear" w:color="auto" w:fill="auto"/>
            <w:hideMark/>
          </w:tcPr>
          <w:p w:rsidR="00594D5B" w:rsidRPr="00DE2D55" w:rsidRDefault="00594D5B" w:rsidP="00FE560B">
            <w:pPr>
              <w:tabs>
                <w:tab w:val="left" w:pos="0"/>
              </w:tabs>
              <w:spacing w:line="240" w:lineRule="auto"/>
              <w:jc w:val="both"/>
            </w:pPr>
            <w:r w:rsidRPr="00DE2D55">
              <w:t>40</w:t>
            </w:r>
          </w:p>
        </w:tc>
        <w:tc>
          <w:tcPr>
            <w:tcW w:w="870" w:type="pct"/>
            <w:tcBorders>
              <w:top w:val="single" w:sz="4" w:space="0" w:color="000000"/>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80.000,00 </w:t>
            </w:r>
          </w:p>
        </w:tc>
      </w:tr>
      <w:tr w:rsidR="00594D5B" w:rsidRPr="00DE2D55" w:rsidTr="00594D5B">
        <w:trPr>
          <w:trHeight w:val="30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1.3.1</w:t>
            </w:r>
          </w:p>
        </w:tc>
        <w:tc>
          <w:tcPr>
            <w:tcW w:w="1948"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Visita técnica a outros entes da federação</w:t>
            </w:r>
          </w:p>
        </w:tc>
        <w:tc>
          <w:tcPr>
            <w:tcW w:w="349"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10</w:t>
            </w:r>
          </w:p>
        </w:tc>
        <w:tc>
          <w:tcPr>
            <w:tcW w:w="870"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20.000,00 </w:t>
            </w:r>
          </w:p>
        </w:tc>
      </w:tr>
      <w:tr w:rsidR="00594D5B" w:rsidRPr="00DE2D55" w:rsidTr="00594D5B">
        <w:trPr>
          <w:trHeight w:val="300"/>
        </w:trPr>
        <w:tc>
          <w:tcPr>
            <w:tcW w:w="813" w:type="pct"/>
            <w:tcBorders>
              <w:top w:val="nil"/>
              <w:left w:val="single" w:sz="8" w:space="0" w:color="auto"/>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pPr>
            <w:r w:rsidRPr="00DE2D55">
              <w:t> </w:t>
            </w:r>
          </w:p>
        </w:tc>
        <w:tc>
          <w:tcPr>
            <w:tcW w:w="1948"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color w:val="0000FF"/>
              </w:rPr>
            </w:pPr>
            <w:r w:rsidRPr="00DE2D55">
              <w:rPr>
                <w:b/>
                <w:bCs/>
                <w:color w:val="0000FF"/>
              </w:rPr>
              <w:t>SERVIÇOS DE CONSULTORIA</w:t>
            </w:r>
          </w:p>
        </w:tc>
        <w:tc>
          <w:tcPr>
            <w:tcW w:w="349"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870"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1020" w:type="pct"/>
            <w:tcBorders>
              <w:top w:val="nil"/>
              <w:left w:val="single" w:sz="4" w:space="0" w:color="000000"/>
              <w:bottom w:val="single" w:sz="4" w:space="0" w:color="000000"/>
              <w:right w:val="single" w:sz="8" w:space="0" w:color="auto"/>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xml:space="preserve"> R$       6.400.000,00 </w:t>
            </w:r>
          </w:p>
        </w:tc>
      </w:tr>
      <w:tr w:rsidR="00594D5B" w:rsidRPr="00DE2D55" w:rsidTr="00594D5B">
        <w:trPr>
          <w:trHeight w:val="300"/>
        </w:trPr>
        <w:tc>
          <w:tcPr>
            <w:tcW w:w="813" w:type="pct"/>
            <w:tcBorders>
              <w:top w:val="nil"/>
              <w:left w:val="single" w:sz="8" w:space="0" w:color="auto"/>
              <w:bottom w:val="single" w:sz="4" w:space="0" w:color="000000"/>
              <w:right w:val="single" w:sz="4" w:space="0" w:color="000000"/>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SubP</w:t>
            </w:r>
          </w:p>
        </w:tc>
        <w:tc>
          <w:tcPr>
            <w:tcW w:w="1948" w:type="pct"/>
            <w:tcBorders>
              <w:top w:val="nil"/>
              <w:left w:val="nil"/>
              <w:bottom w:val="nil"/>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ÁREA</w:t>
            </w:r>
          </w:p>
        </w:tc>
        <w:tc>
          <w:tcPr>
            <w:tcW w:w="349" w:type="pct"/>
            <w:tcBorders>
              <w:top w:val="nil"/>
              <w:left w:val="single" w:sz="4" w:space="0" w:color="000000"/>
              <w:bottom w:val="nil"/>
              <w:right w:val="single" w:sz="4" w:space="0" w:color="000000"/>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QT</w:t>
            </w:r>
          </w:p>
        </w:tc>
        <w:tc>
          <w:tcPr>
            <w:tcW w:w="870" w:type="pct"/>
            <w:tcBorders>
              <w:top w:val="nil"/>
              <w:left w:val="nil"/>
              <w:bottom w:val="nil"/>
              <w:right w:val="nil"/>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VALOR UNIT. (R$)</w:t>
            </w:r>
          </w:p>
        </w:tc>
        <w:tc>
          <w:tcPr>
            <w:tcW w:w="1020" w:type="pct"/>
            <w:tcBorders>
              <w:top w:val="nil"/>
              <w:left w:val="single" w:sz="4" w:space="0" w:color="000000"/>
              <w:bottom w:val="single" w:sz="4" w:space="0" w:color="000000"/>
              <w:right w:val="single" w:sz="8" w:space="0" w:color="auto"/>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 xml:space="preserve">VALOR TOTAL (R$) </w:t>
            </w:r>
          </w:p>
        </w:tc>
      </w:tr>
      <w:tr w:rsidR="00594D5B" w:rsidRPr="00DE2D55" w:rsidTr="00594D5B">
        <w:trPr>
          <w:trHeight w:val="51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1.3.1</w:t>
            </w:r>
          </w:p>
        </w:tc>
        <w:tc>
          <w:tcPr>
            <w:tcW w:w="1948" w:type="pct"/>
            <w:tcBorders>
              <w:top w:val="single" w:sz="4" w:space="0" w:color="000000"/>
              <w:left w:val="nil"/>
              <w:bottom w:val="single" w:sz="4" w:space="0" w:color="000000"/>
              <w:right w:val="single" w:sz="4" w:space="0" w:color="000000"/>
            </w:tcBorders>
            <w:shd w:val="clear" w:color="auto" w:fill="auto"/>
            <w:vAlign w:val="center"/>
            <w:hideMark/>
          </w:tcPr>
          <w:p w:rsidR="00594D5B" w:rsidRPr="00DE2D55" w:rsidRDefault="00594D5B" w:rsidP="00FE560B">
            <w:pPr>
              <w:tabs>
                <w:tab w:val="left" w:pos="0"/>
              </w:tabs>
              <w:spacing w:line="240" w:lineRule="auto"/>
              <w:jc w:val="both"/>
            </w:pPr>
            <w:r w:rsidRPr="00DE2D55">
              <w:t>Mapeamento de Competências e Conhecimentos em 03 Secretarias;</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1</w:t>
            </w:r>
          </w:p>
        </w:tc>
        <w:tc>
          <w:tcPr>
            <w:tcW w:w="870" w:type="pct"/>
            <w:tcBorders>
              <w:top w:val="single" w:sz="4" w:space="0" w:color="000000"/>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2.900.000,00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2.900.000,00 </w:t>
            </w:r>
          </w:p>
        </w:tc>
      </w:tr>
      <w:tr w:rsidR="00594D5B" w:rsidRPr="00DE2D55" w:rsidTr="00594D5B">
        <w:trPr>
          <w:trHeight w:val="153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1.3.1</w:t>
            </w:r>
          </w:p>
        </w:tc>
        <w:tc>
          <w:tcPr>
            <w:tcW w:w="1948" w:type="pct"/>
            <w:tcBorders>
              <w:top w:val="nil"/>
              <w:left w:val="nil"/>
              <w:bottom w:val="single" w:sz="4" w:space="0" w:color="auto"/>
              <w:right w:val="single" w:sz="4" w:space="0" w:color="auto"/>
            </w:tcBorders>
            <w:shd w:val="clear" w:color="auto" w:fill="auto"/>
            <w:vAlign w:val="center"/>
            <w:hideMark/>
          </w:tcPr>
          <w:p w:rsidR="00594D5B" w:rsidRPr="00DE2D55" w:rsidRDefault="00594D5B" w:rsidP="00FE560B">
            <w:pPr>
              <w:tabs>
                <w:tab w:val="left" w:pos="0"/>
              </w:tabs>
              <w:spacing w:line="240" w:lineRule="auto"/>
              <w:jc w:val="both"/>
            </w:pPr>
            <w:r w:rsidRPr="00DE2D55">
              <w:t>Implantação das Trilhas de Aprendizagem, envolvendo dimensionamento da força de trabalho, definição de normas e política de mobilidade, identificação de perfis dos servidores e banco de talentos, em 03 Secretarias</w:t>
            </w:r>
          </w:p>
        </w:tc>
        <w:tc>
          <w:tcPr>
            <w:tcW w:w="349" w:type="pct"/>
            <w:tcBorders>
              <w:top w:val="nil"/>
              <w:left w:val="nil"/>
              <w:bottom w:val="single" w:sz="4" w:space="0" w:color="auto"/>
              <w:right w:val="single" w:sz="4"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1</w:t>
            </w:r>
          </w:p>
        </w:tc>
        <w:tc>
          <w:tcPr>
            <w:tcW w:w="870"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2.000.000,00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2.000.000,00 </w:t>
            </w:r>
          </w:p>
        </w:tc>
      </w:tr>
      <w:tr w:rsidR="00594D5B" w:rsidRPr="00DE2D55" w:rsidTr="00594D5B">
        <w:trPr>
          <w:trHeight w:val="30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1.3.1</w:t>
            </w:r>
          </w:p>
        </w:tc>
        <w:tc>
          <w:tcPr>
            <w:tcW w:w="1948" w:type="pct"/>
            <w:tcBorders>
              <w:top w:val="nil"/>
              <w:left w:val="nil"/>
              <w:bottom w:val="single" w:sz="4" w:space="0" w:color="auto"/>
              <w:right w:val="single" w:sz="4" w:space="0" w:color="auto"/>
            </w:tcBorders>
            <w:shd w:val="clear" w:color="auto" w:fill="auto"/>
            <w:vAlign w:val="center"/>
            <w:hideMark/>
          </w:tcPr>
          <w:p w:rsidR="00594D5B" w:rsidRPr="00DE2D55" w:rsidRDefault="00594D5B" w:rsidP="00FE560B">
            <w:pPr>
              <w:tabs>
                <w:tab w:val="left" w:pos="0"/>
              </w:tabs>
              <w:spacing w:line="240" w:lineRule="auto"/>
              <w:jc w:val="both"/>
            </w:pPr>
            <w:r w:rsidRPr="00DE2D55">
              <w:t>Formação   Pós-Graduada</w:t>
            </w:r>
          </w:p>
        </w:tc>
        <w:tc>
          <w:tcPr>
            <w:tcW w:w="349" w:type="pct"/>
            <w:tcBorders>
              <w:top w:val="nil"/>
              <w:left w:val="nil"/>
              <w:bottom w:val="single" w:sz="4" w:space="0" w:color="auto"/>
              <w:right w:val="single" w:sz="4"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50</w:t>
            </w:r>
          </w:p>
        </w:tc>
        <w:tc>
          <w:tcPr>
            <w:tcW w:w="870"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30.000,00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1.500.000,00 </w:t>
            </w:r>
          </w:p>
        </w:tc>
      </w:tr>
      <w:tr w:rsidR="00594D5B" w:rsidRPr="00DE2D55" w:rsidTr="00594D5B">
        <w:trPr>
          <w:trHeight w:val="300"/>
        </w:trPr>
        <w:tc>
          <w:tcPr>
            <w:tcW w:w="813" w:type="pct"/>
            <w:tcBorders>
              <w:top w:val="nil"/>
              <w:left w:val="single" w:sz="8" w:space="0" w:color="auto"/>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pPr>
            <w:r w:rsidRPr="00DE2D55">
              <w:t> </w:t>
            </w:r>
          </w:p>
        </w:tc>
        <w:tc>
          <w:tcPr>
            <w:tcW w:w="1948"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color w:val="0000FF"/>
              </w:rPr>
            </w:pPr>
            <w:r w:rsidRPr="00DE2D55">
              <w:rPr>
                <w:b/>
                <w:bCs/>
                <w:color w:val="0000FF"/>
              </w:rPr>
              <w:t>BENS</w:t>
            </w:r>
          </w:p>
        </w:tc>
        <w:tc>
          <w:tcPr>
            <w:tcW w:w="349"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870" w:type="pct"/>
            <w:tcBorders>
              <w:top w:val="nil"/>
              <w:left w:val="nil"/>
              <w:bottom w:val="single" w:sz="4" w:space="0" w:color="000000"/>
              <w:right w:val="nil"/>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w:t>
            </w:r>
          </w:p>
        </w:tc>
        <w:tc>
          <w:tcPr>
            <w:tcW w:w="1020" w:type="pct"/>
            <w:tcBorders>
              <w:top w:val="nil"/>
              <w:left w:val="single" w:sz="4" w:space="0" w:color="000000"/>
              <w:bottom w:val="single" w:sz="4" w:space="0" w:color="000000"/>
              <w:right w:val="single" w:sz="8" w:space="0" w:color="auto"/>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 xml:space="preserve"> R$       4.010.000,00 </w:t>
            </w:r>
          </w:p>
        </w:tc>
      </w:tr>
      <w:tr w:rsidR="00594D5B" w:rsidRPr="00DE2D55" w:rsidTr="00594D5B">
        <w:trPr>
          <w:trHeight w:val="300"/>
        </w:trPr>
        <w:tc>
          <w:tcPr>
            <w:tcW w:w="813" w:type="pct"/>
            <w:tcBorders>
              <w:top w:val="nil"/>
              <w:left w:val="single" w:sz="8" w:space="0" w:color="auto"/>
              <w:bottom w:val="single" w:sz="4" w:space="0" w:color="000000"/>
              <w:right w:val="single" w:sz="4" w:space="0" w:color="000000"/>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SubP</w:t>
            </w:r>
          </w:p>
        </w:tc>
        <w:tc>
          <w:tcPr>
            <w:tcW w:w="1948" w:type="pct"/>
            <w:tcBorders>
              <w:top w:val="nil"/>
              <w:left w:val="nil"/>
              <w:bottom w:val="single" w:sz="4" w:space="0" w:color="000000"/>
              <w:right w:val="single" w:sz="4" w:space="0" w:color="000000"/>
            </w:tcBorders>
            <w:shd w:val="clear" w:color="00CCFF" w:fill="D9D9D9"/>
            <w:noWrap/>
            <w:vAlign w:val="center"/>
            <w:hideMark/>
          </w:tcPr>
          <w:p w:rsidR="00594D5B" w:rsidRPr="00DE2D55" w:rsidRDefault="00594D5B" w:rsidP="00FE560B">
            <w:pPr>
              <w:tabs>
                <w:tab w:val="left" w:pos="0"/>
              </w:tabs>
              <w:spacing w:line="240" w:lineRule="auto"/>
              <w:jc w:val="both"/>
              <w:rPr>
                <w:b/>
                <w:bCs/>
              </w:rPr>
            </w:pPr>
            <w:r w:rsidRPr="00DE2D55">
              <w:rPr>
                <w:b/>
                <w:bCs/>
              </w:rPr>
              <w:t>ESPECIFICAÇÃO TÉCNICA</w:t>
            </w:r>
          </w:p>
        </w:tc>
        <w:tc>
          <w:tcPr>
            <w:tcW w:w="349" w:type="pct"/>
            <w:tcBorders>
              <w:top w:val="nil"/>
              <w:left w:val="nil"/>
              <w:bottom w:val="nil"/>
              <w:right w:val="single" w:sz="4" w:space="0" w:color="000000"/>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 xml:space="preserve">QT </w:t>
            </w:r>
          </w:p>
        </w:tc>
        <w:tc>
          <w:tcPr>
            <w:tcW w:w="870" w:type="pct"/>
            <w:tcBorders>
              <w:top w:val="nil"/>
              <w:left w:val="nil"/>
              <w:bottom w:val="nil"/>
              <w:right w:val="nil"/>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VALOR UNIT. (R$)</w:t>
            </w:r>
          </w:p>
        </w:tc>
        <w:tc>
          <w:tcPr>
            <w:tcW w:w="1020" w:type="pct"/>
            <w:tcBorders>
              <w:top w:val="nil"/>
              <w:left w:val="single" w:sz="4" w:space="0" w:color="000000"/>
              <w:bottom w:val="single" w:sz="4" w:space="0" w:color="000000"/>
              <w:right w:val="single" w:sz="8" w:space="0" w:color="auto"/>
            </w:tcBorders>
            <w:shd w:val="clear" w:color="00CCFF" w:fill="D9D9D9"/>
            <w:vAlign w:val="center"/>
            <w:hideMark/>
          </w:tcPr>
          <w:p w:rsidR="00594D5B" w:rsidRPr="00DE2D55" w:rsidRDefault="00594D5B" w:rsidP="00FE560B">
            <w:pPr>
              <w:tabs>
                <w:tab w:val="left" w:pos="0"/>
              </w:tabs>
              <w:spacing w:line="240" w:lineRule="auto"/>
              <w:jc w:val="both"/>
              <w:rPr>
                <w:b/>
                <w:bCs/>
              </w:rPr>
            </w:pPr>
            <w:r w:rsidRPr="00DE2D55">
              <w:rPr>
                <w:b/>
                <w:bCs/>
              </w:rPr>
              <w:t xml:space="preserve">VALOR TOTAL (R$) </w:t>
            </w:r>
          </w:p>
        </w:tc>
      </w:tr>
      <w:tr w:rsidR="00594D5B" w:rsidRPr="00DE2D55" w:rsidTr="00594D5B">
        <w:trPr>
          <w:trHeight w:val="765"/>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1.3.2</w:t>
            </w:r>
          </w:p>
        </w:tc>
        <w:tc>
          <w:tcPr>
            <w:tcW w:w="1948" w:type="pct"/>
            <w:tcBorders>
              <w:top w:val="nil"/>
              <w:left w:val="nil"/>
              <w:bottom w:val="single" w:sz="4" w:space="0" w:color="auto"/>
              <w:right w:val="single" w:sz="4" w:space="0" w:color="auto"/>
            </w:tcBorders>
            <w:shd w:val="clear" w:color="auto" w:fill="auto"/>
            <w:vAlign w:val="center"/>
            <w:hideMark/>
          </w:tcPr>
          <w:p w:rsidR="00594D5B" w:rsidRPr="00DE2D55" w:rsidRDefault="00594D5B" w:rsidP="00FE560B">
            <w:pPr>
              <w:tabs>
                <w:tab w:val="left" w:pos="0"/>
              </w:tabs>
              <w:spacing w:line="240" w:lineRule="auto"/>
              <w:jc w:val="both"/>
            </w:pPr>
            <w:r w:rsidRPr="00DE2D55">
              <w:t>Consultoria, montagem de espaço multimeio, aquisição de equipamentos e capacitação de equipe gestora do produto</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1</w:t>
            </w:r>
          </w:p>
        </w:tc>
        <w:tc>
          <w:tcPr>
            <w:tcW w:w="870" w:type="pct"/>
            <w:tcBorders>
              <w:top w:val="single" w:sz="4" w:space="0" w:color="000000"/>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400.000,00 </w:t>
            </w:r>
          </w:p>
        </w:tc>
        <w:tc>
          <w:tcPr>
            <w:tcW w:w="1020" w:type="pct"/>
            <w:tcBorders>
              <w:top w:val="nil"/>
              <w:left w:val="nil"/>
              <w:bottom w:val="single" w:sz="4" w:space="0" w:color="000000"/>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400.000,00 </w:t>
            </w:r>
          </w:p>
        </w:tc>
      </w:tr>
      <w:tr w:rsidR="00594D5B" w:rsidRPr="00DE2D55" w:rsidTr="00594D5B">
        <w:trPr>
          <w:trHeight w:val="510"/>
        </w:trPr>
        <w:tc>
          <w:tcPr>
            <w:tcW w:w="813" w:type="pct"/>
            <w:tcBorders>
              <w:top w:val="nil"/>
              <w:left w:val="single" w:sz="8" w:space="0" w:color="auto"/>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1.3.3</w:t>
            </w:r>
          </w:p>
        </w:tc>
        <w:tc>
          <w:tcPr>
            <w:tcW w:w="1948" w:type="pct"/>
            <w:tcBorders>
              <w:top w:val="nil"/>
              <w:left w:val="nil"/>
              <w:bottom w:val="single" w:sz="4" w:space="0" w:color="auto"/>
              <w:right w:val="single" w:sz="4" w:space="0" w:color="auto"/>
            </w:tcBorders>
            <w:shd w:val="clear" w:color="auto" w:fill="auto"/>
            <w:vAlign w:val="center"/>
            <w:hideMark/>
          </w:tcPr>
          <w:p w:rsidR="00594D5B" w:rsidRPr="00DE2D55" w:rsidRDefault="00594D5B" w:rsidP="00FE560B">
            <w:pPr>
              <w:tabs>
                <w:tab w:val="left" w:pos="0"/>
              </w:tabs>
              <w:spacing w:line="240" w:lineRule="auto"/>
              <w:jc w:val="both"/>
            </w:pPr>
            <w:r w:rsidRPr="00DE2D55">
              <w:t>Consultoria especializada para desenvolvimento de Software e customização do SIARHES</w:t>
            </w:r>
          </w:p>
        </w:tc>
        <w:tc>
          <w:tcPr>
            <w:tcW w:w="349" w:type="pct"/>
            <w:tcBorders>
              <w:top w:val="nil"/>
              <w:left w:val="nil"/>
              <w:bottom w:val="single" w:sz="4" w:space="0" w:color="auto"/>
              <w:right w:val="single" w:sz="4"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1</w:t>
            </w:r>
          </w:p>
        </w:tc>
        <w:tc>
          <w:tcPr>
            <w:tcW w:w="870" w:type="pct"/>
            <w:tcBorders>
              <w:top w:val="nil"/>
              <w:left w:val="nil"/>
              <w:bottom w:val="single" w:sz="4" w:space="0" w:color="000000"/>
              <w:right w:val="single" w:sz="4" w:space="0" w:color="000000"/>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3.610.000,00 </w:t>
            </w:r>
          </w:p>
        </w:tc>
        <w:tc>
          <w:tcPr>
            <w:tcW w:w="1020" w:type="pct"/>
            <w:tcBorders>
              <w:top w:val="nil"/>
              <w:left w:val="nil"/>
              <w:bottom w:val="nil"/>
              <w:right w:val="single" w:sz="8" w:space="0" w:color="auto"/>
            </w:tcBorders>
            <w:shd w:val="clear" w:color="auto" w:fill="auto"/>
            <w:noWrap/>
            <w:vAlign w:val="center"/>
            <w:hideMark/>
          </w:tcPr>
          <w:p w:rsidR="00594D5B" w:rsidRPr="00DE2D55" w:rsidRDefault="00594D5B" w:rsidP="00FE560B">
            <w:pPr>
              <w:tabs>
                <w:tab w:val="left" w:pos="0"/>
              </w:tabs>
              <w:spacing w:line="240" w:lineRule="auto"/>
              <w:jc w:val="both"/>
            </w:pPr>
            <w:r w:rsidRPr="00DE2D55">
              <w:t xml:space="preserve"> R$       3.610.000,00 </w:t>
            </w:r>
          </w:p>
        </w:tc>
      </w:tr>
      <w:tr w:rsidR="00594D5B" w:rsidRPr="00DE2D55" w:rsidTr="00594D5B">
        <w:trPr>
          <w:trHeight w:val="315"/>
        </w:trPr>
        <w:tc>
          <w:tcPr>
            <w:tcW w:w="3980" w:type="pct"/>
            <w:gridSpan w:val="4"/>
            <w:tcBorders>
              <w:top w:val="nil"/>
              <w:left w:val="single" w:sz="8" w:space="0" w:color="auto"/>
              <w:bottom w:val="single" w:sz="8" w:space="0" w:color="auto"/>
              <w:right w:val="single" w:sz="4" w:space="0" w:color="000000"/>
            </w:tcBorders>
            <w:shd w:val="clear" w:color="auto" w:fill="auto"/>
            <w:vAlign w:val="center"/>
            <w:hideMark/>
          </w:tcPr>
          <w:p w:rsidR="00594D5B" w:rsidRPr="00DE2D55" w:rsidRDefault="00594D5B" w:rsidP="00FE560B">
            <w:pPr>
              <w:tabs>
                <w:tab w:val="left" w:pos="0"/>
              </w:tabs>
              <w:spacing w:line="240" w:lineRule="auto"/>
              <w:jc w:val="both"/>
              <w:rPr>
                <w:b/>
                <w:bCs/>
              </w:rPr>
            </w:pPr>
            <w:r w:rsidRPr="00DE2D55">
              <w:rPr>
                <w:b/>
                <w:bCs/>
              </w:rPr>
              <w:t>Total do projeto</w:t>
            </w:r>
          </w:p>
        </w:tc>
        <w:tc>
          <w:tcPr>
            <w:tcW w:w="1020" w:type="pct"/>
            <w:tcBorders>
              <w:top w:val="single" w:sz="4" w:space="0" w:color="auto"/>
              <w:left w:val="nil"/>
              <w:bottom w:val="single" w:sz="8"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color w:val="000000"/>
              </w:rPr>
            </w:pPr>
            <w:r w:rsidRPr="00DE2D55">
              <w:rPr>
                <w:color w:val="000000"/>
              </w:rPr>
              <w:t xml:space="preserve"> R$   10.510.000,00 </w:t>
            </w:r>
          </w:p>
        </w:tc>
      </w:tr>
      <w:tr w:rsidR="00594D5B" w:rsidRPr="00DE2D55" w:rsidTr="00594D5B">
        <w:trPr>
          <w:trHeight w:val="255"/>
        </w:trPr>
        <w:tc>
          <w:tcPr>
            <w:tcW w:w="5000" w:type="pct"/>
            <w:gridSpan w:val="5"/>
            <w:tcBorders>
              <w:top w:val="single" w:sz="4" w:space="0" w:color="auto"/>
            </w:tcBorders>
            <w:shd w:val="clear" w:color="auto" w:fill="auto"/>
            <w:noWrap/>
            <w:vAlign w:val="center"/>
          </w:tcPr>
          <w:p w:rsidR="00594D5B" w:rsidRPr="00DE2D55" w:rsidRDefault="00594D5B" w:rsidP="00FE560B">
            <w:pPr>
              <w:tabs>
                <w:tab w:val="left" w:pos="0"/>
              </w:tabs>
              <w:spacing w:line="240" w:lineRule="auto"/>
              <w:jc w:val="both"/>
              <w:rPr>
                <w:rFonts w:cs="Calibri"/>
                <w:i/>
              </w:rPr>
            </w:pPr>
          </w:p>
        </w:tc>
      </w:tr>
    </w:tbl>
    <w:p w:rsidR="00594D5B" w:rsidRPr="00DE2D55" w:rsidRDefault="00594D5B" w:rsidP="00A249C9">
      <w:pPr>
        <w:pStyle w:val="PargrafodaLista"/>
        <w:numPr>
          <w:ilvl w:val="1"/>
          <w:numId w:val="96"/>
        </w:numPr>
        <w:pBdr>
          <w:bottom w:val="single" w:sz="12" w:space="1" w:color="auto"/>
        </w:pBdr>
        <w:tabs>
          <w:tab w:val="left" w:pos="0"/>
          <w:tab w:val="left" w:pos="426"/>
        </w:tabs>
        <w:jc w:val="both"/>
        <w:outlineLvl w:val="2"/>
        <w:rPr>
          <w:rFonts w:cs="Calibri"/>
          <w:b/>
        </w:rPr>
      </w:pPr>
      <w:bookmarkStart w:id="44" w:name="_Toc517282070"/>
      <w:r w:rsidRPr="00DE2D55">
        <w:rPr>
          <w:rFonts w:cs="Calibri"/>
          <w:b/>
        </w:rPr>
        <w:t>CRONOGRAMA PROPOSTO DO</w:t>
      </w:r>
      <w:r w:rsidR="000F67FC">
        <w:rPr>
          <w:rFonts w:cs="Calibri"/>
          <w:b/>
        </w:rPr>
        <w:t>S</w:t>
      </w:r>
      <w:r w:rsidRPr="00DE2D55">
        <w:rPr>
          <w:rFonts w:cs="Calibri"/>
          <w:b/>
        </w:rPr>
        <w:t xml:space="preserve"> SUBPRODUTO</w:t>
      </w:r>
      <w:r w:rsidR="000F67FC">
        <w:rPr>
          <w:rFonts w:cs="Calibri"/>
          <w:b/>
        </w:rPr>
        <w:t>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082"/>
        <w:gridCol w:w="391"/>
        <w:gridCol w:w="406"/>
        <w:gridCol w:w="393"/>
        <w:gridCol w:w="395"/>
        <w:gridCol w:w="393"/>
        <w:gridCol w:w="393"/>
        <w:gridCol w:w="393"/>
        <w:gridCol w:w="393"/>
        <w:gridCol w:w="393"/>
        <w:gridCol w:w="371"/>
      </w:tblGrid>
      <w:tr w:rsidR="00594D5B" w:rsidRPr="00DE2D55" w:rsidTr="00594D5B">
        <w:trPr>
          <w:trHeight w:val="305"/>
        </w:trPr>
        <w:tc>
          <w:tcPr>
            <w:tcW w:w="393" w:type="pct"/>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SubP.</w:t>
            </w:r>
          </w:p>
        </w:tc>
        <w:tc>
          <w:tcPr>
            <w:tcW w:w="2601" w:type="pct"/>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Item de Custo</w:t>
            </w:r>
          </w:p>
        </w:tc>
        <w:tc>
          <w:tcPr>
            <w:tcW w:w="408" w:type="pct"/>
            <w:gridSpan w:val="2"/>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Ano 1</w:t>
            </w:r>
          </w:p>
        </w:tc>
        <w:tc>
          <w:tcPr>
            <w:tcW w:w="403" w:type="pct"/>
            <w:gridSpan w:val="2"/>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Ano 2</w:t>
            </w:r>
          </w:p>
        </w:tc>
        <w:tc>
          <w:tcPr>
            <w:tcW w:w="402" w:type="pct"/>
            <w:gridSpan w:val="2"/>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Ano 3</w:t>
            </w:r>
          </w:p>
        </w:tc>
        <w:tc>
          <w:tcPr>
            <w:tcW w:w="402" w:type="pct"/>
            <w:gridSpan w:val="2"/>
            <w:tcBorders>
              <w:top w:val="single" w:sz="4" w:space="0" w:color="auto"/>
              <w:left w:val="single" w:sz="4" w:space="0" w:color="auto"/>
              <w:bottom w:val="single" w:sz="4" w:space="0" w:color="auto"/>
              <w:right w:val="single" w:sz="4" w:space="0" w:color="auto"/>
            </w:tcBorders>
            <w:shd w:val="clear" w:color="auto" w:fill="C5E0B3"/>
            <w:hideMark/>
          </w:tcPr>
          <w:p w:rsidR="00594D5B" w:rsidRPr="00DE2D55" w:rsidRDefault="00594D5B" w:rsidP="00FE560B">
            <w:pPr>
              <w:tabs>
                <w:tab w:val="left" w:pos="0"/>
              </w:tabs>
              <w:spacing w:line="240" w:lineRule="auto"/>
              <w:jc w:val="both"/>
              <w:rPr>
                <w:rFonts w:cs="Calibri"/>
                <w:b/>
              </w:rPr>
            </w:pPr>
            <w:r w:rsidRPr="00DE2D55">
              <w:rPr>
                <w:rFonts w:cs="Calibri"/>
                <w:b/>
              </w:rPr>
              <w:t>Ano 4</w:t>
            </w:r>
          </w:p>
        </w:tc>
        <w:tc>
          <w:tcPr>
            <w:tcW w:w="391" w:type="pct"/>
            <w:gridSpan w:val="2"/>
            <w:tcBorders>
              <w:top w:val="single" w:sz="4" w:space="0" w:color="auto"/>
              <w:left w:val="single" w:sz="4" w:space="0" w:color="auto"/>
              <w:bottom w:val="single" w:sz="4" w:space="0" w:color="auto"/>
              <w:right w:val="single" w:sz="4" w:space="0" w:color="auto"/>
            </w:tcBorders>
            <w:shd w:val="clear" w:color="auto" w:fill="C5E0B3"/>
          </w:tcPr>
          <w:p w:rsidR="00594D5B" w:rsidRPr="00DE2D55" w:rsidRDefault="00594D5B" w:rsidP="00FE560B">
            <w:pPr>
              <w:tabs>
                <w:tab w:val="left" w:pos="0"/>
              </w:tabs>
              <w:spacing w:line="240" w:lineRule="auto"/>
              <w:jc w:val="both"/>
              <w:rPr>
                <w:rFonts w:cs="Calibri"/>
                <w:b/>
              </w:rPr>
            </w:pPr>
            <w:r w:rsidRPr="00DE2D55">
              <w:rPr>
                <w:rFonts w:cs="Calibri"/>
                <w:b/>
              </w:rPr>
              <w:t>Ano 5</w:t>
            </w: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1.3.1</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Capacitação da equipe gestora</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highlight w:val="yellow"/>
              </w:rPr>
            </w:pP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highlight w:val="yellow"/>
              </w:rPr>
            </w:pP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highlight w:val="yellow"/>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1.3.1</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Visita técnica a outros entes da federação</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1.3.1</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Mapeamento de Competências e Conhecimentos em 03 Secretarias;</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1.3.1</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Implantação das Trilhas de Aprendizagem, envolvendo dimensionamento da força de trabalho, definição de normas e política de mobilidade, identificação de perfis dos servidores e banco de talentos, em 03 Secretarias</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highlight w:val="yellow"/>
              </w:rPr>
            </w:pP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highlight w:val="yellow"/>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1.3.1</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Formação   Pós-Graduada</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highlight w:val="yellow"/>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1.3.2</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Consultoria, montagem de espaço multimeio, aquisição de equipamentos e capacitação de equipe gestora do produto</w:t>
            </w:r>
          </w:p>
        </w:tc>
        <w:tc>
          <w:tcPr>
            <w:tcW w:w="200"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p>
        </w:tc>
        <w:tc>
          <w:tcPr>
            <w:tcW w:w="201"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spacing w:line="240" w:lineRule="auto"/>
              <w:jc w:val="both"/>
              <w:rPr>
                <w:rFonts w:cs="Calibri"/>
              </w:rPr>
            </w:pP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r>
      <w:tr w:rsidR="00594D5B" w:rsidRPr="00DE2D55" w:rsidTr="00594D5B">
        <w:tc>
          <w:tcPr>
            <w:tcW w:w="393"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rPr>
                <w:rFonts w:cs="Calibri"/>
              </w:rPr>
              <w:t>1.3.3</w:t>
            </w:r>
          </w:p>
        </w:tc>
        <w:tc>
          <w:tcPr>
            <w:tcW w:w="2601" w:type="pct"/>
            <w:tcBorders>
              <w:top w:val="single" w:sz="4" w:space="0" w:color="auto"/>
              <w:left w:val="single" w:sz="4" w:space="0" w:color="auto"/>
              <w:bottom w:val="single" w:sz="4" w:space="0" w:color="auto"/>
              <w:right w:val="single" w:sz="4" w:space="0" w:color="auto"/>
            </w:tcBorders>
            <w:shd w:val="clear" w:color="auto" w:fill="auto"/>
          </w:tcPr>
          <w:p w:rsidR="00594D5B" w:rsidRPr="00DE2D55" w:rsidRDefault="00594D5B" w:rsidP="00FE560B">
            <w:pPr>
              <w:tabs>
                <w:tab w:val="left" w:pos="0"/>
              </w:tabs>
              <w:spacing w:line="240" w:lineRule="auto"/>
              <w:jc w:val="both"/>
              <w:rPr>
                <w:rFonts w:cs="Calibri"/>
              </w:rPr>
            </w:pPr>
            <w:r w:rsidRPr="00DE2D55">
              <w:t>Consultoria especializada para desenvolvimento de Software e customização do SIARHES</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201"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r w:rsidRPr="00DE2D55">
              <w:rPr>
                <w:rFonts w:cs="Calibri"/>
              </w:rPr>
              <w:t>X</w:t>
            </w:r>
          </w:p>
        </w:tc>
        <w:tc>
          <w:tcPr>
            <w:tcW w:w="190" w:type="pct"/>
            <w:tcBorders>
              <w:top w:val="single" w:sz="4" w:space="0" w:color="auto"/>
              <w:left w:val="single" w:sz="4" w:space="0" w:color="auto"/>
              <w:bottom w:val="single" w:sz="4" w:space="0" w:color="auto"/>
              <w:right w:val="single" w:sz="4" w:space="0" w:color="auto"/>
            </w:tcBorders>
            <w:vAlign w:val="center"/>
          </w:tcPr>
          <w:p w:rsidR="00594D5B" w:rsidRPr="00DE2D55" w:rsidRDefault="00594D5B" w:rsidP="00FE560B">
            <w:pPr>
              <w:tabs>
                <w:tab w:val="left" w:pos="0"/>
              </w:tabs>
              <w:spacing w:line="240" w:lineRule="auto"/>
              <w:jc w:val="both"/>
              <w:rPr>
                <w:rFonts w:cs="Calibri"/>
              </w:rPr>
            </w:pPr>
          </w:p>
        </w:tc>
      </w:tr>
    </w:tbl>
    <w:p w:rsidR="00594D5B" w:rsidRPr="00DE2D55" w:rsidRDefault="00594D5B" w:rsidP="00FE560B">
      <w:pPr>
        <w:pStyle w:val="Ttulo2"/>
        <w:tabs>
          <w:tab w:val="left" w:pos="0"/>
        </w:tabs>
        <w:spacing w:before="0"/>
        <w:jc w:val="both"/>
        <w:rPr>
          <w:rFonts w:asciiTheme="minorHAnsi" w:eastAsia="Times New Roman" w:hAnsiTheme="minorHAnsi" w:cs="Arial"/>
          <w:sz w:val="22"/>
          <w:szCs w:val="22"/>
          <w:lang w:eastAsia="pt-BR"/>
        </w:rPr>
      </w:pPr>
      <w:bookmarkStart w:id="45" w:name="_Toc517282071"/>
      <w:r w:rsidRPr="00DE2D55">
        <w:rPr>
          <w:rFonts w:asciiTheme="minorHAnsi" w:eastAsia="Times New Roman" w:hAnsiTheme="minorHAnsi" w:cs="Arial"/>
          <w:sz w:val="22"/>
          <w:szCs w:val="22"/>
          <w:lang w:eastAsia="pt-BR"/>
        </w:rPr>
        <w:t>PRODUTO 4. MODELO DE GESTÃO DE TECNOLOGIA DA INFORMAÇÃO E COMUNICAÇÃO ATUALIZADO</w:t>
      </w:r>
      <w:bookmarkEnd w:id="45"/>
    </w:p>
    <w:p w:rsidR="00594D5B" w:rsidRPr="00DE2D55" w:rsidRDefault="00594D5B" w:rsidP="00FE560B">
      <w:pPr>
        <w:tabs>
          <w:tab w:val="left" w:pos="0"/>
        </w:tabs>
        <w:jc w:val="both"/>
        <w:rPr>
          <w:rFonts w:cs="Calibri"/>
          <w:b/>
          <w:bCs/>
          <w:smallCaps/>
        </w:rPr>
      </w:pP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7"/>
      </w:tblGrid>
      <w:tr w:rsidR="00594D5B" w:rsidRPr="00DE2D55" w:rsidTr="00476BC6">
        <w:trPr>
          <w:trHeight w:val="2968"/>
        </w:trPr>
        <w:tc>
          <w:tcPr>
            <w:tcW w:w="9817" w:type="dxa"/>
            <w:tcBorders>
              <w:top w:val="single" w:sz="4" w:space="0" w:color="auto"/>
              <w:left w:val="nil"/>
              <w:bottom w:val="single" w:sz="4" w:space="0" w:color="auto"/>
              <w:right w:val="nil"/>
            </w:tcBorders>
            <w:shd w:val="clear" w:color="auto" w:fill="D5DCE4"/>
          </w:tcPr>
          <w:p w:rsidR="00594D5B" w:rsidRPr="00DE2D55" w:rsidRDefault="00594D5B" w:rsidP="00FE560B">
            <w:pPr>
              <w:shd w:val="clear" w:color="auto" w:fill="D5DCE4"/>
              <w:tabs>
                <w:tab w:val="left" w:pos="0"/>
              </w:tabs>
              <w:jc w:val="both"/>
              <w:rPr>
                <w:rFonts w:cs="Calibri"/>
                <w:b/>
                <w:bCs/>
              </w:rPr>
            </w:pPr>
            <w:r w:rsidRPr="00DE2D55">
              <w:rPr>
                <w:rFonts w:cs="Calibri"/>
                <w:b/>
                <w:bCs/>
              </w:rPr>
              <w:t xml:space="preserve">NOTA TÉCNICA </w:t>
            </w:r>
          </w:p>
          <w:p w:rsidR="00594D5B" w:rsidRPr="00DE2D55" w:rsidRDefault="00594D5B" w:rsidP="00FE560B">
            <w:pPr>
              <w:tabs>
                <w:tab w:val="left" w:pos="0"/>
              </w:tabs>
              <w:jc w:val="both"/>
              <w:rPr>
                <w:rFonts w:cs="Calibri"/>
                <w:b/>
                <w:bCs/>
              </w:rPr>
            </w:pPr>
            <w:r w:rsidRPr="00DE2D55">
              <w:rPr>
                <w:rFonts w:cs="Calibri"/>
                <w:b/>
                <w:bCs/>
              </w:rPr>
              <w:t>P 1.4 Modelo de Gestão de Tecnologia da Informação e Comunicação (TIC) atualizado.</w:t>
            </w:r>
          </w:p>
          <w:p w:rsidR="00594D5B" w:rsidRPr="00DE2D55" w:rsidRDefault="00594D5B" w:rsidP="00FE560B">
            <w:pPr>
              <w:tabs>
                <w:tab w:val="left" w:pos="0"/>
              </w:tabs>
              <w:jc w:val="both"/>
              <w:rPr>
                <w:rFonts w:cs="Calibri"/>
                <w:b/>
                <w:bCs/>
              </w:rPr>
            </w:pPr>
            <w:r w:rsidRPr="00DE2D55">
              <w:rPr>
                <w:rFonts w:cs="Calibri"/>
                <w:b/>
                <w:bCs/>
              </w:rPr>
              <w:t>1.4.1 Implantação do Plano Diretor de Tecnologia da Informação.</w:t>
            </w:r>
          </w:p>
          <w:p w:rsidR="00594D5B" w:rsidRPr="00DE2D55" w:rsidRDefault="00594D5B" w:rsidP="00FE560B">
            <w:pPr>
              <w:tabs>
                <w:tab w:val="left" w:pos="0"/>
              </w:tabs>
              <w:jc w:val="both"/>
              <w:rPr>
                <w:rFonts w:cs="Calibri"/>
                <w:b/>
                <w:bCs/>
              </w:rPr>
            </w:pPr>
            <w:r w:rsidRPr="00DE2D55">
              <w:rPr>
                <w:rFonts w:cs="Calibri"/>
                <w:b/>
                <w:bCs/>
              </w:rPr>
              <w:t>1.4.2 Ampliação da infraestrutura de hardware e software, incluindo a expansão de: rede de telecomunicação, servidores, segurança e capacitação. Ambiente para computação na nuvem.</w:t>
            </w:r>
          </w:p>
        </w:tc>
      </w:tr>
    </w:tbl>
    <w:p w:rsidR="00594D5B" w:rsidRPr="00DE2D55" w:rsidRDefault="00594D5B"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594D5B" w:rsidRPr="00DE2D55" w:rsidRDefault="00C67EAE" w:rsidP="00FE560B">
      <w:pPr>
        <w:tabs>
          <w:tab w:val="left" w:pos="0"/>
        </w:tabs>
        <w:ind w:left="360"/>
        <w:jc w:val="both"/>
        <w:rPr>
          <w:rFonts w:cs="Calibri"/>
          <w:b/>
        </w:rPr>
      </w:pPr>
      <w:r>
        <w:rPr>
          <w:rFonts w:cs="Calibri"/>
          <w:b/>
        </w:rPr>
        <w:t>Autores</w:t>
      </w:r>
      <w:r w:rsidR="00594D5B" w:rsidRPr="00DE2D55">
        <w:rPr>
          <w:rFonts w:cs="Calibri"/>
          <w:b/>
        </w:rPr>
        <w:t xml:space="preserve">: </w:t>
      </w:r>
    </w:p>
    <w:tbl>
      <w:tblPr>
        <w:tblW w:w="5000" w:type="pct"/>
        <w:tblLook w:val="04A0" w:firstRow="1" w:lastRow="0" w:firstColumn="1" w:lastColumn="0" w:noHBand="0" w:noVBand="1"/>
      </w:tblPr>
      <w:tblGrid>
        <w:gridCol w:w="2383"/>
        <w:gridCol w:w="2553"/>
        <w:gridCol w:w="2050"/>
        <w:gridCol w:w="2784"/>
      </w:tblGrid>
      <w:tr w:rsidR="00594D5B" w:rsidRPr="00DE2D55" w:rsidTr="00C67EAE">
        <w:trPr>
          <w:trHeight w:val="253"/>
        </w:trPr>
        <w:tc>
          <w:tcPr>
            <w:tcW w:w="1220"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Nomes</w:t>
            </w:r>
          </w:p>
        </w:tc>
        <w:tc>
          <w:tcPr>
            <w:tcW w:w="1307"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b/>
              </w:rPr>
              <w:t>Cargos</w:t>
            </w:r>
          </w:p>
        </w:tc>
        <w:tc>
          <w:tcPr>
            <w:tcW w:w="1049"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rPr>
                <w:b/>
              </w:rPr>
            </w:pPr>
            <w:r w:rsidRPr="00DE2D55">
              <w:rPr>
                <w:rFonts w:cs="Calibri"/>
                <w:b/>
              </w:rPr>
              <w:t>Área</w:t>
            </w:r>
          </w:p>
        </w:tc>
        <w:tc>
          <w:tcPr>
            <w:tcW w:w="1425" w:type="pct"/>
            <w:tcBorders>
              <w:top w:val="single" w:sz="4" w:space="0" w:color="00000A"/>
              <w:left w:val="single" w:sz="4" w:space="0" w:color="00000A"/>
              <w:bottom w:val="single" w:sz="4" w:space="0" w:color="00000A"/>
              <w:right w:val="single" w:sz="4" w:space="0" w:color="00000A"/>
            </w:tcBorders>
            <w:shd w:val="clear" w:color="auto" w:fill="FFFFFF"/>
            <w:hideMark/>
          </w:tcPr>
          <w:p w:rsidR="00594D5B" w:rsidRPr="00DE2D55" w:rsidRDefault="00594D5B" w:rsidP="00FE560B">
            <w:pPr>
              <w:tabs>
                <w:tab w:val="left" w:pos="0"/>
              </w:tabs>
              <w:spacing w:line="240" w:lineRule="auto"/>
              <w:jc w:val="both"/>
            </w:pPr>
            <w:r w:rsidRPr="00DE2D55">
              <w:rPr>
                <w:b/>
              </w:rPr>
              <w:t>E-mail</w:t>
            </w:r>
          </w:p>
        </w:tc>
      </w:tr>
      <w:tr w:rsidR="00594D5B"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jc w:val="both"/>
            </w:pPr>
            <w:r w:rsidRPr="00DE2D55">
              <w:t xml:space="preserve">Edesio Medeiros Assad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jc w:val="both"/>
            </w:pPr>
            <w:r w:rsidRPr="00DE2D55">
              <w:t>Gerente de TI</w:t>
            </w:r>
          </w:p>
        </w:tc>
        <w:tc>
          <w:tcPr>
            <w:tcW w:w="1049"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ind w:left="21" w:hanging="21"/>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E04BB7" w:rsidP="00FE560B">
            <w:pPr>
              <w:tabs>
                <w:tab w:val="left" w:pos="0"/>
              </w:tabs>
              <w:spacing w:line="240" w:lineRule="auto"/>
              <w:jc w:val="both"/>
            </w:pPr>
            <w:hyperlink r:id="rId13" w:history="1">
              <w:r w:rsidR="00C67EAE" w:rsidRPr="00964930">
                <w:rPr>
                  <w:rStyle w:val="Hyperlink"/>
                </w:rPr>
                <w:t>eassad@sefaz.es.gov.br</w:t>
              </w:r>
            </w:hyperlink>
          </w:p>
        </w:tc>
      </w:tr>
      <w:tr w:rsidR="00594D5B"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jc w:val="both"/>
            </w:pPr>
            <w:r w:rsidRPr="00DE2D55">
              <w:t xml:space="preserve">Moacir Canella Bortoloso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751F2C" w:rsidP="00FE560B">
            <w:pPr>
              <w:tabs>
                <w:tab w:val="left" w:pos="0"/>
              </w:tabs>
              <w:spacing w:line="240" w:lineRule="auto"/>
              <w:jc w:val="both"/>
            </w:pPr>
            <w:r>
              <w:t>Subgerente de Infraestrutura Tecnológica</w:t>
            </w:r>
          </w:p>
        </w:tc>
        <w:tc>
          <w:tcPr>
            <w:tcW w:w="1049"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ind w:left="21" w:hanging="21"/>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C67EAE" w:rsidP="00FE560B">
            <w:pPr>
              <w:tabs>
                <w:tab w:val="left" w:pos="0"/>
              </w:tabs>
              <w:spacing w:line="240" w:lineRule="auto"/>
              <w:jc w:val="both"/>
            </w:pPr>
            <w:r>
              <w:t>mbortoloso@sefaz.es.gov.br</w:t>
            </w:r>
          </w:p>
        </w:tc>
      </w:tr>
      <w:tr w:rsidR="00594D5B"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jc w:val="both"/>
            </w:pPr>
            <w:r w:rsidRPr="00DE2D55">
              <w:t xml:space="preserve">Jhenny Kelly do Carmo Dias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C67EAE" w:rsidP="00FE560B">
            <w:pPr>
              <w:tabs>
                <w:tab w:val="left" w:pos="0"/>
              </w:tabs>
              <w:spacing w:line="240" w:lineRule="auto"/>
              <w:jc w:val="both"/>
            </w:pPr>
            <w:r>
              <w:t xml:space="preserve">Supervisores </w:t>
            </w:r>
          </w:p>
        </w:tc>
        <w:tc>
          <w:tcPr>
            <w:tcW w:w="1049"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594D5B" w:rsidP="00FE560B">
            <w:pPr>
              <w:tabs>
                <w:tab w:val="left" w:pos="0"/>
              </w:tabs>
              <w:spacing w:line="240" w:lineRule="auto"/>
              <w:ind w:left="21" w:hanging="21"/>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594D5B" w:rsidRPr="00DE2D55" w:rsidRDefault="00C67EAE" w:rsidP="00FE560B">
            <w:pPr>
              <w:tabs>
                <w:tab w:val="left" w:pos="0"/>
              </w:tabs>
              <w:spacing w:line="240" w:lineRule="auto"/>
              <w:jc w:val="both"/>
            </w:pPr>
            <w:r>
              <w:t>jkdias@sefaz.es.gov.br</w:t>
            </w:r>
          </w:p>
        </w:tc>
      </w:tr>
      <w:tr w:rsidR="00594D5B"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 xml:space="preserve">Pablo Bozzi Flores Oliveira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C67EAE" w:rsidP="00FE560B">
            <w:pPr>
              <w:tabs>
                <w:tab w:val="left" w:pos="0"/>
              </w:tabs>
              <w:spacing w:line="240" w:lineRule="auto"/>
              <w:jc w:val="both"/>
            </w:pPr>
            <w:r>
              <w:t>Supervisores</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594D5B" w:rsidP="00FE560B">
            <w:pPr>
              <w:tabs>
                <w:tab w:val="left" w:pos="0"/>
              </w:tabs>
              <w:spacing w:line="240" w:lineRule="auto"/>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594D5B" w:rsidRPr="00DE2D55" w:rsidRDefault="00C67EAE" w:rsidP="00FE560B">
            <w:pPr>
              <w:tabs>
                <w:tab w:val="left" w:pos="0"/>
              </w:tabs>
              <w:spacing w:line="240" w:lineRule="auto"/>
              <w:jc w:val="both"/>
            </w:pPr>
            <w:r>
              <w:t>poliveira@sefaz.es.gov.br</w:t>
            </w:r>
          </w:p>
        </w:tc>
      </w:tr>
      <w:tr w:rsidR="00C67EAE"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C67EAE">
              <w:t xml:space="preserve">Fabio Feltmann Sampaio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67EAE" w:rsidRDefault="00C67EAE" w:rsidP="00FE560B">
            <w:pPr>
              <w:tabs>
                <w:tab w:val="left" w:pos="0"/>
              </w:tabs>
              <w:spacing w:line="240" w:lineRule="auto"/>
              <w:jc w:val="both"/>
            </w:pPr>
            <w:r>
              <w:t xml:space="preserve">Supervisores </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fsampaio@sefaz.es.gov.br</w:t>
            </w:r>
          </w:p>
        </w:tc>
      </w:tr>
      <w:tr w:rsidR="00C67EAE" w:rsidRPr="00DE2D55" w:rsidTr="00C065FA">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C67EAE">
              <w:t xml:space="preserve">Daniella Siqueira Torres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67EAE" w:rsidRDefault="00C67EAE" w:rsidP="00FE560B">
            <w:pPr>
              <w:tabs>
                <w:tab w:val="left" w:pos="0"/>
              </w:tabs>
              <w:spacing w:line="240" w:lineRule="auto"/>
              <w:jc w:val="both"/>
            </w:pPr>
            <w:r>
              <w:t xml:space="preserve">Supervisores </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dstorres@sefaz.es.gov.br</w:t>
            </w:r>
          </w:p>
        </w:tc>
      </w:tr>
      <w:tr w:rsidR="00C67EAE"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C67EAE">
              <w:t>Diego Rossi Sant'Ana</w:t>
            </w:r>
          </w:p>
        </w:tc>
        <w:tc>
          <w:tcPr>
            <w:tcW w:w="1307" w:type="pct"/>
            <w:tcBorders>
              <w:top w:val="single" w:sz="4" w:space="0" w:color="00000A"/>
              <w:left w:val="single" w:sz="4" w:space="0" w:color="00000A"/>
              <w:bottom w:val="single" w:sz="4" w:space="0" w:color="00000A"/>
              <w:right w:val="single" w:sz="4" w:space="0" w:color="00000A"/>
            </w:tcBorders>
            <w:shd w:val="clear" w:color="auto" w:fill="FFFFFF"/>
          </w:tcPr>
          <w:p w:rsidR="00C67EAE" w:rsidRDefault="00C67EAE" w:rsidP="00FE560B">
            <w:pPr>
              <w:tabs>
                <w:tab w:val="left" w:pos="0"/>
              </w:tabs>
              <w:spacing w:line="240" w:lineRule="auto"/>
              <w:jc w:val="both"/>
            </w:pPr>
            <w:r>
              <w:t>Supervisores</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drossi@sefaz.es.gov.br</w:t>
            </w:r>
          </w:p>
        </w:tc>
      </w:tr>
      <w:tr w:rsidR="00C67EAE"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DE2D55">
              <w:t xml:space="preserve">Rosana Senna Paz Moure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Subgerente de Desenvolvimento de Sistemas</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rsenna@sefaz.es.gov.br</w:t>
            </w:r>
          </w:p>
        </w:tc>
      </w:tr>
      <w:tr w:rsidR="00C67EAE" w:rsidRPr="00DE2D55" w:rsidTr="00C67EAE">
        <w:trPr>
          <w:trHeight w:val="70"/>
        </w:trPr>
        <w:tc>
          <w:tcPr>
            <w:tcW w:w="1220"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DE2D55">
              <w:t xml:space="preserve">Benedito Marcos Norberto </w:t>
            </w:r>
          </w:p>
        </w:tc>
        <w:tc>
          <w:tcPr>
            <w:tcW w:w="1307"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Subgerente de Sistemas Corporativos</w:t>
            </w:r>
          </w:p>
        </w:tc>
        <w:tc>
          <w:tcPr>
            <w:tcW w:w="1049"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rsidRPr="00DE2D55">
              <w:t>GETEC</w:t>
            </w:r>
          </w:p>
        </w:tc>
        <w:tc>
          <w:tcPr>
            <w:tcW w:w="1425" w:type="pct"/>
            <w:tcBorders>
              <w:top w:val="single" w:sz="4" w:space="0" w:color="00000A"/>
              <w:left w:val="single" w:sz="4" w:space="0" w:color="00000A"/>
              <w:bottom w:val="single" w:sz="4" w:space="0" w:color="00000A"/>
              <w:right w:val="single" w:sz="4" w:space="0" w:color="00000A"/>
            </w:tcBorders>
            <w:shd w:val="clear" w:color="auto" w:fill="FFFFFF"/>
          </w:tcPr>
          <w:p w:rsidR="00C67EAE" w:rsidRPr="00DE2D55" w:rsidRDefault="00C67EAE" w:rsidP="00FE560B">
            <w:pPr>
              <w:tabs>
                <w:tab w:val="left" w:pos="0"/>
              </w:tabs>
              <w:spacing w:line="240" w:lineRule="auto"/>
              <w:jc w:val="both"/>
            </w:pPr>
            <w:r>
              <w:t>bnorberto@sefaz.es.gov.br</w:t>
            </w:r>
          </w:p>
        </w:tc>
      </w:tr>
    </w:tbl>
    <w:p w:rsidR="00594D5B" w:rsidRPr="00DE2D55" w:rsidRDefault="00594D5B"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476BC6" w:rsidRPr="00DE2D55" w:rsidRDefault="00476BC6" w:rsidP="00FE560B">
      <w:pPr>
        <w:tabs>
          <w:tab w:val="left" w:pos="0"/>
        </w:tabs>
        <w:jc w:val="both"/>
        <w:rPr>
          <w:rFonts w:cs="Calibri"/>
          <w:color w:val="FF0000"/>
        </w:rPr>
      </w:pPr>
    </w:p>
    <w:p w:rsidR="00594D5B" w:rsidRPr="00DE2D55" w:rsidRDefault="00594D5B" w:rsidP="00FE560B">
      <w:pPr>
        <w:tabs>
          <w:tab w:val="left" w:pos="0"/>
        </w:tabs>
        <w:jc w:val="both"/>
        <w:rPr>
          <w:rFonts w:cs="Calibri"/>
        </w:rPr>
      </w:pPr>
    </w:p>
    <w:p w:rsidR="00594D5B" w:rsidRPr="00DE2D55" w:rsidRDefault="00594D5B" w:rsidP="00FE560B">
      <w:pPr>
        <w:tabs>
          <w:tab w:val="left" w:pos="0"/>
          <w:tab w:val="left" w:pos="668"/>
          <w:tab w:val="center" w:pos="4252"/>
        </w:tabs>
        <w:jc w:val="center"/>
        <w:rPr>
          <w:rFonts w:cs="Calibri"/>
          <w:b/>
        </w:rPr>
      </w:pPr>
      <w:r w:rsidRPr="00DE2D55">
        <w:rPr>
          <w:rFonts w:cs="Calibri"/>
          <w:b/>
        </w:rPr>
        <w:t>Vitória/ES - Junho de 2018</w:t>
      </w:r>
      <w:r w:rsidRPr="00DE2D55">
        <w:rPr>
          <w:rFonts w:cs="Calibri"/>
          <w:b/>
        </w:rPr>
        <w:br w:type="page"/>
      </w:r>
    </w:p>
    <w:p w:rsidR="00594D5B" w:rsidRPr="00C521DC"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46" w:name="_Toc517282072"/>
      <w:r w:rsidRPr="00C521DC">
        <w:rPr>
          <w:rFonts w:cs="Calibri"/>
          <w:b/>
        </w:rPr>
        <w:t>ANTECEDENTES DO PRODUTO</w:t>
      </w:r>
      <w:bookmarkEnd w:id="46"/>
    </w:p>
    <w:p w:rsidR="00476BC6" w:rsidRPr="00DE2D55" w:rsidRDefault="00476BC6" w:rsidP="00FE560B">
      <w:pPr>
        <w:tabs>
          <w:tab w:val="left" w:pos="0"/>
        </w:tabs>
        <w:jc w:val="both"/>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lang w:eastAsia="pt-BR"/>
        </w:rPr>
        <w:t xml:space="preserve">Por meio da execução do programa </w:t>
      </w:r>
      <w:r w:rsidRPr="00DE2D55">
        <w:rPr>
          <w:rFonts w:eastAsia="Times New Roman" w:cs="Arial"/>
          <w:b/>
          <w:lang w:eastAsia="pt-BR"/>
        </w:rPr>
        <w:t>PROFISCO I,</w:t>
      </w:r>
      <w:r w:rsidRPr="00DE2D55">
        <w:rPr>
          <w:rFonts w:eastAsia="Times New Roman" w:cs="Arial"/>
          <w:lang w:eastAsia="pt-BR"/>
        </w:rPr>
        <w:t xml:space="preserve"> encerrado recentemente, a Secretaria da Fazenda do Espírito Santo adequou a infraestrutura de Tecnologia da Informação, dando ênfase a aquisição de equipamentos servidores, solução de armazenamento de dados, licença de sistema gerenciador de banco de dados, nova solução de BI (Business Intelligence) e outras soluções de sistema de informações para as áreas de negócios, com destaque para o sistema financeiro, sistema de gestão de receitas e sistema de gerenciamento eletrônico de documentos. </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Default="00594D5B" w:rsidP="00FE560B">
      <w:pPr>
        <w:shd w:val="clear" w:color="auto" w:fill="FFFFFF"/>
        <w:tabs>
          <w:tab w:val="left" w:pos="0"/>
        </w:tabs>
        <w:ind w:right="227"/>
        <w:jc w:val="both"/>
        <w:rPr>
          <w:rFonts w:eastAsia="Times New Roman" w:cs="Arial"/>
        </w:rPr>
      </w:pPr>
      <w:r w:rsidRPr="00DE2D55">
        <w:rPr>
          <w:rFonts w:eastAsia="Times New Roman" w:cs="Arial"/>
          <w:lang w:eastAsia="pt-BR"/>
        </w:rPr>
        <w:t xml:space="preserve">Mas especificamente, podemos mencionar o </w:t>
      </w:r>
      <w:r w:rsidRPr="00DE2D55">
        <w:rPr>
          <w:rFonts w:eastAsia="Times New Roman" w:cs="Arial"/>
        </w:rPr>
        <w:t xml:space="preserve">projeto Rede Wireless que tem como função principal contemplar o uso da tecnologia Wireless de alta velocidade para todas as unidades externas e o prédio sede, ampliando a usabilidade e chegando as estações </w:t>
      </w:r>
      <w:r w:rsidRPr="00DE2D55">
        <w:rPr>
          <w:rFonts w:eastAsia="Times New Roman" w:cs="Arial"/>
          <w:i/>
          <w:iCs/>
        </w:rPr>
        <w:t xml:space="preserve">de trabalho </w:t>
      </w:r>
      <w:r w:rsidRPr="00DE2D55">
        <w:rPr>
          <w:rFonts w:eastAsia="Times New Roman" w:cs="Arial"/>
        </w:rPr>
        <w:t xml:space="preserve">sem a necessidade de passagem de cabos de rede, provendo assim vantagem em mobilidade dos equipamentos, redução de custos em novas instalações e manutenções. </w:t>
      </w:r>
    </w:p>
    <w:p w:rsidR="00C67EAE" w:rsidRPr="00DE2D55" w:rsidRDefault="00C67EAE" w:rsidP="00FE560B">
      <w:pPr>
        <w:shd w:val="clear" w:color="auto" w:fill="FFFFFF"/>
        <w:tabs>
          <w:tab w:val="left" w:pos="0"/>
        </w:tabs>
        <w:ind w:right="227"/>
        <w:jc w:val="both"/>
        <w:rPr>
          <w:rFonts w:cs="Arial"/>
        </w:rPr>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lang w:eastAsia="pt-BR"/>
        </w:rPr>
        <w:t xml:space="preserve">Com a implementação da nova rede wireless, estaremos disponibilizando uma forma simples de acesso para equipamentos pessoais na área corporativa, utilizando o conceito de </w:t>
      </w:r>
      <w:r w:rsidRPr="00DE2D55">
        <w:rPr>
          <w:rFonts w:eastAsia="Times New Roman" w:cs="Arial"/>
          <w:b/>
          <w:bCs/>
          <w:i/>
          <w:iCs/>
          <w:lang w:eastAsia="pt-BR"/>
        </w:rPr>
        <w:t>BYOD</w:t>
      </w:r>
      <w:r w:rsidRPr="00DE2D55">
        <w:rPr>
          <w:rFonts w:eastAsia="Times New Roman" w:cs="Arial"/>
          <w:lang w:eastAsia="pt-BR"/>
        </w:rPr>
        <w:t xml:space="preserve"> </w:t>
      </w:r>
      <w:r w:rsidRPr="00DE2D55">
        <w:rPr>
          <w:rFonts w:eastAsia="Times New Roman" w:cs="Arial"/>
          <w:b/>
          <w:bCs/>
          <w:lang w:eastAsia="pt-BR"/>
        </w:rPr>
        <w:t>(</w:t>
      </w:r>
      <w:r w:rsidRPr="00DE2D55">
        <w:rPr>
          <w:rFonts w:eastAsia="Times New Roman" w:cs="Arial"/>
          <w:b/>
          <w:bCs/>
          <w:i/>
          <w:iCs/>
          <w:lang w:eastAsia="pt-BR"/>
        </w:rPr>
        <w:t>Bring Your Own Device</w:t>
      </w:r>
      <w:r w:rsidRPr="00DE2D55">
        <w:rPr>
          <w:rFonts w:eastAsia="Times New Roman" w:cs="Arial"/>
          <w:b/>
          <w:bCs/>
          <w:lang w:eastAsia="pt-BR"/>
        </w:rPr>
        <w:t xml:space="preserve">), </w:t>
      </w:r>
      <w:r w:rsidRPr="00DE2D55">
        <w:rPr>
          <w:rFonts w:eastAsia="Times New Roman" w:cs="Arial"/>
          <w:lang w:eastAsia="pt-BR"/>
        </w:rPr>
        <w:t xml:space="preserve">do inglês traga o seu dispositivo, que é uma facilidade implementada nas corporações, permitindo inclusive que os servidores possam trazer seus equipamentos pessoais e utilizarem a rede wireless corporativa para acesso a internet, mantendo a segurança com autenticação via </w:t>
      </w:r>
      <w:r w:rsidRPr="00DE2D55">
        <w:rPr>
          <w:rFonts w:eastAsia="Times New Roman" w:cs="Arial"/>
          <w:b/>
          <w:bCs/>
          <w:i/>
          <w:iCs/>
          <w:lang w:eastAsia="pt-BR"/>
        </w:rPr>
        <w:t>single sign-on (autenticação uma única vez)</w:t>
      </w:r>
      <w:r w:rsidRPr="00DE2D55">
        <w:rPr>
          <w:rFonts w:eastAsia="Times New Roman" w:cs="Arial"/>
          <w:lang w:eastAsia="pt-BR"/>
        </w:rPr>
        <w:t>. Essa solução visa trazer maior transparência e auditoria no acesso dos dispositivos pessoais dentro das instalações Fazendárias e aderência as regras do Marco Civil da Internet.</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Cs/>
          <w:lang w:eastAsia="pt-BR"/>
        </w:rPr>
        <w:t>Com recurso interno, foi l</w:t>
      </w:r>
      <w:r w:rsidRPr="00DE2D55">
        <w:rPr>
          <w:rFonts w:eastAsia="Times New Roman" w:cs="Arial"/>
          <w:lang w:eastAsia="pt-BR"/>
        </w:rPr>
        <w:t xml:space="preserve">ançado no final do ano de 2016 </w:t>
      </w:r>
      <w:r w:rsidRPr="00DE2D55">
        <w:rPr>
          <w:rFonts w:eastAsia="Times New Roman" w:cs="Arial"/>
          <w:bCs/>
          <w:lang w:eastAsia="pt-BR"/>
        </w:rPr>
        <w:t>o cadastro eletrônico</w:t>
      </w:r>
      <w:r w:rsidRPr="00DE2D55">
        <w:rPr>
          <w:rFonts w:eastAsia="Times New Roman" w:cs="Arial"/>
          <w:lang w:eastAsia="pt-BR"/>
        </w:rPr>
        <w:t>. O</w:t>
      </w:r>
      <w:r w:rsidRPr="00DE2D55">
        <w:rPr>
          <w:rFonts w:eastAsia="Times New Roman" w:cs="Arial"/>
          <w:b/>
          <w:bCs/>
          <w:lang w:eastAsia="pt-BR"/>
        </w:rPr>
        <w:t xml:space="preserve"> Cad-e</w:t>
      </w:r>
      <w:r w:rsidRPr="00DE2D55">
        <w:rPr>
          <w:rFonts w:eastAsia="Times New Roman" w:cs="Arial"/>
          <w:lang w:eastAsia="pt-BR"/>
        </w:rPr>
        <w:t xml:space="preserve"> facilita o processo de abertura de empresas. Todos os procedimentos são realizados de forma eletrônica, reduzindo o tempo para liberação da inscrição estadual de 50 dias, em média, para até três dias. O projeto é da SEFAZ/ES em parceria com a JUCEES E RFB.</w:t>
      </w:r>
    </w:p>
    <w:p w:rsidR="00594D5B" w:rsidRPr="00DE2D55" w:rsidRDefault="00594D5B" w:rsidP="00FE560B">
      <w:pPr>
        <w:numPr>
          <w:ilvl w:val="0"/>
          <w:numId w:val="41"/>
        </w:numPr>
        <w:shd w:val="clear" w:color="auto" w:fill="FFFFFF"/>
        <w:tabs>
          <w:tab w:val="left" w:pos="0"/>
        </w:tabs>
        <w:ind w:right="227"/>
        <w:jc w:val="both"/>
        <w:rPr>
          <w:rFonts w:eastAsia="Times New Roman" w:cs="Arial"/>
          <w:lang w:eastAsia="pt-BR"/>
        </w:rPr>
      </w:pPr>
      <w:r w:rsidRPr="00DE2D55">
        <w:rPr>
          <w:rFonts w:eastAsia="Times New Roman" w:cs="Arial"/>
          <w:lang w:eastAsia="pt-BR"/>
        </w:rPr>
        <w:t xml:space="preserve">O principal objetivo do </w:t>
      </w:r>
      <w:r w:rsidRPr="00DE2D55">
        <w:rPr>
          <w:rFonts w:eastAsia="Times New Roman" w:cs="Arial"/>
          <w:b/>
          <w:bCs/>
          <w:lang w:eastAsia="pt-BR"/>
        </w:rPr>
        <w:t>Cad-e</w:t>
      </w:r>
      <w:r w:rsidRPr="00DE2D55">
        <w:rPr>
          <w:rFonts w:eastAsia="Times New Roman" w:cs="Arial"/>
          <w:lang w:eastAsia="pt-BR"/>
        </w:rPr>
        <w:t xml:space="preserve"> é a simplificação no processo de abertura de empresas, sendo totalmente eletrônico, excluindo a utilização de papel e tornando-o mais fácil, rápido e com menor custo, inclusive para o contribuinte.</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lang w:eastAsia="pt-BR"/>
        </w:rPr>
        <w:t>Outro ponto importarte desenvolvido nos últimos anos consiste no Domicílio Tributário Eletrônico que veio para modernizar o processo administrativo fiscal, prevendo a possibilidade dos atos e termos processuais serem formalizados, tramitados, comunicados e transmitidos em formato digital, via web.</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LEI 7.000/2001</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Art. 136.</w:t>
      </w:r>
      <w:r w:rsidRPr="00DE2D55">
        <w:rPr>
          <w:rFonts w:eastAsia="Times New Roman" w:cs="Arial"/>
          <w:lang w:eastAsia="pt-BR"/>
        </w:rPr>
        <w:t xml:space="preserve">  As intimações previstas nesta lei serão feitas, alternativamente, por uma das seguintes formas.</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VI - por meio eletrônico, com prova de recebimento, mediante:</w:t>
      </w:r>
    </w:p>
    <w:p w:rsidR="00594D5B" w:rsidRPr="00DE2D55" w:rsidRDefault="00594D5B" w:rsidP="00FE560B">
      <w:pPr>
        <w:numPr>
          <w:ilvl w:val="1"/>
          <w:numId w:val="40"/>
        </w:num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envio ao domicílio tributário do sujeito passivo;</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 5.º</w:t>
      </w:r>
      <w:r w:rsidRPr="00DE2D55">
        <w:rPr>
          <w:rFonts w:eastAsia="Times New Roman" w:cs="Arial"/>
          <w:lang w:eastAsia="pt-BR"/>
        </w:rPr>
        <w:t xml:space="preserve"> Considera-se feita a intimação:</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VI - se por meio eletrônico, 10 (dez) dias, contados da data registrada:</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b/>
          <w:bCs/>
          <w:lang w:eastAsia="pt-BR"/>
        </w:rPr>
        <w:t>a) no comprovante de entrega no domicílio tributário do sujeito passivo;</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lang w:eastAsia="pt-BR"/>
        </w:rPr>
        <w:t xml:space="preserve">No mais, vale ressaltar ainda que nos últimos anos a SEFAZ vem fechando as agências físicas. No entanto, o Estado não deixou de prestar os serviços, eles passaram a ser suportado por </w:t>
      </w:r>
      <w:r w:rsidRPr="00DE2D55">
        <w:rPr>
          <w:rFonts w:eastAsia="Times New Roman" w:cs="Arial"/>
          <w:iCs/>
          <w:lang w:eastAsia="pt-BR"/>
        </w:rPr>
        <w:t>um número reduzido de servidores,</w:t>
      </w:r>
      <w:r w:rsidRPr="00DE2D55">
        <w:rPr>
          <w:rFonts w:eastAsia="Times New Roman" w:cs="Arial"/>
          <w:lang w:eastAsia="pt-BR"/>
        </w:rPr>
        <w:t xml:space="preserve"> apoiados pelos </w:t>
      </w:r>
      <w:r w:rsidRPr="00DE2D55">
        <w:rPr>
          <w:rFonts w:eastAsia="Times New Roman" w:cs="Arial"/>
          <w:iCs/>
          <w:lang w:eastAsia="pt-BR"/>
        </w:rPr>
        <w:t>sistemas tecnológicos, dentro das agências virtuais.</w:t>
      </w:r>
      <w:r w:rsidRPr="00DE2D55">
        <w:rPr>
          <w:rFonts w:eastAsia="Times New Roman" w:cs="Arial"/>
          <w:lang w:eastAsia="pt-BR"/>
        </w:rPr>
        <w:t xml:space="preserve"> Cada agência custava, em média, </w:t>
      </w:r>
      <w:r w:rsidRPr="00DE2D55">
        <w:rPr>
          <w:rFonts w:eastAsia="Times New Roman" w:cs="Arial"/>
          <w:b/>
          <w:bCs/>
          <w:iCs/>
          <w:lang w:eastAsia="pt-BR"/>
        </w:rPr>
        <w:t>2.000.000,00</w:t>
      </w:r>
      <w:r w:rsidRPr="00DE2D55">
        <w:rPr>
          <w:rFonts w:eastAsia="Times New Roman" w:cs="Arial"/>
          <w:bCs/>
          <w:iCs/>
          <w:lang w:eastAsia="pt-BR"/>
        </w:rPr>
        <w:t xml:space="preserve"> de reais por ano</w:t>
      </w:r>
      <w:r w:rsidRPr="00DE2D55">
        <w:rPr>
          <w:rFonts w:eastAsia="Times New Roman" w:cs="Arial"/>
          <w:lang w:eastAsia="pt-BR"/>
        </w:rPr>
        <w:t xml:space="preserve">, considerando recurso humano, aluguel, suprimentos, energia elétrica, água, links de comunicação, equipamentos, manutenção predial, material de expediente, deslocamentos e outros. </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47" w:name="_Toc517282073"/>
      <w:r w:rsidRPr="00DE2D55">
        <w:rPr>
          <w:rFonts w:cs="Calibri"/>
          <w:b/>
        </w:rPr>
        <w:t>DESCRIÇÃO DO PROBLEMA E SUAS EVIDÊNCIAS</w:t>
      </w:r>
      <w:bookmarkEnd w:id="47"/>
      <w:r w:rsidRPr="00DE2D55">
        <w:rPr>
          <w:rFonts w:cs="Calibri"/>
          <w:b/>
        </w:rPr>
        <w:t xml:space="preserve"> </w:t>
      </w:r>
    </w:p>
    <w:p w:rsidR="00476BC6" w:rsidRPr="00DE2D55" w:rsidRDefault="00476BC6" w:rsidP="00FE560B">
      <w:pPr>
        <w:tabs>
          <w:tab w:val="left" w:pos="0"/>
        </w:tabs>
        <w:jc w:val="both"/>
      </w:pPr>
    </w:p>
    <w:p w:rsidR="00594D5B" w:rsidRDefault="00594D5B" w:rsidP="00FE560B">
      <w:pPr>
        <w:tabs>
          <w:tab w:val="left" w:pos="0"/>
        </w:tabs>
        <w:jc w:val="both"/>
        <w:rPr>
          <w:lang w:eastAsia="pt-BR"/>
        </w:rPr>
      </w:pPr>
      <w:r w:rsidRPr="00DE2D55">
        <w:rPr>
          <w:lang w:eastAsia="pt-BR"/>
        </w:rPr>
        <w:t>Devido ao seu papel estratégico para a Administração Pública, as Fazendas Públicas devem</w:t>
      </w:r>
      <w:r w:rsidRPr="00DE2D55">
        <w:t xml:space="preserve"> e têm que </w:t>
      </w:r>
      <w:r w:rsidRPr="00DE2D55">
        <w:rPr>
          <w:lang w:eastAsia="pt-BR"/>
        </w:rPr>
        <w:t>buscar o controle das informações ligadas à arrecadação tributária.</w:t>
      </w:r>
      <w:r w:rsidRPr="00DE2D55">
        <w:t xml:space="preserve"> C</w:t>
      </w:r>
      <w:r w:rsidRPr="00DE2D55">
        <w:rPr>
          <w:lang w:eastAsia="pt-BR"/>
        </w:rPr>
        <w:t xml:space="preserve">onsequentemente, uma arrecadação tributária mais eficiente passa necessariamente por um controle mais rígido das informações. </w:t>
      </w:r>
    </w:p>
    <w:p w:rsidR="00C67EAE" w:rsidRPr="00DE2D55" w:rsidRDefault="00C67EAE" w:rsidP="00FE560B">
      <w:pPr>
        <w:tabs>
          <w:tab w:val="left" w:pos="0"/>
        </w:tabs>
        <w:jc w:val="both"/>
        <w:rPr>
          <w:lang w:eastAsia="pt-BR"/>
        </w:rPr>
      </w:pPr>
    </w:p>
    <w:p w:rsidR="00594D5B" w:rsidRDefault="00594D5B" w:rsidP="00FE560B">
      <w:pPr>
        <w:tabs>
          <w:tab w:val="left" w:pos="0"/>
        </w:tabs>
        <w:jc w:val="both"/>
        <w:rPr>
          <w:lang w:eastAsia="pt-BR"/>
        </w:rPr>
      </w:pPr>
      <w:r w:rsidRPr="00DE2D55">
        <w:rPr>
          <w:lang w:eastAsia="pt-BR"/>
        </w:rPr>
        <w:t xml:space="preserve">O uso de sistemas informatizados de controle da arrecadação tributária é hoje um paradigma inescapável devido ao grande volume de dados e a necessidade de cruzamentos desses (dados) objetivando realizar análises com agilidade, confiabilidade e eficiência. Gasta-se ainda certa quantidade de homens-horas na Gerência de Tecnologia da Informação da SEFAZ com a manutenção de sistemas legados (inoperante), haja vista a possibilidade/necessidade de uso de dados pretéritos. </w:t>
      </w:r>
    </w:p>
    <w:p w:rsidR="00C67EAE" w:rsidRPr="00DE2D55" w:rsidRDefault="00C67EAE" w:rsidP="00FE560B">
      <w:pPr>
        <w:tabs>
          <w:tab w:val="left" w:pos="0"/>
        </w:tabs>
        <w:jc w:val="both"/>
        <w:rPr>
          <w:lang w:eastAsia="pt-BR"/>
        </w:rPr>
      </w:pP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lang w:eastAsia="pt-BR"/>
        </w:rPr>
        <w:t xml:space="preserve">Registra-se que </w:t>
      </w:r>
      <w:r w:rsidRPr="00DE2D55">
        <w:rPr>
          <w:rFonts w:eastAsia="Times New Roman" w:cs="Arial"/>
          <w:lang w:eastAsia="pt-BR"/>
        </w:rPr>
        <w:t xml:space="preserve">a arrecadação tributária está saindo do papel para o digital. O volume de informações no </w:t>
      </w:r>
      <w:r w:rsidRPr="00DE2D55">
        <w:t>Sistema Público de Escrituração Digital (SPED)</w:t>
      </w:r>
      <w:r w:rsidRPr="00DE2D55">
        <w:rPr>
          <w:rFonts w:eastAsia="Times New Roman" w:cs="Arial"/>
          <w:lang w:eastAsia="pt-BR"/>
        </w:rPr>
        <w:t xml:space="preserve"> e/ou em outros sistemas, assim como os dados de contabilidade tendem a aumentar exponencialmente nos próximos anos. Para garantir a continuidade do negócio é necessário prever os investimentos em infraestrutura através da execução de um plano diretor de tecnologia da informação que leve em consideração o plano estratégico da SEFAZ, o crescimento das funcionalidades dos diversos sistemas, da volumetria de dados e o desempenho na execução das aplicações críticas da Secretaria da Fazenda.</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Times New Roman"/>
          <w:lang w:eastAsia="pt-BR"/>
        </w:rPr>
        <w:t xml:space="preserve">Nesse sentido, faz-se necessário uma infraestrutura permanentemente atualizada a fim de implantar novas tecnologias ou qualquer mudança nos processos e aplicações. Então, para cumprir com seu papel constitucional, e principalmente buscar de maneira racional e eficiente os recursos de que precisa, o Fisco deve utilizar cada vez </w:t>
      </w:r>
      <w:r w:rsidR="00C67EAE" w:rsidRPr="00DE2D55">
        <w:rPr>
          <w:rFonts w:eastAsia="Times New Roman" w:cs="Times New Roman"/>
          <w:lang w:eastAsia="pt-BR"/>
        </w:rPr>
        <w:t>mais ferramentas</w:t>
      </w:r>
      <w:r w:rsidRPr="00DE2D55">
        <w:rPr>
          <w:rFonts w:eastAsia="Times New Roman" w:cs="Times New Roman"/>
          <w:lang w:eastAsia="pt-BR"/>
        </w:rPr>
        <w:t xml:space="preserve"> e sistemas tecnológicos adequados.</w:t>
      </w:r>
    </w:p>
    <w:p w:rsidR="00594D5B" w:rsidRPr="00DE2D55" w:rsidRDefault="00594D5B" w:rsidP="00FE560B">
      <w:pPr>
        <w:pStyle w:val="SemEspaamento"/>
        <w:tabs>
          <w:tab w:val="left" w:pos="0"/>
        </w:tabs>
        <w:spacing w:line="360" w:lineRule="auto"/>
        <w:jc w:val="both"/>
        <w:rPr>
          <w:rFonts w:eastAsia="Times New Roman" w:cs="Arial"/>
        </w:rPr>
      </w:pPr>
    </w:p>
    <w:p w:rsidR="00594D5B" w:rsidRPr="00DE2D55" w:rsidRDefault="00594D5B" w:rsidP="00FE560B">
      <w:pPr>
        <w:pStyle w:val="SemEspaamento"/>
        <w:tabs>
          <w:tab w:val="left" w:pos="0"/>
        </w:tabs>
        <w:spacing w:line="360" w:lineRule="auto"/>
        <w:jc w:val="both"/>
      </w:pPr>
      <w:r w:rsidRPr="00DE2D55">
        <w:t>O SPED é uma solução tecnológica que oficializa os arquivos digitais das escriturações fiscal e contábil dos sistemas empresariais dentro de um formato específico e padronizado. A previsão de emissão e recebimentos destes documentos eletrônicos, no Estado do Espírito Santo, até o ano de 2020 está detalhada no quadro abaixo, ressaltando o quantitativo referente às notas fiscais modelo 55 e 65 que alcançarão o montante de um bilhão e trezentos milhões de unidades de notas.</w:t>
      </w:r>
    </w:p>
    <w:p w:rsidR="00594D5B" w:rsidRPr="00DE2D55" w:rsidRDefault="00594D5B" w:rsidP="00FE560B">
      <w:pPr>
        <w:tabs>
          <w:tab w:val="left" w:pos="0"/>
        </w:tabs>
        <w:jc w:val="both"/>
        <w:rPr>
          <w:lang w:eastAsia="pt-BR"/>
        </w:rPr>
      </w:pPr>
    </w:p>
    <w:p w:rsidR="00594D5B" w:rsidRPr="00DE2D55" w:rsidRDefault="00594D5B" w:rsidP="00FE560B">
      <w:pPr>
        <w:tabs>
          <w:tab w:val="left" w:pos="0"/>
          <w:tab w:val="left" w:pos="1155"/>
          <w:tab w:val="center" w:pos="4507"/>
        </w:tabs>
        <w:jc w:val="both"/>
        <w:rPr>
          <w:b/>
        </w:rPr>
      </w:pPr>
      <w:r w:rsidRPr="00DE2D55">
        <w:rPr>
          <w:b/>
        </w:rPr>
        <w:t>TABELA 1 - DOCUMENTOS FISCAIS ELETRÔNICOS (2017-2020)</w:t>
      </w:r>
    </w:p>
    <w:tbl>
      <w:tblPr>
        <w:tblW w:w="5000" w:type="pct"/>
        <w:tblLayout w:type="fixed"/>
        <w:tblCellMar>
          <w:left w:w="70" w:type="dxa"/>
          <w:right w:w="70" w:type="dxa"/>
        </w:tblCellMar>
        <w:tblLook w:val="04A0" w:firstRow="1" w:lastRow="0" w:firstColumn="1" w:lastColumn="0" w:noHBand="0" w:noVBand="1"/>
      </w:tblPr>
      <w:tblGrid>
        <w:gridCol w:w="3902"/>
        <w:gridCol w:w="1468"/>
        <w:gridCol w:w="1468"/>
        <w:gridCol w:w="1468"/>
        <w:gridCol w:w="1454"/>
      </w:tblGrid>
      <w:tr w:rsidR="00594D5B" w:rsidRPr="00DE2D55" w:rsidTr="00594D5B">
        <w:trPr>
          <w:trHeight w:val="275"/>
        </w:trPr>
        <w:tc>
          <w:tcPr>
            <w:tcW w:w="1999" w:type="pct"/>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DOCUMENTO FISCAL ELETRÔNICO</w:t>
            </w:r>
          </w:p>
        </w:tc>
        <w:tc>
          <w:tcPr>
            <w:tcW w:w="3001" w:type="pct"/>
            <w:gridSpan w:val="4"/>
            <w:tcBorders>
              <w:top w:val="single" w:sz="8" w:space="0" w:color="auto"/>
              <w:left w:val="nil"/>
              <w:bottom w:val="single" w:sz="4" w:space="0" w:color="auto"/>
              <w:right w:val="single" w:sz="8" w:space="0" w:color="000000"/>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N° ACUMULADO ATÉ: (PREVISÃO)</w:t>
            </w:r>
          </w:p>
        </w:tc>
      </w:tr>
      <w:tr w:rsidR="00594D5B" w:rsidRPr="00DE2D55" w:rsidTr="00594D5B">
        <w:trPr>
          <w:trHeight w:val="275"/>
        </w:trPr>
        <w:tc>
          <w:tcPr>
            <w:tcW w:w="1999" w:type="pct"/>
            <w:vMerge/>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594D5B" w:rsidRPr="00DE2D55" w:rsidRDefault="00594D5B" w:rsidP="00FE560B">
            <w:pPr>
              <w:tabs>
                <w:tab w:val="left" w:pos="0"/>
              </w:tabs>
              <w:spacing w:line="240" w:lineRule="auto"/>
              <w:jc w:val="both"/>
              <w:rPr>
                <w:rFonts w:eastAsia="Times New Roman" w:cs="Times New Roman"/>
                <w:b/>
                <w:bCs/>
                <w:lang w:eastAsia="pt-BR"/>
              </w:rPr>
            </w:pPr>
          </w:p>
        </w:tc>
        <w:tc>
          <w:tcPr>
            <w:tcW w:w="752" w:type="pct"/>
            <w:tcBorders>
              <w:top w:val="nil"/>
              <w:left w:val="nil"/>
              <w:bottom w:val="single" w:sz="4" w:space="0" w:color="auto"/>
              <w:right w:val="single" w:sz="4" w:space="0" w:color="auto"/>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2017</w:t>
            </w:r>
          </w:p>
        </w:tc>
        <w:tc>
          <w:tcPr>
            <w:tcW w:w="752" w:type="pct"/>
            <w:tcBorders>
              <w:top w:val="nil"/>
              <w:left w:val="nil"/>
              <w:bottom w:val="single" w:sz="4" w:space="0" w:color="auto"/>
              <w:right w:val="single" w:sz="4" w:space="0" w:color="auto"/>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2018</w:t>
            </w:r>
          </w:p>
        </w:tc>
        <w:tc>
          <w:tcPr>
            <w:tcW w:w="752" w:type="pct"/>
            <w:tcBorders>
              <w:top w:val="nil"/>
              <w:left w:val="nil"/>
              <w:bottom w:val="single" w:sz="4" w:space="0" w:color="auto"/>
              <w:right w:val="single" w:sz="4" w:space="0" w:color="auto"/>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2019</w:t>
            </w:r>
          </w:p>
        </w:tc>
        <w:tc>
          <w:tcPr>
            <w:tcW w:w="745" w:type="pct"/>
            <w:tcBorders>
              <w:top w:val="nil"/>
              <w:left w:val="nil"/>
              <w:bottom w:val="single" w:sz="4" w:space="0" w:color="auto"/>
              <w:right w:val="single" w:sz="8" w:space="0" w:color="auto"/>
            </w:tcBorders>
            <w:shd w:val="clear" w:color="auto" w:fill="BFBFBF" w:themeFill="background1" w:themeFillShade="BF"/>
            <w:noWrap/>
            <w:vAlign w:val="bottom"/>
            <w:hideMark/>
          </w:tcPr>
          <w:p w:rsidR="00594D5B" w:rsidRPr="00DE2D55" w:rsidRDefault="00594D5B" w:rsidP="00FE560B">
            <w:pPr>
              <w:tabs>
                <w:tab w:val="left" w:pos="0"/>
              </w:tabs>
              <w:spacing w:line="240" w:lineRule="auto"/>
              <w:jc w:val="both"/>
              <w:rPr>
                <w:rFonts w:eastAsia="Times New Roman" w:cs="Times New Roman"/>
                <w:b/>
                <w:bCs/>
                <w:lang w:eastAsia="pt-BR"/>
              </w:rPr>
            </w:pPr>
            <w:r w:rsidRPr="00DE2D55">
              <w:rPr>
                <w:rFonts w:eastAsia="Times New Roman" w:cs="Times New Roman"/>
                <w:b/>
                <w:bCs/>
                <w:lang w:eastAsia="pt-BR"/>
              </w:rPr>
              <w:t>2020</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NOTA FISCAL ELETRÔNICA MODELO 55</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431.062.638</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499.085.674</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571.870.222</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651.933.225</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NOTA FISCAL ELETRÔNICA MODELO 65 - CONSUMIDOR</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13.210.814</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193.210.814</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409.210.814</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657.610.814</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NOTA FISCAL ELETRÔNICA AVULSA</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17.535</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216.000</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1.017.000</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2.018.000</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NOTA FISCAL ELETRÔNICA MOD 3 - ENERGIA ELÉTRICA</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24.000.000</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48.500.000</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CONHECIMENTO DE TRANSPORTE ELETRÔNICO</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86.720.690</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110.565.599</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138.194.375</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170.207.464</w:t>
            </w:r>
          </w:p>
        </w:tc>
      </w:tr>
      <w:tr w:rsidR="00594D5B" w:rsidRPr="00DE2D55" w:rsidTr="00594D5B">
        <w:trPr>
          <w:trHeight w:val="275"/>
        </w:trPr>
        <w:tc>
          <w:tcPr>
            <w:tcW w:w="1999" w:type="pct"/>
            <w:tcBorders>
              <w:top w:val="nil"/>
              <w:left w:val="single" w:sz="8" w:space="0" w:color="auto"/>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BILHETE DE PASSAGEM ELETRÔNICO</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3.000.000</w:t>
            </w:r>
          </w:p>
        </w:tc>
        <w:tc>
          <w:tcPr>
            <w:tcW w:w="752" w:type="pct"/>
            <w:tcBorders>
              <w:top w:val="nil"/>
              <w:left w:val="nil"/>
              <w:bottom w:val="single" w:sz="4"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6.500.000</w:t>
            </w:r>
          </w:p>
        </w:tc>
        <w:tc>
          <w:tcPr>
            <w:tcW w:w="745" w:type="pct"/>
            <w:tcBorders>
              <w:top w:val="nil"/>
              <w:left w:val="nil"/>
              <w:bottom w:val="single" w:sz="4"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11.000.000</w:t>
            </w:r>
          </w:p>
        </w:tc>
      </w:tr>
      <w:tr w:rsidR="00594D5B" w:rsidRPr="00DE2D55" w:rsidTr="00594D5B">
        <w:trPr>
          <w:trHeight w:val="288"/>
        </w:trPr>
        <w:tc>
          <w:tcPr>
            <w:tcW w:w="1999" w:type="pct"/>
            <w:tcBorders>
              <w:top w:val="nil"/>
              <w:left w:val="single" w:sz="8" w:space="0" w:color="auto"/>
              <w:bottom w:val="single" w:sz="8"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iCs/>
                <w:lang w:eastAsia="pt-BR"/>
              </w:rPr>
            </w:pPr>
            <w:r w:rsidRPr="00DE2D55">
              <w:rPr>
                <w:rFonts w:eastAsia="Times New Roman" w:cs="Arial"/>
                <w:iCs/>
                <w:lang w:eastAsia="pt-BR"/>
              </w:rPr>
              <w:t>ESCRITURAÇÃO FISCAL DIGITAL + OIE  (ARQUIVOS ENVIADOS)</w:t>
            </w:r>
          </w:p>
        </w:tc>
        <w:tc>
          <w:tcPr>
            <w:tcW w:w="752" w:type="pct"/>
            <w:tcBorders>
              <w:top w:val="nil"/>
              <w:left w:val="nil"/>
              <w:bottom w:val="single" w:sz="8"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5.815.008</w:t>
            </w:r>
          </w:p>
        </w:tc>
        <w:tc>
          <w:tcPr>
            <w:tcW w:w="752" w:type="pct"/>
            <w:tcBorders>
              <w:top w:val="nil"/>
              <w:left w:val="nil"/>
              <w:bottom w:val="single" w:sz="8"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6.953.508</w:t>
            </w:r>
          </w:p>
        </w:tc>
        <w:tc>
          <w:tcPr>
            <w:tcW w:w="752" w:type="pct"/>
            <w:tcBorders>
              <w:top w:val="nil"/>
              <w:left w:val="nil"/>
              <w:bottom w:val="single" w:sz="8" w:space="0" w:color="auto"/>
              <w:right w:val="single" w:sz="4"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8.205.858</w:t>
            </w:r>
          </w:p>
        </w:tc>
        <w:tc>
          <w:tcPr>
            <w:tcW w:w="745" w:type="pct"/>
            <w:tcBorders>
              <w:top w:val="nil"/>
              <w:left w:val="nil"/>
              <w:bottom w:val="single" w:sz="8" w:space="0" w:color="auto"/>
              <w:right w:val="single" w:sz="8" w:space="0" w:color="auto"/>
            </w:tcBorders>
            <w:shd w:val="clear" w:color="auto" w:fill="auto"/>
            <w:noWrap/>
            <w:vAlign w:val="bottom"/>
            <w:hideMark/>
          </w:tcPr>
          <w:p w:rsidR="00594D5B" w:rsidRPr="00DE2D55" w:rsidRDefault="00594D5B" w:rsidP="00FE560B">
            <w:pPr>
              <w:tabs>
                <w:tab w:val="left" w:pos="0"/>
              </w:tabs>
              <w:spacing w:line="240" w:lineRule="auto"/>
              <w:jc w:val="both"/>
              <w:rPr>
                <w:rFonts w:eastAsia="Times New Roman" w:cs="Arial"/>
                <w:lang w:eastAsia="pt-BR"/>
              </w:rPr>
            </w:pPr>
            <w:r w:rsidRPr="00DE2D55">
              <w:rPr>
                <w:rFonts w:eastAsia="Times New Roman" w:cs="Arial"/>
                <w:lang w:eastAsia="pt-BR"/>
              </w:rPr>
              <w:t>9.583.443</w:t>
            </w:r>
          </w:p>
        </w:tc>
      </w:tr>
    </w:tbl>
    <w:p w:rsidR="00594D5B" w:rsidRPr="00DE2D55" w:rsidRDefault="00594D5B" w:rsidP="00FE560B">
      <w:pPr>
        <w:pStyle w:val="SemEspaamento"/>
        <w:numPr>
          <w:ilvl w:val="0"/>
          <w:numId w:val="38"/>
        </w:numPr>
        <w:tabs>
          <w:tab w:val="left" w:pos="0"/>
        </w:tabs>
        <w:spacing w:line="360" w:lineRule="auto"/>
        <w:jc w:val="both"/>
        <w:rPr>
          <w:rFonts w:cs="Arial"/>
          <w:shd w:val="clear" w:color="auto" w:fill="FFFFFF"/>
        </w:rPr>
      </w:pPr>
      <w:r w:rsidRPr="00DE2D55">
        <w:rPr>
          <w:rFonts w:cs="Arial"/>
          <w:shd w:val="clear" w:color="auto" w:fill="FFFFFF"/>
        </w:rPr>
        <w:t xml:space="preserve">Não incluído o MDF-e – Manifesto de Documentos Fiscais, previsto para 2018 no ES. </w:t>
      </w:r>
    </w:p>
    <w:p w:rsidR="00594D5B" w:rsidRPr="00DE2D55" w:rsidRDefault="00594D5B" w:rsidP="00FE560B">
      <w:pPr>
        <w:pStyle w:val="SemEspaamento"/>
        <w:tabs>
          <w:tab w:val="left" w:pos="0"/>
        </w:tabs>
        <w:spacing w:line="360" w:lineRule="auto"/>
        <w:ind w:left="720"/>
        <w:jc w:val="both"/>
        <w:rPr>
          <w:rFonts w:cs="Arial"/>
          <w:b/>
          <w:shd w:val="clear" w:color="auto" w:fill="FFFFFF"/>
        </w:rPr>
      </w:pPr>
    </w:p>
    <w:p w:rsidR="00594D5B" w:rsidRPr="00C67EAE" w:rsidRDefault="00594D5B" w:rsidP="00FE560B">
      <w:pPr>
        <w:shd w:val="clear" w:color="auto" w:fill="FFFFFF"/>
        <w:tabs>
          <w:tab w:val="left" w:pos="0"/>
        </w:tabs>
        <w:ind w:right="227"/>
        <w:jc w:val="both"/>
        <w:rPr>
          <w:rFonts w:eastAsia="Times New Roman" w:cs="Times New Roman"/>
          <w:lang w:eastAsia="pt-BR"/>
        </w:rPr>
      </w:pPr>
      <w:r w:rsidRPr="00DE2D55">
        <w:t>Nos dias atuais estima-se que a cada um ano e meio</w:t>
      </w:r>
      <w:r w:rsidRPr="00DE2D55">
        <w:rPr>
          <w:shd w:val="clear" w:color="auto" w:fill="FFFFFF"/>
        </w:rPr>
        <w:t xml:space="preserve"> gera-se a mesma quantidade de dados já criados pela humanidade em todos os tempos. Nas administrações fazendárias, e com certeza nas demais instituições, o desafio cada vez maior é o armazenamento e a transformação destes dados em informações úteis, com objetivo de entender o comportamento dos contribuintes, combater as fraudes, sonegações e até mesmo prenunciarem uma crise que possa impactar no processo de arrecadação. </w:t>
      </w:r>
      <w:r w:rsidRPr="00DE2D55">
        <w:t xml:space="preserve">Neste cenário, cada vez mais </w:t>
      </w:r>
      <w:r w:rsidRPr="00C67EAE">
        <w:rPr>
          <w:rFonts w:eastAsia="Times New Roman" w:cs="Times New Roman"/>
          <w:lang w:eastAsia="pt-BR"/>
        </w:rPr>
        <w:t xml:space="preserve">dinâmico, ter acesso à informação em tempo hábil é o limiar entre uma eficiente ou ineficiente gestão na área fazendária. </w:t>
      </w:r>
    </w:p>
    <w:p w:rsidR="00C67EAE" w:rsidRPr="00C67EAE" w:rsidRDefault="00C67EAE" w:rsidP="00FE560B">
      <w:pPr>
        <w:shd w:val="clear" w:color="auto" w:fill="FFFFFF"/>
        <w:tabs>
          <w:tab w:val="left" w:pos="0"/>
        </w:tabs>
        <w:ind w:right="227"/>
        <w:jc w:val="both"/>
        <w:rPr>
          <w:rFonts w:eastAsia="Times New Roman" w:cs="Times New Roman"/>
          <w:lang w:eastAsia="pt-BR"/>
        </w:rPr>
      </w:pPr>
    </w:p>
    <w:p w:rsidR="00594D5B" w:rsidRPr="00DE2D55" w:rsidRDefault="00594D5B" w:rsidP="00FE560B">
      <w:pPr>
        <w:shd w:val="clear" w:color="auto" w:fill="FFFFFF"/>
        <w:tabs>
          <w:tab w:val="left" w:pos="0"/>
        </w:tabs>
        <w:ind w:right="227"/>
        <w:jc w:val="both"/>
        <w:rPr>
          <w:rFonts w:eastAsia="Times New Roman" w:cs="Arial"/>
          <w:lang w:eastAsia="pt-BR"/>
        </w:rPr>
      </w:pPr>
      <w:r w:rsidRPr="00C67EAE">
        <w:rPr>
          <w:rFonts w:eastAsia="Times New Roman" w:cs="Times New Roman"/>
          <w:lang w:eastAsia="pt-BR"/>
        </w:rPr>
        <w:t>Essa é</w:t>
      </w:r>
      <w:r w:rsidRPr="00DE2D55">
        <w:rPr>
          <w:rFonts w:eastAsia="Times New Roman" w:cs="Arial"/>
          <w:lang w:eastAsia="pt-BR"/>
        </w:rPr>
        <w:t xml:space="preserve">poca atual, de geração de volumes incomensuráveis de dados, é chamada de a Era de Big Data. O termo Big Data também corresponde à própria quantidade absurda de dados gerados atualmente. Iniciativas apoiadas em ferramentas para Big Date e Analytics, que permitem analisar dados estruturados e não estruturados, tem sido adotadas pelas corporações para lidar com os grandes volumes de dados, facilitando a identificação, no caso da administração tributária, de indícios de sonegação, além da redução do tempo de processamento dos dados, do aprimoramento e produção de dados econômicos, malhas fiscais, utilização de inteligência artificial e redes neurais. </w:t>
      </w:r>
    </w:p>
    <w:p w:rsidR="00594D5B" w:rsidRPr="00DE2D55" w:rsidRDefault="00594D5B" w:rsidP="00FE560B">
      <w:pPr>
        <w:shd w:val="clear" w:color="auto" w:fill="FFFFFF"/>
        <w:tabs>
          <w:tab w:val="left" w:pos="0"/>
        </w:tabs>
        <w:jc w:val="both"/>
        <w:rPr>
          <w:rFonts w:eastAsia="Times New Roman" w:cs="Arial"/>
          <w:lang w:eastAsia="pt-BR"/>
        </w:rPr>
      </w:pPr>
    </w:p>
    <w:p w:rsidR="00594D5B" w:rsidRPr="00DE2D55" w:rsidRDefault="00C67EAE" w:rsidP="00FE560B">
      <w:pPr>
        <w:tabs>
          <w:tab w:val="left" w:pos="0"/>
        </w:tabs>
        <w:jc w:val="both"/>
        <w:rPr>
          <w:rFonts w:eastAsia="Times New Roman" w:cs="Arial"/>
          <w:lang w:eastAsia="pt-BR"/>
        </w:rPr>
      </w:pPr>
      <w:r>
        <w:rPr>
          <w:rFonts w:eastAsia="Times New Roman" w:cs="Arial"/>
          <w:lang w:eastAsia="pt-BR"/>
        </w:rPr>
        <w:t>4.</w:t>
      </w:r>
      <w:r w:rsidR="00594D5B" w:rsidRPr="00DE2D55">
        <w:rPr>
          <w:rFonts w:eastAsia="Times New Roman" w:cs="Arial"/>
          <w:lang w:eastAsia="pt-BR"/>
        </w:rPr>
        <w:t xml:space="preserve">2.1- Síntese do Problema: </w:t>
      </w:r>
    </w:p>
    <w:p w:rsidR="00594D5B" w:rsidRPr="00DE2D55" w:rsidRDefault="00594D5B"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eastAsia="Times New Roman" w:cs="Arial"/>
          <w:lang w:eastAsia="pt-BR"/>
        </w:rPr>
      </w:pPr>
      <w:r w:rsidRPr="00DE2D55">
        <w:rPr>
          <w:rFonts w:eastAsia="Times New Roman" w:cs="Arial"/>
          <w:lang w:eastAsia="pt-BR"/>
        </w:rPr>
        <w:t>Deficiência no atendimento das demandas de TI, devido ao aumento da informação gerada pelos novos sistemas de gestão do estado e da manutenção dos sistemas legados.</w:t>
      </w:r>
    </w:p>
    <w:p w:rsidR="00594D5B" w:rsidRPr="00DE2D55" w:rsidRDefault="00594D5B" w:rsidP="00FE560B">
      <w:pPr>
        <w:tabs>
          <w:tab w:val="left" w:pos="0"/>
        </w:tabs>
        <w:jc w:val="both"/>
        <w:rPr>
          <w:rFonts w:eastAsia="Times New Roman" w:cs="Arial"/>
          <w:lang w:eastAsia="pt-BR"/>
        </w:rPr>
      </w:pPr>
    </w:p>
    <w:p w:rsidR="00594D5B" w:rsidRPr="00DE2D55" w:rsidRDefault="00C67EAE" w:rsidP="00FE560B">
      <w:pPr>
        <w:tabs>
          <w:tab w:val="left" w:pos="0"/>
        </w:tabs>
        <w:jc w:val="both"/>
        <w:rPr>
          <w:rFonts w:eastAsia="Times New Roman" w:cs="Arial"/>
          <w:lang w:eastAsia="pt-BR"/>
        </w:rPr>
      </w:pPr>
      <w:r>
        <w:rPr>
          <w:rFonts w:eastAsia="Times New Roman" w:cs="Arial"/>
          <w:lang w:eastAsia="pt-BR"/>
        </w:rPr>
        <w:t>4.</w:t>
      </w:r>
      <w:r w:rsidR="00594D5B" w:rsidRPr="00DE2D55">
        <w:rPr>
          <w:rFonts w:eastAsia="Times New Roman" w:cs="Arial"/>
          <w:lang w:eastAsia="pt-BR"/>
        </w:rPr>
        <w:t>2.2- Principais causas:</w:t>
      </w:r>
    </w:p>
    <w:p w:rsidR="00594D5B" w:rsidRPr="00DE2D55" w:rsidRDefault="00594D5B" w:rsidP="00FE560B">
      <w:pPr>
        <w:tabs>
          <w:tab w:val="left" w:pos="0"/>
        </w:tabs>
        <w:jc w:val="both"/>
        <w:rPr>
          <w:rFonts w:eastAsia="Times New Roman" w:cs="Arial"/>
          <w:lang w:eastAsia="pt-BR"/>
        </w:rPr>
      </w:pPr>
      <w:r w:rsidRPr="00DE2D55">
        <w:rPr>
          <w:rFonts w:eastAsia="Times New Roman" w:cs="Arial"/>
          <w:lang w:eastAsia="pt-BR"/>
        </w:rPr>
        <w:t>•</w:t>
      </w:r>
      <w:r w:rsidRPr="00DE2D55">
        <w:rPr>
          <w:rFonts w:eastAsia="Times New Roman" w:cs="Arial"/>
          <w:lang w:eastAsia="pt-BR"/>
        </w:rPr>
        <w:tab/>
        <w:t>O atendimento das demandas de TI não está organizado com base em critérios de priorização. Dificuldade para avaliar o desempenho dos serviços de TI e a magnitude dos níveis de risco.</w:t>
      </w:r>
    </w:p>
    <w:p w:rsidR="00594D5B" w:rsidRDefault="00594D5B" w:rsidP="00FE560B">
      <w:pPr>
        <w:tabs>
          <w:tab w:val="left" w:pos="0"/>
        </w:tabs>
        <w:jc w:val="both"/>
        <w:rPr>
          <w:rFonts w:eastAsia="Times New Roman" w:cs="Arial"/>
          <w:lang w:eastAsia="pt-BR"/>
        </w:rPr>
      </w:pPr>
      <w:r w:rsidRPr="00DE2D55">
        <w:rPr>
          <w:rFonts w:eastAsia="Times New Roman" w:cs="Arial"/>
          <w:lang w:eastAsia="pt-BR"/>
        </w:rPr>
        <w:t>•</w:t>
      </w:r>
      <w:r w:rsidRPr="00DE2D55">
        <w:rPr>
          <w:rFonts w:eastAsia="Times New Roman" w:cs="Arial"/>
          <w:lang w:eastAsia="pt-BR"/>
        </w:rPr>
        <w:tab/>
        <w:t>Aumento exponencial do volume de transações e dados recepcionados pela SEFAZ. Dificuldade para tratar grandes volumes de dados, especialmente os referentes a auditoria e fiscalização.</w:t>
      </w:r>
    </w:p>
    <w:p w:rsidR="00C521DC" w:rsidRPr="00DE2D55" w:rsidRDefault="00C521DC" w:rsidP="00FE560B">
      <w:pPr>
        <w:tabs>
          <w:tab w:val="left" w:pos="0"/>
        </w:tabs>
        <w:jc w:val="both"/>
        <w:rPr>
          <w:rFonts w:eastAsia="Times New Roman" w:cs="Arial"/>
          <w:lang w:eastAsia="pt-BR"/>
        </w:rPr>
      </w:pPr>
    </w:p>
    <w:p w:rsidR="00594D5B" w:rsidRPr="00DE2D55" w:rsidRDefault="00C67EAE" w:rsidP="00FE560B">
      <w:pPr>
        <w:tabs>
          <w:tab w:val="left" w:pos="0"/>
        </w:tabs>
        <w:jc w:val="both"/>
        <w:rPr>
          <w:rFonts w:eastAsia="Times New Roman" w:cs="Arial"/>
          <w:lang w:eastAsia="pt-BR"/>
        </w:rPr>
      </w:pPr>
      <w:r>
        <w:rPr>
          <w:rFonts w:eastAsia="Times New Roman" w:cs="Arial"/>
          <w:lang w:eastAsia="pt-BR"/>
        </w:rPr>
        <w:t>4.</w:t>
      </w:r>
      <w:r w:rsidR="00594D5B" w:rsidRPr="00DE2D55">
        <w:rPr>
          <w:rFonts w:eastAsia="Times New Roman" w:cs="Arial"/>
          <w:lang w:eastAsia="pt-BR"/>
        </w:rPr>
        <w:t xml:space="preserve">2.3- Evidências: </w:t>
      </w:r>
    </w:p>
    <w:p w:rsidR="00594D5B" w:rsidRPr="00DE2D55" w:rsidRDefault="00594D5B" w:rsidP="00FE560B">
      <w:pPr>
        <w:numPr>
          <w:ilvl w:val="0"/>
          <w:numId w:val="39"/>
        </w:numPr>
        <w:tabs>
          <w:tab w:val="left" w:pos="0"/>
        </w:tabs>
        <w:jc w:val="both"/>
        <w:rPr>
          <w:rFonts w:eastAsia="Times New Roman" w:cs="Arial"/>
          <w:lang w:eastAsia="pt-BR"/>
        </w:rPr>
      </w:pPr>
      <w:r w:rsidRPr="00DE2D55">
        <w:rPr>
          <w:rFonts w:eastAsia="Times New Roman" w:cs="Arial"/>
          <w:lang w:eastAsia="pt-BR"/>
        </w:rPr>
        <w:t>Dos 135 projetos iniciados na TI, 45 foram cancelados no período de 2010 a 2017, apontando para um índice de 33,3%.</w:t>
      </w:r>
    </w:p>
    <w:p w:rsidR="00594D5B" w:rsidRDefault="00594D5B" w:rsidP="00FE560B">
      <w:pPr>
        <w:numPr>
          <w:ilvl w:val="0"/>
          <w:numId w:val="39"/>
        </w:numPr>
        <w:tabs>
          <w:tab w:val="left" w:pos="0"/>
        </w:tabs>
        <w:jc w:val="both"/>
        <w:rPr>
          <w:rFonts w:eastAsia="Times New Roman" w:cs="Arial"/>
          <w:lang w:eastAsia="pt-BR"/>
        </w:rPr>
      </w:pPr>
      <w:r w:rsidRPr="00DE2D55">
        <w:rPr>
          <w:rFonts w:eastAsia="Times New Roman" w:cs="Arial"/>
          <w:lang w:eastAsia="pt-BR"/>
        </w:rPr>
        <w:t xml:space="preserve">Estima-se que até o ano de 2020 a previsão é de cerca de 1 bilhão e 300 milhões de notas fiscais eletrônicas, modelos 55 e 65, armazenadas na base de dados da SEFAZ. </w:t>
      </w:r>
    </w:p>
    <w:p w:rsidR="000F67FC" w:rsidRPr="00DE2D55" w:rsidRDefault="000F67FC" w:rsidP="000F67FC">
      <w:pPr>
        <w:tabs>
          <w:tab w:val="left" w:pos="0"/>
        </w:tabs>
        <w:ind w:left="720"/>
        <w:jc w:val="both"/>
        <w:rPr>
          <w:rFonts w:eastAsia="Times New Roman" w:cs="Arial"/>
          <w:lang w:eastAsia="pt-BR"/>
        </w:rPr>
      </w:pPr>
    </w:p>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48" w:name="_Toc517282074"/>
      <w:r w:rsidRPr="00DE2D55">
        <w:rPr>
          <w:rFonts w:cs="Calibri"/>
          <w:b/>
        </w:rPr>
        <w:t>DESCRIÇÃO DO PRODUTO</w:t>
      </w:r>
      <w:r w:rsidR="00555E76">
        <w:rPr>
          <w:rFonts w:cs="Calibri"/>
          <w:b/>
        </w:rPr>
        <w:t xml:space="preserve"> </w:t>
      </w:r>
      <w:r w:rsidRPr="00DE2D55">
        <w:rPr>
          <w:rFonts w:cs="Calibri"/>
          <w:b/>
        </w:rPr>
        <w:t>E SUA META QUANTITATIVA</w:t>
      </w:r>
      <w:bookmarkEnd w:id="48"/>
    </w:p>
    <w:p w:rsidR="00594D5B" w:rsidRPr="00DE2D55" w:rsidRDefault="00594D5B" w:rsidP="00FE560B">
      <w:pPr>
        <w:tabs>
          <w:tab w:val="left" w:pos="0"/>
        </w:tabs>
        <w:jc w:val="both"/>
        <w:rPr>
          <w:rFonts w:eastAsia="Times New Roman" w:cs="Arial"/>
          <w:lang w:eastAsia="pt-BR"/>
        </w:rPr>
      </w:pPr>
      <w:r w:rsidRPr="00DE2D55">
        <w:rPr>
          <w:rFonts w:eastAsia="Times New Roman" w:cs="Arial"/>
          <w:lang w:eastAsia="pt-BR"/>
        </w:rPr>
        <w:t>O produto almejado é o Modelo de Gestão de Tecnologia da Informação e Comunicação (TIC) atualizado, incluindo:</w:t>
      </w:r>
    </w:p>
    <w:p w:rsidR="00594D5B" w:rsidRPr="00DE2D55" w:rsidRDefault="00C521DC" w:rsidP="00FE560B">
      <w:pPr>
        <w:tabs>
          <w:tab w:val="left" w:pos="0"/>
          <w:tab w:val="right" w:pos="9780"/>
        </w:tabs>
        <w:jc w:val="both"/>
        <w:rPr>
          <w:rFonts w:eastAsia="Times New Roman" w:cs="Arial"/>
          <w:b/>
          <w:lang w:eastAsia="pt-BR"/>
        </w:rPr>
      </w:pPr>
      <w:r>
        <w:rPr>
          <w:rFonts w:cs="Calibri"/>
          <w:b/>
          <w:noProof/>
        </w:rPr>
        <w:t>4.3.1</w:t>
      </w:r>
      <w:r w:rsidR="00594D5B" w:rsidRPr="00DE2D55">
        <w:rPr>
          <w:rFonts w:cs="Calibri"/>
          <w:b/>
          <w:noProof/>
        </w:rPr>
        <w:t xml:space="preserve"> </w:t>
      </w:r>
      <w:r w:rsidR="00594D5B" w:rsidRPr="00DE2D55">
        <w:rPr>
          <w:rFonts w:eastAsia="Times New Roman" w:cs="Arial"/>
          <w:b/>
          <w:lang w:eastAsia="pt-BR"/>
        </w:rPr>
        <w:t>Implantação do Plano Diretor de Tecnologia da Informação.</w:t>
      </w:r>
      <w:r w:rsidR="00555E76">
        <w:rPr>
          <w:rFonts w:eastAsia="Times New Roman" w:cs="Arial"/>
          <w:b/>
          <w:lang w:eastAsia="pt-BR"/>
        </w:rPr>
        <w:tab/>
      </w:r>
    </w:p>
    <w:p w:rsidR="00594D5B" w:rsidRPr="00DE2D55" w:rsidRDefault="00594D5B" w:rsidP="00FE560B">
      <w:pPr>
        <w:shd w:val="clear" w:color="auto" w:fill="FFFFFF"/>
        <w:tabs>
          <w:tab w:val="left" w:pos="0"/>
        </w:tabs>
        <w:jc w:val="both"/>
        <w:rPr>
          <w:rFonts w:eastAsia="Times New Roman" w:cs="Arial"/>
          <w:lang w:eastAsia="pt-BR"/>
        </w:rPr>
      </w:pPr>
      <w:r w:rsidRPr="00DE2D55">
        <w:rPr>
          <w:rFonts w:eastAsia="Times New Roman" w:cs="Arial"/>
          <w:lang w:eastAsia="pt-BR"/>
        </w:rPr>
        <w:t>O Plano Dire</w:t>
      </w:r>
      <w:r w:rsidR="00C521DC">
        <w:rPr>
          <w:rFonts w:eastAsia="Times New Roman" w:cs="Arial"/>
          <w:lang w:eastAsia="pt-BR"/>
        </w:rPr>
        <w:t>tor de Tecnologia da Informação</w:t>
      </w:r>
      <w:r w:rsidRPr="00DE2D55">
        <w:rPr>
          <w:rFonts w:eastAsia="Times New Roman" w:cs="Arial"/>
          <w:lang w:eastAsia="pt-BR"/>
        </w:rPr>
        <w:t xml:space="preserve"> PDTI é um instrumento de diagnóstico, planejamento e gestão dos recursos e processos de tecnologia da informação, que visa atender às necessidades tecnológicas e de informação de TI de um órgão ou entidade para um determinado período, devendo, sempre que for possível, estar alinhado ao planejamento estratégico. No entanto, preliminarmente há necessidade da SEFAZ elaborar e implantar o planejamento estratégico com painel de indicadores institucionais, plano de comunicação e ferramentas informatizadas de gestão de planejamento e de processos. Esse produto deve conter ainda aquisição de solução de Governança, Risco e Conformidade e solução para programação de tarefas e automação de carga de trabalho.</w:t>
      </w:r>
    </w:p>
    <w:p w:rsidR="00594D5B" w:rsidRPr="00DE2D55" w:rsidRDefault="00594D5B" w:rsidP="00FE560B">
      <w:pPr>
        <w:pStyle w:val="PargrafodaLista"/>
        <w:numPr>
          <w:ilvl w:val="1"/>
          <w:numId w:val="45"/>
        </w:numPr>
        <w:tabs>
          <w:tab w:val="left" w:pos="0"/>
        </w:tabs>
        <w:ind w:hanging="371"/>
        <w:jc w:val="both"/>
        <w:rPr>
          <w:noProof/>
        </w:rPr>
      </w:pPr>
      <w:bookmarkStart w:id="49" w:name="_Toc497999404"/>
      <w:r w:rsidRPr="00DE2D55">
        <w:rPr>
          <w:noProof/>
        </w:rPr>
        <w:t>Elaboração e implantação do Plano diretor de Tecnologia da Informação e Comunicação – PDTI. O documento deverá conter diagnostico e planejamento voltado a gestão dos recursos e processos de tecnologia da informação e comunicação, com vistas ao atendimento das necessidades tecnológicas e de informação de TI, devidamente alinhado aos planejamentos estratégicos do Governo do Estado, da Secretaria de Fazenda e da Superintendência de Gestão da Informação;</w:t>
      </w:r>
      <w:bookmarkEnd w:id="49"/>
    </w:p>
    <w:p w:rsidR="00594D5B" w:rsidRPr="00DE2D55" w:rsidRDefault="00594D5B" w:rsidP="00FE560B">
      <w:pPr>
        <w:pStyle w:val="PargrafodaLista"/>
        <w:numPr>
          <w:ilvl w:val="1"/>
          <w:numId w:val="45"/>
        </w:numPr>
        <w:tabs>
          <w:tab w:val="left" w:pos="0"/>
        </w:tabs>
        <w:ind w:hanging="371"/>
        <w:jc w:val="both"/>
        <w:rPr>
          <w:noProof/>
        </w:rPr>
      </w:pPr>
      <w:r w:rsidRPr="00DE2D55">
        <w:rPr>
          <w:noProof/>
        </w:rPr>
        <w:t xml:space="preserve">Mapeamento, documentação e implantação dos processos internos de governança e gestão de TIC (Tecnologia da Informação e Comunicação), tais como: </w:t>
      </w:r>
    </w:p>
    <w:p w:rsidR="00594D5B" w:rsidRPr="00DE2D55" w:rsidRDefault="00594D5B" w:rsidP="00FE560B">
      <w:pPr>
        <w:pStyle w:val="PargrafodaLista"/>
        <w:numPr>
          <w:ilvl w:val="7"/>
          <w:numId w:val="46"/>
        </w:numPr>
        <w:tabs>
          <w:tab w:val="left" w:pos="0"/>
        </w:tabs>
        <w:ind w:hanging="459"/>
        <w:jc w:val="both"/>
        <w:rPr>
          <w:noProof/>
        </w:rPr>
      </w:pPr>
      <w:r w:rsidRPr="00DE2D55">
        <w:t xml:space="preserve">Processos de Controle: segurança e operações; </w:t>
      </w:r>
    </w:p>
    <w:p w:rsidR="00594D5B" w:rsidRPr="00DE2D55" w:rsidRDefault="00594D5B" w:rsidP="00FE560B">
      <w:pPr>
        <w:pStyle w:val="PargrafodaLista"/>
        <w:numPr>
          <w:ilvl w:val="7"/>
          <w:numId w:val="46"/>
        </w:numPr>
        <w:tabs>
          <w:tab w:val="left" w:pos="0"/>
        </w:tabs>
        <w:ind w:hanging="459"/>
        <w:jc w:val="both"/>
      </w:pPr>
      <w:r w:rsidRPr="00DE2D55">
        <w:t>Gestão das Demandas;</w:t>
      </w:r>
    </w:p>
    <w:p w:rsidR="00594D5B" w:rsidRPr="00DE2D55" w:rsidRDefault="00594D5B" w:rsidP="00FE560B">
      <w:pPr>
        <w:pStyle w:val="PargrafodaLista"/>
        <w:numPr>
          <w:ilvl w:val="7"/>
          <w:numId w:val="46"/>
        </w:numPr>
        <w:tabs>
          <w:tab w:val="left" w:pos="0"/>
        </w:tabs>
        <w:ind w:hanging="459"/>
        <w:jc w:val="both"/>
      </w:pPr>
      <w:r w:rsidRPr="00DE2D55">
        <w:t>Gestão das capacidades;</w:t>
      </w:r>
    </w:p>
    <w:p w:rsidR="00594D5B" w:rsidRPr="00DE2D55" w:rsidRDefault="00594D5B" w:rsidP="00FE560B">
      <w:pPr>
        <w:pStyle w:val="PargrafodaLista"/>
        <w:numPr>
          <w:ilvl w:val="7"/>
          <w:numId w:val="46"/>
        </w:numPr>
        <w:tabs>
          <w:tab w:val="left" w:pos="0"/>
        </w:tabs>
        <w:ind w:hanging="459"/>
        <w:jc w:val="both"/>
      </w:pPr>
      <w:r w:rsidRPr="00DE2D55">
        <w:t>Gestão das Operações e dos projetos;</w:t>
      </w:r>
    </w:p>
    <w:p w:rsidR="00594D5B" w:rsidRPr="00DE2D55" w:rsidRDefault="00594D5B" w:rsidP="00FE560B">
      <w:pPr>
        <w:pStyle w:val="PargrafodaLista"/>
        <w:numPr>
          <w:ilvl w:val="7"/>
          <w:numId w:val="46"/>
        </w:numPr>
        <w:tabs>
          <w:tab w:val="left" w:pos="0"/>
        </w:tabs>
        <w:ind w:hanging="459"/>
        <w:jc w:val="both"/>
      </w:pPr>
      <w:r w:rsidRPr="00DE2D55">
        <w:t>Gestão da Tecnologia em linha histórica;</w:t>
      </w:r>
    </w:p>
    <w:p w:rsidR="00594D5B" w:rsidRPr="00DE2D55" w:rsidRDefault="00594D5B" w:rsidP="00FE560B">
      <w:pPr>
        <w:pStyle w:val="PargrafodaLista"/>
        <w:numPr>
          <w:ilvl w:val="7"/>
          <w:numId w:val="46"/>
        </w:numPr>
        <w:tabs>
          <w:tab w:val="left" w:pos="0"/>
        </w:tabs>
        <w:ind w:hanging="459"/>
        <w:jc w:val="both"/>
      </w:pPr>
      <w:r w:rsidRPr="00DE2D55">
        <w:t>Gestão de Contratos e Fornecedores;</w:t>
      </w:r>
    </w:p>
    <w:p w:rsidR="00594D5B" w:rsidRPr="00DE2D55" w:rsidRDefault="00594D5B" w:rsidP="00FE560B">
      <w:pPr>
        <w:pStyle w:val="PargrafodaLista"/>
        <w:numPr>
          <w:ilvl w:val="7"/>
          <w:numId w:val="46"/>
        </w:numPr>
        <w:tabs>
          <w:tab w:val="left" w:pos="0"/>
        </w:tabs>
        <w:ind w:hanging="459"/>
        <w:jc w:val="both"/>
      </w:pPr>
      <w:r w:rsidRPr="00DE2D55">
        <w:t>Gestão dos processos internos.</w:t>
      </w:r>
    </w:p>
    <w:p w:rsidR="00594D5B" w:rsidRPr="00DE2D55" w:rsidRDefault="00594D5B" w:rsidP="00FE560B">
      <w:pPr>
        <w:pStyle w:val="PargrafodaLista"/>
        <w:numPr>
          <w:ilvl w:val="1"/>
          <w:numId w:val="45"/>
        </w:numPr>
        <w:tabs>
          <w:tab w:val="left" w:pos="0"/>
        </w:tabs>
        <w:ind w:hanging="371"/>
        <w:jc w:val="both"/>
        <w:rPr>
          <w:noProof/>
        </w:rPr>
      </w:pPr>
      <w:r w:rsidRPr="00DE2D55">
        <w:rPr>
          <w:noProof/>
        </w:rPr>
        <w:t>Elaboração do catálogo de serviços de TIC (CSTIC);</w:t>
      </w:r>
    </w:p>
    <w:p w:rsidR="00594D5B" w:rsidRPr="00DE2D55" w:rsidRDefault="00594D5B" w:rsidP="00FE560B">
      <w:pPr>
        <w:pStyle w:val="PargrafodaLista"/>
        <w:numPr>
          <w:ilvl w:val="1"/>
          <w:numId w:val="45"/>
        </w:numPr>
        <w:tabs>
          <w:tab w:val="left" w:pos="0"/>
        </w:tabs>
        <w:ind w:hanging="371"/>
        <w:jc w:val="both"/>
        <w:rPr>
          <w:noProof/>
        </w:rPr>
      </w:pPr>
      <w:r w:rsidRPr="00DE2D55">
        <w:rPr>
          <w:noProof/>
        </w:rPr>
        <w:t>Segurança da informação implantada através de:</w:t>
      </w:r>
    </w:p>
    <w:p w:rsidR="00594D5B" w:rsidRPr="00DE2D55" w:rsidRDefault="00594D5B" w:rsidP="00FE560B">
      <w:pPr>
        <w:pStyle w:val="PargrafodaLista"/>
        <w:numPr>
          <w:ilvl w:val="7"/>
          <w:numId w:val="46"/>
        </w:numPr>
        <w:tabs>
          <w:tab w:val="left" w:pos="0"/>
        </w:tabs>
        <w:ind w:hanging="459"/>
        <w:jc w:val="both"/>
      </w:pPr>
      <w:r w:rsidRPr="00DE2D55">
        <w:t>Implantação de um Plano de Segurança da Informação (normas, rotinas e ferramentas);</w:t>
      </w:r>
    </w:p>
    <w:p w:rsidR="00594D5B" w:rsidRPr="00DE2D55" w:rsidRDefault="00594D5B" w:rsidP="00FE560B">
      <w:pPr>
        <w:pStyle w:val="PargrafodaLista"/>
        <w:numPr>
          <w:ilvl w:val="7"/>
          <w:numId w:val="46"/>
        </w:numPr>
        <w:tabs>
          <w:tab w:val="left" w:pos="0"/>
        </w:tabs>
        <w:ind w:hanging="459"/>
        <w:jc w:val="both"/>
      </w:pPr>
      <w:r w:rsidRPr="00DE2D55">
        <w:t>Atualização e ampliação dos mecanismos de segurança da informação (acesso físico, acesso lógico, banco de dados e sistemas - ABNT 27001);</w:t>
      </w:r>
    </w:p>
    <w:p w:rsidR="00594D5B" w:rsidRPr="00DE2D55" w:rsidRDefault="00C521DC" w:rsidP="00FE560B">
      <w:pPr>
        <w:shd w:val="clear" w:color="auto" w:fill="FFFFFF"/>
        <w:tabs>
          <w:tab w:val="left" w:pos="0"/>
        </w:tabs>
        <w:jc w:val="both"/>
        <w:rPr>
          <w:rFonts w:cs="Calibri"/>
          <w:b/>
          <w:noProof/>
        </w:rPr>
      </w:pPr>
      <w:r>
        <w:rPr>
          <w:rFonts w:cs="Calibri"/>
          <w:b/>
          <w:noProof/>
        </w:rPr>
        <w:t>4.3.2</w:t>
      </w:r>
      <w:r w:rsidR="00594D5B" w:rsidRPr="00DE2D55">
        <w:rPr>
          <w:rFonts w:cs="Calibri"/>
          <w:b/>
          <w:noProof/>
        </w:rPr>
        <w:t xml:space="preserve"> Ampliação da infraestrutura de hardware e software, incluindo a expansão de: rede de telecomunicação, servidores, segurança e capacitação. Ambiente para computação na nuvem.</w:t>
      </w:r>
    </w:p>
    <w:p w:rsidR="00594D5B" w:rsidRPr="00DE2D55" w:rsidRDefault="00594D5B" w:rsidP="00FE560B">
      <w:pPr>
        <w:shd w:val="clear" w:color="auto" w:fill="FFFFFF"/>
        <w:tabs>
          <w:tab w:val="left" w:pos="0"/>
        </w:tabs>
        <w:ind w:right="227"/>
        <w:jc w:val="both"/>
        <w:rPr>
          <w:rFonts w:eastAsia="Times New Roman" w:cs="Arial"/>
          <w:lang w:eastAsia="pt-BR"/>
        </w:rPr>
      </w:pPr>
      <w:r w:rsidRPr="00DE2D55">
        <w:rPr>
          <w:rFonts w:eastAsia="Times New Roman" w:cs="Arial"/>
          <w:lang w:eastAsia="pt-BR"/>
        </w:rPr>
        <w:t>Manutenção e ampliação do parque tecnológico com as aquisições detalhadas no quadro de custos no subproduto 1.4.2, apresentado no próximo item.</w:t>
      </w:r>
    </w:p>
    <w:p w:rsidR="00594D5B" w:rsidRPr="00DE2D55" w:rsidRDefault="00594D5B" w:rsidP="00FE560B">
      <w:pPr>
        <w:shd w:val="clear" w:color="auto" w:fill="FFFFFF"/>
        <w:tabs>
          <w:tab w:val="left" w:pos="0"/>
        </w:tabs>
        <w:ind w:right="227"/>
        <w:jc w:val="both"/>
        <w:rPr>
          <w:rFonts w:eastAsia="Times New Roman" w:cs="Arial"/>
          <w:lang w:eastAsia="pt-BR"/>
        </w:rPr>
      </w:pPr>
    </w:p>
    <w:p w:rsidR="00594D5B" w:rsidRPr="00DE2D55" w:rsidRDefault="00594D5B" w:rsidP="00FE560B">
      <w:pPr>
        <w:tabs>
          <w:tab w:val="left" w:pos="0"/>
        </w:tabs>
        <w:jc w:val="both"/>
        <w:rPr>
          <w:rFonts w:eastAsia="Times New Roman" w:cs="Arial"/>
          <w:lang w:eastAsia="pt-BR"/>
        </w:rPr>
      </w:pPr>
      <w:r w:rsidRPr="00DE2D55">
        <w:rPr>
          <w:rFonts w:cs="Calibri"/>
          <w:b/>
        </w:rPr>
        <w:t>Meta e indicador de Produto: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6"/>
        <w:gridCol w:w="1184"/>
      </w:tblGrid>
      <w:tr w:rsidR="00594D5B" w:rsidRPr="00DE2D55" w:rsidTr="00594D5B">
        <w:trPr>
          <w:trHeight w:val="333"/>
        </w:trPr>
        <w:tc>
          <w:tcPr>
            <w:tcW w:w="4394" w:type="pct"/>
            <w:shd w:val="clear" w:color="auto" w:fill="C5E0B3"/>
          </w:tcPr>
          <w:p w:rsidR="00594D5B" w:rsidRPr="00DE2D55" w:rsidRDefault="00594D5B" w:rsidP="00FE560B">
            <w:pPr>
              <w:tabs>
                <w:tab w:val="left" w:pos="0"/>
              </w:tabs>
              <w:jc w:val="both"/>
              <w:rPr>
                <w:rFonts w:cs="Calibri"/>
                <w:b/>
                <w:bCs/>
              </w:rPr>
            </w:pPr>
            <w:r w:rsidRPr="00DE2D55">
              <w:rPr>
                <w:rFonts w:cs="Calibri"/>
                <w:b/>
                <w:bCs/>
              </w:rPr>
              <w:t>Indicador do Subproduto</w:t>
            </w:r>
          </w:p>
        </w:tc>
        <w:tc>
          <w:tcPr>
            <w:tcW w:w="606" w:type="pct"/>
            <w:shd w:val="clear" w:color="auto" w:fill="C5E0B3"/>
          </w:tcPr>
          <w:p w:rsidR="00594D5B" w:rsidRPr="00DE2D55" w:rsidRDefault="00594D5B" w:rsidP="00FE560B">
            <w:pPr>
              <w:tabs>
                <w:tab w:val="left" w:pos="0"/>
              </w:tabs>
              <w:jc w:val="both"/>
              <w:rPr>
                <w:rFonts w:cs="Calibri"/>
                <w:b/>
                <w:bCs/>
              </w:rPr>
            </w:pPr>
            <w:r w:rsidRPr="00DE2D55">
              <w:rPr>
                <w:rFonts w:cs="Calibri"/>
                <w:b/>
                <w:bCs/>
              </w:rPr>
              <w:t>Meta</w:t>
            </w:r>
          </w:p>
        </w:tc>
      </w:tr>
      <w:tr w:rsidR="00594D5B" w:rsidRPr="00DE2D55" w:rsidTr="00594D5B">
        <w:trPr>
          <w:trHeight w:val="333"/>
        </w:trPr>
        <w:tc>
          <w:tcPr>
            <w:tcW w:w="4394" w:type="pct"/>
            <w:shd w:val="clear" w:color="auto" w:fill="auto"/>
          </w:tcPr>
          <w:p w:rsidR="00594D5B" w:rsidRPr="00DE2D55" w:rsidRDefault="00594D5B" w:rsidP="00FE560B">
            <w:pPr>
              <w:tabs>
                <w:tab w:val="left" w:pos="0"/>
              </w:tabs>
              <w:jc w:val="both"/>
              <w:rPr>
                <w:rFonts w:cs="Calibri"/>
                <w:noProof/>
              </w:rPr>
            </w:pPr>
            <w:r w:rsidRPr="00DE2D55">
              <w:rPr>
                <w:rFonts w:cs="Calibri"/>
                <w:noProof/>
              </w:rPr>
              <w:t>1.4.1 Plano Diretor de Tecnologia da Informação</w:t>
            </w:r>
          </w:p>
        </w:tc>
        <w:tc>
          <w:tcPr>
            <w:tcW w:w="606" w:type="pct"/>
            <w:shd w:val="clear" w:color="auto" w:fill="auto"/>
          </w:tcPr>
          <w:p w:rsidR="00594D5B" w:rsidRPr="00DE2D55" w:rsidRDefault="00594D5B" w:rsidP="00FE560B">
            <w:pPr>
              <w:tabs>
                <w:tab w:val="left" w:pos="0"/>
              </w:tabs>
              <w:jc w:val="center"/>
              <w:rPr>
                <w:rFonts w:cs="Calibri"/>
                <w:bCs/>
              </w:rPr>
            </w:pPr>
            <w:r w:rsidRPr="00DE2D55">
              <w:rPr>
                <w:rFonts w:cs="Calibri"/>
                <w:bCs/>
              </w:rPr>
              <w:t>1</w:t>
            </w:r>
          </w:p>
        </w:tc>
      </w:tr>
      <w:tr w:rsidR="00594D5B" w:rsidRPr="00555E76" w:rsidTr="00594D5B">
        <w:trPr>
          <w:trHeight w:val="339"/>
        </w:trPr>
        <w:tc>
          <w:tcPr>
            <w:tcW w:w="4394" w:type="pct"/>
            <w:shd w:val="clear" w:color="auto" w:fill="auto"/>
          </w:tcPr>
          <w:p w:rsidR="00594D5B" w:rsidRPr="00DE2D55" w:rsidRDefault="00594D5B" w:rsidP="00FE560B">
            <w:pPr>
              <w:tabs>
                <w:tab w:val="left" w:pos="0"/>
              </w:tabs>
              <w:jc w:val="both"/>
              <w:rPr>
                <w:rFonts w:cs="Calibri"/>
                <w:noProof/>
              </w:rPr>
            </w:pPr>
            <w:r w:rsidRPr="00DE2D55">
              <w:rPr>
                <w:rFonts w:cs="Calibri"/>
                <w:noProof/>
              </w:rPr>
              <w:t xml:space="preserve">1.4.2 Ambiente para computação na nuvem implantado. </w:t>
            </w:r>
          </w:p>
        </w:tc>
        <w:tc>
          <w:tcPr>
            <w:tcW w:w="606" w:type="pct"/>
            <w:shd w:val="clear" w:color="auto" w:fill="auto"/>
          </w:tcPr>
          <w:p w:rsidR="00594D5B" w:rsidRPr="00555E76" w:rsidRDefault="00594D5B" w:rsidP="00FE560B">
            <w:pPr>
              <w:tabs>
                <w:tab w:val="left" w:pos="0"/>
              </w:tabs>
              <w:jc w:val="center"/>
              <w:rPr>
                <w:rFonts w:cs="Calibri"/>
                <w:noProof/>
              </w:rPr>
            </w:pPr>
            <w:r w:rsidRPr="00555E76">
              <w:rPr>
                <w:rFonts w:cs="Calibri"/>
                <w:noProof/>
              </w:rPr>
              <w:t>1</w:t>
            </w:r>
          </w:p>
        </w:tc>
      </w:tr>
    </w:tbl>
    <w:p w:rsidR="00594D5B" w:rsidRPr="00DE2D55" w:rsidRDefault="00594D5B" w:rsidP="00FE560B">
      <w:pPr>
        <w:tabs>
          <w:tab w:val="left" w:pos="0"/>
        </w:tabs>
        <w:jc w:val="both"/>
        <w:rPr>
          <w:rFonts w:cs="Calibri"/>
          <w:b/>
        </w:rPr>
      </w:pPr>
    </w:p>
    <w:p w:rsidR="00594D5B" w:rsidRPr="00DE2D55" w:rsidRDefault="00594D5B" w:rsidP="00FE560B">
      <w:pPr>
        <w:tabs>
          <w:tab w:val="left" w:pos="0"/>
        </w:tabs>
        <w:jc w:val="both"/>
        <w:rPr>
          <w:rFonts w:cs="Calibri"/>
          <w:b/>
        </w:rPr>
      </w:pPr>
      <w:r w:rsidRPr="00DE2D55">
        <w:rPr>
          <w:rFonts w:cs="Calibri"/>
          <w:b/>
        </w:rPr>
        <w:t>Meta e indicador de EXECUÇÃO do Produto: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3"/>
        <w:gridCol w:w="887"/>
      </w:tblGrid>
      <w:tr w:rsidR="00594D5B" w:rsidRPr="00DE2D55" w:rsidTr="00594D5B">
        <w:trPr>
          <w:jc w:val="center"/>
        </w:trPr>
        <w:tc>
          <w:tcPr>
            <w:tcW w:w="4546" w:type="pct"/>
            <w:shd w:val="clear" w:color="auto" w:fill="C5E0B3"/>
          </w:tcPr>
          <w:p w:rsidR="00594D5B" w:rsidRPr="00DE2D55" w:rsidRDefault="00594D5B" w:rsidP="00FE560B">
            <w:pPr>
              <w:tabs>
                <w:tab w:val="left" w:pos="0"/>
              </w:tabs>
              <w:jc w:val="both"/>
              <w:rPr>
                <w:rFonts w:cs="Calibri"/>
                <w:b/>
                <w:bCs/>
              </w:rPr>
            </w:pPr>
            <w:r w:rsidRPr="00DE2D55">
              <w:rPr>
                <w:rFonts w:cs="Calibri"/>
                <w:b/>
                <w:bCs/>
              </w:rPr>
              <w:t>Indicador do Produto</w:t>
            </w:r>
          </w:p>
        </w:tc>
        <w:tc>
          <w:tcPr>
            <w:tcW w:w="454" w:type="pct"/>
            <w:shd w:val="clear" w:color="auto" w:fill="C5E0B3"/>
          </w:tcPr>
          <w:p w:rsidR="00594D5B" w:rsidRPr="00DE2D55" w:rsidRDefault="00594D5B" w:rsidP="00FE560B">
            <w:pPr>
              <w:tabs>
                <w:tab w:val="left" w:pos="0"/>
              </w:tabs>
              <w:jc w:val="both"/>
              <w:rPr>
                <w:rFonts w:cs="Calibri"/>
                <w:b/>
                <w:bCs/>
              </w:rPr>
            </w:pPr>
            <w:r w:rsidRPr="00DE2D55">
              <w:rPr>
                <w:rFonts w:cs="Calibri"/>
                <w:b/>
                <w:bCs/>
              </w:rPr>
              <w:t>Metas</w:t>
            </w:r>
          </w:p>
        </w:tc>
      </w:tr>
      <w:tr w:rsidR="00594D5B" w:rsidRPr="00555E76" w:rsidTr="00594D5B">
        <w:trPr>
          <w:jc w:val="center"/>
        </w:trPr>
        <w:tc>
          <w:tcPr>
            <w:tcW w:w="4546" w:type="pct"/>
            <w:shd w:val="clear" w:color="auto" w:fill="auto"/>
          </w:tcPr>
          <w:p w:rsidR="00594D5B" w:rsidRPr="00DE2D55" w:rsidRDefault="00594D5B" w:rsidP="00FE560B">
            <w:pPr>
              <w:tabs>
                <w:tab w:val="left" w:pos="0"/>
              </w:tabs>
              <w:jc w:val="both"/>
              <w:rPr>
                <w:rFonts w:cs="Calibri"/>
                <w:noProof/>
              </w:rPr>
            </w:pPr>
            <w:r w:rsidRPr="00555E76">
              <w:rPr>
                <w:rFonts w:cs="Calibri"/>
                <w:b/>
                <w:noProof/>
              </w:rPr>
              <w:t>P1.4</w:t>
            </w:r>
            <w:r w:rsidRPr="00555E76">
              <w:rPr>
                <w:rFonts w:cs="Calibri"/>
                <w:noProof/>
              </w:rPr>
              <w:t xml:space="preserve"> Modelo de Gestão de Tecnologia da Informação e Comunicação (TIC) atualizado</w:t>
            </w:r>
          </w:p>
        </w:tc>
        <w:tc>
          <w:tcPr>
            <w:tcW w:w="454" w:type="pct"/>
            <w:shd w:val="clear" w:color="auto" w:fill="auto"/>
            <w:vAlign w:val="center"/>
          </w:tcPr>
          <w:p w:rsidR="00594D5B" w:rsidRPr="00555E76" w:rsidRDefault="00594D5B" w:rsidP="00FE560B">
            <w:pPr>
              <w:tabs>
                <w:tab w:val="left" w:pos="0"/>
              </w:tabs>
              <w:jc w:val="center"/>
              <w:rPr>
                <w:rFonts w:cs="Calibri"/>
                <w:noProof/>
              </w:rPr>
            </w:pPr>
            <w:r w:rsidRPr="00555E76">
              <w:rPr>
                <w:rFonts w:cs="Calibri"/>
                <w:noProof/>
              </w:rPr>
              <w:t>1</w:t>
            </w:r>
          </w:p>
        </w:tc>
      </w:tr>
    </w:tbl>
    <w:p w:rsidR="00555E76" w:rsidRPr="00555E76" w:rsidRDefault="00555E76" w:rsidP="00FE560B">
      <w:pPr>
        <w:rPr>
          <w:rFonts w:cs="Calibri"/>
          <w:b/>
        </w:rPr>
      </w:pPr>
    </w:p>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50" w:name="_Toc517282075"/>
      <w:r w:rsidRPr="00C521DC">
        <w:rPr>
          <w:rFonts w:cs="Calibri"/>
          <w:b/>
        </w:rPr>
        <w:t>ASPECTO</w:t>
      </w:r>
      <w:r w:rsidR="00C521DC">
        <w:rPr>
          <w:rFonts w:cs="Calibri"/>
          <w:b/>
        </w:rPr>
        <w:t>S INOVADORES</w:t>
      </w:r>
      <w:r w:rsidRPr="00C521DC">
        <w:rPr>
          <w:rFonts w:cs="Calibri"/>
          <w:b/>
        </w:rPr>
        <w:t xml:space="preserve"> DO PRODUTO</w:t>
      </w:r>
      <w:bookmarkEnd w:id="50"/>
    </w:p>
    <w:p w:rsidR="00C521DC" w:rsidRDefault="00C521DC" w:rsidP="00FE560B">
      <w:pPr>
        <w:pStyle w:val="PargrafodaLista"/>
        <w:tabs>
          <w:tab w:val="left" w:pos="0"/>
        </w:tabs>
        <w:ind w:left="360"/>
        <w:jc w:val="both"/>
      </w:pPr>
    </w:p>
    <w:p w:rsidR="00594D5B" w:rsidRPr="00DE2D55" w:rsidRDefault="00594D5B" w:rsidP="00FE560B">
      <w:pPr>
        <w:pStyle w:val="PargrafodaLista"/>
        <w:numPr>
          <w:ilvl w:val="0"/>
          <w:numId w:val="43"/>
        </w:numPr>
        <w:tabs>
          <w:tab w:val="left" w:pos="0"/>
        </w:tabs>
        <w:jc w:val="both"/>
      </w:pPr>
      <w:r w:rsidRPr="00DE2D55">
        <w:t xml:space="preserve">A existência de uma plataforma de BIG Data ampliará as visões disponíveis para análise fiscal. </w:t>
      </w:r>
    </w:p>
    <w:p w:rsidR="00594D5B" w:rsidRPr="00DE2D55" w:rsidRDefault="00594D5B" w:rsidP="00FE560B">
      <w:pPr>
        <w:pStyle w:val="PargrafodaLista"/>
        <w:numPr>
          <w:ilvl w:val="0"/>
          <w:numId w:val="43"/>
        </w:numPr>
        <w:tabs>
          <w:tab w:val="left" w:pos="0"/>
        </w:tabs>
        <w:jc w:val="both"/>
      </w:pPr>
      <w:r w:rsidRPr="00DE2D55">
        <w:t xml:space="preserve">Sistemas de monitoramento quando automatizados para prever o comportamento das aplicações inviabilizam a ação de bots. </w:t>
      </w:r>
    </w:p>
    <w:p w:rsidR="00594D5B" w:rsidRPr="00DE2D55" w:rsidRDefault="00594D5B" w:rsidP="00FE560B">
      <w:pPr>
        <w:pStyle w:val="PargrafodaLista"/>
        <w:numPr>
          <w:ilvl w:val="0"/>
          <w:numId w:val="43"/>
        </w:numPr>
        <w:tabs>
          <w:tab w:val="left" w:pos="0"/>
        </w:tabs>
        <w:jc w:val="both"/>
      </w:pPr>
      <w:r w:rsidRPr="00DE2D55">
        <w:t>Mudança nos procedimentos para disponibilização de serviços de TIC;</w:t>
      </w:r>
    </w:p>
    <w:p w:rsidR="00594D5B" w:rsidRPr="00DE2D55" w:rsidRDefault="00594D5B" w:rsidP="00FE560B">
      <w:pPr>
        <w:pStyle w:val="PargrafodaLista"/>
        <w:numPr>
          <w:ilvl w:val="0"/>
          <w:numId w:val="43"/>
        </w:numPr>
        <w:tabs>
          <w:tab w:val="left" w:pos="0"/>
        </w:tabs>
        <w:jc w:val="both"/>
      </w:pPr>
      <w:r w:rsidRPr="00DE2D55">
        <w:t xml:space="preserve">Mudança na contratação de serviços de TIC; </w:t>
      </w:r>
    </w:p>
    <w:p w:rsidR="00594D5B" w:rsidRPr="00DE2D55" w:rsidRDefault="00594D5B" w:rsidP="00FE560B">
      <w:pPr>
        <w:pStyle w:val="PargrafodaLista"/>
        <w:numPr>
          <w:ilvl w:val="0"/>
          <w:numId w:val="43"/>
        </w:numPr>
        <w:tabs>
          <w:tab w:val="left" w:pos="0"/>
        </w:tabs>
        <w:jc w:val="both"/>
      </w:pPr>
      <w:r w:rsidRPr="00DE2D55">
        <w:t xml:space="preserve">Mudança na gestão de recursos de TIC; </w:t>
      </w:r>
    </w:p>
    <w:p w:rsidR="00594D5B" w:rsidRPr="00DE2D55" w:rsidRDefault="00594D5B" w:rsidP="00FE560B">
      <w:pPr>
        <w:pStyle w:val="PargrafodaLista"/>
        <w:numPr>
          <w:ilvl w:val="0"/>
          <w:numId w:val="43"/>
        </w:numPr>
        <w:tabs>
          <w:tab w:val="left" w:pos="0"/>
        </w:tabs>
        <w:jc w:val="both"/>
      </w:pPr>
      <w:r w:rsidRPr="00DE2D55">
        <w:t>Adoção das melhores práticas e recursos tecnológicos de coparticipação e colaboração para elaboração do PDTI;</w:t>
      </w:r>
    </w:p>
    <w:p w:rsidR="00C521DC" w:rsidRPr="00DE2D55" w:rsidRDefault="00C521DC" w:rsidP="00FE560B">
      <w:pPr>
        <w:tabs>
          <w:tab w:val="left" w:pos="0"/>
        </w:tabs>
        <w:suppressAutoHyphens/>
        <w:jc w:val="both"/>
        <w:rPr>
          <w:rFonts w:eastAsia="Times New Roman" w:cs="Arial"/>
          <w:lang w:eastAsia="pt-BR"/>
        </w:rPr>
      </w:pPr>
    </w:p>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51" w:name="_Toc517282076"/>
      <w:r w:rsidRPr="00DE2D55">
        <w:rPr>
          <w:rFonts w:cs="Calibri"/>
          <w:b/>
        </w:rPr>
        <w:t>IMPACTOS POTENCIAIS</w:t>
      </w:r>
      <w:bookmarkEnd w:id="51"/>
    </w:p>
    <w:p w:rsidR="00476BC6" w:rsidRPr="00DE2D55" w:rsidRDefault="00476BC6" w:rsidP="00FE560B">
      <w:pPr>
        <w:tabs>
          <w:tab w:val="left" w:pos="0"/>
        </w:tabs>
        <w:jc w:val="both"/>
      </w:pPr>
    </w:p>
    <w:p w:rsidR="00594D5B" w:rsidRPr="00DE2D55" w:rsidRDefault="00594D5B" w:rsidP="00FE560B">
      <w:pPr>
        <w:tabs>
          <w:tab w:val="left" w:pos="0"/>
        </w:tabs>
        <w:jc w:val="both"/>
      </w:pPr>
      <w:bookmarkStart w:id="52" w:name="_Toc504989867"/>
      <w:r w:rsidRPr="00DE2D55">
        <w:t>Para aumento da arrecadação:</w:t>
      </w:r>
      <w:bookmarkEnd w:id="52"/>
      <w:r w:rsidRPr="00DE2D55">
        <w:tab/>
      </w:r>
    </w:p>
    <w:p w:rsidR="00594D5B" w:rsidRPr="00DE2D55" w:rsidRDefault="00594D5B" w:rsidP="00FE560B">
      <w:pPr>
        <w:pStyle w:val="PargrafodaLista"/>
        <w:numPr>
          <w:ilvl w:val="0"/>
          <w:numId w:val="42"/>
        </w:numPr>
        <w:tabs>
          <w:tab w:val="left" w:pos="0"/>
        </w:tabs>
        <w:jc w:val="both"/>
      </w:pPr>
      <w:r w:rsidRPr="00DE2D55">
        <w:t>Possibilitar a evolução das malhas fiscais através de novas tecnologias de análise de dados, a fim de garantir o recolhimento dos tributos devidos;</w:t>
      </w:r>
    </w:p>
    <w:p w:rsidR="00594D5B" w:rsidRPr="00DE2D55" w:rsidRDefault="00594D5B" w:rsidP="00FE560B">
      <w:pPr>
        <w:pStyle w:val="PargrafodaLista"/>
        <w:numPr>
          <w:ilvl w:val="0"/>
          <w:numId w:val="42"/>
        </w:numPr>
        <w:tabs>
          <w:tab w:val="left" w:pos="0"/>
        </w:tabs>
        <w:jc w:val="both"/>
      </w:pPr>
      <w:r w:rsidRPr="00DE2D55">
        <w:t xml:space="preserve">Implementação de novos modelos de controle e monitoramento de TIC que gerem celeridade, governabilidade, eficiência e eficácia. </w:t>
      </w:r>
    </w:p>
    <w:p w:rsidR="00594D5B" w:rsidRPr="00DE2D55" w:rsidRDefault="00594D5B" w:rsidP="00FE560B">
      <w:pPr>
        <w:pStyle w:val="PargrafodaLista"/>
        <w:tabs>
          <w:tab w:val="left" w:pos="0"/>
        </w:tabs>
        <w:ind w:left="1068"/>
        <w:jc w:val="both"/>
      </w:pPr>
    </w:p>
    <w:p w:rsidR="00594D5B" w:rsidRPr="00DE2D55" w:rsidRDefault="00594D5B" w:rsidP="00FE560B">
      <w:pPr>
        <w:tabs>
          <w:tab w:val="left" w:pos="0"/>
        </w:tabs>
        <w:jc w:val="both"/>
      </w:pPr>
      <w:bookmarkStart w:id="53" w:name="_Toc504989868"/>
      <w:r w:rsidRPr="00DE2D55">
        <w:t>Para redução dos gastos ou aumento da sua eficiência:</w:t>
      </w:r>
      <w:bookmarkEnd w:id="53"/>
    </w:p>
    <w:p w:rsidR="00594D5B" w:rsidRPr="00DE2D55" w:rsidRDefault="00594D5B" w:rsidP="00FE560B">
      <w:pPr>
        <w:pStyle w:val="PargrafodaLista"/>
        <w:numPr>
          <w:ilvl w:val="0"/>
          <w:numId w:val="42"/>
        </w:numPr>
        <w:tabs>
          <w:tab w:val="left" w:pos="0"/>
        </w:tabs>
        <w:jc w:val="both"/>
      </w:pPr>
      <w:r w:rsidRPr="00DE2D55">
        <w:t>Otimização do ciclo de desenvolvimento de software, pelo uso de tecnologias atualizadas;</w:t>
      </w:r>
    </w:p>
    <w:p w:rsidR="00594D5B" w:rsidRPr="00DE2D55" w:rsidRDefault="00594D5B" w:rsidP="00FE560B">
      <w:pPr>
        <w:pStyle w:val="PargrafodaLista"/>
        <w:numPr>
          <w:ilvl w:val="0"/>
          <w:numId w:val="42"/>
        </w:numPr>
        <w:tabs>
          <w:tab w:val="left" w:pos="0"/>
        </w:tabs>
        <w:jc w:val="both"/>
      </w:pPr>
      <w:r w:rsidRPr="00DE2D55">
        <w:t>Redução do custo de manutenção corretiva, através da adoção de metodologias ágeis e análise de negócio mais eficiente;</w:t>
      </w:r>
    </w:p>
    <w:p w:rsidR="00594D5B" w:rsidRPr="00DE2D55" w:rsidRDefault="00594D5B" w:rsidP="00FE560B">
      <w:pPr>
        <w:tabs>
          <w:tab w:val="left" w:pos="0"/>
        </w:tabs>
        <w:jc w:val="both"/>
      </w:pPr>
    </w:p>
    <w:p w:rsidR="00594D5B" w:rsidRPr="00DE2D55" w:rsidRDefault="00594D5B" w:rsidP="00FE560B">
      <w:pPr>
        <w:tabs>
          <w:tab w:val="left" w:pos="0"/>
        </w:tabs>
        <w:jc w:val="both"/>
      </w:pPr>
      <w:bookmarkStart w:id="54" w:name="_Toc504989869"/>
      <w:r w:rsidRPr="00DE2D55">
        <w:t>Para a melhoria dos serviços ao contribuinte e ao cidadão:</w:t>
      </w:r>
      <w:bookmarkEnd w:id="54"/>
    </w:p>
    <w:p w:rsidR="00594D5B" w:rsidRDefault="00594D5B" w:rsidP="00FE560B">
      <w:pPr>
        <w:pStyle w:val="PargrafodaLista"/>
        <w:numPr>
          <w:ilvl w:val="0"/>
          <w:numId w:val="42"/>
        </w:numPr>
        <w:tabs>
          <w:tab w:val="left" w:pos="0"/>
        </w:tabs>
        <w:jc w:val="both"/>
      </w:pPr>
      <w:r w:rsidRPr="00DE2D55">
        <w:t>Disponibilização de um maior número de serviços ao contribuinte e ao cidadão, através da WEB e arquitetura de computação móvel (mobile – celulares, tablets, etc).</w:t>
      </w:r>
    </w:p>
    <w:p w:rsidR="00555E76" w:rsidRPr="00DE2D55" w:rsidRDefault="00555E76" w:rsidP="00FE560B">
      <w:pPr>
        <w:pStyle w:val="PargrafodaLista"/>
        <w:tabs>
          <w:tab w:val="left" w:pos="0"/>
        </w:tabs>
        <w:ind w:left="1068"/>
        <w:jc w:val="both"/>
      </w:pPr>
    </w:p>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55" w:name="_Toc504989870"/>
      <w:bookmarkStart w:id="56" w:name="_Toc517282077"/>
      <w:r w:rsidRPr="00DE2D55">
        <w:rPr>
          <w:rFonts w:cs="Calibri"/>
          <w:b/>
        </w:rPr>
        <w:t>RISCOS DE EXECUÇÃO DOS PRODUTOS</w:t>
      </w:r>
      <w:bookmarkEnd w:id="55"/>
      <w:bookmarkEnd w:id="56"/>
    </w:p>
    <w:p w:rsidR="00594D5B" w:rsidRPr="00DE2D55" w:rsidRDefault="00594D5B" w:rsidP="00FE560B">
      <w:pPr>
        <w:tabs>
          <w:tab w:val="left" w:pos="0"/>
        </w:tabs>
        <w:jc w:val="both"/>
      </w:pPr>
    </w:p>
    <w:p w:rsidR="00594D5B" w:rsidRPr="00DE2D55" w:rsidRDefault="00594D5B" w:rsidP="00FE560B">
      <w:pPr>
        <w:pStyle w:val="PargrafodaLista"/>
        <w:numPr>
          <w:ilvl w:val="0"/>
          <w:numId w:val="44"/>
        </w:numPr>
        <w:tabs>
          <w:tab w:val="left" w:pos="0"/>
        </w:tabs>
        <w:jc w:val="both"/>
      </w:pPr>
      <w:r w:rsidRPr="00DE2D55">
        <w:t>Resistências culturais e corporativas;</w:t>
      </w:r>
    </w:p>
    <w:p w:rsidR="00594D5B" w:rsidRPr="00DE2D55" w:rsidRDefault="00594D5B" w:rsidP="00FE560B">
      <w:pPr>
        <w:pStyle w:val="PargrafodaLista"/>
        <w:numPr>
          <w:ilvl w:val="0"/>
          <w:numId w:val="44"/>
        </w:numPr>
        <w:tabs>
          <w:tab w:val="left" w:pos="0"/>
        </w:tabs>
        <w:jc w:val="both"/>
      </w:pPr>
      <w:r w:rsidRPr="00DE2D55">
        <w:t>Não engajamento das lideranças;</w:t>
      </w:r>
    </w:p>
    <w:p w:rsidR="00594D5B" w:rsidRPr="00DE2D55" w:rsidRDefault="00594D5B" w:rsidP="00FE560B">
      <w:pPr>
        <w:pStyle w:val="PargrafodaLista"/>
        <w:numPr>
          <w:ilvl w:val="0"/>
          <w:numId w:val="44"/>
        </w:numPr>
        <w:tabs>
          <w:tab w:val="left" w:pos="0"/>
        </w:tabs>
        <w:jc w:val="both"/>
      </w:pPr>
      <w:r w:rsidRPr="00DE2D55">
        <w:t>Indisponibilidade de recursos das unidades Gerência de Tecnológia;</w:t>
      </w:r>
    </w:p>
    <w:p w:rsidR="00594D5B" w:rsidRPr="00DE2D55" w:rsidRDefault="00594D5B" w:rsidP="00FE560B">
      <w:pPr>
        <w:pStyle w:val="PargrafodaLista"/>
        <w:numPr>
          <w:ilvl w:val="0"/>
          <w:numId w:val="44"/>
        </w:numPr>
        <w:tabs>
          <w:tab w:val="left" w:pos="0"/>
        </w:tabs>
        <w:jc w:val="both"/>
      </w:pPr>
      <w:r w:rsidRPr="00DE2D55">
        <w:t>Entraves burocráticos e políticos quanto à definição de prioridades;</w:t>
      </w:r>
    </w:p>
    <w:p w:rsidR="00594D5B" w:rsidRPr="00DE2D55" w:rsidRDefault="00594D5B" w:rsidP="00FE560B">
      <w:pPr>
        <w:pStyle w:val="PargrafodaLista"/>
        <w:numPr>
          <w:ilvl w:val="0"/>
          <w:numId w:val="44"/>
        </w:numPr>
        <w:tabs>
          <w:tab w:val="left" w:pos="0"/>
        </w:tabs>
        <w:jc w:val="both"/>
      </w:pPr>
      <w:r w:rsidRPr="00DE2D55">
        <w:t>Falta de capacitação dos colaboradores nas novas tecnologias ou soluções adotadas;</w:t>
      </w:r>
    </w:p>
    <w:p w:rsidR="00594D5B" w:rsidRPr="00DE2D55" w:rsidRDefault="00594D5B" w:rsidP="00FE560B">
      <w:pPr>
        <w:pStyle w:val="PargrafodaLista"/>
        <w:numPr>
          <w:ilvl w:val="0"/>
          <w:numId w:val="44"/>
        </w:numPr>
        <w:tabs>
          <w:tab w:val="left" w:pos="0"/>
        </w:tabs>
        <w:jc w:val="both"/>
      </w:pPr>
      <w:r w:rsidRPr="00DE2D55">
        <w:t>Alta concorrência com projetos governamentais;</w:t>
      </w:r>
    </w:p>
    <w:p w:rsidR="00594D5B" w:rsidRPr="00DE2D55" w:rsidRDefault="00594D5B" w:rsidP="00FE560B">
      <w:pPr>
        <w:pStyle w:val="PargrafodaLista"/>
        <w:numPr>
          <w:ilvl w:val="0"/>
          <w:numId w:val="44"/>
        </w:numPr>
        <w:tabs>
          <w:tab w:val="left" w:pos="0"/>
        </w:tabs>
        <w:jc w:val="both"/>
      </w:pPr>
      <w:r w:rsidRPr="00DE2D55">
        <w:t>Baixa celeridade nos processos de aquisição e contratação de recursos.</w:t>
      </w:r>
    </w:p>
    <w:p w:rsidR="00C521DC" w:rsidRDefault="00C521DC" w:rsidP="00FE560B">
      <w:pPr>
        <w:pStyle w:val="PargrafodaLista"/>
        <w:tabs>
          <w:tab w:val="left" w:pos="0"/>
        </w:tabs>
        <w:ind w:left="1068"/>
        <w:jc w:val="both"/>
      </w:pPr>
    </w:p>
    <w:p w:rsidR="00594D5B" w:rsidRPr="00DE2D55" w:rsidRDefault="00555E76"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57" w:name="_Toc517282078"/>
      <w:r>
        <w:rPr>
          <w:rFonts w:cs="Calibri"/>
          <w:b/>
        </w:rPr>
        <w:t>QUADRO DE CUSTOS DO PRODUTO</w:t>
      </w:r>
      <w:r w:rsidR="00594D5B" w:rsidRPr="00DE2D55">
        <w:rPr>
          <w:rFonts w:cs="Calibri"/>
          <w:b/>
        </w:rPr>
        <w:t xml:space="preserve"> POR TIPO DE INVESTIMENTO</w:t>
      </w:r>
      <w:bookmarkEnd w:id="57"/>
    </w:p>
    <w:tbl>
      <w:tblPr>
        <w:tblW w:w="5000" w:type="pct"/>
        <w:tblLayout w:type="fixed"/>
        <w:tblCellMar>
          <w:left w:w="70" w:type="dxa"/>
          <w:right w:w="70" w:type="dxa"/>
        </w:tblCellMar>
        <w:tblLook w:val="04A0" w:firstRow="1" w:lastRow="0" w:firstColumn="1" w:lastColumn="0" w:noHBand="0" w:noVBand="1"/>
      </w:tblPr>
      <w:tblGrid>
        <w:gridCol w:w="704"/>
        <w:gridCol w:w="5241"/>
        <w:gridCol w:w="712"/>
        <w:gridCol w:w="851"/>
        <w:gridCol w:w="1134"/>
        <w:gridCol w:w="1118"/>
      </w:tblGrid>
      <w:tr w:rsidR="00533F4F" w:rsidRPr="00533F4F" w:rsidTr="00FF726C">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C5E0B3"/>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Calibri"/>
                <w:b/>
                <w:bCs/>
                <w:color w:val="000000"/>
                <w:sz w:val="20"/>
                <w:szCs w:val="20"/>
                <w:lang w:eastAsia="pt-BR"/>
              </w:rPr>
              <w:t>Capacitação</w:t>
            </w:r>
          </w:p>
        </w:tc>
      </w:tr>
      <w:tr w:rsidR="00FF726C" w:rsidRPr="00FF726C" w:rsidTr="00FF726C">
        <w:trPr>
          <w:trHeight w:val="20"/>
        </w:trPr>
        <w:tc>
          <w:tcPr>
            <w:tcW w:w="360" w:type="pct"/>
            <w:tcBorders>
              <w:top w:val="nil"/>
              <w:left w:val="single" w:sz="8" w:space="0" w:color="auto"/>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SubP</w:t>
            </w:r>
          </w:p>
        </w:tc>
        <w:tc>
          <w:tcPr>
            <w:tcW w:w="2685"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Descrição detalhada</w:t>
            </w:r>
          </w:p>
        </w:tc>
        <w:tc>
          <w:tcPr>
            <w:tcW w:w="365"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Calibri"/>
                <w:b/>
                <w:bCs/>
                <w:color w:val="000000"/>
                <w:sz w:val="20"/>
                <w:szCs w:val="20"/>
                <w:lang w:eastAsia="pt-BR"/>
              </w:rPr>
              <w:t>Unid.</w:t>
            </w:r>
          </w:p>
        </w:tc>
        <w:tc>
          <w:tcPr>
            <w:tcW w:w="436"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Quant</w:t>
            </w:r>
            <w:r w:rsidRPr="00FF726C">
              <w:rPr>
                <w:rFonts w:ascii="Calibri" w:eastAsia="Times New Roman" w:hAnsi="Calibri" w:cs="Calibri"/>
                <w:b/>
                <w:bCs/>
                <w:color w:val="000000"/>
                <w:sz w:val="20"/>
                <w:szCs w:val="20"/>
                <w:lang w:eastAsia="pt-BR"/>
              </w:rPr>
              <w:t>.</w:t>
            </w:r>
          </w:p>
        </w:tc>
        <w:tc>
          <w:tcPr>
            <w:tcW w:w="581"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unit.</w:t>
            </w:r>
          </w:p>
        </w:tc>
        <w:tc>
          <w:tcPr>
            <w:tcW w:w="573"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total</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Capacitação para PDTI</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FF726C" w:rsidP="00FE560B">
            <w:pPr>
              <w:spacing w:line="240" w:lineRule="auto"/>
              <w:jc w:val="both"/>
              <w:rPr>
                <w:rFonts w:ascii="Calibri" w:eastAsia="Times New Roman" w:hAnsi="Calibri" w:cs="Times New Roman"/>
                <w:color w:val="000000"/>
                <w:sz w:val="20"/>
                <w:szCs w:val="20"/>
                <w:lang w:eastAsia="pt-BR"/>
              </w:rPr>
            </w:pPr>
            <w:r w:rsidRPr="00FF726C">
              <w:rPr>
                <w:rFonts w:ascii="Calibri" w:eastAsia="Times New Roman" w:hAnsi="Calibri" w:cs="Times New Roman"/>
                <w:color w:val="000000"/>
                <w:sz w:val="20"/>
                <w:szCs w:val="20"/>
                <w:lang w:eastAsia="pt-BR"/>
              </w:rPr>
              <w:t>Partic.</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20</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3500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70.000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Visita técnica para conhecer modelos eficazes de PDTI</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FF726C" w:rsidP="00FE560B">
            <w:pPr>
              <w:spacing w:line="240" w:lineRule="auto"/>
              <w:jc w:val="both"/>
              <w:rPr>
                <w:rFonts w:ascii="Calibri" w:eastAsia="Times New Roman" w:hAnsi="Calibri" w:cs="Times New Roman"/>
                <w:color w:val="000000"/>
                <w:sz w:val="20"/>
                <w:szCs w:val="20"/>
                <w:lang w:eastAsia="pt-BR"/>
              </w:rPr>
            </w:pPr>
            <w:r w:rsidRPr="00FF726C">
              <w:rPr>
                <w:rFonts w:ascii="Calibri" w:eastAsia="Times New Roman" w:hAnsi="Calibri" w:cs="Times New Roman"/>
                <w:color w:val="000000"/>
                <w:sz w:val="20"/>
                <w:szCs w:val="20"/>
                <w:lang w:eastAsia="pt-BR"/>
              </w:rPr>
              <w:t>Partic.</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6</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12.000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Capacitação em ferramentas tecnológicas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FF726C" w:rsidP="00FE560B">
            <w:pPr>
              <w:spacing w:line="240" w:lineRule="auto"/>
              <w:jc w:val="both"/>
              <w:rPr>
                <w:rFonts w:ascii="Calibri" w:eastAsia="Times New Roman" w:hAnsi="Calibri" w:cs="Times New Roman"/>
                <w:color w:val="000000"/>
                <w:sz w:val="20"/>
                <w:szCs w:val="20"/>
                <w:lang w:eastAsia="pt-BR"/>
              </w:rPr>
            </w:pPr>
            <w:r w:rsidRPr="00FF726C">
              <w:rPr>
                <w:rFonts w:ascii="Calibri" w:eastAsia="Times New Roman" w:hAnsi="Calibri" w:cs="Times New Roman"/>
                <w:color w:val="000000"/>
                <w:sz w:val="20"/>
                <w:szCs w:val="20"/>
                <w:lang w:eastAsia="pt-BR"/>
              </w:rPr>
              <w:t>Partic.</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100</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1.000.000</w:t>
            </w:r>
          </w:p>
        </w:tc>
      </w:tr>
      <w:tr w:rsidR="00533F4F" w:rsidRPr="00FF726C" w:rsidTr="00FF726C">
        <w:trPr>
          <w:trHeight w:val="20"/>
        </w:trPr>
        <w:tc>
          <w:tcPr>
            <w:tcW w:w="360" w:type="pct"/>
            <w:tcBorders>
              <w:top w:val="nil"/>
              <w:left w:val="single" w:sz="8" w:space="0" w:color="auto"/>
              <w:bottom w:val="nil"/>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nil"/>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Capacitação em metodologias de desenvolvimento de sistemas</w:t>
            </w:r>
          </w:p>
        </w:tc>
        <w:tc>
          <w:tcPr>
            <w:tcW w:w="365" w:type="pct"/>
            <w:tcBorders>
              <w:top w:val="nil"/>
              <w:left w:val="nil"/>
              <w:bottom w:val="nil"/>
              <w:right w:val="single" w:sz="8" w:space="0" w:color="auto"/>
            </w:tcBorders>
            <w:shd w:val="clear" w:color="auto" w:fill="auto"/>
            <w:vAlign w:val="center"/>
            <w:hideMark/>
          </w:tcPr>
          <w:p w:rsidR="00533F4F" w:rsidRPr="00533F4F" w:rsidRDefault="00FF726C" w:rsidP="00FE560B">
            <w:pPr>
              <w:spacing w:line="240" w:lineRule="auto"/>
              <w:jc w:val="both"/>
              <w:rPr>
                <w:rFonts w:ascii="Calibri" w:eastAsia="Times New Roman" w:hAnsi="Calibri" w:cs="Times New Roman"/>
                <w:color w:val="000000"/>
                <w:sz w:val="20"/>
                <w:szCs w:val="20"/>
                <w:lang w:eastAsia="pt-BR"/>
              </w:rPr>
            </w:pPr>
            <w:r w:rsidRPr="00FF726C">
              <w:rPr>
                <w:rFonts w:ascii="Calibri" w:eastAsia="Times New Roman" w:hAnsi="Calibri" w:cs="Times New Roman"/>
                <w:color w:val="000000"/>
                <w:sz w:val="20"/>
                <w:szCs w:val="20"/>
                <w:lang w:eastAsia="pt-BR"/>
              </w:rPr>
              <w:t>Partic.</w:t>
            </w:r>
          </w:p>
        </w:tc>
        <w:tc>
          <w:tcPr>
            <w:tcW w:w="436" w:type="pct"/>
            <w:tcBorders>
              <w:top w:val="nil"/>
              <w:left w:val="nil"/>
              <w:bottom w:val="nil"/>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100</w:t>
            </w:r>
          </w:p>
        </w:tc>
        <w:tc>
          <w:tcPr>
            <w:tcW w:w="581" w:type="pct"/>
            <w:tcBorders>
              <w:top w:val="nil"/>
              <w:left w:val="nil"/>
              <w:bottom w:val="nil"/>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10000</w:t>
            </w:r>
          </w:p>
        </w:tc>
        <w:tc>
          <w:tcPr>
            <w:tcW w:w="573" w:type="pct"/>
            <w:tcBorders>
              <w:top w:val="nil"/>
              <w:left w:val="nil"/>
              <w:bottom w:val="nil"/>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1.000.000</w:t>
            </w:r>
          </w:p>
        </w:tc>
      </w:tr>
      <w:tr w:rsidR="00533F4F" w:rsidRPr="00533F4F" w:rsidTr="00FF726C">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C5E0B3"/>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Serviços De Consultoria</w:t>
            </w:r>
          </w:p>
        </w:tc>
      </w:tr>
      <w:tr w:rsidR="00FF726C" w:rsidRPr="00FF726C" w:rsidTr="00FF726C">
        <w:trPr>
          <w:trHeight w:val="20"/>
        </w:trPr>
        <w:tc>
          <w:tcPr>
            <w:tcW w:w="360" w:type="pct"/>
            <w:tcBorders>
              <w:top w:val="nil"/>
              <w:left w:val="single" w:sz="8" w:space="0" w:color="auto"/>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SubP</w:t>
            </w:r>
          </w:p>
        </w:tc>
        <w:tc>
          <w:tcPr>
            <w:tcW w:w="2685"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Descrição detalhada</w:t>
            </w:r>
          </w:p>
        </w:tc>
        <w:tc>
          <w:tcPr>
            <w:tcW w:w="365"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Calibri"/>
                <w:b/>
                <w:bCs/>
                <w:color w:val="000000"/>
                <w:sz w:val="20"/>
                <w:szCs w:val="20"/>
                <w:lang w:eastAsia="pt-BR"/>
              </w:rPr>
              <w:t>Unid.</w:t>
            </w:r>
          </w:p>
        </w:tc>
        <w:tc>
          <w:tcPr>
            <w:tcW w:w="436"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Quant</w:t>
            </w:r>
            <w:r w:rsidRPr="00FF726C">
              <w:rPr>
                <w:rFonts w:ascii="Calibri" w:eastAsia="Times New Roman" w:hAnsi="Calibri" w:cs="Calibri"/>
                <w:b/>
                <w:bCs/>
                <w:color w:val="000000"/>
                <w:sz w:val="20"/>
                <w:szCs w:val="20"/>
                <w:lang w:eastAsia="pt-BR"/>
              </w:rPr>
              <w:t>.</w:t>
            </w:r>
          </w:p>
        </w:tc>
        <w:tc>
          <w:tcPr>
            <w:tcW w:w="581"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unit.</w:t>
            </w:r>
          </w:p>
        </w:tc>
        <w:tc>
          <w:tcPr>
            <w:tcW w:w="573"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total</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Implantação, gestão e avaliação do PDTI</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h/dia</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401.000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401.000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Modelo de consulta e análise de dados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h/dia</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600.000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600.000</w:t>
            </w:r>
          </w:p>
        </w:tc>
      </w:tr>
      <w:tr w:rsidR="00533F4F" w:rsidRPr="00533F4F" w:rsidTr="00FF726C">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C5E0B3"/>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Bens</w:t>
            </w:r>
          </w:p>
        </w:tc>
      </w:tr>
      <w:tr w:rsidR="00FF726C" w:rsidRPr="00FF726C" w:rsidTr="00FF726C">
        <w:trPr>
          <w:trHeight w:val="20"/>
        </w:trPr>
        <w:tc>
          <w:tcPr>
            <w:tcW w:w="360" w:type="pct"/>
            <w:tcBorders>
              <w:top w:val="nil"/>
              <w:left w:val="single" w:sz="8" w:space="0" w:color="auto"/>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SubP</w:t>
            </w:r>
          </w:p>
        </w:tc>
        <w:tc>
          <w:tcPr>
            <w:tcW w:w="2685"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Descrição detalhada</w:t>
            </w:r>
          </w:p>
        </w:tc>
        <w:tc>
          <w:tcPr>
            <w:tcW w:w="365"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Calibri"/>
                <w:b/>
                <w:bCs/>
                <w:color w:val="000000"/>
                <w:sz w:val="20"/>
                <w:szCs w:val="20"/>
                <w:lang w:eastAsia="pt-BR"/>
              </w:rPr>
              <w:t>Unid.</w:t>
            </w:r>
          </w:p>
        </w:tc>
        <w:tc>
          <w:tcPr>
            <w:tcW w:w="436"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Quant</w:t>
            </w:r>
            <w:r w:rsidRPr="00FF726C">
              <w:rPr>
                <w:rFonts w:ascii="Calibri" w:eastAsia="Times New Roman" w:hAnsi="Calibri" w:cs="Calibri"/>
                <w:b/>
                <w:bCs/>
                <w:color w:val="000000"/>
                <w:sz w:val="20"/>
                <w:szCs w:val="20"/>
                <w:lang w:eastAsia="pt-BR"/>
              </w:rPr>
              <w:t>.</w:t>
            </w:r>
          </w:p>
        </w:tc>
        <w:tc>
          <w:tcPr>
            <w:tcW w:w="581"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unit.</w:t>
            </w:r>
          </w:p>
        </w:tc>
        <w:tc>
          <w:tcPr>
            <w:tcW w:w="573"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total</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e/ou expansão dos componentes do hardware de banco de dados Oracle.</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6.500.000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6.500.000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Adquisição de solução para o ambiente de Disaster/Recover referente a solução Oracle, podendo ser em nuvem ou fisica.</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4.300.000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4.300.000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solução destinada a Gestão de Infraestrutura de TI: servidores, infraestrutura de redes de comunicação (Routers, Switch, e Access Points e demais recursos disponibilizados).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2.000.000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2.000.000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VDI</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3.000.000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3.000.000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de servidores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2.250.000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2.250.000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para acelerar e otimizar os serviços na rede WAN – WAN Optimizantion</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1.100.000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1.100.000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de segurança e gestão de End Point</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1.800.000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1.800.000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equipamentos de TI end-points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500</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5.000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2.500.000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de auditoria do Active Directory</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350.000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350.000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de Firewall</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2.500.000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2.500.000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Switchs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3.500.000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3.500.000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solução de Hiper-Convergência para a virtualização de servidores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4.800.000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4.800.000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solução de auditoria de Acesso Remoto para as Atividades de Suporte Técnico</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solução de Governança, Risco e Conformidade</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1.200.000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1.200.000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solução para programação de tarefas e automação de carga de trabalho</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500.000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500.000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Aquisição de solução de recuperação de desastres, podendo ser em nuvem ou fisica.</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1.800.000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1.800.000</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1.4.2</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Modernização, atualização e aquisição de soluções de ferramentas para desenvolvimento de sistemas</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4.000.000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4.000.000</w:t>
            </w:r>
          </w:p>
        </w:tc>
      </w:tr>
      <w:tr w:rsidR="00533F4F" w:rsidRPr="00533F4F" w:rsidTr="00FF726C">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C5E0B3"/>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SERVIÇOS QUE NÃO SÃO DE CONSULTORIA</w:t>
            </w:r>
          </w:p>
        </w:tc>
      </w:tr>
      <w:tr w:rsidR="00FF726C" w:rsidRPr="00FF726C" w:rsidTr="00FF726C">
        <w:trPr>
          <w:trHeight w:val="20"/>
        </w:trPr>
        <w:tc>
          <w:tcPr>
            <w:tcW w:w="360" w:type="pct"/>
            <w:tcBorders>
              <w:top w:val="nil"/>
              <w:left w:val="single" w:sz="8" w:space="0" w:color="auto"/>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SubP</w:t>
            </w:r>
          </w:p>
        </w:tc>
        <w:tc>
          <w:tcPr>
            <w:tcW w:w="2685"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Descrição detalhada</w:t>
            </w:r>
          </w:p>
        </w:tc>
        <w:tc>
          <w:tcPr>
            <w:tcW w:w="365"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Calibri"/>
                <w:b/>
                <w:bCs/>
                <w:color w:val="000000"/>
                <w:sz w:val="20"/>
                <w:szCs w:val="20"/>
                <w:lang w:eastAsia="pt-BR"/>
              </w:rPr>
              <w:t>Unid.</w:t>
            </w:r>
          </w:p>
        </w:tc>
        <w:tc>
          <w:tcPr>
            <w:tcW w:w="436" w:type="pct"/>
            <w:tcBorders>
              <w:top w:val="nil"/>
              <w:left w:val="nil"/>
              <w:bottom w:val="single" w:sz="8" w:space="0" w:color="auto"/>
              <w:right w:val="single" w:sz="8" w:space="0" w:color="auto"/>
            </w:tcBorders>
            <w:shd w:val="clear" w:color="000000" w:fill="E2EFD9"/>
            <w:vAlign w:val="center"/>
            <w:hideMark/>
          </w:tcPr>
          <w:p w:rsidR="00533F4F"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Quant</w:t>
            </w:r>
            <w:r w:rsidRPr="00FF726C">
              <w:rPr>
                <w:rFonts w:ascii="Calibri" w:eastAsia="Times New Roman" w:hAnsi="Calibri" w:cs="Calibri"/>
                <w:b/>
                <w:bCs/>
                <w:color w:val="000000"/>
                <w:sz w:val="20"/>
                <w:szCs w:val="20"/>
                <w:lang w:eastAsia="pt-BR"/>
              </w:rPr>
              <w:t>.</w:t>
            </w:r>
          </w:p>
        </w:tc>
        <w:tc>
          <w:tcPr>
            <w:tcW w:w="581"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unit.</w:t>
            </w:r>
          </w:p>
        </w:tc>
        <w:tc>
          <w:tcPr>
            <w:tcW w:w="573" w:type="pct"/>
            <w:tcBorders>
              <w:top w:val="nil"/>
              <w:left w:val="nil"/>
              <w:bottom w:val="single" w:sz="8" w:space="0" w:color="auto"/>
              <w:right w:val="single" w:sz="8" w:space="0" w:color="auto"/>
            </w:tcBorders>
            <w:shd w:val="clear" w:color="000000" w:fill="E2EFD9"/>
            <w:vAlign w:val="center"/>
            <w:hideMark/>
          </w:tcPr>
          <w:p w:rsidR="00533F4F" w:rsidRPr="00533F4F" w:rsidRDefault="00533F4F" w:rsidP="00FE560B">
            <w:pPr>
              <w:spacing w:line="240" w:lineRule="auto"/>
              <w:jc w:val="both"/>
              <w:rPr>
                <w:rFonts w:ascii="Calibri" w:eastAsia="Times New Roman" w:hAnsi="Calibri" w:cs="Times New Roman"/>
                <w:b/>
                <w:bCs/>
                <w:color w:val="000000"/>
                <w:sz w:val="20"/>
                <w:szCs w:val="20"/>
                <w:lang w:eastAsia="pt-BR"/>
              </w:rPr>
            </w:pPr>
            <w:r w:rsidRPr="00533F4F">
              <w:rPr>
                <w:rFonts w:ascii="Calibri" w:eastAsia="Times New Roman" w:hAnsi="Calibri" w:cs="Calibri"/>
                <w:b/>
                <w:bCs/>
                <w:color w:val="000000"/>
                <w:sz w:val="20"/>
                <w:szCs w:val="20"/>
                <w:lang w:eastAsia="pt-BR"/>
              </w:rPr>
              <w:t>Valor total</w:t>
            </w:r>
          </w:p>
        </w:tc>
      </w:tr>
      <w:tr w:rsidR="00533F4F" w:rsidRPr="00FF726C" w:rsidTr="00FF726C">
        <w:trPr>
          <w:trHeight w:val="20"/>
        </w:trPr>
        <w:tc>
          <w:tcPr>
            <w:tcW w:w="360" w:type="pct"/>
            <w:tcBorders>
              <w:top w:val="nil"/>
              <w:left w:val="single" w:sz="8" w:space="0" w:color="auto"/>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1.4.1</w:t>
            </w:r>
          </w:p>
        </w:tc>
        <w:tc>
          <w:tcPr>
            <w:tcW w:w="268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Sistema para gestão e avaliação de PDTI</w:t>
            </w:r>
          </w:p>
        </w:tc>
        <w:tc>
          <w:tcPr>
            <w:tcW w:w="365"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Times New Roman"/>
                <w:color w:val="000000"/>
                <w:sz w:val="20"/>
                <w:szCs w:val="20"/>
                <w:lang w:eastAsia="pt-BR"/>
              </w:rPr>
              <w:t>Und</w:t>
            </w:r>
          </w:p>
        </w:tc>
        <w:tc>
          <w:tcPr>
            <w:tcW w:w="436"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w:t>
            </w:r>
          </w:p>
        </w:tc>
        <w:tc>
          <w:tcPr>
            <w:tcW w:w="581"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1.000.000</w:t>
            </w:r>
          </w:p>
        </w:tc>
        <w:tc>
          <w:tcPr>
            <w:tcW w:w="573" w:type="pct"/>
            <w:tcBorders>
              <w:top w:val="nil"/>
              <w:left w:val="nil"/>
              <w:bottom w:val="single" w:sz="8" w:space="0" w:color="auto"/>
              <w:right w:val="single" w:sz="8" w:space="0" w:color="auto"/>
            </w:tcBorders>
            <w:shd w:val="clear" w:color="auto" w:fill="auto"/>
            <w:vAlign w:val="center"/>
            <w:hideMark/>
          </w:tcPr>
          <w:p w:rsidR="00533F4F" w:rsidRPr="00533F4F" w:rsidRDefault="00533F4F" w:rsidP="00FE560B">
            <w:pPr>
              <w:spacing w:line="240" w:lineRule="auto"/>
              <w:jc w:val="both"/>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1.000.000</w:t>
            </w:r>
          </w:p>
        </w:tc>
      </w:tr>
      <w:tr w:rsidR="00FF726C" w:rsidRPr="00FF726C" w:rsidTr="00FF726C">
        <w:trPr>
          <w:trHeight w:val="20"/>
        </w:trPr>
        <w:tc>
          <w:tcPr>
            <w:tcW w:w="3846" w:type="pct"/>
            <w:gridSpan w:val="4"/>
            <w:tcBorders>
              <w:top w:val="single" w:sz="8" w:space="0" w:color="auto"/>
              <w:left w:val="single" w:sz="8" w:space="0" w:color="auto"/>
              <w:bottom w:val="single" w:sz="8" w:space="0" w:color="auto"/>
              <w:right w:val="nil"/>
            </w:tcBorders>
            <w:shd w:val="clear" w:color="auto" w:fill="auto"/>
            <w:vAlign w:val="center"/>
            <w:hideMark/>
          </w:tcPr>
          <w:p w:rsidR="00FF726C" w:rsidRPr="00FF726C" w:rsidRDefault="00FF726C" w:rsidP="00FE560B">
            <w:pPr>
              <w:spacing w:line="240" w:lineRule="auto"/>
              <w:jc w:val="center"/>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Total Geral R$</w:t>
            </w:r>
          </w:p>
        </w:tc>
        <w:tc>
          <w:tcPr>
            <w:tcW w:w="11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FF726C" w:rsidRPr="00533F4F" w:rsidRDefault="00FF726C" w:rsidP="00FE560B">
            <w:pPr>
              <w:spacing w:line="240" w:lineRule="auto"/>
              <w:jc w:val="right"/>
              <w:rPr>
                <w:rFonts w:ascii="Calibri" w:eastAsia="Times New Roman" w:hAnsi="Calibri" w:cs="Times New Roman"/>
                <w:color w:val="000000"/>
                <w:sz w:val="20"/>
                <w:szCs w:val="20"/>
                <w:lang w:eastAsia="pt-BR"/>
              </w:rPr>
            </w:pPr>
            <w:r w:rsidRPr="00FF726C">
              <w:rPr>
                <w:rFonts w:ascii="Calibri" w:eastAsia="Times New Roman" w:hAnsi="Calibri" w:cs="Calibri"/>
                <w:color w:val="000000"/>
                <w:sz w:val="20"/>
                <w:szCs w:val="20"/>
                <w:lang w:eastAsia="pt-BR"/>
              </w:rPr>
              <w:t>46.583.000,00</w:t>
            </w:r>
          </w:p>
        </w:tc>
      </w:tr>
      <w:tr w:rsidR="00FF726C" w:rsidRPr="00FF726C" w:rsidTr="00FF726C">
        <w:trPr>
          <w:trHeight w:val="20"/>
        </w:trPr>
        <w:tc>
          <w:tcPr>
            <w:tcW w:w="3846" w:type="pct"/>
            <w:gridSpan w:val="4"/>
            <w:tcBorders>
              <w:top w:val="single" w:sz="8" w:space="0" w:color="auto"/>
              <w:left w:val="single" w:sz="8" w:space="0" w:color="auto"/>
              <w:bottom w:val="single" w:sz="8" w:space="0" w:color="auto"/>
              <w:right w:val="nil"/>
            </w:tcBorders>
            <w:shd w:val="clear" w:color="auto" w:fill="auto"/>
            <w:vAlign w:val="center"/>
            <w:hideMark/>
          </w:tcPr>
          <w:p w:rsidR="00FF726C" w:rsidRPr="00FF726C" w:rsidRDefault="00FF726C" w:rsidP="00FE560B">
            <w:pPr>
              <w:spacing w:line="240" w:lineRule="auto"/>
              <w:jc w:val="center"/>
              <w:rPr>
                <w:rFonts w:ascii="Calibri" w:eastAsia="Times New Roman" w:hAnsi="Calibri" w:cs="Times New Roman"/>
                <w:color w:val="000000"/>
                <w:sz w:val="20"/>
                <w:szCs w:val="20"/>
                <w:lang w:eastAsia="pt-BR"/>
              </w:rPr>
            </w:pPr>
            <w:r w:rsidRPr="00533F4F">
              <w:rPr>
                <w:rFonts w:ascii="Calibri" w:eastAsia="Times New Roman" w:hAnsi="Calibri" w:cs="Calibri"/>
                <w:color w:val="000000"/>
                <w:sz w:val="20"/>
                <w:szCs w:val="20"/>
                <w:lang w:eastAsia="pt-BR"/>
              </w:rPr>
              <w:t>Total Geral US$</w:t>
            </w:r>
            <w:r w:rsidR="000F67FC">
              <w:rPr>
                <w:rFonts w:ascii="Calibri" w:eastAsia="Times New Roman" w:hAnsi="Calibri" w:cs="Calibri"/>
                <w:color w:val="000000"/>
                <w:sz w:val="20"/>
                <w:szCs w:val="20"/>
                <w:lang w:eastAsia="pt-BR"/>
              </w:rPr>
              <w:t xml:space="preserve"> (</w:t>
            </w:r>
            <w:r w:rsidR="000F67FC" w:rsidRPr="00FF726C">
              <w:rPr>
                <w:rFonts w:cs="Calibri"/>
                <w:i/>
                <w:sz w:val="20"/>
                <w:szCs w:val="20"/>
              </w:rPr>
              <w:t>Taxa de Câmbio R$ 3,50</w:t>
            </w:r>
            <w:r w:rsidR="000F67FC">
              <w:rPr>
                <w:rFonts w:cs="Calibri"/>
                <w:i/>
                <w:sz w:val="20"/>
                <w:szCs w:val="20"/>
              </w:rPr>
              <w:t>)</w:t>
            </w:r>
          </w:p>
        </w:tc>
        <w:tc>
          <w:tcPr>
            <w:tcW w:w="11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FF726C" w:rsidRPr="00533F4F" w:rsidRDefault="00FF726C" w:rsidP="00FE560B">
            <w:pPr>
              <w:spacing w:line="240" w:lineRule="auto"/>
              <w:jc w:val="both"/>
              <w:rPr>
                <w:rFonts w:ascii="Calibri" w:eastAsia="Times New Roman" w:hAnsi="Calibri" w:cs="Times New Roman"/>
                <w:b/>
                <w:bCs/>
                <w:color w:val="000000"/>
                <w:sz w:val="20"/>
                <w:szCs w:val="20"/>
                <w:lang w:eastAsia="pt-BR"/>
              </w:rPr>
            </w:pPr>
            <w:r w:rsidRPr="00FF726C">
              <w:rPr>
                <w:rFonts w:ascii="Calibri" w:eastAsia="Times New Roman" w:hAnsi="Calibri" w:cs="Times New Roman"/>
                <w:color w:val="000000"/>
                <w:sz w:val="20"/>
                <w:szCs w:val="20"/>
                <w:lang w:eastAsia="pt-BR"/>
              </w:rPr>
              <w:t xml:space="preserve">                </w:t>
            </w:r>
            <w:r w:rsidR="000F67FC">
              <w:rPr>
                <w:rFonts w:ascii="Calibri" w:eastAsia="Times New Roman" w:hAnsi="Calibri" w:cs="Times New Roman"/>
                <w:color w:val="000000"/>
                <w:sz w:val="20"/>
                <w:szCs w:val="20"/>
                <w:lang w:eastAsia="pt-BR"/>
              </w:rPr>
              <w:t xml:space="preserve">    </w:t>
            </w:r>
            <w:r w:rsidRPr="00533F4F">
              <w:rPr>
                <w:rFonts w:ascii="Calibri" w:eastAsia="Times New Roman" w:hAnsi="Calibri" w:cs="Times New Roman"/>
                <w:color w:val="000000"/>
                <w:sz w:val="20"/>
                <w:szCs w:val="20"/>
                <w:lang w:eastAsia="pt-BR"/>
              </w:rPr>
              <w:t>13.309.429,00</w:t>
            </w:r>
          </w:p>
        </w:tc>
      </w:tr>
    </w:tbl>
    <w:p w:rsidR="00594D5B" w:rsidRPr="00DE2D55" w:rsidRDefault="00594D5B" w:rsidP="00A249C9">
      <w:pPr>
        <w:pStyle w:val="PargrafodaLista"/>
        <w:numPr>
          <w:ilvl w:val="1"/>
          <w:numId w:val="97"/>
        </w:numPr>
        <w:pBdr>
          <w:bottom w:val="single" w:sz="12" w:space="1" w:color="auto"/>
        </w:pBdr>
        <w:tabs>
          <w:tab w:val="left" w:pos="0"/>
          <w:tab w:val="left" w:pos="426"/>
        </w:tabs>
        <w:jc w:val="both"/>
        <w:outlineLvl w:val="2"/>
        <w:rPr>
          <w:rFonts w:cs="Calibri"/>
          <w:b/>
        </w:rPr>
      </w:pPr>
      <w:bookmarkStart w:id="58" w:name="_Toc517282079"/>
      <w:r w:rsidRPr="00DE2D55">
        <w:rPr>
          <w:rFonts w:cs="Calibri"/>
          <w:b/>
        </w:rPr>
        <w:t>CRONOGRAMA PROPOSTO</w:t>
      </w:r>
      <w:bookmarkEnd w:id="58"/>
    </w:p>
    <w:p w:rsidR="00476BC6" w:rsidRPr="00DE2D55" w:rsidRDefault="00476BC6" w:rsidP="00FE560B">
      <w:pPr>
        <w:tabs>
          <w:tab w:val="left" w:pos="0"/>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830"/>
        <w:gridCol w:w="438"/>
        <w:gridCol w:w="424"/>
        <w:gridCol w:w="442"/>
        <w:gridCol w:w="422"/>
        <w:gridCol w:w="442"/>
        <w:gridCol w:w="422"/>
        <w:gridCol w:w="449"/>
        <w:gridCol w:w="414"/>
        <w:gridCol w:w="449"/>
        <w:gridCol w:w="410"/>
      </w:tblGrid>
      <w:tr w:rsidR="00594D5B" w:rsidRPr="00DE2D55" w:rsidTr="00611D38">
        <w:tc>
          <w:tcPr>
            <w:tcW w:w="321" w:type="pct"/>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No.</w:t>
            </w:r>
          </w:p>
        </w:tc>
        <w:tc>
          <w:tcPr>
            <w:tcW w:w="2472" w:type="pct"/>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Item de Custo</w:t>
            </w:r>
          </w:p>
        </w:tc>
        <w:tc>
          <w:tcPr>
            <w:tcW w:w="441"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2019</w:t>
            </w:r>
          </w:p>
        </w:tc>
        <w:tc>
          <w:tcPr>
            <w:tcW w:w="442"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2020</w:t>
            </w:r>
          </w:p>
        </w:tc>
        <w:tc>
          <w:tcPr>
            <w:tcW w:w="442"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2021</w:t>
            </w:r>
          </w:p>
        </w:tc>
        <w:tc>
          <w:tcPr>
            <w:tcW w:w="441"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2022</w:t>
            </w:r>
          </w:p>
        </w:tc>
        <w:tc>
          <w:tcPr>
            <w:tcW w:w="441"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94D5B" w:rsidRPr="00DE2D55" w:rsidRDefault="00594D5B" w:rsidP="00FE560B">
            <w:pPr>
              <w:tabs>
                <w:tab w:val="left" w:pos="0"/>
              </w:tabs>
              <w:jc w:val="both"/>
              <w:rPr>
                <w:rFonts w:cs="Calibri"/>
                <w:b/>
              </w:rPr>
            </w:pPr>
            <w:r w:rsidRPr="00DE2D55">
              <w:rPr>
                <w:rFonts w:cs="Calibri"/>
                <w:b/>
              </w:rPr>
              <w:t>2023</w:t>
            </w:r>
          </w:p>
        </w:tc>
      </w:tr>
      <w:tr w:rsidR="00594D5B" w:rsidRPr="00DE2D55" w:rsidTr="00611D38">
        <w:tc>
          <w:tcPr>
            <w:tcW w:w="321"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r w:rsidRPr="00DE2D55">
              <w:rPr>
                <w:rFonts w:cs="Calibri"/>
              </w:rPr>
              <w:t>1</w:t>
            </w:r>
          </w:p>
        </w:tc>
        <w:tc>
          <w:tcPr>
            <w:tcW w:w="247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Arial"/>
              </w:rPr>
            </w:pPr>
            <w:r w:rsidRPr="00DE2D55">
              <w:rPr>
                <w:rFonts w:cs="Arial"/>
              </w:rPr>
              <w:t xml:space="preserve">Plano Diretor de Tecnologia da Informação </w:t>
            </w:r>
          </w:p>
        </w:tc>
        <w:tc>
          <w:tcPr>
            <w:tcW w:w="224"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7"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2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2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30"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30"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r>
      <w:tr w:rsidR="00594D5B" w:rsidRPr="00DE2D55" w:rsidTr="00611D38">
        <w:tc>
          <w:tcPr>
            <w:tcW w:w="321"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r w:rsidRPr="00DE2D55">
              <w:rPr>
                <w:rFonts w:cs="Calibri"/>
              </w:rPr>
              <w:t>2</w:t>
            </w:r>
          </w:p>
        </w:tc>
        <w:tc>
          <w:tcPr>
            <w:tcW w:w="247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ind w:left="-21" w:firstLine="1"/>
              <w:jc w:val="both"/>
              <w:rPr>
                <w:rFonts w:cs="Calibri"/>
              </w:rPr>
            </w:pPr>
            <w:r w:rsidRPr="00DE2D55">
              <w:rPr>
                <w:rFonts w:cs="Arial"/>
              </w:rPr>
              <w:t xml:space="preserve">Ambiente para computação na nuvem implantado  </w:t>
            </w:r>
          </w:p>
        </w:tc>
        <w:tc>
          <w:tcPr>
            <w:tcW w:w="224"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7"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2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r w:rsidRPr="00DE2D55">
              <w:rPr>
                <w:rFonts w:cs="Calibri"/>
              </w:rPr>
              <w:t>x</w:t>
            </w:r>
          </w:p>
        </w:tc>
        <w:tc>
          <w:tcPr>
            <w:tcW w:w="22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6"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30"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r w:rsidRPr="00DE2D55">
              <w:rPr>
                <w:rFonts w:cs="Calibri"/>
              </w:rPr>
              <w:t>x</w:t>
            </w:r>
          </w:p>
        </w:tc>
        <w:tc>
          <w:tcPr>
            <w:tcW w:w="230"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c>
          <w:tcPr>
            <w:tcW w:w="212" w:type="pct"/>
            <w:tcBorders>
              <w:top w:val="single" w:sz="4" w:space="0" w:color="auto"/>
              <w:left w:val="single" w:sz="4" w:space="0" w:color="auto"/>
              <w:bottom w:val="single" w:sz="4" w:space="0" w:color="auto"/>
              <w:right w:val="single" w:sz="4" w:space="0" w:color="auto"/>
            </w:tcBorders>
          </w:tcPr>
          <w:p w:rsidR="00594D5B" w:rsidRPr="00DE2D55" w:rsidRDefault="00594D5B" w:rsidP="00FE560B">
            <w:pPr>
              <w:tabs>
                <w:tab w:val="left" w:pos="0"/>
              </w:tabs>
              <w:jc w:val="both"/>
              <w:rPr>
                <w:rFonts w:cs="Calibri"/>
              </w:rPr>
            </w:pPr>
          </w:p>
        </w:tc>
      </w:tr>
    </w:tbl>
    <w:p w:rsidR="00C521DC" w:rsidRDefault="00C521DC" w:rsidP="00FE560B">
      <w:pPr>
        <w:rPr>
          <w:rFonts w:eastAsia="Times New Roman" w:cs="Arial"/>
          <w:lang w:eastAsia="pt-BR"/>
        </w:rPr>
      </w:pPr>
    </w:p>
    <w:p w:rsidR="00737E57" w:rsidRDefault="00737E57" w:rsidP="00FE560B">
      <w:pPr>
        <w:rPr>
          <w:lang w:eastAsia="pt-BR"/>
        </w:rPr>
      </w:pPr>
    </w:p>
    <w:p w:rsidR="00737E57" w:rsidRDefault="00737E57" w:rsidP="00FE560B">
      <w:pPr>
        <w:rPr>
          <w:lang w:eastAsia="pt-BR"/>
        </w:rPr>
      </w:pPr>
    </w:p>
    <w:p w:rsidR="00737E57" w:rsidRPr="00737E57" w:rsidRDefault="00737E57" w:rsidP="00FE560B">
      <w:pPr>
        <w:rPr>
          <w:lang w:eastAsia="pt-BR"/>
        </w:rPr>
      </w:pPr>
    </w:p>
    <w:p w:rsidR="00C521DC" w:rsidRDefault="00C521DC" w:rsidP="00FE560B">
      <w:pPr>
        <w:rPr>
          <w:rFonts w:eastAsia="Times New Roman" w:cs="Arial"/>
          <w:lang w:eastAsia="pt-BR"/>
        </w:rPr>
      </w:pPr>
    </w:p>
    <w:p w:rsidR="00737E57" w:rsidRDefault="00737E57" w:rsidP="00FE560B">
      <w:pPr>
        <w:rPr>
          <w:rFonts w:eastAsia="Times New Roman" w:cs="Arial"/>
          <w:lang w:eastAsia="pt-BR"/>
        </w:rPr>
      </w:pPr>
    </w:p>
    <w:p w:rsidR="00C521DC" w:rsidRPr="00C521DC" w:rsidRDefault="00C521DC" w:rsidP="00FE560B">
      <w:pPr>
        <w:rPr>
          <w:lang w:eastAsia="pt-BR"/>
        </w:rPr>
      </w:pPr>
    </w:p>
    <w:p w:rsidR="00FF726C" w:rsidRDefault="00FF726C" w:rsidP="00FE560B">
      <w:pPr>
        <w:rPr>
          <w:rFonts w:eastAsia="Times New Roman" w:cs="Arial"/>
          <w:b/>
          <w:bCs/>
          <w:color w:val="4A66AC" w:themeColor="accent1"/>
          <w:lang w:eastAsia="pt-BR"/>
        </w:rPr>
      </w:pPr>
      <w:r>
        <w:rPr>
          <w:rFonts w:eastAsia="Times New Roman" w:cs="Arial"/>
          <w:lang w:eastAsia="pt-BR"/>
        </w:rPr>
        <w:br w:type="page"/>
      </w:r>
    </w:p>
    <w:p w:rsidR="004E6765" w:rsidRPr="00DE2D55" w:rsidRDefault="004E6765" w:rsidP="00FE560B">
      <w:pPr>
        <w:pStyle w:val="Ttulo2"/>
        <w:tabs>
          <w:tab w:val="left" w:pos="0"/>
        </w:tabs>
        <w:spacing w:before="0"/>
        <w:jc w:val="both"/>
        <w:rPr>
          <w:rFonts w:asciiTheme="minorHAnsi" w:eastAsia="Times New Roman" w:hAnsiTheme="minorHAnsi" w:cs="Arial"/>
          <w:sz w:val="22"/>
          <w:szCs w:val="22"/>
          <w:lang w:eastAsia="pt-BR"/>
        </w:rPr>
      </w:pPr>
      <w:bookmarkStart w:id="59" w:name="_Toc517282080"/>
      <w:r w:rsidRPr="00DE2D55">
        <w:rPr>
          <w:rFonts w:asciiTheme="minorHAnsi" w:eastAsia="Times New Roman" w:hAnsiTheme="minorHAnsi" w:cs="Arial"/>
          <w:sz w:val="22"/>
          <w:szCs w:val="22"/>
          <w:lang w:eastAsia="pt-BR"/>
        </w:rPr>
        <w:t>PRODUTO 5. NOVO MODELO DE CONTROLE INTERNO DO ESTADO IMPLANTADO</w:t>
      </w:r>
      <w:bookmarkEnd w:id="59"/>
    </w:p>
    <w:p w:rsidR="004E6765" w:rsidRPr="00DE2D55" w:rsidRDefault="004E6765" w:rsidP="00FE560B">
      <w:pPr>
        <w:tabs>
          <w:tab w:val="left" w:pos="0"/>
        </w:tabs>
        <w:jc w:val="both"/>
        <w:rPr>
          <w:rFonts w:cs="Calibri"/>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E6765" w:rsidRPr="00DE2D55" w:rsidTr="004E6765">
        <w:tc>
          <w:tcPr>
            <w:tcW w:w="9779" w:type="dxa"/>
            <w:tcBorders>
              <w:top w:val="single" w:sz="4" w:space="0" w:color="auto"/>
              <w:left w:val="nil"/>
              <w:bottom w:val="single" w:sz="4" w:space="0" w:color="auto"/>
              <w:right w:val="nil"/>
            </w:tcBorders>
            <w:shd w:val="clear" w:color="auto" w:fill="D5DCE4"/>
          </w:tcPr>
          <w:p w:rsidR="004E6765" w:rsidRPr="00DE2D55" w:rsidRDefault="004E6765"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4E6765" w:rsidRPr="00DE2D55" w:rsidRDefault="004E6765" w:rsidP="00FE560B">
            <w:pPr>
              <w:shd w:val="clear" w:color="auto" w:fill="D5DCE4"/>
              <w:tabs>
                <w:tab w:val="left" w:pos="0"/>
              </w:tabs>
              <w:ind w:left="567" w:hanging="567"/>
              <w:jc w:val="both"/>
              <w:rPr>
                <w:rFonts w:cs="Calibri"/>
                <w:b/>
                <w:noProof/>
                <w:color w:val="0070C0"/>
              </w:rPr>
            </w:pPr>
            <w:r w:rsidRPr="00DE2D55">
              <w:rPr>
                <w:rFonts w:cs="Calibri"/>
                <w:b/>
                <w:bCs/>
                <w:color w:val="0070C0"/>
              </w:rPr>
              <w:t>P</w:t>
            </w:r>
            <w:r w:rsidRPr="00DE2D55">
              <w:rPr>
                <w:b/>
              </w:rPr>
              <w:t xml:space="preserve"> </w:t>
            </w:r>
            <w:r w:rsidR="0028763E" w:rsidRPr="00DE2D55">
              <w:rPr>
                <w:rFonts w:cs="Calibri"/>
                <w:b/>
                <w:noProof/>
                <w:color w:val="0070C0"/>
              </w:rPr>
              <w:t>1.5</w:t>
            </w:r>
            <w:r w:rsidRPr="00DE2D55">
              <w:rPr>
                <w:rFonts w:cs="Calibri"/>
                <w:b/>
                <w:noProof/>
                <w:color w:val="0070C0"/>
              </w:rPr>
              <w:t xml:space="preserve"> Novo Modelo de Controle Interno do Estado Implantado</w:t>
            </w:r>
          </w:p>
          <w:p w:rsidR="004E6765" w:rsidRPr="00DE2D55" w:rsidRDefault="0028763E" w:rsidP="00FE560B">
            <w:pPr>
              <w:tabs>
                <w:tab w:val="left" w:pos="0"/>
              </w:tabs>
              <w:ind w:left="708"/>
              <w:jc w:val="both"/>
              <w:rPr>
                <w:rFonts w:cs="Calibri"/>
                <w:b/>
                <w:bCs/>
                <w:color w:val="0070C0"/>
              </w:rPr>
            </w:pPr>
            <w:r w:rsidRPr="00DE2D55">
              <w:rPr>
                <w:rFonts w:cs="Calibri"/>
                <w:b/>
                <w:bCs/>
                <w:color w:val="0070C0"/>
              </w:rPr>
              <w:t>1.5</w:t>
            </w:r>
            <w:r w:rsidR="004E6765" w:rsidRPr="00DE2D55">
              <w:rPr>
                <w:rFonts w:cs="Calibri"/>
                <w:b/>
                <w:bCs/>
                <w:color w:val="0070C0"/>
              </w:rPr>
              <w:t>.1 Revisão e implantação dos procedimentos de auditoria interna e controle interno, utilizando modelo de gerenciamento de riscos e integridade e sistemas informatizados de apoio à gestão.</w:t>
            </w:r>
          </w:p>
          <w:p w:rsidR="0028763E" w:rsidRPr="00DE2D55" w:rsidRDefault="0028763E" w:rsidP="00FE560B">
            <w:pPr>
              <w:tabs>
                <w:tab w:val="left" w:pos="0"/>
              </w:tabs>
              <w:ind w:left="708"/>
              <w:jc w:val="both"/>
              <w:rPr>
                <w:rFonts w:cs="Calibri"/>
                <w:b/>
                <w:bCs/>
                <w:color w:val="0070C0"/>
              </w:rPr>
            </w:pPr>
          </w:p>
          <w:p w:rsidR="004E6765" w:rsidRPr="00DE2D55" w:rsidRDefault="0028763E" w:rsidP="00FE560B">
            <w:pPr>
              <w:tabs>
                <w:tab w:val="left" w:pos="0"/>
              </w:tabs>
              <w:ind w:left="708"/>
              <w:jc w:val="both"/>
              <w:rPr>
                <w:rFonts w:cs="Calibri"/>
                <w:b/>
                <w:bCs/>
                <w:color w:val="0070C0"/>
              </w:rPr>
            </w:pPr>
            <w:r w:rsidRPr="00DE2D55">
              <w:rPr>
                <w:rFonts w:cs="Calibri"/>
                <w:b/>
                <w:noProof/>
                <w:color w:val="0070C0"/>
              </w:rPr>
              <w:t>1.5</w:t>
            </w:r>
            <w:r w:rsidR="004E6765" w:rsidRPr="00DE2D55">
              <w:rPr>
                <w:rFonts w:cs="Calibri"/>
                <w:b/>
                <w:noProof/>
                <w:color w:val="0070C0"/>
              </w:rPr>
              <w:t>.2 Revisão e implantação de novo modelo de transparência das informações públicas e a revisão e implantação da sistemática de Ouvidoria Geral do Estado</w:t>
            </w:r>
          </w:p>
        </w:tc>
      </w:tr>
    </w:tbl>
    <w:p w:rsidR="004E6765" w:rsidRPr="00DE2D55" w:rsidRDefault="004E6765" w:rsidP="00FE560B">
      <w:pPr>
        <w:tabs>
          <w:tab w:val="left" w:pos="0"/>
        </w:tabs>
        <w:jc w:val="both"/>
        <w:rPr>
          <w:rFonts w:cs="Calibri"/>
        </w:rPr>
      </w:pPr>
    </w:p>
    <w:p w:rsidR="004E6765" w:rsidRPr="00DE2D55" w:rsidRDefault="004E6765" w:rsidP="00FE560B">
      <w:pPr>
        <w:tabs>
          <w:tab w:val="left" w:pos="0"/>
        </w:tabs>
        <w:jc w:val="both"/>
        <w:rPr>
          <w:rFonts w:cs="Calibri"/>
        </w:rPr>
      </w:pPr>
    </w:p>
    <w:p w:rsidR="004E6765" w:rsidRPr="00DE2D55" w:rsidRDefault="004E6765" w:rsidP="00FE560B">
      <w:pPr>
        <w:tabs>
          <w:tab w:val="left" w:pos="0"/>
        </w:tabs>
        <w:jc w:val="both"/>
        <w:rPr>
          <w:rFonts w:cs="Calibri"/>
        </w:rPr>
      </w:pPr>
    </w:p>
    <w:p w:rsidR="004E6765" w:rsidRPr="00DE2D55" w:rsidRDefault="004E6765" w:rsidP="00FE560B">
      <w:pPr>
        <w:tabs>
          <w:tab w:val="left" w:pos="0"/>
        </w:tabs>
        <w:ind w:left="360"/>
        <w:jc w:val="both"/>
        <w:rPr>
          <w:rFonts w:cs="Calibri"/>
        </w:rPr>
      </w:pPr>
      <w:r w:rsidRPr="00DE2D55">
        <w:rPr>
          <w:rFonts w:cs="Calibri"/>
        </w:rPr>
        <w:t xml:space="preserve">Autor(es): </w:t>
      </w:r>
    </w:p>
    <w:tbl>
      <w:tblPr>
        <w:tblW w:w="5000" w:type="pct"/>
        <w:tblLook w:val="0000" w:firstRow="0" w:lastRow="0" w:firstColumn="0" w:lastColumn="0" w:noHBand="0" w:noVBand="0"/>
      </w:tblPr>
      <w:tblGrid>
        <w:gridCol w:w="2688"/>
        <w:gridCol w:w="1739"/>
        <w:gridCol w:w="1880"/>
        <w:gridCol w:w="3463"/>
      </w:tblGrid>
      <w:tr w:rsidR="004E6765" w:rsidRPr="00DE2D55" w:rsidTr="0028763E">
        <w:trPr>
          <w:trHeight w:val="253"/>
        </w:trPr>
        <w:tc>
          <w:tcPr>
            <w:tcW w:w="1376"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4E6765" w:rsidP="00FE560B">
            <w:pPr>
              <w:tabs>
                <w:tab w:val="left" w:pos="0"/>
              </w:tabs>
              <w:spacing w:line="240" w:lineRule="auto"/>
              <w:jc w:val="both"/>
              <w:rPr>
                <w:b/>
              </w:rPr>
            </w:pPr>
            <w:r w:rsidRPr="00DE2D55">
              <w:rPr>
                <w:b/>
              </w:rPr>
              <w:t>Nomes</w:t>
            </w:r>
          </w:p>
        </w:tc>
        <w:tc>
          <w:tcPr>
            <w:tcW w:w="890"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4E6765" w:rsidP="00FE560B">
            <w:pPr>
              <w:tabs>
                <w:tab w:val="left" w:pos="0"/>
              </w:tabs>
              <w:spacing w:line="240" w:lineRule="auto"/>
              <w:jc w:val="both"/>
              <w:rPr>
                <w:b/>
              </w:rPr>
            </w:pPr>
            <w:r w:rsidRPr="00DE2D55">
              <w:rPr>
                <w:b/>
              </w:rPr>
              <w:t>Cargos</w:t>
            </w:r>
          </w:p>
        </w:tc>
        <w:tc>
          <w:tcPr>
            <w:tcW w:w="96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4E6765" w:rsidP="00FE560B">
            <w:pPr>
              <w:tabs>
                <w:tab w:val="left" w:pos="0"/>
              </w:tabs>
              <w:spacing w:line="240" w:lineRule="auto"/>
              <w:jc w:val="both"/>
              <w:rPr>
                <w:b/>
              </w:rPr>
            </w:pPr>
            <w:r w:rsidRPr="00DE2D55">
              <w:rPr>
                <w:rFonts w:cs="Calibri"/>
                <w:b/>
              </w:rPr>
              <w:t>Área</w:t>
            </w:r>
          </w:p>
        </w:tc>
        <w:tc>
          <w:tcPr>
            <w:tcW w:w="177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4E6765" w:rsidP="00FE560B">
            <w:pPr>
              <w:tabs>
                <w:tab w:val="left" w:pos="0"/>
              </w:tabs>
              <w:spacing w:line="240" w:lineRule="auto"/>
              <w:jc w:val="both"/>
            </w:pPr>
            <w:r w:rsidRPr="00DE2D55">
              <w:rPr>
                <w:b/>
              </w:rPr>
              <w:t>E-mail</w:t>
            </w:r>
          </w:p>
        </w:tc>
      </w:tr>
      <w:tr w:rsidR="004E6765" w:rsidRPr="00DE2D55" w:rsidTr="0028763E">
        <w:trPr>
          <w:trHeight w:val="766"/>
        </w:trPr>
        <w:tc>
          <w:tcPr>
            <w:tcW w:w="13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Ricardo Monteiro Oliveira</w:t>
            </w:r>
          </w:p>
        </w:tc>
        <w:tc>
          <w:tcPr>
            <w:tcW w:w="89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Subsecretário de Estado da Transparência</w:t>
            </w:r>
          </w:p>
        </w:tc>
        <w:tc>
          <w:tcPr>
            <w:tcW w:w="96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ind w:left="21" w:hanging="21"/>
              <w:jc w:val="both"/>
            </w:pPr>
            <w:r w:rsidRPr="00DE2D55">
              <w:t>SUBTRAN/SECONT</w:t>
            </w:r>
          </w:p>
        </w:tc>
        <w:tc>
          <w:tcPr>
            <w:tcW w:w="177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E04BB7" w:rsidP="00FE560B">
            <w:pPr>
              <w:tabs>
                <w:tab w:val="left" w:pos="0"/>
              </w:tabs>
              <w:spacing w:line="240" w:lineRule="auto"/>
              <w:jc w:val="both"/>
            </w:pPr>
            <w:hyperlink r:id="rId14" w:history="1">
              <w:r w:rsidR="004E6765" w:rsidRPr="00DE2D55">
                <w:rPr>
                  <w:rStyle w:val="Hyperlink"/>
                </w:rPr>
                <w:t>ricardo.oliveira@secont.es.gov.br</w:t>
              </w:r>
            </w:hyperlink>
          </w:p>
        </w:tc>
      </w:tr>
      <w:tr w:rsidR="004E6765" w:rsidRPr="00DE2D55" w:rsidTr="0028763E">
        <w:trPr>
          <w:trHeight w:val="70"/>
        </w:trPr>
        <w:tc>
          <w:tcPr>
            <w:tcW w:w="13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Fabrício Massariol</w:t>
            </w:r>
          </w:p>
        </w:tc>
        <w:tc>
          <w:tcPr>
            <w:tcW w:w="89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Coordenador de Transparência</w:t>
            </w:r>
          </w:p>
        </w:tc>
        <w:tc>
          <w:tcPr>
            <w:tcW w:w="96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ind w:left="21" w:hanging="21"/>
              <w:jc w:val="both"/>
            </w:pPr>
            <w:r w:rsidRPr="00DE2D55">
              <w:t>SUBTRAN/SECONT</w:t>
            </w:r>
          </w:p>
        </w:tc>
        <w:tc>
          <w:tcPr>
            <w:tcW w:w="177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E04BB7" w:rsidP="00FE560B">
            <w:pPr>
              <w:tabs>
                <w:tab w:val="left" w:pos="0"/>
              </w:tabs>
              <w:spacing w:line="240" w:lineRule="auto"/>
              <w:ind w:left="23" w:hanging="23"/>
              <w:contextualSpacing/>
              <w:jc w:val="both"/>
            </w:pPr>
            <w:hyperlink r:id="rId15" w:history="1">
              <w:r w:rsidR="004E6765" w:rsidRPr="00DE2D55">
                <w:rPr>
                  <w:rStyle w:val="Hyperlink"/>
                </w:rPr>
                <w:t>fabricio.massariol@secont.es.gov.br</w:t>
              </w:r>
            </w:hyperlink>
            <w:r w:rsidR="004E6765" w:rsidRPr="00DE2D55">
              <w:t xml:space="preserve"> </w:t>
            </w:r>
          </w:p>
        </w:tc>
      </w:tr>
      <w:tr w:rsidR="004E6765" w:rsidRPr="00DE2D55" w:rsidTr="0028763E">
        <w:trPr>
          <w:trHeight w:val="70"/>
        </w:trPr>
        <w:tc>
          <w:tcPr>
            <w:tcW w:w="13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Fabiano da Rocha Louzada</w:t>
            </w:r>
          </w:p>
        </w:tc>
        <w:tc>
          <w:tcPr>
            <w:tcW w:w="89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Assessor Especial</w:t>
            </w:r>
          </w:p>
        </w:tc>
        <w:tc>
          <w:tcPr>
            <w:tcW w:w="96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ind w:left="21" w:hanging="21"/>
              <w:jc w:val="both"/>
            </w:pPr>
            <w:r w:rsidRPr="00DE2D55">
              <w:t>SUBTRAN/SECONT</w:t>
            </w:r>
          </w:p>
        </w:tc>
        <w:tc>
          <w:tcPr>
            <w:tcW w:w="177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E04BB7" w:rsidP="00FE560B">
            <w:pPr>
              <w:tabs>
                <w:tab w:val="left" w:pos="0"/>
              </w:tabs>
              <w:spacing w:line="240" w:lineRule="auto"/>
              <w:jc w:val="both"/>
            </w:pPr>
            <w:hyperlink r:id="rId16" w:history="1">
              <w:r w:rsidR="004E6765" w:rsidRPr="00DE2D55">
                <w:rPr>
                  <w:rStyle w:val="Hyperlink"/>
                </w:rPr>
                <w:t>fabiano.louzada@secont.es.gov.br</w:t>
              </w:r>
            </w:hyperlink>
          </w:p>
        </w:tc>
      </w:tr>
      <w:tr w:rsidR="004E6765" w:rsidRPr="00DE2D55" w:rsidTr="0028763E">
        <w:trPr>
          <w:trHeight w:val="70"/>
        </w:trPr>
        <w:tc>
          <w:tcPr>
            <w:tcW w:w="13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Frederico Pinto de Souza</w:t>
            </w:r>
          </w:p>
        </w:tc>
        <w:tc>
          <w:tcPr>
            <w:tcW w:w="89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jc w:val="both"/>
            </w:pPr>
            <w:r w:rsidRPr="00DE2D55">
              <w:t>Auditor do Estado</w:t>
            </w:r>
          </w:p>
        </w:tc>
        <w:tc>
          <w:tcPr>
            <w:tcW w:w="96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E6765" w:rsidRPr="00DE2D55" w:rsidRDefault="004E6765" w:rsidP="00FE560B">
            <w:pPr>
              <w:tabs>
                <w:tab w:val="left" w:pos="0"/>
              </w:tabs>
              <w:spacing w:line="240" w:lineRule="auto"/>
              <w:ind w:left="21" w:hanging="21"/>
              <w:jc w:val="both"/>
            </w:pPr>
            <w:r w:rsidRPr="00DE2D55">
              <w:t>SUBTRAN/SECONT</w:t>
            </w:r>
          </w:p>
        </w:tc>
        <w:tc>
          <w:tcPr>
            <w:tcW w:w="1772" w:type="pct"/>
            <w:tcBorders>
              <w:top w:val="single" w:sz="4" w:space="0" w:color="00000A"/>
              <w:left w:val="single" w:sz="4" w:space="0" w:color="00000A"/>
              <w:bottom w:val="single" w:sz="4" w:space="0" w:color="00000A"/>
              <w:right w:val="single" w:sz="4" w:space="0" w:color="00000A"/>
            </w:tcBorders>
            <w:shd w:val="clear" w:color="auto" w:fill="FFFFFF"/>
          </w:tcPr>
          <w:p w:rsidR="004E6765" w:rsidRPr="00DE2D55" w:rsidRDefault="00E04BB7" w:rsidP="00FE560B">
            <w:pPr>
              <w:tabs>
                <w:tab w:val="left" w:pos="0"/>
              </w:tabs>
              <w:spacing w:line="240" w:lineRule="auto"/>
              <w:jc w:val="both"/>
            </w:pPr>
            <w:hyperlink r:id="rId17" w:history="1">
              <w:r w:rsidR="004E6765" w:rsidRPr="00DE2D55">
                <w:rPr>
                  <w:rStyle w:val="Hyperlink"/>
                </w:rPr>
                <w:t>frederico.souza@secont.es.gov.br</w:t>
              </w:r>
            </w:hyperlink>
          </w:p>
        </w:tc>
      </w:tr>
    </w:tbl>
    <w:p w:rsidR="004E6765" w:rsidRPr="00DE2D55" w:rsidRDefault="004E6765" w:rsidP="00FE560B">
      <w:pPr>
        <w:tabs>
          <w:tab w:val="left" w:pos="0"/>
        </w:tabs>
        <w:jc w:val="both"/>
        <w:rPr>
          <w:rFonts w:cs="Calibri"/>
        </w:rPr>
      </w:pPr>
    </w:p>
    <w:p w:rsidR="004E6765" w:rsidRPr="00DE2D55" w:rsidRDefault="004E6765" w:rsidP="00FE560B">
      <w:pPr>
        <w:tabs>
          <w:tab w:val="left" w:pos="0"/>
        </w:tabs>
        <w:jc w:val="both"/>
        <w:rPr>
          <w:rFonts w:cs="Calibri"/>
        </w:rPr>
      </w:pPr>
    </w:p>
    <w:p w:rsidR="0028763E" w:rsidRPr="00DE2D55" w:rsidRDefault="0028763E" w:rsidP="00FE560B">
      <w:pPr>
        <w:tabs>
          <w:tab w:val="left" w:pos="0"/>
        </w:tabs>
        <w:jc w:val="both"/>
        <w:rPr>
          <w:rFonts w:cs="Calibri"/>
        </w:rPr>
      </w:pPr>
    </w:p>
    <w:p w:rsidR="0028763E" w:rsidRPr="00DE2D55" w:rsidRDefault="0028763E" w:rsidP="00FE560B">
      <w:pPr>
        <w:tabs>
          <w:tab w:val="left" w:pos="0"/>
        </w:tabs>
        <w:jc w:val="both"/>
        <w:rPr>
          <w:rFonts w:cs="Calibri"/>
        </w:rPr>
      </w:pPr>
    </w:p>
    <w:p w:rsidR="0028763E" w:rsidRPr="00DE2D55" w:rsidRDefault="0028763E" w:rsidP="00FE560B">
      <w:pPr>
        <w:tabs>
          <w:tab w:val="left" w:pos="0"/>
        </w:tabs>
        <w:jc w:val="both"/>
        <w:rPr>
          <w:rFonts w:cs="Calibri"/>
        </w:rPr>
      </w:pPr>
    </w:p>
    <w:p w:rsidR="0028763E" w:rsidRPr="00DE2D55" w:rsidRDefault="0028763E" w:rsidP="00FE560B">
      <w:pPr>
        <w:tabs>
          <w:tab w:val="left" w:pos="0"/>
        </w:tabs>
        <w:jc w:val="both"/>
        <w:rPr>
          <w:rFonts w:cs="Calibri"/>
        </w:rPr>
      </w:pPr>
    </w:p>
    <w:p w:rsidR="0028763E" w:rsidRPr="00DE2D55" w:rsidRDefault="0028763E" w:rsidP="00FE560B">
      <w:pPr>
        <w:tabs>
          <w:tab w:val="left" w:pos="0"/>
        </w:tabs>
        <w:jc w:val="both"/>
        <w:rPr>
          <w:rFonts w:cs="Calibri"/>
        </w:rPr>
      </w:pPr>
    </w:p>
    <w:p w:rsidR="004E6765" w:rsidRPr="00DE2D55" w:rsidRDefault="004E6765" w:rsidP="00FE560B">
      <w:pPr>
        <w:tabs>
          <w:tab w:val="left" w:pos="0"/>
        </w:tabs>
        <w:jc w:val="both"/>
        <w:rPr>
          <w:rFonts w:cs="Calibri"/>
        </w:rPr>
      </w:pPr>
    </w:p>
    <w:p w:rsidR="004E6765" w:rsidRPr="00DE2D55" w:rsidRDefault="004E6765" w:rsidP="00FE560B">
      <w:pPr>
        <w:tabs>
          <w:tab w:val="left" w:pos="0"/>
        </w:tabs>
        <w:jc w:val="center"/>
        <w:rPr>
          <w:rFonts w:cs="Calibri"/>
          <w:b/>
        </w:rPr>
      </w:pPr>
      <w:r w:rsidRPr="00DE2D55">
        <w:rPr>
          <w:rFonts w:cs="Calibri"/>
          <w:b/>
        </w:rPr>
        <w:t>Vitória/ES - maio de 2018</w:t>
      </w:r>
      <w:r w:rsidRPr="00DE2D55">
        <w:rPr>
          <w:rFonts w:cs="Calibri"/>
          <w:b/>
        </w:rPr>
        <w:br w:type="page"/>
      </w:r>
    </w:p>
    <w:p w:rsidR="004E6765" w:rsidRPr="00DE2D55" w:rsidRDefault="004E6765"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0" w:name="_Toc517282081"/>
      <w:r w:rsidRPr="00DE2D55">
        <w:rPr>
          <w:rFonts w:cs="Calibri"/>
          <w:b/>
        </w:rPr>
        <w:t>ANTECEDENTES</w:t>
      </w:r>
      <w:r w:rsidR="0028763E" w:rsidRPr="00DE2D55">
        <w:rPr>
          <w:rFonts w:cs="Calibri"/>
          <w:b/>
        </w:rPr>
        <w:t xml:space="preserve"> DO PRODUTO</w:t>
      </w:r>
      <w:bookmarkEnd w:id="60"/>
    </w:p>
    <w:p w:rsidR="004E6765" w:rsidRPr="00DE2D55" w:rsidRDefault="00C521DC" w:rsidP="00FE560B">
      <w:pPr>
        <w:tabs>
          <w:tab w:val="left" w:pos="0"/>
        </w:tabs>
        <w:jc w:val="both"/>
        <w:rPr>
          <w:rFonts w:cs="Calibri"/>
          <w:b/>
        </w:rPr>
      </w:pPr>
      <w:r>
        <w:rPr>
          <w:rFonts w:cs="Calibri"/>
          <w:b/>
        </w:rPr>
        <w:t>5.</w:t>
      </w:r>
      <w:r w:rsidR="004E6765" w:rsidRPr="00DE2D55">
        <w:rPr>
          <w:rFonts w:cs="Calibri"/>
          <w:b/>
        </w:rPr>
        <w:t>1.1 – Gestão de Riscos e Integridade</w:t>
      </w:r>
    </w:p>
    <w:p w:rsidR="004E6765" w:rsidRDefault="004E6765" w:rsidP="00FE560B">
      <w:pPr>
        <w:tabs>
          <w:tab w:val="left" w:pos="0"/>
        </w:tabs>
        <w:jc w:val="both"/>
        <w:rPr>
          <w:rFonts w:cs="Calibri"/>
        </w:rPr>
      </w:pPr>
      <w:r w:rsidRPr="00DE2D55">
        <w:rPr>
          <w:rFonts w:cs="Calibri"/>
        </w:rPr>
        <w:t>A SECONT, Órgão Central do Sistema de Controle Interno do Poder Executivo Estadual, tem envidado esforços no sentido de modernizar o processo de gestão de riscos e integridade dos órgãos públicos. Nesse sentido, como uma primeira iniciativa efetiva para o aprimoramento de seu planejamento de auditoria para mitigar os riscos inerentes às operações dos órgãos públicos, elaborou a Portaria nº 014-R, de 18/12/2015. Essa portaria dispõe sobre procedimentos para elaboração do Plano Anual de Auditorias e utiliza como metodologia aspectos relacionados, principalmente, à relevância dos investimentos e pontos de controle identificados na análise prévia dos processos de contratação e aquisição. Por outro lado, a mencionada norma não contempla os requisitos necessários para produzir os benefícios proporcionados pelos modelos internacionalmente consolidados na área de gestão de riscos, que contemplam métodos e abordagens mais amplas. Além disso, inexiste infraestrutura técnica disponível capaz de colocar em práticas as ações indicadas por estes modelos. Estas questões reduzem sensivelmente a capacidade dos órgãos, em especial a Secretaria de Estado da Fazenda, no processo de identificação, gerenciamento e monitora</w:t>
      </w:r>
      <w:r w:rsidR="00C521DC">
        <w:rPr>
          <w:rFonts w:cs="Calibri"/>
        </w:rPr>
        <w:t>mento dos riscos, o que expõe o</w:t>
      </w:r>
      <w:r w:rsidRPr="00DE2D55">
        <w:rPr>
          <w:rFonts w:cs="Calibri"/>
        </w:rPr>
        <w:t xml:space="preserve"> Poder Executivo Estadual a ocorrência de eventos que possam prejudicar as entregas previstas para sociedade.</w:t>
      </w:r>
    </w:p>
    <w:p w:rsidR="00C521DC" w:rsidRPr="00DE2D55" w:rsidRDefault="00C521DC" w:rsidP="00FE560B">
      <w:pPr>
        <w:tabs>
          <w:tab w:val="left" w:pos="0"/>
        </w:tabs>
        <w:jc w:val="both"/>
        <w:rPr>
          <w:rFonts w:cs="Calibri"/>
        </w:rPr>
      </w:pPr>
    </w:p>
    <w:p w:rsidR="004E6765" w:rsidRDefault="004E6765" w:rsidP="00FE560B">
      <w:pPr>
        <w:tabs>
          <w:tab w:val="left" w:pos="0"/>
        </w:tabs>
        <w:jc w:val="both"/>
        <w:rPr>
          <w:rFonts w:cs="Calibri"/>
        </w:rPr>
      </w:pPr>
      <w:r w:rsidRPr="00DE2D55">
        <w:rPr>
          <w:rFonts w:cs="Calibri"/>
        </w:rPr>
        <w:t>Em síntese, podemos afirmar que a ausência de um sistema de gestão de riscos e integridade prejudica a Secretaria de Estado da Fazenda no processo de prioriza</w:t>
      </w:r>
      <w:r w:rsidR="00C521DC">
        <w:rPr>
          <w:rFonts w:cs="Calibri"/>
        </w:rPr>
        <w:t xml:space="preserve">ção de seus objetivos, ações e </w:t>
      </w:r>
      <w:r w:rsidRPr="00DE2D55">
        <w:rPr>
          <w:rFonts w:cs="Calibri"/>
        </w:rPr>
        <w:t>metas da gestão fiscal, prejudicando a tomada de decisão, bem como a alocação eficiente dos recursos e a integração com a sociedade.</w:t>
      </w:r>
    </w:p>
    <w:p w:rsidR="00C521DC" w:rsidRPr="00DE2D55" w:rsidRDefault="00C521DC" w:rsidP="00FE560B">
      <w:pPr>
        <w:tabs>
          <w:tab w:val="left" w:pos="0"/>
        </w:tabs>
        <w:jc w:val="both"/>
        <w:rPr>
          <w:rFonts w:cs="Calibri"/>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1.2 – Procedimentos de Auditoria Interna e Controle Interno</w:t>
      </w:r>
    </w:p>
    <w:p w:rsidR="004E6765" w:rsidRDefault="004E6765" w:rsidP="00FE560B">
      <w:pPr>
        <w:tabs>
          <w:tab w:val="left" w:pos="0"/>
        </w:tabs>
        <w:jc w:val="both"/>
        <w:rPr>
          <w:rFonts w:cs="Calibri"/>
        </w:rPr>
      </w:pPr>
      <w:r w:rsidRPr="00DE2D55">
        <w:rPr>
          <w:rFonts w:cs="Calibri"/>
        </w:rPr>
        <w:t xml:space="preserve">A SECONT tem buscado referenciais internacionais para aprimorar seu processo de trabalho nas áreas de controle interno e auditoria interna. A própria Lei nº 856/2017 buscou inspiração no modelo das Três Linhas de Defesa proposto pelo </w:t>
      </w:r>
      <w:r w:rsidRPr="00DE2D55">
        <w:rPr>
          <w:rFonts w:cs="Calibri"/>
          <w:i/>
        </w:rPr>
        <w:t>Institute of Internal Auditors - IIA</w:t>
      </w:r>
      <w:r w:rsidRPr="00DE2D55">
        <w:rPr>
          <w:rFonts w:cs="Calibri"/>
        </w:rPr>
        <w:t xml:space="preserve">, mas o fato é que os processos de controle interno e de auditoria interna obteriam maior benefício caso os órgãos/entidades incorporassem uma visão voltada à gestão de riscos e integridade. A SECONT, atualmente, tem empregado grande esforço para monitorar o cumprimento das normas pelo Poder Executivo (conformidade). Estas normas já trazem, implicitamente, um conjunto de objetivos a serem atingidos e, muitas vezes, a indicação dos controles que devem ser adotados. No entanto, os controles dispostos nas normas não exaurem todos os riscos a que a que estão sujeitas as operações e os objetivos estabelecidos pelos órgãos/entidades, incluindo aqueles relacionados à Secretaria de Estado da Fazenda. Estes eventos indesejáveis podem atrapalhar as operações e os objetivos e, consequentemente, prejudicar os resultados. </w:t>
      </w:r>
    </w:p>
    <w:p w:rsidR="00C521DC" w:rsidRPr="00DE2D55" w:rsidRDefault="00C521DC" w:rsidP="00FE560B">
      <w:pPr>
        <w:tabs>
          <w:tab w:val="left" w:pos="0"/>
        </w:tabs>
        <w:jc w:val="both"/>
        <w:rPr>
          <w:rFonts w:cs="Calibri"/>
        </w:rPr>
      </w:pPr>
    </w:p>
    <w:p w:rsidR="004E6765" w:rsidRDefault="004E6765" w:rsidP="00FE560B">
      <w:pPr>
        <w:tabs>
          <w:tab w:val="left" w:pos="0"/>
        </w:tabs>
        <w:jc w:val="both"/>
        <w:rPr>
          <w:rFonts w:cs="Calibri"/>
        </w:rPr>
      </w:pPr>
      <w:r w:rsidRPr="00DE2D55">
        <w:rPr>
          <w:rFonts w:cs="Calibri"/>
        </w:rPr>
        <w:t xml:space="preserve">A inexistência de um sistema de informação que inclua os atributos plenos dos modelos de gestão de riscos já consolidados limita eventual aumento da produtividade e melhoria na qualidade do trabalho desenvolvido pelo controle interno, uma vez que a produtividade se beneficia, diretamente, do uso de ferramentas tecnológicas. </w:t>
      </w:r>
    </w:p>
    <w:p w:rsidR="00C521DC" w:rsidRPr="00DE2D55" w:rsidRDefault="00C521DC" w:rsidP="00FE560B">
      <w:pPr>
        <w:tabs>
          <w:tab w:val="left" w:pos="0"/>
        </w:tabs>
        <w:jc w:val="both"/>
        <w:rPr>
          <w:rFonts w:cs="Calibri"/>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1.3 – Transparência Ativa</w:t>
      </w:r>
    </w:p>
    <w:p w:rsidR="004E6765" w:rsidRDefault="004E6765" w:rsidP="00FE560B">
      <w:pPr>
        <w:tabs>
          <w:tab w:val="left" w:pos="0"/>
        </w:tabs>
        <w:jc w:val="both"/>
        <w:rPr>
          <w:rFonts w:cs="Calibri"/>
        </w:rPr>
      </w:pPr>
      <w:r w:rsidRPr="00DE2D55">
        <w:rPr>
          <w:rFonts w:cs="Calibri"/>
        </w:rPr>
        <w:t xml:space="preserve">A transparência ativa depende diretamente da disponibilidade de recursos de tecnologia da informação capazes de proporcionar ao cidadão acesso aos dados públicos para o exercício pleno de seu direito de participação e controle social, com vistas ao acompanhamento e aprimoramento dos atos da gestão. Ferramentas automatizadas capazes de manipular larga escala de dados são essenciais para disponibilizar, nos sítios eletrônicos governamentais e em outros sistemas de softwares desenvolvidos pelo poder público, informações corretas, de qualidade e de interesse dos cidadãos. A atual falta de recursos tecnológicos adequados para o tratamento dos dados relacionados à receita e despesa, prejudica ainda outros usuários que incorporam as informações disponibilizadas em seus processos decisórios, como, por exemplo, agências de financiamento, órgãos externos de controle, dentre outros. </w:t>
      </w:r>
    </w:p>
    <w:p w:rsidR="00C521DC" w:rsidRPr="00DE2D55" w:rsidRDefault="00C521DC" w:rsidP="00FE560B">
      <w:pPr>
        <w:tabs>
          <w:tab w:val="left" w:pos="0"/>
        </w:tabs>
        <w:jc w:val="both"/>
        <w:rPr>
          <w:rFonts w:cs="Calibri"/>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1.4 – Ouvidoria</w:t>
      </w:r>
    </w:p>
    <w:p w:rsidR="004E6765" w:rsidRPr="00DE2D55" w:rsidRDefault="004E6765" w:rsidP="00FE560B">
      <w:pPr>
        <w:tabs>
          <w:tab w:val="left" w:pos="0"/>
        </w:tabs>
        <w:jc w:val="both"/>
        <w:rPr>
          <w:rFonts w:cs="Calibri"/>
        </w:rPr>
      </w:pPr>
      <w:r w:rsidRPr="00DE2D55">
        <w:rPr>
          <w:rFonts w:cs="Calibri"/>
        </w:rPr>
        <w:t>O Poder Executivo conta ainda com uma Ouvidoria, que é um canal aberto para atender a pedidos de informação e registrar denúncias, reclamações e sugestões. A Ouvidoria-Geral do Estado – OGE exerce o papel de coordenação de uma rede de ouvidorias. No entanto, o sistema utilizado cumpre apenas os requisitos básicos estabelecidos nas leis e está longe de ser uma ferramenta amigável para acesso por parte do cidadão. Em face disso, é necessário que o sistema de informação da OGE seja redesenhado, melhorando seus atributos e incorporando conceitos que ajudem a ampliar e apoiar a transparência ativa, de modo que este possa ser instrumento efetivo para o tratamento das demandas em geral, com destaque àquelas que possam afetar a receita e despesa.</w:t>
      </w:r>
    </w:p>
    <w:p w:rsidR="00C521DC" w:rsidRPr="00DE2D55" w:rsidRDefault="00C521DC" w:rsidP="00FE560B">
      <w:pPr>
        <w:tabs>
          <w:tab w:val="left" w:pos="0"/>
        </w:tabs>
        <w:jc w:val="both"/>
        <w:rPr>
          <w:rFonts w:cs="Calibri"/>
        </w:rPr>
      </w:pPr>
    </w:p>
    <w:p w:rsidR="004E6765" w:rsidRPr="00DE2D55" w:rsidRDefault="004E6765"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1" w:name="_Toc517282082"/>
      <w:r w:rsidRPr="00DE2D55">
        <w:rPr>
          <w:rFonts w:cs="Calibri"/>
          <w:b/>
        </w:rPr>
        <w:t>DESCRIÇÃO DO PROBLEMA</w:t>
      </w:r>
      <w:bookmarkEnd w:id="61"/>
    </w:p>
    <w:p w:rsidR="004E6765" w:rsidRPr="00DE2D55" w:rsidRDefault="00C521DC" w:rsidP="00FE560B">
      <w:pPr>
        <w:tabs>
          <w:tab w:val="left" w:pos="0"/>
        </w:tabs>
        <w:jc w:val="both"/>
        <w:rPr>
          <w:rFonts w:cs="Calibri"/>
        </w:rPr>
      </w:pPr>
      <w:r>
        <w:rPr>
          <w:rFonts w:cs="Calibri"/>
          <w:b/>
        </w:rPr>
        <w:t>5.</w:t>
      </w:r>
      <w:r w:rsidR="004E6765" w:rsidRPr="00DE2D55">
        <w:rPr>
          <w:rFonts w:cs="Calibri"/>
          <w:b/>
        </w:rPr>
        <w:t>2.1 – Síntese do Problema</w:t>
      </w:r>
      <w:r w:rsidR="004E6765" w:rsidRPr="00DE2D55">
        <w:rPr>
          <w:rFonts w:cs="Calibri"/>
        </w:rPr>
        <w:t xml:space="preserve"> </w:t>
      </w:r>
    </w:p>
    <w:p w:rsidR="004E6765" w:rsidRPr="00DE2D55" w:rsidRDefault="004E6765"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Calibri"/>
          <w:i/>
          <w:noProof/>
        </w:rPr>
      </w:pPr>
      <w:r w:rsidRPr="00DE2D55">
        <w:rPr>
          <w:rFonts w:cs="Calibri"/>
          <w:i/>
          <w:noProof/>
        </w:rPr>
        <w:t>Deficiência na gestão e no planejamento do Órgão Central de Controle Interno (SECONT) e de suas Unidades nos órgãos estaduais.</w:t>
      </w:r>
    </w:p>
    <w:p w:rsidR="004E6765" w:rsidRPr="00DE2D55" w:rsidRDefault="004E6765" w:rsidP="00FE560B">
      <w:pPr>
        <w:pStyle w:val="PargrafodaLista"/>
        <w:tabs>
          <w:tab w:val="left" w:pos="0"/>
        </w:tabs>
        <w:ind w:left="225"/>
        <w:jc w:val="both"/>
        <w:rPr>
          <w:noProof/>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2.2 – Principais causas</w:t>
      </w:r>
    </w:p>
    <w:p w:rsidR="004E6765" w:rsidRPr="00DE2D55" w:rsidRDefault="004E6765" w:rsidP="00FE560B">
      <w:pPr>
        <w:numPr>
          <w:ilvl w:val="0"/>
          <w:numId w:val="53"/>
        </w:numPr>
        <w:tabs>
          <w:tab w:val="left" w:pos="0"/>
        </w:tabs>
        <w:jc w:val="both"/>
        <w:rPr>
          <w:rFonts w:cs="Calibri"/>
        </w:rPr>
      </w:pPr>
      <w:r w:rsidRPr="00DE2D55">
        <w:rPr>
          <w:rFonts w:cs="Calibri"/>
        </w:rPr>
        <w:t>Dificuldade na identificação dos processos e atores de alto risco e suas magnitudes.</w:t>
      </w:r>
    </w:p>
    <w:p w:rsidR="004E6765" w:rsidRPr="00DE2D55" w:rsidRDefault="004E6765" w:rsidP="00FE560B">
      <w:pPr>
        <w:numPr>
          <w:ilvl w:val="0"/>
          <w:numId w:val="53"/>
        </w:numPr>
        <w:tabs>
          <w:tab w:val="left" w:pos="0"/>
        </w:tabs>
        <w:jc w:val="both"/>
        <w:rPr>
          <w:rFonts w:cs="Calibri"/>
        </w:rPr>
      </w:pPr>
      <w:r w:rsidRPr="00DE2D55">
        <w:rPr>
          <w:rFonts w:cs="Calibri"/>
        </w:rPr>
        <w:t>Deficiência na geração e disseminação de informação aos órgãos públicos e à sociedade. Falta de efetividade da OGE/ES para responder a demanda crescente de consultas da sociedade em quanto aos serviços prestados pelo estado.</w:t>
      </w:r>
    </w:p>
    <w:p w:rsidR="004E6765" w:rsidRPr="00DE2D55" w:rsidRDefault="00C521DC" w:rsidP="00FE560B">
      <w:pPr>
        <w:tabs>
          <w:tab w:val="left" w:pos="0"/>
        </w:tabs>
        <w:jc w:val="both"/>
        <w:rPr>
          <w:rFonts w:cs="Calibri"/>
          <w:b/>
        </w:rPr>
      </w:pPr>
      <w:r>
        <w:rPr>
          <w:rFonts w:cs="Calibri"/>
          <w:b/>
        </w:rPr>
        <w:t>5.</w:t>
      </w:r>
      <w:r w:rsidR="004E6765" w:rsidRPr="00DE2D55">
        <w:rPr>
          <w:rFonts w:cs="Calibri"/>
          <w:b/>
        </w:rPr>
        <w:t xml:space="preserve">2.3 – Evidências/Magnitudes </w:t>
      </w:r>
    </w:p>
    <w:p w:rsidR="004E6765" w:rsidRPr="00DE2D55" w:rsidRDefault="004E6765" w:rsidP="00FE560B">
      <w:pPr>
        <w:numPr>
          <w:ilvl w:val="0"/>
          <w:numId w:val="54"/>
        </w:numPr>
        <w:tabs>
          <w:tab w:val="left" w:pos="0"/>
        </w:tabs>
        <w:suppressAutoHyphens/>
        <w:jc w:val="both"/>
        <w:rPr>
          <w:rFonts w:cs="Calibri"/>
        </w:rPr>
      </w:pPr>
      <w:r w:rsidRPr="00DE2D55">
        <w:rPr>
          <w:rFonts w:cs="Calibri"/>
        </w:rPr>
        <w:t>A SECONT encontra-se entre os níveis 1 e 2 na Avaliação de Capacidade da Auditoria Interna (IA-CM), realizada em 2016 pelo Banco Mundial – Escala de 1 a 5. 100% dos procedimentos de auditorias e controles internos são realizados de forma manual e presencial. Em 2017, dos 46 órgãos existentes somente 16 foram auditados (71 auditores).</w:t>
      </w:r>
    </w:p>
    <w:p w:rsidR="004E6765" w:rsidRPr="00DE2D55" w:rsidRDefault="004E6765" w:rsidP="00FE560B">
      <w:pPr>
        <w:tabs>
          <w:tab w:val="left" w:pos="0"/>
        </w:tabs>
        <w:suppressAutoHyphens/>
        <w:ind w:left="720"/>
        <w:jc w:val="both"/>
        <w:rPr>
          <w:rFonts w:cs="Calibri"/>
        </w:rPr>
      </w:pPr>
    </w:p>
    <w:p w:rsidR="004E6765" w:rsidRDefault="004E6765" w:rsidP="00FE560B">
      <w:pPr>
        <w:numPr>
          <w:ilvl w:val="0"/>
          <w:numId w:val="54"/>
        </w:numPr>
        <w:tabs>
          <w:tab w:val="left" w:pos="0"/>
        </w:tabs>
        <w:suppressAutoHyphens/>
        <w:jc w:val="both"/>
        <w:rPr>
          <w:rFonts w:cs="Calibri"/>
        </w:rPr>
      </w:pPr>
      <w:r w:rsidRPr="00DE2D55">
        <w:rPr>
          <w:rFonts w:cs="Calibri"/>
        </w:rPr>
        <w:t>Em 2017 a ouvidoria recebeu 9.375 chamados com um tempo médio de resposta de 14 dias. Sendo que as denúncias podem levar até 60 dias, quando o tempo ideal seria de uma semana.</w:t>
      </w:r>
    </w:p>
    <w:p w:rsidR="00C521DC" w:rsidRPr="00DE2D55" w:rsidRDefault="00C521DC" w:rsidP="00FE560B">
      <w:pPr>
        <w:tabs>
          <w:tab w:val="left" w:pos="0"/>
        </w:tabs>
        <w:suppressAutoHyphens/>
        <w:ind w:left="720"/>
        <w:jc w:val="both"/>
        <w:rPr>
          <w:rFonts w:cs="Calibri"/>
        </w:rPr>
      </w:pPr>
    </w:p>
    <w:p w:rsidR="004E6765" w:rsidRPr="00DE2D55" w:rsidRDefault="00EB6017"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2" w:name="_Toc517282083"/>
      <w:r>
        <w:rPr>
          <w:rFonts w:cs="Calibri"/>
          <w:b/>
        </w:rPr>
        <w:t>DESCRIÇÃO DO PRODUTO</w:t>
      </w:r>
      <w:r w:rsidR="004E6765" w:rsidRPr="00DE2D55">
        <w:rPr>
          <w:rFonts w:cs="Calibri"/>
          <w:b/>
        </w:rPr>
        <w:t xml:space="preserve"> E SUA META QUANTITATIVA</w:t>
      </w:r>
      <w:bookmarkEnd w:id="62"/>
    </w:p>
    <w:p w:rsidR="004E6765" w:rsidRPr="00DE2D55" w:rsidRDefault="00C521DC" w:rsidP="00FE560B">
      <w:pPr>
        <w:tabs>
          <w:tab w:val="left" w:pos="0"/>
        </w:tabs>
        <w:jc w:val="both"/>
        <w:rPr>
          <w:rFonts w:cs="Calibri"/>
          <w:b/>
        </w:rPr>
      </w:pPr>
      <w:r>
        <w:rPr>
          <w:rFonts w:cs="Calibri"/>
          <w:b/>
        </w:rPr>
        <w:t>5.</w:t>
      </w:r>
      <w:r w:rsidR="004E6765" w:rsidRPr="00DE2D55">
        <w:rPr>
          <w:rFonts w:cs="Calibri"/>
          <w:b/>
        </w:rPr>
        <w:t>3.1 – Produto Principal:</w:t>
      </w:r>
    </w:p>
    <w:p w:rsidR="004E6765" w:rsidRPr="00DE2D55" w:rsidRDefault="004E6765" w:rsidP="00FE560B">
      <w:pPr>
        <w:pStyle w:val="PargrafodaLista"/>
        <w:tabs>
          <w:tab w:val="left" w:pos="0"/>
        </w:tabs>
        <w:ind w:left="0"/>
        <w:jc w:val="both"/>
        <w:rPr>
          <w:rFonts w:cs="Calibri"/>
          <w:bCs/>
        </w:rPr>
      </w:pPr>
      <w:r w:rsidRPr="00DE2D55">
        <w:rPr>
          <w:rFonts w:cs="Calibri"/>
          <w:bCs/>
        </w:rPr>
        <w:t>Novo modelo de controle interno do estado implantado.</w:t>
      </w:r>
    </w:p>
    <w:p w:rsidR="004E6765" w:rsidRPr="00DE2D55" w:rsidRDefault="00C521DC" w:rsidP="00FE560B">
      <w:pPr>
        <w:pStyle w:val="PargrafodaLista"/>
        <w:tabs>
          <w:tab w:val="left" w:pos="0"/>
        </w:tabs>
        <w:ind w:left="0"/>
        <w:jc w:val="both"/>
        <w:rPr>
          <w:rFonts w:cs="Calibri"/>
          <w:b/>
          <w:bCs/>
        </w:rPr>
      </w:pPr>
      <w:r>
        <w:rPr>
          <w:rFonts w:cs="Calibri"/>
          <w:b/>
          <w:bCs/>
        </w:rPr>
        <w:t>5.</w:t>
      </w:r>
      <w:r w:rsidR="004E6765" w:rsidRPr="00DE2D55">
        <w:rPr>
          <w:rFonts w:cs="Calibri"/>
          <w:b/>
          <w:bCs/>
        </w:rPr>
        <w:t>3.2 - Subprodutos</w:t>
      </w:r>
    </w:p>
    <w:p w:rsidR="004E6765" w:rsidRDefault="00C521DC" w:rsidP="00FE560B">
      <w:pPr>
        <w:pStyle w:val="PargrafodaLista"/>
        <w:tabs>
          <w:tab w:val="left" w:pos="0"/>
        </w:tabs>
        <w:ind w:left="0"/>
        <w:jc w:val="both"/>
        <w:rPr>
          <w:rFonts w:cs="Calibri"/>
          <w:b/>
          <w:bCs/>
        </w:rPr>
      </w:pPr>
      <w:r>
        <w:rPr>
          <w:rFonts w:cs="Calibri"/>
          <w:b/>
          <w:bCs/>
        </w:rPr>
        <w:t>5.</w:t>
      </w:r>
      <w:r w:rsidR="004E6765" w:rsidRPr="00DE2D55">
        <w:rPr>
          <w:rFonts w:cs="Calibri"/>
          <w:b/>
          <w:bCs/>
        </w:rPr>
        <w:t>3.2.1 - Revisão e implantação dos procedimentos de auditoria interna e controle interno, utilizando modelo de gerenciamento de riscos e integridade e sistemas informatizados de apoio à gestão.</w:t>
      </w:r>
    </w:p>
    <w:p w:rsidR="00C521DC" w:rsidRPr="00DE2D55" w:rsidRDefault="00C521DC" w:rsidP="00FE560B">
      <w:pPr>
        <w:pStyle w:val="PargrafodaLista"/>
        <w:tabs>
          <w:tab w:val="left" w:pos="0"/>
        </w:tabs>
        <w:ind w:left="0"/>
        <w:jc w:val="both"/>
        <w:rPr>
          <w:rFonts w:cs="Calibri"/>
          <w:b/>
          <w:bCs/>
        </w:rPr>
      </w:pPr>
    </w:p>
    <w:p w:rsidR="004E6765" w:rsidRPr="00DE2D55" w:rsidRDefault="004E6765" w:rsidP="00FE560B">
      <w:pPr>
        <w:pStyle w:val="PargrafodaLista"/>
        <w:tabs>
          <w:tab w:val="left" w:pos="0"/>
        </w:tabs>
        <w:ind w:left="0"/>
        <w:jc w:val="both"/>
        <w:rPr>
          <w:rFonts w:cs="Calibri"/>
          <w:b/>
          <w:bCs/>
        </w:rPr>
      </w:pPr>
      <w:r w:rsidRPr="00DE2D55">
        <w:rPr>
          <w:rFonts w:cs="Calibri"/>
          <w:b/>
          <w:bCs/>
        </w:rPr>
        <w:t>a) Gestão de riscos e integridade implantados</w:t>
      </w:r>
    </w:p>
    <w:p w:rsidR="004E6765" w:rsidRPr="00DE2D55" w:rsidRDefault="004E6765" w:rsidP="00FE560B">
      <w:pPr>
        <w:pStyle w:val="PargrafodaLista"/>
        <w:tabs>
          <w:tab w:val="left" w:pos="0"/>
        </w:tabs>
        <w:ind w:left="0"/>
        <w:jc w:val="both"/>
        <w:rPr>
          <w:rFonts w:cs="Calibri"/>
          <w:bCs/>
        </w:rPr>
      </w:pPr>
      <w:r w:rsidRPr="00DE2D55">
        <w:rPr>
          <w:rFonts w:cs="Calibri"/>
          <w:bCs/>
        </w:rPr>
        <w:t>Modelo de gestão de riscos e integridade definido e disseminado. A partir da elaboração de uma política de gestão de riscos e integridade do Estado, será definida uma metodologia para a identificação, análise e avaliação dos riscos a ser utilizada pelos diversos órgãos e entidades estaduais. A SEFAZ atuará, por meio da Secretaria de Controle e Transparência - SECONT, no fomento à utilização das ferramentas de gestão de riscos por meio de assessorias aos órgãos e entidades estaduais. Após o enraizamento da cultura de gestão de riscos no Estado e da utilização em maior escala das ferramentas na gestão das organizações, a SECONT passará a atuar na avaliação do gerenciamento de riscos pelos órgãos e entidades, que é o seu papel como terceira linha de defesa.</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tabs>
          <w:tab w:val="left" w:pos="0"/>
        </w:tabs>
        <w:ind w:left="0"/>
        <w:jc w:val="both"/>
        <w:rPr>
          <w:rFonts w:cs="Calibri"/>
          <w:b/>
          <w:bCs/>
        </w:rPr>
      </w:pPr>
      <w:r w:rsidRPr="00DE2D55">
        <w:rPr>
          <w:rFonts w:cs="Calibri"/>
          <w:b/>
          <w:bCs/>
        </w:rPr>
        <w:t>b) Procedimentos de auditoria interna e controle interno aperfeiçoados</w:t>
      </w:r>
    </w:p>
    <w:p w:rsidR="004E6765" w:rsidRPr="00DE2D55" w:rsidRDefault="004E6765" w:rsidP="00FE560B">
      <w:pPr>
        <w:pStyle w:val="PargrafodaLista"/>
        <w:tabs>
          <w:tab w:val="left" w:pos="0"/>
        </w:tabs>
        <w:ind w:left="0"/>
        <w:jc w:val="both"/>
        <w:rPr>
          <w:rFonts w:cs="Calibri"/>
          <w:bCs/>
        </w:rPr>
      </w:pPr>
      <w:r w:rsidRPr="00DE2D55">
        <w:rPr>
          <w:rFonts w:cs="Calibri"/>
          <w:bCs/>
        </w:rPr>
        <w:t>Ações em diversas dimensões da gestão da SECONT que visam à melhoria da capacidade da auditoria interna, de acordo com o modelo IA-CM. São ações como:</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Capacitação e Certificação de auditores do estado em auditoria, em gestão de riscos e tecnologia da Informação;</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Implementar a gestão por competência e gestão de desempenho na Auditoria Interna: identificar as competências requeridas para realizar as tarefas de Auditoria, elaborando o Plano de Competências, para apoiar o crescimento e desenvolvimento profissional, levando em consideração o ambiente da organização e conhecimentos, habilidade e atitudes específicos (técnicos e comportamentais). A gestão por competências objetiva identificar as lacunas de competência e planejar o desenvolvimento profissional em todos os níveis da Diretoria (individual, grupal e organizacional) visando à consecução dos objetivos da organização. Na gestão de desempenho, objetiva-se identificar, mensurar e desenvolver o desempenho individual e das equipes, estabelecendo-se critérios objetivos em cada nível de competência;</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Automatização do Sistema de Controle Interno com a implantação de um sistema de auditoria plenamente aderente às metodologias de gestão de riscos internacionalmente estabelecidas, bem como a modernização do Observatório de Despesa Pública (ODP) por meio da utilização de ferramentas de BI para desenvolver e automatizar o monitoramento da despesa, além de levar as aplicações desenvolvidas e os resultados das trilhas ao Controle Interno e Gestores dos órgãos e entidades públicas dependentes. Será ampliado o número de trilhas automatizadas para o monitoramento da despesa (regularidade), trilhas de auditoria (para identificar irregularidades), e o desenvolvimento de indicadores gerenciais e de gestão, possibilitando a classificação e avaliação da gestão dos órgãos e entidades, de resultados de programas e ações, sob diversos aspectos;</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Aperfeiçoamento do modelo de monitoramento da gestão de pessoas da administração direta e indireta, objetivando otimizar os resultados dos trabalhos a cargo da SECONT, e fomentar a cultura do controle primário das atividades sob responsabilidade dos órgãos e entidades do Poder Executivo estadual. Para tanto serão necessários investimentos em recursos tecnológicos (consultoria, hardware, software e treinamento) para operacionalizar uma nova sistemática de cruzamento de dados, disponibilização das trilhas de auditoria ao controle primário e o monitoramento das restrições pela SECONT;</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Implementação e ampliação de capacidade do Portal da Rede ODP: O Portal é uma hospedagem de dados da União, Estados, Municípios e Tribunais de Contas para os trabalhos dos Observatórios da Despesa Pública que ficará sub a tutela do Estado do Espírito Santo, através da Secretaria de Estado da Fazenda. A hospedagem de dados do Poder Executivo do Estado, do TCE/ES e da CGU (dados federais) será objeto de planejamento, que buscará está concluída em dezembro de 2019, com a publicação do Portal da Rede ODP. Entretanto, com a inclusão dos dados dos demais Estados, Municípios e Tribunais de Contas participantes da Rede ODP, será necessário o aumento da capacidade de processamento e memória do Portal, por meio da aquisição de equipamentos.</w:t>
      </w:r>
    </w:p>
    <w:p w:rsidR="004E6765" w:rsidRPr="00DE2D55" w:rsidRDefault="004E6765" w:rsidP="00FE560B">
      <w:pPr>
        <w:pStyle w:val="PargrafodaLista"/>
        <w:tabs>
          <w:tab w:val="left" w:pos="0"/>
        </w:tabs>
        <w:jc w:val="both"/>
        <w:rPr>
          <w:rFonts w:cs="Calibri"/>
          <w:bCs/>
        </w:rPr>
      </w:pPr>
    </w:p>
    <w:p w:rsidR="004E6765" w:rsidRPr="00DE2D55" w:rsidRDefault="00C521DC" w:rsidP="00FE560B">
      <w:pPr>
        <w:pStyle w:val="PargrafodaLista"/>
        <w:tabs>
          <w:tab w:val="left" w:pos="0"/>
        </w:tabs>
        <w:ind w:left="0"/>
        <w:jc w:val="both"/>
        <w:rPr>
          <w:rFonts w:cs="Calibri"/>
          <w:b/>
          <w:noProof/>
          <w:color w:val="0070C0"/>
        </w:rPr>
      </w:pPr>
      <w:r>
        <w:rPr>
          <w:rFonts w:cs="Calibri"/>
          <w:b/>
          <w:bCs/>
        </w:rPr>
        <w:t>5.</w:t>
      </w:r>
      <w:r w:rsidR="004E6765" w:rsidRPr="00DE2D55">
        <w:rPr>
          <w:rFonts w:cs="Calibri"/>
          <w:b/>
          <w:bCs/>
        </w:rPr>
        <w:t>3.2.2 – Revisão e implantação de novo modelo de transparência das informações públicas e a revisão e implantação da sistemática de Ouvidoria Geral do Estado</w:t>
      </w:r>
      <w:r w:rsidR="004E6765" w:rsidRPr="00DE2D55">
        <w:rPr>
          <w:rFonts w:cs="Calibri"/>
          <w:b/>
          <w:noProof/>
          <w:color w:val="0070C0"/>
        </w:rPr>
        <w:t>.</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tabs>
          <w:tab w:val="left" w:pos="0"/>
        </w:tabs>
        <w:ind w:left="0"/>
        <w:jc w:val="both"/>
        <w:rPr>
          <w:rFonts w:cs="Calibri"/>
          <w:b/>
          <w:bCs/>
        </w:rPr>
      </w:pPr>
      <w:r w:rsidRPr="00DE2D55">
        <w:rPr>
          <w:rFonts w:cs="Calibri"/>
          <w:b/>
          <w:bCs/>
        </w:rPr>
        <w:t>a) Transparência Pública</w:t>
      </w:r>
    </w:p>
    <w:p w:rsidR="004E6765" w:rsidRPr="00DE2D55" w:rsidRDefault="004E6765" w:rsidP="00FE560B">
      <w:pPr>
        <w:pStyle w:val="PargrafodaLista"/>
        <w:tabs>
          <w:tab w:val="left" w:pos="0"/>
        </w:tabs>
        <w:ind w:left="0"/>
        <w:jc w:val="both"/>
        <w:rPr>
          <w:rFonts w:cs="Calibri"/>
          <w:bCs/>
        </w:rPr>
      </w:pPr>
      <w:r w:rsidRPr="00DE2D55">
        <w:rPr>
          <w:rFonts w:cs="Calibri"/>
          <w:bCs/>
        </w:rPr>
        <w:t>Em relação à transparência, serão desenvolvidos os seguintes produtos:</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 xml:space="preserve">Plano de ação para inovação da transparência: formulação de um plano de ação que identifique  as necessidades internas e perante a sociedade, com o objetivo de desenvolver métodos e soluções para fortalecer e aperfeiçoar a transparência do Estado. Inclui a concepção de novas formas de apresentação e divulgação dos dados e informações, dentro de uma linguagem cidadã, com vistas à melhoria da compreensibilidade, usabilidade, interatividade e comunicação do Estado com o cidadão e do cidadão com o Estado. Busca propor soluções que visem contextualizar os dados não-financeiros com os dados financeiros dispostos no portal. Inclui também serviços de especificação, elaboração de termos de referência, estruturação e análise de pesquisa com a sociedade. </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Pesquisas aplicadas à transparência: execução de pesquisas com a sociedade, de forma presencial e pela Internet, de modo a interagir com diversos perfis de cidadãos para entender suas necessidades e auxiliar a estruturação das ações para a melhoria da transparência ativa, sendo fonte de dados para elaboração do plano de ação. Previstas duas pesquisas: uma no início do programa e uma outra no término do plano com vistas a realizar uma comparação.</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noProof/>
        </w:rPr>
      </w:pPr>
      <w:r w:rsidRPr="00DE2D55">
        <w:rPr>
          <w:rFonts w:cs="Calibri"/>
          <w:bCs/>
        </w:rPr>
        <w:t>Evoluções do Portal da Transparência: desenvolvimento de evoluções relacionadas ao design, à usabilidade, à acessibilidade, novas consultas e páginas específicas de novos</w:t>
      </w:r>
      <w:r w:rsidRPr="00DE2D55">
        <w:rPr>
          <w:rFonts w:cs="Calibri"/>
          <w:noProof/>
        </w:rPr>
        <w:t xml:space="preserve"> dados e informações, entre outros, visando a melhoria do Portal. Refere-se a serviços de análise, programação e design a fim de aperfeiçoar a experiência do cidadão, inclusão de novos dados e informações, que possibilitem ao cidadão utilizar mais o portal e permanecer um maior tempo conectado. Nesse sentido, inclui também a obtenção, integração e publicação de dados e informações não-financeiras provenientes das áreas de governo (saúde, educação, segurança, etc).</w:t>
      </w: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 xml:space="preserve">Ferramentas de comunicação do portal: desenvolvimento de soluções relacionadas a ferramentas de conteúdo, manual on-line, plataforma de notícias, integrações com redes sociais, ferramentas de Push e Newsletter, multi idiomas, entre outros. Além disso, inclui serviços de consultoria para propor novas formas de apresentação das informações em linguagem cidadã, atendendo os diversos públicos, entre eles o público infantil.  </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Plataforma de dados abertos: disponibilização de bases de dados, através de plataforma estruturada de dados abertos, para permitir uma melhor utilização pela sociedade. Pretende se incluir a disponibilização de diversas bases de dados e em formatos diferentes, com estrutura de catalogação e pesquisa que facilitem a utilização. Inclui a necessidade de consultorias para definição da solução e especificação do produto, além de treinamentos, equipamentos e o desenvolvimento de software da plataforma.</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Aplicativos (APP) e outras tecnologias: reformulação do aplicativo da transparência e criação de novos aplicativos, serviços e tecnologias para atendimento a transparência, possibilitando novas formas tecnológicas de acesso às informações, como aplicativo interativo para totens. Inclui também a revisão das plataformas que atendem a transparência ativa.</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numPr>
          <w:ilvl w:val="0"/>
          <w:numId w:val="55"/>
        </w:numPr>
        <w:tabs>
          <w:tab w:val="left" w:pos="0"/>
        </w:tabs>
        <w:jc w:val="both"/>
        <w:rPr>
          <w:rFonts w:cs="Calibri"/>
          <w:bCs/>
        </w:rPr>
      </w:pPr>
      <w:r w:rsidRPr="00DE2D55">
        <w:rPr>
          <w:rFonts w:cs="Calibri"/>
          <w:bCs/>
        </w:rPr>
        <w:t xml:space="preserve">Divulgação da transparência ativa: disseminação dos instrumentos de transparência ativa e da sua função social, utilizando diversas formas de comunicação com a sociedade, incluindo estratégias pedagógicas e lúdicas mediadas pelas diversas expressões artísticas. Insere-se neste tema também a difusão em locais de acesso ao público em geral, em ambientes educacionais, em eventos diversos, entre outros, assim como a contratação de serviços, aquisição de materiais, equipamentos e </w:t>
      </w:r>
      <w:r w:rsidRPr="00DE2D55">
        <w:rPr>
          <w:rFonts w:cs="Calibri"/>
          <w:bCs/>
          <w:i/>
        </w:rPr>
        <w:t>softwares</w:t>
      </w:r>
      <w:r w:rsidRPr="00DE2D55">
        <w:rPr>
          <w:rFonts w:cs="Calibri"/>
          <w:bCs/>
        </w:rPr>
        <w:t>.</w:t>
      </w:r>
    </w:p>
    <w:p w:rsidR="004E6765" w:rsidRPr="00DE2D55" w:rsidRDefault="004E6765" w:rsidP="00FE560B">
      <w:pPr>
        <w:pStyle w:val="PargrafodaLista"/>
        <w:tabs>
          <w:tab w:val="left" w:pos="0"/>
        </w:tabs>
        <w:ind w:left="0"/>
        <w:jc w:val="both"/>
        <w:rPr>
          <w:rFonts w:cs="Calibri"/>
          <w:bCs/>
        </w:rPr>
      </w:pPr>
    </w:p>
    <w:p w:rsidR="004E6765" w:rsidRPr="00DE2D55" w:rsidRDefault="004E6765" w:rsidP="00FE560B">
      <w:pPr>
        <w:pStyle w:val="PargrafodaLista"/>
        <w:tabs>
          <w:tab w:val="left" w:pos="0"/>
        </w:tabs>
        <w:ind w:left="0"/>
        <w:jc w:val="both"/>
        <w:rPr>
          <w:rFonts w:cs="Calibri"/>
          <w:b/>
          <w:bCs/>
        </w:rPr>
      </w:pPr>
      <w:r w:rsidRPr="00DE2D55">
        <w:rPr>
          <w:rFonts w:cs="Calibri"/>
          <w:b/>
          <w:bCs/>
        </w:rPr>
        <w:t>b) Ouvidoria Geral do Estado</w:t>
      </w:r>
    </w:p>
    <w:p w:rsidR="004E6765" w:rsidRPr="00DE2D55" w:rsidRDefault="004E6765" w:rsidP="00FE560B">
      <w:pPr>
        <w:pStyle w:val="PargrafodaLista"/>
        <w:tabs>
          <w:tab w:val="left" w:pos="0"/>
        </w:tabs>
        <w:jc w:val="both"/>
        <w:rPr>
          <w:rFonts w:cs="Calibri"/>
          <w:bCs/>
        </w:rPr>
      </w:pPr>
    </w:p>
    <w:p w:rsidR="004E6765" w:rsidRPr="00DE2D55" w:rsidRDefault="004E6765" w:rsidP="00FE560B">
      <w:pPr>
        <w:pStyle w:val="PargrafodaLista"/>
        <w:tabs>
          <w:tab w:val="left" w:pos="0"/>
        </w:tabs>
        <w:ind w:left="0"/>
        <w:jc w:val="both"/>
        <w:rPr>
          <w:rFonts w:cs="Calibri"/>
          <w:bCs/>
        </w:rPr>
      </w:pPr>
      <w:r w:rsidRPr="00DE2D55">
        <w:rPr>
          <w:rFonts w:cs="Calibri"/>
          <w:bCs/>
        </w:rPr>
        <w:t>A estrutura da OGE/ES conta com um quadro reduzido e, apesar de contar com 5 setoriais e 97 representantes de ouvidoria espalhados por 51 órgãos / entidades, enfrenta desafios em relação ao seu desempenho no atendimento às demandas, o que compromete a eficácia de sua atuação no que tange o atendimento aos direitos fundamentais dos usuários dos serviços públicos estaduais assegurados pela Constituição Federal de 1988, a saber, o direito a fiscalização e a participação popular na administração pública, por meio de resposta as demandas sociais dentro do prazo estipulado pelo Manual de Atuação da Ouvidoria-Geral do Estado, publicado pela Portaria SECONT nº 013-R/2015, de 14-12-2015.</w:t>
      </w:r>
    </w:p>
    <w:p w:rsidR="004E6765" w:rsidRPr="00DE2D55" w:rsidRDefault="004E6765" w:rsidP="00FE560B">
      <w:pPr>
        <w:pStyle w:val="PargrafodaLista"/>
        <w:tabs>
          <w:tab w:val="left" w:pos="0"/>
        </w:tabs>
        <w:ind w:left="0"/>
        <w:jc w:val="both"/>
        <w:rPr>
          <w:rFonts w:cs="Calibri"/>
          <w:bCs/>
        </w:rPr>
      </w:pPr>
      <w:r w:rsidRPr="00DE2D55">
        <w:rPr>
          <w:rFonts w:cs="Calibri"/>
          <w:bCs/>
        </w:rPr>
        <w:t>Dentre as atribuições da OGE/ES estão:</w:t>
      </w:r>
    </w:p>
    <w:p w:rsidR="004E6765" w:rsidRPr="00DE2D55" w:rsidRDefault="004E6765" w:rsidP="00FE560B">
      <w:pPr>
        <w:numPr>
          <w:ilvl w:val="0"/>
          <w:numId w:val="52"/>
        </w:numPr>
        <w:tabs>
          <w:tab w:val="left" w:pos="0"/>
        </w:tabs>
        <w:ind w:left="709"/>
        <w:jc w:val="both"/>
        <w:rPr>
          <w:rFonts w:cs="Calibri"/>
        </w:rPr>
      </w:pPr>
      <w:r w:rsidRPr="00DE2D55">
        <w:rPr>
          <w:rFonts w:cs="Calibri"/>
        </w:rPr>
        <w:t>exercer  a  coordenação, supervisão e direção do Sistema Integrado de Ouvidoria do Estado;</w:t>
      </w:r>
    </w:p>
    <w:p w:rsidR="004E6765" w:rsidRPr="00DE2D55" w:rsidRDefault="004E6765" w:rsidP="00FE560B">
      <w:pPr>
        <w:numPr>
          <w:ilvl w:val="0"/>
          <w:numId w:val="52"/>
        </w:numPr>
        <w:tabs>
          <w:tab w:val="left" w:pos="0"/>
        </w:tabs>
        <w:ind w:left="709"/>
        <w:jc w:val="both"/>
        <w:rPr>
          <w:rFonts w:cs="Calibri"/>
        </w:rPr>
      </w:pPr>
      <w:r w:rsidRPr="00DE2D55">
        <w:rPr>
          <w:rFonts w:cs="Calibri"/>
        </w:rPr>
        <w:t>promover a implantação e gestão do Sistema Integrado de Ouvidoria;</w:t>
      </w:r>
    </w:p>
    <w:p w:rsidR="004E6765" w:rsidRPr="00DE2D55" w:rsidRDefault="004E6765" w:rsidP="00FE560B">
      <w:pPr>
        <w:numPr>
          <w:ilvl w:val="0"/>
          <w:numId w:val="52"/>
        </w:numPr>
        <w:tabs>
          <w:tab w:val="left" w:pos="0"/>
        </w:tabs>
        <w:ind w:left="709"/>
        <w:jc w:val="both"/>
        <w:rPr>
          <w:rFonts w:cs="Calibri"/>
        </w:rPr>
      </w:pPr>
      <w:r w:rsidRPr="00DE2D55">
        <w:rPr>
          <w:rFonts w:cs="Calibri"/>
        </w:rPr>
        <w:t>definir critérios para a promoção e o acompanhamento de procedimentos junto aos órgãos e entidades componentes do Sistema Integrado de Ouvidoria,  informando  os resultados aos  interessados e garantindo ao cidadão orientação, informação e resposta;</w:t>
      </w:r>
    </w:p>
    <w:p w:rsidR="004E6765" w:rsidRPr="00DE2D55" w:rsidRDefault="004E6765" w:rsidP="00FE560B">
      <w:pPr>
        <w:numPr>
          <w:ilvl w:val="0"/>
          <w:numId w:val="52"/>
        </w:numPr>
        <w:tabs>
          <w:tab w:val="left" w:pos="0"/>
        </w:tabs>
        <w:ind w:left="709"/>
        <w:jc w:val="both"/>
        <w:rPr>
          <w:rFonts w:cs="Calibri"/>
        </w:rPr>
      </w:pPr>
      <w:r w:rsidRPr="00DE2D55">
        <w:rPr>
          <w:rFonts w:cs="Calibri"/>
        </w:rPr>
        <w:t>receber, examinar e encaminhar sugestões, reclamações e denúncias referentes a procedimentos e ações de agentes, órgãos e entidades do Poder Executivo Estadual;</w:t>
      </w:r>
    </w:p>
    <w:p w:rsidR="004E6765" w:rsidRPr="00DE2D55" w:rsidRDefault="004E6765" w:rsidP="00FE560B">
      <w:pPr>
        <w:numPr>
          <w:ilvl w:val="0"/>
          <w:numId w:val="52"/>
        </w:numPr>
        <w:tabs>
          <w:tab w:val="left" w:pos="0"/>
        </w:tabs>
        <w:ind w:left="709"/>
        <w:jc w:val="both"/>
        <w:rPr>
          <w:rFonts w:cs="Calibri"/>
        </w:rPr>
      </w:pPr>
      <w:r w:rsidRPr="00DE2D55">
        <w:rPr>
          <w:rFonts w:cs="Calibri"/>
        </w:rPr>
        <w:t>sistematizar e consolidar as informações recebidas, através de relatórios periódicos;</w:t>
      </w:r>
    </w:p>
    <w:p w:rsidR="004E6765" w:rsidRPr="00DE2D55" w:rsidRDefault="004E6765" w:rsidP="00FE560B">
      <w:pPr>
        <w:numPr>
          <w:ilvl w:val="0"/>
          <w:numId w:val="52"/>
        </w:numPr>
        <w:tabs>
          <w:tab w:val="left" w:pos="0"/>
        </w:tabs>
        <w:ind w:left="709"/>
        <w:jc w:val="both"/>
        <w:rPr>
          <w:rFonts w:cs="Calibri"/>
        </w:rPr>
      </w:pPr>
      <w:r w:rsidRPr="00DE2D55">
        <w:rPr>
          <w:rFonts w:cs="Calibri"/>
        </w:rPr>
        <w:t>propor soluções para as questões apresentadas e oferecer informações gerenciais e recomendações às autoridades  competentes, objetivando o aprimoramento da prestação dos serviços públicos;</w:t>
      </w:r>
    </w:p>
    <w:p w:rsidR="004E6765" w:rsidRPr="00DE2D55" w:rsidRDefault="004E6765" w:rsidP="00FE560B">
      <w:pPr>
        <w:numPr>
          <w:ilvl w:val="0"/>
          <w:numId w:val="52"/>
        </w:numPr>
        <w:tabs>
          <w:tab w:val="left" w:pos="0"/>
        </w:tabs>
        <w:ind w:left="709"/>
        <w:jc w:val="both"/>
        <w:rPr>
          <w:rFonts w:cs="Calibri"/>
        </w:rPr>
      </w:pPr>
      <w:r w:rsidRPr="00DE2D55">
        <w:rPr>
          <w:rFonts w:cs="Calibri"/>
        </w:rPr>
        <w:t>recomendar ações e medidas, administrativas e legais, quando necessárias à prevenção, combate e correção dos fatos apreciados;</w:t>
      </w:r>
    </w:p>
    <w:p w:rsidR="004E6765" w:rsidRPr="00DE2D55" w:rsidRDefault="004E6765" w:rsidP="00FE560B">
      <w:pPr>
        <w:numPr>
          <w:ilvl w:val="0"/>
          <w:numId w:val="52"/>
        </w:numPr>
        <w:tabs>
          <w:tab w:val="left" w:pos="0"/>
        </w:tabs>
        <w:ind w:left="709"/>
        <w:jc w:val="both"/>
        <w:rPr>
          <w:rFonts w:cs="Calibri"/>
        </w:rPr>
      </w:pPr>
      <w:r w:rsidRPr="00DE2D55">
        <w:rPr>
          <w:rFonts w:cs="Calibri"/>
        </w:rPr>
        <w:t>cientificar  às  autoridades competentes das questões que lhe forem apresentadas ou que, de qualquer outro modo, cheguem ao seu conhecimento, requisitando informações e documentos;</w:t>
      </w:r>
    </w:p>
    <w:p w:rsidR="004E6765" w:rsidRPr="00DE2D55" w:rsidRDefault="004E6765" w:rsidP="00FE560B">
      <w:pPr>
        <w:numPr>
          <w:ilvl w:val="0"/>
          <w:numId w:val="52"/>
        </w:numPr>
        <w:tabs>
          <w:tab w:val="left" w:pos="0"/>
        </w:tabs>
        <w:ind w:left="709"/>
        <w:jc w:val="both"/>
        <w:rPr>
          <w:rFonts w:cs="Calibri"/>
        </w:rPr>
      </w:pPr>
      <w:r w:rsidRPr="00DE2D55">
        <w:rPr>
          <w:rFonts w:cs="Calibri"/>
        </w:rPr>
        <w:t>ampliar e manter canais de comunicação entre a Administração Pública  e  a  sociedade  civil, expandindo a capacidade do cidadão de participar da  fiscalização e avaliação das ações do Poder Executivo Estadual;</w:t>
      </w:r>
    </w:p>
    <w:p w:rsidR="004E6765" w:rsidRPr="00DE2D55" w:rsidRDefault="004E6765" w:rsidP="00FE560B">
      <w:pPr>
        <w:numPr>
          <w:ilvl w:val="0"/>
          <w:numId w:val="52"/>
        </w:numPr>
        <w:tabs>
          <w:tab w:val="left" w:pos="0"/>
        </w:tabs>
        <w:ind w:left="709"/>
        <w:jc w:val="both"/>
        <w:rPr>
          <w:rFonts w:cs="Calibri"/>
        </w:rPr>
      </w:pPr>
      <w:r w:rsidRPr="00DE2D55">
        <w:rPr>
          <w:rFonts w:cs="Calibri"/>
        </w:rPr>
        <w:t>criar mecanismos e instrumentos de monitoramento, avaliação e controle dos procedimentos de ouvidoria;</w:t>
      </w:r>
    </w:p>
    <w:p w:rsidR="004E6765" w:rsidRPr="00DE2D55" w:rsidRDefault="004E6765" w:rsidP="00FE560B">
      <w:pPr>
        <w:numPr>
          <w:ilvl w:val="0"/>
          <w:numId w:val="52"/>
        </w:numPr>
        <w:tabs>
          <w:tab w:val="left" w:pos="0"/>
        </w:tabs>
        <w:ind w:left="709"/>
        <w:jc w:val="both"/>
        <w:rPr>
          <w:rFonts w:cs="Calibri"/>
        </w:rPr>
      </w:pPr>
      <w:r w:rsidRPr="00DE2D55">
        <w:rPr>
          <w:rFonts w:cs="Calibri"/>
        </w:rPr>
        <w:t>articular-se, fortalecendo os canais de comunicação com os diversos órgãos e entidades da Administração Pública Estadual.</w:t>
      </w:r>
    </w:p>
    <w:p w:rsidR="004E6765" w:rsidRPr="00DE2D55" w:rsidRDefault="004E6765" w:rsidP="00FE560B">
      <w:pPr>
        <w:numPr>
          <w:ilvl w:val="0"/>
          <w:numId w:val="52"/>
        </w:numPr>
        <w:tabs>
          <w:tab w:val="left" w:pos="0"/>
        </w:tabs>
        <w:ind w:left="709"/>
        <w:jc w:val="both"/>
        <w:rPr>
          <w:rFonts w:cs="Calibri"/>
        </w:rPr>
      </w:pPr>
      <w:r w:rsidRPr="00DE2D55">
        <w:rPr>
          <w:rFonts w:cs="Calibri"/>
        </w:rPr>
        <w:t>examinar, propor e promover mecanismos  e  instrumentos alternativos de coleta de elogios, sugestões, reclamações e denúncias, privilegiando os meios eletrônicos de comunicação;</w:t>
      </w:r>
    </w:p>
    <w:p w:rsidR="004E6765" w:rsidRPr="00DE2D55" w:rsidRDefault="004E6765" w:rsidP="00FE560B">
      <w:pPr>
        <w:numPr>
          <w:ilvl w:val="0"/>
          <w:numId w:val="52"/>
        </w:numPr>
        <w:tabs>
          <w:tab w:val="left" w:pos="0"/>
        </w:tabs>
        <w:ind w:left="709"/>
        <w:jc w:val="both"/>
        <w:rPr>
          <w:rFonts w:cs="Calibri"/>
        </w:rPr>
      </w:pPr>
      <w:r w:rsidRPr="00DE2D55">
        <w:rPr>
          <w:rFonts w:cs="Calibri"/>
        </w:rPr>
        <w:t>identificar e interpretar o grau de satisfação  do  cidadão  com  a prestação dos serviços públicos, através das informações geradas pelo Sistema Integrado de Gestão de Ouvidoria (SIG – Ouvidoria);</w:t>
      </w:r>
    </w:p>
    <w:p w:rsidR="004E6765" w:rsidRPr="00DE2D55" w:rsidRDefault="004E6765" w:rsidP="00FE560B">
      <w:pPr>
        <w:numPr>
          <w:ilvl w:val="0"/>
          <w:numId w:val="52"/>
        </w:numPr>
        <w:tabs>
          <w:tab w:val="left" w:pos="0"/>
        </w:tabs>
        <w:ind w:left="709"/>
        <w:jc w:val="both"/>
        <w:rPr>
          <w:rFonts w:cs="Calibri"/>
        </w:rPr>
      </w:pPr>
      <w:r w:rsidRPr="00DE2D55">
        <w:rPr>
          <w:rFonts w:cs="Calibri"/>
        </w:rPr>
        <w:t>promover, articular e apoiar outras ações para a difusão e divulgação de práticas de cidadania.</w:t>
      </w:r>
    </w:p>
    <w:p w:rsidR="00C521DC" w:rsidRDefault="00C521DC" w:rsidP="00FE560B">
      <w:pPr>
        <w:tabs>
          <w:tab w:val="left" w:pos="0"/>
        </w:tabs>
        <w:ind w:hanging="1"/>
        <w:jc w:val="both"/>
        <w:rPr>
          <w:rFonts w:cs="Calibri"/>
          <w:bCs/>
        </w:rPr>
      </w:pPr>
    </w:p>
    <w:p w:rsidR="004E6765" w:rsidRPr="00DE2D55" w:rsidRDefault="004E6765" w:rsidP="00FE560B">
      <w:pPr>
        <w:tabs>
          <w:tab w:val="left" w:pos="0"/>
        </w:tabs>
        <w:ind w:hanging="1"/>
        <w:jc w:val="both"/>
        <w:rPr>
          <w:rFonts w:cs="Calibri"/>
        </w:rPr>
      </w:pPr>
      <w:r w:rsidRPr="00DE2D55">
        <w:rPr>
          <w:rFonts w:cs="Calibri"/>
          <w:bCs/>
        </w:rPr>
        <w:t>A estrutura atual pertence à Secretaria de Estado de Controle e Transparência e atende anualmente cerca de 9 mil chamados, sendo que desde 2012 já foram atendidos mais de 25 mil demandas, conforme a Figura 3. Por essa figura é possível evidenciar a crescente evolução no número de chamados recebidos pela OGE/ES, que praticamente decuplicou nos últimos 6 anos. Apesar do significativo aumento dos chamados de ouvidoria no Estado, a infraestrutura física não se adequou ao aumento dessa demanda, sendo que atualmente o OGE/ES conta com 1</w:t>
      </w:r>
      <w:r w:rsidRPr="00DE2D55">
        <w:rPr>
          <w:rFonts w:cs="Calibri"/>
        </w:rPr>
        <w:t xml:space="preserve"> coordenador, 2 servidores e 2 estagiários.</w:t>
      </w:r>
    </w:p>
    <w:p w:rsidR="004E6765" w:rsidRPr="00DE2D55" w:rsidRDefault="004E6765" w:rsidP="00FE560B">
      <w:pPr>
        <w:tabs>
          <w:tab w:val="left" w:pos="0"/>
        </w:tabs>
        <w:ind w:hanging="1"/>
        <w:jc w:val="both"/>
      </w:pPr>
      <w:r w:rsidRPr="00DE2D55">
        <w:rPr>
          <w:rFonts w:cs="Calibri"/>
        </w:rPr>
        <w:t xml:space="preserve">Em 2017, como se pode notar ainda da Figura 3, a quantidade de chamados recebidos </w:t>
      </w:r>
      <w:r w:rsidR="000F67FC" w:rsidRPr="00DE2D55">
        <w:rPr>
          <w:rFonts w:cs="Calibri"/>
        </w:rPr>
        <w:t>pela ouvidoria</w:t>
      </w:r>
      <w:r w:rsidRPr="00DE2D55">
        <w:rPr>
          <w:rFonts w:cs="Calibri"/>
        </w:rPr>
        <w:t xml:space="preserve"> foi de 9.375. O tempo médio de resposta foi de 14 (quatorze) dias, sendo que as denúncias podem levar até 60 (sessenta) dias. Este último prazo, que está longe do ideal, ocorre devido a necessidade de integração com os órgãos/entidades que, muitas vezes, se dá sem apoio de um sistema integrado.</w:t>
      </w:r>
    </w:p>
    <w:p w:rsidR="004E6765" w:rsidRPr="00DE2D55" w:rsidRDefault="004E6765" w:rsidP="00FE560B">
      <w:pPr>
        <w:tabs>
          <w:tab w:val="left" w:pos="0"/>
        </w:tabs>
        <w:jc w:val="center"/>
        <w:rPr>
          <w:rFonts w:cs="Calibri"/>
        </w:rPr>
      </w:pPr>
      <w:r w:rsidRPr="00DE2D55">
        <w:rPr>
          <w:noProof/>
          <w:lang w:eastAsia="pt-BR"/>
        </w:rPr>
        <w:drawing>
          <wp:inline distT="0" distB="0" distL="0" distR="0" wp14:anchorId="2C8A8812" wp14:editId="7DBD96AB">
            <wp:extent cx="4568825" cy="2740025"/>
            <wp:effectExtent l="0" t="0" r="3175" b="3175"/>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6765" w:rsidRPr="00DE2D55" w:rsidRDefault="004E6765" w:rsidP="00FE560B">
      <w:pPr>
        <w:tabs>
          <w:tab w:val="left" w:pos="0"/>
        </w:tabs>
        <w:spacing w:line="240" w:lineRule="auto"/>
        <w:jc w:val="both"/>
        <w:rPr>
          <w:rFonts w:cs="Calibri"/>
        </w:rPr>
      </w:pPr>
      <w:r w:rsidRPr="00DE2D55">
        <w:rPr>
          <w:rFonts w:cs="Calibri"/>
        </w:rPr>
        <w:t>Figura 3: evolução dos chamados da OGE/ES</w:t>
      </w:r>
    </w:p>
    <w:p w:rsidR="004E6765" w:rsidRDefault="004E6765" w:rsidP="00FE560B">
      <w:pPr>
        <w:tabs>
          <w:tab w:val="left" w:pos="0"/>
        </w:tabs>
        <w:spacing w:line="240" w:lineRule="auto"/>
        <w:jc w:val="both"/>
        <w:rPr>
          <w:rFonts w:cs="Calibri"/>
        </w:rPr>
      </w:pPr>
      <w:r w:rsidRPr="00DE2D55">
        <w:rPr>
          <w:rFonts w:cs="Calibri"/>
        </w:rPr>
        <w:t>Fonte: elaboração própria</w:t>
      </w:r>
    </w:p>
    <w:p w:rsidR="000F67FC" w:rsidRPr="00DE2D55" w:rsidRDefault="000F67FC" w:rsidP="00FE560B">
      <w:pPr>
        <w:tabs>
          <w:tab w:val="left" w:pos="0"/>
        </w:tabs>
        <w:spacing w:line="240" w:lineRule="auto"/>
        <w:jc w:val="both"/>
        <w:rPr>
          <w:rFonts w:cs="Calibri"/>
        </w:rPr>
      </w:pPr>
    </w:p>
    <w:p w:rsidR="004E6765" w:rsidRDefault="004E6765" w:rsidP="00FE560B">
      <w:pPr>
        <w:tabs>
          <w:tab w:val="left" w:pos="0"/>
        </w:tabs>
        <w:jc w:val="both"/>
        <w:rPr>
          <w:rFonts w:cs="Calibri"/>
          <w:bCs/>
        </w:rPr>
      </w:pPr>
      <w:r w:rsidRPr="00DE2D55">
        <w:rPr>
          <w:rFonts w:cs="Calibri"/>
          <w:bCs/>
        </w:rPr>
        <w:t xml:space="preserve">A falta de infraestrutura adequada para atendimento das demandas gera impacto na eficiência do atendimento de ouvidoria, que atualmente possui um tempo média de resposta de 14 dias para atendimentos de ouvidoria. </w:t>
      </w:r>
    </w:p>
    <w:p w:rsidR="000F67FC" w:rsidRPr="00DE2D55" w:rsidRDefault="000F67FC" w:rsidP="00FE560B">
      <w:pPr>
        <w:tabs>
          <w:tab w:val="left" w:pos="0"/>
        </w:tabs>
        <w:jc w:val="both"/>
        <w:rPr>
          <w:rFonts w:cs="Calibri"/>
          <w:bCs/>
        </w:rPr>
      </w:pPr>
    </w:p>
    <w:p w:rsidR="004E6765" w:rsidRDefault="004E6765" w:rsidP="00FE560B">
      <w:pPr>
        <w:tabs>
          <w:tab w:val="left" w:pos="0"/>
        </w:tabs>
        <w:jc w:val="both"/>
        <w:rPr>
          <w:rFonts w:cs="Calibri"/>
          <w:bCs/>
        </w:rPr>
      </w:pPr>
      <w:r w:rsidRPr="00DE2D55">
        <w:rPr>
          <w:rFonts w:cs="Calibri"/>
          <w:bCs/>
        </w:rPr>
        <w:t>A maior parte dessas solicitações chega à OGE/ES por meio da Internet, conforme já apresentado na Figura 2. Apesar da maior parte das solicitações chegar por meio da Internet, o volume de atendimentos por outros meios ainda é significativo em termos absolutos, notadamente, os atendimentos telefônicos, que respondem por 41,4% dos atendimentos, o que equivale a cerca de 3900 atendimentos telefônicos realizados. Além disso, os chamados são recebidos, respondidos ou encaminhados, mas não são gerenciados de forma proativa, de forma a apoiar o Estado na prestação de serviços ao cidadão e aprimorar a transparência ativa, realizada via Portal de Transparência.</w:t>
      </w:r>
    </w:p>
    <w:p w:rsidR="000F67FC" w:rsidRPr="00DE2D55" w:rsidRDefault="000F67FC" w:rsidP="00FE560B">
      <w:pPr>
        <w:tabs>
          <w:tab w:val="left" w:pos="0"/>
        </w:tabs>
        <w:jc w:val="both"/>
        <w:rPr>
          <w:rFonts w:cs="Calibri"/>
          <w:bCs/>
        </w:rPr>
      </w:pPr>
    </w:p>
    <w:p w:rsidR="004E6765" w:rsidRDefault="004E6765" w:rsidP="00FE560B">
      <w:pPr>
        <w:tabs>
          <w:tab w:val="left" w:pos="0"/>
        </w:tabs>
        <w:jc w:val="both"/>
        <w:rPr>
          <w:rFonts w:cs="Calibri"/>
          <w:bCs/>
        </w:rPr>
      </w:pPr>
      <w:r w:rsidRPr="00DE2D55">
        <w:rPr>
          <w:rFonts w:cs="Calibri"/>
        </w:rPr>
        <w:t xml:space="preserve">O atendimento telefônico não apresenta isolamento acústico, o que pode comprometer o </w:t>
      </w:r>
      <w:r w:rsidRPr="00DE2D55">
        <w:rPr>
          <w:rFonts w:cs="Calibri"/>
          <w:bCs/>
        </w:rPr>
        <w:t>sigilo de algumas chamadas. A central telefônica hoje não está configurada para gravação dos atendimentos efetuados pelo 0800 da Ouvidoria.</w:t>
      </w:r>
    </w:p>
    <w:p w:rsidR="000F67FC" w:rsidRPr="00DE2D55" w:rsidRDefault="000F67FC" w:rsidP="00FE560B">
      <w:pPr>
        <w:tabs>
          <w:tab w:val="left" w:pos="0"/>
        </w:tabs>
        <w:jc w:val="both"/>
        <w:rPr>
          <w:rFonts w:cs="Calibri"/>
          <w:bCs/>
        </w:rPr>
      </w:pPr>
    </w:p>
    <w:p w:rsidR="004E6765" w:rsidRDefault="004E6765" w:rsidP="00FE560B">
      <w:pPr>
        <w:tabs>
          <w:tab w:val="left" w:pos="0"/>
        </w:tabs>
        <w:jc w:val="both"/>
        <w:rPr>
          <w:rFonts w:cs="Calibri"/>
        </w:rPr>
      </w:pPr>
      <w:r w:rsidRPr="00DE2D55">
        <w:rPr>
          <w:rFonts w:cs="Calibri"/>
        </w:rPr>
        <w:t>O atual sistema informático da Ouvidoria apresenta um descompasso grande com o fluxo de controle das demandas, uma vez que não comporta o encaminhamento do chamado internamente para as áreas responsáveis pelo atendimento. O encaminhamento ocorre por meio de envio de e-mail. Ao realizar uma denúncia ou reclamação o sistema permite apenas anexar arquivos com limitação em tamanho de 30 MB e não permite anexar arquivos de vídeo. Apesar de possuir uma série de relatórios esses são apenas disponibilizados ao administrador do sistema, não possuindo uma interface de indicadores da qualidade dos serviços prestados pela Ouvidoria. Não há no sistema forma de reutilização do conhecimento, ou seja, mesmo que uma demanda extremamente similar ocorra a busca por respostas acaba gerando uma nova instância do fluxo, não havendo uma base de conhecimentos adquiridos em casos passados em que possa ser pesquisada uma solução similar.</w:t>
      </w:r>
    </w:p>
    <w:p w:rsidR="000F67FC" w:rsidRPr="00DE2D55" w:rsidRDefault="000F67FC" w:rsidP="00FE560B">
      <w:pPr>
        <w:tabs>
          <w:tab w:val="left" w:pos="0"/>
        </w:tabs>
        <w:jc w:val="both"/>
        <w:rPr>
          <w:rFonts w:cs="Calibri"/>
        </w:rPr>
      </w:pPr>
    </w:p>
    <w:p w:rsidR="004E6765" w:rsidRDefault="004E6765" w:rsidP="00FE560B">
      <w:pPr>
        <w:tabs>
          <w:tab w:val="left" w:pos="0"/>
        </w:tabs>
        <w:jc w:val="both"/>
        <w:rPr>
          <w:rFonts w:cs="Calibri"/>
        </w:rPr>
      </w:pPr>
      <w:r w:rsidRPr="00DE2D55">
        <w:rPr>
          <w:rFonts w:cs="Calibri"/>
        </w:rPr>
        <w:t>Apesar do grande número de ouvidores setoriais e seccionais a rotatividade é grande, o que acaba por demandar uma constante capacitação destes. Entretanto os treinamentos são esporádicos e esparsos, situação essa que caso seja contornada poderia aprimorar muito a interação entre cidadão e estado de forma a elevar a qualidade e a satisfação daqueles que buscam a evolução dos serviços públicos e de respostas sobre informações almejadas. Os investimentos descritos neste documento visam promover o aperfeiçoamento da sistemática de Ouvidoria Geral do Estado através da melhoria das condições de prestação do serviço.</w:t>
      </w:r>
    </w:p>
    <w:p w:rsidR="00C521DC" w:rsidRPr="00DE2D55" w:rsidRDefault="00C521DC" w:rsidP="00FE560B">
      <w:pPr>
        <w:tabs>
          <w:tab w:val="left" w:pos="0"/>
        </w:tabs>
        <w:jc w:val="both"/>
        <w:rPr>
          <w:rFonts w:cs="Calibri"/>
          <w:b/>
        </w:rPr>
      </w:pPr>
    </w:p>
    <w:p w:rsidR="004E6765" w:rsidRPr="00DE2D55" w:rsidRDefault="004E6765"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3" w:name="_Toc517282084"/>
      <w:r w:rsidRPr="00DE2D55">
        <w:rPr>
          <w:rFonts w:cs="Calibri"/>
          <w:b/>
        </w:rPr>
        <w:t>DESCRIÇÃO DO RESULTADO ESPERA</w:t>
      </w:r>
      <w:r w:rsidR="00EB6017">
        <w:rPr>
          <w:rFonts w:cs="Calibri"/>
          <w:b/>
        </w:rPr>
        <w:t>DO COM A IMPLANTAÇÃO DO PRODUTO</w:t>
      </w:r>
      <w:r w:rsidR="00963F0C" w:rsidRPr="00DE2D55">
        <w:rPr>
          <w:rFonts w:cs="Calibri"/>
          <w:b/>
        </w:rPr>
        <w:t xml:space="preserve"> E RESPECTIVA LINHA DE BASE</w:t>
      </w:r>
      <w:bookmarkEnd w:id="63"/>
    </w:p>
    <w:p w:rsidR="004E6765" w:rsidRPr="00DE2D55" w:rsidRDefault="00C521DC" w:rsidP="00FE560B">
      <w:pPr>
        <w:tabs>
          <w:tab w:val="left" w:pos="0"/>
        </w:tabs>
        <w:jc w:val="both"/>
        <w:rPr>
          <w:rFonts w:cs="Calibri"/>
          <w:b/>
        </w:rPr>
      </w:pPr>
      <w:r>
        <w:rPr>
          <w:rFonts w:cs="Calibri"/>
          <w:b/>
        </w:rPr>
        <w:t>5.</w:t>
      </w:r>
      <w:r w:rsidR="004E6765" w:rsidRPr="00DE2D55">
        <w:rPr>
          <w:rFonts w:cs="Calibri"/>
          <w:b/>
        </w:rPr>
        <w:t>4.1- Meta e Indicador de SubProduto: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4E6765" w:rsidRPr="00DE2D55" w:rsidTr="004E6765">
        <w:tc>
          <w:tcPr>
            <w:tcW w:w="7087"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4E6765" w:rsidRPr="00DE2D55" w:rsidRDefault="004E6765" w:rsidP="00FE560B">
            <w:pPr>
              <w:tabs>
                <w:tab w:val="left" w:pos="0"/>
              </w:tabs>
              <w:spacing w:line="240" w:lineRule="auto"/>
              <w:jc w:val="both"/>
              <w:rPr>
                <w:rFonts w:cs="Calibri"/>
                <w:b/>
                <w:bCs/>
              </w:rPr>
            </w:pPr>
          </w:p>
        </w:tc>
      </w:tr>
      <w:tr w:rsidR="004E6765" w:rsidRPr="00DE2D55" w:rsidTr="004E6765">
        <w:tc>
          <w:tcPr>
            <w:tcW w:w="7087"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SubP 1.6.1 Revisão e implantação dos procedimentos de auditoria interna e controle interno, utilizando modelo de gerenciamento de riscos e integridade e sistemas informatizados de apoio à gestão.</w:t>
            </w:r>
          </w:p>
        </w:tc>
        <w:tc>
          <w:tcPr>
            <w:tcW w:w="2126"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Meta</w:t>
            </w:r>
          </w:p>
        </w:tc>
      </w:tr>
      <w:tr w:rsidR="004E6765" w:rsidRPr="00DE2D55" w:rsidTr="004E6765">
        <w:tc>
          <w:tcPr>
            <w:tcW w:w="7087" w:type="dxa"/>
            <w:shd w:val="clear" w:color="auto" w:fill="auto"/>
          </w:tcPr>
          <w:p w:rsidR="004E6765" w:rsidRPr="00DE2D55" w:rsidRDefault="004E6765" w:rsidP="00FE560B">
            <w:pPr>
              <w:pStyle w:val="PargrafodaLista"/>
              <w:numPr>
                <w:ilvl w:val="0"/>
                <w:numId w:val="56"/>
              </w:numPr>
              <w:tabs>
                <w:tab w:val="left" w:pos="0"/>
              </w:tabs>
              <w:spacing w:line="240" w:lineRule="auto"/>
              <w:jc w:val="both"/>
              <w:rPr>
                <w:rFonts w:cs="Calibri"/>
                <w:bCs/>
              </w:rPr>
            </w:pPr>
            <w:r w:rsidRPr="00DE2D55">
              <w:rPr>
                <w:rFonts w:cs="Calibri"/>
                <w:bCs/>
              </w:rPr>
              <w:t>Modelo de gestão de riscos e integridade</w:t>
            </w:r>
          </w:p>
        </w:tc>
        <w:tc>
          <w:tcPr>
            <w:tcW w:w="2126" w:type="dxa"/>
            <w:shd w:val="clear" w:color="auto" w:fill="auto"/>
          </w:tcPr>
          <w:p w:rsidR="004E6765" w:rsidRPr="00DE2D55" w:rsidRDefault="004E6765" w:rsidP="00FE560B">
            <w:pPr>
              <w:tabs>
                <w:tab w:val="left" w:pos="0"/>
              </w:tabs>
              <w:spacing w:line="240" w:lineRule="auto"/>
              <w:jc w:val="center"/>
              <w:rPr>
                <w:rFonts w:cs="Calibri"/>
                <w:bCs/>
              </w:rPr>
            </w:pPr>
            <w:r w:rsidRPr="00DE2D55">
              <w:rPr>
                <w:rFonts w:cs="Calibri"/>
                <w:bCs/>
              </w:rPr>
              <w:t>5</w:t>
            </w:r>
          </w:p>
        </w:tc>
      </w:tr>
      <w:tr w:rsidR="004E6765" w:rsidRPr="00DE2D55" w:rsidTr="004E6765">
        <w:tc>
          <w:tcPr>
            <w:tcW w:w="7087" w:type="dxa"/>
            <w:shd w:val="clear" w:color="auto" w:fill="auto"/>
          </w:tcPr>
          <w:p w:rsidR="004E6765" w:rsidRPr="00DE2D55" w:rsidRDefault="004E6765" w:rsidP="00FE560B">
            <w:pPr>
              <w:numPr>
                <w:ilvl w:val="0"/>
                <w:numId w:val="56"/>
              </w:numPr>
              <w:tabs>
                <w:tab w:val="left" w:pos="0"/>
              </w:tabs>
              <w:spacing w:line="240" w:lineRule="auto"/>
              <w:jc w:val="both"/>
              <w:rPr>
                <w:rFonts w:cs="Calibri"/>
                <w:bCs/>
              </w:rPr>
            </w:pPr>
            <w:r w:rsidRPr="00DE2D55">
              <w:rPr>
                <w:rFonts w:cs="Calibri"/>
                <w:bCs/>
              </w:rPr>
              <w:t>Procedimento de auditoria interna aperfeiçoado</w:t>
            </w:r>
          </w:p>
        </w:tc>
        <w:tc>
          <w:tcPr>
            <w:tcW w:w="2126" w:type="dxa"/>
            <w:shd w:val="clear" w:color="auto" w:fill="auto"/>
          </w:tcPr>
          <w:p w:rsidR="004E6765" w:rsidRPr="00DE2D55" w:rsidRDefault="004E6765" w:rsidP="00FE560B">
            <w:pPr>
              <w:tabs>
                <w:tab w:val="left" w:pos="0"/>
              </w:tabs>
              <w:spacing w:line="240" w:lineRule="auto"/>
              <w:jc w:val="center"/>
              <w:rPr>
                <w:rFonts w:cs="Calibri"/>
                <w:bCs/>
              </w:rPr>
            </w:pPr>
            <w:r w:rsidRPr="00DE2D55">
              <w:rPr>
                <w:rFonts w:cs="Calibri"/>
                <w:bCs/>
              </w:rPr>
              <w:t>Nível 3</w:t>
            </w:r>
          </w:p>
        </w:tc>
      </w:tr>
    </w:tbl>
    <w:p w:rsidR="004E6765" w:rsidRPr="00DE2D55" w:rsidRDefault="004E6765"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4E6765" w:rsidRPr="00DE2D55" w:rsidTr="004E6765">
        <w:tc>
          <w:tcPr>
            <w:tcW w:w="7087"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4E6765" w:rsidRPr="00DE2D55" w:rsidRDefault="004E6765" w:rsidP="00FE560B">
            <w:pPr>
              <w:tabs>
                <w:tab w:val="left" w:pos="0"/>
              </w:tabs>
              <w:spacing w:line="240" w:lineRule="auto"/>
              <w:jc w:val="both"/>
              <w:rPr>
                <w:rFonts w:cs="Calibri"/>
                <w:b/>
                <w:bCs/>
              </w:rPr>
            </w:pPr>
          </w:p>
        </w:tc>
      </w:tr>
      <w:tr w:rsidR="004E6765" w:rsidRPr="00DE2D55" w:rsidTr="004E6765">
        <w:tc>
          <w:tcPr>
            <w:tcW w:w="7087"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SubP 1.6.2 Revisão e implantação de novo modelo de transparência das informações públicas e a revisão e implantação da sistemática de Ouvidoria Geral do Estado</w:t>
            </w:r>
          </w:p>
        </w:tc>
        <w:tc>
          <w:tcPr>
            <w:tcW w:w="2126" w:type="dxa"/>
            <w:shd w:val="clear" w:color="auto" w:fill="D6E3BC"/>
          </w:tcPr>
          <w:p w:rsidR="004E6765" w:rsidRPr="00DE2D55" w:rsidRDefault="004E6765" w:rsidP="00FE560B">
            <w:pPr>
              <w:tabs>
                <w:tab w:val="left" w:pos="0"/>
              </w:tabs>
              <w:spacing w:line="240" w:lineRule="auto"/>
              <w:jc w:val="both"/>
              <w:rPr>
                <w:rFonts w:cs="Calibri"/>
                <w:b/>
                <w:bCs/>
              </w:rPr>
            </w:pPr>
            <w:r w:rsidRPr="00DE2D55">
              <w:rPr>
                <w:rFonts w:cs="Calibri"/>
                <w:b/>
                <w:bCs/>
              </w:rPr>
              <w:t>Meta</w:t>
            </w:r>
          </w:p>
        </w:tc>
      </w:tr>
      <w:tr w:rsidR="004E6765" w:rsidRPr="00DE2D55" w:rsidTr="004E6765">
        <w:tc>
          <w:tcPr>
            <w:tcW w:w="7087" w:type="dxa"/>
            <w:shd w:val="clear" w:color="auto" w:fill="auto"/>
          </w:tcPr>
          <w:p w:rsidR="004E6765" w:rsidRPr="00DE2D55" w:rsidRDefault="004E6765" w:rsidP="00FE560B">
            <w:pPr>
              <w:pStyle w:val="PargrafodaLista"/>
              <w:numPr>
                <w:ilvl w:val="0"/>
                <w:numId w:val="57"/>
              </w:numPr>
              <w:tabs>
                <w:tab w:val="left" w:pos="0"/>
              </w:tabs>
              <w:spacing w:line="240" w:lineRule="auto"/>
              <w:jc w:val="both"/>
              <w:rPr>
                <w:rFonts w:cs="Calibri"/>
                <w:bCs/>
              </w:rPr>
            </w:pPr>
            <w:r w:rsidRPr="00DE2D55">
              <w:rPr>
                <w:rFonts w:cs="Calibri"/>
                <w:bCs/>
              </w:rPr>
              <w:t>Instrumento de transparência ativa fortalecido e aperfeiçoado</w:t>
            </w:r>
          </w:p>
        </w:tc>
        <w:tc>
          <w:tcPr>
            <w:tcW w:w="2126" w:type="dxa"/>
            <w:shd w:val="clear" w:color="auto" w:fill="auto"/>
          </w:tcPr>
          <w:p w:rsidR="004E6765" w:rsidRPr="00DE2D55" w:rsidRDefault="004E6765" w:rsidP="00FE560B">
            <w:pPr>
              <w:tabs>
                <w:tab w:val="left" w:pos="0"/>
              </w:tabs>
              <w:spacing w:line="240" w:lineRule="auto"/>
              <w:jc w:val="both"/>
              <w:rPr>
                <w:rFonts w:cs="Calibri"/>
                <w:bCs/>
              </w:rPr>
            </w:pPr>
            <w:r w:rsidRPr="00DE2D55">
              <w:rPr>
                <w:rFonts w:cs="Calibri"/>
              </w:rPr>
              <w:t>24 grupos de dados abertos</w:t>
            </w:r>
          </w:p>
        </w:tc>
      </w:tr>
      <w:tr w:rsidR="004E6765" w:rsidRPr="00DE2D55" w:rsidTr="00FF726C">
        <w:trPr>
          <w:trHeight w:val="70"/>
        </w:trPr>
        <w:tc>
          <w:tcPr>
            <w:tcW w:w="7087" w:type="dxa"/>
            <w:shd w:val="clear" w:color="auto" w:fill="auto"/>
          </w:tcPr>
          <w:p w:rsidR="004E6765" w:rsidRPr="00DE2D55" w:rsidRDefault="004E6765" w:rsidP="00FE560B">
            <w:pPr>
              <w:numPr>
                <w:ilvl w:val="0"/>
                <w:numId w:val="57"/>
              </w:numPr>
              <w:tabs>
                <w:tab w:val="left" w:pos="0"/>
              </w:tabs>
              <w:spacing w:line="240" w:lineRule="auto"/>
              <w:jc w:val="both"/>
              <w:rPr>
                <w:rFonts w:cs="Calibri"/>
                <w:bCs/>
              </w:rPr>
            </w:pPr>
            <w:r w:rsidRPr="00DE2D55">
              <w:rPr>
                <w:rFonts w:cs="Calibri"/>
                <w:bCs/>
              </w:rPr>
              <w:t>Sistema de ouvidoria geral</w:t>
            </w:r>
          </w:p>
        </w:tc>
        <w:tc>
          <w:tcPr>
            <w:tcW w:w="2126" w:type="dxa"/>
            <w:shd w:val="clear" w:color="auto" w:fill="auto"/>
          </w:tcPr>
          <w:p w:rsidR="004E6765" w:rsidRPr="00DE2D55" w:rsidRDefault="004E6765" w:rsidP="00FE560B">
            <w:pPr>
              <w:tabs>
                <w:tab w:val="left" w:pos="0"/>
              </w:tabs>
              <w:spacing w:line="240" w:lineRule="auto"/>
              <w:jc w:val="both"/>
              <w:rPr>
                <w:rFonts w:cs="Calibri"/>
                <w:bCs/>
              </w:rPr>
            </w:pPr>
            <w:r w:rsidRPr="00DE2D55">
              <w:rPr>
                <w:rFonts w:cs="Calibri"/>
              </w:rPr>
              <w:t>Redução p/ 10 dias atendimento e 30 dias denúncia</w:t>
            </w:r>
          </w:p>
        </w:tc>
      </w:tr>
    </w:tbl>
    <w:p w:rsidR="00C521DC" w:rsidRDefault="00C521DC" w:rsidP="00FE560B">
      <w:pPr>
        <w:tabs>
          <w:tab w:val="left" w:pos="0"/>
        </w:tabs>
        <w:jc w:val="both"/>
        <w:rPr>
          <w:rFonts w:cs="Calibri"/>
          <w:b/>
        </w:rPr>
      </w:pPr>
    </w:p>
    <w:p w:rsidR="000F67FC" w:rsidRDefault="000F67FC" w:rsidP="00FE560B">
      <w:pPr>
        <w:tabs>
          <w:tab w:val="left" w:pos="0"/>
        </w:tabs>
        <w:jc w:val="both"/>
        <w:rPr>
          <w:rFonts w:cs="Calibri"/>
          <w:b/>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4.2- Resultados quantificáveis:</w:t>
      </w:r>
    </w:p>
    <w:p w:rsidR="004E6765" w:rsidRPr="00DE2D55" w:rsidRDefault="00C521DC" w:rsidP="00FE560B">
      <w:pPr>
        <w:tabs>
          <w:tab w:val="left" w:pos="0"/>
        </w:tabs>
        <w:jc w:val="both"/>
        <w:rPr>
          <w:rFonts w:cs="Calibri"/>
          <w:b/>
        </w:rPr>
      </w:pPr>
      <w:r>
        <w:rPr>
          <w:rFonts w:cs="Calibri"/>
          <w:b/>
        </w:rPr>
        <w:t>5.</w:t>
      </w:r>
      <w:r w:rsidR="004E6765" w:rsidRPr="00DE2D55">
        <w:rPr>
          <w:rFonts w:cs="Calibri"/>
          <w:b/>
        </w:rPr>
        <w:t>4.2.1</w:t>
      </w:r>
      <w:r w:rsidR="004E6765" w:rsidRPr="00DE2D55">
        <w:rPr>
          <w:rFonts w:cs="Calibri"/>
          <w:b/>
        </w:rPr>
        <w:tab/>
        <w:t xml:space="preserve">- </w:t>
      </w:r>
      <w:r w:rsidR="004E6765" w:rsidRPr="00DE2D55">
        <w:rPr>
          <w:rFonts w:cs="Calibri"/>
          <w:b/>
          <w:bCs/>
        </w:rPr>
        <w:t>Revisão e implantação dos procedimentos de auditoria interna e controle interno, utilizando modelo de gerenciamento de riscos e integridade e sistemas informatizados de apoio à gestão.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Resultado 1</w:t>
            </w:r>
          </w:p>
        </w:tc>
        <w:tc>
          <w:tcPr>
            <w:tcW w:w="7403" w:type="dxa"/>
            <w:gridSpan w:val="3"/>
            <w:shd w:val="clear" w:color="auto" w:fill="auto"/>
          </w:tcPr>
          <w:p w:rsidR="004E6765" w:rsidRPr="00DE2D55" w:rsidRDefault="004E6765" w:rsidP="00FE560B">
            <w:pPr>
              <w:tabs>
                <w:tab w:val="left" w:pos="0"/>
              </w:tabs>
              <w:spacing w:line="240" w:lineRule="auto"/>
              <w:jc w:val="both"/>
              <w:rPr>
                <w:rFonts w:cs="Calibri"/>
                <w:noProof/>
              </w:rPr>
            </w:pPr>
            <w:r w:rsidRPr="00DE2D55">
              <w:rPr>
                <w:rFonts w:cs="Calibri"/>
                <w:noProof/>
              </w:rPr>
              <w:t>Modelo de gestão de riscos e integridade implantado</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4E6765" w:rsidRPr="00DE2D55" w:rsidRDefault="004E6765" w:rsidP="00FE560B">
            <w:pPr>
              <w:tabs>
                <w:tab w:val="left" w:pos="0"/>
              </w:tabs>
              <w:spacing w:line="240" w:lineRule="auto"/>
              <w:jc w:val="both"/>
              <w:rPr>
                <w:rFonts w:cs="Calibri"/>
                <w:b/>
              </w:rPr>
            </w:pPr>
            <w:r w:rsidRPr="00DE2D55">
              <w:rPr>
                <w:rFonts w:cs="Calibri"/>
                <w:b/>
              </w:rPr>
              <w:t>Forma de medição será definida a partir do modelo implantado.</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Meta (fim do projeto)</w:t>
            </w:r>
          </w:p>
        </w:tc>
        <w:tc>
          <w:tcPr>
            <w:tcW w:w="1984"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Linha de Base (2018)</w:t>
            </w:r>
          </w:p>
        </w:tc>
        <w:tc>
          <w:tcPr>
            <w:tcW w:w="329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Fonte</w:t>
            </w:r>
          </w:p>
        </w:tc>
      </w:tr>
      <w:tr w:rsidR="004E6765" w:rsidRPr="00DE2D55" w:rsidTr="004E6765">
        <w:tc>
          <w:tcPr>
            <w:tcW w:w="1842"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Nº de órgãos</w:t>
            </w:r>
          </w:p>
        </w:tc>
        <w:tc>
          <w:tcPr>
            <w:tcW w:w="2127" w:type="dxa"/>
            <w:shd w:val="clear" w:color="auto" w:fill="auto"/>
            <w:vAlign w:val="center"/>
          </w:tcPr>
          <w:p w:rsidR="004E6765" w:rsidRPr="00DE2D55" w:rsidRDefault="004E6765" w:rsidP="00FE560B">
            <w:pPr>
              <w:tabs>
                <w:tab w:val="left" w:pos="0"/>
              </w:tabs>
              <w:spacing w:line="240" w:lineRule="auto"/>
              <w:jc w:val="center"/>
              <w:rPr>
                <w:rFonts w:cs="Calibri"/>
              </w:rPr>
            </w:pPr>
            <w:r w:rsidRPr="00DE2D55">
              <w:rPr>
                <w:rFonts w:cs="Calibri"/>
              </w:rPr>
              <w:t>5</w:t>
            </w:r>
          </w:p>
        </w:tc>
        <w:tc>
          <w:tcPr>
            <w:tcW w:w="1984" w:type="dxa"/>
            <w:shd w:val="clear" w:color="auto" w:fill="auto"/>
            <w:vAlign w:val="center"/>
          </w:tcPr>
          <w:p w:rsidR="004E6765" w:rsidRPr="00DE2D55" w:rsidRDefault="004E6765" w:rsidP="00FE560B">
            <w:pPr>
              <w:tabs>
                <w:tab w:val="left" w:pos="0"/>
                <w:tab w:val="left" w:pos="795"/>
              </w:tabs>
              <w:spacing w:line="240" w:lineRule="auto"/>
              <w:ind w:left="33" w:hanging="33"/>
              <w:jc w:val="center"/>
              <w:rPr>
                <w:rFonts w:cs="Calibri"/>
                <w:highlight w:val="yellow"/>
              </w:rPr>
            </w:pPr>
            <w:r w:rsidRPr="00DE2D55">
              <w:rPr>
                <w:rFonts w:cs="Calibri"/>
              </w:rPr>
              <w:t>0</w:t>
            </w:r>
          </w:p>
        </w:tc>
        <w:tc>
          <w:tcPr>
            <w:tcW w:w="3292" w:type="dxa"/>
            <w:shd w:val="clear" w:color="auto" w:fill="auto"/>
            <w:vAlign w:val="center"/>
          </w:tcPr>
          <w:p w:rsidR="004E6765" w:rsidRPr="00DE2D55" w:rsidRDefault="004E6765" w:rsidP="00FE560B">
            <w:pPr>
              <w:tabs>
                <w:tab w:val="left" w:pos="0"/>
              </w:tabs>
              <w:spacing w:line="240" w:lineRule="auto"/>
              <w:jc w:val="center"/>
              <w:rPr>
                <w:rFonts w:cs="Calibri"/>
              </w:rPr>
            </w:pPr>
            <w:r w:rsidRPr="00DE2D55">
              <w:rPr>
                <w:rFonts w:cs="Calibri"/>
              </w:rPr>
              <w:t>SECONT</w:t>
            </w:r>
          </w:p>
        </w:tc>
      </w:tr>
    </w:tbl>
    <w:p w:rsidR="004E6765" w:rsidRPr="00DE2D55" w:rsidRDefault="004E6765"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832"/>
        <w:gridCol w:w="1872"/>
      </w:tblGrid>
      <w:tr w:rsidR="004E6765" w:rsidRPr="00DE2D55" w:rsidTr="004E6765">
        <w:tc>
          <w:tcPr>
            <w:tcW w:w="2268" w:type="dxa"/>
            <w:shd w:val="clear" w:color="auto" w:fill="D6E3BC"/>
            <w:vAlign w:val="center"/>
          </w:tcPr>
          <w:p w:rsidR="004E6765" w:rsidRPr="00DE2D55" w:rsidRDefault="00FF726C" w:rsidP="00FE560B">
            <w:pPr>
              <w:tabs>
                <w:tab w:val="left" w:pos="0"/>
              </w:tabs>
              <w:spacing w:line="240" w:lineRule="auto"/>
              <w:jc w:val="both"/>
              <w:rPr>
                <w:rFonts w:cs="Calibri"/>
                <w:b/>
              </w:rPr>
            </w:pPr>
            <w:r>
              <w:rPr>
                <w:rFonts w:cs="Calibri"/>
                <w:b/>
              </w:rPr>
              <w:t>Resultado 2</w:t>
            </w:r>
          </w:p>
        </w:tc>
        <w:tc>
          <w:tcPr>
            <w:tcW w:w="6977" w:type="dxa"/>
            <w:gridSpan w:val="3"/>
            <w:shd w:val="clear" w:color="auto" w:fill="auto"/>
          </w:tcPr>
          <w:p w:rsidR="004E6765" w:rsidRPr="00DE2D55" w:rsidRDefault="004E6765" w:rsidP="00FE560B">
            <w:pPr>
              <w:tabs>
                <w:tab w:val="left" w:pos="0"/>
              </w:tabs>
              <w:spacing w:line="240" w:lineRule="auto"/>
              <w:jc w:val="both"/>
              <w:rPr>
                <w:rFonts w:cs="Calibri"/>
                <w:noProof/>
              </w:rPr>
            </w:pPr>
            <w:r w:rsidRPr="00DE2D55">
              <w:rPr>
                <w:rFonts w:cs="Calibri"/>
                <w:bCs/>
              </w:rPr>
              <w:t>Procedimento de auditoria interna aperfeiçoado</w:t>
            </w:r>
          </w:p>
        </w:tc>
      </w:tr>
      <w:tr w:rsidR="004E6765" w:rsidRPr="00DE2D55" w:rsidTr="004E6765">
        <w:tc>
          <w:tcPr>
            <w:tcW w:w="2268"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Fórmula de cálculo</w:t>
            </w:r>
          </w:p>
        </w:tc>
        <w:tc>
          <w:tcPr>
            <w:tcW w:w="6977" w:type="dxa"/>
            <w:gridSpan w:val="3"/>
            <w:shd w:val="clear" w:color="auto" w:fill="auto"/>
            <w:vAlign w:val="center"/>
          </w:tcPr>
          <w:p w:rsidR="004E6765" w:rsidRPr="00DE2D55" w:rsidRDefault="004E6765" w:rsidP="00FE560B">
            <w:pPr>
              <w:tabs>
                <w:tab w:val="left" w:pos="0"/>
              </w:tabs>
              <w:spacing w:line="240" w:lineRule="auto"/>
              <w:jc w:val="both"/>
              <w:rPr>
                <w:rFonts w:cs="Calibri"/>
                <w:b/>
              </w:rPr>
            </w:pPr>
            <w:r w:rsidRPr="00DE2D55">
              <w:rPr>
                <w:rFonts w:cs="Calibri"/>
                <w:b/>
              </w:rPr>
              <w:t>Conforme modelo do avaliação definido pelo IA-CM</w:t>
            </w:r>
          </w:p>
        </w:tc>
      </w:tr>
      <w:tr w:rsidR="004E6765" w:rsidRPr="00DE2D55" w:rsidTr="004E6765">
        <w:tc>
          <w:tcPr>
            <w:tcW w:w="2268"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Unidade de medida</w:t>
            </w:r>
          </w:p>
        </w:tc>
        <w:tc>
          <w:tcPr>
            <w:tcW w:w="2268"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Meta (fim do projeto)</w:t>
            </w:r>
          </w:p>
        </w:tc>
        <w:tc>
          <w:tcPr>
            <w:tcW w:w="2835"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Linha de Base (2018)</w:t>
            </w:r>
          </w:p>
        </w:tc>
        <w:tc>
          <w:tcPr>
            <w:tcW w:w="1874" w:type="dxa"/>
            <w:shd w:val="clear" w:color="auto" w:fill="D6E3BC"/>
            <w:vAlign w:val="center"/>
          </w:tcPr>
          <w:p w:rsidR="004E6765" w:rsidRPr="00DE2D55" w:rsidRDefault="004E6765" w:rsidP="00FE560B">
            <w:pPr>
              <w:tabs>
                <w:tab w:val="left" w:pos="0"/>
              </w:tabs>
              <w:spacing w:line="240" w:lineRule="auto"/>
              <w:jc w:val="both"/>
              <w:rPr>
                <w:rFonts w:cs="Calibri"/>
                <w:b/>
              </w:rPr>
            </w:pPr>
            <w:r w:rsidRPr="00DE2D55">
              <w:rPr>
                <w:rFonts w:cs="Calibri"/>
                <w:b/>
              </w:rPr>
              <w:t>Fonte</w:t>
            </w:r>
          </w:p>
        </w:tc>
      </w:tr>
      <w:tr w:rsidR="004E6765" w:rsidRPr="00DE2D55" w:rsidTr="004E6765">
        <w:tc>
          <w:tcPr>
            <w:tcW w:w="2268"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De acordo com o modelo</w:t>
            </w:r>
          </w:p>
        </w:tc>
        <w:tc>
          <w:tcPr>
            <w:tcW w:w="2268"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Nível 3</w:t>
            </w:r>
          </w:p>
        </w:tc>
        <w:tc>
          <w:tcPr>
            <w:tcW w:w="2835" w:type="dxa"/>
            <w:shd w:val="clear" w:color="auto" w:fill="auto"/>
            <w:vAlign w:val="center"/>
          </w:tcPr>
          <w:p w:rsidR="004E6765" w:rsidRPr="00DE2D55" w:rsidRDefault="004E6765" w:rsidP="00FE560B">
            <w:pPr>
              <w:tabs>
                <w:tab w:val="left" w:pos="0"/>
                <w:tab w:val="left" w:pos="795"/>
              </w:tabs>
              <w:spacing w:line="240" w:lineRule="auto"/>
              <w:ind w:left="33" w:hanging="33"/>
              <w:jc w:val="both"/>
              <w:rPr>
                <w:rFonts w:cs="Calibri"/>
                <w:highlight w:val="yellow"/>
              </w:rPr>
            </w:pPr>
            <w:r w:rsidRPr="00DE2D55">
              <w:rPr>
                <w:rFonts w:cs="Calibri"/>
              </w:rPr>
              <w:t>Nível 1</w:t>
            </w:r>
          </w:p>
        </w:tc>
        <w:tc>
          <w:tcPr>
            <w:tcW w:w="1874"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SECONT</w:t>
            </w:r>
          </w:p>
        </w:tc>
      </w:tr>
    </w:tbl>
    <w:p w:rsidR="00EB6017" w:rsidRDefault="00EB6017" w:rsidP="00FE560B">
      <w:pPr>
        <w:tabs>
          <w:tab w:val="left" w:pos="0"/>
        </w:tabs>
        <w:jc w:val="both"/>
        <w:rPr>
          <w:rFonts w:cs="Calibri"/>
          <w:b/>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4.2.2</w:t>
      </w:r>
      <w:r w:rsidR="004E6765" w:rsidRPr="00DE2D55">
        <w:rPr>
          <w:rFonts w:cs="Calibri"/>
          <w:b/>
        </w:rPr>
        <w:tab/>
        <w:t xml:space="preserve">- </w:t>
      </w:r>
      <w:r w:rsidR="004E6765" w:rsidRPr="00DE2D55">
        <w:rPr>
          <w:rFonts w:cs="Calibri"/>
          <w:b/>
          <w:bCs/>
        </w:rPr>
        <w:t>Revisão e implantação de novo modelo de transparência das informações públicas e a revisão e implantação da sistemática de Ouvidoria Geral do Estado.</w:t>
      </w:r>
    </w:p>
    <w:p w:rsidR="004E6765" w:rsidRPr="00DE2D55" w:rsidRDefault="004E6765" w:rsidP="00FE560B">
      <w:pPr>
        <w:tabs>
          <w:tab w:val="left" w:pos="0"/>
        </w:tabs>
        <w:jc w:val="both"/>
        <w:rPr>
          <w:rFonts w:cs="Calibri"/>
          <w:b/>
          <w:bCs/>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127"/>
        <w:gridCol w:w="1984"/>
        <w:gridCol w:w="3402"/>
      </w:tblGrid>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Resultado 1</w:t>
            </w:r>
          </w:p>
        </w:tc>
        <w:tc>
          <w:tcPr>
            <w:tcW w:w="7513" w:type="dxa"/>
            <w:gridSpan w:val="3"/>
            <w:shd w:val="clear" w:color="auto" w:fill="auto"/>
          </w:tcPr>
          <w:p w:rsidR="004E6765" w:rsidRPr="00DE2D55" w:rsidRDefault="004E6765" w:rsidP="00FE560B">
            <w:pPr>
              <w:tabs>
                <w:tab w:val="left" w:pos="0"/>
              </w:tabs>
              <w:spacing w:line="240" w:lineRule="auto"/>
              <w:jc w:val="both"/>
              <w:rPr>
                <w:rFonts w:cs="Calibri"/>
                <w:noProof/>
              </w:rPr>
            </w:pPr>
            <w:r w:rsidRPr="00DE2D55">
              <w:rPr>
                <w:rFonts w:cs="Calibri"/>
                <w:noProof/>
              </w:rPr>
              <w:t>Instrumento de transparência ativa fortalecido e aperfeiçoado</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Fórmula de cálculo</w:t>
            </w:r>
          </w:p>
        </w:tc>
        <w:tc>
          <w:tcPr>
            <w:tcW w:w="7513" w:type="dxa"/>
            <w:gridSpan w:val="3"/>
            <w:shd w:val="clear" w:color="auto" w:fill="auto"/>
            <w:vAlign w:val="center"/>
          </w:tcPr>
          <w:p w:rsidR="004E6765" w:rsidRPr="00DE2D55" w:rsidRDefault="004E6765" w:rsidP="00FE560B">
            <w:pPr>
              <w:tabs>
                <w:tab w:val="left" w:pos="0"/>
              </w:tabs>
              <w:spacing w:line="240" w:lineRule="auto"/>
              <w:jc w:val="both"/>
              <w:rPr>
                <w:rFonts w:cs="Calibri"/>
                <w:b/>
              </w:rPr>
            </w:pPr>
            <w:r w:rsidRPr="00DE2D55">
              <w:rPr>
                <w:rFonts w:cs="Calibri"/>
                <w:noProof/>
              </w:rPr>
              <w:t>Incremento na quantidade de dados abertos disponibilizados</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Unidade de medida</w:t>
            </w:r>
          </w:p>
        </w:tc>
        <w:tc>
          <w:tcPr>
            <w:tcW w:w="2127"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Meta (fim do projeto)</w:t>
            </w:r>
          </w:p>
        </w:tc>
        <w:tc>
          <w:tcPr>
            <w:tcW w:w="1984"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Linha de Base (2018)</w:t>
            </w:r>
          </w:p>
        </w:tc>
        <w:tc>
          <w:tcPr>
            <w:tcW w:w="340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Fonte</w:t>
            </w:r>
          </w:p>
        </w:tc>
      </w:tr>
      <w:tr w:rsidR="004E6765" w:rsidRPr="00DE2D55" w:rsidTr="004E6765">
        <w:tc>
          <w:tcPr>
            <w:tcW w:w="1842"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Valor Absoluto</w:t>
            </w:r>
          </w:p>
        </w:tc>
        <w:tc>
          <w:tcPr>
            <w:tcW w:w="2127"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24 grupos de dados abertos</w:t>
            </w:r>
          </w:p>
        </w:tc>
        <w:tc>
          <w:tcPr>
            <w:tcW w:w="1984" w:type="dxa"/>
            <w:shd w:val="clear" w:color="auto" w:fill="auto"/>
            <w:vAlign w:val="center"/>
          </w:tcPr>
          <w:p w:rsidR="004E6765" w:rsidRPr="00DE2D55" w:rsidRDefault="004E6765" w:rsidP="00FE560B">
            <w:pPr>
              <w:tabs>
                <w:tab w:val="left" w:pos="0"/>
              </w:tabs>
              <w:spacing w:line="240" w:lineRule="auto"/>
              <w:jc w:val="both"/>
              <w:rPr>
                <w:rFonts w:cs="Calibri"/>
                <w:highlight w:val="yellow"/>
              </w:rPr>
            </w:pPr>
            <w:r w:rsidRPr="00DE2D55">
              <w:rPr>
                <w:rFonts w:cs="Calibri"/>
              </w:rPr>
              <w:t xml:space="preserve"> 19 grupos de dados abertos</w:t>
            </w:r>
          </w:p>
        </w:tc>
        <w:tc>
          <w:tcPr>
            <w:tcW w:w="3402"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SECONT</w:t>
            </w:r>
          </w:p>
        </w:tc>
      </w:tr>
    </w:tbl>
    <w:p w:rsidR="004E6765" w:rsidRPr="00DE2D55" w:rsidRDefault="004E6765" w:rsidP="00FE560B">
      <w:pPr>
        <w:tabs>
          <w:tab w:val="left" w:pos="0"/>
        </w:tabs>
        <w:spacing w:line="240" w:lineRule="auto"/>
        <w:jc w:val="both"/>
        <w:rPr>
          <w:rFonts w:cs="Calibri"/>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127"/>
        <w:gridCol w:w="1984"/>
        <w:gridCol w:w="3402"/>
      </w:tblGrid>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Resultado 2</w:t>
            </w:r>
          </w:p>
        </w:tc>
        <w:tc>
          <w:tcPr>
            <w:tcW w:w="7513" w:type="dxa"/>
            <w:gridSpan w:val="3"/>
            <w:shd w:val="clear" w:color="auto" w:fill="auto"/>
          </w:tcPr>
          <w:p w:rsidR="004E6765" w:rsidRPr="00DE2D55" w:rsidRDefault="004E6765" w:rsidP="00FE560B">
            <w:pPr>
              <w:tabs>
                <w:tab w:val="left" w:pos="0"/>
              </w:tabs>
              <w:spacing w:line="240" w:lineRule="auto"/>
              <w:jc w:val="both"/>
              <w:rPr>
                <w:rFonts w:cs="Calibri"/>
                <w:noProof/>
              </w:rPr>
            </w:pPr>
            <w:r w:rsidRPr="00DE2D55">
              <w:rPr>
                <w:rFonts w:cs="Calibri"/>
                <w:noProof/>
              </w:rPr>
              <w:t>Sistema de Ouvidoria Geral</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Fórmula de cálculo</w:t>
            </w:r>
          </w:p>
        </w:tc>
        <w:tc>
          <w:tcPr>
            <w:tcW w:w="7513" w:type="dxa"/>
            <w:gridSpan w:val="3"/>
            <w:shd w:val="clear" w:color="auto" w:fill="auto"/>
            <w:vAlign w:val="center"/>
          </w:tcPr>
          <w:p w:rsidR="004E6765" w:rsidRPr="00DE2D55" w:rsidRDefault="004E6765" w:rsidP="00FE560B">
            <w:pPr>
              <w:tabs>
                <w:tab w:val="left" w:pos="0"/>
              </w:tabs>
              <w:spacing w:line="240" w:lineRule="auto"/>
              <w:jc w:val="both"/>
              <w:rPr>
                <w:rFonts w:cs="Calibri"/>
                <w:b/>
              </w:rPr>
            </w:pPr>
            <w:r w:rsidRPr="00DE2D55">
              <w:rPr>
                <w:rFonts w:cs="Calibri"/>
                <w:noProof/>
              </w:rPr>
              <w:t>Diminuição no tempo de resposta dos atendimentos e de tratamento de denúncias</w:t>
            </w:r>
          </w:p>
        </w:tc>
      </w:tr>
      <w:tr w:rsidR="004E6765" w:rsidRPr="00DE2D55" w:rsidTr="004E6765">
        <w:tc>
          <w:tcPr>
            <w:tcW w:w="184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Unidade de medida</w:t>
            </w:r>
          </w:p>
        </w:tc>
        <w:tc>
          <w:tcPr>
            <w:tcW w:w="2127"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Meta (fim do projeto)</w:t>
            </w:r>
          </w:p>
        </w:tc>
        <w:tc>
          <w:tcPr>
            <w:tcW w:w="1984"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Linha de Base (2018)</w:t>
            </w:r>
          </w:p>
        </w:tc>
        <w:tc>
          <w:tcPr>
            <w:tcW w:w="3402" w:type="dxa"/>
            <w:shd w:val="clear" w:color="auto" w:fill="D6E3BC"/>
            <w:vAlign w:val="center"/>
          </w:tcPr>
          <w:p w:rsidR="004E6765" w:rsidRPr="00DE2D55" w:rsidRDefault="004E6765" w:rsidP="00FE560B">
            <w:pPr>
              <w:tabs>
                <w:tab w:val="left" w:pos="0"/>
              </w:tabs>
              <w:spacing w:line="240" w:lineRule="auto"/>
              <w:jc w:val="center"/>
              <w:rPr>
                <w:rFonts w:cs="Calibri"/>
                <w:b/>
              </w:rPr>
            </w:pPr>
            <w:r w:rsidRPr="00DE2D55">
              <w:rPr>
                <w:rFonts w:cs="Calibri"/>
                <w:b/>
              </w:rPr>
              <w:t>Fonte</w:t>
            </w:r>
          </w:p>
        </w:tc>
      </w:tr>
      <w:tr w:rsidR="004E6765" w:rsidRPr="00DE2D55" w:rsidTr="004E6765">
        <w:tc>
          <w:tcPr>
            <w:tcW w:w="1842"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Valor Absoluto</w:t>
            </w:r>
          </w:p>
        </w:tc>
        <w:tc>
          <w:tcPr>
            <w:tcW w:w="2127"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10 dias/30 dias</w:t>
            </w:r>
          </w:p>
        </w:tc>
        <w:tc>
          <w:tcPr>
            <w:tcW w:w="1984" w:type="dxa"/>
            <w:shd w:val="clear" w:color="auto" w:fill="auto"/>
            <w:vAlign w:val="center"/>
          </w:tcPr>
          <w:p w:rsidR="004E6765" w:rsidRPr="00DE2D55" w:rsidRDefault="004E6765" w:rsidP="00FE560B">
            <w:pPr>
              <w:tabs>
                <w:tab w:val="left" w:pos="0"/>
                <w:tab w:val="left" w:pos="795"/>
              </w:tabs>
              <w:spacing w:line="240" w:lineRule="auto"/>
              <w:ind w:left="33" w:hanging="33"/>
              <w:jc w:val="both"/>
              <w:rPr>
                <w:rFonts w:cs="Calibri"/>
                <w:highlight w:val="yellow"/>
              </w:rPr>
            </w:pPr>
            <w:r w:rsidRPr="00DE2D55">
              <w:rPr>
                <w:rFonts w:cs="Calibri"/>
              </w:rPr>
              <w:t>14 dias/60 dias</w:t>
            </w:r>
          </w:p>
        </w:tc>
        <w:tc>
          <w:tcPr>
            <w:tcW w:w="3402" w:type="dxa"/>
            <w:shd w:val="clear" w:color="auto" w:fill="auto"/>
            <w:vAlign w:val="center"/>
          </w:tcPr>
          <w:p w:rsidR="004E6765" w:rsidRPr="00DE2D55" w:rsidRDefault="004E6765" w:rsidP="00FE560B">
            <w:pPr>
              <w:tabs>
                <w:tab w:val="left" w:pos="0"/>
              </w:tabs>
              <w:spacing w:line="240" w:lineRule="auto"/>
              <w:jc w:val="both"/>
              <w:rPr>
                <w:rFonts w:cs="Calibri"/>
              </w:rPr>
            </w:pPr>
            <w:r w:rsidRPr="00DE2D55">
              <w:rPr>
                <w:rFonts w:cs="Calibri"/>
              </w:rPr>
              <w:t>SECONT</w:t>
            </w:r>
          </w:p>
        </w:tc>
      </w:tr>
    </w:tbl>
    <w:p w:rsidR="004E6765" w:rsidRPr="00DE2D55" w:rsidRDefault="004E6765" w:rsidP="00FE560B">
      <w:pPr>
        <w:tabs>
          <w:tab w:val="left" w:pos="0"/>
        </w:tabs>
        <w:jc w:val="both"/>
        <w:rPr>
          <w:rFonts w:cs="Calibri"/>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 xml:space="preserve">4.3 – Outros possíveis resultados: </w:t>
      </w:r>
    </w:p>
    <w:p w:rsidR="004E6765" w:rsidRPr="00DE2D55" w:rsidRDefault="00C521DC" w:rsidP="00FE560B">
      <w:pPr>
        <w:tabs>
          <w:tab w:val="left" w:pos="0"/>
        </w:tabs>
        <w:jc w:val="both"/>
        <w:rPr>
          <w:rFonts w:cs="Calibri"/>
          <w:b/>
        </w:rPr>
      </w:pPr>
      <w:r>
        <w:rPr>
          <w:rFonts w:cs="Calibri"/>
          <w:b/>
        </w:rPr>
        <w:t>5.4.3.1 – Gestão</w:t>
      </w:r>
      <w:r w:rsidR="004E6765" w:rsidRPr="00DE2D55">
        <w:rPr>
          <w:rFonts w:cs="Calibri"/>
          <w:b/>
        </w:rPr>
        <w:t xml:space="preserve"> de riscos e integridade implantado</w:t>
      </w:r>
    </w:p>
    <w:p w:rsidR="004E6765" w:rsidRPr="00DE2D55" w:rsidRDefault="004E6765" w:rsidP="00FE560B">
      <w:pPr>
        <w:numPr>
          <w:ilvl w:val="0"/>
          <w:numId w:val="47"/>
        </w:numPr>
        <w:tabs>
          <w:tab w:val="left" w:pos="0"/>
        </w:tabs>
        <w:jc w:val="both"/>
        <w:rPr>
          <w:rFonts w:cs="Calibri"/>
        </w:rPr>
      </w:pPr>
      <w:r w:rsidRPr="00DE2D55">
        <w:rPr>
          <w:rFonts w:cs="Calibri"/>
        </w:rPr>
        <w:t>Disseminação da cultura da gestão de riscos nas diversas áreas e níveis (estratégico, tático e operacional) das organizações;</w:t>
      </w:r>
    </w:p>
    <w:p w:rsidR="004E6765" w:rsidRPr="00DE2D55" w:rsidRDefault="004E6765" w:rsidP="00FE560B">
      <w:pPr>
        <w:numPr>
          <w:ilvl w:val="0"/>
          <w:numId w:val="47"/>
        </w:numPr>
        <w:tabs>
          <w:tab w:val="left" w:pos="0"/>
        </w:tabs>
        <w:jc w:val="both"/>
        <w:rPr>
          <w:rFonts w:cs="Calibri"/>
        </w:rPr>
      </w:pPr>
      <w:r w:rsidRPr="00DE2D55">
        <w:rPr>
          <w:rFonts w:cs="Calibri"/>
        </w:rPr>
        <w:t>Melhoria da eficácia da gestão das organizações, com um maior grau de alcance dos objetivos.</w:t>
      </w:r>
    </w:p>
    <w:p w:rsidR="004E6765" w:rsidRPr="00DE2D55" w:rsidRDefault="00C521DC" w:rsidP="00FE560B">
      <w:pPr>
        <w:pStyle w:val="PargrafodaLista"/>
        <w:tabs>
          <w:tab w:val="left" w:pos="0"/>
        </w:tabs>
        <w:ind w:left="426"/>
        <w:jc w:val="both"/>
        <w:rPr>
          <w:rFonts w:cs="Calibri"/>
          <w:b/>
          <w:bCs/>
        </w:rPr>
      </w:pPr>
      <w:r>
        <w:rPr>
          <w:rFonts w:cs="Calibri"/>
          <w:b/>
        </w:rPr>
        <w:t>5.</w:t>
      </w:r>
      <w:r w:rsidR="004E6765" w:rsidRPr="00DE2D55">
        <w:rPr>
          <w:rFonts w:cs="Calibri"/>
          <w:b/>
        </w:rPr>
        <w:t>4.3.2 – Procedimentos de auditoria interna aperfeiçoados</w:t>
      </w:r>
    </w:p>
    <w:p w:rsidR="004E6765" w:rsidRPr="00DE2D55" w:rsidRDefault="004E6765" w:rsidP="00FE560B">
      <w:pPr>
        <w:numPr>
          <w:ilvl w:val="0"/>
          <w:numId w:val="48"/>
        </w:numPr>
        <w:tabs>
          <w:tab w:val="left" w:pos="0"/>
        </w:tabs>
        <w:jc w:val="both"/>
        <w:rPr>
          <w:rFonts w:cs="Calibri"/>
        </w:rPr>
      </w:pPr>
      <w:r w:rsidRPr="00DE2D55">
        <w:rPr>
          <w:rFonts w:cs="Calibri"/>
        </w:rPr>
        <w:t>Melhoria no planejamento das auditorias;</w:t>
      </w:r>
    </w:p>
    <w:p w:rsidR="004E6765" w:rsidRPr="00DE2D55" w:rsidRDefault="004E6765" w:rsidP="00FE560B">
      <w:pPr>
        <w:numPr>
          <w:ilvl w:val="0"/>
          <w:numId w:val="48"/>
        </w:numPr>
        <w:tabs>
          <w:tab w:val="left" w:pos="0"/>
        </w:tabs>
        <w:jc w:val="both"/>
        <w:rPr>
          <w:rFonts w:cs="Calibri"/>
        </w:rPr>
      </w:pPr>
      <w:r w:rsidRPr="00DE2D55">
        <w:rPr>
          <w:rFonts w:cs="Calibri"/>
        </w:rPr>
        <w:t>Melhoria nos resultados das auditorias;</w:t>
      </w:r>
    </w:p>
    <w:p w:rsidR="004E6765" w:rsidRPr="00DE2D55" w:rsidRDefault="004E6765" w:rsidP="00FE560B">
      <w:pPr>
        <w:numPr>
          <w:ilvl w:val="0"/>
          <w:numId w:val="48"/>
        </w:numPr>
        <w:tabs>
          <w:tab w:val="left" w:pos="0"/>
        </w:tabs>
        <w:jc w:val="both"/>
        <w:rPr>
          <w:rFonts w:cs="Calibri"/>
        </w:rPr>
      </w:pPr>
      <w:r w:rsidRPr="00DE2D55">
        <w:rPr>
          <w:rFonts w:cs="Calibri"/>
        </w:rPr>
        <w:t>Melhoria no desempenho pessoal dos auditores do estado;</w:t>
      </w:r>
    </w:p>
    <w:p w:rsidR="004E6765" w:rsidRPr="00DE2D55" w:rsidRDefault="004E6765" w:rsidP="00FE560B">
      <w:pPr>
        <w:numPr>
          <w:ilvl w:val="0"/>
          <w:numId w:val="48"/>
        </w:numPr>
        <w:tabs>
          <w:tab w:val="left" w:pos="0"/>
        </w:tabs>
        <w:jc w:val="both"/>
        <w:rPr>
          <w:rFonts w:cs="Calibri"/>
        </w:rPr>
      </w:pPr>
      <w:r w:rsidRPr="00DE2D55">
        <w:rPr>
          <w:rFonts w:cs="Calibri"/>
        </w:rPr>
        <w:t>Maior aderência dos produtos da auditoria às normas internacionais;</w:t>
      </w:r>
    </w:p>
    <w:p w:rsidR="004E6765" w:rsidRPr="00DE2D55" w:rsidRDefault="004E6765" w:rsidP="00FE560B">
      <w:pPr>
        <w:numPr>
          <w:ilvl w:val="0"/>
          <w:numId w:val="48"/>
        </w:numPr>
        <w:tabs>
          <w:tab w:val="left" w:pos="0"/>
        </w:tabs>
        <w:jc w:val="both"/>
        <w:rPr>
          <w:rFonts w:cs="Calibri"/>
        </w:rPr>
      </w:pPr>
      <w:r w:rsidRPr="00DE2D55">
        <w:rPr>
          <w:rFonts w:cs="Calibri"/>
        </w:rPr>
        <w:t>Maior aderência da estrutura da auditoria;</w:t>
      </w:r>
    </w:p>
    <w:p w:rsidR="004E6765" w:rsidRDefault="004E6765" w:rsidP="00FE560B">
      <w:pPr>
        <w:numPr>
          <w:ilvl w:val="0"/>
          <w:numId w:val="48"/>
        </w:numPr>
        <w:tabs>
          <w:tab w:val="left" w:pos="0"/>
        </w:tabs>
        <w:jc w:val="both"/>
        <w:rPr>
          <w:rFonts w:cs="Calibri"/>
        </w:rPr>
      </w:pPr>
      <w:r w:rsidRPr="00DE2D55">
        <w:rPr>
          <w:rFonts w:cs="Calibri"/>
        </w:rPr>
        <w:t xml:space="preserve">Maturidade no processo de Governança com o incremento dos processos de auditoria e controle postos em prática para melhor avaliar, direcionar e monitorar a atuação da gestão à realização de seus objetivos. </w:t>
      </w:r>
    </w:p>
    <w:p w:rsidR="00EB6017" w:rsidRPr="00DE2D55" w:rsidRDefault="00EB6017" w:rsidP="00FE560B">
      <w:pPr>
        <w:tabs>
          <w:tab w:val="left" w:pos="0"/>
        </w:tabs>
        <w:ind w:left="720"/>
        <w:jc w:val="both"/>
        <w:rPr>
          <w:rFonts w:cs="Calibri"/>
        </w:rPr>
      </w:pPr>
    </w:p>
    <w:p w:rsidR="004E6765" w:rsidRPr="00DE2D55" w:rsidRDefault="00C521DC" w:rsidP="00FE560B">
      <w:pPr>
        <w:tabs>
          <w:tab w:val="left" w:pos="0"/>
        </w:tabs>
        <w:jc w:val="both"/>
        <w:rPr>
          <w:rFonts w:cs="Calibri"/>
          <w:b/>
        </w:rPr>
      </w:pPr>
      <w:r>
        <w:rPr>
          <w:rFonts w:cs="Calibri"/>
          <w:b/>
        </w:rPr>
        <w:t>5.</w:t>
      </w:r>
      <w:r w:rsidR="004E6765" w:rsidRPr="00DE2D55">
        <w:rPr>
          <w:rFonts w:cs="Calibri"/>
          <w:b/>
        </w:rPr>
        <w:t xml:space="preserve">4.3.3 – </w:t>
      </w:r>
      <w:r w:rsidR="004E6765" w:rsidRPr="00DE2D55">
        <w:rPr>
          <w:rFonts w:cs="Calibri"/>
          <w:b/>
          <w:bCs/>
        </w:rPr>
        <w:t>Instrumentos da transparência ativa fortalecidos e aperfeiçoados</w:t>
      </w:r>
    </w:p>
    <w:p w:rsidR="004E6765" w:rsidRPr="00DE2D55" w:rsidRDefault="004E6765" w:rsidP="00FE560B">
      <w:pPr>
        <w:numPr>
          <w:ilvl w:val="0"/>
          <w:numId w:val="50"/>
        </w:numPr>
        <w:tabs>
          <w:tab w:val="left" w:pos="0"/>
        </w:tabs>
        <w:jc w:val="both"/>
        <w:rPr>
          <w:rFonts w:cs="Calibri"/>
        </w:rPr>
      </w:pPr>
      <w:r w:rsidRPr="00DE2D55">
        <w:rPr>
          <w:rFonts w:cs="Calibri"/>
        </w:rPr>
        <w:t>Maior disseminação da cultura de controle social;</w:t>
      </w:r>
    </w:p>
    <w:p w:rsidR="004E6765" w:rsidRPr="00DE2D55" w:rsidRDefault="004E6765" w:rsidP="00FE560B">
      <w:pPr>
        <w:numPr>
          <w:ilvl w:val="0"/>
          <w:numId w:val="50"/>
        </w:numPr>
        <w:tabs>
          <w:tab w:val="left" w:pos="0"/>
        </w:tabs>
        <w:jc w:val="both"/>
        <w:rPr>
          <w:rFonts w:cs="Calibri"/>
        </w:rPr>
      </w:pPr>
      <w:r w:rsidRPr="00DE2D55">
        <w:rPr>
          <w:rFonts w:cs="Calibri"/>
        </w:rPr>
        <w:t>Criação de aplicativos com base nos dados abertos;</w:t>
      </w:r>
    </w:p>
    <w:p w:rsidR="004E6765" w:rsidRPr="00DE2D55" w:rsidRDefault="004E6765" w:rsidP="00FE560B">
      <w:pPr>
        <w:numPr>
          <w:ilvl w:val="0"/>
          <w:numId w:val="50"/>
        </w:numPr>
        <w:tabs>
          <w:tab w:val="left" w:pos="0"/>
        </w:tabs>
        <w:jc w:val="both"/>
        <w:rPr>
          <w:rFonts w:cs="Calibri"/>
        </w:rPr>
      </w:pPr>
      <w:r w:rsidRPr="00DE2D55">
        <w:rPr>
          <w:rFonts w:cs="Calibri"/>
        </w:rPr>
        <w:t>Maior conhecimento das ferramentas de transparência ativa;</w:t>
      </w:r>
    </w:p>
    <w:p w:rsidR="004E6765" w:rsidRPr="00DE2D55" w:rsidRDefault="004E6765" w:rsidP="00FE560B">
      <w:pPr>
        <w:numPr>
          <w:ilvl w:val="0"/>
          <w:numId w:val="50"/>
        </w:numPr>
        <w:tabs>
          <w:tab w:val="left" w:pos="0"/>
        </w:tabs>
        <w:jc w:val="both"/>
        <w:rPr>
          <w:rFonts w:cs="Calibri"/>
        </w:rPr>
      </w:pPr>
      <w:r w:rsidRPr="00DE2D55">
        <w:rPr>
          <w:rFonts w:cs="Calibri"/>
        </w:rPr>
        <w:t>Difusão do Portal da Transparência para outras faixas etárias e para diferentes perfis;</w:t>
      </w:r>
    </w:p>
    <w:p w:rsidR="004E6765" w:rsidRPr="00DE2D55" w:rsidRDefault="004E6765" w:rsidP="00FE560B">
      <w:pPr>
        <w:numPr>
          <w:ilvl w:val="0"/>
          <w:numId w:val="50"/>
        </w:numPr>
        <w:tabs>
          <w:tab w:val="left" w:pos="0"/>
        </w:tabs>
        <w:jc w:val="both"/>
        <w:rPr>
          <w:rFonts w:cs="Calibri"/>
        </w:rPr>
      </w:pPr>
      <w:r w:rsidRPr="00DE2D55">
        <w:rPr>
          <w:rFonts w:cs="Calibri"/>
        </w:rPr>
        <w:t>Possibilidade de repassar soluções a outros entes do Estado no tocante à transparência;</w:t>
      </w:r>
    </w:p>
    <w:p w:rsidR="004E6765" w:rsidRPr="00DE2D55" w:rsidRDefault="004E6765" w:rsidP="00FE560B">
      <w:pPr>
        <w:numPr>
          <w:ilvl w:val="0"/>
          <w:numId w:val="50"/>
        </w:numPr>
        <w:tabs>
          <w:tab w:val="left" w:pos="0"/>
        </w:tabs>
        <w:jc w:val="both"/>
        <w:rPr>
          <w:rFonts w:cs="Calibri"/>
        </w:rPr>
      </w:pPr>
      <w:r w:rsidRPr="00DE2D55">
        <w:rPr>
          <w:rFonts w:cs="Calibri"/>
        </w:rPr>
        <w:t>Avaliação positiva dos institutos que aferem a transparência ativa;</w:t>
      </w:r>
    </w:p>
    <w:p w:rsidR="004E6765" w:rsidRDefault="004E6765" w:rsidP="00FE560B">
      <w:pPr>
        <w:numPr>
          <w:ilvl w:val="0"/>
          <w:numId w:val="50"/>
        </w:numPr>
        <w:tabs>
          <w:tab w:val="left" w:pos="0"/>
        </w:tabs>
        <w:jc w:val="both"/>
        <w:rPr>
          <w:rFonts w:cs="Calibri"/>
        </w:rPr>
      </w:pPr>
      <w:r w:rsidRPr="00DE2D55">
        <w:rPr>
          <w:rFonts w:cs="Calibri"/>
        </w:rPr>
        <w:t>Aperfeiçoar a percepção do nível de transparência do governo perante a sociedade.</w:t>
      </w:r>
    </w:p>
    <w:p w:rsidR="00EB6017" w:rsidRPr="00DE2D55" w:rsidRDefault="00EB6017" w:rsidP="00FE560B">
      <w:pPr>
        <w:tabs>
          <w:tab w:val="left" w:pos="0"/>
        </w:tabs>
        <w:ind w:left="720"/>
        <w:jc w:val="both"/>
        <w:rPr>
          <w:rFonts w:cs="Calibri"/>
        </w:rPr>
      </w:pPr>
    </w:p>
    <w:p w:rsidR="004E6765" w:rsidRPr="00DE2D55" w:rsidRDefault="00EB6017"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4" w:name="_Toc517282085"/>
      <w:r>
        <w:rPr>
          <w:rFonts w:cs="Calibri"/>
          <w:b/>
        </w:rPr>
        <w:t xml:space="preserve">ASPECTOS INOVADORES DOS </w:t>
      </w:r>
      <w:r w:rsidR="004E6765" w:rsidRPr="00DE2D55">
        <w:rPr>
          <w:rFonts w:cs="Calibri"/>
          <w:b/>
        </w:rPr>
        <w:t>SUBPRODUTO</w:t>
      </w:r>
      <w:r>
        <w:rPr>
          <w:rFonts w:cs="Calibri"/>
          <w:b/>
        </w:rPr>
        <w:t>S</w:t>
      </w:r>
      <w:bookmarkEnd w:id="64"/>
    </w:p>
    <w:p w:rsidR="004E6765" w:rsidRPr="00DE2D55" w:rsidRDefault="004E6765" w:rsidP="00FE560B">
      <w:pPr>
        <w:tabs>
          <w:tab w:val="left" w:pos="0"/>
        </w:tabs>
        <w:jc w:val="both"/>
        <w:rPr>
          <w:rFonts w:cs="Calibri"/>
          <w:b/>
        </w:rPr>
      </w:pPr>
      <w:r w:rsidRPr="00DE2D55">
        <w:rPr>
          <w:rFonts w:cs="Calibri"/>
          <w:b/>
        </w:rPr>
        <w:t>5.</w:t>
      </w:r>
      <w:r w:rsidR="000A258D">
        <w:rPr>
          <w:rFonts w:cs="Calibri"/>
          <w:b/>
        </w:rPr>
        <w:t>5.</w:t>
      </w:r>
      <w:r w:rsidRPr="00DE2D55">
        <w:rPr>
          <w:rFonts w:cs="Calibri"/>
          <w:b/>
        </w:rPr>
        <w:t>1 – Novo Modelo de Controle Interno do Estado Implantado</w:t>
      </w:r>
    </w:p>
    <w:p w:rsidR="004E6765" w:rsidRPr="00DE2D55" w:rsidRDefault="00C521DC" w:rsidP="00FE560B">
      <w:pPr>
        <w:tabs>
          <w:tab w:val="left" w:pos="0"/>
        </w:tabs>
        <w:jc w:val="both"/>
        <w:rPr>
          <w:rFonts w:cs="Calibri"/>
          <w:b/>
        </w:rPr>
      </w:pPr>
      <w:r>
        <w:rPr>
          <w:rFonts w:cs="Calibri"/>
          <w:b/>
        </w:rPr>
        <w:t>5.5</w:t>
      </w:r>
      <w:r w:rsidR="004E6765" w:rsidRPr="00DE2D55">
        <w:rPr>
          <w:rFonts w:cs="Calibri"/>
          <w:b/>
        </w:rPr>
        <w:t>.1</w:t>
      </w:r>
      <w:r w:rsidR="000A258D">
        <w:rPr>
          <w:rFonts w:cs="Calibri"/>
          <w:b/>
        </w:rPr>
        <w:t>.1</w:t>
      </w:r>
      <w:r w:rsidR="004E6765" w:rsidRPr="00DE2D55">
        <w:rPr>
          <w:rFonts w:cs="Calibri"/>
          <w:b/>
        </w:rPr>
        <w:t xml:space="preserve"> – </w:t>
      </w:r>
      <w:r w:rsidR="004E6765" w:rsidRPr="00DE2D55">
        <w:rPr>
          <w:rFonts w:cs="Calibri"/>
          <w:b/>
          <w:bCs/>
        </w:rPr>
        <w:t>Revisão e implantação dos procedimentos de auditoria interna e controle interno, utilizando modelo de gerenciamento de riscos e integridade e sistemas informatizados de apoio à gestão.</w:t>
      </w:r>
    </w:p>
    <w:p w:rsidR="004E6765" w:rsidRPr="00DE2D55" w:rsidRDefault="004E6765" w:rsidP="00FE560B">
      <w:pPr>
        <w:numPr>
          <w:ilvl w:val="0"/>
          <w:numId w:val="50"/>
        </w:numPr>
        <w:tabs>
          <w:tab w:val="left" w:pos="0"/>
        </w:tabs>
        <w:jc w:val="both"/>
        <w:rPr>
          <w:rFonts w:cs="Calibri"/>
        </w:rPr>
      </w:pPr>
      <w:r w:rsidRPr="00DE2D55">
        <w:rPr>
          <w:rFonts w:cs="Calibri"/>
        </w:rPr>
        <w:t>Definição de inserção, aprimoramento ou exclusão de controles internos com base em uma metodologia sólida, com critérios bem definidos, que visa ao alcance dos objetivos das organizações.</w:t>
      </w:r>
    </w:p>
    <w:p w:rsidR="004E6765" w:rsidRPr="00DE2D55" w:rsidRDefault="004E6765" w:rsidP="00FE560B">
      <w:pPr>
        <w:numPr>
          <w:ilvl w:val="0"/>
          <w:numId w:val="50"/>
        </w:numPr>
        <w:tabs>
          <w:tab w:val="left" w:pos="0"/>
        </w:tabs>
        <w:jc w:val="both"/>
        <w:rPr>
          <w:rFonts w:cs="Calibri"/>
        </w:rPr>
      </w:pPr>
      <w:r w:rsidRPr="00DE2D55">
        <w:rPr>
          <w:rFonts w:cs="Calibri"/>
        </w:rPr>
        <w:t>Possibilidade de priorização da atuação do gestor nos processos mais críticos.</w:t>
      </w:r>
    </w:p>
    <w:p w:rsidR="004E6765" w:rsidRPr="00DE2D55" w:rsidRDefault="004E6765" w:rsidP="00FE560B">
      <w:pPr>
        <w:numPr>
          <w:ilvl w:val="0"/>
          <w:numId w:val="50"/>
        </w:numPr>
        <w:tabs>
          <w:tab w:val="left" w:pos="0"/>
        </w:tabs>
        <w:jc w:val="both"/>
        <w:rPr>
          <w:rFonts w:cs="Calibri"/>
        </w:rPr>
      </w:pPr>
      <w:r w:rsidRPr="00DE2D55">
        <w:rPr>
          <w:rFonts w:cs="Calibri"/>
        </w:rPr>
        <w:t>Possibilidade de integração da gestão de riscos ao processo de planejamento estratégico e aos seus desdobramentos, às atividades, aos processos de trabalho e aos projetos, relevantes para a execução da estratégia e o alcance dos objetivos institucionais do órgãos estaduais;</w:t>
      </w:r>
    </w:p>
    <w:p w:rsidR="004E6765" w:rsidRPr="00DE2D55" w:rsidRDefault="004E6765" w:rsidP="00FE560B">
      <w:pPr>
        <w:numPr>
          <w:ilvl w:val="0"/>
          <w:numId w:val="50"/>
        </w:numPr>
        <w:tabs>
          <w:tab w:val="left" w:pos="0"/>
        </w:tabs>
        <w:jc w:val="both"/>
        <w:rPr>
          <w:rFonts w:cs="Calibri"/>
        </w:rPr>
      </w:pPr>
      <w:r w:rsidRPr="00DE2D55">
        <w:rPr>
          <w:rFonts w:cs="Calibri"/>
        </w:rPr>
        <w:t>A utilização do modelo IA-CM como direcionador do planejamento de futuro da SECONT garante a busca por uma auditoria interna de excelência, com total aderência às práticas internacionais no que se refere aos produtos, normas internas, estrutura, gestão de pessoas, ética e práticas profissionais.</w:t>
      </w:r>
    </w:p>
    <w:p w:rsidR="004E6765" w:rsidRPr="00DE2D55" w:rsidRDefault="004E6765" w:rsidP="00FE560B">
      <w:pPr>
        <w:numPr>
          <w:ilvl w:val="0"/>
          <w:numId w:val="50"/>
        </w:numPr>
        <w:tabs>
          <w:tab w:val="left" w:pos="0"/>
        </w:tabs>
        <w:jc w:val="both"/>
        <w:rPr>
          <w:rFonts w:cs="Calibri"/>
        </w:rPr>
      </w:pPr>
      <w:r w:rsidRPr="00DE2D55">
        <w:rPr>
          <w:rFonts w:cs="Calibri"/>
        </w:rPr>
        <w:t xml:space="preserve">O aperfeiçoamento do modelo de gestão estratégica, por meio da melhoria nas funções de planejamento, auditoria e gestão de riscos possibilitará uma melhoria da eficácia da gestão, permitindo maior grau de alcance dos objetivos. Além disso permitirá o fortalecimento e uma maior compreensão dos mecanismos de liderança, estratégia e controle colocados em prática na Secretaria de Estado da Fazenda e em outros órgãos ou entidades do Governo do Estado do Espírito Santo, especialmente no tocante a avaliar, orientar e monitorar a atuação da gestão, com vistas à condução de políticas públicas e à prestação de serviços de efetivo interesse da sociedade.  </w:t>
      </w:r>
    </w:p>
    <w:p w:rsidR="004E6765" w:rsidRPr="00DE2D55" w:rsidRDefault="004E6765" w:rsidP="00FE560B">
      <w:pPr>
        <w:numPr>
          <w:ilvl w:val="0"/>
          <w:numId w:val="50"/>
        </w:numPr>
        <w:tabs>
          <w:tab w:val="left" w:pos="0"/>
        </w:tabs>
        <w:jc w:val="both"/>
        <w:rPr>
          <w:rFonts w:cs="Calibri"/>
        </w:rPr>
      </w:pPr>
      <w:r w:rsidRPr="00DE2D55">
        <w:rPr>
          <w:rFonts w:cs="Calibri"/>
        </w:rPr>
        <w:t>O processo PROATIVO de atração de investimentos permite ao Estado potencializar atrativos como mão de obra qualificada, logística, apoio ao empreendedor em detrimento a política tradicional de concessão de benefícios fiscais, gerando crescimento econômico sustentável, já que gera emprego e renda, e consequentemente, consumo e arrecadação tributária indireta, além do aumento de receita direta pelo próprio contribuinte atraído.</w:t>
      </w:r>
    </w:p>
    <w:p w:rsidR="004E6765" w:rsidRDefault="004E6765" w:rsidP="00FE560B">
      <w:pPr>
        <w:numPr>
          <w:ilvl w:val="0"/>
          <w:numId w:val="50"/>
        </w:numPr>
        <w:tabs>
          <w:tab w:val="left" w:pos="0"/>
        </w:tabs>
        <w:jc w:val="both"/>
        <w:rPr>
          <w:rFonts w:cs="Calibri"/>
        </w:rPr>
      </w:pPr>
      <w:r w:rsidRPr="00DE2D55">
        <w:rPr>
          <w:rFonts w:cs="Calibri"/>
        </w:rPr>
        <w:t>A atração de investimentos de forma organizada e estudada permite o melhor desenvolvimento das cadeias produtivas do estado, o ambiente aberto à inovação com potencial de produção de maior valor agregado e maior movimentação econômica.  Assim, empresas sediadas no Espírito Santo conseguirão encontrar e adquirir mercadorias e insumos no próprio território catarinense, em vez de adquirir em outros estados ou importa-los, gerando mais renda, consumo e arrecadação no próprio estado.</w:t>
      </w:r>
    </w:p>
    <w:p w:rsidR="00FF726C" w:rsidRPr="00DE2D55" w:rsidRDefault="00FF726C" w:rsidP="00FE560B">
      <w:pPr>
        <w:tabs>
          <w:tab w:val="left" w:pos="0"/>
        </w:tabs>
        <w:ind w:left="720"/>
        <w:jc w:val="both"/>
        <w:rPr>
          <w:rFonts w:cs="Calibri"/>
        </w:rPr>
      </w:pPr>
    </w:p>
    <w:p w:rsidR="004E6765" w:rsidRPr="00DE2D55" w:rsidRDefault="00C521DC" w:rsidP="00FE560B">
      <w:pPr>
        <w:tabs>
          <w:tab w:val="left" w:pos="0"/>
        </w:tabs>
        <w:jc w:val="both"/>
        <w:rPr>
          <w:rFonts w:cs="Calibri"/>
          <w:b/>
        </w:rPr>
      </w:pPr>
      <w:r>
        <w:rPr>
          <w:rFonts w:cs="Calibri"/>
          <w:b/>
        </w:rPr>
        <w:t>5.5</w:t>
      </w:r>
      <w:r w:rsidR="004E6765" w:rsidRPr="00DE2D55">
        <w:rPr>
          <w:rFonts w:cs="Calibri"/>
          <w:b/>
        </w:rPr>
        <w:t>.</w:t>
      </w:r>
      <w:r w:rsidR="000A258D">
        <w:rPr>
          <w:rFonts w:cs="Calibri"/>
          <w:b/>
        </w:rPr>
        <w:t>1.</w:t>
      </w:r>
      <w:r w:rsidR="004E6765" w:rsidRPr="00DE2D55">
        <w:rPr>
          <w:rFonts w:cs="Calibri"/>
          <w:b/>
        </w:rPr>
        <w:t xml:space="preserve">2 – </w:t>
      </w:r>
      <w:r w:rsidR="004E6765" w:rsidRPr="00DE2D55">
        <w:rPr>
          <w:rFonts w:cs="Calibri"/>
          <w:b/>
          <w:bCs/>
        </w:rPr>
        <w:t>Revisão e implantação de novo modelo de transparência das informações públicas e a revisão e implantação da sistemática de Ouvidoria Geral do Estado.</w:t>
      </w:r>
    </w:p>
    <w:p w:rsidR="004E6765" w:rsidRPr="00DE2D55" w:rsidRDefault="004E6765" w:rsidP="00FE560B">
      <w:pPr>
        <w:numPr>
          <w:ilvl w:val="0"/>
          <w:numId w:val="49"/>
        </w:numPr>
        <w:tabs>
          <w:tab w:val="left" w:pos="0"/>
        </w:tabs>
        <w:jc w:val="both"/>
        <w:rPr>
          <w:rFonts w:cs="Calibri"/>
        </w:rPr>
      </w:pPr>
      <w:r w:rsidRPr="00DE2D55">
        <w:rPr>
          <w:rFonts w:cs="Calibri"/>
        </w:rPr>
        <w:t>Possibilitar aos cidadãos analisar e cruzar dados financeiros com dados sociais e outros indicadores;</w:t>
      </w:r>
    </w:p>
    <w:p w:rsidR="004E6765" w:rsidRPr="00DE2D55" w:rsidRDefault="004E6765" w:rsidP="00FE560B">
      <w:pPr>
        <w:numPr>
          <w:ilvl w:val="0"/>
          <w:numId w:val="49"/>
        </w:numPr>
        <w:tabs>
          <w:tab w:val="left" w:pos="0"/>
        </w:tabs>
        <w:jc w:val="both"/>
        <w:rPr>
          <w:rFonts w:cs="Calibri"/>
        </w:rPr>
      </w:pPr>
      <w:r w:rsidRPr="00DE2D55">
        <w:rPr>
          <w:rFonts w:cs="Calibri"/>
        </w:rPr>
        <w:t>Disponibilizar bases de dados que poderão resultar em novos produtos e serviços ao cidadão;</w:t>
      </w:r>
    </w:p>
    <w:p w:rsidR="004E6765" w:rsidRPr="00DE2D55" w:rsidRDefault="004E6765" w:rsidP="00FE560B">
      <w:pPr>
        <w:numPr>
          <w:ilvl w:val="0"/>
          <w:numId w:val="49"/>
        </w:numPr>
        <w:tabs>
          <w:tab w:val="left" w:pos="0"/>
        </w:tabs>
        <w:jc w:val="both"/>
        <w:rPr>
          <w:rFonts w:cs="Calibri"/>
        </w:rPr>
      </w:pPr>
      <w:r w:rsidRPr="00DE2D55">
        <w:rPr>
          <w:rFonts w:cs="Calibri"/>
        </w:rPr>
        <w:t>Possuir no seu dispositivo móvel, dados, informações e serviços de maneira rápida e eficiente;</w:t>
      </w:r>
    </w:p>
    <w:p w:rsidR="004E6765" w:rsidRPr="00DE2D55" w:rsidRDefault="004E6765" w:rsidP="00FE560B">
      <w:pPr>
        <w:numPr>
          <w:ilvl w:val="0"/>
          <w:numId w:val="49"/>
        </w:numPr>
        <w:tabs>
          <w:tab w:val="left" w:pos="0"/>
        </w:tabs>
        <w:jc w:val="both"/>
        <w:rPr>
          <w:rFonts w:cs="Calibri"/>
        </w:rPr>
      </w:pPr>
      <w:r w:rsidRPr="00DE2D55">
        <w:rPr>
          <w:rFonts w:cs="Calibri"/>
        </w:rPr>
        <w:t>Disponibilizar portal infantil com linguagem e informações para atendimento a este segmento;</w:t>
      </w:r>
    </w:p>
    <w:p w:rsidR="004E6765" w:rsidRPr="00DE2D55" w:rsidRDefault="004E6765" w:rsidP="00FE560B">
      <w:pPr>
        <w:numPr>
          <w:ilvl w:val="0"/>
          <w:numId w:val="49"/>
        </w:numPr>
        <w:tabs>
          <w:tab w:val="left" w:pos="0"/>
        </w:tabs>
        <w:jc w:val="both"/>
        <w:rPr>
          <w:rFonts w:cs="Calibri"/>
        </w:rPr>
      </w:pPr>
      <w:r w:rsidRPr="00DE2D55">
        <w:rPr>
          <w:rFonts w:cs="Calibri"/>
        </w:rPr>
        <w:t>Disponibilizar nos órgãos públicos e locais de grande circulação equipamentos interativos apresentando as finanças públicas e outros aspectos do Estado;</w:t>
      </w:r>
    </w:p>
    <w:p w:rsidR="004E6765" w:rsidRPr="00DE2D55" w:rsidRDefault="004E6765" w:rsidP="00FE560B">
      <w:pPr>
        <w:numPr>
          <w:ilvl w:val="0"/>
          <w:numId w:val="49"/>
        </w:numPr>
        <w:tabs>
          <w:tab w:val="left" w:pos="0"/>
        </w:tabs>
        <w:jc w:val="both"/>
        <w:rPr>
          <w:rFonts w:cs="Calibri"/>
        </w:rPr>
      </w:pPr>
      <w:r w:rsidRPr="00DE2D55">
        <w:rPr>
          <w:rFonts w:cs="Calibri"/>
        </w:rPr>
        <w:t>Criar novas formas de comunicação direta com o cidadão, a partir das tecnologias existentes no mercado;</w:t>
      </w:r>
    </w:p>
    <w:p w:rsidR="004E6765" w:rsidRDefault="004E6765" w:rsidP="00FE560B">
      <w:pPr>
        <w:numPr>
          <w:ilvl w:val="0"/>
          <w:numId w:val="49"/>
        </w:numPr>
        <w:tabs>
          <w:tab w:val="left" w:pos="0"/>
        </w:tabs>
        <w:jc w:val="both"/>
        <w:rPr>
          <w:rFonts w:cs="Calibri"/>
        </w:rPr>
      </w:pPr>
      <w:r w:rsidRPr="00DE2D55">
        <w:rPr>
          <w:rFonts w:cs="Calibri"/>
        </w:rPr>
        <w:t xml:space="preserve">Possibilitar a realização de eventos </w:t>
      </w:r>
      <w:r w:rsidRPr="00DE2D55">
        <w:rPr>
          <w:rFonts w:cs="Calibri"/>
          <w:i/>
        </w:rPr>
        <w:t>hackathon</w:t>
      </w:r>
      <w:r w:rsidRPr="00DE2D55">
        <w:rPr>
          <w:rFonts w:cs="Calibri"/>
        </w:rPr>
        <w:t xml:space="preserve"> (maratona de </w:t>
      </w:r>
      <w:r w:rsidRPr="00DE2D55">
        <w:rPr>
          <w:rFonts w:cs="Calibri"/>
          <w:i/>
        </w:rPr>
        <w:t>hackers</w:t>
      </w:r>
      <w:r w:rsidRPr="00DE2D55">
        <w:rPr>
          <w:rFonts w:cs="Calibri"/>
        </w:rPr>
        <w:t>) com o objetivo de criar novas soluções e aplicações para o Estado e socidade, com base nos dados abertos.</w:t>
      </w:r>
    </w:p>
    <w:p w:rsidR="00FF726C" w:rsidRPr="00DE2D55" w:rsidRDefault="00FF726C" w:rsidP="00FE560B">
      <w:pPr>
        <w:tabs>
          <w:tab w:val="left" w:pos="0"/>
        </w:tabs>
        <w:ind w:left="720"/>
        <w:jc w:val="both"/>
        <w:rPr>
          <w:rFonts w:cs="Calibri"/>
        </w:rPr>
      </w:pPr>
    </w:p>
    <w:p w:rsidR="004E6765" w:rsidRPr="00DE2D55" w:rsidRDefault="004E6765"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5" w:name="_Toc517282086"/>
      <w:r w:rsidRPr="00DE2D55">
        <w:rPr>
          <w:rFonts w:cs="Calibri"/>
          <w:b/>
        </w:rPr>
        <w:t xml:space="preserve">RISCOS DE EXECUÇÃO </w:t>
      </w:r>
      <w:r w:rsidR="00963F0C" w:rsidRPr="00DE2D55">
        <w:rPr>
          <w:rFonts w:cs="Calibri"/>
          <w:b/>
        </w:rPr>
        <w:t>RE</w:t>
      </w:r>
      <w:r w:rsidRPr="00DE2D55">
        <w:rPr>
          <w:rFonts w:cs="Calibri"/>
          <w:b/>
        </w:rPr>
        <w:t>LACIONADOS AO</w:t>
      </w:r>
      <w:r w:rsidR="00EB6017">
        <w:rPr>
          <w:rFonts w:cs="Calibri"/>
          <w:b/>
        </w:rPr>
        <w:t>S</w:t>
      </w:r>
      <w:r w:rsidRPr="00DE2D55">
        <w:rPr>
          <w:rFonts w:cs="Calibri"/>
          <w:b/>
        </w:rPr>
        <w:t xml:space="preserve"> SUBPRODUTO</w:t>
      </w:r>
      <w:r w:rsidR="00EB6017">
        <w:rPr>
          <w:rFonts w:cs="Calibri"/>
          <w:b/>
        </w:rPr>
        <w:t>S</w:t>
      </w:r>
      <w:bookmarkEnd w:id="65"/>
      <w:r w:rsidRPr="00DE2D55">
        <w:rPr>
          <w:rFonts w:cs="Calibri"/>
          <w:b/>
        </w:rPr>
        <w:t xml:space="preserve"> </w:t>
      </w:r>
    </w:p>
    <w:p w:rsidR="004E6765" w:rsidRPr="00DE2D55" w:rsidRDefault="000A258D" w:rsidP="00FE560B">
      <w:pPr>
        <w:tabs>
          <w:tab w:val="left" w:pos="0"/>
        </w:tabs>
        <w:jc w:val="both"/>
        <w:rPr>
          <w:rFonts w:cs="Calibri"/>
          <w:b/>
        </w:rPr>
      </w:pPr>
      <w:r>
        <w:rPr>
          <w:rFonts w:cs="Calibri"/>
          <w:b/>
        </w:rPr>
        <w:t>5.</w:t>
      </w:r>
      <w:r w:rsidR="004E6765" w:rsidRPr="00DE2D55">
        <w:rPr>
          <w:rFonts w:cs="Calibri"/>
          <w:b/>
        </w:rPr>
        <w:t>6.1 – Novo Modelo de Controle Interno do Estado Implantado</w:t>
      </w:r>
    </w:p>
    <w:p w:rsidR="004E6765" w:rsidRPr="00DE2D55" w:rsidRDefault="000A258D" w:rsidP="00FE560B">
      <w:pPr>
        <w:tabs>
          <w:tab w:val="left" w:pos="0"/>
        </w:tabs>
        <w:jc w:val="both"/>
        <w:rPr>
          <w:rFonts w:cs="Calibri"/>
          <w:b/>
        </w:rPr>
      </w:pPr>
      <w:r>
        <w:rPr>
          <w:rFonts w:cs="Calibri"/>
          <w:b/>
        </w:rPr>
        <w:t>5.</w:t>
      </w:r>
      <w:r w:rsidR="004E6765" w:rsidRPr="00DE2D55">
        <w:rPr>
          <w:rFonts w:cs="Calibri"/>
          <w:b/>
        </w:rPr>
        <w:t xml:space="preserve">6.1.1 – </w:t>
      </w:r>
      <w:r w:rsidR="004E6765" w:rsidRPr="00DE2D55">
        <w:rPr>
          <w:rFonts w:cs="Calibri"/>
          <w:b/>
          <w:bCs/>
        </w:rPr>
        <w:t>Revisão e implantação dos procedimentos de auditoria interna e controle interno, utilizando modelo de gerenciamento de riscos e integridade e sistemas informatizados de apoio à gestão.</w:t>
      </w:r>
    </w:p>
    <w:p w:rsidR="004E6765" w:rsidRPr="00DE2D55" w:rsidRDefault="004E6765" w:rsidP="00FE560B">
      <w:pPr>
        <w:numPr>
          <w:ilvl w:val="0"/>
          <w:numId w:val="49"/>
        </w:numPr>
        <w:tabs>
          <w:tab w:val="left" w:pos="0"/>
        </w:tabs>
        <w:jc w:val="both"/>
        <w:rPr>
          <w:rFonts w:cs="Calibri"/>
        </w:rPr>
      </w:pPr>
      <w:r w:rsidRPr="00DE2D55">
        <w:rPr>
          <w:rFonts w:cs="Calibri"/>
        </w:rPr>
        <w:t>Possível resistência dos gestores dos órgãos e entidades na implantação do modelo</w:t>
      </w:r>
    </w:p>
    <w:p w:rsidR="004E6765" w:rsidRPr="00DE2D55" w:rsidRDefault="004E6765" w:rsidP="00FE560B">
      <w:pPr>
        <w:numPr>
          <w:ilvl w:val="0"/>
          <w:numId w:val="49"/>
        </w:numPr>
        <w:tabs>
          <w:tab w:val="left" w:pos="0"/>
        </w:tabs>
        <w:jc w:val="both"/>
        <w:rPr>
          <w:rFonts w:cs="Calibri"/>
        </w:rPr>
      </w:pPr>
      <w:r w:rsidRPr="00DE2D55">
        <w:rPr>
          <w:rFonts w:cs="Calibri"/>
        </w:rPr>
        <w:t>Possível resistência dos controles internos dos órgãos e entidades</w:t>
      </w:r>
    </w:p>
    <w:p w:rsidR="004E6765" w:rsidRPr="00DE2D55" w:rsidRDefault="004E6765" w:rsidP="00FE560B">
      <w:pPr>
        <w:numPr>
          <w:ilvl w:val="0"/>
          <w:numId w:val="49"/>
        </w:numPr>
        <w:tabs>
          <w:tab w:val="left" w:pos="0"/>
        </w:tabs>
        <w:jc w:val="both"/>
        <w:rPr>
          <w:rFonts w:cs="Calibri"/>
        </w:rPr>
      </w:pPr>
      <w:r w:rsidRPr="00DE2D55">
        <w:rPr>
          <w:rFonts w:cs="Calibri"/>
        </w:rPr>
        <w:t>Oferta reduzida de sistemas de gerenciamento de riscos voltados para a administração pública</w:t>
      </w:r>
    </w:p>
    <w:p w:rsidR="004E6765" w:rsidRPr="00DE2D55" w:rsidRDefault="004E6765" w:rsidP="00FE560B">
      <w:pPr>
        <w:numPr>
          <w:ilvl w:val="0"/>
          <w:numId w:val="49"/>
        </w:numPr>
        <w:tabs>
          <w:tab w:val="left" w:pos="0"/>
        </w:tabs>
        <w:jc w:val="both"/>
        <w:rPr>
          <w:rFonts w:cs="Calibri"/>
        </w:rPr>
      </w:pPr>
      <w:r w:rsidRPr="00DE2D55">
        <w:rPr>
          <w:rFonts w:cs="Calibri"/>
        </w:rPr>
        <w:t>Possível resistência dos auditores do estado para mudanças;</w:t>
      </w:r>
    </w:p>
    <w:p w:rsidR="004E6765" w:rsidRPr="00DE2D55" w:rsidRDefault="004E6765" w:rsidP="00FE560B">
      <w:pPr>
        <w:numPr>
          <w:ilvl w:val="0"/>
          <w:numId w:val="49"/>
        </w:numPr>
        <w:tabs>
          <w:tab w:val="left" w:pos="0"/>
        </w:tabs>
        <w:jc w:val="both"/>
        <w:rPr>
          <w:rFonts w:cs="Calibri"/>
        </w:rPr>
      </w:pPr>
      <w:r w:rsidRPr="00DE2D55">
        <w:rPr>
          <w:rFonts w:cs="Calibri"/>
        </w:rPr>
        <w:t>Limitação no número de servidores em face das demais frentes legais e constitucioinais estabelecidas para a auditoria interna;</w:t>
      </w:r>
    </w:p>
    <w:p w:rsidR="004E6765" w:rsidRPr="00DE2D55" w:rsidRDefault="004E6765" w:rsidP="00FE560B">
      <w:pPr>
        <w:numPr>
          <w:ilvl w:val="0"/>
          <w:numId w:val="49"/>
        </w:numPr>
        <w:tabs>
          <w:tab w:val="left" w:pos="0"/>
        </w:tabs>
        <w:jc w:val="both"/>
        <w:rPr>
          <w:rFonts w:cs="Calibri"/>
        </w:rPr>
      </w:pPr>
      <w:r w:rsidRPr="00DE2D55">
        <w:rPr>
          <w:rFonts w:cs="Calibri"/>
        </w:rPr>
        <w:t>Falta de auditores especialistas em TI.</w:t>
      </w:r>
    </w:p>
    <w:p w:rsidR="004E6765" w:rsidRPr="00DE2D55" w:rsidRDefault="000A258D" w:rsidP="00FE560B">
      <w:pPr>
        <w:tabs>
          <w:tab w:val="left" w:pos="0"/>
        </w:tabs>
        <w:jc w:val="both"/>
        <w:rPr>
          <w:rFonts w:cs="Calibri"/>
          <w:b/>
        </w:rPr>
      </w:pPr>
      <w:r>
        <w:rPr>
          <w:rFonts w:cs="Calibri"/>
          <w:b/>
        </w:rPr>
        <w:t>5.</w:t>
      </w:r>
      <w:r w:rsidR="004E6765" w:rsidRPr="00DE2D55">
        <w:rPr>
          <w:rFonts w:cs="Calibri"/>
          <w:b/>
        </w:rPr>
        <w:t xml:space="preserve">6.1.2 – </w:t>
      </w:r>
      <w:r w:rsidR="004E6765" w:rsidRPr="00DE2D55">
        <w:rPr>
          <w:rFonts w:cs="Calibri"/>
          <w:b/>
          <w:bCs/>
        </w:rPr>
        <w:t>Revisão e implantação de novo modelo de transparência das informações públicas e a revisão e implantação da sistemática de Ouvidoria Geral do Estado.</w:t>
      </w:r>
    </w:p>
    <w:p w:rsidR="004E6765" w:rsidRPr="00DE2D55" w:rsidRDefault="004E6765" w:rsidP="00FE560B">
      <w:pPr>
        <w:numPr>
          <w:ilvl w:val="0"/>
          <w:numId w:val="51"/>
        </w:numPr>
        <w:tabs>
          <w:tab w:val="left" w:pos="0"/>
        </w:tabs>
        <w:jc w:val="both"/>
        <w:rPr>
          <w:rFonts w:cs="Calibri"/>
        </w:rPr>
      </w:pPr>
      <w:r w:rsidRPr="00DE2D55">
        <w:rPr>
          <w:rFonts w:cs="Calibri"/>
        </w:rPr>
        <w:t>Dificuldade na sensibilização da integração das bases de dados de competência dos diversos órgãos;</w:t>
      </w:r>
    </w:p>
    <w:p w:rsidR="004E6765" w:rsidRPr="00DE2D55" w:rsidRDefault="004E6765" w:rsidP="00FE560B">
      <w:pPr>
        <w:numPr>
          <w:ilvl w:val="0"/>
          <w:numId w:val="51"/>
        </w:numPr>
        <w:tabs>
          <w:tab w:val="left" w:pos="0"/>
        </w:tabs>
        <w:jc w:val="both"/>
        <w:rPr>
          <w:rFonts w:cs="Calibri"/>
          <w:b/>
        </w:rPr>
      </w:pPr>
      <w:r w:rsidRPr="00DE2D55">
        <w:rPr>
          <w:rFonts w:cs="Calibri"/>
        </w:rPr>
        <w:t>Restrições no número de servidores envolvidos diretamente no projeto;</w:t>
      </w:r>
    </w:p>
    <w:p w:rsidR="004E6765" w:rsidRPr="00DE2D55" w:rsidRDefault="004E6765" w:rsidP="00FE560B">
      <w:pPr>
        <w:numPr>
          <w:ilvl w:val="0"/>
          <w:numId w:val="51"/>
        </w:numPr>
        <w:tabs>
          <w:tab w:val="left" w:pos="0"/>
        </w:tabs>
        <w:jc w:val="both"/>
        <w:rPr>
          <w:rFonts w:cs="Calibri"/>
        </w:rPr>
      </w:pPr>
      <w:r w:rsidRPr="00DE2D55">
        <w:rPr>
          <w:rFonts w:cs="Calibri"/>
        </w:rPr>
        <w:t>Restrições dos próximos gestores durante o período do projeto em relação ao tema.</w:t>
      </w:r>
      <w:r w:rsidRPr="00DE2D55">
        <w:rPr>
          <w:rFonts w:cs="Calibri"/>
        </w:rPr>
        <w:softHyphen/>
      </w:r>
      <w:r w:rsidRPr="00DE2D55">
        <w:rPr>
          <w:rFonts w:cs="Calibri"/>
        </w:rPr>
        <w:softHyphen/>
      </w:r>
      <w:r w:rsidRPr="00DE2D55">
        <w:rPr>
          <w:rFonts w:cs="Calibri"/>
        </w:rPr>
        <w:softHyphen/>
      </w:r>
      <w:r w:rsidRPr="00DE2D55">
        <w:rPr>
          <w:rFonts w:cs="Calibri"/>
        </w:rPr>
        <w:softHyphen/>
      </w:r>
    </w:p>
    <w:p w:rsidR="004E6765" w:rsidRPr="00DE2D55" w:rsidRDefault="004E6765" w:rsidP="00FE560B">
      <w:pPr>
        <w:tabs>
          <w:tab w:val="left" w:pos="0"/>
        </w:tabs>
        <w:jc w:val="both"/>
        <w:rPr>
          <w:rFonts w:cs="Calibri"/>
          <w:b/>
        </w:rPr>
      </w:pPr>
    </w:p>
    <w:p w:rsidR="00963F0C" w:rsidRPr="00DE2D55" w:rsidRDefault="00963F0C"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6" w:name="_Toc517282087"/>
      <w:r w:rsidRPr="00DE2D55">
        <w:rPr>
          <w:rFonts w:cs="Calibri"/>
          <w:b/>
        </w:rPr>
        <w:t>QUADRO DE CUSTOS DO PRODUTO POR TIPO DE INVESTIMENTO</w:t>
      </w:r>
      <w:bookmarkEnd w:id="66"/>
    </w:p>
    <w:tbl>
      <w:tblPr>
        <w:tblW w:w="9513" w:type="dxa"/>
        <w:tblInd w:w="55" w:type="dxa"/>
        <w:tblCellMar>
          <w:left w:w="70" w:type="dxa"/>
          <w:right w:w="70" w:type="dxa"/>
        </w:tblCellMar>
        <w:tblLook w:val="04A0" w:firstRow="1" w:lastRow="0" w:firstColumn="1" w:lastColumn="0" w:noHBand="0" w:noVBand="1"/>
      </w:tblPr>
      <w:tblGrid>
        <w:gridCol w:w="598"/>
        <w:gridCol w:w="3833"/>
        <w:gridCol w:w="992"/>
        <w:gridCol w:w="1310"/>
        <w:gridCol w:w="1417"/>
        <w:gridCol w:w="1418"/>
      </w:tblGrid>
      <w:tr w:rsidR="004E6765" w:rsidRPr="00DE2D55" w:rsidTr="000A258D">
        <w:trPr>
          <w:trHeight w:val="255"/>
        </w:trPr>
        <w:tc>
          <w:tcPr>
            <w:tcW w:w="577" w:type="dxa"/>
            <w:tcBorders>
              <w:top w:val="single" w:sz="4" w:space="0" w:color="auto"/>
              <w:left w:val="single" w:sz="4" w:space="0" w:color="auto"/>
              <w:bottom w:val="single" w:sz="4" w:space="0" w:color="000000"/>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pPr>
            <w:r w:rsidRPr="00DE2D55">
              <w:t> </w:t>
            </w:r>
          </w:p>
        </w:tc>
        <w:tc>
          <w:tcPr>
            <w:tcW w:w="3833"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CAPACITAÇÃO</w:t>
            </w:r>
          </w:p>
        </w:tc>
        <w:tc>
          <w:tcPr>
            <w:tcW w:w="992"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276"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417"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R$                2.787.515,60 </w:t>
            </w:r>
          </w:p>
        </w:tc>
        <w:tc>
          <w:tcPr>
            <w:tcW w:w="1418"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USD                796.433,03 </w:t>
            </w:r>
          </w:p>
        </w:tc>
      </w:tr>
      <w:tr w:rsidR="004E6765" w:rsidRPr="00DE2D55" w:rsidTr="000A258D">
        <w:trPr>
          <w:trHeight w:val="270"/>
        </w:trPr>
        <w:tc>
          <w:tcPr>
            <w:tcW w:w="577" w:type="dxa"/>
            <w:tcBorders>
              <w:top w:val="nil"/>
              <w:left w:val="single" w:sz="4" w:space="0" w:color="auto"/>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SubP</w:t>
            </w:r>
          </w:p>
        </w:tc>
        <w:tc>
          <w:tcPr>
            <w:tcW w:w="3833" w:type="dxa"/>
            <w:tcBorders>
              <w:top w:val="nil"/>
              <w:left w:val="nil"/>
              <w:bottom w:val="nil"/>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DESCRIÇÃO</w:t>
            </w:r>
          </w:p>
        </w:tc>
        <w:tc>
          <w:tcPr>
            <w:tcW w:w="992" w:type="dxa"/>
            <w:tcBorders>
              <w:top w:val="nil"/>
              <w:left w:val="single" w:sz="4" w:space="0" w:color="000000"/>
              <w:bottom w:val="nil"/>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QT PART.</w:t>
            </w:r>
          </w:p>
        </w:tc>
        <w:tc>
          <w:tcPr>
            <w:tcW w:w="1276" w:type="dxa"/>
            <w:tcBorders>
              <w:top w:val="nil"/>
              <w:left w:val="nil"/>
              <w:bottom w:val="nil"/>
              <w:right w:val="nil"/>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VALOR UNIT. (R$)</w:t>
            </w:r>
          </w:p>
        </w:tc>
        <w:tc>
          <w:tcPr>
            <w:tcW w:w="1417" w:type="dxa"/>
            <w:tcBorders>
              <w:top w:val="nil"/>
              <w:left w:val="single" w:sz="4" w:space="0" w:color="000000"/>
              <w:bottom w:val="single" w:sz="4" w:space="0" w:color="000000"/>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(R$) </w:t>
            </w:r>
          </w:p>
        </w:tc>
        <w:tc>
          <w:tcPr>
            <w:tcW w:w="1418" w:type="dxa"/>
            <w:tcBorders>
              <w:top w:val="nil"/>
              <w:left w:val="nil"/>
              <w:bottom w:val="single" w:sz="4" w:space="0" w:color="000000"/>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(USD)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single" w:sz="8" w:space="0" w:color="000000"/>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Três Linhas de Defesa</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160.000,00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45.714,29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ERM</w:t>
            </w:r>
          </w:p>
        </w:tc>
        <w:tc>
          <w:tcPr>
            <w:tcW w:w="992"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1.920,00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153.600,00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43.885,71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COSO</w:t>
            </w:r>
          </w:p>
        </w:tc>
        <w:tc>
          <w:tcPr>
            <w:tcW w:w="992"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4.000,00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320.000,00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91.428,57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AUDIT I (Ênfase em Órgãos Públicos)</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2.560,00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204.800,00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58.514,29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AUDIT II (Ênfase em Órgãos Públicos)</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2.720,00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217.600,00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62.171,43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AUDIT TI</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12</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2.560,00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30.720,00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8.777,14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REPORT</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1.120,00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89.600,00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25.600,00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AAC – Autoavaliação de Controles (Control Self-Assessment)</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20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1.152,00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23.040,00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6.582,86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lang w:val="en-US"/>
              </w:rPr>
            </w:pPr>
            <w:r w:rsidRPr="00DE2D55">
              <w:rPr>
                <w:color w:val="000000"/>
                <w:lang w:val="en-US"/>
              </w:rPr>
              <w:t>Tools and Techniques – Nível Avançado</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20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1.800,00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36.000,00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10.285,71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rPr>
            </w:pPr>
            <w:r w:rsidRPr="00DE2D55">
              <w:rPr>
                <w:i/>
                <w:iCs/>
                <w:color w:val="000000"/>
              </w:rPr>
              <w:t>Formação Analista Data Warehouse</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3.800,00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19.000,00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5.428,57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rPr>
            </w:pPr>
            <w:r w:rsidRPr="00DE2D55">
              <w:rPr>
                <w:i/>
                <w:iCs/>
                <w:color w:val="000000"/>
              </w:rPr>
              <w:t>Academia Data Science</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5.000,00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25.000,00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7.142,86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lang w:val="en-US"/>
              </w:rPr>
            </w:pPr>
            <w:r w:rsidRPr="00DE2D55">
              <w:rPr>
                <w:i/>
                <w:iCs/>
                <w:color w:val="000000"/>
                <w:lang w:val="en-US"/>
              </w:rPr>
              <w:t>SAS: Creating Business Intelligence for Your Organization: Fast Track</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12.800,00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64.000,00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18.285,71 </w:t>
            </w:r>
          </w:p>
        </w:tc>
      </w:tr>
      <w:tr w:rsidR="004E6765" w:rsidRPr="00DE2D55" w:rsidTr="000A258D">
        <w:trPr>
          <w:trHeight w:val="270"/>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lang w:val="en-US"/>
              </w:rPr>
            </w:pPr>
            <w:r w:rsidRPr="00DE2D55">
              <w:rPr>
                <w:i/>
                <w:iCs/>
                <w:color w:val="000000"/>
                <w:lang w:val="en-US"/>
              </w:rPr>
              <w:t>SAS Business Intelligence Reporting: Fast Track</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8.320,00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41.600,00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11.885,71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lang w:val="en-US"/>
              </w:rPr>
            </w:pPr>
            <w:r w:rsidRPr="00DE2D55">
              <w:rPr>
                <w:i/>
                <w:iCs/>
                <w:color w:val="000000"/>
                <w:lang w:val="en-US"/>
              </w:rPr>
              <w:t>Applied Analytics Using SAS Enterprise Miner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4.119,12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20.595,60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5.884,46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1 – </w:t>
            </w:r>
            <w:r w:rsidRPr="00DE2D55">
              <w:rPr>
                <w:i/>
                <w:iCs/>
                <w:color w:val="000000"/>
              </w:rPr>
              <w:t>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2.944,00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117.760,00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33.645,71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2 – </w:t>
            </w:r>
            <w:r w:rsidRPr="00DE2D55">
              <w:rPr>
                <w:i/>
                <w:iCs/>
                <w:color w:val="000000"/>
              </w:rPr>
              <w:t>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2.944,00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117.760,00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33.645,71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3 </w:t>
            </w:r>
            <w:r w:rsidRPr="00DE2D55">
              <w:rPr>
                <w:i/>
                <w:iCs/>
                <w:color w:val="000000"/>
              </w:rPr>
              <w:t>– 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2.944,00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117.760,00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33.645,71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lang w:val="en-US"/>
              </w:rPr>
            </w:pPr>
            <w:r w:rsidRPr="00DE2D55">
              <w:rPr>
                <w:color w:val="000000"/>
                <w:lang w:val="en-US"/>
              </w:rPr>
              <w:t xml:space="preserve">CCSA - </w:t>
            </w:r>
            <w:r w:rsidRPr="00DE2D55">
              <w:rPr>
                <w:i/>
                <w:iCs/>
                <w:color w:val="000000"/>
                <w:lang w:val="en-US"/>
              </w:rPr>
              <w:t>Certification Control Self-Assessment</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1.872,00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74.880,00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21.394,29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Treinamento - Sistema de Automação de Auditoria</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80</w:t>
            </w:r>
          </w:p>
        </w:tc>
        <w:tc>
          <w:tcPr>
            <w:tcW w:w="1276"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3.000,00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240.000,00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68.571,43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1 </w:t>
            </w:r>
            <w:r w:rsidRPr="00DE2D55">
              <w:rPr>
                <w:i/>
                <w:iCs/>
                <w:color w:val="000000"/>
              </w:rPr>
              <w:t>– 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1.500,00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60.000,00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17.142,86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2 – </w:t>
            </w:r>
            <w:r w:rsidRPr="00DE2D55">
              <w:rPr>
                <w:i/>
                <w:iCs/>
                <w:color w:val="000000"/>
              </w:rPr>
              <w:t>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1.500,00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60.000,00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17.142,86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CIA 3 – </w:t>
            </w:r>
            <w:r w:rsidRPr="00DE2D55">
              <w:rPr>
                <w:i/>
                <w:iCs/>
                <w:color w:val="000000"/>
              </w:rPr>
              <w:t>Certified Internal Auditor</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1.500,00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60.000,00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17.142,86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lang w:val="en-US"/>
              </w:rPr>
            </w:pPr>
            <w:r w:rsidRPr="00DE2D55">
              <w:rPr>
                <w:color w:val="000000"/>
                <w:lang w:val="en-US"/>
              </w:rPr>
              <w:t xml:space="preserve">CCSA - </w:t>
            </w:r>
            <w:r w:rsidRPr="00DE2D55">
              <w:rPr>
                <w:i/>
                <w:iCs/>
                <w:color w:val="000000"/>
                <w:lang w:val="en-US"/>
              </w:rPr>
              <w:t>Certification Control Self-Assessment</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20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2.000,00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40.000,00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11.428,57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lang w:val="en-US"/>
              </w:rPr>
            </w:pPr>
            <w:r w:rsidRPr="00DE2D55">
              <w:rPr>
                <w:color w:val="000000"/>
                <w:lang w:val="en-US"/>
              </w:rPr>
              <w:t xml:space="preserve">CGAP – </w:t>
            </w:r>
            <w:r w:rsidRPr="00DE2D55">
              <w:rPr>
                <w:i/>
                <w:iCs/>
                <w:color w:val="000000"/>
                <w:lang w:val="en-US"/>
              </w:rPr>
              <w:t>Certified Government Auditing Professional</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2.000,00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80.000,00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22.857,14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lang w:val="en-US"/>
              </w:rPr>
            </w:pPr>
            <w:r w:rsidRPr="00DE2D55">
              <w:rPr>
                <w:color w:val="000000"/>
                <w:lang w:val="en-US"/>
              </w:rPr>
              <w:t xml:space="preserve">CRMA – </w:t>
            </w:r>
            <w:r w:rsidRPr="00DE2D55">
              <w:rPr>
                <w:i/>
                <w:iCs/>
                <w:color w:val="000000"/>
                <w:lang w:val="en-US"/>
              </w:rPr>
              <w:t>Certification in Risk Management Assurance</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40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2.000,00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80.000,00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22.857,14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Visitas técnicas</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6</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3.300,00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19.800,00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5.657,14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rPr>
            </w:pPr>
            <w:r w:rsidRPr="00DE2D55">
              <w:rPr>
                <w:i/>
                <w:iCs/>
                <w:color w:val="000000"/>
              </w:rPr>
              <w:t xml:space="preserve">Workshops </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60.000,00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120.000,00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34.285,71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Visitas técnicas</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5</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3.300,00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16.500,00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4.714,29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Visitas técnicas</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15</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3.300,00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49.500,00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14.142,86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lang w:val="en-US"/>
              </w:rPr>
            </w:pPr>
            <w:r w:rsidRPr="00DE2D55">
              <w:rPr>
                <w:i/>
                <w:iCs/>
                <w:color w:val="000000"/>
                <w:lang w:val="en-US"/>
              </w:rPr>
              <w:t>BID – APEX – Brazil Investment Forum 2019 (BIF)</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32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32.000,00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Conferência Latino Americana de Investimentos – Apex BID 2019 </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32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32.000,00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i/>
                <w:iCs/>
                <w:color w:val="000000"/>
                <w:lang w:val="en-US"/>
              </w:rPr>
            </w:pPr>
            <w:r w:rsidRPr="00DE2D55">
              <w:rPr>
                <w:i/>
                <w:iCs/>
                <w:color w:val="000000"/>
                <w:lang w:val="en-US"/>
              </w:rPr>
              <w:t xml:space="preserve">BID – APEX – Brazil Investment Forum 2020 </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32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32.000,00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Conferência Latino Americana de Investimentos – Apex BID 2020</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32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32.000,00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9.142,86 </w:t>
            </w:r>
          </w:p>
        </w:tc>
      </w:tr>
      <w:tr w:rsidR="004E6765" w:rsidRPr="00DE2D55" w:rsidTr="000A258D">
        <w:trPr>
          <w:trHeight w:val="300"/>
        </w:trPr>
        <w:tc>
          <w:tcPr>
            <w:tcW w:w="577" w:type="dxa"/>
            <w:tcBorders>
              <w:top w:val="single" w:sz="4" w:space="0" w:color="000000"/>
              <w:left w:val="single" w:sz="4" w:space="0" w:color="auto"/>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pPr>
            <w:r w:rsidRPr="00DE2D55">
              <w:t> </w:t>
            </w:r>
          </w:p>
        </w:tc>
        <w:tc>
          <w:tcPr>
            <w:tcW w:w="3833"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SERVIÇOS DE CONSULTORIA</w:t>
            </w:r>
          </w:p>
        </w:tc>
        <w:tc>
          <w:tcPr>
            <w:tcW w:w="992"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276"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R$                1.438.000,00 </w:t>
            </w:r>
          </w:p>
        </w:tc>
        <w:tc>
          <w:tcPr>
            <w:tcW w:w="1418" w:type="dxa"/>
            <w:tcBorders>
              <w:top w:val="nil"/>
              <w:left w:val="nil"/>
              <w:bottom w:val="single" w:sz="4" w:space="0" w:color="000000"/>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USD                410.857,14 </w:t>
            </w:r>
          </w:p>
        </w:tc>
      </w:tr>
      <w:tr w:rsidR="004E6765" w:rsidRPr="00DE2D55" w:rsidTr="000A258D">
        <w:trPr>
          <w:trHeight w:val="315"/>
        </w:trPr>
        <w:tc>
          <w:tcPr>
            <w:tcW w:w="577" w:type="dxa"/>
            <w:tcBorders>
              <w:top w:val="nil"/>
              <w:left w:val="single" w:sz="4" w:space="0" w:color="auto"/>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SubP</w:t>
            </w:r>
          </w:p>
        </w:tc>
        <w:tc>
          <w:tcPr>
            <w:tcW w:w="3833" w:type="dxa"/>
            <w:tcBorders>
              <w:top w:val="nil"/>
              <w:left w:val="nil"/>
              <w:bottom w:val="nil"/>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ÁREA</w:t>
            </w:r>
          </w:p>
        </w:tc>
        <w:tc>
          <w:tcPr>
            <w:tcW w:w="992" w:type="dxa"/>
            <w:tcBorders>
              <w:top w:val="nil"/>
              <w:left w:val="single" w:sz="4" w:space="0" w:color="000000"/>
              <w:bottom w:val="nil"/>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QT HS / DIAS</w:t>
            </w:r>
          </w:p>
        </w:tc>
        <w:tc>
          <w:tcPr>
            <w:tcW w:w="1276" w:type="dxa"/>
            <w:tcBorders>
              <w:top w:val="nil"/>
              <w:left w:val="nil"/>
              <w:bottom w:val="nil"/>
              <w:right w:val="nil"/>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VALOR UNIT. (R$)</w:t>
            </w:r>
          </w:p>
        </w:tc>
        <w:tc>
          <w:tcPr>
            <w:tcW w:w="1417" w:type="dxa"/>
            <w:tcBorders>
              <w:top w:val="nil"/>
              <w:left w:val="single" w:sz="4" w:space="0" w:color="000000"/>
              <w:bottom w:val="single" w:sz="4" w:space="0" w:color="000000"/>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(R$) </w:t>
            </w:r>
          </w:p>
        </w:tc>
        <w:tc>
          <w:tcPr>
            <w:tcW w:w="1418" w:type="dxa"/>
            <w:tcBorders>
              <w:top w:val="nil"/>
              <w:left w:val="nil"/>
              <w:bottom w:val="single" w:sz="4" w:space="0" w:color="000000"/>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(USD)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single" w:sz="8" w:space="0" w:color="000000"/>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em TI</w:t>
            </w:r>
          </w:p>
        </w:tc>
        <w:tc>
          <w:tcPr>
            <w:tcW w:w="992" w:type="dxa"/>
            <w:tcBorders>
              <w:top w:val="single" w:sz="8" w:space="0" w:color="000000"/>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952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 190.400,00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 54.400,00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em TI</w:t>
            </w:r>
          </w:p>
        </w:tc>
        <w:tc>
          <w:tcPr>
            <w:tcW w:w="992" w:type="dxa"/>
            <w:tcBorders>
              <w:top w:val="nil"/>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1.587</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317.400,00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90.685,71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em TI</w:t>
            </w:r>
          </w:p>
        </w:tc>
        <w:tc>
          <w:tcPr>
            <w:tcW w:w="992" w:type="dxa"/>
            <w:tcBorders>
              <w:top w:val="nil"/>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2.539</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507.800,00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145.085,71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em TI</w:t>
            </w:r>
          </w:p>
        </w:tc>
        <w:tc>
          <w:tcPr>
            <w:tcW w:w="992" w:type="dxa"/>
            <w:tcBorders>
              <w:top w:val="nil"/>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1.270</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254.000,00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72.571,43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de gestão</w:t>
            </w:r>
          </w:p>
        </w:tc>
        <w:tc>
          <w:tcPr>
            <w:tcW w:w="992" w:type="dxa"/>
            <w:tcBorders>
              <w:top w:val="nil"/>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792</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158.400,00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45.257,14 </w:t>
            </w:r>
          </w:p>
        </w:tc>
      </w:tr>
      <w:tr w:rsidR="004E6765" w:rsidRPr="00DE2D55" w:rsidTr="000A258D">
        <w:trPr>
          <w:trHeight w:val="52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Consultoria para Análise, modelagem e automação dos processos Comunicação</w:t>
            </w:r>
          </w:p>
        </w:tc>
        <w:tc>
          <w:tcPr>
            <w:tcW w:w="992" w:type="dxa"/>
            <w:tcBorders>
              <w:top w:val="nil"/>
              <w:left w:val="nil"/>
              <w:bottom w:val="single" w:sz="8" w:space="0" w:color="000000"/>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10.000,00 </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10.000,00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2.857,14 </w:t>
            </w:r>
          </w:p>
        </w:tc>
      </w:tr>
      <w:tr w:rsidR="004E6765" w:rsidRPr="00DE2D55" w:rsidTr="000A258D">
        <w:trPr>
          <w:trHeight w:val="300"/>
        </w:trPr>
        <w:tc>
          <w:tcPr>
            <w:tcW w:w="577" w:type="dxa"/>
            <w:tcBorders>
              <w:top w:val="single" w:sz="4" w:space="0" w:color="000000"/>
              <w:left w:val="single" w:sz="4" w:space="0" w:color="auto"/>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pPr>
            <w:r w:rsidRPr="00DE2D55">
              <w:t> </w:t>
            </w:r>
          </w:p>
        </w:tc>
        <w:tc>
          <w:tcPr>
            <w:tcW w:w="3833"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BENS</w:t>
            </w:r>
          </w:p>
        </w:tc>
        <w:tc>
          <w:tcPr>
            <w:tcW w:w="992"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276" w:type="dxa"/>
            <w:tcBorders>
              <w:top w:val="single" w:sz="4" w:space="0" w:color="000000"/>
              <w:left w:val="nil"/>
              <w:bottom w:val="single" w:sz="4" w:space="0" w:color="000000"/>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R$                3.500.000,00 </w:t>
            </w:r>
          </w:p>
        </w:tc>
        <w:tc>
          <w:tcPr>
            <w:tcW w:w="1418" w:type="dxa"/>
            <w:tcBorders>
              <w:top w:val="nil"/>
              <w:left w:val="nil"/>
              <w:bottom w:val="single" w:sz="4" w:space="0" w:color="000000"/>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USD             1.000.000,00 </w:t>
            </w:r>
          </w:p>
        </w:tc>
      </w:tr>
      <w:tr w:rsidR="004E6765" w:rsidRPr="00DE2D55" w:rsidTr="000A258D">
        <w:trPr>
          <w:trHeight w:val="315"/>
        </w:trPr>
        <w:tc>
          <w:tcPr>
            <w:tcW w:w="577" w:type="dxa"/>
            <w:tcBorders>
              <w:top w:val="nil"/>
              <w:left w:val="single" w:sz="4" w:space="0" w:color="auto"/>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SubP</w:t>
            </w:r>
          </w:p>
        </w:tc>
        <w:tc>
          <w:tcPr>
            <w:tcW w:w="3833" w:type="dxa"/>
            <w:tcBorders>
              <w:top w:val="nil"/>
              <w:left w:val="nil"/>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ESPECIFICAÇÃO TÉCNICA</w:t>
            </w:r>
          </w:p>
        </w:tc>
        <w:tc>
          <w:tcPr>
            <w:tcW w:w="992" w:type="dxa"/>
            <w:tcBorders>
              <w:top w:val="nil"/>
              <w:left w:val="nil"/>
              <w:bottom w:val="nil"/>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QT </w:t>
            </w:r>
          </w:p>
        </w:tc>
        <w:tc>
          <w:tcPr>
            <w:tcW w:w="1276" w:type="dxa"/>
            <w:tcBorders>
              <w:top w:val="nil"/>
              <w:left w:val="nil"/>
              <w:bottom w:val="nil"/>
              <w:right w:val="nil"/>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VALOR UNIT. (R$)</w:t>
            </w:r>
          </w:p>
        </w:tc>
        <w:tc>
          <w:tcPr>
            <w:tcW w:w="1417" w:type="dxa"/>
            <w:tcBorders>
              <w:top w:val="nil"/>
              <w:left w:val="single" w:sz="4" w:space="0" w:color="000000"/>
              <w:bottom w:val="single" w:sz="4" w:space="0" w:color="000000"/>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(R$) </w:t>
            </w:r>
          </w:p>
        </w:tc>
        <w:tc>
          <w:tcPr>
            <w:tcW w:w="1418" w:type="dxa"/>
            <w:tcBorders>
              <w:top w:val="nil"/>
              <w:left w:val="nil"/>
              <w:bottom w:val="single" w:sz="4" w:space="0" w:color="000000"/>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(USD)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single" w:sz="8" w:space="0" w:color="000000"/>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Sistema de Automação de Auditoria</w:t>
            </w:r>
          </w:p>
        </w:tc>
        <w:tc>
          <w:tcPr>
            <w:tcW w:w="992" w:type="dxa"/>
            <w:tcBorders>
              <w:top w:val="single" w:sz="8" w:space="0" w:color="000000"/>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3.000.000,00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3.000.000,00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857.142,86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1.6.1</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Infraestrutura Tecnológica (Sistema de Automação de Auditoria)</w:t>
            </w:r>
          </w:p>
        </w:tc>
        <w:tc>
          <w:tcPr>
            <w:tcW w:w="992"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center"/>
              <w:rPr>
                <w:color w:val="000000"/>
              </w:rPr>
            </w:pPr>
            <w:r w:rsidRPr="00DE2D55">
              <w:rPr>
                <w:color w:val="000000"/>
              </w:rPr>
              <w:t>1</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500.000,00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500.000,00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142.857,14 </w:t>
            </w:r>
          </w:p>
        </w:tc>
      </w:tr>
      <w:tr w:rsidR="004E6765" w:rsidRPr="00DE2D55" w:rsidTr="000A258D">
        <w:trPr>
          <w:trHeight w:val="300"/>
        </w:trPr>
        <w:tc>
          <w:tcPr>
            <w:tcW w:w="577" w:type="dxa"/>
            <w:tcBorders>
              <w:top w:val="nil"/>
              <w:left w:val="single" w:sz="4" w:space="0" w:color="auto"/>
              <w:bottom w:val="single" w:sz="4" w:space="0" w:color="auto"/>
              <w:right w:val="nil"/>
            </w:tcBorders>
            <w:shd w:val="clear" w:color="auto" w:fill="D6E3BC"/>
            <w:noWrap/>
            <w:vAlign w:val="center"/>
            <w:hideMark/>
          </w:tcPr>
          <w:p w:rsidR="004E6765" w:rsidRPr="00DE2D55" w:rsidRDefault="004E6765" w:rsidP="00FE560B">
            <w:pPr>
              <w:tabs>
                <w:tab w:val="left" w:pos="0"/>
              </w:tabs>
              <w:spacing w:line="240" w:lineRule="auto"/>
              <w:jc w:val="both"/>
            </w:pPr>
            <w:r w:rsidRPr="00DE2D55">
              <w:t> </w:t>
            </w:r>
          </w:p>
        </w:tc>
        <w:tc>
          <w:tcPr>
            <w:tcW w:w="3833" w:type="dxa"/>
            <w:tcBorders>
              <w:top w:val="nil"/>
              <w:left w:val="nil"/>
              <w:bottom w:val="single" w:sz="4" w:space="0" w:color="auto"/>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SERVIÇOS QUE NÃO SÃO DE CONSULTORIA</w:t>
            </w:r>
          </w:p>
        </w:tc>
        <w:tc>
          <w:tcPr>
            <w:tcW w:w="992" w:type="dxa"/>
            <w:tcBorders>
              <w:top w:val="nil"/>
              <w:left w:val="nil"/>
              <w:bottom w:val="single" w:sz="4" w:space="0" w:color="auto"/>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276" w:type="dxa"/>
            <w:tcBorders>
              <w:top w:val="nil"/>
              <w:left w:val="nil"/>
              <w:bottom w:val="single" w:sz="4" w:space="0" w:color="auto"/>
              <w:right w:val="nil"/>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w:t>
            </w:r>
          </w:p>
        </w:tc>
        <w:tc>
          <w:tcPr>
            <w:tcW w:w="1417" w:type="dxa"/>
            <w:tcBorders>
              <w:top w:val="nil"/>
              <w:left w:val="single" w:sz="4" w:space="0" w:color="000000"/>
              <w:bottom w:val="single" w:sz="4" w:space="0" w:color="000000"/>
              <w:right w:val="single" w:sz="4" w:space="0" w:color="000000"/>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R$                   130.000,00 </w:t>
            </w:r>
          </w:p>
        </w:tc>
        <w:tc>
          <w:tcPr>
            <w:tcW w:w="1418" w:type="dxa"/>
            <w:tcBorders>
              <w:top w:val="nil"/>
              <w:left w:val="nil"/>
              <w:bottom w:val="single" w:sz="4" w:space="0" w:color="000000"/>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 xml:space="preserve"> USD                   37.142,86 </w:t>
            </w:r>
          </w:p>
        </w:tc>
      </w:tr>
      <w:tr w:rsidR="004E6765" w:rsidRPr="00DE2D55" w:rsidTr="000A258D">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SubP</w:t>
            </w:r>
          </w:p>
        </w:tc>
        <w:tc>
          <w:tcPr>
            <w:tcW w:w="3833"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4E6765" w:rsidRPr="00DE2D55" w:rsidRDefault="004E6765" w:rsidP="00FE560B">
            <w:pPr>
              <w:tabs>
                <w:tab w:val="left" w:pos="0"/>
              </w:tabs>
              <w:spacing w:line="240" w:lineRule="auto"/>
              <w:jc w:val="both"/>
              <w:rPr>
                <w:b/>
                <w:bCs/>
              </w:rPr>
            </w:pPr>
            <w:r w:rsidRPr="00DE2D55">
              <w:rPr>
                <w:b/>
                <w:bCs/>
              </w:rPr>
              <w:t>ÁREA</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QT HS / DIAS</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VALOR UNIT. (R$)</w:t>
            </w:r>
          </w:p>
        </w:tc>
        <w:tc>
          <w:tcPr>
            <w:tcW w:w="1417" w:type="dxa"/>
            <w:tcBorders>
              <w:top w:val="nil"/>
              <w:left w:val="single" w:sz="4" w:space="0" w:color="auto"/>
              <w:bottom w:val="single" w:sz="4" w:space="0" w:color="000000"/>
              <w:right w:val="single" w:sz="4" w:space="0" w:color="000000"/>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(R$) </w:t>
            </w:r>
          </w:p>
        </w:tc>
        <w:tc>
          <w:tcPr>
            <w:tcW w:w="1418" w:type="dxa"/>
            <w:tcBorders>
              <w:top w:val="nil"/>
              <w:left w:val="nil"/>
              <w:bottom w:val="single" w:sz="4" w:space="0" w:color="000000"/>
              <w:right w:val="single" w:sz="4" w:space="0" w:color="auto"/>
            </w:tcBorders>
            <w:shd w:val="clear" w:color="auto" w:fill="D6E3BC"/>
            <w:vAlign w:val="center"/>
            <w:hideMark/>
          </w:tcPr>
          <w:p w:rsidR="004E6765" w:rsidRPr="00DE2D55" w:rsidRDefault="004E6765" w:rsidP="00FE560B">
            <w:pPr>
              <w:tabs>
                <w:tab w:val="left" w:pos="0"/>
              </w:tabs>
              <w:spacing w:line="240" w:lineRule="auto"/>
              <w:jc w:val="both"/>
              <w:rPr>
                <w:b/>
                <w:bCs/>
              </w:rPr>
            </w:pPr>
            <w:r w:rsidRPr="00DE2D55">
              <w:rPr>
                <w:b/>
                <w:bCs/>
              </w:rPr>
              <w:t xml:space="preserve">VALOR TOTAL (USD) </w:t>
            </w:r>
          </w:p>
        </w:tc>
      </w:tr>
      <w:tr w:rsidR="004E6765" w:rsidRPr="00DE2D55" w:rsidTr="000A258D">
        <w:trPr>
          <w:trHeight w:val="315"/>
        </w:trPr>
        <w:tc>
          <w:tcPr>
            <w:tcW w:w="577" w:type="dxa"/>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single" w:sz="4" w:space="0" w:color="auto"/>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 xml:space="preserve">Plano de Comunicação  </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1</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80.000,00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80.000,00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22.857,14 </w:t>
            </w:r>
          </w:p>
        </w:tc>
      </w:tr>
      <w:tr w:rsidR="004E6765" w:rsidRPr="00DE2D55" w:rsidTr="000A258D">
        <w:trPr>
          <w:trHeight w:val="315"/>
        </w:trPr>
        <w:tc>
          <w:tcPr>
            <w:tcW w:w="577" w:type="dxa"/>
            <w:tcBorders>
              <w:top w:val="nil"/>
              <w:left w:val="single" w:sz="4" w:space="0" w:color="auto"/>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8" w:space="0" w:color="000000"/>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Seminários de divulgação</w:t>
            </w:r>
          </w:p>
        </w:tc>
        <w:tc>
          <w:tcPr>
            <w:tcW w:w="992" w:type="dxa"/>
            <w:tcBorders>
              <w:top w:val="nil"/>
              <w:left w:val="nil"/>
              <w:bottom w:val="single" w:sz="8"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3</w:t>
            </w:r>
          </w:p>
        </w:tc>
        <w:tc>
          <w:tcPr>
            <w:tcW w:w="1276" w:type="dxa"/>
            <w:tcBorders>
              <w:top w:val="nil"/>
              <w:left w:val="nil"/>
              <w:bottom w:val="single" w:sz="8"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10.000,00</w:t>
            </w:r>
          </w:p>
        </w:tc>
        <w:tc>
          <w:tcPr>
            <w:tcW w:w="1417" w:type="dxa"/>
            <w:tcBorders>
              <w:top w:val="nil"/>
              <w:left w:val="nil"/>
              <w:bottom w:val="single" w:sz="8" w:space="0" w:color="000000"/>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30.000,00 </w:t>
            </w:r>
          </w:p>
        </w:tc>
        <w:tc>
          <w:tcPr>
            <w:tcW w:w="1418" w:type="dxa"/>
            <w:tcBorders>
              <w:top w:val="nil"/>
              <w:left w:val="single" w:sz="4" w:space="0" w:color="000000"/>
              <w:bottom w:val="single" w:sz="4" w:space="0" w:color="000000"/>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8.571,43 </w:t>
            </w:r>
          </w:p>
        </w:tc>
      </w:tr>
      <w:tr w:rsidR="004E6765" w:rsidRPr="00DE2D55" w:rsidTr="000A258D">
        <w:trPr>
          <w:trHeight w:val="315"/>
        </w:trPr>
        <w:tc>
          <w:tcPr>
            <w:tcW w:w="577" w:type="dxa"/>
            <w:tcBorders>
              <w:top w:val="nil"/>
              <w:left w:val="single" w:sz="4" w:space="0" w:color="auto"/>
              <w:bottom w:val="single" w:sz="4" w:space="0" w:color="auto"/>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both"/>
              <w:rPr>
                <w:color w:val="000000"/>
              </w:rPr>
            </w:pPr>
            <w:r w:rsidRPr="00DE2D55">
              <w:rPr>
                <w:color w:val="000000"/>
              </w:rPr>
              <w:t>1.6.2</w:t>
            </w:r>
          </w:p>
        </w:tc>
        <w:tc>
          <w:tcPr>
            <w:tcW w:w="3833" w:type="dxa"/>
            <w:tcBorders>
              <w:top w:val="nil"/>
              <w:left w:val="nil"/>
              <w:bottom w:val="single" w:sz="4" w:space="0" w:color="auto"/>
              <w:right w:val="single" w:sz="8" w:space="0" w:color="000000"/>
            </w:tcBorders>
            <w:shd w:val="clear" w:color="auto" w:fill="auto"/>
            <w:vAlign w:val="center"/>
            <w:hideMark/>
          </w:tcPr>
          <w:p w:rsidR="004E6765" w:rsidRPr="00DE2D55" w:rsidRDefault="004E6765" w:rsidP="00FE560B">
            <w:pPr>
              <w:tabs>
                <w:tab w:val="left" w:pos="0"/>
              </w:tabs>
              <w:spacing w:line="240" w:lineRule="auto"/>
              <w:jc w:val="both"/>
              <w:rPr>
                <w:color w:val="000000"/>
              </w:rPr>
            </w:pPr>
            <w:r w:rsidRPr="00DE2D55">
              <w:rPr>
                <w:color w:val="000000"/>
              </w:rPr>
              <w:t>Remodelar Portal da Transparência</w:t>
            </w:r>
          </w:p>
        </w:tc>
        <w:tc>
          <w:tcPr>
            <w:tcW w:w="992" w:type="dxa"/>
            <w:tcBorders>
              <w:top w:val="nil"/>
              <w:left w:val="nil"/>
              <w:bottom w:val="single" w:sz="4" w:space="0" w:color="auto"/>
              <w:right w:val="single" w:sz="8" w:space="0" w:color="auto"/>
            </w:tcBorders>
            <w:shd w:val="clear" w:color="auto" w:fill="auto"/>
            <w:vAlign w:val="center"/>
            <w:hideMark/>
          </w:tcPr>
          <w:p w:rsidR="004E6765" w:rsidRPr="00DE2D55" w:rsidRDefault="004E6765" w:rsidP="00FE560B">
            <w:pPr>
              <w:tabs>
                <w:tab w:val="left" w:pos="0"/>
              </w:tabs>
              <w:spacing w:line="240" w:lineRule="auto"/>
              <w:jc w:val="center"/>
              <w:rPr>
                <w:color w:val="000000"/>
              </w:rPr>
            </w:pPr>
            <w:r w:rsidRPr="00DE2D55">
              <w:rPr>
                <w:color w:val="000000"/>
              </w:rPr>
              <w:t>1</w:t>
            </w:r>
          </w:p>
        </w:tc>
        <w:tc>
          <w:tcPr>
            <w:tcW w:w="1276" w:type="dxa"/>
            <w:tcBorders>
              <w:top w:val="nil"/>
              <w:left w:val="nil"/>
              <w:bottom w:val="single" w:sz="4" w:space="0" w:color="auto"/>
              <w:right w:val="single" w:sz="8" w:space="0" w:color="auto"/>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20.000,00</w:t>
            </w:r>
          </w:p>
        </w:tc>
        <w:tc>
          <w:tcPr>
            <w:tcW w:w="1417" w:type="dxa"/>
            <w:tcBorders>
              <w:top w:val="nil"/>
              <w:left w:val="nil"/>
              <w:bottom w:val="single" w:sz="4" w:space="0" w:color="auto"/>
              <w:right w:val="single" w:sz="8" w:space="0" w:color="000000"/>
            </w:tcBorders>
            <w:shd w:val="clear" w:color="auto" w:fill="auto"/>
            <w:noWrap/>
            <w:vAlign w:val="center"/>
            <w:hideMark/>
          </w:tcPr>
          <w:p w:rsidR="004E6765" w:rsidRPr="00DE2D55" w:rsidRDefault="004E6765" w:rsidP="00FE560B">
            <w:pPr>
              <w:tabs>
                <w:tab w:val="left" w:pos="0"/>
              </w:tabs>
              <w:spacing w:line="240" w:lineRule="auto"/>
              <w:jc w:val="right"/>
              <w:rPr>
                <w:color w:val="000000"/>
              </w:rPr>
            </w:pPr>
            <w:r w:rsidRPr="00DE2D55">
              <w:rPr>
                <w:color w:val="000000"/>
              </w:rPr>
              <w:t xml:space="preserve">20.000,00 </w:t>
            </w:r>
          </w:p>
        </w:tc>
        <w:tc>
          <w:tcPr>
            <w:tcW w:w="1418" w:type="dxa"/>
            <w:tcBorders>
              <w:top w:val="nil"/>
              <w:left w:val="single" w:sz="4" w:space="0" w:color="000000"/>
              <w:bottom w:val="single" w:sz="4" w:space="0" w:color="auto"/>
              <w:right w:val="single" w:sz="4" w:space="0" w:color="auto"/>
            </w:tcBorders>
            <w:shd w:val="clear" w:color="auto" w:fill="auto"/>
            <w:noWrap/>
            <w:vAlign w:val="center"/>
            <w:hideMark/>
          </w:tcPr>
          <w:p w:rsidR="004E6765" w:rsidRPr="00DE2D55" w:rsidRDefault="004E6765" w:rsidP="00FE560B">
            <w:pPr>
              <w:tabs>
                <w:tab w:val="left" w:pos="0"/>
              </w:tabs>
              <w:spacing w:line="240" w:lineRule="auto"/>
              <w:jc w:val="right"/>
            </w:pPr>
            <w:r w:rsidRPr="00DE2D55">
              <w:t xml:space="preserve">5.714,29 </w:t>
            </w:r>
          </w:p>
        </w:tc>
      </w:tr>
    </w:tbl>
    <w:p w:rsidR="004E6765" w:rsidRPr="00DE2D55" w:rsidRDefault="004E6765" w:rsidP="00FE560B">
      <w:pPr>
        <w:tabs>
          <w:tab w:val="left" w:pos="0"/>
        </w:tabs>
        <w:suppressAutoHyphens/>
        <w:ind w:right="283"/>
        <w:jc w:val="both"/>
        <w:rPr>
          <w:i/>
        </w:rPr>
      </w:pPr>
      <w:r w:rsidRPr="00DE2D55">
        <w:rPr>
          <w:i/>
        </w:rPr>
        <w:t>Taxa de Câmbio USD (3,50)</w:t>
      </w:r>
    </w:p>
    <w:p w:rsidR="004E6765" w:rsidRDefault="004E6765" w:rsidP="00FE560B">
      <w:pPr>
        <w:tabs>
          <w:tab w:val="left" w:pos="0"/>
        </w:tabs>
        <w:suppressAutoHyphens/>
        <w:ind w:right="283"/>
        <w:jc w:val="both"/>
        <w:rPr>
          <w:i/>
        </w:rPr>
      </w:pPr>
    </w:p>
    <w:p w:rsidR="000F67FC" w:rsidRPr="00DE2D55" w:rsidRDefault="000F67FC" w:rsidP="00FE560B">
      <w:pPr>
        <w:tabs>
          <w:tab w:val="left" w:pos="0"/>
        </w:tabs>
        <w:suppressAutoHyphens/>
        <w:ind w:right="283"/>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04"/>
        <w:gridCol w:w="1985"/>
      </w:tblGrid>
      <w:tr w:rsidR="004E6765" w:rsidRPr="00DE2D55" w:rsidTr="004E6765">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4E6765" w:rsidP="00FE560B">
            <w:pPr>
              <w:tabs>
                <w:tab w:val="left" w:pos="0"/>
              </w:tabs>
              <w:spacing w:line="240" w:lineRule="auto"/>
              <w:jc w:val="both"/>
              <w:rPr>
                <w:rFonts w:cs="Calibri"/>
                <w:b/>
              </w:rPr>
            </w:pPr>
            <w:r w:rsidRPr="00DE2D55">
              <w:rPr>
                <w:rFonts w:cs="Calibri"/>
                <w:b/>
              </w:rPr>
              <w:t>Nº</w:t>
            </w:r>
          </w:p>
        </w:tc>
        <w:tc>
          <w:tcPr>
            <w:tcW w:w="6804"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4E6765" w:rsidP="00FE560B">
            <w:pPr>
              <w:tabs>
                <w:tab w:val="left" w:pos="0"/>
              </w:tabs>
              <w:spacing w:line="240" w:lineRule="auto"/>
              <w:jc w:val="both"/>
              <w:rPr>
                <w:rFonts w:cs="Calibri"/>
                <w:b/>
              </w:rPr>
            </w:pPr>
            <w:r w:rsidRPr="00DE2D55">
              <w:rPr>
                <w:rFonts w:cs="Calibri"/>
                <w:b/>
              </w:rPr>
              <w:t>Item de Custo</w:t>
            </w:r>
          </w:p>
        </w:tc>
        <w:tc>
          <w:tcPr>
            <w:tcW w:w="1985"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4E6765" w:rsidP="00FE560B">
            <w:pPr>
              <w:tabs>
                <w:tab w:val="left" w:pos="0"/>
              </w:tabs>
              <w:spacing w:line="240" w:lineRule="auto"/>
              <w:jc w:val="both"/>
              <w:rPr>
                <w:rFonts w:cs="Calibri"/>
                <w:b/>
              </w:rPr>
            </w:pPr>
            <w:r w:rsidRPr="00DE2D55">
              <w:rPr>
                <w:rFonts w:cs="Calibri"/>
                <w:b/>
              </w:rPr>
              <w:t>Subtotal (R$)</w:t>
            </w:r>
          </w:p>
        </w:tc>
      </w:tr>
      <w:tr w:rsidR="004E6765" w:rsidRPr="00DE2D55" w:rsidTr="004E6765">
        <w:tc>
          <w:tcPr>
            <w:tcW w:w="709"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1.6.1</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ind w:left="37"/>
              <w:jc w:val="both"/>
              <w:rPr>
                <w:rFonts w:cs="Calibri"/>
              </w:rPr>
            </w:pPr>
            <w:r w:rsidRPr="00DE2D55">
              <w:rPr>
                <w:rFonts w:cs="Calibri"/>
                <w:bCs/>
              </w:rPr>
              <w:t>Revisão e implantação dos procedimentos de auditoria interna e controle interno, utilizando modelo de gerenciamento de riscos e integridade e sistemas informatizados de apoio à gestão.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center"/>
              <w:rPr>
                <w:rFonts w:cs="Calibri"/>
              </w:rPr>
            </w:pPr>
            <w:r w:rsidRPr="00DE2D55">
              <w:rPr>
                <w:rFonts w:cs="Calibri"/>
              </w:rPr>
              <w:t>7.095.115,60</w:t>
            </w:r>
          </w:p>
        </w:tc>
      </w:tr>
      <w:tr w:rsidR="004E6765" w:rsidRPr="00DE2D55" w:rsidTr="004E6765">
        <w:tc>
          <w:tcPr>
            <w:tcW w:w="709"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1.6.2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ind w:left="37"/>
              <w:jc w:val="both"/>
              <w:rPr>
                <w:rFonts w:cs="Calibri"/>
              </w:rPr>
            </w:pPr>
            <w:r w:rsidRPr="00DE2D55">
              <w:rPr>
                <w:rFonts w:cs="Calibri"/>
                <w:bCs/>
              </w:rPr>
              <w:t>Revisão e implantação de novo modelo de transparência das informações públicas e a revisão e implantação da sistemática de Ouvidoria Geral do Estado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center"/>
              <w:rPr>
                <w:rFonts w:cs="Calibri"/>
              </w:rPr>
            </w:pPr>
            <w:r w:rsidRPr="00DE2D55">
              <w:rPr>
                <w:rFonts w:cs="Calibri"/>
              </w:rPr>
              <w:t>760.400,00</w:t>
            </w:r>
          </w:p>
        </w:tc>
      </w:tr>
      <w:tr w:rsidR="00963F0C" w:rsidRPr="00DE2D55" w:rsidTr="004E6765">
        <w:tc>
          <w:tcPr>
            <w:tcW w:w="709" w:type="dxa"/>
            <w:tcBorders>
              <w:top w:val="single" w:sz="4" w:space="0" w:color="auto"/>
              <w:left w:val="single" w:sz="4" w:space="0" w:color="auto"/>
              <w:bottom w:val="single" w:sz="4" w:space="0" w:color="auto"/>
              <w:right w:val="single" w:sz="4" w:space="0" w:color="auto"/>
            </w:tcBorders>
            <w:shd w:val="clear" w:color="auto" w:fill="auto"/>
          </w:tcPr>
          <w:p w:rsidR="00963F0C" w:rsidRPr="00DE2D55" w:rsidRDefault="00963F0C" w:rsidP="00FE560B">
            <w:pPr>
              <w:tabs>
                <w:tab w:val="left" w:pos="0"/>
              </w:tabs>
              <w:spacing w:line="240" w:lineRule="auto"/>
              <w:jc w:val="both"/>
              <w:rPr>
                <w:rFonts w:cs="Calibri"/>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963F0C" w:rsidRPr="00DE2D55" w:rsidRDefault="00963F0C" w:rsidP="00FE560B">
            <w:pPr>
              <w:tabs>
                <w:tab w:val="left" w:pos="0"/>
              </w:tabs>
              <w:spacing w:line="240" w:lineRule="auto"/>
              <w:ind w:left="37"/>
              <w:jc w:val="both"/>
              <w:rPr>
                <w:rFonts w:cs="Calibri"/>
                <w:b/>
                <w:bCs/>
              </w:rPr>
            </w:pPr>
            <w:r w:rsidRPr="00DE2D55">
              <w:rPr>
                <w:rFonts w:cs="Calibri"/>
                <w:b/>
                <w:bCs/>
              </w:rPr>
              <w:t>Valor total do Projeto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63F0C" w:rsidRPr="00DE2D55" w:rsidRDefault="00963F0C" w:rsidP="00FE560B">
            <w:pPr>
              <w:tabs>
                <w:tab w:val="left" w:pos="0"/>
              </w:tabs>
              <w:spacing w:line="240" w:lineRule="auto"/>
              <w:jc w:val="center"/>
              <w:rPr>
                <w:rFonts w:cs="Calibri"/>
              </w:rPr>
            </w:pPr>
            <w:r w:rsidRPr="00DE2D55">
              <w:rPr>
                <w:rFonts w:cs="Calibri"/>
              </w:rPr>
              <w:t>7.855.515,60</w:t>
            </w:r>
          </w:p>
        </w:tc>
      </w:tr>
    </w:tbl>
    <w:p w:rsidR="004E6765" w:rsidRPr="00DE2D55" w:rsidRDefault="004E6765" w:rsidP="00FE560B">
      <w:pPr>
        <w:tabs>
          <w:tab w:val="left" w:pos="0"/>
        </w:tabs>
        <w:suppressAutoHyphens/>
        <w:ind w:right="283"/>
        <w:jc w:val="both"/>
        <w:rPr>
          <w:rFonts w:cs="Calibri"/>
          <w:b/>
        </w:rPr>
      </w:pPr>
    </w:p>
    <w:p w:rsidR="00963F0C" w:rsidRPr="00DE2D55" w:rsidRDefault="00963F0C" w:rsidP="00FE560B">
      <w:pPr>
        <w:tabs>
          <w:tab w:val="left" w:pos="0"/>
        </w:tabs>
        <w:suppressAutoHyphens/>
        <w:ind w:right="283"/>
        <w:jc w:val="both"/>
        <w:rPr>
          <w:rFonts w:cs="Calibri"/>
          <w:b/>
        </w:rPr>
      </w:pPr>
    </w:p>
    <w:p w:rsidR="004E6765" w:rsidRPr="00DE2D55" w:rsidRDefault="004E6765" w:rsidP="00FE560B">
      <w:pPr>
        <w:pStyle w:val="PargrafodaLista"/>
        <w:numPr>
          <w:ilvl w:val="1"/>
          <w:numId w:val="58"/>
        </w:numPr>
        <w:pBdr>
          <w:bottom w:val="single" w:sz="4" w:space="1" w:color="auto"/>
        </w:pBdr>
        <w:tabs>
          <w:tab w:val="left" w:pos="0"/>
          <w:tab w:val="left" w:pos="426"/>
        </w:tabs>
        <w:jc w:val="both"/>
        <w:outlineLvl w:val="2"/>
        <w:rPr>
          <w:rFonts w:cs="Calibri"/>
          <w:b/>
        </w:rPr>
      </w:pPr>
      <w:bookmarkStart w:id="67" w:name="_Toc517282088"/>
      <w:r w:rsidRPr="00DE2D55">
        <w:rPr>
          <w:rFonts w:cs="Calibri"/>
          <w:b/>
        </w:rPr>
        <w:t>CRONOGRAMA DE DESEMBOLSO PROPOSTO</w:t>
      </w:r>
      <w:bookmarkEnd w:id="67"/>
    </w:p>
    <w:p w:rsidR="004E6765" w:rsidRPr="00DE2D55" w:rsidRDefault="004E6765" w:rsidP="00FE560B">
      <w:pPr>
        <w:tabs>
          <w:tab w:val="left" w:pos="0"/>
        </w:tabs>
        <w:suppressAutoHyphens/>
        <w:ind w:right="284"/>
        <w:jc w:val="both"/>
        <w:rPr>
          <w:rFonts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850"/>
        <w:gridCol w:w="851"/>
        <w:gridCol w:w="850"/>
        <w:gridCol w:w="851"/>
        <w:gridCol w:w="850"/>
      </w:tblGrid>
      <w:tr w:rsidR="004E6765" w:rsidRPr="00DE2D55" w:rsidTr="004E6765">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4E6765" w:rsidP="00FE560B">
            <w:pPr>
              <w:tabs>
                <w:tab w:val="left" w:pos="0"/>
              </w:tabs>
              <w:spacing w:line="240" w:lineRule="auto"/>
              <w:jc w:val="both"/>
              <w:rPr>
                <w:rFonts w:cs="Calibri"/>
                <w:b/>
              </w:rPr>
            </w:pPr>
            <w:r w:rsidRPr="00DE2D55">
              <w:rPr>
                <w:rFonts w:cs="Calibri"/>
                <w:b/>
              </w:rPr>
              <w:t>Nº</w:t>
            </w:r>
          </w:p>
        </w:tc>
        <w:tc>
          <w:tcPr>
            <w:tcW w:w="4678"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4E6765" w:rsidP="00FE560B">
            <w:pPr>
              <w:tabs>
                <w:tab w:val="left" w:pos="0"/>
              </w:tabs>
              <w:spacing w:line="240" w:lineRule="auto"/>
              <w:jc w:val="both"/>
              <w:rPr>
                <w:rFonts w:cs="Calibri"/>
                <w:b/>
              </w:rPr>
            </w:pPr>
            <w:r w:rsidRPr="00DE2D55">
              <w:rPr>
                <w:rFonts w:cs="Calibri"/>
                <w:b/>
              </w:rPr>
              <w:t>Item de Custo</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FE560B" w:rsidP="00FE560B">
            <w:pPr>
              <w:tabs>
                <w:tab w:val="left" w:pos="0"/>
              </w:tabs>
              <w:spacing w:line="240" w:lineRule="auto"/>
              <w:jc w:val="both"/>
              <w:rPr>
                <w:rFonts w:cs="Calibri"/>
                <w:b/>
              </w:rPr>
            </w:pPr>
            <w:r>
              <w:rPr>
                <w:rFonts w:cs="Calibri"/>
                <w:b/>
              </w:rPr>
              <w:t>2019</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FE560B" w:rsidP="00FE560B">
            <w:pPr>
              <w:tabs>
                <w:tab w:val="left" w:pos="0"/>
              </w:tabs>
              <w:spacing w:line="240" w:lineRule="auto"/>
              <w:jc w:val="both"/>
              <w:rPr>
                <w:rFonts w:cs="Calibri"/>
                <w:b/>
              </w:rPr>
            </w:pPr>
            <w:r>
              <w:rPr>
                <w:rFonts w:cs="Calibri"/>
                <w:b/>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FE560B" w:rsidP="00FE560B">
            <w:pPr>
              <w:tabs>
                <w:tab w:val="left" w:pos="0"/>
              </w:tabs>
              <w:spacing w:line="240" w:lineRule="auto"/>
              <w:jc w:val="both"/>
              <w:rPr>
                <w:rFonts w:cs="Calibri"/>
                <w:b/>
              </w:rPr>
            </w:pPr>
            <w:r>
              <w:rPr>
                <w:rFonts w:cs="Calibri"/>
                <w:b/>
              </w:rPr>
              <w:t>2021</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FE560B" w:rsidP="00FE560B">
            <w:pPr>
              <w:tabs>
                <w:tab w:val="left" w:pos="0"/>
              </w:tabs>
              <w:spacing w:line="240" w:lineRule="auto"/>
              <w:jc w:val="both"/>
              <w:rPr>
                <w:rFonts w:cs="Calibri"/>
                <w:b/>
              </w:rPr>
            </w:pPr>
            <w:r>
              <w:rPr>
                <w:rFonts w:cs="Calibri"/>
                <w:b/>
              </w:rPr>
              <w:t>2022</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4E6765" w:rsidRPr="00DE2D55" w:rsidRDefault="00FE560B" w:rsidP="00FE560B">
            <w:pPr>
              <w:tabs>
                <w:tab w:val="left" w:pos="0"/>
              </w:tabs>
              <w:spacing w:line="240" w:lineRule="auto"/>
              <w:jc w:val="both"/>
              <w:rPr>
                <w:rFonts w:cs="Calibri"/>
                <w:b/>
              </w:rPr>
            </w:pPr>
            <w:r>
              <w:rPr>
                <w:rFonts w:cs="Calibri"/>
                <w:b/>
              </w:rPr>
              <w:t>2023</w:t>
            </w:r>
          </w:p>
        </w:tc>
      </w:tr>
      <w:tr w:rsidR="004E6765" w:rsidRPr="00DE2D55" w:rsidTr="004E6765">
        <w:tc>
          <w:tcPr>
            <w:tcW w:w="709"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1.6.1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ind w:left="37"/>
              <w:jc w:val="both"/>
              <w:rPr>
                <w:rFonts w:cs="Calibri"/>
              </w:rPr>
            </w:pPr>
            <w:r w:rsidRPr="00DE2D55">
              <w:rPr>
                <w:rFonts w:cs="Calibri"/>
                <w:bCs/>
              </w:rPr>
              <w:t>Revisão e implantação dos procedimentos de auditoria interna e controle interno, utilizando modelo de gerenciamento de riscos e integridade e sistemas informatizados de apoio à gestão.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r>
      <w:tr w:rsidR="004E6765" w:rsidRPr="00DE2D55" w:rsidTr="004E6765">
        <w:tc>
          <w:tcPr>
            <w:tcW w:w="709"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1.6.2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ind w:left="37"/>
              <w:jc w:val="both"/>
              <w:rPr>
                <w:rFonts w:cs="Calibri"/>
              </w:rPr>
            </w:pPr>
            <w:r w:rsidRPr="00DE2D55">
              <w:rPr>
                <w:rFonts w:cs="Calibri"/>
                <w:bCs/>
              </w:rPr>
              <w:t>Revisão e implantação de novo modelo de transparência das informações públicas e a revisão e implantação da sistemática de Ouvidoria Geral do Estado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6765" w:rsidRPr="00DE2D55" w:rsidRDefault="004E6765" w:rsidP="00FE560B">
            <w:pPr>
              <w:tabs>
                <w:tab w:val="left" w:pos="0"/>
              </w:tabs>
              <w:spacing w:line="240" w:lineRule="auto"/>
              <w:jc w:val="both"/>
              <w:rPr>
                <w:rFonts w:cs="Calibri"/>
              </w:rPr>
            </w:pPr>
            <w:r w:rsidRPr="00DE2D55">
              <w:rPr>
                <w:rFonts w:cs="Calibri"/>
              </w:rPr>
              <w:t>50%</w:t>
            </w:r>
          </w:p>
        </w:tc>
      </w:tr>
    </w:tbl>
    <w:p w:rsidR="004E6765" w:rsidRPr="00DE2D55" w:rsidRDefault="004E6765" w:rsidP="00FE560B">
      <w:pPr>
        <w:tabs>
          <w:tab w:val="left" w:pos="0"/>
        </w:tabs>
        <w:jc w:val="both"/>
        <w:rPr>
          <w:rFonts w:cs="Calibri"/>
          <w:color w:val="FF0000"/>
        </w:rPr>
      </w:pPr>
    </w:p>
    <w:p w:rsidR="0002080C" w:rsidRPr="00DE2D55" w:rsidRDefault="0002080C" w:rsidP="00FE560B">
      <w:pPr>
        <w:tabs>
          <w:tab w:val="left" w:pos="0"/>
        </w:tabs>
        <w:jc w:val="both"/>
        <w:rPr>
          <w:rFonts w:eastAsia="Times New Roman" w:cs="Arial"/>
          <w:color w:val="996633"/>
          <w:lang w:eastAsia="pt-BR"/>
        </w:rPr>
      </w:pPr>
      <w:r w:rsidRPr="00DE2D55">
        <w:rPr>
          <w:rFonts w:eastAsia="Times New Roman" w:cs="Arial"/>
          <w:color w:val="996633"/>
          <w:lang w:eastAsia="pt-BR"/>
        </w:rPr>
        <w:br w:type="page"/>
      </w:r>
    </w:p>
    <w:p w:rsidR="0002080C" w:rsidRPr="00DE2D55" w:rsidRDefault="0002080C" w:rsidP="00FE560B">
      <w:pPr>
        <w:pStyle w:val="Ttulo1"/>
        <w:tabs>
          <w:tab w:val="left" w:pos="0"/>
        </w:tabs>
        <w:spacing w:before="0"/>
        <w:jc w:val="both"/>
        <w:rPr>
          <w:rFonts w:asciiTheme="minorHAnsi" w:eastAsia="Times New Roman" w:hAnsiTheme="minorHAnsi" w:cs="Arial"/>
          <w:sz w:val="22"/>
          <w:szCs w:val="22"/>
          <w:lang w:eastAsia="pt-BR"/>
        </w:rPr>
      </w:pPr>
      <w:bookmarkStart w:id="68" w:name="_Toc517282089"/>
      <w:r w:rsidRPr="00DE2D55">
        <w:rPr>
          <w:rFonts w:asciiTheme="minorHAnsi" w:eastAsia="Times New Roman" w:hAnsiTheme="minorHAnsi" w:cs="Arial"/>
          <w:sz w:val="22"/>
          <w:szCs w:val="22"/>
          <w:lang w:eastAsia="pt-BR"/>
        </w:rPr>
        <w:t>COMPONENTE 2. ADMINISTRAÇÃO TRIBUTÁRIA E CONTENCIOSO FISCAL</w:t>
      </w:r>
      <w:bookmarkEnd w:id="68"/>
    </w:p>
    <w:p w:rsidR="0002080C" w:rsidRPr="00DE2D55" w:rsidRDefault="0002080C" w:rsidP="00FE560B">
      <w:pPr>
        <w:tabs>
          <w:tab w:val="left" w:pos="0"/>
        </w:tabs>
        <w:jc w:val="both"/>
        <w:rPr>
          <w:lang w:eastAsia="pt-BR"/>
        </w:rPr>
      </w:pPr>
    </w:p>
    <w:p w:rsidR="0002080C" w:rsidRPr="00DE2D55" w:rsidRDefault="0002080C" w:rsidP="00FE560B">
      <w:pPr>
        <w:pStyle w:val="Ttulo2"/>
        <w:tabs>
          <w:tab w:val="left" w:pos="0"/>
        </w:tabs>
        <w:spacing w:before="0"/>
        <w:jc w:val="both"/>
        <w:rPr>
          <w:rFonts w:asciiTheme="minorHAnsi" w:eastAsia="Times New Roman" w:hAnsiTheme="minorHAnsi" w:cs="Arial"/>
          <w:sz w:val="22"/>
          <w:szCs w:val="22"/>
          <w:lang w:eastAsia="pt-BR"/>
        </w:rPr>
      </w:pPr>
      <w:bookmarkStart w:id="69" w:name="_Toc517282090"/>
      <w:r w:rsidRPr="00DE2D55">
        <w:rPr>
          <w:rFonts w:asciiTheme="minorHAnsi" w:eastAsia="Times New Roman" w:hAnsiTheme="minorHAnsi" w:cs="Arial"/>
          <w:sz w:val="22"/>
          <w:szCs w:val="22"/>
          <w:lang w:eastAsia="pt-BR"/>
        </w:rPr>
        <w:t>PRODUTO 1. SISTEMA DE GESTÃO DO GASTO TRIBUTÁRIAS IMPLANTADO</w:t>
      </w:r>
      <w:bookmarkEnd w:id="69"/>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2080C" w:rsidRPr="00DE2D55" w:rsidTr="0002080C">
        <w:tc>
          <w:tcPr>
            <w:tcW w:w="9779" w:type="dxa"/>
            <w:tcBorders>
              <w:top w:val="single" w:sz="4" w:space="0" w:color="auto"/>
              <w:left w:val="nil"/>
              <w:bottom w:val="single" w:sz="4" w:space="0" w:color="auto"/>
              <w:right w:val="nil"/>
            </w:tcBorders>
            <w:shd w:val="clear" w:color="auto" w:fill="D5DCE4"/>
          </w:tcPr>
          <w:p w:rsidR="0002080C" w:rsidRPr="00DE2D55" w:rsidRDefault="0002080C"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02080C" w:rsidRPr="00DE2D55" w:rsidRDefault="0002080C" w:rsidP="00FE560B">
            <w:pPr>
              <w:tabs>
                <w:tab w:val="left" w:pos="0"/>
              </w:tabs>
              <w:jc w:val="both"/>
              <w:rPr>
                <w:rFonts w:cs="Calibri"/>
                <w:b/>
                <w:noProof/>
                <w:color w:val="0070C0"/>
              </w:rPr>
            </w:pPr>
            <w:r w:rsidRPr="00DE2D55">
              <w:rPr>
                <w:rFonts w:cs="Calibri"/>
                <w:b/>
                <w:bCs/>
                <w:color w:val="0070C0"/>
              </w:rPr>
              <w:t>P</w:t>
            </w:r>
            <w:r w:rsidRPr="00DE2D55">
              <w:rPr>
                <w:b/>
              </w:rPr>
              <w:t xml:space="preserve"> </w:t>
            </w:r>
            <w:r w:rsidRPr="00DE2D55">
              <w:rPr>
                <w:rFonts w:cs="Calibri"/>
                <w:b/>
                <w:noProof/>
                <w:color w:val="0070C0"/>
              </w:rPr>
              <w:t xml:space="preserve">2.1 Sistema de Gestão do Gasto Tributárias </w:t>
            </w:r>
            <w:bookmarkStart w:id="70" w:name="_Hlk484175454"/>
            <w:r w:rsidRPr="00DE2D55">
              <w:rPr>
                <w:rFonts w:cs="Calibri"/>
                <w:b/>
                <w:noProof/>
                <w:color w:val="0070C0"/>
              </w:rPr>
              <w:t>implantado</w:t>
            </w:r>
          </w:p>
          <w:p w:rsidR="0002080C" w:rsidRPr="00DE2D55" w:rsidRDefault="0002080C" w:rsidP="00FE560B">
            <w:pPr>
              <w:tabs>
                <w:tab w:val="left" w:pos="0"/>
              </w:tabs>
              <w:ind w:left="993"/>
              <w:jc w:val="both"/>
              <w:rPr>
                <w:rFonts w:cs="Arial"/>
                <w:b/>
              </w:rPr>
            </w:pPr>
          </w:p>
          <w:p w:rsidR="0002080C" w:rsidRPr="00DE2D55" w:rsidRDefault="0002080C" w:rsidP="00FE560B">
            <w:pPr>
              <w:pStyle w:val="PargrafodaLista"/>
              <w:tabs>
                <w:tab w:val="left" w:pos="0"/>
              </w:tabs>
              <w:ind w:left="480"/>
              <w:jc w:val="both"/>
              <w:rPr>
                <w:rFonts w:cs="Calibri"/>
                <w:b/>
                <w:noProof/>
                <w:color w:val="0070C0"/>
              </w:rPr>
            </w:pPr>
            <w:r w:rsidRPr="00DE2D55">
              <w:rPr>
                <w:rFonts w:cs="Calibri"/>
                <w:b/>
                <w:noProof/>
                <w:color w:val="0070C0"/>
              </w:rPr>
              <w:t xml:space="preserve">2.1.1. Mapeamento do processo de concessão e controle do gasto tributário na sua totalidade (incluindo a SEDES e outros órgãos) e revisão e ajuste da legislação respectiva. </w:t>
            </w:r>
          </w:p>
          <w:p w:rsidR="0002080C" w:rsidRPr="00DE2D55" w:rsidRDefault="0002080C" w:rsidP="00FE560B">
            <w:pPr>
              <w:pStyle w:val="PargrafodaLista"/>
              <w:tabs>
                <w:tab w:val="left" w:pos="0"/>
              </w:tabs>
              <w:ind w:left="480"/>
              <w:jc w:val="both"/>
              <w:rPr>
                <w:rFonts w:cs="Calibri"/>
                <w:b/>
                <w:noProof/>
                <w:color w:val="0070C0"/>
              </w:rPr>
            </w:pPr>
          </w:p>
          <w:bookmarkEnd w:id="70"/>
          <w:p w:rsidR="0002080C" w:rsidRPr="00DE2D55" w:rsidRDefault="0002080C" w:rsidP="00FE560B">
            <w:pPr>
              <w:pStyle w:val="PargrafodaLista"/>
              <w:tabs>
                <w:tab w:val="left" w:pos="0"/>
              </w:tabs>
              <w:ind w:left="480"/>
              <w:jc w:val="both"/>
              <w:rPr>
                <w:rFonts w:cs="Calibri"/>
                <w:b/>
                <w:noProof/>
                <w:color w:val="0070C0"/>
              </w:rPr>
            </w:pPr>
            <w:r w:rsidRPr="00DE2D55">
              <w:rPr>
                <w:rFonts w:cs="Calibri"/>
                <w:b/>
                <w:noProof/>
                <w:color w:val="0070C0"/>
              </w:rPr>
              <w:t>2.1.2. Sistema informatizado de Gestão de benefícios e incentivos fiscais, com apuração de impactos dos benefícios do ICMS, IPVA e ITCMD.</w:t>
            </w:r>
          </w:p>
          <w:p w:rsidR="0002080C" w:rsidRPr="00DE2D55" w:rsidRDefault="0002080C" w:rsidP="00FE560B">
            <w:pPr>
              <w:pStyle w:val="PargrafodaLista"/>
              <w:tabs>
                <w:tab w:val="left" w:pos="0"/>
              </w:tabs>
              <w:ind w:left="480"/>
              <w:jc w:val="both"/>
              <w:rPr>
                <w:rFonts w:cs="Calibri"/>
                <w:b/>
                <w:noProof/>
                <w:color w:val="0070C0"/>
              </w:rPr>
            </w:pPr>
          </w:p>
          <w:p w:rsidR="0002080C" w:rsidRPr="00DE2D55" w:rsidRDefault="0002080C" w:rsidP="00FE560B">
            <w:pPr>
              <w:pStyle w:val="PargrafodaLista"/>
              <w:tabs>
                <w:tab w:val="left" w:pos="0"/>
              </w:tabs>
              <w:ind w:left="480"/>
              <w:jc w:val="both"/>
              <w:rPr>
                <w:rFonts w:cs="Calibri"/>
                <w:b/>
                <w:noProof/>
                <w:color w:val="0070C0"/>
              </w:rPr>
            </w:pPr>
            <w:r w:rsidRPr="00DE2D55">
              <w:rPr>
                <w:rFonts w:cs="Calibri"/>
                <w:b/>
                <w:noProof/>
                <w:color w:val="0070C0"/>
              </w:rPr>
              <w:t>2.1.3. Definição de metodologia de estimativa do GAP fiscal; a concessão vinculada a uma estratégia governamental; a identificação dos benefícios fiscais já previstos na legislação estadual; definição de sistemática de monitoramento e avaliação.</w:t>
            </w:r>
          </w:p>
        </w:tc>
      </w:tr>
    </w:tbl>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ind w:left="360"/>
        <w:jc w:val="both"/>
        <w:rPr>
          <w:rFonts w:cs="Calibri"/>
          <w:b/>
        </w:rPr>
      </w:pPr>
      <w:r w:rsidRPr="00DE2D55">
        <w:rPr>
          <w:rFonts w:cs="Calibri"/>
          <w:b/>
        </w:rPr>
        <w:t xml:space="preserve"> Autor (es): </w:t>
      </w:r>
    </w:p>
    <w:tbl>
      <w:tblPr>
        <w:tblW w:w="5023" w:type="pct"/>
        <w:tblLook w:val="04A0" w:firstRow="1" w:lastRow="0" w:firstColumn="1" w:lastColumn="0" w:noHBand="0" w:noVBand="1"/>
      </w:tblPr>
      <w:tblGrid>
        <w:gridCol w:w="2372"/>
        <w:gridCol w:w="2315"/>
        <w:gridCol w:w="1977"/>
        <w:gridCol w:w="3151"/>
      </w:tblGrid>
      <w:tr w:rsidR="0002080C" w:rsidRPr="00DE2D55" w:rsidTr="0002080C">
        <w:trPr>
          <w:trHeight w:val="351"/>
        </w:trPr>
        <w:tc>
          <w:tcPr>
            <w:tcW w:w="1247"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rPr>
                <w:b/>
              </w:rPr>
            </w:pPr>
            <w:r w:rsidRPr="00DE2D55">
              <w:rPr>
                <w:b/>
              </w:rPr>
              <w:t>Nomes</w:t>
            </w:r>
          </w:p>
        </w:tc>
        <w:tc>
          <w:tcPr>
            <w:tcW w:w="1217"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rPr>
                <w:b/>
              </w:rPr>
            </w:pPr>
            <w:r w:rsidRPr="00DE2D55">
              <w:rPr>
                <w:b/>
              </w:rPr>
              <w:t>Cargo</w:t>
            </w:r>
          </w:p>
        </w:tc>
        <w:tc>
          <w:tcPr>
            <w:tcW w:w="1029"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rPr>
                <w:b/>
              </w:rPr>
            </w:pPr>
            <w:r w:rsidRPr="00DE2D55">
              <w:rPr>
                <w:rFonts w:cs="Calibri"/>
                <w:b/>
              </w:rPr>
              <w:t>Área</w:t>
            </w:r>
          </w:p>
        </w:tc>
        <w:tc>
          <w:tcPr>
            <w:tcW w:w="1507"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pPr>
            <w:r w:rsidRPr="00DE2D55">
              <w:rPr>
                <w:b/>
              </w:rPr>
              <w:t>E-mail</w:t>
            </w:r>
          </w:p>
        </w:tc>
      </w:tr>
      <w:tr w:rsidR="0002080C" w:rsidRPr="00DE2D55" w:rsidTr="0002080C">
        <w:trPr>
          <w:trHeight w:val="97"/>
        </w:trPr>
        <w:tc>
          <w:tcPr>
            <w:tcW w:w="124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jc w:val="both"/>
            </w:pPr>
            <w:r w:rsidRPr="00DE2D55">
              <w:t>Wesley Pestana Baratela</w:t>
            </w:r>
          </w:p>
        </w:tc>
        <w:tc>
          <w:tcPr>
            <w:tcW w:w="121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jc w:val="both"/>
            </w:pPr>
            <w:r w:rsidRPr="00DE2D55">
              <w:t>Subgerente- AFRE</w:t>
            </w:r>
          </w:p>
        </w:tc>
        <w:tc>
          <w:tcPr>
            <w:tcW w:w="1029"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ind w:left="21" w:hanging="21"/>
              <w:jc w:val="both"/>
            </w:pPr>
            <w:r w:rsidRPr="00DE2D55">
              <w:t>GEARC/SUAEF</w:t>
            </w:r>
          </w:p>
        </w:tc>
        <w:tc>
          <w:tcPr>
            <w:tcW w:w="1507"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pPr>
            <w:r w:rsidRPr="00DE2D55">
              <w:t>wesley.baratela@sefaz.es.gov.br</w:t>
            </w:r>
          </w:p>
        </w:tc>
      </w:tr>
      <w:tr w:rsidR="0002080C" w:rsidRPr="00DE2D55" w:rsidTr="0002080C">
        <w:trPr>
          <w:trHeight w:val="97"/>
        </w:trPr>
        <w:tc>
          <w:tcPr>
            <w:tcW w:w="124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jc w:val="both"/>
            </w:pPr>
            <w:r w:rsidRPr="00DE2D55">
              <w:t>Paulo Jose Noia</w:t>
            </w:r>
          </w:p>
        </w:tc>
        <w:tc>
          <w:tcPr>
            <w:tcW w:w="121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jc w:val="both"/>
            </w:pPr>
            <w:r w:rsidRPr="00DE2D55">
              <w:t>Supervisor de AF</w:t>
            </w:r>
          </w:p>
        </w:tc>
        <w:tc>
          <w:tcPr>
            <w:tcW w:w="1029"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2080C" w:rsidRPr="00DE2D55" w:rsidRDefault="0002080C" w:rsidP="00FE560B">
            <w:pPr>
              <w:tabs>
                <w:tab w:val="left" w:pos="0"/>
              </w:tabs>
              <w:ind w:left="21" w:hanging="21"/>
              <w:jc w:val="both"/>
            </w:pPr>
            <w:r w:rsidRPr="00DE2D55">
              <w:t>GEARC/SUAEF/SEIG</w:t>
            </w:r>
          </w:p>
        </w:tc>
        <w:tc>
          <w:tcPr>
            <w:tcW w:w="1507" w:type="pct"/>
            <w:tcBorders>
              <w:top w:val="single" w:sz="4" w:space="0" w:color="00000A"/>
              <w:left w:val="single" w:sz="4" w:space="0" w:color="00000A"/>
              <w:bottom w:val="single" w:sz="4" w:space="0" w:color="00000A"/>
              <w:right w:val="single" w:sz="4" w:space="0" w:color="00000A"/>
            </w:tcBorders>
            <w:shd w:val="clear" w:color="auto" w:fill="FFFFFF"/>
            <w:hideMark/>
          </w:tcPr>
          <w:p w:rsidR="0002080C" w:rsidRPr="00DE2D55" w:rsidRDefault="0002080C" w:rsidP="00FE560B">
            <w:pPr>
              <w:tabs>
                <w:tab w:val="left" w:pos="0"/>
              </w:tabs>
              <w:jc w:val="both"/>
            </w:pPr>
            <w:r w:rsidRPr="00DE2D55">
              <w:t>pnoia@sefaz.es.gov.br</w:t>
            </w:r>
          </w:p>
        </w:tc>
      </w:tr>
    </w:tbl>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center"/>
        <w:rPr>
          <w:rFonts w:cs="Calibri"/>
          <w:b/>
        </w:rPr>
      </w:pPr>
      <w:r w:rsidRPr="00DE2D55">
        <w:rPr>
          <w:rFonts w:cs="Calibri"/>
          <w:b/>
        </w:rPr>
        <w:t>Vitória/ES – junho de 2018</w:t>
      </w:r>
      <w:r w:rsidRPr="00DE2D55">
        <w:rPr>
          <w:rFonts w:cs="Calibri"/>
          <w:b/>
        </w:rPr>
        <w:br w:type="page"/>
      </w:r>
    </w:p>
    <w:p w:rsidR="0002080C" w:rsidRPr="00DE2D55" w:rsidRDefault="0002080C"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1" w:name="_Toc517282091"/>
      <w:r w:rsidRPr="00DE2D55">
        <w:rPr>
          <w:rFonts w:cs="Calibri"/>
          <w:b/>
        </w:rPr>
        <w:t>ANTECEDENTES DO PRODUTO</w:t>
      </w:r>
      <w:bookmarkEnd w:id="71"/>
    </w:p>
    <w:p w:rsidR="0002080C" w:rsidRPr="00DE2D55" w:rsidRDefault="0002080C" w:rsidP="00FE560B">
      <w:pPr>
        <w:tabs>
          <w:tab w:val="left" w:pos="0"/>
        </w:tabs>
        <w:jc w:val="both"/>
        <w:rPr>
          <w:rFonts w:cs="Calibri"/>
          <w:b/>
        </w:rPr>
      </w:pPr>
    </w:p>
    <w:p w:rsidR="0002080C" w:rsidRPr="00DE2D55" w:rsidRDefault="0002080C" w:rsidP="00FE560B">
      <w:pPr>
        <w:tabs>
          <w:tab w:val="left" w:pos="0"/>
        </w:tabs>
        <w:jc w:val="both"/>
      </w:pPr>
      <w:r w:rsidRPr="00DE2D55">
        <w:t>O incentivo fiscal constitui-se em um dos instrumentos de que dispõe o Estado para que se preserve eficiente e apoie em parceria com a iniciativa privada, ações de grande interesse público que contribuam para o desenvolvimento intelectual, cultural e econômico, ou seja, num conceito mais amplo, o bem comum de uma sociedade ou de segmento representativo desta.</w:t>
      </w:r>
    </w:p>
    <w:p w:rsidR="0002080C" w:rsidRPr="00DE2D55" w:rsidRDefault="0002080C" w:rsidP="00FE560B">
      <w:pPr>
        <w:tabs>
          <w:tab w:val="left" w:pos="0"/>
        </w:tabs>
        <w:jc w:val="both"/>
      </w:pPr>
    </w:p>
    <w:p w:rsidR="0002080C" w:rsidRPr="00DE2D55" w:rsidRDefault="0002080C" w:rsidP="00FE560B">
      <w:pPr>
        <w:tabs>
          <w:tab w:val="left" w:pos="0"/>
        </w:tabs>
        <w:jc w:val="both"/>
      </w:pPr>
      <w:r w:rsidRPr="00DE2D55">
        <w:t>No Brasil a Constituição Federal de 1988 prevê a intervenção estatal nos diversos setores da economia de mercado como está definido no artigo 174: “Como agente normativo e regulador da atividade econômica, o Estado exercerá, na forma da lei, as funções de fiscalização, incentivo e planejamento, sendo este determinante para o setor público e indicativo para o setor privado. [...]”.</w:t>
      </w:r>
    </w:p>
    <w:p w:rsidR="0002080C" w:rsidRPr="00DE2D55" w:rsidRDefault="0002080C" w:rsidP="00FE560B">
      <w:pPr>
        <w:tabs>
          <w:tab w:val="left" w:pos="0"/>
        </w:tabs>
        <w:jc w:val="both"/>
      </w:pPr>
    </w:p>
    <w:p w:rsidR="0002080C" w:rsidRPr="00DE2D55" w:rsidRDefault="0002080C" w:rsidP="00FE560B">
      <w:pPr>
        <w:tabs>
          <w:tab w:val="left" w:pos="0"/>
        </w:tabs>
        <w:jc w:val="both"/>
      </w:pPr>
      <w:r w:rsidRPr="00DE2D55">
        <w:t>O Estado atua na economia fomentando atividades, concedendo incentivos fiscais, prestando serviços públicos. Esse conjunto de ações cria as formas de viabilizar o desenvolvimento econômico. A Carta Magna ainda aborda em seu artigo 151 a possibilidade de serem concedidos incentivos fiscais se a sua finalidade for à equidade do desenvolvimento socioeconômico entre as regiões brasileiras.</w:t>
      </w:r>
    </w:p>
    <w:p w:rsidR="0002080C" w:rsidRPr="00DE2D55" w:rsidRDefault="0002080C" w:rsidP="00FE560B">
      <w:pPr>
        <w:tabs>
          <w:tab w:val="left" w:pos="0"/>
        </w:tabs>
        <w:jc w:val="both"/>
      </w:pPr>
    </w:p>
    <w:p w:rsidR="0002080C" w:rsidRPr="00DE2D55" w:rsidRDefault="0002080C" w:rsidP="00FE560B">
      <w:pPr>
        <w:tabs>
          <w:tab w:val="left" w:pos="0"/>
        </w:tabs>
        <w:jc w:val="both"/>
      </w:pPr>
      <w:r w:rsidRPr="00DE2D55">
        <w:t>Uma justificativa clássica para usar os incentivos fiscais é mitigar uma falha no mercado associado à externalidade de certas atividades econômicas (por exemplo, pesquisa e desenvolvimento).</w:t>
      </w:r>
    </w:p>
    <w:p w:rsidR="0002080C" w:rsidRPr="00DE2D55" w:rsidRDefault="0002080C"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2" w:name="_Toc517282092"/>
      <w:r w:rsidRPr="00DE2D55">
        <w:rPr>
          <w:rFonts w:cs="Calibri"/>
          <w:b/>
        </w:rPr>
        <w:t>DESCRIÇÃO DO PROBLEMA</w:t>
      </w:r>
      <w:bookmarkEnd w:id="72"/>
    </w:p>
    <w:p w:rsidR="0002080C" w:rsidRPr="00DE2D55" w:rsidRDefault="0002080C" w:rsidP="00FE560B">
      <w:pPr>
        <w:tabs>
          <w:tab w:val="left" w:pos="0"/>
        </w:tabs>
        <w:jc w:val="both"/>
        <w:rPr>
          <w:rFonts w:cs="Calibri"/>
        </w:rPr>
      </w:pPr>
      <w:r w:rsidRPr="00DE2D55">
        <w:rPr>
          <w:rFonts w:cs="Calibri"/>
          <w:b/>
        </w:rPr>
        <w:t>2.1 – Síntese do Problema</w:t>
      </w:r>
      <w:r w:rsidRPr="00DE2D55">
        <w:rPr>
          <w:rFonts w:cs="Calibri"/>
        </w:rPr>
        <w:t xml:space="preserve"> </w:t>
      </w:r>
    </w:p>
    <w:p w:rsidR="0002080C" w:rsidRPr="00DE2D55" w:rsidRDefault="0002080C"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b/>
          <w:i/>
          <w:noProof/>
        </w:rPr>
      </w:pPr>
      <w:r w:rsidRPr="00DE2D55">
        <w:rPr>
          <w:rFonts w:cs="Calibri"/>
          <w:b/>
          <w:i/>
          <w:noProof/>
        </w:rPr>
        <w:t>Insuficiente conhecimento dos benefícios e isenções fiscais já concedidos e dificuldade para estimar impactos para futuras concessões ou cancelamento.</w:t>
      </w:r>
    </w:p>
    <w:p w:rsidR="0002080C" w:rsidRPr="00DE2D55" w:rsidRDefault="0002080C" w:rsidP="00FE560B">
      <w:pPr>
        <w:tabs>
          <w:tab w:val="left" w:pos="0"/>
        </w:tabs>
        <w:jc w:val="both"/>
        <w:rPr>
          <w:rFonts w:cs="Calibri"/>
          <w:b/>
        </w:rPr>
      </w:pPr>
    </w:p>
    <w:p w:rsidR="0002080C" w:rsidRPr="00DE2D55" w:rsidRDefault="0002080C" w:rsidP="00FE560B">
      <w:pPr>
        <w:tabs>
          <w:tab w:val="left" w:pos="0"/>
        </w:tabs>
        <w:jc w:val="both"/>
        <w:rPr>
          <w:rFonts w:cs="Calibri"/>
          <w:b/>
        </w:rPr>
      </w:pPr>
      <w:r w:rsidRPr="00DE2D55">
        <w:rPr>
          <w:rFonts w:cs="Calibri"/>
          <w:b/>
        </w:rPr>
        <w:t>2.2 – Principais causas</w:t>
      </w:r>
    </w:p>
    <w:p w:rsidR="0002080C" w:rsidRPr="00DE2D55" w:rsidRDefault="0002080C" w:rsidP="00FE560B">
      <w:pPr>
        <w:numPr>
          <w:ilvl w:val="0"/>
          <w:numId w:val="54"/>
        </w:numPr>
        <w:tabs>
          <w:tab w:val="left" w:pos="0"/>
        </w:tabs>
        <w:suppressAutoHyphens/>
        <w:jc w:val="both"/>
        <w:rPr>
          <w:rFonts w:cs="Calibri"/>
        </w:rPr>
      </w:pPr>
      <w:r w:rsidRPr="00DE2D55">
        <w:rPr>
          <w:rFonts w:cs="Calibri"/>
        </w:rPr>
        <w:t>Dificuldades em realizar controle dos regimes especiais concedidos gerando perda de arrecadação;</w:t>
      </w:r>
    </w:p>
    <w:p w:rsidR="0002080C" w:rsidRPr="00DE2D55" w:rsidRDefault="0002080C" w:rsidP="00FE560B">
      <w:pPr>
        <w:numPr>
          <w:ilvl w:val="0"/>
          <w:numId w:val="54"/>
        </w:numPr>
        <w:tabs>
          <w:tab w:val="left" w:pos="0"/>
        </w:tabs>
        <w:suppressAutoHyphens/>
        <w:jc w:val="both"/>
        <w:rPr>
          <w:rFonts w:cs="Calibri"/>
        </w:rPr>
      </w:pPr>
      <w:r w:rsidRPr="00DE2D55">
        <w:rPr>
          <w:rFonts w:cs="Calibri"/>
        </w:rPr>
        <w:t>Ausência de controle dos benefícios fiscais concedidos a atividades econômicas e produtos: qualitativo e quantitativo; e</w:t>
      </w:r>
    </w:p>
    <w:p w:rsidR="0002080C" w:rsidRPr="00DE2D55" w:rsidRDefault="0002080C" w:rsidP="00FE560B">
      <w:pPr>
        <w:numPr>
          <w:ilvl w:val="0"/>
          <w:numId w:val="54"/>
        </w:numPr>
        <w:tabs>
          <w:tab w:val="left" w:pos="0"/>
        </w:tabs>
        <w:suppressAutoHyphens/>
        <w:jc w:val="both"/>
        <w:rPr>
          <w:rFonts w:cs="Calibri"/>
        </w:rPr>
      </w:pPr>
      <w:r w:rsidRPr="00DE2D55">
        <w:rPr>
          <w:rFonts w:cs="Calibri"/>
        </w:rPr>
        <w:t>Falta de controle de prazos de validade de regimes especiais.</w:t>
      </w:r>
    </w:p>
    <w:p w:rsidR="0002080C" w:rsidRPr="00DE2D55" w:rsidRDefault="0002080C" w:rsidP="00FE560B">
      <w:pPr>
        <w:tabs>
          <w:tab w:val="left" w:pos="0"/>
        </w:tabs>
        <w:jc w:val="both"/>
        <w:rPr>
          <w:rFonts w:cs="Calibri"/>
        </w:rPr>
      </w:pPr>
    </w:p>
    <w:p w:rsidR="0002080C" w:rsidRPr="00DE2D55" w:rsidRDefault="0002080C" w:rsidP="00FE560B">
      <w:pPr>
        <w:tabs>
          <w:tab w:val="left" w:pos="0"/>
        </w:tabs>
        <w:jc w:val="both"/>
        <w:rPr>
          <w:rFonts w:cs="Calibri"/>
          <w:b/>
        </w:rPr>
      </w:pPr>
      <w:r w:rsidRPr="00DE2D55">
        <w:rPr>
          <w:rFonts w:cs="Calibri"/>
          <w:b/>
        </w:rPr>
        <w:t xml:space="preserve">2.3 – Evidência/Magnitude </w:t>
      </w:r>
    </w:p>
    <w:p w:rsidR="0002080C" w:rsidRPr="00DE2D55" w:rsidRDefault="0002080C" w:rsidP="00FE560B">
      <w:pPr>
        <w:numPr>
          <w:ilvl w:val="0"/>
          <w:numId w:val="54"/>
        </w:numPr>
        <w:tabs>
          <w:tab w:val="left" w:pos="0"/>
        </w:tabs>
        <w:suppressAutoHyphens/>
        <w:jc w:val="both"/>
        <w:rPr>
          <w:rFonts w:cs="Calibri"/>
        </w:rPr>
      </w:pPr>
      <w:r w:rsidRPr="00DE2D55">
        <w:rPr>
          <w:rFonts w:cs="Calibri"/>
        </w:rPr>
        <w:t>Em 2017 a renúncia fiscal do estado foi de R$ 1.200.000.000,00 (cálculo apenas para as empresas do COMPETE), que representa 13% da arrecadação tributária e corresponde a 1,172 empresas beneficiadas.</w:t>
      </w:r>
    </w:p>
    <w:p w:rsidR="0002080C" w:rsidRPr="00DE2D55" w:rsidRDefault="0002080C" w:rsidP="00FE560B">
      <w:pPr>
        <w:tabs>
          <w:tab w:val="left" w:pos="0"/>
        </w:tabs>
        <w:jc w:val="both"/>
        <w:rPr>
          <w:rFonts w:cs="Calibri"/>
        </w:rPr>
      </w:pPr>
      <w:r w:rsidRPr="00DE2D55">
        <w:rPr>
          <w:rFonts w:cs="Calibri"/>
          <w:b/>
        </w:rPr>
        <w:t>2.4 – Síntese do Problema</w:t>
      </w:r>
      <w:r w:rsidRPr="00DE2D55">
        <w:rPr>
          <w:rFonts w:cs="Calibri"/>
        </w:rPr>
        <w:t xml:space="preserve"> </w:t>
      </w:r>
    </w:p>
    <w:p w:rsidR="0002080C" w:rsidRPr="00DE2D55" w:rsidRDefault="0002080C"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b/>
          <w:i/>
          <w:noProof/>
        </w:rPr>
      </w:pPr>
      <w:r w:rsidRPr="00DE2D55">
        <w:rPr>
          <w:rFonts w:cs="Calibri"/>
          <w:b/>
          <w:i/>
          <w:noProof/>
        </w:rPr>
        <w:t xml:space="preserve">A gestão dos benefícios fiscais é em grande parte realizada de forma manual, sem apoio de metodologias de prospecção e geração de cenários.   </w:t>
      </w:r>
    </w:p>
    <w:p w:rsidR="0002080C" w:rsidRPr="00DE2D55" w:rsidRDefault="0002080C" w:rsidP="00FE560B">
      <w:pPr>
        <w:tabs>
          <w:tab w:val="left" w:pos="0"/>
        </w:tabs>
        <w:jc w:val="both"/>
        <w:rPr>
          <w:rFonts w:cs="Calibri"/>
          <w:b/>
        </w:rPr>
      </w:pPr>
    </w:p>
    <w:p w:rsidR="0002080C" w:rsidRPr="00DE2D55" w:rsidRDefault="0002080C" w:rsidP="00FE560B">
      <w:pPr>
        <w:tabs>
          <w:tab w:val="left" w:pos="0"/>
        </w:tabs>
        <w:jc w:val="both"/>
        <w:rPr>
          <w:rFonts w:cs="Calibri"/>
          <w:b/>
        </w:rPr>
      </w:pPr>
      <w:r w:rsidRPr="00DE2D55">
        <w:rPr>
          <w:rFonts w:cs="Calibri"/>
          <w:b/>
        </w:rPr>
        <w:t>2.5 – Principal causa</w:t>
      </w:r>
    </w:p>
    <w:p w:rsidR="0002080C" w:rsidRPr="00DE2D55" w:rsidRDefault="0002080C" w:rsidP="00FE560B">
      <w:pPr>
        <w:numPr>
          <w:ilvl w:val="0"/>
          <w:numId w:val="54"/>
        </w:numPr>
        <w:tabs>
          <w:tab w:val="left" w:pos="0"/>
        </w:tabs>
        <w:suppressAutoHyphens/>
        <w:jc w:val="both"/>
        <w:rPr>
          <w:rFonts w:cs="Calibri"/>
        </w:rPr>
      </w:pPr>
      <w:r w:rsidRPr="00DE2D55">
        <w:rPr>
          <w:rFonts w:cs="Calibri"/>
        </w:rPr>
        <w:t>Falta de sistema de controle de concessão de regimes especiais e benefícios fiscais;</w:t>
      </w:r>
    </w:p>
    <w:p w:rsidR="0002080C" w:rsidRPr="00DE2D55" w:rsidRDefault="0002080C" w:rsidP="00FE560B">
      <w:pPr>
        <w:tabs>
          <w:tab w:val="left" w:pos="0"/>
        </w:tabs>
        <w:suppressAutoHyphens/>
        <w:jc w:val="both"/>
        <w:rPr>
          <w:rFonts w:cs="Calibri"/>
        </w:rPr>
      </w:pPr>
    </w:p>
    <w:p w:rsidR="0002080C" w:rsidRPr="00DE2D55" w:rsidRDefault="0002080C" w:rsidP="00FE560B">
      <w:pPr>
        <w:tabs>
          <w:tab w:val="left" w:pos="0"/>
        </w:tabs>
        <w:jc w:val="both"/>
        <w:rPr>
          <w:rFonts w:cs="Calibri"/>
          <w:b/>
        </w:rPr>
      </w:pPr>
      <w:r w:rsidRPr="00DE2D55">
        <w:rPr>
          <w:rFonts w:cs="Calibri"/>
          <w:b/>
        </w:rPr>
        <w:t xml:space="preserve">2.6 – Evidência/Magnitude </w:t>
      </w:r>
    </w:p>
    <w:p w:rsidR="0002080C" w:rsidRPr="00DE2D55" w:rsidRDefault="0002080C" w:rsidP="00FE560B">
      <w:pPr>
        <w:numPr>
          <w:ilvl w:val="0"/>
          <w:numId w:val="54"/>
        </w:numPr>
        <w:tabs>
          <w:tab w:val="left" w:pos="0"/>
        </w:tabs>
        <w:suppressAutoHyphens/>
        <w:jc w:val="both"/>
        <w:rPr>
          <w:rFonts w:cs="Calibri"/>
        </w:rPr>
      </w:pPr>
      <w:r w:rsidRPr="00DE2D55">
        <w:rPr>
          <w:rFonts w:cs="Calibri"/>
        </w:rPr>
        <w:t>Dos aproximadamente 132 tipos de convênios de renúncias fiscais vigentes somente um tipo é calculado seu impacto para renúncia.</w:t>
      </w:r>
    </w:p>
    <w:p w:rsidR="0002080C" w:rsidRPr="00DE2D55" w:rsidRDefault="0002080C" w:rsidP="00FE560B">
      <w:pPr>
        <w:tabs>
          <w:tab w:val="left" w:pos="0"/>
        </w:tabs>
        <w:jc w:val="both"/>
        <w:rPr>
          <w:rFonts w:cs="Calibri"/>
          <w:b/>
        </w:rPr>
      </w:pPr>
    </w:p>
    <w:p w:rsidR="0002080C" w:rsidRPr="00DE2D55" w:rsidRDefault="0002080C" w:rsidP="00FE560B">
      <w:pPr>
        <w:tabs>
          <w:tab w:val="left" w:pos="0"/>
        </w:tabs>
        <w:jc w:val="both"/>
        <w:rPr>
          <w:rFonts w:cs="Calibri"/>
        </w:rPr>
      </w:pPr>
      <w:r w:rsidRPr="00DE2D55">
        <w:rPr>
          <w:rFonts w:cs="Calibri"/>
          <w:b/>
        </w:rPr>
        <w:t>2.7 – Síntese do Problema</w:t>
      </w:r>
      <w:r w:rsidRPr="00DE2D55">
        <w:rPr>
          <w:rFonts w:cs="Calibri"/>
        </w:rPr>
        <w:t xml:space="preserve"> </w:t>
      </w:r>
    </w:p>
    <w:p w:rsidR="0002080C" w:rsidRPr="00DE2D55" w:rsidRDefault="0002080C"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b/>
          <w:i/>
          <w:noProof/>
        </w:rPr>
      </w:pPr>
      <w:r w:rsidRPr="00DE2D55">
        <w:rPr>
          <w:rFonts w:cs="Calibri"/>
          <w:b/>
          <w:i/>
          <w:noProof/>
        </w:rPr>
        <w:t>Dificuldade para estimar de forma precisa o GAP fiscal e os benefícios oriundos das renuncias fiscais. (Baixo controle e apuração do gasto tributário)</w:t>
      </w:r>
    </w:p>
    <w:p w:rsidR="0002080C" w:rsidRPr="00DE2D55" w:rsidRDefault="0002080C" w:rsidP="00FE560B">
      <w:pPr>
        <w:tabs>
          <w:tab w:val="left" w:pos="0"/>
        </w:tabs>
        <w:jc w:val="both"/>
        <w:rPr>
          <w:rFonts w:cs="Calibri"/>
          <w:b/>
        </w:rPr>
      </w:pPr>
      <w:r w:rsidRPr="00DE2D55">
        <w:rPr>
          <w:rFonts w:cs="Calibri"/>
          <w:b/>
        </w:rPr>
        <w:t>2.8 – Principais causas</w:t>
      </w:r>
    </w:p>
    <w:p w:rsidR="0002080C" w:rsidRPr="00DE2D55" w:rsidRDefault="0002080C" w:rsidP="00FE560B">
      <w:pPr>
        <w:numPr>
          <w:ilvl w:val="0"/>
          <w:numId w:val="54"/>
        </w:numPr>
        <w:tabs>
          <w:tab w:val="left" w:pos="0"/>
        </w:tabs>
        <w:suppressAutoHyphens/>
        <w:jc w:val="both"/>
        <w:rPr>
          <w:rFonts w:cs="Calibri"/>
        </w:rPr>
      </w:pPr>
      <w:r w:rsidRPr="00DE2D55">
        <w:rPr>
          <w:rFonts w:cs="Calibri"/>
        </w:rPr>
        <w:t xml:space="preserve">Falta de clareza sobre os benefícios fiscais já concedidos; </w:t>
      </w:r>
    </w:p>
    <w:p w:rsidR="0002080C" w:rsidRPr="00DE2D55" w:rsidRDefault="0002080C" w:rsidP="00FE560B">
      <w:pPr>
        <w:numPr>
          <w:ilvl w:val="0"/>
          <w:numId w:val="54"/>
        </w:numPr>
        <w:tabs>
          <w:tab w:val="left" w:pos="0"/>
        </w:tabs>
        <w:suppressAutoHyphens/>
        <w:jc w:val="both"/>
        <w:rPr>
          <w:rFonts w:cs="Calibri"/>
        </w:rPr>
      </w:pPr>
      <w:r w:rsidRPr="00DE2D55">
        <w:rPr>
          <w:rFonts w:cs="Calibri"/>
        </w:rPr>
        <w:t>Ausência de critérios específicos para análise de enquadramento de cada benefício.</w:t>
      </w:r>
    </w:p>
    <w:p w:rsidR="0002080C" w:rsidRPr="00DE2D55" w:rsidRDefault="0002080C" w:rsidP="00FE560B">
      <w:pPr>
        <w:pStyle w:val="PargrafodaLista"/>
        <w:numPr>
          <w:ilvl w:val="1"/>
          <w:numId w:val="59"/>
        </w:numPr>
        <w:tabs>
          <w:tab w:val="left" w:pos="0"/>
        </w:tabs>
        <w:contextualSpacing w:val="0"/>
        <w:jc w:val="both"/>
        <w:rPr>
          <w:rFonts w:cs="Calibri"/>
          <w:b/>
        </w:rPr>
      </w:pPr>
      <w:r w:rsidRPr="00DE2D55">
        <w:rPr>
          <w:rFonts w:cs="Calibri"/>
          <w:b/>
        </w:rPr>
        <w:t xml:space="preserve">– Evidência/Magnitude </w:t>
      </w:r>
    </w:p>
    <w:p w:rsidR="0002080C" w:rsidRPr="00DE2D55" w:rsidRDefault="0002080C" w:rsidP="00FE560B">
      <w:pPr>
        <w:numPr>
          <w:ilvl w:val="0"/>
          <w:numId w:val="54"/>
        </w:numPr>
        <w:tabs>
          <w:tab w:val="left" w:pos="0"/>
        </w:tabs>
        <w:suppressAutoHyphens/>
        <w:jc w:val="both"/>
        <w:rPr>
          <w:rFonts w:cs="Calibri"/>
        </w:rPr>
      </w:pPr>
      <w:r w:rsidRPr="00DE2D55">
        <w:rPr>
          <w:rFonts w:cs="Calibri"/>
        </w:rPr>
        <w:t>Uma estimação realizada pelo sindicato fiscal (SINDFISCAL) estimou uma sonegação de aproximadamente BR$ 1.0 bilhão anual, representando 10% da arrecadação do ICMS. (GAP de 2.2 bilhões).</w:t>
      </w:r>
    </w:p>
    <w:p w:rsidR="00EB6017" w:rsidRPr="00DE2D55" w:rsidRDefault="00EB6017" w:rsidP="00FE560B">
      <w:pPr>
        <w:tabs>
          <w:tab w:val="left" w:pos="0"/>
        </w:tabs>
        <w:suppressAutoHyphens/>
        <w:jc w:val="both"/>
        <w:rPr>
          <w:rFonts w:cs="Calibri"/>
        </w:rPr>
      </w:pPr>
    </w:p>
    <w:p w:rsidR="0002080C" w:rsidRPr="00DE2D55" w:rsidRDefault="00EB6017"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3" w:name="_Toc517282093"/>
      <w:r>
        <w:rPr>
          <w:rFonts w:cs="Calibri"/>
          <w:b/>
        </w:rPr>
        <w:t>DESCRIÇÃO DO PRODUTO</w:t>
      </w:r>
      <w:r w:rsidR="0002080C" w:rsidRPr="00DE2D55">
        <w:rPr>
          <w:rFonts w:cs="Calibri"/>
          <w:b/>
        </w:rPr>
        <w:t xml:space="preserve"> E SUA META QUANTITATIVA</w:t>
      </w:r>
      <w:bookmarkEnd w:id="73"/>
    </w:p>
    <w:p w:rsidR="0002080C" w:rsidRPr="00DE2D55" w:rsidRDefault="0002080C" w:rsidP="00FE560B">
      <w:pPr>
        <w:tabs>
          <w:tab w:val="left" w:pos="0"/>
        </w:tabs>
        <w:jc w:val="both"/>
        <w:rPr>
          <w:rFonts w:cs="Calibri"/>
          <w:b/>
        </w:rPr>
      </w:pPr>
      <w:r w:rsidRPr="00DE2D55">
        <w:rPr>
          <w:rFonts w:cs="Calibri"/>
          <w:b/>
        </w:rPr>
        <w:t>3.1 – Produto Principal:</w:t>
      </w:r>
    </w:p>
    <w:p w:rsidR="0002080C" w:rsidRPr="00DE2D55" w:rsidRDefault="0002080C" w:rsidP="00FE560B">
      <w:pPr>
        <w:pStyle w:val="PargrafodaLista"/>
        <w:tabs>
          <w:tab w:val="left" w:pos="0"/>
        </w:tabs>
        <w:ind w:left="0"/>
        <w:jc w:val="both"/>
        <w:rPr>
          <w:rFonts w:cs="Calibri"/>
          <w:bCs/>
        </w:rPr>
      </w:pPr>
      <w:r w:rsidRPr="00DE2D55">
        <w:rPr>
          <w:rFonts w:cs="Calibri"/>
          <w:bCs/>
        </w:rPr>
        <w:t>Sistema de Gestão do Gasto Tributário implantado</w:t>
      </w:r>
    </w:p>
    <w:p w:rsidR="0002080C" w:rsidRPr="00DE2D55" w:rsidRDefault="0002080C" w:rsidP="00FE560B">
      <w:pPr>
        <w:pStyle w:val="PargrafodaLista"/>
        <w:tabs>
          <w:tab w:val="left" w:pos="0"/>
        </w:tabs>
        <w:ind w:left="0"/>
        <w:jc w:val="both"/>
        <w:rPr>
          <w:rFonts w:cs="Calibri"/>
          <w:bCs/>
        </w:rPr>
      </w:pPr>
    </w:p>
    <w:p w:rsidR="0002080C" w:rsidRPr="00DE2D55" w:rsidRDefault="0002080C" w:rsidP="00FE560B">
      <w:pPr>
        <w:pStyle w:val="PargrafodaLista"/>
        <w:tabs>
          <w:tab w:val="left" w:pos="0"/>
        </w:tabs>
        <w:ind w:left="0"/>
        <w:jc w:val="both"/>
        <w:rPr>
          <w:rFonts w:cs="Calibri"/>
          <w:b/>
          <w:bCs/>
        </w:rPr>
      </w:pPr>
      <w:r w:rsidRPr="00DE2D55">
        <w:rPr>
          <w:rFonts w:cs="Calibri"/>
          <w:b/>
          <w:bCs/>
        </w:rPr>
        <w:t>3.2 – Subprodutos</w:t>
      </w:r>
    </w:p>
    <w:p w:rsidR="0002080C" w:rsidRPr="00DE2D55" w:rsidRDefault="0002080C" w:rsidP="00FE560B">
      <w:pPr>
        <w:pStyle w:val="PargrafodaLista"/>
        <w:tabs>
          <w:tab w:val="left" w:pos="0"/>
        </w:tabs>
        <w:ind w:left="0"/>
        <w:jc w:val="both"/>
        <w:rPr>
          <w:rFonts w:cs="Calibri"/>
          <w:b/>
          <w:bCs/>
        </w:rPr>
      </w:pPr>
    </w:p>
    <w:p w:rsidR="0002080C" w:rsidRPr="00DE2D55" w:rsidRDefault="0002080C" w:rsidP="00FE560B">
      <w:pPr>
        <w:tabs>
          <w:tab w:val="left" w:pos="0"/>
        </w:tabs>
        <w:jc w:val="both"/>
        <w:rPr>
          <w:rFonts w:cs="Calibri"/>
        </w:rPr>
      </w:pPr>
      <w:r w:rsidRPr="00DE2D55">
        <w:rPr>
          <w:rFonts w:cs="Calibri"/>
        </w:rPr>
        <w:t xml:space="preserve">Os benefícios concedidos, devidamente acompanhados antes e depois de sua operacionalização, precisa ser superado pelo objetivo e crescimento econômico e de receita de longo prazo alcançável. O novo sistema visa aperfeiçoar os processos relativos ao cálculo, controle e transparência dos benefícios concedidos, em consonância com a Lei de Responsabilidade Fiscal/2000 que traz à tona assuntos como transparência dos gastos públicos e responsabilidade na gestão fiscal, por meio do que se legitimou a adoção de mecanismos que importem em renúncia de receitas </w:t>
      </w:r>
      <w:r w:rsidRPr="00DE2D55">
        <w:rPr>
          <w:rFonts w:cs="Calibri"/>
          <w:i/>
        </w:rPr>
        <w:t>(tax expenditure budget)</w:t>
      </w:r>
      <w:r w:rsidRPr="00DE2D55">
        <w:rPr>
          <w:rFonts w:cs="Calibri"/>
        </w:rPr>
        <w:t xml:space="preserve">, com o objetivo segundo a própria lei, de incentivar melhorias no desenvolvimento de certas regiões ou de determinados setores da atividade produtiva (desde que esteja acompanhadas e controladas, afim de evitar consequências imediatas e futuras sobre a arrecadação). Buscam também, estipular, de maneira clara e inequívoca, regras voltadas a impedir o desequilíbrio orçamentário dos entes federativos na busca de uma maior transparência fiscal e prover de racionalidade as concessões de favores fiscais. Tais efeitos visam: </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Acompanhamento em tempo mais preciso dos benefícios concedidos e os resultados esperados em todas as cadeias econômicas envolvidas;</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Uma melhor implementação de uma sistemática de controle do cumprimento de condições de Regimes Especiais;</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Levantamento dos benefícios existentes através de ferramentas disponíveis de Inteligência;</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Definição da sistemática de controle;</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Definição do modelo de procedimentos de concessão de benefícios fiscais que viabilizem o controle e o acompanhamento informatizado do cumprimento do acordo;</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Revisão e adequação da legislação em cumprimento da LRF;</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 xml:space="preserve">Aprimoramento e capacitação de usuários internos para uso das ferramentas de inteligência disponível, com formação de GT específico e exclusivo;  </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Desenvolvimento e implantação do modelo próprio de cálculo e controle;</w:t>
      </w:r>
    </w:p>
    <w:p w:rsidR="0002080C" w:rsidRPr="00EB6017" w:rsidRDefault="0002080C" w:rsidP="00FE560B">
      <w:pPr>
        <w:pStyle w:val="PargrafodaLista"/>
        <w:numPr>
          <w:ilvl w:val="0"/>
          <w:numId w:val="54"/>
        </w:numPr>
        <w:tabs>
          <w:tab w:val="left" w:pos="0"/>
        </w:tabs>
        <w:jc w:val="both"/>
        <w:rPr>
          <w:rFonts w:cs="Calibri"/>
        </w:rPr>
      </w:pPr>
      <w:r w:rsidRPr="00EB6017">
        <w:rPr>
          <w:rFonts w:cs="Calibri"/>
        </w:rPr>
        <w:t>Adequação das concessões já existentes e seu registro no sistema.</w:t>
      </w:r>
    </w:p>
    <w:p w:rsidR="0002080C" w:rsidRPr="00DE2D55" w:rsidRDefault="0002080C" w:rsidP="00FE560B">
      <w:pPr>
        <w:tabs>
          <w:tab w:val="left" w:pos="0"/>
        </w:tabs>
        <w:suppressAutoHyphens/>
        <w:jc w:val="both"/>
        <w:rPr>
          <w:rFonts w:cs="Calibri"/>
        </w:rPr>
      </w:pPr>
    </w:p>
    <w:p w:rsidR="0002080C" w:rsidRPr="00DE2D55" w:rsidRDefault="0002080C"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4" w:name="_Toc517282094"/>
      <w:r w:rsidRPr="00DE2D55">
        <w:rPr>
          <w:rFonts w:cs="Calibri"/>
          <w:b/>
        </w:rPr>
        <w:t>DESCRIÇÃO DO RESULTADO ESPERA</w:t>
      </w:r>
      <w:r w:rsidR="00EB6017">
        <w:rPr>
          <w:rFonts w:cs="Calibri"/>
          <w:b/>
        </w:rPr>
        <w:t>DO COM A IMPLANTAÇÃO DO PRODUTO</w:t>
      </w:r>
      <w:r w:rsidRPr="00DE2D55">
        <w:rPr>
          <w:rFonts w:cs="Calibri"/>
          <w:b/>
        </w:rPr>
        <w:t xml:space="preserve"> E RESPECTIVA LINHA DE BASE</w:t>
      </w:r>
      <w:bookmarkEnd w:id="74"/>
    </w:p>
    <w:p w:rsidR="0002080C" w:rsidRPr="00DE2D55" w:rsidRDefault="0002080C" w:rsidP="00FE560B">
      <w:pPr>
        <w:tabs>
          <w:tab w:val="left" w:pos="0"/>
        </w:tabs>
        <w:spacing w:line="240" w:lineRule="auto"/>
        <w:jc w:val="both"/>
        <w:rPr>
          <w:rFonts w:cs="Calibri"/>
          <w:b/>
        </w:rPr>
      </w:pPr>
      <w:r w:rsidRPr="00DE2D55">
        <w:rPr>
          <w:rFonts w:cs="Calibri"/>
          <w:b/>
        </w:rPr>
        <w:t>4.1- Meta e Indicador de SubProduto:</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02080C" w:rsidRPr="00DE2D55" w:rsidTr="0002080C">
        <w:tc>
          <w:tcPr>
            <w:tcW w:w="7087"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p>
        </w:tc>
      </w:tr>
      <w:tr w:rsidR="0002080C" w:rsidRPr="00DE2D55" w:rsidTr="0002080C">
        <w:tc>
          <w:tcPr>
            <w:tcW w:w="7087" w:type="dxa"/>
            <w:shd w:val="clear" w:color="auto" w:fill="D6E3BC"/>
          </w:tcPr>
          <w:p w:rsidR="0002080C" w:rsidRPr="00DE2D55" w:rsidRDefault="0002080C" w:rsidP="00FE560B">
            <w:pPr>
              <w:pStyle w:val="PargrafodaLista"/>
              <w:tabs>
                <w:tab w:val="left" w:pos="0"/>
              </w:tabs>
              <w:spacing w:line="240" w:lineRule="auto"/>
              <w:ind w:left="0"/>
              <w:jc w:val="both"/>
              <w:rPr>
                <w:rFonts w:cs="Calibri"/>
                <w:b/>
                <w:bCs/>
              </w:rPr>
            </w:pPr>
            <w:r w:rsidRPr="00DE2D55">
              <w:rPr>
                <w:rFonts w:cs="Calibri"/>
                <w:b/>
                <w:bCs/>
              </w:rPr>
              <w:t xml:space="preserve">SubP 3.2.1 - Mapeamento do processo de concessão e controle do gasto tributário na sua totalidade (incluindo a SEDES e outros órgãos) e revisão e ajuste da legislação respectiva. </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Meta</w:t>
            </w:r>
          </w:p>
        </w:tc>
      </w:tr>
      <w:tr w:rsidR="0002080C" w:rsidRPr="00DE2D55" w:rsidTr="0002080C">
        <w:tc>
          <w:tcPr>
            <w:tcW w:w="7087" w:type="dxa"/>
            <w:shd w:val="clear" w:color="auto" w:fill="auto"/>
          </w:tcPr>
          <w:p w:rsidR="0002080C" w:rsidRPr="00DE2D55" w:rsidRDefault="0002080C" w:rsidP="00FE560B">
            <w:pPr>
              <w:numPr>
                <w:ilvl w:val="0"/>
                <w:numId w:val="56"/>
              </w:numPr>
              <w:tabs>
                <w:tab w:val="left" w:pos="0"/>
              </w:tabs>
              <w:spacing w:line="240" w:lineRule="auto"/>
              <w:jc w:val="both"/>
              <w:rPr>
                <w:rFonts w:cs="Calibri"/>
                <w:bCs/>
              </w:rPr>
            </w:pPr>
            <w:r w:rsidRPr="00DE2D55">
              <w:rPr>
                <w:rFonts w:cs="Calibri"/>
                <w:bCs/>
              </w:rPr>
              <w:t xml:space="preserve">Processos mapeados </w:t>
            </w:r>
          </w:p>
        </w:tc>
        <w:tc>
          <w:tcPr>
            <w:tcW w:w="2126" w:type="dxa"/>
            <w:shd w:val="clear" w:color="auto" w:fill="auto"/>
          </w:tcPr>
          <w:p w:rsidR="0002080C" w:rsidRPr="00DE2D55" w:rsidRDefault="0002080C" w:rsidP="00FE560B">
            <w:pPr>
              <w:tabs>
                <w:tab w:val="left" w:pos="0"/>
              </w:tabs>
              <w:spacing w:line="240" w:lineRule="auto"/>
              <w:jc w:val="both"/>
              <w:rPr>
                <w:rFonts w:cs="Calibri"/>
                <w:bCs/>
              </w:rPr>
            </w:pPr>
            <w:r w:rsidRPr="00DE2D55">
              <w:rPr>
                <w:rFonts w:cs="Calibri"/>
                <w:bCs/>
              </w:rPr>
              <w:t>2020</w:t>
            </w:r>
          </w:p>
        </w:tc>
      </w:tr>
    </w:tbl>
    <w:p w:rsidR="0002080C" w:rsidRPr="00DE2D55" w:rsidRDefault="0002080C" w:rsidP="00FE560B">
      <w:pPr>
        <w:tabs>
          <w:tab w:val="left" w:pos="0"/>
        </w:tabs>
        <w:spacing w:line="240" w:lineRule="auto"/>
        <w:jc w:val="both"/>
        <w:rPr>
          <w:rFonts w:cs="Calibri"/>
          <w:b/>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02080C" w:rsidRPr="00DE2D55" w:rsidTr="0002080C">
        <w:tc>
          <w:tcPr>
            <w:tcW w:w="7087"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p>
        </w:tc>
      </w:tr>
      <w:tr w:rsidR="0002080C" w:rsidRPr="00DE2D55" w:rsidTr="0002080C">
        <w:tc>
          <w:tcPr>
            <w:tcW w:w="7087" w:type="dxa"/>
            <w:shd w:val="clear" w:color="auto" w:fill="D6E3BC"/>
          </w:tcPr>
          <w:p w:rsidR="0002080C" w:rsidRPr="00DE2D55" w:rsidRDefault="0002080C" w:rsidP="00FE560B">
            <w:pPr>
              <w:pStyle w:val="PargrafodaLista"/>
              <w:tabs>
                <w:tab w:val="left" w:pos="0"/>
              </w:tabs>
              <w:spacing w:line="240" w:lineRule="auto"/>
              <w:ind w:left="0"/>
              <w:jc w:val="both"/>
              <w:rPr>
                <w:rFonts w:cs="Calibri"/>
                <w:b/>
                <w:noProof/>
                <w:color w:val="0070C0"/>
              </w:rPr>
            </w:pPr>
            <w:r w:rsidRPr="00DE2D55">
              <w:rPr>
                <w:rFonts w:cs="Calibri"/>
                <w:b/>
                <w:bCs/>
              </w:rPr>
              <w:t>3.2.2 – Sistema informatizado de Gestão de benefícios e incentivos fiscais, com apuração de impactos dos benefícios do ICMS, IPVA e ITCMD.</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Meta</w:t>
            </w:r>
          </w:p>
        </w:tc>
      </w:tr>
      <w:tr w:rsidR="0002080C" w:rsidRPr="00DE2D55" w:rsidTr="0002080C">
        <w:tc>
          <w:tcPr>
            <w:tcW w:w="7087" w:type="dxa"/>
            <w:shd w:val="clear" w:color="auto" w:fill="auto"/>
          </w:tcPr>
          <w:p w:rsidR="0002080C" w:rsidRPr="00DE2D55" w:rsidRDefault="0002080C" w:rsidP="00FE560B">
            <w:pPr>
              <w:numPr>
                <w:ilvl w:val="0"/>
                <w:numId w:val="56"/>
              </w:numPr>
              <w:tabs>
                <w:tab w:val="left" w:pos="0"/>
              </w:tabs>
              <w:spacing w:line="240" w:lineRule="auto"/>
              <w:jc w:val="both"/>
              <w:rPr>
                <w:rFonts w:cs="Calibri"/>
                <w:bCs/>
              </w:rPr>
            </w:pPr>
            <w:r w:rsidRPr="00DE2D55">
              <w:rPr>
                <w:rFonts w:cs="Calibri"/>
                <w:bCs/>
              </w:rPr>
              <w:t>Metodologia de estimativa do GAP.</w:t>
            </w:r>
          </w:p>
        </w:tc>
        <w:tc>
          <w:tcPr>
            <w:tcW w:w="2126" w:type="dxa"/>
            <w:shd w:val="clear" w:color="auto" w:fill="auto"/>
          </w:tcPr>
          <w:p w:rsidR="0002080C" w:rsidRPr="00DE2D55" w:rsidRDefault="0002080C" w:rsidP="00FE560B">
            <w:pPr>
              <w:tabs>
                <w:tab w:val="left" w:pos="0"/>
              </w:tabs>
              <w:spacing w:line="240" w:lineRule="auto"/>
              <w:jc w:val="both"/>
              <w:rPr>
                <w:rFonts w:cs="Calibri"/>
                <w:bCs/>
              </w:rPr>
            </w:pPr>
            <w:r w:rsidRPr="00DE2D55">
              <w:rPr>
                <w:rFonts w:cs="Calibri"/>
                <w:bCs/>
              </w:rPr>
              <w:t>2021</w:t>
            </w:r>
          </w:p>
        </w:tc>
      </w:tr>
    </w:tbl>
    <w:p w:rsidR="0002080C" w:rsidRPr="00DE2D55" w:rsidRDefault="0002080C" w:rsidP="00FE560B">
      <w:pPr>
        <w:tabs>
          <w:tab w:val="left" w:pos="0"/>
        </w:tabs>
        <w:spacing w:line="240" w:lineRule="auto"/>
        <w:jc w:val="both"/>
        <w:rPr>
          <w:rFonts w:cs="Calibri"/>
          <w:b/>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02080C" w:rsidRPr="00DE2D55" w:rsidTr="0002080C">
        <w:tc>
          <w:tcPr>
            <w:tcW w:w="7087"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p>
        </w:tc>
      </w:tr>
      <w:tr w:rsidR="0002080C" w:rsidRPr="00DE2D55" w:rsidTr="0002080C">
        <w:tc>
          <w:tcPr>
            <w:tcW w:w="7087" w:type="dxa"/>
            <w:shd w:val="clear" w:color="auto" w:fill="D6E3BC"/>
          </w:tcPr>
          <w:p w:rsidR="0002080C" w:rsidRPr="00DE2D55" w:rsidRDefault="0002080C" w:rsidP="00FE560B">
            <w:pPr>
              <w:pStyle w:val="PargrafodaLista"/>
              <w:tabs>
                <w:tab w:val="left" w:pos="0"/>
              </w:tabs>
              <w:spacing w:line="240" w:lineRule="auto"/>
              <w:ind w:left="0"/>
              <w:jc w:val="both"/>
              <w:rPr>
                <w:rFonts w:cs="Calibri"/>
                <w:b/>
                <w:noProof/>
                <w:color w:val="0070C0"/>
              </w:rPr>
            </w:pPr>
            <w:r w:rsidRPr="00DE2D55">
              <w:rPr>
                <w:rFonts w:cs="Calibri"/>
                <w:b/>
                <w:bCs/>
              </w:rPr>
              <w:t>3.2.3 – Definição de metodologia de estimativa do GAP fiscal; a concessão vinculada a uma estratégia governamental; a identificação dos benefícios fiscais já previstos na legislação estadual; definição de sistemática de monitoramento e avaliação.</w:t>
            </w:r>
          </w:p>
        </w:tc>
        <w:tc>
          <w:tcPr>
            <w:tcW w:w="2126" w:type="dxa"/>
            <w:shd w:val="clear" w:color="auto" w:fill="D6E3BC"/>
          </w:tcPr>
          <w:p w:rsidR="0002080C" w:rsidRPr="00DE2D55" w:rsidRDefault="0002080C" w:rsidP="00FE560B">
            <w:pPr>
              <w:tabs>
                <w:tab w:val="left" w:pos="0"/>
              </w:tabs>
              <w:spacing w:line="240" w:lineRule="auto"/>
              <w:jc w:val="both"/>
              <w:rPr>
                <w:rFonts w:cs="Calibri"/>
                <w:b/>
                <w:bCs/>
              </w:rPr>
            </w:pPr>
            <w:r w:rsidRPr="00DE2D55">
              <w:rPr>
                <w:rFonts w:cs="Calibri"/>
                <w:b/>
                <w:bCs/>
              </w:rPr>
              <w:t>Meta</w:t>
            </w:r>
          </w:p>
        </w:tc>
      </w:tr>
      <w:tr w:rsidR="0002080C" w:rsidRPr="00DE2D55" w:rsidTr="0002080C">
        <w:tc>
          <w:tcPr>
            <w:tcW w:w="7087" w:type="dxa"/>
            <w:shd w:val="clear" w:color="auto" w:fill="auto"/>
          </w:tcPr>
          <w:p w:rsidR="0002080C" w:rsidRPr="00DE2D55" w:rsidRDefault="0002080C" w:rsidP="00FE560B">
            <w:pPr>
              <w:numPr>
                <w:ilvl w:val="0"/>
                <w:numId w:val="56"/>
              </w:numPr>
              <w:tabs>
                <w:tab w:val="left" w:pos="0"/>
              </w:tabs>
              <w:spacing w:line="240" w:lineRule="auto"/>
              <w:jc w:val="both"/>
              <w:rPr>
                <w:rFonts w:cs="Calibri"/>
                <w:bCs/>
              </w:rPr>
            </w:pPr>
            <w:r w:rsidRPr="00DE2D55">
              <w:rPr>
                <w:rFonts w:cs="Calibri"/>
                <w:bCs/>
              </w:rPr>
              <w:t>Sistema de Gestão de benefícios e incentivos fiscais implantado.</w:t>
            </w:r>
          </w:p>
        </w:tc>
        <w:tc>
          <w:tcPr>
            <w:tcW w:w="2126" w:type="dxa"/>
            <w:shd w:val="clear" w:color="auto" w:fill="auto"/>
          </w:tcPr>
          <w:p w:rsidR="0002080C" w:rsidRPr="00DE2D55" w:rsidRDefault="0002080C" w:rsidP="00FE560B">
            <w:pPr>
              <w:tabs>
                <w:tab w:val="left" w:pos="0"/>
              </w:tabs>
              <w:spacing w:line="240" w:lineRule="auto"/>
              <w:jc w:val="both"/>
              <w:rPr>
                <w:rFonts w:cs="Calibri"/>
                <w:bCs/>
              </w:rPr>
            </w:pPr>
            <w:r w:rsidRPr="00DE2D55">
              <w:rPr>
                <w:rFonts w:cs="Calibri"/>
                <w:bCs/>
              </w:rPr>
              <w:t>2023</w:t>
            </w:r>
          </w:p>
        </w:tc>
      </w:tr>
    </w:tbl>
    <w:p w:rsidR="0002080C" w:rsidRPr="00DE2D55" w:rsidRDefault="0002080C" w:rsidP="00FE560B">
      <w:pPr>
        <w:tabs>
          <w:tab w:val="left" w:pos="0"/>
        </w:tabs>
        <w:spacing w:line="240" w:lineRule="auto"/>
        <w:jc w:val="both"/>
        <w:rPr>
          <w:rFonts w:cs="Calibri"/>
          <w:b/>
        </w:rPr>
      </w:pPr>
    </w:p>
    <w:p w:rsidR="0002080C" w:rsidRPr="00DE2D55" w:rsidRDefault="0002080C" w:rsidP="00FE560B">
      <w:pPr>
        <w:tabs>
          <w:tab w:val="left" w:pos="0"/>
        </w:tabs>
        <w:jc w:val="both"/>
        <w:rPr>
          <w:rFonts w:cs="Calibri"/>
          <w:b/>
        </w:rPr>
      </w:pPr>
      <w:r w:rsidRPr="00DE2D55">
        <w:rPr>
          <w:rFonts w:cs="Calibri"/>
          <w:b/>
        </w:rPr>
        <w:t>4.2- Resultados quantificáveis: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551"/>
        <w:gridCol w:w="2127"/>
        <w:gridCol w:w="2404"/>
      </w:tblGrid>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Resultado 1</w:t>
            </w:r>
          </w:p>
        </w:tc>
        <w:tc>
          <w:tcPr>
            <w:tcW w:w="7082" w:type="dxa"/>
            <w:gridSpan w:val="3"/>
            <w:shd w:val="clear" w:color="auto" w:fill="auto"/>
          </w:tcPr>
          <w:p w:rsidR="0002080C" w:rsidRPr="00DE2D55" w:rsidRDefault="0002080C" w:rsidP="00FE560B">
            <w:pPr>
              <w:tabs>
                <w:tab w:val="left" w:pos="0"/>
              </w:tabs>
              <w:spacing w:line="240" w:lineRule="auto"/>
              <w:jc w:val="both"/>
              <w:rPr>
                <w:rFonts w:cs="Calibri"/>
                <w:noProof/>
              </w:rPr>
            </w:pPr>
            <w:r w:rsidRPr="00DE2D55">
              <w:rPr>
                <w:rFonts w:cs="Calibri"/>
                <w:noProof/>
              </w:rPr>
              <w:t>Redução das demandas de informações sobre a legislação tributária em todos os canais</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Fórmula de cálculo</w:t>
            </w:r>
          </w:p>
        </w:tc>
        <w:tc>
          <w:tcPr>
            <w:tcW w:w="7082" w:type="dxa"/>
            <w:gridSpan w:val="3"/>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 xml:space="preserve">Número anual de consultas </w:t>
            </w:r>
            <w:r w:rsidRPr="00DE2D55">
              <w:rPr>
                <w:rFonts w:cs="Calibri"/>
                <w:noProof/>
              </w:rPr>
              <w:t>sobre a legislação tributária realizadas nos diversos canais</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Unidade de medida</w:t>
            </w:r>
          </w:p>
        </w:tc>
        <w:tc>
          <w:tcPr>
            <w:tcW w:w="2551"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Meta (fim do projeto)</w:t>
            </w:r>
          </w:p>
        </w:tc>
        <w:tc>
          <w:tcPr>
            <w:tcW w:w="2127"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Linha de Base (2018)</w:t>
            </w:r>
          </w:p>
        </w:tc>
        <w:tc>
          <w:tcPr>
            <w:tcW w:w="2404"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Fonte</w:t>
            </w:r>
          </w:p>
        </w:tc>
      </w:tr>
      <w:tr w:rsidR="0002080C" w:rsidRPr="00DE2D55" w:rsidTr="00E64C5C">
        <w:tc>
          <w:tcPr>
            <w:tcW w:w="2013"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Número</w:t>
            </w:r>
          </w:p>
        </w:tc>
        <w:tc>
          <w:tcPr>
            <w:tcW w:w="2551"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50%</w:t>
            </w:r>
          </w:p>
        </w:tc>
        <w:tc>
          <w:tcPr>
            <w:tcW w:w="2127" w:type="dxa"/>
            <w:shd w:val="clear" w:color="auto" w:fill="auto"/>
            <w:vAlign w:val="center"/>
          </w:tcPr>
          <w:p w:rsidR="0002080C" w:rsidRPr="00DE2D55" w:rsidRDefault="0002080C" w:rsidP="00FE560B">
            <w:pPr>
              <w:tabs>
                <w:tab w:val="left" w:pos="0"/>
                <w:tab w:val="left" w:pos="795"/>
              </w:tabs>
              <w:spacing w:line="240" w:lineRule="auto"/>
              <w:ind w:left="37"/>
              <w:jc w:val="both"/>
              <w:rPr>
                <w:rFonts w:cs="Calibri"/>
                <w:highlight w:val="yellow"/>
              </w:rPr>
            </w:pPr>
            <w:r w:rsidRPr="00DE2D55">
              <w:rPr>
                <w:rFonts w:cs="Calibri"/>
              </w:rPr>
              <w:t>Total de atendimentos</w:t>
            </w:r>
          </w:p>
        </w:tc>
        <w:tc>
          <w:tcPr>
            <w:tcW w:w="2404"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 xml:space="preserve">Sistema de atendimento </w:t>
            </w:r>
          </w:p>
        </w:tc>
      </w:tr>
    </w:tbl>
    <w:p w:rsidR="0002080C" w:rsidRPr="00DE2D55" w:rsidRDefault="0002080C" w:rsidP="00FE560B">
      <w:pPr>
        <w:tabs>
          <w:tab w:val="left" w:pos="0"/>
        </w:tabs>
        <w:suppressAutoHyphens/>
        <w:spacing w:line="240" w:lineRule="auto"/>
        <w:ind w:left="720"/>
        <w:jc w:val="both"/>
        <w:rPr>
          <w:rFonts w:cs="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551"/>
        <w:gridCol w:w="2127"/>
        <w:gridCol w:w="2404"/>
      </w:tblGrid>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Resultado 2</w:t>
            </w:r>
          </w:p>
        </w:tc>
        <w:tc>
          <w:tcPr>
            <w:tcW w:w="7082" w:type="dxa"/>
            <w:gridSpan w:val="3"/>
            <w:shd w:val="clear" w:color="auto" w:fill="auto"/>
          </w:tcPr>
          <w:p w:rsidR="0002080C" w:rsidRPr="00DE2D55" w:rsidRDefault="0002080C" w:rsidP="00FE560B">
            <w:pPr>
              <w:tabs>
                <w:tab w:val="left" w:pos="0"/>
              </w:tabs>
              <w:spacing w:line="240" w:lineRule="auto"/>
              <w:jc w:val="both"/>
              <w:rPr>
                <w:rFonts w:cs="Calibri"/>
                <w:noProof/>
              </w:rPr>
            </w:pPr>
            <w:r w:rsidRPr="00DE2D55">
              <w:rPr>
                <w:rFonts w:cs="Calibri"/>
                <w:noProof/>
              </w:rPr>
              <w:t>Disponibilização de tipos de benefícios fiscais na Web</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Fórmula de cálculo</w:t>
            </w:r>
          </w:p>
        </w:tc>
        <w:tc>
          <w:tcPr>
            <w:tcW w:w="7082" w:type="dxa"/>
            <w:gridSpan w:val="3"/>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Número de tipos de benefícios fiscais e sua aplicabilidade disponíveis na Web</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Unidade de medida</w:t>
            </w:r>
          </w:p>
        </w:tc>
        <w:tc>
          <w:tcPr>
            <w:tcW w:w="2551"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Meta (fim do projeto)</w:t>
            </w:r>
          </w:p>
        </w:tc>
        <w:tc>
          <w:tcPr>
            <w:tcW w:w="2127"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Linha de Base (2018)</w:t>
            </w:r>
          </w:p>
        </w:tc>
        <w:tc>
          <w:tcPr>
            <w:tcW w:w="2404"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Fonte</w:t>
            </w:r>
          </w:p>
        </w:tc>
      </w:tr>
      <w:tr w:rsidR="0002080C" w:rsidRPr="00DE2D55" w:rsidTr="00E64C5C">
        <w:tc>
          <w:tcPr>
            <w:tcW w:w="2013"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Número</w:t>
            </w:r>
          </w:p>
        </w:tc>
        <w:tc>
          <w:tcPr>
            <w:tcW w:w="2551"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100%</w:t>
            </w:r>
          </w:p>
        </w:tc>
        <w:tc>
          <w:tcPr>
            <w:tcW w:w="2127" w:type="dxa"/>
            <w:shd w:val="clear" w:color="auto" w:fill="auto"/>
            <w:vAlign w:val="center"/>
          </w:tcPr>
          <w:p w:rsidR="0002080C" w:rsidRPr="00DE2D55" w:rsidRDefault="0002080C" w:rsidP="00FE560B">
            <w:pPr>
              <w:tabs>
                <w:tab w:val="left" w:pos="0"/>
                <w:tab w:val="left" w:pos="795"/>
              </w:tabs>
              <w:spacing w:line="240" w:lineRule="auto"/>
              <w:ind w:left="37"/>
              <w:jc w:val="both"/>
              <w:rPr>
                <w:rFonts w:cs="Calibri"/>
                <w:highlight w:val="yellow"/>
              </w:rPr>
            </w:pPr>
            <w:r w:rsidRPr="00DE2D55">
              <w:rPr>
                <w:rFonts w:cs="Calibri"/>
              </w:rPr>
              <w:t>Informação não disponível via Web</w:t>
            </w:r>
          </w:p>
        </w:tc>
        <w:tc>
          <w:tcPr>
            <w:tcW w:w="2404"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Portal de Transparência</w:t>
            </w:r>
          </w:p>
        </w:tc>
      </w:tr>
    </w:tbl>
    <w:p w:rsidR="0002080C" w:rsidRPr="00DE2D55" w:rsidRDefault="0002080C" w:rsidP="00FE560B">
      <w:pPr>
        <w:tabs>
          <w:tab w:val="left" w:pos="0"/>
        </w:tabs>
        <w:suppressAutoHyphens/>
        <w:spacing w:line="240" w:lineRule="auto"/>
        <w:ind w:left="720"/>
        <w:jc w:val="both"/>
        <w:rPr>
          <w:rFonts w:cs="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551"/>
        <w:gridCol w:w="2127"/>
        <w:gridCol w:w="2404"/>
      </w:tblGrid>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Resultado 3</w:t>
            </w:r>
          </w:p>
        </w:tc>
        <w:tc>
          <w:tcPr>
            <w:tcW w:w="7082" w:type="dxa"/>
            <w:gridSpan w:val="3"/>
            <w:shd w:val="clear" w:color="auto" w:fill="auto"/>
          </w:tcPr>
          <w:p w:rsidR="0002080C" w:rsidRPr="00DE2D55" w:rsidRDefault="0002080C" w:rsidP="00FE560B">
            <w:pPr>
              <w:tabs>
                <w:tab w:val="left" w:pos="0"/>
              </w:tabs>
              <w:spacing w:line="240" w:lineRule="auto"/>
              <w:jc w:val="both"/>
              <w:rPr>
                <w:rFonts w:cs="Calibri"/>
                <w:noProof/>
              </w:rPr>
            </w:pPr>
            <w:r w:rsidRPr="00DE2D55">
              <w:rPr>
                <w:rFonts w:cs="Calibri"/>
                <w:noProof/>
              </w:rPr>
              <w:t>Disponibilização de informações sobre a brecha tributária disponível na Web</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Fórmula de cálculo</w:t>
            </w:r>
          </w:p>
        </w:tc>
        <w:tc>
          <w:tcPr>
            <w:tcW w:w="7082" w:type="dxa"/>
            <w:gridSpan w:val="3"/>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Informações sobre a brecha tributária disponíveis na Web por setor econômico (indústria, comércio, serviços)</w:t>
            </w:r>
          </w:p>
        </w:tc>
      </w:tr>
      <w:tr w:rsidR="0002080C" w:rsidRPr="00DE2D55" w:rsidTr="00E64C5C">
        <w:tc>
          <w:tcPr>
            <w:tcW w:w="2013"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Unidade de medida</w:t>
            </w:r>
          </w:p>
        </w:tc>
        <w:tc>
          <w:tcPr>
            <w:tcW w:w="2551"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Meta (fim do projeto)</w:t>
            </w:r>
          </w:p>
        </w:tc>
        <w:tc>
          <w:tcPr>
            <w:tcW w:w="2127"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Linha de Base (2018)</w:t>
            </w:r>
          </w:p>
        </w:tc>
        <w:tc>
          <w:tcPr>
            <w:tcW w:w="2404" w:type="dxa"/>
            <w:shd w:val="clear" w:color="auto" w:fill="C5E0B3"/>
            <w:vAlign w:val="center"/>
          </w:tcPr>
          <w:p w:rsidR="0002080C" w:rsidRPr="00DE2D55" w:rsidRDefault="0002080C" w:rsidP="00FE560B">
            <w:pPr>
              <w:tabs>
                <w:tab w:val="left" w:pos="0"/>
              </w:tabs>
              <w:spacing w:line="240" w:lineRule="auto"/>
              <w:jc w:val="both"/>
              <w:rPr>
                <w:rFonts w:cs="Calibri"/>
                <w:b/>
              </w:rPr>
            </w:pPr>
            <w:r w:rsidRPr="00DE2D55">
              <w:rPr>
                <w:rFonts w:cs="Calibri"/>
                <w:b/>
              </w:rPr>
              <w:t>Fonte</w:t>
            </w:r>
          </w:p>
        </w:tc>
      </w:tr>
      <w:tr w:rsidR="0002080C" w:rsidRPr="00DE2D55" w:rsidTr="00E64C5C">
        <w:tc>
          <w:tcPr>
            <w:tcW w:w="2013"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Número</w:t>
            </w:r>
          </w:p>
        </w:tc>
        <w:tc>
          <w:tcPr>
            <w:tcW w:w="2551"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3 setores (indústria, comércio, serviços)</w:t>
            </w:r>
          </w:p>
        </w:tc>
        <w:tc>
          <w:tcPr>
            <w:tcW w:w="2127" w:type="dxa"/>
            <w:shd w:val="clear" w:color="auto" w:fill="auto"/>
            <w:vAlign w:val="center"/>
          </w:tcPr>
          <w:p w:rsidR="0002080C" w:rsidRPr="00DE2D55" w:rsidRDefault="0002080C" w:rsidP="00FE560B">
            <w:pPr>
              <w:tabs>
                <w:tab w:val="left" w:pos="0"/>
                <w:tab w:val="left" w:pos="795"/>
              </w:tabs>
              <w:spacing w:line="240" w:lineRule="auto"/>
              <w:ind w:left="37"/>
              <w:jc w:val="both"/>
              <w:rPr>
                <w:rFonts w:cs="Calibri"/>
                <w:highlight w:val="yellow"/>
              </w:rPr>
            </w:pPr>
            <w:r w:rsidRPr="00DE2D55">
              <w:rPr>
                <w:rFonts w:cs="Calibri"/>
              </w:rPr>
              <w:t>Informação não disponível via Web</w:t>
            </w:r>
          </w:p>
        </w:tc>
        <w:tc>
          <w:tcPr>
            <w:tcW w:w="2404" w:type="dxa"/>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Portal de Transparência</w:t>
            </w:r>
          </w:p>
        </w:tc>
      </w:tr>
    </w:tbl>
    <w:p w:rsidR="0002080C" w:rsidRPr="00DE2D55" w:rsidRDefault="0002080C" w:rsidP="00FE560B">
      <w:pPr>
        <w:tabs>
          <w:tab w:val="left" w:pos="0"/>
        </w:tabs>
        <w:suppressAutoHyphens/>
        <w:ind w:left="720"/>
        <w:jc w:val="both"/>
        <w:rPr>
          <w:rFonts w:cs="Calibri"/>
        </w:rPr>
      </w:pPr>
    </w:p>
    <w:p w:rsidR="0002080C" w:rsidRPr="00DE2D55" w:rsidRDefault="0002080C" w:rsidP="00FE560B">
      <w:pPr>
        <w:tabs>
          <w:tab w:val="left" w:pos="0"/>
        </w:tabs>
        <w:jc w:val="both"/>
        <w:rPr>
          <w:rFonts w:cs="Calibri"/>
          <w:b/>
        </w:rPr>
      </w:pPr>
      <w:r w:rsidRPr="00DE2D55">
        <w:rPr>
          <w:rFonts w:cs="Calibri"/>
          <w:b/>
        </w:rPr>
        <w:t xml:space="preserve">4.3-Outros possíveis resultados: </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Redução de tempo de trabalho do servidor por meio da automação do processo;</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da qualidade na técnica normativa;</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da acessibilidade à legislação tributária, pelos usuários, por meio do aprimoramento de mecanismo de buscas;</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Nivelamento do conhecimento a respeito da legislação tributária para todo o corpo técnico da SEF;</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do conhecimento sobre os aspectos macroeconômicos relacionados à política fiscal;</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Melhoria na qualidade da gestão dos benefícios fiscais;</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Apoio na tomada de decisão de concessão de benefício;</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do investimento de capital, do emprego e do produto interno bruto - e sua consequência de receita, ou impacto de receita;</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da facilidade de acesso à informação, com possível redução de consultas nos canais de atendimento;</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Aprimoramento da justiça fiscal; e</w:t>
      </w:r>
    </w:p>
    <w:p w:rsidR="0002080C" w:rsidRPr="00DE2D55" w:rsidRDefault="0002080C" w:rsidP="00FE560B">
      <w:pPr>
        <w:pStyle w:val="PargrafodaLista"/>
        <w:numPr>
          <w:ilvl w:val="0"/>
          <w:numId w:val="54"/>
        </w:numPr>
        <w:tabs>
          <w:tab w:val="left" w:pos="0"/>
        </w:tabs>
        <w:contextualSpacing w:val="0"/>
        <w:jc w:val="both"/>
        <w:rPr>
          <w:rFonts w:cs="Calibri"/>
        </w:rPr>
      </w:pPr>
      <w:r w:rsidRPr="00DE2D55">
        <w:rPr>
          <w:rFonts w:cs="Calibri"/>
        </w:rPr>
        <w:t>Aumento das atividades econômicas atribuíveis a esse incentivo fiscal, programa e os ganhos de receita gerados por todas essas atividades econômicas aumentadas.</w:t>
      </w:r>
    </w:p>
    <w:p w:rsidR="0002080C" w:rsidRDefault="0002080C" w:rsidP="00FE560B">
      <w:pPr>
        <w:tabs>
          <w:tab w:val="left" w:pos="0"/>
        </w:tabs>
        <w:suppressAutoHyphens/>
        <w:jc w:val="both"/>
        <w:rPr>
          <w:rFonts w:cs="Calibri"/>
        </w:rPr>
      </w:pPr>
    </w:p>
    <w:p w:rsidR="000F67FC" w:rsidRPr="00DE2D55" w:rsidRDefault="000F67FC" w:rsidP="00FE560B">
      <w:pPr>
        <w:tabs>
          <w:tab w:val="left" w:pos="0"/>
        </w:tabs>
        <w:suppressAutoHyphens/>
        <w:jc w:val="both"/>
        <w:rPr>
          <w:rFonts w:cs="Calibri"/>
        </w:rPr>
      </w:pPr>
    </w:p>
    <w:p w:rsidR="0002080C" w:rsidRPr="00DE2D55" w:rsidRDefault="00555E76"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5" w:name="_Toc517282095"/>
      <w:r>
        <w:rPr>
          <w:rFonts w:cs="Calibri"/>
          <w:b/>
        </w:rPr>
        <w:t>ASPECTOS</w:t>
      </w:r>
      <w:r w:rsidR="0002080C" w:rsidRPr="00DE2D55">
        <w:rPr>
          <w:rFonts w:cs="Calibri"/>
          <w:b/>
        </w:rPr>
        <w:t xml:space="preserve"> INOVADORES DO PRODUTO</w:t>
      </w:r>
      <w:bookmarkEnd w:id="75"/>
    </w:p>
    <w:p w:rsidR="0002080C" w:rsidRPr="00DE2D55" w:rsidRDefault="0002080C" w:rsidP="00FE560B">
      <w:pPr>
        <w:tabs>
          <w:tab w:val="left" w:pos="0"/>
        </w:tabs>
        <w:suppressAutoHyphens/>
        <w:jc w:val="both"/>
        <w:rPr>
          <w:rFonts w:cs="Calibri"/>
        </w:rPr>
      </w:pP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Controle de fluxo do processo legislativo;</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 xml:space="preserve"> Ferramenta avançada de busca;</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Controle automatizado prazos de vigência, alterações legislativas e referências entre as normas;</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Ferramenta de apoio à apuração da brecha tributária; e</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Ferramenta de apoio ao levantamento de benefícios fiscais concedidos.</w:t>
      </w:r>
    </w:p>
    <w:p w:rsidR="0002080C" w:rsidRPr="00DE2D55" w:rsidRDefault="0002080C" w:rsidP="00FE560B">
      <w:pPr>
        <w:tabs>
          <w:tab w:val="left" w:pos="0"/>
        </w:tabs>
        <w:suppressAutoHyphens/>
        <w:jc w:val="both"/>
        <w:rPr>
          <w:rFonts w:cs="Calibri"/>
        </w:rPr>
      </w:pPr>
    </w:p>
    <w:p w:rsidR="0002080C" w:rsidRPr="00DE2D55" w:rsidRDefault="0002080C"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6" w:name="_Toc517282096"/>
      <w:r w:rsidRPr="00DE2D55">
        <w:rPr>
          <w:rFonts w:cs="Calibri"/>
          <w:b/>
        </w:rPr>
        <w:t>RISCOS DE EXECUÇÃO RELACIONADOS AO PRODUTO</w:t>
      </w:r>
      <w:bookmarkEnd w:id="76"/>
      <w:r w:rsidRPr="00DE2D55">
        <w:rPr>
          <w:rFonts w:cs="Calibri"/>
          <w:b/>
        </w:rPr>
        <w:t xml:space="preserve"> </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O sistema não corresponder às expectativas ou não haver integração adequada do sistema;</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O usuário não se adaptar ao novo sistema;</w:t>
      </w:r>
    </w:p>
    <w:p w:rsidR="0002080C" w:rsidRPr="00DE2D55" w:rsidRDefault="0002080C" w:rsidP="00FE560B">
      <w:pPr>
        <w:pStyle w:val="PargrafodaLista"/>
        <w:numPr>
          <w:ilvl w:val="0"/>
          <w:numId w:val="60"/>
        </w:numPr>
        <w:tabs>
          <w:tab w:val="left" w:pos="0"/>
        </w:tabs>
        <w:contextualSpacing w:val="0"/>
        <w:jc w:val="both"/>
        <w:rPr>
          <w:rFonts w:cs="Calibri"/>
        </w:rPr>
      </w:pPr>
      <w:r w:rsidRPr="00DE2D55">
        <w:rPr>
          <w:rFonts w:cs="Calibri"/>
        </w:rPr>
        <w:t>Dificuldades em estabelecer as variáveis e obter os dados corretos para apoiar tomadas de decisão sobre benefícios fiscais; e</w:t>
      </w:r>
    </w:p>
    <w:p w:rsidR="0002080C" w:rsidRDefault="0002080C" w:rsidP="00FE560B">
      <w:pPr>
        <w:pStyle w:val="PargrafodaLista"/>
        <w:numPr>
          <w:ilvl w:val="0"/>
          <w:numId w:val="60"/>
        </w:numPr>
        <w:tabs>
          <w:tab w:val="left" w:pos="0"/>
        </w:tabs>
        <w:contextualSpacing w:val="0"/>
        <w:jc w:val="both"/>
        <w:rPr>
          <w:rFonts w:cs="Calibri"/>
        </w:rPr>
      </w:pPr>
      <w:r w:rsidRPr="00DE2D55">
        <w:rPr>
          <w:rFonts w:cs="Calibri"/>
        </w:rPr>
        <w:t>Dificuldades em obter dados confiáveis para apurar a brecha tributária.</w:t>
      </w:r>
    </w:p>
    <w:p w:rsidR="00C065FA" w:rsidRPr="00DE2D55" w:rsidRDefault="00C065FA" w:rsidP="00FE560B">
      <w:pPr>
        <w:pStyle w:val="PargrafodaLista"/>
        <w:tabs>
          <w:tab w:val="left" w:pos="0"/>
        </w:tabs>
        <w:contextualSpacing w:val="0"/>
        <w:jc w:val="both"/>
        <w:rPr>
          <w:rFonts w:cs="Calibri"/>
        </w:rPr>
      </w:pPr>
    </w:p>
    <w:p w:rsidR="0002080C" w:rsidRPr="00DE2D55" w:rsidRDefault="00873ECE"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7" w:name="_Toc517282097"/>
      <w:r w:rsidRPr="00DE2D55">
        <w:rPr>
          <w:rFonts w:cs="Calibri"/>
          <w:b/>
        </w:rPr>
        <w:t xml:space="preserve">QUADRO DE CUSTOS DO PRODUTO POR TIPO </w:t>
      </w:r>
      <w:r w:rsidR="0002080C" w:rsidRPr="00DE2D55">
        <w:rPr>
          <w:rFonts w:cs="Calibri"/>
          <w:b/>
        </w:rPr>
        <w:t>DE INVESTIMENTO</w:t>
      </w:r>
      <w:bookmarkEnd w:id="77"/>
    </w:p>
    <w:tbl>
      <w:tblPr>
        <w:tblW w:w="10654" w:type="dxa"/>
        <w:tblInd w:w="-214" w:type="dxa"/>
        <w:tblCellMar>
          <w:left w:w="70" w:type="dxa"/>
          <w:right w:w="70" w:type="dxa"/>
        </w:tblCellMar>
        <w:tblLook w:val="04A0" w:firstRow="1" w:lastRow="0" w:firstColumn="1" w:lastColumn="0" w:noHBand="0" w:noVBand="1"/>
      </w:tblPr>
      <w:tblGrid>
        <w:gridCol w:w="771"/>
        <w:gridCol w:w="6069"/>
        <w:gridCol w:w="888"/>
        <w:gridCol w:w="1317"/>
        <w:gridCol w:w="1317"/>
        <w:gridCol w:w="146"/>
        <w:gridCol w:w="146"/>
      </w:tblGrid>
      <w:tr w:rsidR="0002080C" w:rsidRPr="00DE2D55" w:rsidTr="0002080C">
        <w:trPr>
          <w:gridAfter w:val="2"/>
          <w:wAfter w:w="292" w:type="dxa"/>
          <w:trHeight w:val="255"/>
        </w:trPr>
        <w:tc>
          <w:tcPr>
            <w:tcW w:w="10362" w:type="dxa"/>
            <w:gridSpan w:val="5"/>
            <w:tcBorders>
              <w:top w:val="single" w:sz="4" w:space="0" w:color="000000"/>
              <w:left w:val="single" w:sz="8" w:space="0" w:color="auto"/>
              <w:bottom w:val="single" w:sz="4" w:space="0" w:color="000000"/>
              <w:right w:val="single" w:sz="4" w:space="0" w:color="000000"/>
            </w:tcBorders>
            <w:shd w:val="clear" w:color="auto" w:fill="C5E0B3"/>
            <w:noWrap/>
            <w:vAlign w:val="center"/>
          </w:tcPr>
          <w:p w:rsidR="0002080C" w:rsidRPr="00DE2D55" w:rsidRDefault="0002080C" w:rsidP="00FE560B">
            <w:pPr>
              <w:tabs>
                <w:tab w:val="left" w:pos="0"/>
              </w:tabs>
              <w:spacing w:line="240" w:lineRule="auto"/>
              <w:jc w:val="both"/>
              <w:rPr>
                <w:rFonts w:cs="Calibri"/>
                <w:b/>
              </w:rPr>
            </w:pPr>
            <w:r w:rsidRPr="00DE2D55">
              <w:rPr>
                <w:rFonts w:cs="Calibri"/>
                <w:b/>
              </w:rPr>
              <w:t>Capacitação</w:t>
            </w:r>
          </w:p>
        </w:tc>
      </w:tr>
      <w:tr w:rsidR="0002080C" w:rsidRPr="00DE2D55" w:rsidTr="000F67FC">
        <w:trPr>
          <w:trHeight w:val="257"/>
        </w:trPr>
        <w:tc>
          <w:tcPr>
            <w:tcW w:w="771"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SubP</w:t>
            </w:r>
          </w:p>
        </w:tc>
        <w:tc>
          <w:tcPr>
            <w:tcW w:w="6069"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b/>
              </w:rPr>
            </w:pPr>
            <w:r w:rsidRPr="00DE2D55">
              <w:rPr>
                <w:rFonts w:cs="Calibri"/>
                <w:b/>
              </w:rPr>
              <w:t>TEMA</w:t>
            </w:r>
          </w:p>
        </w:tc>
        <w:tc>
          <w:tcPr>
            <w:tcW w:w="888"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QT PART.</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UNIT. (R$)</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TOTAL (R$)</w:t>
            </w:r>
          </w:p>
        </w:tc>
        <w:tc>
          <w:tcPr>
            <w:tcW w:w="146" w:type="dxa"/>
            <w:vAlign w:val="center"/>
          </w:tcPr>
          <w:p w:rsidR="0002080C" w:rsidRPr="00DE2D55" w:rsidRDefault="0002080C" w:rsidP="00FE560B">
            <w:pPr>
              <w:tabs>
                <w:tab w:val="left" w:pos="0"/>
              </w:tabs>
              <w:spacing w:line="240" w:lineRule="auto"/>
              <w:jc w:val="both"/>
              <w:rPr>
                <w:rFonts w:cs="Calibri"/>
                <w:b/>
              </w:rPr>
            </w:pPr>
          </w:p>
        </w:tc>
        <w:tc>
          <w:tcPr>
            <w:tcW w:w="146" w:type="dxa"/>
            <w:vAlign w:val="center"/>
          </w:tcPr>
          <w:p w:rsidR="0002080C" w:rsidRPr="00DE2D55" w:rsidRDefault="0002080C" w:rsidP="00FE560B">
            <w:pPr>
              <w:tabs>
                <w:tab w:val="left" w:pos="0"/>
              </w:tabs>
              <w:spacing w:line="240" w:lineRule="auto"/>
              <w:jc w:val="both"/>
              <w:rPr>
                <w:rFonts w:cs="Calibri"/>
                <w:b/>
              </w:rPr>
            </w:pPr>
          </w:p>
        </w:tc>
      </w:tr>
      <w:tr w:rsidR="0002080C" w:rsidRPr="00DE2D55" w:rsidTr="000F67FC">
        <w:trPr>
          <w:trHeight w:val="257"/>
        </w:trPr>
        <w:tc>
          <w:tcPr>
            <w:tcW w:w="771"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2.1.1</w:t>
            </w:r>
          </w:p>
        </w:tc>
        <w:tc>
          <w:tcPr>
            <w:tcW w:w="6069"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Visitas técnicas (3 visitas x 3 servidores)</w:t>
            </w:r>
          </w:p>
        </w:tc>
        <w:tc>
          <w:tcPr>
            <w:tcW w:w="888"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9</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3.000,00</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27.000,00</w:t>
            </w:r>
          </w:p>
        </w:tc>
        <w:tc>
          <w:tcPr>
            <w:tcW w:w="146" w:type="dxa"/>
            <w:vAlign w:val="center"/>
          </w:tcPr>
          <w:p w:rsidR="0002080C" w:rsidRPr="00DE2D55" w:rsidRDefault="0002080C" w:rsidP="00FE560B">
            <w:pPr>
              <w:tabs>
                <w:tab w:val="left" w:pos="0"/>
              </w:tabs>
              <w:spacing w:line="240" w:lineRule="auto"/>
              <w:jc w:val="both"/>
              <w:rPr>
                <w:rFonts w:cs="Calibri"/>
                <w:b/>
              </w:rPr>
            </w:pPr>
          </w:p>
        </w:tc>
        <w:tc>
          <w:tcPr>
            <w:tcW w:w="146" w:type="dxa"/>
            <w:vAlign w:val="center"/>
          </w:tcPr>
          <w:p w:rsidR="0002080C" w:rsidRPr="00DE2D55" w:rsidRDefault="0002080C" w:rsidP="00FE560B">
            <w:pPr>
              <w:tabs>
                <w:tab w:val="left" w:pos="0"/>
              </w:tabs>
              <w:spacing w:line="240" w:lineRule="auto"/>
              <w:jc w:val="both"/>
              <w:rPr>
                <w:rFonts w:cs="Calibri"/>
                <w:b/>
              </w:rPr>
            </w:pPr>
          </w:p>
        </w:tc>
      </w:tr>
      <w:tr w:rsidR="0002080C" w:rsidRPr="00DE2D55" w:rsidTr="000F67FC">
        <w:trPr>
          <w:trHeight w:val="257"/>
        </w:trPr>
        <w:tc>
          <w:tcPr>
            <w:tcW w:w="771"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2.1.2</w:t>
            </w:r>
          </w:p>
        </w:tc>
        <w:tc>
          <w:tcPr>
            <w:tcW w:w="6069"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Capacitação em legislação, benefícios e gastos tributários</w:t>
            </w:r>
          </w:p>
        </w:tc>
        <w:tc>
          <w:tcPr>
            <w:tcW w:w="888"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10</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6.550,00</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65.500,00</w:t>
            </w:r>
          </w:p>
        </w:tc>
        <w:tc>
          <w:tcPr>
            <w:tcW w:w="146" w:type="dxa"/>
            <w:vAlign w:val="center"/>
          </w:tcPr>
          <w:p w:rsidR="0002080C" w:rsidRPr="00DE2D55" w:rsidRDefault="0002080C" w:rsidP="00FE560B">
            <w:pPr>
              <w:tabs>
                <w:tab w:val="left" w:pos="0"/>
              </w:tabs>
              <w:spacing w:line="240" w:lineRule="auto"/>
              <w:jc w:val="both"/>
              <w:rPr>
                <w:rFonts w:cs="Calibri"/>
                <w:b/>
              </w:rPr>
            </w:pPr>
          </w:p>
        </w:tc>
        <w:tc>
          <w:tcPr>
            <w:tcW w:w="146" w:type="dxa"/>
            <w:vAlign w:val="center"/>
          </w:tcPr>
          <w:p w:rsidR="0002080C" w:rsidRPr="00DE2D55" w:rsidRDefault="0002080C" w:rsidP="00FE560B">
            <w:pPr>
              <w:tabs>
                <w:tab w:val="left" w:pos="0"/>
              </w:tabs>
              <w:spacing w:line="240" w:lineRule="auto"/>
              <w:jc w:val="both"/>
              <w:rPr>
                <w:rFonts w:cs="Calibri"/>
                <w:b/>
              </w:rPr>
            </w:pPr>
          </w:p>
        </w:tc>
      </w:tr>
      <w:tr w:rsidR="0002080C" w:rsidRPr="00DE2D55" w:rsidTr="0002080C">
        <w:trPr>
          <w:gridAfter w:val="2"/>
          <w:wAfter w:w="292" w:type="dxa"/>
          <w:trHeight w:val="255"/>
        </w:trPr>
        <w:tc>
          <w:tcPr>
            <w:tcW w:w="10362" w:type="dxa"/>
            <w:gridSpan w:val="5"/>
            <w:tcBorders>
              <w:top w:val="single" w:sz="4" w:space="0" w:color="000000"/>
              <w:left w:val="single" w:sz="8" w:space="0" w:color="auto"/>
              <w:bottom w:val="single" w:sz="4" w:space="0" w:color="000000"/>
              <w:right w:val="single" w:sz="4" w:space="0" w:color="000000"/>
            </w:tcBorders>
            <w:shd w:val="clear" w:color="auto" w:fill="C5E0B3"/>
            <w:noWrap/>
            <w:vAlign w:val="center"/>
          </w:tcPr>
          <w:p w:rsidR="0002080C" w:rsidRPr="00DE2D55" w:rsidRDefault="0002080C" w:rsidP="00FE560B">
            <w:pPr>
              <w:tabs>
                <w:tab w:val="left" w:pos="0"/>
              </w:tabs>
              <w:spacing w:line="240" w:lineRule="auto"/>
              <w:jc w:val="both"/>
              <w:rPr>
                <w:rFonts w:cs="Calibri"/>
                <w:b/>
              </w:rPr>
            </w:pPr>
            <w:r w:rsidRPr="00DE2D55">
              <w:rPr>
                <w:rFonts w:cs="Calibri"/>
                <w:b/>
              </w:rPr>
              <w:t>Consultoria</w:t>
            </w:r>
          </w:p>
        </w:tc>
      </w:tr>
      <w:tr w:rsidR="0002080C" w:rsidRPr="00DE2D55" w:rsidTr="000F67FC">
        <w:trPr>
          <w:trHeight w:val="257"/>
        </w:trPr>
        <w:tc>
          <w:tcPr>
            <w:tcW w:w="771"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SubP</w:t>
            </w:r>
          </w:p>
        </w:tc>
        <w:tc>
          <w:tcPr>
            <w:tcW w:w="6069"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b/>
              </w:rPr>
            </w:pPr>
            <w:r w:rsidRPr="00DE2D55">
              <w:rPr>
                <w:rFonts w:cs="Calibri"/>
                <w:b/>
              </w:rPr>
              <w:t>TEMA</w:t>
            </w:r>
          </w:p>
        </w:tc>
        <w:tc>
          <w:tcPr>
            <w:tcW w:w="888"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 xml:space="preserve">QT </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UNIT. (R$)</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TOTAL (R$)</w:t>
            </w:r>
          </w:p>
        </w:tc>
        <w:tc>
          <w:tcPr>
            <w:tcW w:w="146" w:type="dxa"/>
            <w:vAlign w:val="center"/>
          </w:tcPr>
          <w:p w:rsidR="0002080C" w:rsidRPr="00DE2D55" w:rsidRDefault="0002080C" w:rsidP="00FE560B">
            <w:pPr>
              <w:tabs>
                <w:tab w:val="left" w:pos="0"/>
              </w:tabs>
              <w:spacing w:line="240" w:lineRule="auto"/>
              <w:jc w:val="both"/>
              <w:rPr>
                <w:rFonts w:cs="Calibri"/>
                <w:b/>
              </w:rPr>
            </w:pPr>
          </w:p>
        </w:tc>
        <w:tc>
          <w:tcPr>
            <w:tcW w:w="146" w:type="dxa"/>
            <w:vAlign w:val="center"/>
          </w:tcPr>
          <w:p w:rsidR="0002080C" w:rsidRPr="00DE2D55" w:rsidRDefault="0002080C" w:rsidP="00FE560B">
            <w:pPr>
              <w:tabs>
                <w:tab w:val="left" w:pos="0"/>
              </w:tabs>
              <w:spacing w:line="240" w:lineRule="auto"/>
              <w:jc w:val="both"/>
              <w:rPr>
                <w:rFonts w:cs="Calibri"/>
                <w:b/>
              </w:rPr>
            </w:pPr>
          </w:p>
        </w:tc>
      </w:tr>
      <w:tr w:rsidR="0002080C" w:rsidRPr="00DE2D55" w:rsidTr="000F67FC">
        <w:trPr>
          <w:gridAfter w:val="2"/>
          <w:wAfter w:w="292" w:type="dxa"/>
          <w:trHeight w:val="265"/>
        </w:trPr>
        <w:tc>
          <w:tcPr>
            <w:tcW w:w="771" w:type="dxa"/>
            <w:tcBorders>
              <w:top w:val="single" w:sz="4" w:space="0" w:color="auto"/>
              <w:left w:val="single" w:sz="8" w:space="0" w:color="auto"/>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2.1.1</w:t>
            </w:r>
          </w:p>
        </w:tc>
        <w:tc>
          <w:tcPr>
            <w:tcW w:w="6069" w:type="dxa"/>
            <w:tcBorders>
              <w:top w:val="single" w:sz="4" w:space="0" w:color="auto"/>
              <w:left w:val="nil"/>
              <w:bottom w:val="nil"/>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Mapeamento do processo de concessão e controle do gasto tributário na sua totalidade (incluindo a SEDES e outros órgãos)</w:t>
            </w:r>
          </w:p>
        </w:tc>
        <w:tc>
          <w:tcPr>
            <w:tcW w:w="888"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w:t>
            </w:r>
          </w:p>
        </w:tc>
        <w:tc>
          <w:tcPr>
            <w:tcW w:w="1317"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375.000,00</w:t>
            </w:r>
          </w:p>
        </w:tc>
        <w:tc>
          <w:tcPr>
            <w:tcW w:w="1317"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375.000,00</w:t>
            </w:r>
          </w:p>
        </w:tc>
      </w:tr>
      <w:tr w:rsidR="0002080C" w:rsidRPr="00DE2D55" w:rsidTr="000F67FC">
        <w:trPr>
          <w:gridAfter w:val="2"/>
          <w:wAfter w:w="292" w:type="dxa"/>
          <w:trHeight w:val="265"/>
        </w:trPr>
        <w:tc>
          <w:tcPr>
            <w:tcW w:w="771" w:type="dxa"/>
            <w:tcBorders>
              <w:top w:val="single" w:sz="4" w:space="0" w:color="auto"/>
              <w:left w:val="single" w:sz="8" w:space="0" w:color="auto"/>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2.1.1</w:t>
            </w:r>
          </w:p>
        </w:tc>
        <w:tc>
          <w:tcPr>
            <w:tcW w:w="6069" w:type="dxa"/>
            <w:tcBorders>
              <w:top w:val="single" w:sz="4" w:space="0" w:color="auto"/>
              <w:left w:val="nil"/>
              <w:bottom w:val="nil"/>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Definição de metodologia de estimativa do GAP fiscal; a concessão vinculada a uma estratégia governamental; a identificação dos benefícios fiscais já previstos na legislação estadual; definição de sistemática de monitoramento e avaliação; Revisão e ajuste da legislação referente à renúncia fiscal.</w:t>
            </w:r>
          </w:p>
        </w:tc>
        <w:tc>
          <w:tcPr>
            <w:tcW w:w="888"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w:t>
            </w:r>
          </w:p>
        </w:tc>
        <w:tc>
          <w:tcPr>
            <w:tcW w:w="1317"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375.000,00</w:t>
            </w:r>
          </w:p>
        </w:tc>
        <w:tc>
          <w:tcPr>
            <w:tcW w:w="1317"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375.000,00</w:t>
            </w:r>
          </w:p>
        </w:tc>
      </w:tr>
      <w:tr w:rsidR="0002080C" w:rsidRPr="00555E76" w:rsidTr="0002080C">
        <w:trPr>
          <w:gridAfter w:val="2"/>
          <w:wAfter w:w="292" w:type="dxa"/>
          <w:trHeight w:val="265"/>
        </w:trPr>
        <w:tc>
          <w:tcPr>
            <w:tcW w:w="10362" w:type="dxa"/>
            <w:gridSpan w:val="5"/>
            <w:tcBorders>
              <w:top w:val="single" w:sz="4" w:space="0" w:color="auto"/>
              <w:left w:val="single" w:sz="8" w:space="0" w:color="auto"/>
              <w:bottom w:val="nil"/>
              <w:right w:val="single" w:sz="4" w:space="0" w:color="000000"/>
            </w:tcBorders>
            <w:shd w:val="clear" w:color="auto" w:fill="7EB1E6" w:themeFill="accent3" w:themeFillTint="99"/>
            <w:noWrap/>
            <w:vAlign w:val="center"/>
          </w:tcPr>
          <w:p w:rsidR="0002080C" w:rsidRPr="00DE2D55" w:rsidRDefault="0002080C" w:rsidP="00FE560B">
            <w:pPr>
              <w:tabs>
                <w:tab w:val="left" w:pos="0"/>
              </w:tabs>
              <w:spacing w:line="240" w:lineRule="auto"/>
              <w:jc w:val="both"/>
              <w:rPr>
                <w:rFonts w:cs="Calibri"/>
                <w:b/>
              </w:rPr>
            </w:pPr>
            <w:r w:rsidRPr="00DE2D55">
              <w:rPr>
                <w:rFonts w:cs="Calibri"/>
                <w:b/>
              </w:rPr>
              <w:t>Serviço que não é Consultoria</w:t>
            </w:r>
          </w:p>
        </w:tc>
      </w:tr>
      <w:tr w:rsidR="0002080C" w:rsidRPr="00DE2D55" w:rsidTr="0002080C">
        <w:trPr>
          <w:gridAfter w:val="2"/>
          <w:wAfter w:w="292" w:type="dxa"/>
          <w:trHeight w:val="255"/>
        </w:trPr>
        <w:tc>
          <w:tcPr>
            <w:tcW w:w="10362" w:type="dxa"/>
            <w:gridSpan w:val="5"/>
            <w:tcBorders>
              <w:top w:val="single" w:sz="4" w:space="0" w:color="000000"/>
              <w:left w:val="single" w:sz="8" w:space="0" w:color="auto"/>
              <w:bottom w:val="single" w:sz="4" w:space="0" w:color="000000"/>
              <w:right w:val="single" w:sz="4" w:space="0" w:color="000000"/>
            </w:tcBorders>
            <w:shd w:val="clear" w:color="auto" w:fill="auto"/>
            <w:noWrap/>
            <w:vAlign w:val="center"/>
          </w:tcPr>
          <w:tbl>
            <w:tblPr>
              <w:tblW w:w="10207" w:type="dxa"/>
              <w:tblCellMar>
                <w:left w:w="70" w:type="dxa"/>
                <w:right w:w="70" w:type="dxa"/>
              </w:tblCellMar>
              <w:tblLook w:val="04A0" w:firstRow="1" w:lastRow="0" w:firstColumn="1" w:lastColumn="0" w:noHBand="0" w:noVBand="1"/>
            </w:tblPr>
            <w:tblGrid>
              <w:gridCol w:w="598"/>
              <w:gridCol w:w="6073"/>
              <w:gridCol w:w="866"/>
              <w:gridCol w:w="1335"/>
              <w:gridCol w:w="1335"/>
            </w:tblGrid>
            <w:tr w:rsidR="0002080C" w:rsidRPr="00DE2D55" w:rsidTr="000F67FC">
              <w:trPr>
                <w:trHeight w:val="257"/>
              </w:trPr>
              <w:tc>
                <w:tcPr>
                  <w:tcW w:w="5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SubP</w:t>
                  </w:r>
                </w:p>
              </w:tc>
              <w:tc>
                <w:tcPr>
                  <w:tcW w:w="6121"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b/>
                    </w:rPr>
                  </w:pPr>
                  <w:r w:rsidRPr="00DE2D55">
                    <w:rPr>
                      <w:rFonts w:cs="Calibri"/>
                      <w:b/>
                    </w:rPr>
                    <w:t>TEMA</w:t>
                  </w:r>
                </w:p>
              </w:tc>
              <w:tc>
                <w:tcPr>
                  <w:tcW w:w="866"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 xml:space="preserve">QT </w:t>
                  </w:r>
                </w:p>
              </w:tc>
              <w:tc>
                <w:tcPr>
                  <w:tcW w:w="1335"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UNIT. (R$)</w:t>
                  </w:r>
                </w:p>
              </w:tc>
              <w:tc>
                <w:tcPr>
                  <w:tcW w:w="1335"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TOTAL (R$)</w:t>
                  </w:r>
                </w:p>
              </w:tc>
            </w:tr>
            <w:tr w:rsidR="0002080C" w:rsidRPr="00DE2D55" w:rsidTr="000F67FC">
              <w:trPr>
                <w:trHeight w:val="265"/>
              </w:trPr>
              <w:tc>
                <w:tcPr>
                  <w:tcW w:w="550" w:type="dxa"/>
                  <w:tcBorders>
                    <w:top w:val="single" w:sz="4" w:space="0" w:color="auto"/>
                    <w:left w:val="single" w:sz="8" w:space="0" w:color="auto"/>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2.1.2</w:t>
                  </w:r>
                </w:p>
              </w:tc>
              <w:tc>
                <w:tcPr>
                  <w:tcW w:w="6121" w:type="dxa"/>
                  <w:tcBorders>
                    <w:top w:val="single" w:sz="4" w:space="0" w:color="auto"/>
                    <w:left w:val="nil"/>
                    <w:bottom w:val="nil"/>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Sistema informatizado de Gestão de benefícios e incentivos fiscais, com apuração de impactos dos benefícios do ICMS, IPVA e ITCMD.</w:t>
                  </w:r>
                </w:p>
              </w:tc>
              <w:tc>
                <w:tcPr>
                  <w:tcW w:w="866"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w:t>
                  </w:r>
                </w:p>
              </w:tc>
              <w:tc>
                <w:tcPr>
                  <w:tcW w:w="1335"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1.000.000,00</w:t>
                  </w:r>
                </w:p>
              </w:tc>
              <w:tc>
                <w:tcPr>
                  <w:tcW w:w="1335" w:type="dxa"/>
                  <w:tcBorders>
                    <w:top w:val="single" w:sz="4" w:space="0" w:color="auto"/>
                    <w:left w:val="nil"/>
                    <w:bottom w:val="nil"/>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1.000.000,00</w:t>
                  </w:r>
                </w:p>
              </w:tc>
            </w:tr>
          </w:tbl>
          <w:p w:rsidR="0002080C" w:rsidRPr="00DE2D55" w:rsidRDefault="0002080C" w:rsidP="00FE560B">
            <w:pPr>
              <w:tabs>
                <w:tab w:val="left" w:pos="0"/>
              </w:tabs>
              <w:spacing w:line="240" w:lineRule="auto"/>
              <w:jc w:val="both"/>
              <w:rPr>
                <w:rFonts w:cs="Calibri"/>
                <w:b/>
              </w:rPr>
            </w:pPr>
          </w:p>
        </w:tc>
      </w:tr>
      <w:tr w:rsidR="0002080C" w:rsidRPr="00DE2D55" w:rsidTr="0002080C">
        <w:trPr>
          <w:gridAfter w:val="2"/>
          <w:wAfter w:w="292" w:type="dxa"/>
          <w:trHeight w:val="255"/>
        </w:trPr>
        <w:tc>
          <w:tcPr>
            <w:tcW w:w="10362" w:type="dxa"/>
            <w:gridSpan w:val="5"/>
            <w:tcBorders>
              <w:top w:val="single" w:sz="4" w:space="0" w:color="000000"/>
              <w:left w:val="single" w:sz="8" w:space="0" w:color="auto"/>
              <w:bottom w:val="single" w:sz="4" w:space="0" w:color="000000"/>
              <w:right w:val="single" w:sz="4" w:space="0" w:color="000000"/>
            </w:tcBorders>
            <w:shd w:val="clear" w:color="auto" w:fill="C5E0B3"/>
            <w:noWrap/>
            <w:vAlign w:val="center"/>
          </w:tcPr>
          <w:p w:rsidR="0002080C" w:rsidRPr="00DE2D55" w:rsidRDefault="0002080C" w:rsidP="00FE560B">
            <w:pPr>
              <w:tabs>
                <w:tab w:val="left" w:pos="0"/>
              </w:tabs>
              <w:spacing w:line="240" w:lineRule="auto"/>
              <w:jc w:val="both"/>
              <w:rPr>
                <w:rFonts w:cs="Calibri"/>
                <w:b/>
              </w:rPr>
            </w:pPr>
            <w:r w:rsidRPr="00DE2D55">
              <w:rPr>
                <w:rFonts w:cs="Calibri"/>
                <w:b/>
              </w:rPr>
              <w:t xml:space="preserve">Bens </w:t>
            </w:r>
          </w:p>
        </w:tc>
      </w:tr>
      <w:tr w:rsidR="0002080C" w:rsidRPr="00DE2D55" w:rsidTr="000F67FC">
        <w:trPr>
          <w:trHeight w:val="257"/>
        </w:trPr>
        <w:tc>
          <w:tcPr>
            <w:tcW w:w="771"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SubP</w:t>
            </w:r>
          </w:p>
        </w:tc>
        <w:tc>
          <w:tcPr>
            <w:tcW w:w="6069" w:type="dxa"/>
            <w:tcBorders>
              <w:top w:val="single" w:sz="4" w:space="0" w:color="000000"/>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b/>
              </w:rPr>
            </w:pPr>
            <w:r w:rsidRPr="00DE2D55">
              <w:rPr>
                <w:rFonts w:cs="Calibri"/>
                <w:b/>
              </w:rPr>
              <w:t>ESPECIFICAÇÃO</w:t>
            </w:r>
          </w:p>
        </w:tc>
        <w:tc>
          <w:tcPr>
            <w:tcW w:w="888"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 xml:space="preserve">QT </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UNIT. (R$)</w:t>
            </w:r>
          </w:p>
        </w:tc>
        <w:tc>
          <w:tcPr>
            <w:tcW w:w="1317" w:type="dxa"/>
            <w:tcBorders>
              <w:top w:val="single" w:sz="4" w:space="0" w:color="000000"/>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b/>
              </w:rPr>
            </w:pPr>
            <w:r w:rsidRPr="00DE2D55">
              <w:rPr>
                <w:rFonts w:cs="Calibri"/>
                <w:b/>
              </w:rPr>
              <w:t>VALOR TOTAL (R$)</w:t>
            </w:r>
          </w:p>
        </w:tc>
        <w:tc>
          <w:tcPr>
            <w:tcW w:w="146" w:type="dxa"/>
            <w:vAlign w:val="center"/>
          </w:tcPr>
          <w:p w:rsidR="0002080C" w:rsidRPr="00DE2D55" w:rsidRDefault="0002080C" w:rsidP="00FE560B">
            <w:pPr>
              <w:tabs>
                <w:tab w:val="left" w:pos="0"/>
              </w:tabs>
              <w:spacing w:line="240" w:lineRule="auto"/>
              <w:jc w:val="both"/>
              <w:rPr>
                <w:rFonts w:cs="Calibri"/>
                <w:b/>
              </w:rPr>
            </w:pPr>
          </w:p>
        </w:tc>
        <w:tc>
          <w:tcPr>
            <w:tcW w:w="146" w:type="dxa"/>
            <w:vAlign w:val="center"/>
          </w:tcPr>
          <w:p w:rsidR="0002080C" w:rsidRPr="00DE2D55" w:rsidRDefault="0002080C" w:rsidP="00FE560B">
            <w:pPr>
              <w:tabs>
                <w:tab w:val="left" w:pos="0"/>
              </w:tabs>
              <w:spacing w:line="240" w:lineRule="auto"/>
              <w:jc w:val="both"/>
              <w:rPr>
                <w:rFonts w:cs="Calibri"/>
                <w:b/>
              </w:rPr>
            </w:pPr>
          </w:p>
        </w:tc>
      </w:tr>
      <w:tr w:rsidR="0002080C" w:rsidRPr="00DE2D55" w:rsidTr="000F67FC">
        <w:trPr>
          <w:gridAfter w:val="2"/>
          <w:wAfter w:w="292" w:type="dxa"/>
          <w:trHeight w:val="265"/>
        </w:trPr>
        <w:tc>
          <w:tcPr>
            <w:tcW w:w="771" w:type="dxa"/>
            <w:tcBorders>
              <w:top w:val="nil"/>
              <w:left w:val="single" w:sz="8" w:space="0" w:color="auto"/>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2.1.1</w:t>
            </w:r>
          </w:p>
        </w:tc>
        <w:tc>
          <w:tcPr>
            <w:tcW w:w="6069" w:type="dxa"/>
            <w:tcBorders>
              <w:top w:val="nil"/>
              <w:left w:val="nil"/>
              <w:bottom w:val="single" w:sz="4" w:space="0" w:color="000000"/>
              <w:right w:val="single" w:sz="4" w:space="0" w:color="000000"/>
            </w:tcBorders>
            <w:shd w:val="clear" w:color="auto" w:fill="auto"/>
            <w:vAlign w:val="center"/>
          </w:tcPr>
          <w:p w:rsidR="0002080C" w:rsidRPr="00DE2D55" w:rsidRDefault="0002080C" w:rsidP="00FE560B">
            <w:pPr>
              <w:tabs>
                <w:tab w:val="left" w:pos="0"/>
              </w:tabs>
              <w:spacing w:line="240" w:lineRule="auto"/>
              <w:jc w:val="both"/>
              <w:rPr>
                <w:rFonts w:cs="Calibri"/>
              </w:rPr>
            </w:pPr>
            <w:r w:rsidRPr="00DE2D55">
              <w:rPr>
                <w:rFonts w:cs="Calibri"/>
              </w:rPr>
              <w:t>Material didático para capacitação técnica</w:t>
            </w:r>
          </w:p>
        </w:tc>
        <w:tc>
          <w:tcPr>
            <w:tcW w:w="888" w:type="dxa"/>
            <w:tcBorders>
              <w:top w:val="nil"/>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w:t>
            </w:r>
          </w:p>
        </w:tc>
        <w:tc>
          <w:tcPr>
            <w:tcW w:w="1317" w:type="dxa"/>
            <w:tcBorders>
              <w:top w:val="nil"/>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140.000,00</w:t>
            </w:r>
          </w:p>
        </w:tc>
        <w:tc>
          <w:tcPr>
            <w:tcW w:w="1317" w:type="dxa"/>
            <w:tcBorders>
              <w:top w:val="nil"/>
              <w:left w:val="nil"/>
              <w:bottom w:val="single" w:sz="4" w:space="0" w:color="000000"/>
              <w:right w:val="single" w:sz="4" w:space="0" w:color="000000"/>
            </w:tcBorders>
            <w:shd w:val="clear" w:color="auto" w:fill="auto"/>
            <w:noWrap/>
            <w:vAlign w:val="center"/>
          </w:tcPr>
          <w:p w:rsidR="0002080C" w:rsidRPr="00DE2D55" w:rsidRDefault="0002080C" w:rsidP="00FE560B">
            <w:pPr>
              <w:tabs>
                <w:tab w:val="left" w:pos="0"/>
              </w:tabs>
              <w:spacing w:line="240" w:lineRule="auto"/>
              <w:jc w:val="both"/>
              <w:rPr>
                <w:rFonts w:cs="Calibri"/>
              </w:rPr>
            </w:pPr>
            <w:r w:rsidRPr="00DE2D55">
              <w:rPr>
                <w:rFonts w:cs="Calibri"/>
              </w:rPr>
              <w:t>140.000,00</w:t>
            </w:r>
          </w:p>
        </w:tc>
      </w:tr>
      <w:tr w:rsidR="0002080C" w:rsidRPr="00DE2D55" w:rsidTr="0002080C">
        <w:trPr>
          <w:gridAfter w:val="2"/>
          <w:wAfter w:w="292" w:type="dxa"/>
          <w:trHeight w:val="265"/>
        </w:trPr>
        <w:tc>
          <w:tcPr>
            <w:tcW w:w="7728" w:type="dxa"/>
            <w:gridSpan w:val="3"/>
            <w:tcBorders>
              <w:top w:val="single" w:sz="4" w:space="0" w:color="auto"/>
              <w:left w:val="single" w:sz="8" w:space="0" w:color="auto"/>
              <w:bottom w:val="single" w:sz="4" w:space="0" w:color="auto"/>
              <w:right w:val="single" w:sz="4" w:space="0" w:color="000000"/>
            </w:tcBorders>
            <w:shd w:val="clear" w:color="auto" w:fill="C2D69B"/>
            <w:noWrap/>
            <w:vAlign w:val="center"/>
          </w:tcPr>
          <w:p w:rsidR="0002080C" w:rsidRPr="00DE2D55" w:rsidRDefault="0002080C" w:rsidP="00FE560B">
            <w:pPr>
              <w:tabs>
                <w:tab w:val="left" w:pos="0"/>
              </w:tabs>
              <w:spacing w:line="240" w:lineRule="auto"/>
              <w:jc w:val="both"/>
              <w:rPr>
                <w:rFonts w:cs="Calibri"/>
                <w:b/>
              </w:rPr>
            </w:pPr>
            <w:r w:rsidRPr="00DE2D55">
              <w:rPr>
                <w:rFonts w:cs="Calibri"/>
                <w:b/>
              </w:rPr>
              <w:t>Total Geral R$</w:t>
            </w:r>
          </w:p>
        </w:tc>
        <w:tc>
          <w:tcPr>
            <w:tcW w:w="2634" w:type="dxa"/>
            <w:gridSpan w:val="2"/>
            <w:tcBorders>
              <w:top w:val="single" w:sz="4" w:space="0" w:color="auto"/>
              <w:left w:val="nil"/>
              <w:bottom w:val="single" w:sz="4" w:space="0" w:color="auto"/>
              <w:right w:val="single" w:sz="4" w:space="0" w:color="000000"/>
            </w:tcBorders>
            <w:shd w:val="clear" w:color="auto" w:fill="C2D69B"/>
            <w:noWrap/>
            <w:vAlign w:val="center"/>
          </w:tcPr>
          <w:p w:rsidR="0002080C" w:rsidRPr="00DE2D55" w:rsidRDefault="0002080C" w:rsidP="00FE560B">
            <w:pPr>
              <w:tabs>
                <w:tab w:val="left" w:pos="0"/>
              </w:tabs>
              <w:spacing w:line="240" w:lineRule="auto"/>
              <w:jc w:val="both"/>
              <w:rPr>
                <w:rFonts w:cs="Calibri"/>
                <w:b/>
              </w:rPr>
            </w:pPr>
            <w:r w:rsidRPr="00DE2D55">
              <w:rPr>
                <w:rFonts w:cs="Calibri"/>
                <w:b/>
              </w:rPr>
              <w:t>1.982.500,00</w:t>
            </w:r>
          </w:p>
        </w:tc>
      </w:tr>
      <w:tr w:rsidR="0002080C" w:rsidRPr="00DE2D55" w:rsidTr="0002080C">
        <w:trPr>
          <w:gridAfter w:val="2"/>
          <w:wAfter w:w="292" w:type="dxa"/>
          <w:trHeight w:val="265"/>
        </w:trPr>
        <w:tc>
          <w:tcPr>
            <w:tcW w:w="7728" w:type="dxa"/>
            <w:gridSpan w:val="3"/>
            <w:tcBorders>
              <w:top w:val="single" w:sz="4" w:space="0" w:color="auto"/>
              <w:left w:val="single" w:sz="8" w:space="0" w:color="auto"/>
              <w:bottom w:val="single" w:sz="4" w:space="0" w:color="000000"/>
              <w:right w:val="single" w:sz="4" w:space="0" w:color="000000"/>
            </w:tcBorders>
            <w:shd w:val="clear" w:color="auto" w:fill="C2D69B"/>
            <w:noWrap/>
            <w:vAlign w:val="center"/>
          </w:tcPr>
          <w:p w:rsidR="0002080C" w:rsidRPr="00DE2D55" w:rsidRDefault="0002080C" w:rsidP="000F67FC">
            <w:pPr>
              <w:tabs>
                <w:tab w:val="left" w:pos="0"/>
              </w:tabs>
              <w:suppressAutoHyphens/>
              <w:ind w:right="283"/>
              <w:jc w:val="both"/>
              <w:rPr>
                <w:rFonts w:cs="Calibri"/>
                <w:b/>
              </w:rPr>
            </w:pPr>
            <w:r w:rsidRPr="00DE2D55">
              <w:rPr>
                <w:rFonts w:cs="Calibri"/>
                <w:b/>
              </w:rPr>
              <w:t>Total Geral US$</w:t>
            </w:r>
            <w:r w:rsidR="000F67FC">
              <w:rPr>
                <w:rFonts w:cs="Calibri"/>
                <w:b/>
              </w:rPr>
              <w:t xml:space="preserve"> (</w:t>
            </w:r>
            <w:r w:rsidR="000F67FC" w:rsidRPr="00DE2D55">
              <w:rPr>
                <w:rFonts w:cs="Calibri"/>
                <w:i/>
              </w:rPr>
              <w:t>Taxa de câmbio: R$ 3,50</w:t>
            </w:r>
            <w:r w:rsidR="000F67FC">
              <w:rPr>
                <w:rFonts w:cs="Calibri"/>
                <w:b/>
              </w:rPr>
              <w:t>)</w:t>
            </w:r>
          </w:p>
        </w:tc>
        <w:tc>
          <w:tcPr>
            <w:tcW w:w="2634" w:type="dxa"/>
            <w:gridSpan w:val="2"/>
            <w:tcBorders>
              <w:top w:val="single" w:sz="4" w:space="0" w:color="auto"/>
              <w:left w:val="nil"/>
              <w:bottom w:val="single" w:sz="4" w:space="0" w:color="000000"/>
              <w:right w:val="single" w:sz="4" w:space="0" w:color="000000"/>
            </w:tcBorders>
            <w:shd w:val="clear" w:color="auto" w:fill="C2D69B"/>
            <w:noWrap/>
            <w:vAlign w:val="center"/>
          </w:tcPr>
          <w:p w:rsidR="0002080C" w:rsidRPr="00DE2D55" w:rsidRDefault="0002080C" w:rsidP="00FE560B">
            <w:pPr>
              <w:tabs>
                <w:tab w:val="left" w:pos="0"/>
              </w:tabs>
              <w:spacing w:line="240" w:lineRule="auto"/>
              <w:jc w:val="both"/>
              <w:rPr>
                <w:rFonts w:cs="Calibri"/>
                <w:b/>
              </w:rPr>
            </w:pPr>
            <w:r w:rsidRPr="00DE2D55">
              <w:rPr>
                <w:rFonts w:cs="Calibri"/>
                <w:b/>
              </w:rPr>
              <w:t>566.428,57</w:t>
            </w:r>
          </w:p>
        </w:tc>
      </w:tr>
    </w:tbl>
    <w:p w:rsidR="0002080C" w:rsidRPr="00DE2D55" w:rsidRDefault="0002080C" w:rsidP="00FE560B">
      <w:pPr>
        <w:pStyle w:val="PargrafodaLista"/>
        <w:numPr>
          <w:ilvl w:val="1"/>
          <w:numId w:val="61"/>
        </w:numPr>
        <w:pBdr>
          <w:bottom w:val="single" w:sz="4" w:space="1" w:color="auto"/>
        </w:pBdr>
        <w:tabs>
          <w:tab w:val="left" w:pos="0"/>
          <w:tab w:val="left" w:pos="426"/>
        </w:tabs>
        <w:jc w:val="both"/>
        <w:outlineLvl w:val="2"/>
        <w:rPr>
          <w:rFonts w:cs="Calibri"/>
          <w:b/>
        </w:rPr>
      </w:pPr>
      <w:bookmarkStart w:id="78" w:name="_Toc517282098"/>
      <w:r w:rsidRPr="00DE2D55">
        <w:rPr>
          <w:rFonts w:cs="Calibri"/>
          <w:b/>
        </w:rPr>
        <w:t>CRONOGRAMA PROPOSTO</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850"/>
        <w:gridCol w:w="851"/>
        <w:gridCol w:w="850"/>
        <w:gridCol w:w="851"/>
        <w:gridCol w:w="850"/>
      </w:tblGrid>
      <w:tr w:rsidR="0002080C" w:rsidRPr="00DE2D55" w:rsidTr="0002080C">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Nº</w:t>
            </w:r>
          </w:p>
        </w:tc>
        <w:tc>
          <w:tcPr>
            <w:tcW w:w="4678"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Etapas</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2019</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2021</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2022</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02080C" w:rsidRPr="00DE2D55" w:rsidRDefault="0002080C" w:rsidP="00FE560B">
            <w:pPr>
              <w:tabs>
                <w:tab w:val="left" w:pos="0"/>
              </w:tabs>
              <w:jc w:val="both"/>
              <w:rPr>
                <w:rFonts w:cs="Calibri"/>
                <w:b/>
              </w:rPr>
            </w:pPr>
            <w:r w:rsidRPr="00DE2D55">
              <w:rPr>
                <w:rFonts w:cs="Calibri"/>
                <w:b/>
              </w:rPr>
              <w:t>2023</w:t>
            </w:r>
          </w:p>
        </w:tc>
      </w:tr>
      <w:tr w:rsidR="0002080C" w:rsidRPr="00DE2D55" w:rsidTr="0002080C">
        <w:tc>
          <w:tcPr>
            <w:tcW w:w="709"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3.2.1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contextualSpacing/>
              <w:jc w:val="both"/>
              <w:rPr>
                <w:rFonts w:cs="Arial"/>
              </w:rPr>
            </w:pPr>
            <w:r w:rsidRPr="00DE2D55">
              <w:rPr>
                <w:rFonts w:cs="Arial"/>
              </w:rPr>
              <w:t xml:space="preserve"> Processos mapeados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r>
      <w:tr w:rsidR="0002080C" w:rsidRPr="00DE2D55" w:rsidTr="0002080C">
        <w:tc>
          <w:tcPr>
            <w:tcW w:w="709"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3.2.2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contextualSpacing/>
              <w:jc w:val="both"/>
              <w:rPr>
                <w:rFonts w:cs="Arial"/>
              </w:rPr>
            </w:pPr>
            <w:r w:rsidRPr="00DE2D55">
              <w:rPr>
                <w:rFonts w:cs="Arial"/>
              </w:rPr>
              <w:t xml:space="preserve"> Metodologia de estimativa do GAP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r>
      <w:tr w:rsidR="0002080C" w:rsidRPr="00DE2D55" w:rsidTr="0002080C">
        <w:tc>
          <w:tcPr>
            <w:tcW w:w="709"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3.2.3</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ind w:left="37"/>
              <w:jc w:val="both"/>
              <w:rPr>
                <w:rFonts w:cs="Calibri"/>
                <w:b/>
                <w:bCs/>
              </w:rPr>
            </w:pPr>
            <w:r w:rsidRPr="00DE2D55">
              <w:rPr>
                <w:rFonts w:cs="Arial"/>
              </w:rPr>
              <w:t xml:space="preserve">Sistema de Gestão de benefícios e incentivos fiscais implantado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080C" w:rsidRPr="00DE2D55" w:rsidRDefault="0002080C" w:rsidP="00FE560B">
            <w:pPr>
              <w:tabs>
                <w:tab w:val="left" w:pos="0"/>
              </w:tabs>
              <w:jc w:val="both"/>
              <w:rPr>
                <w:rFonts w:cs="Calibri"/>
              </w:rPr>
            </w:pPr>
            <w:r w:rsidRPr="00DE2D55">
              <w:rPr>
                <w:rFonts w:cs="Calibri"/>
              </w:rPr>
              <w:t>100%</w:t>
            </w:r>
          </w:p>
        </w:tc>
      </w:tr>
    </w:tbl>
    <w:p w:rsidR="000F67FC" w:rsidRDefault="000F67FC" w:rsidP="00FE560B">
      <w:pPr>
        <w:pStyle w:val="Ttulo2"/>
        <w:tabs>
          <w:tab w:val="left" w:pos="0"/>
        </w:tabs>
        <w:spacing w:before="0"/>
        <w:jc w:val="both"/>
        <w:rPr>
          <w:rFonts w:asciiTheme="minorHAnsi" w:eastAsia="Times New Roman" w:hAnsiTheme="minorHAnsi" w:cs="Arial"/>
          <w:sz w:val="22"/>
          <w:szCs w:val="22"/>
          <w:lang w:eastAsia="pt-BR"/>
        </w:rPr>
      </w:pPr>
    </w:p>
    <w:p w:rsidR="000F67FC" w:rsidRDefault="000F67FC">
      <w:pPr>
        <w:rPr>
          <w:rFonts w:eastAsia="Times New Roman" w:cs="Arial"/>
          <w:b/>
          <w:bCs/>
          <w:color w:val="4A66AC" w:themeColor="accent1"/>
          <w:lang w:eastAsia="pt-BR"/>
        </w:rPr>
      </w:pPr>
      <w:r>
        <w:rPr>
          <w:rFonts w:eastAsia="Times New Roman" w:cs="Arial"/>
          <w:lang w:eastAsia="pt-BR"/>
        </w:rPr>
        <w:br w:type="page"/>
      </w:r>
    </w:p>
    <w:p w:rsidR="003F7D43" w:rsidRPr="00DE2D55" w:rsidRDefault="00611D38" w:rsidP="00FE560B">
      <w:pPr>
        <w:pStyle w:val="Ttulo2"/>
        <w:tabs>
          <w:tab w:val="left" w:pos="0"/>
        </w:tabs>
        <w:spacing w:before="0"/>
        <w:jc w:val="both"/>
        <w:rPr>
          <w:rFonts w:asciiTheme="minorHAnsi" w:eastAsia="Times New Roman" w:hAnsiTheme="minorHAnsi" w:cs="Arial"/>
          <w:sz w:val="22"/>
          <w:szCs w:val="22"/>
          <w:lang w:eastAsia="pt-BR"/>
        </w:rPr>
      </w:pPr>
      <w:bookmarkStart w:id="79" w:name="_Toc517282099"/>
      <w:r w:rsidRPr="00DE2D55">
        <w:rPr>
          <w:rFonts w:asciiTheme="minorHAnsi" w:eastAsia="Times New Roman" w:hAnsiTheme="minorHAnsi" w:cs="Arial"/>
          <w:sz w:val="22"/>
          <w:szCs w:val="22"/>
          <w:lang w:eastAsia="pt-BR"/>
        </w:rPr>
        <w:t>PRODUTO 2. NOVO MODELO DE FISCALIZAÇÃO IMPLANTADO</w:t>
      </w:r>
      <w:bookmarkEnd w:id="79"/>
    </w:p>
    <w:p w:rsidR="00611D38" w:rsidRDefault="00611D38" w:rsidP="00FE560B">
      <w:pPr>
        <w:tabs>
          <w:tab w:val="left" w:pos="0"/>
        </w:tabs>
        <w:jc w:val="both"/>
        <w:rPr>
          <w:lang w:eastAsia="pt-BR"/>
        </w:rPr>
      </w:pPr>
    </w:p>
    <w:p w:rsidR="00C065FA" w:rsidRPr="0079420E" w:rsidRDefault="00C065FA" w:rsidP="00FE560B">
      <w:pPr>
        <w:rPr>
          <w:rFonts w:ascii="Calibri" w:hAnsi="Calibri" w:cs="Calibri"/>
          <w:color w:val="0070C0"/>
          <w:sz w:val="24"/>
          <w:szCs w:val="24"/>
        </w:rPr>
      </w:pPr>
    </w:p>
    <w:tbl>
      <w:tblPr>
        <w:tblW w:w="0" w:type="auto"/>
        <w:tblBorders>
          <w:top w:val="single" w:sz="8" w:space="0" w:color="4BACC6"/>
          <w:bottom w:val="single" w:sz="8" w:space="0" w:color="4BACC6"/>
        </w:tblBorders>
        <w:tblLook w:val="04A0" w:firstRow="1" w:lastRow="0" w:firstColumn="1" w:lastColumn="0" w:noHBand="0" w:noVBand="1"/>
      </w:tblPr>
      <w:tblGrid>
        <w:gridCol w:w="9779"/>
      </w:tblGrid>
      <w:tr w:rsidR="00C065FA" w:rsidRPr="00C87255" w:rsidTr="00C065FA">
        <w:tc>
          <w:tcPr>
            <w:tcW w:w="9779" w:type="dxa"/>
            <w:tcBorders>
              <w:top w:val="single" w:sz="8" w:space="0" w:color="4BACC6"/>
              <w:bottom w:val="single" w:sz="8" w:space="0" w:color="4BACC6"/>
            </w:tcBorders>
            <w:shd w:val="clear" w:color="auto" w:fill="auto"/>
          </w:tcPr>
          <w:p w:rsidR="00C065FA" w:rsidRPr="00C87255" w:rsidRDefault="00C065FA" w:rsidP="00FE560B">
            <w:pPr>
              <w:shd w:val="clear" w:color="auto" w:fill="D5DCE4"/>
              <w:jc w:val="center"/>
              <w:rPr>
                <w:rFonts w:ascii="Calibri" w:hAnsi="Calibri" w:cs="Calibri"/>
                <w:b/>
                <w:bCs/>
                <w:color w:val="0070C0"/>
                <w:sz w:val="24"/>
                <w:szCs w:val="24"/>
              </w:rPr>
            </w:pPr>
            <w:r w:rsidRPr="00C87255">
              <w:rPr>
                <w:rFonts w:ascii="Calibri" w:hAnsi="Calibri" w:cs="Calibri"/>
                <w:b/>
                <w:bCs/>
                <w:color w:val="0070C0"/>
                <w:sz w:val="24"/>
                <w:szCs w:val="24"/>
              </w:rPr>
              <w:t>NOTA TÉCNICA</w:t>
            </w:r>
          </w:p>
          <w:p w:rsidR="00C065FA" w:rsidRPr="00C87255" w:rsidRDefault="00C065FA" w:rsidP="00FE560B">
            <w:pPr>
              <w:shd w:val="clear" w:color="auto" w:fill="D5DCE4"/>
              <w:ind w:left="567" w:hanging="567"/>
              <w:jc w:val="center"/>
              <w:rPr>
                <w:rFonts w:ascii="Calibri" w:hAnsi="Calibri" w:cs="Calibri"/>
                <w:b/>
                <w:bCs/>
                <w:color w:val="0070C0"/>
                <w:sz w:val="24"/>
                <w:szCs w:val="24"/>
              </w:rPr>
            </w:pPr>
            <w:r>
              <w:rPr>
                <w:rFonts w:ascii="Calibri" w:hAnsi="Calibri" w:cs="Calibri"/>
                <w:b/>
                <w:bCs/>
                <w:color w:val="0070C0"/>
                <w:sz w:val="24"/>
                <w:szCs w:val="24"/>
              </w:rPr>
              <w:t>P2.2 Novo Modelo de Fiscalização Implantado</w:t>
            </w:r>
          </w:p>
          <w:p w:rsidR="00C065FA" w:rsidRDefault="00C065FA" w:rsidP="00FE560B">
            <w:pPr>
              <w:shd w:val="clear" w:color="auto" w:fill="D9D9D9"/>
              <w:rPr>
                <w:rFonts w:ascii="Calibri" w:hAnsi="Calibri" w:cs="Calibri"/>
                <w:b/>
                <w:bCs/>
                <w:color w:val="0070C0"/>
                <w:sz w:val="24"/>
                <w:szCs w:val="24"/>
              </w:rPr>
            </w:pPr>
            <w:r>
              <w:rPr>
                <w:rFonts w:ascii="Calibri" w:hAnsi="Calibri" w:cs="Calibri"/>
                <w:b/>
                <w:bCs/>
                <w:color w:val="0070C0"/>
                <w:sz w:val="24"/>
                <w:szCs w:val="24"/>
              </w:rPr>
              <w:t>2</w:t>
            </w:r>
            <w:r w:rsidRPr="00C87255">
              <w:rPr>
                <w:rFonts w:ascii="Calibri" w:hAnsi="Calibri" w:cs="Calibri"/>
                <w:b/>
                <w:bCs/>
                <w:color w:val="0070C0"/>
                <w:sz w:val="24"/>
                <w:szCs w:val="24"/>
              </w:rPr>
              <w:t>.</w:t>
            </w:r>
            <w:r>
              <w:rPr>
                <w:rFonts w:ascii="Calibri" w:hAnsi="Calibri" w:cs="Calibri"/>
                <w:b/>
                <w:bCs/>
                <w:color w:val="0070C0"/>
                <w:sz w:val="24"/>
                <w:szCs w:val="24"/>
              </w:rPr>
              <w:t>2</w:t>
            </w:r>
            <w:r w:rsidRPr="00C87255">
              <w:rPr>
                <w:rFonts w:ascii="Calibri" w:hAnsi="Calibri" w:cs="Calibri"/>
                <w:b/>
                <w:bCs/>
                <w:color w:val="0070C0"/>
                <w:sz w:val="24"/>
                <w:szCs w:val="24"/>
              </w:rPr>
              <w:t xml:space="preserve">.1 </w:t>
            </w:r>
            <w:r>
              <w:rPr>
                <w:rFonts w:ascii="Calibri" w:hAnsi="Calibri" w:cs="Calibri"/>
                <w:b/>
                <w:bCs/>
                <w:color w:val="0070C0"/>
                <w:sz w:val="24"/>
                <w:szCs w:val="24"/>
              </w:rPr>
              <w:t>–</w:t>
            </w:r>
            <w:r w:rsidRPr="00C87255">
              <w:rPr>
                <w:rFonts w:ascii="Calibri" w:hAnsi="Calibri" w:cs="Calibri"/>
                <w:b/>
                <w:bCs/>
                <w:color w:val="0070C0"/>
                <w:sz w:val="24"/>
                <w:szCs w:val="24"/>
              </w:rPr>
              <w:t xml:space="preserve"> </w:t>
            </w:r>
            <w:r>
              <w:rPr>
                <w:rFonts w:ascii="Calibri" w:hAnsi="Calibri" w:cs="Calibri"/>
                <w:b/>
                <w:bCs/>
                <w:color w:val="0070C0"/>
                <w:sz w:val="24"/>
                <w:szCs w:val="24"/>
              </w:rPr>
              <w:t>Sistema informatizado de gestão do planejamento da ação fiscal, com definição de metas e indicadores.</w:t>
            </w:r>
          </w:p>
          <w:p w:rsidR="00C065FA" w:rsidRDefault="00C065FA" w:rsidP="00FE560B">
            <w:pPr>
              <w:shd w:val="clear" w:color="auto" w:fill="D9D9D9"/>
              <w:rPr>
                <w:rFonts w:ascii="Calibri" w:hAnsi="Calibri" w:cs="Calibri"/>
                <w:b/>
                <w:bCs/>
                <w:color w:val="0070C0"/>
                <w:sz w:val="24"/>
                <w:szCs w:val="24"/>
              </w:rPr>
            </w:pPr>
            <w:r>
              <w:rPr>
                <w:rFonts w:ascii="Calibri" w:hAnsi="Calibri" w:cs="Calibri"/>
                <w:b/>
                <w:bCs/>
                <w:color w:val="0070C0"/>
                <w:sz w:val="24"/>
                <w:szCs w:val="24"/>
              </w:rPr>
              <w:t>2.2</w:t>
            </w:r>
            <w:r w:rsidRPr="00C87255">
              <w:rPr>
                <w:rFonts w:ascii="Calibri" w:hAnsi="Calibri" w:cs="Calibri"/>
                <w:b/>
                <w:bCs/>
                <w:color w:val="0070C0"/>
                <w:sz w:val="24"/>
                <w:szCs w:val="24"/>
              </w:rPr>
              <w:t xml:space="preserve">.2 </w:t>
            </w:r>
            <w:r>
              <w:rPr>
                <w:rFonts w:ascii="Calibri" w:hAnsi="Calibri" w:cs="Calibri"/>
                <w:b/>
                <w:bCs/>
                <w:color w:val="0070C0"/>
                <w:sz w:val="24"/>
                <w:szCs w:val="24"/>
              </w:rPr>
              <w:t>–</w:t>
            </w:r>
            <w:r w:rsidRPr="00C87255">
              <w:rPr>
                <w:rFonts w:ascii="Calibri" w:hAnsi="Calibri" w:cs="Calibri"/>
                <w:b/>
                <w:bCs/>
                <w:color w:val="0070C0"/>
                <w:sz w:val="24"/>
                <w:szCs w:val="24"/>
              </w:rPr>
              <w:t xml:space="preserve"> </w:t>
            </w:r>
            <w:r>
              <w:rPr>
                <w:rFonts w:ascii="Calibri" w:hAnsi="Calibri" w:cs="Calibri"/>
                <w:b/>
                <w:bCs/>
                <w:color w:val="0070C0"/>
                <w:sz w:val="24"/>
                <w:szCs w:val="24"/>
              </w:rPr>
              <w:t>Sistema informatizado de monitoramento de contribuintes.</w:t>
            </w:r>
          </w:p>
          <w:p w:rsidR="00C065FA" w:rsidRDefault="00C065FA" w:rsidP="00FE560B">
            <w:pPr>
              <w:shd w:val="clear" w:color="auto" w:fill="D9D9D9"/>
              <w:rPr>
                <w:rFonts w:ascii="Calibri" w:hAnsi="Calibri" w:cs="Calibri"/>
                <w:b/>
                <w:bCs/>
                <w:color w:val="0070C0"/>
                <w:sz w:val="24"/>
                <w:szCs w:val="24"/>
              </w:rPr>
            </w:pPr>
            <w:r>
              <w:rPr>
                <w:rFonts w:ascii="Calibri" w:hAnsi="Calibri" w:cs="Calibri"/>
                <w:b/>
                <w:bCs/>
                <w:color w:val="0070C0"/>
                <w:sz w:val="24"/>
                <w:szCs w:val="24"/>
              </w:rPr>
              <w:t>2.2.3 – Aperfeiçoamento do Sistema de comércio exterior – SICEX e integração ao Portal Único de Comércio Exterior.</w:t>
            </w:r>
          </w:p>
          <w:p w:rsidR="00C065FA" w:rsidRPr="00C87255" w:rsidRDefault="00C065FA" w:rsidP="00FE560B">
            <w:pPr>
              <w:shd w:val="clear" w:color="auto" w:fill="D9D9D9"/>
              <w:rPr>
                <w:rFonts w:ascii="Calibri" w:hAnsi="Calibri" w:cs="Calibri"/>
                <w:b/>
                <w:bCs/>
                <w:noProof/>
                <w:color w:val="0070C0"/>
                <w:sz w:val="24"/>
                <w:szCs w:val="24"/>
              </w:rPr>
            </w:pPr>
            <w:r>
              <w:rPr>
                <w:rFonts w:ascii="Calibri" w:hAnsi="Calibri" w:cs="Calibri"/>
                <w:b/>
                <w:bCs/>
                <w:color w:val="0070C0"/>
                <w:sz w:val="24"/>
                <w:szCs w:val="24"/>
              </w:rPr>
              <w:t xml:space="preserve">2.2.4 – Tratamento de Dados e Armazenamento. </w:t>
            </w:r>
          </w:p>
        </w:tc>
      </w:tr>
    </w:tbl>
    <w:p w:rsidR="00C065FA" w:rsidRDefault="00C065FA" w:rsidP="00FE560B">
      <w:pPr>
        <w:rPr>
          <w:rFonts w:ascii="Calibri" w:hAnsi="Calibri" w:cs="Calibri"/>
          <w:sz w:val="24"/>
          <w:szCs w:val="24"/>
        </w:rPr>
      </w:pPr>
    </w:p>
    <w:p w:rsidR="00C065FA" w:rsidRDefault="00C065FA" w:rsidP="00FE560B">
      <w:pPr>
        <w:rPr>
          <w:rFonts w:ascii="Calibri" w:hAnsi="Calibri" w:cs="Calibri"/>
          <w:sz w:val="24"/>
          <w:szCs w:val="24"/>
        </w:rPr>
      </w:pPr>
    </w:p>
    <w:p w:rsidR="00C065FA" w:rsidRDefault="00C065FA" w:rsidP="00FE560B">
      <w:pPr>
        <w:rPr>
          <w:rFonts w:ascii="Calibri" w:hAnsi="Calibri" w:cs="Calibri"/>
          <w:sz w:val="24"/>
          <w:szCs w:val="24"/>
        </w:rPr>
      </w:pPr>
    </w:p>
    <w:p w:rsidR="00C065FA" w:rsidRDefault="00C065FA" w:rsidP="00FE560B">
      <w:pPr>
        <w:rPr>
          <w:rFonts w:ascii="Calibri" w:hAnsi="Calibri" w:cs="Calibri"/>
          <w:sz w:val="24"/>
          <w:szCs w:val="24"/>
        </w:rPr>
      </w:pPr>
    </w:p>
    <w:p w:rsidR="00C065FA" w:rsidRPr="003B04A6" w:rsidRDefault="00C065FA" w:rsidP="00FE560B">
      <w:pPr>
        <w:ind w:left="360"/>
        <w:rPr>
          <w:rFonts w:ascii="Calibri" w:hAnsi="Calibri" w:cs="Calibri"/>
        </w:rPr>
      </w:pPr>
      <w:r w:rsidRPr="003B04A6">
        <w:rPr>
          <w:rFonts w:ascii="Calibri" w:hAnsi="Calibri" w:cs="Calibri"/>
        </w:rPr>
        <w:t>Autor</w:t>
      </w:r>
      <w:r>
        <w:rPr>
          <w:rFonts w:ascii="Calibri" w:hAnsi="Calibri" w:cs="Calibri"/>
        </w:rPr>
        <w:t>es</w:t>
      </w:r>
      <w:r w:rsidRPr="003B04A6">
        <w:rPr>
          <w:rFonts w:ascii="Calibri" w:hAnsi="Calibri" w:cs="Calibri"/>
        </w:rPr>
        <w:t xml:space="preserve">: </w:t>
      </w:r>
    </w:p>
    <w:tbl>
      <w:tblPr>
        <w:tblW w:w="9781" w:type="dxa"/>
        <w:tblInd w:w="-34" w:type="dxa"/>
        <w:tblLayout w:type="fixed"/>
        <w:tblLook w:val="0000" w:firstRow="0" w:lastRow="0" w:firstColumn="0" w:lastColumn="0" w:noHBand="0" w:noVBand="0"/>
      </w:tblPr>
      <w:tblGrid>
        <w:gridCol w:w="2018"/>
        <w:gridCol w:w="2497"/>
        <w:gridCol w:w="2551"/>
        <w:gridCol w:w="2715"/>
      </w:tblGrid>
      <w:tr w:rsidR="00C065FA" w:rsidRPr="003E00C8" w:rsidTr="00C065FA">
        <w:trPr>
          <w:trHeight w:val="253"/>
        </w:trPr>
        <w:tc>
          <w:tcPr>
            <w:tcW w:w="2018"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jc w:val="center"/>
              <w:rPr>
                <w:rFonts w:ascii="Calibri" w:hAnsi="Calibri"/>
                <w:b/>
                <w:sz w:val="18"/>
              </w:rPr>
            </w:pPr>
            <w:r w:rsidRPr="003B04A6">
              <w:rPr>
                <w:rFonts w:ascii="Calibri" w:hAnsi="Calibri"/>
                <w:b/>
                <w:sz w:val="18"/>
              </w:rPr>
              <w:t>Nomes</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jc w:val="center"/>
              <w:rPr>
                <w:rFonts w:ascii="Calibri" w:hAnsi="Calibri"/>
                <w:b/>
                <w:sz w:val="18"/>
              </w:rPr>
            </w:pPr>
            <w:r w:rsidRPr="003B04A6">
              <w:rPr>
                <w:rFonts w:ascii="Calibri" w:hAnsi="Calibri"/>
                <w:b/>
                <w:sz w:val="18"/>
              </w:rPr>
              <w:t>Cargos</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jc w:val="center"/>
              <w:rPr>
                <w:rFonts w:ascii="Calibri" w:hAnsi="Calibri"/>
                <w:b/>
                <w:sz w:val="18"/>
              </w:rPr>
            </w:pPr>
            <w:r w:rsidRPr="00CE5B9C">
              <w:rPr>
                <w:rFonts w:ascii="Calibri" w:hAnsi="Calibri" w:cs="Calibri"/>
                <w:b/>
                <w:sz w:val="18"/>
              </w:rPr>
              <w:t>Área</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jc w:val="center"/>
              <w:rPr>
                <w:rFonts w:ascii="Calibri" w:hAnsi="Calibri"/>
                <w:sz w:val="18"/>
              </w:rPr>
            </w:pPr>
            <w:r w:rsidRPr="003B04A6">
              <w:rPr>
                <w:rFonts w:ascii="Calibri" w:hAnsi="Calibri"/>
                <w:b/>
                <w:sz w:val="18"/>
              </w:rPr>
              <w:t>E-mail</w:t>
            </w:r>
          </w:p>
        </w:tc>
      </w:tr>
      <w:tr w:rsidR="00C065FA" w:rsidRPr="003E00C8" w:rsidTr="00C065FA">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sidRPr="00BF2754">
              <w:rPr>
                <w:rFonts w:ascii="Calibri" w:hAnsi="Calibri"/>
                <w:sz w:val="18"/>
              </w:rPr>
              <w:t>Sarah Prates Vantil</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sidRPr="00FB6D22">
              <w:rPr>
                <w:rFonts w:ascii="Calibri" w:hAnsi="Calibri"/>
                <w:sz w:val="18"/>
              </w:rPr>
              <w:t xml:space="preserve">Supervisor de </w:t>
            </w:r>
            <w:r>
              <w:rPr>
                <w:rFonts w:ascii="Calibri" w:hAnsi="Calibri"/>
                <w:sz w:val="18"/>
              </w:rPr>
              <w:t>Área F</w:t>
            </w:r>
            <w:r w:rsidRPr="00FB6D22">
              <w:rPr>
                <w:rFonts w:ascii="Calibri" w:hAnsi="Calibri"/>
                <w:sz w:val="18"/>
              </w:rPr>
              <w:t>iscal</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ind w:left="21" w:hanging="21"/>
              <w:rPr>
                <w:rFonts w:ascii="Calibri" w:hAnsi="Calibri"/>
                <w:sz w:val="18"/>
              </w:rPr>
            </w:pPr>
            <w:r w:rsidRPr="00BF2754">
              <w:rPr>
                <w:rFonts w:ascii="Calibri" w:hAnsi="Calibri"/>
                <w:sz w:val="18"/>
              </w:rPr>
              <w:t>Gerência Fiscal</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rPr>
                <w:rFonts w:ascii="Calibri" w:hAnsi="Calibri"/>
                <w:sz w:val="18"/>
              </w:rPr>
            </w:pPr>
            <w:r>
              <w:rPr>
                <w:rFonts w:ascii="Calibri" w:hAnsi="Calibri"/>
                <w:sz w:val="18"/>
              </w:rPr>
              <w:t>sarah.vantil@sefaz.es.gov.br</w:t>
            </w:r>
          </w:p>
        </w:tc>
      </w:tr>
      <w:tr w:rsidR="00C065FA" w:rsidRPr="003E00C8" w:rsidTr="00C065FA">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sidRPr="00BF2754">
              <w:rPr>
                <w:rFonts w:ascii="Calibri" w:hAnsi="Calibri"/>
                <w:sz w:val="18"/>
              </w:rPr>
              <w:t xml:space="preserve">Augusto Barbosa Gonçalves Dibai </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Default="00C065FA" w:rsidP="00FE560B">
            <w:pPr>
              <w:rPr>
                <w:rFonts w:ascii="Calibri" w:hAnsi="Calibri"/>
                <w:sz w:val="18"/>
              </w:rPr>
            </w:pPr>
            <w:r>
              <w:rPr>
                <w:rFonts w:ascii="Calibri" w:hAnsi="Calibri"/>
                <w:sz w:val="18"/>
              </w:rPr>
              <w:t>Auditoria Fazendária</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Default="00C065FA" w:rsidP="00FE560B">
            <w:pPr>
              <w:ind w:left="21" w:hanging="21"/>
              <w:rPr>
                <w:rFonts w:ascii="Calibri" w:hAnsi="Calibri"/>
                <w:sz w:val="18"/>
              </w:rPr>
            </w:pPr>
            <w:r w:rsidRPr="00BF2754">
              <w:rPr>
                <w:rFonts w:ascii="Calibri" w:hAnsi="Calibri"/>
                <w:sz w:val="18"/>
              </w:rPr>
              <w:t>Gerência Fiscal</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rPr>
                <w:rFonts w:ascii="Calibri" w:hAnsi="Calibri"/>
                <w:sz w:val="18"/>
              </w:rPr>
            </w:pPr>
            <w:r>
              <w:rPr>
                <w:rFonts w:ascii="Calibri" w:hAnsi="Calibri"/>
                <w:sz w:val="18"/>
              </w:rPr>
              <w:t>augusto.dibai@sefaz.es.gov.br</w:t>
            </w:r>
          </w:p>
        </w:tc>
      </w:tr>
      <w:tr w:rsidR="00C065FA" w:rsidRPr="003E00C8" w:rsidTr="00C065FA">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Pr>
                <w:rFonts w:ascii="Calibri" w:hAnsi="Calibri"/>
                <w:sz w:val="18"/>
              </w:rPr>
              <w:t>Valquimar Raasch</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sidRPr="00BF2754">
              <w:rPr>
                <w:rFonts w:ascii="Calibri" w:hAnsi="Calibri"/>
                <w:sz w:val="18"/>
              </w:rPr>
              <w:t>Subgerente de Programação fiscal</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3B04A6" w:rsidRDefault="00C065FA" w:rsidP="00FE560B">
            <w:pPr>
              <w:rPr>
                <w:rFonts w:ascii="Calibri" w:hAnsi="Calibri"/>
                <w:sz w:val="18"/>
              </w:rPr>
            </w:pPr>
            <w:r w:rsidRPr="00BF2754">
              <w:rPr>
                <w:rFonts w:ascii="Calibri" w:hAnsi="Calibri"/>
                <w:sz w:val="18"/>
              </w:rPr>
              <w:t>Gerência Fiscal</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C065FA" w:rsidRPr="003B04A6" w:rsidRDefault="00C065FA" w:rsidP="00FE560B">
            <w:pPr>
              <w:rPr>
                <w:rFonts w:ascii="Calibri" w:hAnsi="Calibri"/>
                <w:sz w:val="18"/>
              </w:rPr>
            </w:pPr>
            <w:r>
              <w:rPr>
                <w:rFonts w:ascii="Calibri" w:hAnsi="Calibri"/>
                <w:sz w:val="18"/>
              </w:rPr>
              <w:t>vraasch@sefaz.es.gov.br</w:t>
            </w:r>
          </w:p>
        </w:tc>
      </w:tr>
      <w:tr w:rsidR="00C065FA" w:rsidRPr="003E00C8" w:rsidTr="00C065FA">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F84984" w:rsidRDefault="00C065FA" w:rsidP="00FE560B">
            <w:pPr>
              <w:rPr>
                <w:rFonts w:ascii="Calibri" w:hAnsi="Calibri"/>
                <w:sz w:val="18"/>
              </w:rPr>
            </w:pPr>
            <w:r w:rsidRPr="00BF2754">
              <w:rPr>
                <w:rFonts w:ascii="Calibri" w:hAnsi="Calibri"/>
                <w:sz w:val="18"/>
              </w:rPr>
              <w:t xml:space="preserve">Charles </w:t>
            </w:r>
            <w:r>
              <w:rPr>
                <w:rFonts w:ascii="Calibri" w:hAnsi="Calibri"/>
                <w:sz w:val="18"/>
              </w:rPr>
              <w:t>Grilo Fuller</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F84984" w:rsidRDefault="00C065FA" w:rsidP="00FE560B">
            <w:pPr>
              <w:rPr>
                <w:rFonts w:ascii="Calibri" w:hAnsi="Calibri"/>
                <w:sz w:val="18"/>
              </w:rPr>
            </w:pPr>
            <w:r w:rsidRPr="00FB6D22">
              <w:rPr>
                <w:rFonts w:ascii="Calibri" w:hAnsi="Calibri"/>
                <w:sz w:val="18"/>
              </w:rPr>
              <w:t xml:space="preserve">Supervisor de </w:t>
            </w:r>
            <w:r>
              <w:rPr>
                <w:rFonts w:ascii="Calibri" w:hAnsi="Calibri"/>
                <w:sz w:val="18"/>
              </w:rPr>
              <w:t>Área F</w:t>
            </w:r>
            <w:r w:rsidRPr="00FB6D22">
              <w:rPr>
                <w:rFonts w:ascii="Calibri" w:hAnsi="Calibri"/>
                <w:sz w:val="18"/>
              </w:rPr>
              <w:t>iscal</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065FA" w:rsidRPr="00F84984" w:rsidRDefault="00C065FA" w:rsidP="00FE560B">
            <w:pPr>
              <w:rPr>
                <w:rFonts w:ascii="Calibri" w:hAnsi="Calibri"/>
                <w:sz w:val="18"/>
              </w:rPr>
            </w:pPr>
            <w:r w:rsidRPr="00BF2754">
              <w:rPr>
                <w:rFonts w:ascii="Calibri" w:hAnsi="Calibri"/>
                <w:sz w:val="18"/>
              </w:rPr>
              <w:t>Gerência Fiscal</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C065FA" w:rsidRDefault="00C065FA" w:rsidP="00FE560B">
            <w:pPr>
              <w:rPr>
                <w:rFonts w:ascii="Calibri" w:hAnsi="Calibri"/>
                <w:sz w:val="18"/>
              </w:rPr>
            </w:pPr>
            <w:r w:rsidRPr="00BF2754">
              <w:rPr>
                <w:rFonts w:ascii="Calibri" w:hAnsi="Calibri"/>
                <w:sz w:val="18"/>
              </w:rPr>
              <w:t>c</w:t>
            </w:r>
            <w:r>
              <w:rPr>
                <w:rFonts w:ascii="Calibri" w:hAnsi="Calibri"/>
                <w:sz w:val="18"/>
              </w:rPr>
              <w:t>fuller@</w:t>
            </w:r>
            <w:r w:rsidRPr="00BF2754">
              <w:rPr>
                <w:rFonts w:ascii="Calibri" w:hAnsi="Calibri"/>
                <w:sz w:val="18"/>
              </w:rPr>
              <w:t>se</w:t>
            </w:r>
            <w:r>
              <w:rPr>
                <w:rFonts w:ascii="Calibri" w:hAnsi="Calibri"/>
                <w:sz w:val="18"/>
              </w:rPr>
              <w:t>faz</w:t>
            </w:r>
            <w:r w:rsidRPr="00BF2754">
              <w:rPr>
                <w:rFonts w:ascii="Calibri" w:hAnsi="Calibri"/>
                <w:sz w:val="18"/>
              </w:rPr>
              <w:t>.</w:t>
            </w:r>
            <w:r>
              <w:rPr>
                <w:rFonts w:ascii="Calibri" w:hAnsi="Calibri"/>
                <w:sz w:val="18"/>
              </w:rPr>
              <w:t>es.gov.br</w:t>
            </w:r>
          </w:p>
        </w:tc>
      </w:tr>
    </w:tbl>
    <w:p w:rsidR="00C065FA" w:rsidRDefault="00C065FA" w:rsidP="00FE560B">
      <w:pPr>
        <w:jc w:val="center"/>
        <w:rPr>
          <w:rFonts w:ascii="Calibri" w:hAnsi="Calibri" w:cs="Calibri"/>
          <w:sz w:val="24"/>
          <w:szCs w:val="24"/>
        </w:rPr>
      </w:pPr>
    </w:p>
    <w:p w:rsidR="00C065FA" w:rsidRDefault="00C065FA" w:rsidP="00FE560B">
      <w:pPr>
        <w:jc w:val="center"/>
        <w:rPr>
          <w:rFonts w:ascii="Calibri" w:hAnsi="Calibri" w:cs="Calibri"/>
          <w:sz w:val="24"/>
          <w:szCs w:val="24"/>
        </w:rPr>
      </w:pPr>
    </w:p>
    <w:p w:rsidR="00C065FA" w:rsidRDefault="00C065FA" w:rsidP="00FE560B">
      <w:pPr>
        <w:jc w:val="center"/>
        <w:rPr>
          <w:rFonts w:ascii="Calibri" w:hAnsi="Calibri" w:cs="Calibri"/>
          <w:sz w:val="24"/>
          <w:szCs w:val="24"/>
        </w:rPr>
      </w:pPr>
    </w:p>
    <w:p w:rsidR="00C065FA" w:rsidRDefault="00C065FA" w:rsidP="00FE560B">
      <w:pPr>
        <w:jc w:val="center"/>
        <w:rPr>
          <w:rFonts w:ascii="Calibri" w:hAnsi="Calibri" w:cs="Calibri"/>
          <w:sz w:val="24"/>
          <w:szCs w:val="24"/>
        </w:rPr>
      </w:pPr>
    </w:p>
    <w:p w:rsidR="00C065FA" w:rsidRPr="002E0757" w:rsidRDefault="00C065FA" w:rsidP="00FE560B">
      <w:pPr>
        <w:rPr>
          <w:rFonts w:ascii="Calibri" w:hAnsi="Calibri" w:cs="Calibri"/>
          <w:sz w:val="24"/>
          <w:szCs w:val="24"/>
        </w:rPr>
      </w:pPr>
    </w:p>
    <w:p w:rsidR="00C065FA" w:rsidRPr="002E0757" w:rsidRDefault="00C065FA" w:rsidP="00FE560B">
      <w:pPr>
        <w:jc w:val="center"/>
        <w:rPr>
          <w:rFonts w:ascii="Calibri" w:hAnsi="Calibri" w:cs="Calibri"/>
          <w:sz w:val="24"/>
          <w:szCs w:val="24"/>
        </w:rPr>
      </w:pPr>
    </w:p>
    <w:p w:rsidR="00C065FA" w:rsidRDefault="00C065FA" w:rsidP="00FE560B">
      <w:pPr>
        <w:jc w:val="center"/>
        <w:rPr>
          <w:rFonts w:ascii="Calibri" w:hAnsi="Calibri" w:cs="Calibri"/>
          <w:b/>
        </w:rPr>
      </w:pPr>
      <w:r>
        <w:rPr>
          <w:rFonts w:ascii="Calibri" w:hAnsi="Calibri" w:cs="Calibri"/>
          <w:b/>
        </w:rPr>
        <w:t>Vitória</w:t>
      </w:r>
      <w:r w:rsidRPr="003B04A6">
        <w:rPr>
          <w:rFonts w:ascii="Calibri" w:hAnsi="Calibri" w:cs="Calibri"/>
          <w:b/>
        </w:rPr>
        <w:t>/</w:t>
      </w:r>
      <w:r>
        <w:rPr>
          <w:rFonts w:ascii="Calibri" w:hAnsi="Calibri" w:cs="Calibri"/>
          <w:b/>
        </w:rPr>
        <w:t>ES -</w:t>
      </w:r>
      <w:r w:rsidRPr="003B04A6">
        <w:rPr>
          <w:rFonts w:ascii="Calibri" w:hAnsi="Calibri" w:cs="Calibri"/>
          <w:b/>
        </w:rPr>
        <w:t xml:space="preserve"> </w:t>
      </w:r>
      <w:r>
        <w:rPr>
          <w:rFonts w:ascii="Calibri" w:hAnsi="Calibri" w:cs="Calibri"/>
          <w:b/>
        </w:rPr>
        <w:t>Junho</w:t>
      </w:r>
      <w:r w:rsidRPr="003B04A6">
        <w:rPr>
          <w:rFonts w:ascii="Calibri" w:hAnsi="Calibri" w:cs="Calibri"/>
          <w:b/>
        </w:rPr>
        <w:t xml:space="preserve"> </w:t>
      </w:r>
      <w:r>
        <w:rPr>
          <w:rFonts w:ascii="Calibri" w:hAnsi="Calibri" w:cs="Calibri"/>
          <w:b/>
        </w:rPr>
        <w:t>de 2018</w:t>
      </w:r>
    </w:p>
    <w:p w:rsidR="00C065FA" w:rsidRDefault="00C065FA" w:rsidP="00FE560B">
      <w:pPr>
        <w:jc w:val="center"/>
        <w:rPr>
          <w:rFonts w:ascii="Calibri" w:hAnsi="Calibri" w:cs="Calibri"/>
          <w:b/>
        </w:rPr>
      </w:pPr>
    </w:p>
    <w:p w:rsidR="000F67FC" w:rsidRDefault="000F67FC" w:rsidP="00FE560B">
      <w:pPr>
        <w:jc w:val="center"/>
        <w:rPr>
          <w:rFonts w:ascii="Calibri" w:hAnsi="Calibri" w:cs="Calibri"/>
          <w:b/>
        </w:rPr>
      </w:pPr>
    </w:p>
    <w:p w:rsidR="000F67FC" w:rsidRDefault="000F67FC" w:rsidP="00FE560B">
      <w:pPr>
        <w:jc w:val="center"/>
        <w:rPr>
          <w:rFonts w:ascii="Calibri" w:hAnsi="Calibri" w:cs="Calibri"/>
          <w:b/>
        </w:rPr>
      </w:pPr>
    </w:p>
    <w:p w:rsidR="00C065FA" w:rsidRDefault="00C065FA" w:rsidP="00FE560B">
      <w:pPr>
        <w:jc w:val="center"/>
        <w:rPr>
          <w:rFonts w:ascii="Calibri" w:hAnsi="Calibri" w:cs="Calibri"/>
          <w:b/>
        </w:rPr>
      </w:pPr>
    </w:p>
    <w:p w:rsidR="00C065FA" w:rsidRPr="00C065FA"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0" w:name="_Toc517282100"/>
      <w:r w:rsidRPr="00C065FA">
        <w:rPr>
          <w:rFonts w:cs="Calibri"/>
          <w:b/>
        </w:rPr>
        <w:t>ANTECEDENTES</w:t>
      </w:r>
      <w:bookmarkEnd w:id="80"/>
    </w:p>
    <w:p w:rsidR="00C065FA" w:rsidRPr="001918E7" w:rsidRDefault="00C065FA" w:rsidP="00FE560B">
      <w:pPr>
        <w:jc w:val="both"/>
      </w:pPr>
      <w:r w:rsidRPr="001918E7">
        <w:t xml:space="preserve">A Lei Complementar 5.172/66, conhecida como Código Tributário Nacional, delega à autoridade administrativa a competência pelo lançamento. Ou seja, cabe em última instância à autoridade fiscal a responsabilidade por identificar o sujeito passivo da relação tributária, o fato gerador, o montante a ser pago, lançar o crédito tributário e fazer cumprir seu pagamento. </w:t>
      </w:r>
    </w:p>
    <w:p w:rsidR="00C065FA" w:rsidRPr="001918E7" w:rsidRDefault="00C065FA" w:rsidP="00FE560B">
      <w:pPr>
        <w:jc w:val="both"/>
      </w:pPr>
    </w:p>
    <w:p w:rsidR="00C065FA" w:rsidRPr="001918E7" w:rsidRDefault="00C065FA" w:rsidP="00FE560B">
      <w:pPr>
        <w:jc w:val="both"/>
      </w:pPr>
      <w:r w:rsidRPr="001918E7">
        <w:t xml:space="preserve">Também está no rol do poder-dever de as autoridades fiscais fazer cumprir as obrigações acessórias, que têm caráter auxiliar ao cumprimento da obrigação principal, que é o pagamento de tributos. </w:t>
      </w:r>
    </w:p>
    <w:p w:rsidR="00C065FA" w:rsidRPr="001918E7" w:rsidRDefault="00C065FA" w:rsidP="00FE560B">
      <w:pPr>
        <w:jc w:val="both"/>
      </w:pPr>
    </w:p>
    <w:p w:rsidR="00C065FA" w:rsidRPr="001918E7" w:rsidRDefault="00C065FA" w:rsidP="00FE560B">
      <w:pPr>
        <w:jc w:val="both"/>
      </w:pPr>
      <w:r w:rsidRPr="001918E7">
        <w:t>No âmbito da Subsecretaria de Estado da Receita, a Gerência de Fiscalização é a responsável por administrar as atividades inerentes à fiscalização. Realiza também constante monitoramento sobre a ocorrência de fraudes fiscais, prepara roteiros de auditoria, implanta ferramentas auxiliares aos trabalhados dos Fiscais e institui procedimentos de fiscalização/prevenção da evasão fiscal. Possui ainda a responsabilidade de inspecionar e orientar as atividades de fiscalização exercidas pelas Subgerências Regionais da Fazenda Estadual (Metropolitana, Sul, Nordeste e Noroeste).</w:t>
      </w:r>
    </w:p>
    <w:p w:rsidR="00C065FA" w:rsidRPr="001918E7" w:rsidRDefault="00C065FA" w:rsidP="00FE560B">
      <w:pPr>
        <w:jc w:val="both"/>
      </w:pPr>
    </w:p>
    <w:p w:rsidR="00C065FA" w:rsidRPr="001918E7" w:rsidRDefault="00C065FA" w:rsidP="00FE560B">
      <w:pPr>
        <w:jc w:val="both"/>
      </w:pPr>
      <w:r w:rsidRPr="001918E7">
        <w:t>Diversas obrigações acessórias são utilizadas como fontes de informação para a realização de trabalhos da fiscalização tributária. Tais informações são obtidas através do envio dos documentos digitais de natureza fiscal e contábil pelos Contribuintes (SPED), além da entrega das declarações e das guias, de caráter nacional e também estadual. A análise das obrigações acessórias é, portanto, essencial para exercer o poder-dever de lançar o crédito, fiscalizar e, de modo geral, fazer cumprir a legislação tributária.</w:t>
      </w:r>
    </w:p>
    <w:p w:rsidR="00C065FA" w:rsidRPr="001918E7" w:rsidRDefault="00C065FA" w:rsidP="00FE560B">
      <w:pPr>
        <w:spacing w:line="240" w:lineRule="auto"/>
        <w:jc w:val="both"/>
        <w:rPr>
          <w:rFonts w:cs="Calibri"/>
          <w:b/>
        </w:rPr>
      </w:pPr>
    </w:p>
    <w:p w:rsidR="00C065FA" w:rsidRPr="001918E7" w:rsidRDefault="00C065FA" w:rsidP="00FE560B">
      <w:pPr>
        <w:spacing w:line="240" w:lineRule="auto"/>
        <w:jc w:val="both"/>
        <w:rPr>
          <w:rFonts w:cs="Calibri"/>
          <w:b/>
        </w:rPr>
      </w:pPr>
      <w:r w:rsidRPr="001918E7">
        <w:rPr>
          <w:rFonts w:cs="Calibri"/>
          <w:b/>
        </w:rPr>
        <w:t>2.1.1 – Sistema informatizado de gestão do planejamento da ação fiscal, com definição de metas e indicadores.</w:t>
      </w:r>
    </w:p>
    <w:p w:rsidR="00C065FA" w:rsidRPr="001918E7" w:rsidRDefault="00C065FA" w:rsidP="00FE560B">
      <w:pPr>
        <w:spacing w:line="240" w:lineRule="auto"/>
        <w:jc w:val="both"/>
        <w:rPr>
          <w:rFonts w:cs="Calibri"/>
          <w:b/>
        </w:rPr>
      </w:pPr>
    </w:p>
    <w:p w:rsidR="00C065FA" w:rsidRPr="001918E7" w:rsidRDefault="00C065FA" w:rsidP="00FE560B">
      <w:pPr>
        <w:jc w:val="both"/>
      </w:pPr>
      <w:r w:rsidRPr="001918E7">
        <w:t xml:space="preserve">A Subsecretaria de Estado da Receita possui sistema informatizado apenas para controle de processos individuais de fiscalização, quando há apenas um sujeito passivo sob investigação. Esse sistema é incapaz de gerenciar processos massivos, por onde se conduzem, simultaneamente, várias ações fiscais com características similares. O sistema também não permite planejar futuras ações fiscais. </w:t>
      </w:r>
    </w:p>
    <w:p w:rsidR="00C065FA" w:rsidRPr="001918E7" w:rsidRDefault="00C065FA" w:rsidP="00FE560B">
      <w:pPr>
        <w:jc w:val="both"/>
      </w:pPr>
    </w:p>
    <w:p w:rsidR="00C065FA" w:rsidRPr="001918E7" w:rsidRDefault="00C065FA" w:rsidP="00FE560B">
      <w:pPr>
        <w:jc w:val="both"/>
      </w:pPr>
      <w:r w:rsidRPr="001918E7">
        <w:t>A Gerência Fiscal implantou um sistema de comunicação com os contribuintes capaz de demonstrar as irregularidades identificadas pelas malhas de monitoramento, o Cooperação Fiscal. Por meio desse, registra-se ciência da irregularidade e possibilita-se reclamações por parte do contribuinte.</w:t>
      </w:r>
    </w:p>
    <w:p w:rsidR="00C065FA" w:rsidRPr="001918E7" w:rsidRDefault="00C065FA" w:rsidP="00FE560B">
      <w:pPr>
        <w:jc w:val="both"/>
      </w:pPr>
    </w:p>
    <w:p w:rsidR="00C065FA" w:rsidRPr="001918E7" w:rsidRDefault="00C065FA" w:rsidP="00FE560B">
      <w:pPr>
        <w:jc w:val="both"/>
      </w:pPr>
      <w:r w:rsidRPr="001918E7">
        <w:t>É notória a necessidade de conectar ambos os sistemas, de forma que haja compartilhamento das informações, assim como de ampliar suas funcionalidades, tais como:</w:t>
      </w:r>
    </w:p>
    <w:p w:rsidR="00C065FA" w:rsidRPr="001918E7" w:rsidRDefault="00C065FA" w:rsidP="00A249C9">
      <w:pPr>
        <w:pStyle w:val="PargrafodaLista"/>
        <w:numPr>
          <w:ilvl w:val="0"/>
          <w:numId w:val="101"/>
        </w:numPr>
        <w:jc w:val="both"/>
      </w:pPr>
      <w:r w:rsidRPr="001918E7">
        <w:t>Permitir e inserir objetivos definidos com base em um planejamento;</w:t>
      </w:r>
    </w:p>
    <w:p w:rsidR="00C065FA" w:rsidRPr="001918E7" w:rsidRDefault="00C065FA" w:rsidP="00A249C9">
      <w:pPr>
        <w:pStyle w:val="PargrafodaLista"/>
        <w:numPr>
          <w:ilvl w:val="0"/>
          <w:numId w:val="101"/>
        </w:numPr>
        <w:jc w:val="both"/>
      </w:pPr>
      <w:r w:rsidRPr="001918E7">
        <w:t>Enviar comunicados através do Domicílio Tributário Eletrônico (DT-e);</w:t>
      </w:r>
    </w:p>
    <w:p w:rsidR="00C065FA" w:rsidRPr="001918E7" w:rsidRDefault="00C065FA" w:rsidP="00A249C9">
      <w:pPr>
        <w:pStyle w:val="PargrafodaLista"/>
        <w:numPr>
          <w:ilvl w:val="0"/>
          <w:numId w:val="101"/>
        </w:numPr>
        <w:jc w:val="both"/>
      </w:pPr>
      <w:r w:rsidRPr="001918E7">
        <w:t>Acompanhar e gerenciar o desenvolvimento das ações fiscais, etc.</w:t>
      </w:r>
    </w:p>
    <w:p w:rsidR="00C065FA" w:rsidRPr="001918E7" w:rsidRDefault="00C065FA" w:rsidP="00FE560B">
      <w:pPr>
        <w:pStyle w:val="PargrafodaLista"/>
        <w:jc w:val="both"/>
      </w:pPr>
    </w:p>
    <w:p w:rsidR="00C065FA" w:rsidRPr="001918E7" w:rsidRDefault="00C065FA" w:rsidP="00FE560B">
      <w:pPr>
        <w:jc w:val="both"/>
      </w:pPr>
      <w:r w:rsidRPr="001918E7">
        <w:t xml:space="preserve">No contexto deste projeto, entende-se como planejamento a atividade preliminar de análise quantitativa e qualitativa do universo dos contribuintes e os seus indícios de ilícitos tributários identificados que, posteriormente, serão priorizados com base na capacidade arrecadatória e fiscalização como o trabalho realizado por uma autoridade fiscal, mais precisamente do Auditor Fiscal da Receita Estadual (AFRE). </w:t>
      </w:r>
    </w:p>
    <w:p w:rsidR="00C065FA" w:rsidRPr="001918E7" w:rsidRDefault="00C065FA" w:rsidP="00FE560B">
      <w:pPr>
        <w:jc w:val="both"/>
      </w:pPr>
    </w:p>
    <w:p w:rsidR="00C065FA" w:rsidRPr="001918E7" w:rsidRDefault="00C065FA" w:rsidP="00FE560B">
      <w:pPr>
        <w:spacing w:line="240" w:lineRule="auto"/>
        <w:jc w:val="both"/>
        <w:rPr>
          <w:rFonts w:cs="Calibri"/>
          <w:b/>
        </w:rPr>
      </w:pPr>
      <w:r w:rsidRPr="001918E7">
        <w:rPr>
          <w:rFonts w:cs="Calibri"/>
          <w:b/>
        </w:rPr>
        <w:t>2.1.2 – Sistema informatizado de Monitoramento de contribuintes.</w:t>
      </w:r>
    </w:p>
    <w:p w:rsidR="00C065FA" w:rsidRPr="001918E7" w:rsidRDefault="00C065FA" w:rsidP="00FE560B"/>
    <w:p w:rsidR="00C065FA" w:rsidRPr="001918E7" w:rsidRDefault="00C065FA" w:rsidP="00FE560B">
      <w:pPr>
        <w:jc w:val="both"/>
      </w:pPr>
      <w:r w:rsidRPr="001918E7">
        <w:t>No estado do Espírito Santo, a partir de outubro de 2016, o processo de abertura de empresas ficou mais simples e ágil com a implantação do Cadastro Eletrônico (Cad-e). Desde então, todos procedimentos estão sendo feitos de forma eletrônica e o tempo para liberação da inscrição estadual foi reduzido drasticamente.</w:t>
      </w:r>
    </w:p>
    <w:p w:rsidR="00C065FA" w:rsidRPr="001918E7" w:rsidRDefault="00C065FA" w:rsidP="00FE560B">
      <w:pPr>
        <w:jc w:val="both"/>
      </w:pPr>
    </w:p>
    <w:p w:rsidR="00C065FA" w:rsidRPr="001918E7" w:rsidRDefault="00C065FA" w:rsidP="00FE560B">
      <w:pPr>
        <w:jc w:val="both"/>
      </w:pPr>
      <w:r w:rsidRPr="001918E7">
        <w:t>Sem sombras de dúvidas, o Cad-e foi um grande avanço para o ambiente de negócios e para a economia capixaba. Porém, ao acelerar os trâmites para a abertura de empreendimentos idôneos, e que são bem-vindos ao nosso estado, abriu-se também brechas para as organizações que se constituem unicamente com propósitos fraudulentos (empresas laranjas), o que significa prejuízo para o erário capixaba e também para os demais estados da federação.</w:t>
      </w:r>
    </w:p>
    <w:p w:rsidR="00C065FA" w:rsidRPr="001918E7" w:rsidRDefault="00C065FA" w:rsidP="00FE560B">
      <w:pPr>
        <w:jc w:val="both"/>
      </w:pPr>
    </w:p>
    <w:p w:rsidR="00C065FA" w:rsidRPr="001918E7" w:rsidRDefault="00C065FA" w:rsidP="00FE560B">
      <w:pPr>
        <w:jc w:val="both"/>
      </w:pPr>
      <w:r w:rsidRPr="001918E7">
        <w:t xml:space="preserve">Nessa corrente, verifica-se que, devido à velocidade com que as empresas estão sendo criadas, são necessárias ações mais céleres e efetivas por parte do Fisco. </w:t>
      </w:r>
    </w:p>
    <w:p w:rsidR="00C065FA" w:rsidRPr="001918E7" w:rsidRDefault="00C065FA" w:rsidP="00FE560B">
      <w:pPr>
        <w:jc w:val="both"/>
      </w:pPr>
    </w:p>
    <w:p w:rsidR="00C065FA" w:rsidRPr="001918E7" w:rsidRDefault="00C065FA" w:rsidP="00FE560B">
      <w:pPr>
        <w:jc w:val="both"/>
      </w:pPr>
      <w:r w:rsidRPr="001918E7">
        <w:t>A Subsecretaria de Estado da Receita possui ferramenta de Business Inteligence capaz de processar dados de diversas fontes e exibir relatórios customizados. Porém, nos casos em que o volume de dados a ser processado é muito grande, são realizadas cargas programadas com frequência previamente definida, sendo inviável o processamento em tempo real.</w:t>
      </w:r>
    </w:p>
    <w:p w:rsidR="00C065FA" w:rsidRPr="001918E7" w:rsidRDefault="00C065FA" w:rsidP="00FE560B">
      <w:pPr>
        <w:jc w:val="both"/>
      </w:pPr>
    </w:p>
    <w:p w:rsidR="00C065FA" w:rsidRPr="001918E7" w:rsidRDefault="00C065FA" w:rsidP="00FE560B">
      <w:pPr>
        <w:jc w:val="both"/>
      </w:pPr>
      <w:r w:rsidRPr="001918E7">
        <w:t>Esses relatórios são utilizados para o monitoramento de possíveis fraudes, que são processados manualmente por Auditores Fiscais, identificando indícios no comportamento das empresas, que posteriormente são submetidas a uma análise mais aprofundada de seus documentos fiscais. O diagnóstico de fraude é baseado na experiência adquirida e pode não ser tempestivo, devido a defasagem de dados dos relatórios e ao grande volume de contribuintes a serem monitorados.</w:t>
      </w:r>
    </w:p>
    <w:p w:rsidR="00C065FA" w:rsidRPr="001918E7" w:rsidRDefault="00C065FA" w:rsidP="00FE560B">
      <w:pPr>
        <w:jc w:val="both"/>
      </w:pPr>
    </w:p>
    <w:p w:rsidR="00C065FA" w:rsidRPr="001918E7" w:rsidRDefault="00C065FA" w:rsidP="00FE560B">
      <w:pPr>
        <w:spacing w:line="240" w:lineRule="auto"/>
        <w:jc w:val="both"/>
        <w:rPr>
          <w:rFonts w:cs="Calibri"/>
          <w:b/>
        </w:rPr>
      </w:pPr>
      <w:r w:rsidRPr="001918E7">
        <w:rPr>
          <w:rFonts w:cs="Calibri"/>
          <w:b/>
        </w:rPr>
        <w:t xml:space="preserve">2.1.3 – Aperfeiçoamento do Sistema de Comércio Exterior – SICEX e integração ao Portal Único de Comércio Exterior. </w:t>
      </w:r>
    </w:p>
    <w:p w:rsidR="00C065FA" w:rsidRPr="001918E7" w:rsidRDefault="00C065FA" w:rsidP="00FE560B">
      <w:pPr>
        <w:spacing w:line="240" w:lineRule="auto"/>
        <w:jc w:val="both"/>
        <w:rPr>
          <w:rFonts w:cs="Calibri"/>
          <w:b/>
        </w:rPr>
      </w:pPr>
    </w:p>
    <w:p w:rsidR="00C065FA" w:rsidRPr="001918E7" w:rsidRDefault="00C065FA" w:rsidP="00FE560B">
      <w:pPr>
        <w:jc w:val="both"/>
      </w:pPr>
      <w:r w:rsidRPr="001918E7">
        <w:t>A partir de setembro de 2013 foi implantado o Sistema de Comércio Exterior – SICEX. Este à época, possibilitou a virtualização dos documentos e procedimentos operacionais relacionados ao processo de desembaraço estadual na importação, gerando resultados diretos ao importador, tais como: (i) economia de tempo, uma vez que o procedimento anterior de verificação e visto fiscal era realizado mediante atendimento presencial em Posto Fiscal; (ii) eliminação do papel, gerando sustentabilidade; (iii) acesso ao Sistema por meio de certificação digital e/ou senha de acesso à Agência Virtual, gerando segurança no acesso às informações e simplificação de procedimentos como um todo.</w:t>
      </w:r>
    </w:p>
    <w:p w:rsidR="00C065FA" w:rsidRPr="001918E7" w:rsidRDefault="00C065FA" w:rsidP="00FE560B">
      <w:pPr>
        <w:jc w:val="both"/>
      </w:pPr>
    </w:p>
    <w:p w:rsidR="00C065FA" w:rsidRPr="001918E7" w:rsidRDefault="00C065FA" w:rsidP="00FE560B">
      <w:pPr>
        <w:jc w:val="both"/>
      </w:pPr>
      <w:r w:rsidRPr="001918E7">
        <w:t>Registra-se que o SICEX foi um grande avanço para o ambiente do comércio exterior capixaba, mas atualmente carece de evolução que possibilite uma redução ainda maior no tempo de análise e consequente, maior agilidade para o importador, bem como de ferramentas de controle e auditoria visando cuidar e proteger, cada vez mais e melhor, o ingresso da receita pública.</w:t>
      </w:r>
    </w:p>
    <w:p w:rsidR="00C065FA" w:rsidRPr="001918E7" w:rsidRDefault="00C065FA" w:rsidP="00FE560B">
      <w:pPr>
        <w:jc w:val="both"/>
      </w:pPr>
    </w:p>
    <w:p w:rsidR="00C065FA" w:rsidRPr="001918E7" w:rsidRDefault="00C065FA" w:rsidP="00FE560B">
      <w:pPr>
        <w:spacing w:line="240" w:lineRule="auto"/>
        <w:jc w:val="both"/>
        <w:rPr>
          <w:rFonts w:cs="Calibri"/>
          <w:b/>
        </w:rPr>
      </w:pPr>
      <w:r w:rsidRPr="001918E7">
        <w:rPr>
          <w:rFonts w:cs="Calibri"/>
          <w:b/>
        </w:rPr>
        <w:t>2.1.4 – Tratamento de Dados e Armazenamento</w:t>
      </w:r>
    </w:p>
    <w:p w:rsidR="00C065FA" w:rsidRPr="001918E7" w:rsidRDefault="00C065FA" w:rsidP="00FE560B">
      <w:pPr>
        <w:spacing w:line="240" w:lineRule="auto"/>
        <w:jc w:val="both"/>
        <w:rPr>
          <w:rFonts w:cs="Calibri"/>
          <w:b/>
        </w:rPr>
      </w:pPr>
    </w:p>
    <w:p w:rsidR="00C065FA" w:rsidRPr="001918E7" w:rsidRDefault="00C065FA" w:rsidP="00FE560B">
      <w:pPr>
        <w:spacing w:line="240" w:lineRule="auto"/>
        <w:jc w:val="both"/>
        <w:rPr>
          <w:rFonts w:cs="Calibri"/>
          <w:b/>
        </w:rPr>
      </w:pPr>
    </w:p>
    <w:p w:rsidR="00C065FA" w:rsidRPr="001918E7" w:rsidRDefault="00C065FA" w:rsidP="00FE560B">
      <w:pPr>
        <w:shd w:val="clear" w:color="auto" w:fill="FFFFFF"/>
        <w:ind w:right="227"/>
        <w:jc w:val="both"/>
        <w:rPr>
          <w:rFonts w:eastAsia="Times New Roman" w:cs="Arial"/>
          <w:lang w:eastAsia="pt-BR"/>
        </w:rPr>
      </w:pPr>
      <w:r w:rsidRPr="001918E7">
        <w:rPr>
          <w:rFonts w:eastAsia="Times New Roman" w:cs="Arial"/>
          <w:lang w:eastAsia="pt-BR"/>
        </w:rPr>
        <w:t xml:space="preserve">Por meio da execução do programa PROFISCO I, encerrado recentemente, a Secretaria da Fazenda do Espírito Santo adequou a infraestrutura de Tecnologia da Informação, dando ênfase a aquisição de equipamentos servidores, solução de armazenamento de dados, licença de sistema gerenciador de banco de dados, nova solução de BI (Business Intelligence) e outras soluções de sistema de informações para as áreas de negócios, com destaque para o sistema financeiro, sistema de gestão de receitas e sistema de gerenciamento eletrônico de documentos. </w:t>
      </w:r>
    </w:p>
    <w:p w:rsidR="00C065FA" w:rsidRPr="001918E7" w:rsidRDefault="00C065FA" w:rsidP="00FE560B">
      <w:pPr>
        <w:shd w:val="clear" w:color="auto" w:fill="FFFFFF"/>
        <w:ind w:right="227"/>
        <w:jc w:val="both"/>
        <w:rPr>
          <w:rFonts w:eastAsia="Times New Roman" w:cs="Arial"/>
          <w:lang w:eastAsia="pt-BR"/>
        </w:rPr>
      </w:pPr>
    </w:p>
    <w:p w:rsidR="00C065FA" w:rsidRPr="001918E7"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1" w:name="_Toc517282101"/>
      <w:r w:rsidRPr="001918E7">
        <w:rPr>
          <w:rFonts w:cs="Calibri"/>
          <w:b/>
        </w:rPr>
        <w:t>DESCRIÇÃO DO PROBLEMA</w:t>
      </w:r>
      <w:bookmarkEnd w:id="81"/>
    </w:p>
    <w:p w:rsidR="00C065FA" w:rsidRPr="001918E7" w:rsidRDefault="00C065FA" w:rsidP="00FE560B">
      <w:pPr>
        <w:spacing w:line="276" w:lineRule="auto"/>
        <w:rPr>
          <w:rFonts w:cs="Calibri"/>
        </w:rPr>
      </w:pPr>
      <w:r w:rsidRPr="001918E7">
        <w:rPr>
          <w:rFonts w:cs="Calibri"/>
          <w:b/>
        </w:rPr>
        <w:t>2.1.1 – Síntese do Problema</w:t>
      </w:r>
      <w:r w:rsidRPr="001918E7">
        <w:rPr>
          <w:rFonts w:cs="Calibri"/>
        </w:rPr>
        <w:t xml:space="preserve"> </w:t>
      </w:r>
    </w:p>
    <w:p w:rsidR="00C065FA" w:rsidRPr="001918E7" w:rsidRDefault="00C065FA" w:rsidP="00FE560B">
      <w:pPr>
        <w:pBdr>
          <w:top w:val="dotted" w:sz="4" w:space="1" w:color="auto"/>
          <w:left w:val="dotted" w:sz="4" w:space="4" w:color="auto"/>
          <w:bottom w:val="dotted" w:sz="4" w:space="1" w:color="auto"/>
          <w:right w:val="dotted" w:sz="4" w:space="4" w:color="auto"/>
        </w:pBdr>
        <w:shd w:val="clear" w:color="auto" w:fill="D6E3BC"/>
        <w:jc w:val="center"/>
        <w:rPr>
          <w:rFonts w:cs="Calibri"/>
          <w:i/>
          <w:noProof/>
        </w:rPr>
      </w:pPr>
      <w:r w:rsidRPr="001918E7">
        <w:rPr>
          <w:rFonts w:cs="Calibri"/>
          <w:i/>
          <w:noProof/>
        </w:rPr>
        <w:t>Perda de arrecadação devido a ineficiência em identificar de forma efetiva e oportuna fraudes comuns e estruturadas na sonegação de impostos.</w:t>
      </w:r>
    </w:p>
    <w:p w:rsidR="00C065FA" w:rsidRPr="001918E7" w:rsidRDefault="00C065FA" w:rsidP="00FE560B">
      <w:pPr>
        <w:rPr>
          <w:noProof/>
        </w:rPr>
      </w:pPr>
    </w:p>
    <w:p w:rsidR="00C065FA" w:rsidRPr="001918E7" w:rsidRDefault="00C065FA" w:rsidP="00FE560B">
      <w:pPr>
        <w:rPr>
          <w:rFonts w:cs="Calibri"/>
          <w:b/>
        </w:rPr>
      </w:pPr>
      <w:r w:rsidRPr="001918E7">
        <w:rPr>
          <w:rFonts w:cs="Calibri"/>
          <w:b/>
        </w:rPr>
        <w:t>2.2.2 – Principais causas</w:t>
      </w:r>
    </w:p>
    <w:p w:rsidR="00C065FA" w:rsidRPr="001918E7" w:rsidRDefault="00C065FA" w:rsidP="00A249C9">
      <w:pPr>
        <w:pStyle w:val="PargrafodaLista"/>
        <w:numPr>
          <w:ilvl w:val="0"/>
          <w:numId w:val="102"/>
        </w:numPr>
        <w:jc w:val="both"/>
      </w:pPr>
      <w:r w:rsidRPr="001918E7">
        <w:t xml:space="preserve">Deficiências no planejamento da ação de fiscalização e nos critérios de alocação dos auditores para as investigações. </w:t>
      </w:r>
    </w:p>
    <w:p w:rsidR="00C065FA" w:rsidRPr="001918E7" w:rsidRDefault="00C065FA" w:rsidP="00A249C9">
      <w:pPr>
        <w:pStyle w:val="PargrafodaLista"/>
        <w:numPr>
          <w:ilvl w:val="0"/>
          <w:numId w:val="102"/>
        </w:numPr>
        <w:jc w:val="both"/>
      </w:pPr>
      <w:r w:rsidRPr="001918E7">
        <w:t>Dificuldade para realizar fiscalizações massivas em grande volume de informação utilizando critérios baseados em análise de riscos.</w:t>
      </w:r>
    </w:p>
    <w:p w:rsidR="00C065FA" w:rsidRPr="001918E7" w:rsidRDefault="00C065FA" w:rsidP="00A249C9">
      <w:pPr>
        <w:pStyle w:val="PargrafodaLista"/>
        <w:numPr>
          <w:ilvl w:val="0"/>
          <w:numId w:val="102"/>
        </w:numPr>
        <w:jc w:val="both"/>
      </w:pPr>
      <w:r w:rsidRPr="001918E7">
        <w:t>Dificuldade para desembaraçar mercadorias e efetuar pagamentos nas transações de comercio exterior.</w:t>
      </w:r>
    </w:p>
    <w:p w:rsidR="00C065FA" w:rsidRPr="001918E7" w:rsidRDefault="00C065FA" w:rsidP="00A249C9">
      <w:pPr>
        <w:pStyle w:val="PargrafodaLista"/>
        <w:numPr>
          <w:ilvl w:val="0"/>
          <w:numId w:val="102"/>
        </w:numPr>
        <w:jc w:val="both"/>
      </w:pPr>
      <w:r w:rsidRPr="001918E7">
        <w:rPr>
          <w:rFonts w:eastAsia="Times New Roman" w:cs="Arial"/>
          <w:lang w:eastAsia="pt-BR"/>
        </w:rPr>
        <w:t>Aumento exponencial do volume de transações e dados recepcionados pela SEFAZ. Dificuldade para tratar grandes volumes de dados, especialmente os referentes a auditoria e fiscalização.</w:t>
      </w:r>
    </w:p>
    <w:p w:rsidR="00C065FA" w:rsidRPr="001918E7" w:rsidRDefault="00C065FA" w:rsidP="00A249C9">
      <w:pPr>
        <w:pStyle w:val="PargrafodaLista"/>
        <w:numPr>
          <w:ilvl w:val="0"/>
          <w:numId w:val="100"/>
        </w:numPr>
        <w:jc w:val="both"/>
      </w:pPr>
      <w:r w:rsidRPr="001918E7">
        <w:t>Ausência de um planejamento capaz de estabelecer metas de arrecadação periódicas por setores econômicos.</w:t>
      </w:r>
    </w:p>
    <w:p w:rsidR="00C065FA" w:rsidRPr="001918E7" w:rsidRDefault="00C065FA" w:rsidP="00A249C9">
      <w:pPr>
        <w:pStyle w:val="PargrafodaLista"/>
        <w:numPr>
          <w:ilvl w:val="0"/>
          <w:numId w:val="102"/>
        </w:numPr>
        <w:jc w:val="both"/>
      </w:pPr>
      <w:r w:rsidRPr="001918E7">
        <w:t>Ausência de um planejamento capaz de estimar o potencial arrecadatório, com base nos indícios de irregularidades apresentados pelos contribuintes.</w:t>
      </w:r>
    </w:p>
    <w:p w:rsidR="00C065FA" w:rsidRPr="001918E7" w:rsidRDefault="00C065FA" w:rsidP="00A249C9">
      <w:pPr>
        <w:pStyle w:val="PargrafodaLista"/>
        <w:numPr>
          <w:ilvl w:val="0"/>
          <w:numId w:val="102"/>
        </w:numPr>
        <w:jc w:val="both"/>
      </w:pPr>
      <w:r w:rsidRPr="001918E7">
        <w:t>Ausência de um planejamento capaz de priorizar a execução das ações fiscais, com foco no controle da arrecadação.</w:t>
      </w:r>
    </w:p>
    <w:p w:rsidR="00C065FA" w:rsidRPr="001918E7" w:rsidRDefault="00C065FA" w:rsidP="00A249C9">
      <w:pPr>
        <w:pStyle w:val="PargrafodaLista"/>
        <w:numPr>
          <w:ilvl w:val="0"/>
          <w:numId w:val="102"/>
        </w:numPr>
        <w:jc w:val="both"/>
      </w:pPr>
      <w:r w:rsidRPr="001918E7">
        <w:t>Incapacidade de executar ações de fiscalização simultâneas em uma grande massa de contribuintes identificados como infratores da legislação tributária.</w:t>
      </w:r>
    </w:p>
    <w:p w:rsidR="00C065FA" w:rsidRPr="001918E7" w:rsidRDefault="00C065FA" w:rsidP="00A249C9">
      <w:pPr>
        <w:pStyle w:val="PargrafodaLista"/>
        <w:numPr>
          <w:ilvl w:val="0"/>
          <w:numId w:val="102"/>
        </w:numPr>
        <w:jc w:val="both"/>
      </w:pPr>
      <w:r w:rsidRPr="001918E7">
        <w:t>Ausência de uma ferramenta de gestão ativa de alocação dos Auditores por competências mapeadas, fazendo com que haja uma perda de eficiência na execução das ações fiscais.</w:t>
      </w:r>
    </w:p>
    <w:p w:rsidR="00C065FA" w:rsidRPr="001918E7" w:rsidRDefault="00C065FA" w:rsidP="00A249C9">
      <w:pPr>
        <w:pStyle w:val="PargrafodaLista"/>
        <w:numPr>
          <w:ilvl w:val="0"/>
          <w:numId w:val="102"/>
        </w:numPr>
        <w:jc w:val="both"/>
      </w:pPr>
      <w:r w:rsidRPr="001918E7">
        <w:t xml:space="preserve">Inexistência de roteiros de fiscalização padronizados, fazendo com que cada ação fiscal seja individualizada e difícil de se controlar. </w:t>
      </w:r>
    </w:p>
    <w:p w:rsidR="00C065FA" w:rsidRPr="001918E7" w:rsidRDefault="00C065FA" w:rsidP="00A249C9">
      <w:pPr>
        <w:pStyle w:val="PargrafodaLista"/>
        <w:numPr>
          <w:ilvl w:val="0"/>
          <w:numId w:val="102"/>
        </w:numPr>
        <w:jc w:val="both"/>
      </w:pPr>
      <w:r w:rsidRPr="001918E7">
        <w:t>Facilidade na obtenção de inscrições estaduais de forma eletrônica, sem a devida comprovação dos dados ali inseridos.</w:t>
      </w:r>
    </w:p>
    <w:p w:rsidR="00C065FA" w:rsidRPr="001918E7" w:rsidRDefault="00C065FA" w:rsidP="00A249C9">
      <w:pPr>
        <w:pStyle w:val="PargrafodaLista"/>
        <w:numPr>
          <w:ilvl w:val="0"/>
          <w:numId w:val="102"/>
        </w:numPr>
        <w:jc w:val="both"/>
      </w:pPr>
      <w:r w:rsidRPr="001918E7">
        <w:t>A velocidade do diagnóstico pontual não acompanha o surgimento das empresas fraudulentas.</w:t>
      </w:r>
    </w:p>
    <w:p w:rsidR="00C065FA" w:rsidRPr="001918E7" w:rsidRDefault="00C065FA" w:rsidP="00A249C9">
      <w:pPr>
        <w:pStyle w:val="PargrafodaLista"/>
        <w:numPr>
          <w:ilvl w:val="0"/>
          <w:numId w:val="102"/>
        </w:numPr>
        <w:jc w:val="both"/>
      </w:pPr>
      <w:r w:rsidRPr="001918E7">
        <w:t>Incapacidade de executar ações de investigação em uma grande massa de contribuintes identificados com indícios de fraude. Necessidade de definição de indicadores, que sejam processados pelo sistema em tempo real, e que antecipem o diagnóstico realizado, hoje, pontual.</w:t>
      </w:r>
    </w:p>
    <w:p w:rsidR="00C065FA" w:rsidRPr="001918E7" w:rsidRDefault="00C065FA" w:rsidP="00A249C9">
      <w:pPr>
        <w:pStyle w:val="PargrafodaLista"/>
        <w:numPr>
          <w:ilvl w:val="0"/>
          <w:numId w:val="102"/>
        </w:numPr>
        <w:jc w:val="both"/>
      </w:pPr>
      <w:r w:rsidRPr="001918E7">
        <w:t>Impossibilidade de atualização da plataforma do SICEX.</w:t>
      </w:r>
    </w:p>
    <w:p w:rsidR="00C065FA" w:rsidRPr="001918E7" w:rsidRDefault="00C065FA" w:rsidP="00A249C9">
      <w:pPr>
        <w:pStyle w:val="PargrafodaLista"/>
        <w:numPr>
          <w:ilvl w:val="0"/>
          <w:numId w:val="102"/>
        </w:numPr>
        <w:jc w:val="both"/>
      </w:pPr>
      <w:r w:rsidRPr="001918E7">
        <w:t>O SICEX demanda a análise pessoal do Auditor Fiscal em todos os procedimentos de desembaraço estadual e este processo é limitado naturalmente ao expediente normal de trabalho da Secretaria e por consequência, acarreta em um gargalo na cadeia logística do importador.</w:t>
      </w:r>
    </w:p>
    <w:p w:rsidR="00C065FA" w:rsidRPr="001918E7" w:rsidRDefault="00C065FA" w:rsidP="00A249C9">
      <w:pPr>
        <w:pStyle w:val="PargrafodaLista"/>
        <w:numPr>
          <w:ilvl w:val="0"/>
          <w:numId w:val="102"/>
        </w:numPr>
        <w:jc w:val="both"/>
      </w:pPr>
      <w:r w:rsidRPr="001918E7">
        <w:t xml:space="preserve">Atrasos nos desembaraços aduaneiros e retrabalho dos auditores por inconsistência nas análises. </w:t>
      </w:r>
    </w:p>
    <w:p w:rsidR="00C065FA" w:rsidRPr="001918E7" w:rsidRDefault="00C065FA" w:rsidP="00FE560B">
      <w:pPr>
        <w:rPr>
          <w:rFonts w:cs="Calibri"/>
          <w:b/>
        </w:rPr>
      </w:pPr>
      <w:r w:rsidRPr="001918E7">
        <w:rPr>
          <w:rFonts w:cs="Calibri"/>
          <w:b/>
        </w:rPr>
        <w:t xml:space="preserve">2.2.3 - Evidências/Magnitudes </w:t>
      </w:r>
    </w:p>
    <w:p w:rsidR="00C065FA" w:rsidRPr="001918E7" w:rsidRDefault="00C065FA" w:rsidP="00A249C9">
      <w:pPr>
        <w:pStyle w:val="PargrafodaLista"/>
        <w:numPr>
          <w:ilvl w:val="0"/>
          <w:numId w:val="102"/>
        </w:numPr>
        <w:jc w:val="both"/>
      </w:pPr>
      <w:r w:rsidRPr="001918E7">
        <w:t>Em 2017 o percentual de arrecadação proveniente das fiscalizações (auto de infrações e notificação de débito – não considerando a dívida ativa) foi de 0,39% da arrecadação.</w:t>
      </w:r>
    </w:p>
    <w:p w:rsidR="00C065FA" w:rsidRPr="001918E7" w:rsidRDefault="00C065FA" w:rsidP="00A249C9">
      <w:pPr>
        <w:pStyle w:val="PargrafodaLista"/>
        <w:numPr>
          <w:ilvl w:val="0"/>
          <w:numId w:val="102"/>
        </w:numPr>
        <w:jc w:val="both"/>
      </w:pPr>
      <w:r w:rsidRPr="001918E7">
        <w:t>Dos 18.000 contribuintes do regime ordinário de apuração, somente 5.5% é fiscalizado.</w:t>
      </w:r>
    </w:p>
    <w:p w:rsidR="00C065FA" w:rsidRPr="001918E7" w:rsidRDefault="00C065FA" w:rsidP="00A249C9">
      <w:pPr>
        <w:pStyle w:val="PargrafodaLista"/>
        <w:numPr>
          <w:ilvl w:val="0"/>
          <w:numId w:val="102"/>
        </w:numPr>
        <w:jc w:val="both"/>
      </w:pPr>
      <w:r w:rsidRPr="001918E7">
        <w:t xml:space="preserve">Em média, 1/3 das operações de importação aguardam o desembaraço estadual para o próximo dia útil.  </w:t>
      </w:r>
    </w:p>
    <w:p w:rsidR="00C065FA" w:rsidRPr="001918E7" w:rsidRDefault="00C065FA" w:rsidP="00A249C9">
      <w:pPr>
        <w:numPr>
          <w:ilvl w:val="0"/>
          <w:numId w:val="102"/>
        </w:numPr>
        <w:spacing w:line="240" w:lineRule="auto"/>
        <w:jc w:val="both"/>
        <w:rPr>
          <w:rFonts w:eastAsia="Times New Roman" w:cs="Arial"/>
          <w:lang w:eastAsia="pt-BR"/>
        </w:rPr>
      </w:pPr>
      <w:r w:rsidRPr="001918E7">
        <w:rPr>
          <w:rFonts w:eastAsia="Times New Roman" w:cs="Arial"/>
          <w:lang w:eastAsia="pt-BR"/>
        </w:rPr>
        <w:t xml:space="preserve">Estima-se que até o ano de 2020 a previsão é de cerca de 1 bilhão e 300 milhões de notas fiscais eletrônicas, modelos 55 e 65, armazenadas na base de dados da SEFAZ. </w:t>
      </w:r>
    </w:p>
    <w:p w:rsidR="00C065FA" w:rsidRPr="001918E7" w:rsidRDefault="00C065FA" w:rsidP="00A249C9">
      <w:pPr>
        <w:pStyle w:val="PargrafodaLista"/>
        <w:numPr>
          <w:ilvl w:val="0"/>
          <w:numId w:val="102"/>
        </w:numPr>
        <w:jc w:val="both"/>
      </w:pPr>
      <w:r w:rsidRPr="001918E7">
        <w:t>Inexistência de prazos procedimentais para término de fiscalizações no âmbito da Gerência Fiscal.</w:t>
      </w:r>
    </w:p>
    <w:p w:rsidR="00C065FA" w:rsidRPr="001918E7" w:rsidRDefault="00C065FA" w:rsidP="00A249C9">
      <w:pPr>
        <w:pStyle w:val="PargrafodaLista"/>
        <w:numPr>
          <w:ilvl w:val="0"/>
          <w:numId w:val="102"/>
        </w:numPr>
        <w:jc w:val="both"/>
      </w:pPr>
      <w:r w:rsidRPr="001918E7">
        <w:t>No ano de 2017, dentre as empresas identificadas com indícios de fraudes bloqueadas pelo monitoramento pontual, a média de emissão e recepção de Notas Fiscais Eletrônicas foi de R$ 7.807.610,28 por empresa, totalizando R$ 399.335.242,60 em NF-e emitidas e R$ 578.123.216,26 em NF-e recebidas identificadas como inidôneas no Estado do Espírito Santo.</w:t>
      </w:r>
    </w:p>
    <w:p w:rsidR="00C065FA" w:rsidRPr="001918E7" w:rsidRDefault="00C065FA" w:rsidP="00FE560B">
      <w:pPr>
        <w:pStyle w:val="PargrafodaLista"/>
        <w:jc w:val="both"/>
      </w:pPr>
    </w:p>
    <w:p w:rsidR="00C065FA" w:rsidRPr="001918E7" w:rsidRDefault="00EB6017"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2" w:name="_Toc517282102"/>
      <w:r>
        <w:rPr>
          <w:rFonts w:cs="Calibri"/>
          <w:b/>
        </w:rPr>
        <w:t>DESCRIÇÃO DO PRODUTO</w:t>
      </w:r>
      <w:r w:rsidR="00C065FA" w:rsidRPr="001918E7">
        <w:rPr>
          <w:rFonts w:cs="Calibri"/>
          <w:b/>
        </w:rPr>
        <w:t xml:space="preserve"> E SUA META QUANTITATIVA</w:t>
      </w:r>
      <w:bookmarkEnd w:id="82"/>
    </w:p>
    <w:p w:rsidR="00C065FA" w:rsidRPr="001918E7" w:rsidRDefault="00C065FA" w:rsidP="00FE560B">
      <w:pPr>
        <w:pStyle w:val="PargrafodaLista"/>
        <w:ind w:left="0"/>
        <w:rPr>
          <w:rFonts w:cs="Calibri"/>
          <w:bCs/>
        </w:rPr>
      </w:pPr>
    </w:p>
    <w:p w:rsidR="00C065FA" w:rsidRPr="001918E7" w:rsidRDefault="001918E7" w:rsidP="00FE560B">
      <w:pPr>
        <w:pStyle w:val="PargrafodaLista"/>
        <w:ind w:left="0"/>
        <w:rPr>
          <w:rFonts w:cs="Calibri"/>
          <w:b/>
          <w:bCs/>
        </w:rPr>
      </w:pPr>
      <w:r w:rsidRPr="001918E7">
        <w:rPr>
          <w:rFonts w:cs="Calibri"/>
          <w:b/>
          <w:bCs/>
        </w:rPr>
        <w:t>4.3</w:t>
      </w:r>
      <w:r w:rsidR="00C065FA" w:rsidRPr="001918E7">
        <w:rPr>
          <w:rFonts w:cs="Calibri"/>
          <w:b/>
          <w:bCs/>
        </w:rPr>
        <w:t>.1 - Sistema informatizado de Gestão do planejamento da ação fiscal, com definição de metas e indicadores</w:t>
      </w:r>
    </w:p>
    <w:p w:rsidR="00C065FA" w:rsidRPr="001918E7" w:rsidRDefault="00C065FA" w:rsidP="00FE560B">
      <w:pPr>
        <w:jc w:val="both"/>
      </w:pPr>
      <w:r w:rsidRPr="001918E7">
        <w:t>Pretende-se desenvolver um sistema informatizado que possibilite o planejamento anual e trimestral das ações fiscais, com base em metas pré-estabelecidas de arrecadação, e que também permita a gestão simultânea de uma grande quantidade de processos de fiscalização, roteiros e da alocação dos Auditores Fiscais envolvidos. Suas principais características são:</w:t>
      </w:r>
    </w:p>
    <w:p w:rsidR="00C065FA" w:rsidRPr="001918E7" w:rsidRDefault="00C065FA" w:rsidP="00A249C9">
      <w:pPr>
        <w:pStyle w:val="PargrafodaLista"/>
        <w:numPr>
          <w:ilvl w:val="0"/>
          <w:numId w:val="100"/>
        </w:numPr>
        <w:jc w:val="both"/>
      </w:pPr>
      <w:r w:rsidRPr="001918E7">
        <w:t>Possibilidade de construção do planejamento trimestral e anual para arrecadação advinda da ação fiscal, segmentada em setores econômicos;</w:t>
      </w:r>
    </w:p>
    <w:p w:rsidR="00C065FA" w:rsidRPr="001918E7" w:rsidRDefault="00C065FA" w:rsidP="00A249C9">
      <w:pPr>
        <w:pStyle w:val="PargrafodaLista"/>
        <w:numPr>
          <w:ilvl w:val="0"/>
          <w:numId w:val="100"/>
        </w:numPr>
        <w:jc w:val="both"/>
      </w:pPr>
      <w:r w:rsidRPr="001918E7">
        <w:t>Integração com a malha fiscal e com o sistema do Cooperação Fiscal;</w:t>
      </w:r>
    </w:p>
    <w:p w:rsidR="00C065FA" w:rsidRPr="001918E7" w:rsidRDefault="00C065FA" w:rsidP="00A249C9">
      <w:pPr>
        <w:pStyle w:val="PargrafodaLista"/>
        <w:numPr>
          <w:ilvl w:val="0"/>
          <w:numId w:val="100"/>
        </w:numPr>
        <w:jc w:val="both"/>
      </w:pPr>
      <w:r w:rsidRPr="001918E7">
        <w:t>Possibilidade de carregamento de dados de fontes externas;</w:t>
      </w:r>
    </w:p>
    <w:p w:rsidR="00C065FA" w:rsidRPr="001918E7" w:rsidRDefault="00C065FA" w:rsidP="00A249C9">
      <w:pPr>
        <w:pStyle w:val="PargrafodaLista"/>
        <w:numPr>
          <w:ilvl w:val="0"/>
          <w:numId w:val="100"/>
        </w:numPr>
        <w:jc w:val="both"/>
      </w:pPr>
      <w:r w:rsidRPr="001918E7">
        <w:t>Multiusuário;</w:t>
      </w:r>
    </w:p>
    <w:p w:rsidR="00C065FA" w:rsidRPr="001918E7" w:rsidRDefault="00C065FA" w:rsidP="00A249C9">
      <w:pPr>
        <w:pStyle w:val="PargrafodaLista"/>
        <w:numPr>
          <w:ilvl w:val="0"/>
          <w:numId w:val="100"/>
        </w:numPr>
        <w:jc w:val="both"/>
      </w:pPr>
      <w:r w:rsidRPr="001918E7">
        <w:t>Flexibilidade na emissão massiva de documentos, atendendo às diversas situações previstas na legislação;</w:t>
      </w:r>
    </w:p>
    <w:p w:rsidR="00C065FA" w:rsidRPr="001918E7" w:rsidRDefault="00C065FA" w:rsidP="00A249C9">
      <w:pPr>
        <w:pStyle w:val="PargrafodaLista"/>
        <w:numPr>
          <w:ilvl w:val="0"/>
          <w:numId w:val="100"/>
        </w:numPr>
        <w:jc w:val="both"/>
      </w:pPr>
      <w:r w:rsidRPr="001918E7">
        <w:t>Informações em tempo real do total lançado e do total arrecadado, contrastando com as metas;</w:t>
      </w:r>
    </w:p>
    <w:p w:rsidR="00C065FA" w:rsidRPr="001918E7" w:rsidRDefault="00C065FA" w:rsidP="00A249C9">
      <w:pPr>
        <w:pStyle w:val="PargrafodaLista"/>
        <w:numPr>
          <w:ilvl w:val="0"/>
          <w:numId w:val="100"/>
        </w:numPr>
        <w:jc w:val="both"/>
      </w:pPr>
      <w:r w:rsidRPr="001918E7">
        <w:t>Possibilidade de inserir roteiros de fiscalização, isto é, o mapeamento das atividades e do tempo estimado para sua execução;</w:t>
      </w:r>
    </w:p>
    <w:p w:rsidR="00C065FA" w:rsidRPr="001918E7" w:rsidRDefault="00C065FA" w:rsidP="00A249C9">
      <w:pPr>
        <w:pStyle w:val="PargrafodaLista"/>
        <w:numPr>
          <w:ilvl w:val="0"/>
          <w:numId w:val="100"/>
        </w:numPr>
        <w:jc w:val="both"/>
      </w:pPr>
      <w:r w:rsidRPr="001918E7">
        <w:t>Acompanhamento dos Autos de Infração lavrados no tempo;</w:t>
      </w:r>
    </w:p>
    <w:p w:rsidR="00C065FA" w:rsidRPr="001918E7" w:rsidRDefault="00C065FA" w:rsidP="00A249C9">
      <w:pPr>
        <w:pStyle w:val="PargrafodaLista"/>
        <w:numPr>
          <w:ilvl w:val="0"/>
          <w:numId w:val="100"/>
        </w:numPr>
        <w:jc w:val="both"/>
      </w:pPr>
      <w:r w:rsidRPr="001918E7">
        <w:t>Possibilidade de construção de gráficos de desempenho;</w:t>
      </w:r>
    </w:p>
    <w:p w:rsidR="00C065FA" w:rsidRPr="001918E7" w:rsidRDefault="00C065FA" w:rsidP="00A249C9">
      <w:pPr>
        <w:pStyle w:val="PargrafodaLista"/>
        <w:numPr>
          <w:ilvl w:val="0"/>
          <w:numId w:val="100"/>
        </w:numPr>
        <w:jc w:val="both"/>
      </w:pPr>
      <w:r w:rsidRPr="001918E7">
        <w:t>Análise de riscos;</w:t>
      </w:r>
    </w:p>
    <w:p w:rsidR="00C065FA" w:rsidRPr="001918E7" w:rsidRDefault="00C065FA" w:rsidP="00A249C9">
      <w:pPr>
        <w:pStyle w:val="PargrafodaLista"/>
        <w:numPr>
          <w:ilvl w:val="0"/>
          <w:numId w:val="100"/>
        </w:numPr>
        <w:jc w:val="both"/>
      </w:pPr>
      <w:r w:rsidRPr="001918E7">
        <w:t>Fornecimento de relatórios e análises dos resultados das ações fiscais, com base em métricas estabelecidas previamente.</w:t>
      </w:r>
    </w:p>
    <w:p w:rsidR="00C065FA" w:rsidRPr="001918E7" w:rsidRDefault="00C065FA" w:rsidP="00FE560B">
      <w:pPr>
        <w:jc w:val="both"/>
      </w:pPr>
      <w:r w:rsidRPr="001918E7">
        <w:t>Por fim, a institucionalização dessa ferramenta irá permitir:</w:t>
      </w:r>
    </w:p>
    <w:p w:rsidR="00C065FA" w:rsidRPr="001918E7" w:rsidRDefault="00C065FA" w:rsidP="00A249C9">
      <w:pPr>
        <w:pStyle w:val="PargrafodaLista"/>
        <w:numPr>
          <w:ilvl w:val="0"/>
          <w:numId w:val="100"/>
        </w:numPr>
        <w:jc w:val="both"/>
      </w:pPr>
      <w:r w:rsidRPr="001918E7">
        <w:t>Um planejamento voltado para ampliar a arrecadação, com foco na priorização dos contribuintes que possuem maior potencial arrecadatório;</w:t>
      </w:r>
    </w:p>
    <w:p w:rsidR="00C065FA" w:rsidRPr="001918E7" w:rsidRDefault="00C065FA" w:rsidP="00A249C9">
      <w:pPr>
        <w:pStyle w:val="PargrafodaLista"/>
        <w:numPr>
          <w:ilvl w:val="0"/>
          <w:numId w:val="100"/>
        </w:numPr>
        <w:jc w:val="both"/>
      </w:pPr>
      <w:r w:rsidRPr="001918E7">
        <w:t>Melhorar a interação da Receita Estadual com os contribuintes;</w:t>
      </w:r>
    </w:p>
    <w:p w:rsidR="00C065FA" w:rsidRPr="001918E7" w:rsidRDefault="00C065FA" w:rsidP="00A249C9">
      <w:pPr>
        <w:pStyle w:val="PargrafodaLista"/>
        <w:numPr>
          <w:ilvl w:val="0"/>
          <w:numId w:val="100"/>
        </w:numPr>
        <w:jc w:val="both"/>
      </w:pPr>
      <w:r w:rsidRPr="001918E7">
        <w:t>Implementar uma diretriz clara que se traduza em objetivos para os envolvidos;</w:t>
      </w:r>
    </w:p>
    <w:p w:rsidR="00C065FA" w:rsidRPr="001918E7" w:rsidRDefault="00C065FA" w:rsidP="00A249C9">
      <w:pPr>
        <w:pStyle w:val="PargrafodaLista"/>
        <w:numPr>
          <w:ilvl w:val="0"/>
          <w:numId w:val="100"/>
        </w:numPr>
        <w:jc w:val="both"/>
      </w:pPr>
      <w:r w:rsidRPr="001918E7">
        <w:t>Estabelecer um sistema em tempo real de gestão das atividades desenvolvidas pelos Auditores Fiscais, podendo ser avaliadas suas competências e aptidões, realocação da força de trabalho, etc.;</w:t>
      </w:r>
    </w:p>
    <w:p w:rsidR="00C065FA" w:rsidRPr="001918E7" w:rsidRDefault="00C065FA" w:rsidP="00A249C9">
      <w:pPr>
        <w:pStyle w:val="PargrafodaLista"/>
        <w:numPr>
          <w:ilvl w:val="0"/>
          <w:numId w:val="100"/>
        </w:numPr>
        <w:jc w:val="both"/>
      </w:pPr>
      <w:r w:rsidRPr="001918E7">
        <w:t>Propor ações de melhoria e criar uma memória de lições aprendidas.</w:t>
      </w:r>
    </w:p>
    <w:p w:rsidR="001918E7" w:rsidRPr="001918E7" w:rsidRDefault="001918E7" w:rsidP="00FE560B">
      <w:pPr>
        <w:pStyle w:val="PargrafodaLista"/>
        <w:jc w:val="both"/>
      </w:pPr>
    </w:p>
    <w:p w:rsidR="00C065FA" w:rsidRPr="001918E7" w:rsidRDefault="001918E7" w:rsidP="00FE560B">
      <w:pPr>
        <w:spacing w:line="240" w:lineRule="auto"/>
        <w:jc w:val="both"/>
        <w:rPr>
          <w:rFonts w:cs="Calibri"/>
          <w:b/>
        </w:rPr>
      </w:pPr>
      <w:r w:rsidRPr="001918E7">
        <w:rPr>
          <w:rFonts w:cs="Calibri"/>
          <w:b/>
        </w:rPr>
        <w:t>4.3</w:t>
      </w:r>
      <w:r w:rsidR="00C065FA" w:rsidRPr="001918E7">
        <w:rPr>
          <w:rFonts w:cs="Calibri"/>
          <w:b/>
        </w:rPr>
        <w:t>.2 - Sistema informatizado de Monitoramento de contribuintes.</w:t>
      </w:r>
    </w:p>
    <w:p w:rsidR="00C065FA" w:rsidRPr="001918E7" w:rsidRDefault="00C065FA" w:rsidP="00FE560B"/>
    <w:p w:rsidR="00C065FA" w:rsidRPr="001918E7" w:rsidRDefault="00C065FA" w:rsidP="00FE560B">
      <w:pPr>
        <w:jc w:val="both"/>
      </w:pPr>
      <w:r w:rsidRPr="001918E7">
        <w:t>Pretende-se desenvolver um produto que possibilite o monitoramento sistêmico de uma grande quantidade contribuintes, permita maior assertividade nas ações desenvolvidas e seu acompanhamento.</w:t>
      </w:r>
    </w:p>
    <w:p w:rsidR="00C065FA" w:rsidRPr="001918E7" w:rsidRDefault="00C065FA" w:rsidP="00FE560B">
      <w:pPr>
        <w:jc w:val="both"/>
      </w:pPr>
      <w:r w:rsidRPr="001918E7">
        <w:t>O objetivo desse produto está inserido no contexto do monitoramento e engloba:</w:t>
      </w:r>
    </w:p>
    <w:p w:rsidR="00C065FA" w:rsidRPr="001918E7" w:rsidRDefault="00C065FA" w:rsidP="00A249C9">
      <w:pPr>
        <w:pStyle w:val="PargrafodaLista"/>
        <w:numPr>
          <w:ilvl w:val="0"/>
          <w:numId w:val="98"/>
        </w:numPr>
        <w:jc w:val="both"/>
      </w:pPr>
      <w:r w:rsidRPr="001918E7">
        <w:t>Implantar rotinas customizáveis de monitoramento;</w:t>
      </w:r>
    </w:p>
    <w:p w:rsidR="00C065FA" w:rsidRPr="001918E7" w:rsidRDefault="00C065FA" w:rsidP="00A249C9">
      <w:pPr>
        <w:pStyle w:val="PargrafodaLista"/>
        <w:numPr>
          <w:ilvl w:val="0"/>
          <w:numId w:val="98"/>
        </w:numPr>
        <w:jc w:val="both"/>
      </w:pPr>
      <w:r w:rsidRPr="001918E7">
        <w:t>Monitorar dados em tempo real;</w:t>
      </w:r>
    </w:p>
    <w:p w:rsidR="00C065FA" w:rsidRPr="001918E7" w:rsidRDefault="00C065FA" w:rsidP="00A249C9">
      <w:pPr>
        <w:pStyle w:val="PargrafodaLista"/>
        <w:numPr>
          <w:ilvl w:val="0"/>
          <w:numId w:val="98"/>
        </w:numPr>
        <w:jc w:val="both"/>
      </w:pPr>
      <w:r w:rsidRPr="001918E7">
        <w:t>Integrar os diversos sistemas informatizados capazes de gerar informação;</w:t>
      </w:r>
    </w:p>
    <w:p w:rsidR="00C065FA" w:rsidRPr="001918E7" w:rsidRDefault="00C065FA" w:rsidP="00A249C9">
      <w:pPr>
        <w:pStyle w:val="PargrafodaLista"/>
        <w:numPr>
          <w:ilvl w:val="0"/>
          <w:numId w:val="98"/>
        </w:numPr>
        <w:jc w:val="both"/>
      </w:pPr>
      <w:r w:rsidRPr="001918E7">
        <w:t>Possibilitar a tomada de decisões, tais como o bloqueio da emissão e recepção de documentos fiscais, pelo próprio sistema;</w:t>
      </w:r>
    </w:p>
    <w:p w:rsidR="00C065FA" w:rsidRPr="001918E7" w:rsidRDefault="00C065FA" w:rsidP="00A249C9">
      <w:pPr>
        <w:pStyle w:val="PargrafodaLista"/>
        <w:numPr>
          <w:ilvl w:val="0"/>
          <w:numId w:val="98"/>
        </w:numPr>
        <w:jc w:val="both"/>
      </w:pPr>
      <w:r w:rsidRPr="001918E7">
        <w:t>Instituir indicadores para análise comportamental dos contribuintes;</w:t>
      </w:r>
    </w:p>
    <w:p w:rsidR="00C065FA" w:rsidRPr="001918E7" w:rsidRDefault="00C065FA" w:rsidP="00A249C9">
      <w:pPr>
        <w:pStyle w:val="PargrafodaLista"/>
        <w:numPr>
          <w:ilvl w:val="0"/>
          <w:numId w:val="98"/>
        </w:numPr>
        <w:jc w:val="both"/>
      </w:pPr>
      <w:r w:rsidRPr="001918E7">
        <w:t>Realizar diagnóstico adequado nos casos de fraude;</w:t>
      </w:r>
    </w:p>
    <w:p w:rsidR="00C065FA" w:rsidRPr="001918E7" w:rsidRDefault="00C065FA" w:rsidP="00A249C9">
      <w:pPr>
        <w:pStyle w:val="PargrafodaLista"/>
        <w:numPr>
          <w:ilvl w:val="0"/>
          <w:numId w:val="98"/>
        </w:numPr>
        <w:jc w:val="both"/>
      </w:pPr>
      <w:r w:rsidRPr="001918E7">
        <w:t>Registrar as ações realizadas, avaliar o seu sucesso e aprimorar os métodos de diagnóstico;</w:t>
      </w:r>
    </w:p>
    <w:p w:rsidR="00C065FA" w:rsidRPr="001918E7" w:rsidRDefault="00C065FA" w:rsidP="00A249C9">
      <w:pPr>
        <w:pStyle w:val="PargrafodaLista"/>
        <w:numPr>
          <w:ilvl w:val="0"/>
          <w:numId w:val="98"/>
        </w:numPr>
        <w:jc w:val="both"/>
      </w:pPr>
      <w:r w:rsidRPr="001918E7">
        <w:t>Permitir gerenciamento de base de dados para formação de lista de sócios e contadores envolvidos em fraudes e de notas fiscais inidôneas.</w:t>
      </w:r>
    </w:p>
    <w:p w:rsidR="00C065FA" w:rsidRPr="001918E7" w:rsidRDefault="00C065FA" w:rsidP="00A249C9">
      <w:pPr>
        <w:pStyle w:val="PargrafodaLista"/>
        <w:numPr>
          <w:ilvl w:val="0"/>
          <w:numId w:val="98"/>
        </w:numPr>
        <w:spacing w:line="259" w:lineRule="auto"/>
        <w:jc w:val="both"/>
      </w:pPr>
      <w:r w:rsidRPr="001918E7">
        <w:t>Identificar ocorrências que subsidiem ações policiais de crime contra a ordem tributária alcançando os responsáveis por essas práticas.</w:t>
      </w:r>
    </w:p>
    <w:p w:rsidR="00C065FA" w:rsidRPr="001918E7" w:rsidRDefault="00C065FA" w:rsidP="00FE560B">
      <w:pPr>
        <w:jc w:val="both"/>
      </w:pPr>
      <w:r w:rsidRPr="001918E7">
        <w:t>Como produto, é esperado um sistema informatizado que entregue tais objetivos e que seja:</w:t>
      </w:r>
    </w:p>
    <w:p w:rsidR="00C065FA" w:rsidRPr="001918E7" w:rsidRDefault="00C065FA" w:rsidP="00A249C9">
      <w:pPr>
        <w:pStyle w:val="PargrafodaLista"/>
        <w:numPr>
          <w:ilvl w:val="0"/>
          <w:numId w:val="99"/>
        </w:numPr>
        <w:jc w:val="both"/>
      </w:pPr>
      <w:r w:rsidRPr="001918E7">
        <w:t>Desenvolvido em linguagem moderna e adaptável;</w:t>
      </w:r>
    </w:p>
    <w:p w:rsidR="00C065FA" w:rsidRPr="001918E7" w:rsidRDefault="00C065FA" w:rsidP="00A249C9">
      <w:pPr>
        <w:pStyle w:val="PargrafodaLista"/>
        <w:numPr>
          <w:ilvl w:val="0"/>
          <w:numId w:val="99"/>
        </w:numPr>
        <w:jc w:val="both"/>
      </w:pPr>
      <w:r w:rsidRPr="001918E7">
        <w:t xml:space="preserve">Interativo com os outros sistemas já existentes; e </w:t>
      </w:r>
    </w:p>
    <w:p w:rsidR="00C065FA" w:rsidRPr="001918E7" w:rsidRDefault="00C065FA" w:rsidP="00A249C9">
      <w:pPr>
        <w:pStyle w:val="PargrafodaLista"/>
        <w:numPr>
          <w:ilvl w:val="0"/>
          <w:numId w:val="99"/>
        </w:numPr>
        <w:jc w:val="both"/>
      </w:pPr>
      <w:r w:rsidRPr="001918E7">
        <w:t>Possível de carregamento de dados de fontes externas;</w:t>
      </w:r>
    </w:p>
    <w:p w:rsidR="00C065FA" w:rsidRPr="001918E7" w:rsidRDefault="00C065FA" w:rsidP="00A249C9">
      <w:pPr>
        <w:pStyle w:val="PargrafodaLista"/>
        <w:numPr>
          <w:ilvl w:val="0"/>
          <w:numId w:val="99"/>
        </w:numPr>
        <w:jc w:val="both"/>
      </w:pPr>
      <w:r w:rsidRPr="001918E7">
        <w:t>Compatível com a estrutura física e tecnológica da Secretaria de Estado da Fazenda do Espírito Santo.</w:t>
      </w:r>
    </w:p>
    <w:p w:rsidR="001918E7" w:rsidRPr="001918E7" w:rsidRDefault="001918E7" w:rsidP="00FE560B">
      <w:pPr>
        <w:pStyle w:val="PargrafodaLista"/>
        <w:jc w:val="both"/>
      </w:pPr>
    </w:p>
    <w:p w:rsidR="00C065FA" w:rsidRPr="001918E7" w:rsidRDefault="001918E7" w:rsidP="00FE560B">
      <w:pPr>
        <w:spacing w:line="240" w:lineRule="auto"/>
        <w:ind w:left="360"/>
        <w:jc w:val="both"/>
        <w:rPr>
          <w:rFonts w:cs="Calibri"/>
          <w:b/>
        </w:rPr>
      </w:pPr>
      <w:r w:rsidRPr="001918E7">
        <w:rPr>
          <w:rFonts w:cs="Calibri"/>
          <w:b/>
        </w:rPr>
        <w:t>4.3.2</w:t>
      </w:r>
      <w:r w:rsidR="00C065FA" w:rsidRPr="001918E7">
        <w:rPr>
          <w:rFonts w:cs="Calibri"/>
          <w:b/>
        </w:rPr>
        <w:t xml:space="preserve"> – Aperfeiçoamento do Sistema de Comércio Exterior – SICEX e integração ao Portal Único de Comércio Exterior. </w:t>
      </w:r>
    </w:p>
    <w:p w:rsidR="00C065FA" w:rsidRPr="001918E7" w:rsidRDefault="00C065FA" w:rsidP="00FE560B"/>
    <w:p w:rsidR="00C065FA" w:rsidRPr="001918E7" w:rsidRDefault="00C065FA" w:rsidP="00FE560B">
      <w:pPr>
        <w:jc w:val="both"/>
      </w:pPr>
      <w:r w:rsidRPr="001918E7">
        <w:t>A interligação do SICEX ao projeto pagamento centralizado do comércio exterior, possibilitará o acesso às informações dos processos de importação desde o seu registro e não após o desembaraço federal como ocorre atualmente. A interligação ainda possibilitará:</w:t>
      </w:r>
    </w:p>
    <w:p w:rsidR="00C065FA" w:rsidRPr="001918E7" w:rsidRDefault="00C065FA" w:rsidP="00A249C9">
      <w:pPr>
        <w:pStyle w:val="PargrafodaLista"/>
        <w:numPr>
          <w:ilvl w:val="0"/>
          <w:numId w:val="98"/>
        </w:numPr>
        <w:jc w:val="both"/>
      </w:pPr>
      <w:r w:rsidRPr="001918E7">
        <w:t>Acesso a dados hoje não disponibilizados e que impactam positivamente a base de cálculo do ICMS, a exemplo do Adicional de Frete para Renovação da Marinha Mercante - AFRMM; e</w:t>
      </w:r>
    </w:p>
    <w:p w:rsidR="00C065FA" w:rsidRPr="001918E7" w:rsidRDefault="00C065FA" w:rsidP="00A249C9">
      <w:pPr>
        <w:pStyle w:val="PargrafodaLista"/>
        <w:numPr>
          <w:ilvl w:val="0"/>
          <w:numId w:val="98"/>
        </w:numPr>
        <w:jc w:val="both"/>
      </w:pPr>
      <w:r w:rsidRPr="001918E7">
        <w:t>Acesso aos documentos anexos aos processos de desembaraço no SISCOMEX.</w:t>
      </w:r>
    </w:p>
    <w:p w:rsidR="00C065FA" w:rsidRPr="001918E7" w:rsidRDefault="00C065FA" w:rsidP="00FE560B">
      <w:pPr>
        <w:jc w:val="both"/>
      </w:pPr>
      <w:r w:rsidRPr="001918E7">
        <w:t>Com a atualização do sistema de comércio exterior – SICEX, espera-se:</w:t>
      </w:r>
    </w:p>
    <w:p w:rsidR="00C065FA" w:rsidRPr="001918E7" w:rsidRDefault="00C065FA" w:rsidP="00A249C9">
      <w:pPr>
        <w:pStyle w:val="PargrafodaLista"/>
        <w:numPr>
          <w:ilvl w:val="0"/>
          <w:numId w:val="99"/>
        </w:numPr>
        <w:jc w:val="both"/>
      </w:pPr>
      <w:r w:rsidRPr="001918E7">
        <w:t>A automatização da análise da maioria dos procedimentos de desembaraço estadual;</w:t>
      </w:r>
    </w:p>
    <w:p w:rsidR="00C065FA" w:rsidRPr="001918E7" w:rsidRDefault="00C065FA" w:rsidP="00A249C9">
      <w:pPr>
        <w:pStyle w:val="PargrafodaLista"/>
        <w:numPr>
          <w:ilvl w:val="0"/>
          <w:numId w:val="99"/>
        </w:numPr>
        <w:jc w:val="both"/>
      </w:pPr>
      <w:r w:rsidRPr="001918E7">
        <w:t xml:space="preserve">Maior integração com os outros sistemas já existentes; </w:t>
      </w:r>
    </w:p>
    <w:p w:rsidR="00C065FA" w:rsidRPr="001918E7" w:rsidRDefault="00C065FA" w:rsidP="00A249C9">
      <w:pPr>
        <w:pStyle w:val="PargrafodaLista"/>
        <w:numPr>
          <w:ilvl w:val="0"/>
          <w:numId w:val="99"/>
        </w:numPr>
        <w:jc w:val="both"/>
      </w:pPr>
      <w:r w:rsidRPr="001918E7">
        <w:t>Possibilidade de carregamento de dados de fontes externas;</w:t>
      </w:r>
    </w:p>
    <w:p w:rsidR="00C065FA" w:rsidRPr="001918E7" w:rsidRDefault="00C065FA" w:rsidP="00FE560B">
      <w:pPr>
        <w:jc w:val="both"/>
      </w:pPr>
      <w:r w:rsidRPr="001918E7">
        <w:t>A atualização do SICEX e sua interligação ao ambiente da RFB em resumo resultará em celeridade nos processos e melhoria no controle das operações do comércio exterior com consequente aumento da arrecadação do ICMS. Além de desburocratizar e gerar ganho de performance para o contribuinte importador.</w:t>
      </w:r>
    </w:p>
    <w:p w:rsidR="001918E7" w:rsidRPr="001918E7" w:rsidRDefault="001918E7" w:rsidP="00FE560B">
      <w:pPr>
        <w:jc w:val="both"/>
      </w:pPr>
    </w:p>
    <w:p w:rsidR="00C065FA" w:rsidRPr="001918E7" w:rsidRDefault="00C065FA" w:rsidP="00FE560B">
      <w:pPr>
        <w:spacing w:line="240" w:lineRule="auto"/>
        <w:ind w:left="360"/>
        <w:jc w:val="both"/>
        <w:rPr>
          <w:rFonts w:cs="Calibri"/>
          <w:b/>
        </w:rPr>
      </w:pPr>
      <w:r w:rsidRPr="001918E7">
        <w:rPr>
          <w:rFonts w:cs="Calibri"/>
          <w:b/>
        </w:rPr>
        <w:t>4.</w:t>
      </w:r>
      <w:r w:rsidR="001918E7" w:rsidRPr="001918E7">
        <w:rPr>
          <w:rFonts w:cs="Calibri"/>
          <w:b/>
        </w:rPr>
        <w:t>3</w:t>
      </w:r>
      <w:r w:rsidRPr="001918E7">
        <w:rPr>
          <w:rFonts w:cs="Calibri"/>
          <w:b/>
        </w:rPr>
        <w:t>.4 – Tratamento de Dados e Armazenamento</w:t>
      </w:r>
    </w:p>
    <w:p w:rsidR="00C065FA" w:rsidRPr="001918E7" w:rsidRDefault="00C065FA" w:rsidP="00FE560B"/>
    <w:p w:rsidR="00C065FA" w:rsidRPr="001918E7" w:rsidRDefault="00C065FA" w:rsidP="00FE560B">
      <w:pPr>
        <w:shd w:val="clear" w:color="auto" w:fill="FFFFFF"/>
        <w:ind w:right="227"/>
        <w:jc w:val="both"/>
        <w:rPr>
          <w:rFonts w:eastAsia="Times New Roman" w:cs="Arial"/>
          <w:lang w:eastAsia="pt-BR"/>
        </w:rPr>
      </w:pPr>
      <w:r w:rsidRPr="001918E7">
        <w:rPr>
          <w:lang w:eastAsia="pt-BR"/>
        </w:rPr>
        <w:t xml:space="preserve">Registra-se que </w:t>
      </w:r>
      <w:r w:rsidRPr="001918E7">
        <w:rPr>
          <w:rFonts w:eastAsia="Times New Roman" w:cs="Arial"/>
          <w:lang w:eastAsia="pt-BR"/>
        </w:rPr>
        <w:t xml:space="preserve">a arrecadação tributária está saindo do papel para o digital. O volume de informações no </w:t>
      </w:r>
      <w:r w:rsidRPr="001918E7">
        <w:t>Sistema Público de Escrituração Digital (SPED)</w:t>
      </w:r>
      <w:r w:rsidRPr="001918E7">
        <w:rPr>
          <w:rFonts w:eastAsia="Times New Roman" w:cs="Arial"/>
          <w:lang w:eastAsia="pt-BR"/>
        </w:rPr>
        <w:t xml:space="preserve"> e/ou em outros sistemas, assim como os dados de contabilidade tendem a aumentar exponencialmente nos próximos anos. Para garantir a continuidade do negócio é necessário prever os investimentos em infraestrutura através da execução de um plano diretor de tecnologia da informação que leve em consideração o plano estratégico da SEFAZ, o crescimento das funcionalidades dos diversos sistemas, da volumetria de dados e o desempenho na execução das aplicações críticas da Secretaria da Fazenda.</w:t>
      </w:r>
    </w:p>
    <w:p w:rsidR="00C065FA" w:rsidRPr="001918E7" w:rsidRDefault="00C065FA" w:rsidP="00FE560B">
      <w:pPr>
        <w:shd w:val="clear" w:color="auto" w:fill="FFFFFF"/>
        <w:ind w:right="227"/>
        <w:jc w:val="both"/>
        <w:rPr>
          <w:rFonts w:eastAsia="Times New Roman" w:cs="Arial"/>
          <w:lang w:eastAsia="pt-BR"/>
        </w:rPr>
      </w:pPr>
    </w:p>
    <w:p w:rsidR="00C065FA" w:rsidRPr="001918E7" w:rsidRDefault="00C065FA" w:rsidP="00FE560B">
      <w:pPr>
        <w:shd w:val="clear" w:color="auto" w:fill="FFFFFF"/>
        <w:ind w:right="227"/>
        <w:jc w:val="both"/>
        <w:rPr>
          <w:rFonts w:eastAsia="Times New Roman" w:cs="Times New Roman"/>
          <w:lang w:eastAsia="pt-BR"/>
        </w:rPr>
      </w:pPr>
      <w:r w:rsidRPr="001918E7">
        <w:rPr>
          <w:rFonts w:eastAsia="Times New Roman" w:cs="Times New Roman"/>
          <w:lang w:eastAsia="pt-BR"/>
        </w:rPr>
        <w:t>Nesse sentido, faz-se necessário uma infraestrutura permanentemente atualizada a fim de implantar novas tecnologias ou qualquer mudança nos processos e aplicações. Então, para cumprir com seu papel constitucional, e principalmente buscar de maneira racional e eficiente os recursos de que precisa, o Fisco deve utilizar cada vez mais ferramentas e sistemas tecnológicos adequados.</w:t>
      </w:r>
    </w:p>
    <w:p w:rsidR="00C065FA" w:rsidRPr="001918E7" w:rsidRDefault="00C065FA" w:rsidP="00FE560B">
      <w:pPr>
        <w:pStyle w:val="NormalWeb"/>
        <w:shd w:val="clear" w:color="auto" w:fill="FFFFFF"/>
        <w:spacing w:before="0" w:beforeAutospacing="0" w:after="0" w:afterAutospacing="0"/>
        <w:rPr>
          <w:rFonts w:asciiTheme="minorHAnsi" w:hAnsiTheme="minorHAnsi"/>
          <w:sz w:val="22"/>
          <w:szCs w:val="22"/>
        </w:rPr>
      </w:pPr>
      <w:r w:rsidRPr="001918E7">
        <w:rPr>
          <w:rFonts w:asciiTheme="minorHAnsi" w:hAnsiTheme="minorHAnsi"/>
          <w:sz w:val="22"/>
          <w:szCs w:val="22"/>
        </w:rPr>
        <w:t>Estima-se que a cada um ano e meio</w:t>
      </w:r>
      <w:r w:rsidRPr="001918E7">
        <w:rPr>
          <w:rFonts w:asciiTheme="minorHAnsi" w:hAnsiTheme="minorHAnsi"/>
          <w:sz w:val="22"/>
          <w:szCs w:val="22"/>
          <w:shd w:val="clear" w:color="auto" w:fill="FFFFFF"/>
        </w:rPr>
        <w:t xml:space="preserve"> gera-se a mesma quantidade de dados já criados pela humanidade em todos os tempos. Nas administrações fazendárias, e com certeza nas demais instituições, o desafio cada vez maior é o armazenamento e a transformação destes dados em informações úteis, com objetivo de entender o comportamento dos contribuintes, combater as fraudes, sonegações e até mesmo prenunciarem uma crise que possa impactar no processo de arrecadação. </w:t>
      </w:r>
      <w:r w:rsidRPr="001918E7">
        <w:rPr>
          <w:rFonts w:asciiTheme="minorHAnsi" w:hAnsiTheme="minorHAnsi"/>
          <w:sz w:val="22"/>
          <w:szCs w:val="22"/>
        </w:rPr>
        <w:t xml:space="preserve">Neste cenário, cada vez mais dinâmico, ter acesso à informação em tempo hábil é o limiar entre uma eficiente ou ineficiente gestão na área fazendária. </w:t>
      </w:r>
    </w:p>
    <w:p w:rsidR="00C065FA" w:rsidRPr="001918E7" w:rsidRDefault="00C065FA" w:rsidP="00FE560B">
      <w:pPr>
        <w:shd w:val="clear" w:color="auto" w:fill="FFFFFF"/>
        <w:jc w:val="both"/>
        <w:rPr>
          <w:rFonts w:eastAsia="Times New Roman" w:cs="Arial"/>
          <w:lang w:eastAsia="pt-BR"/>
        </w:rPr>
      </w:pPr>
      <w:r w:rsidRPr="001918E7">
        <w:rPr>
          <w:rFonts w:eastAsia="Times New Roman" w:cs="Arial"/>
          <w:lang w:eastAsia="pt-BR"/>
        </w:rPr>
        <w:t xml:space="preserve">Essa época atual, de geração de volumes incomensuráveis de dados, é chamada de a Era de Big Data. O termo Big Data também corresponde à própria quantidade absurda de dados gerados atualmente. Iniciativas apoiadas em ferramentas para Big Date e Analytics, que permitem analisar dados estruturados e não estruturados, tem sido adotadas pelas corporações para lidar com os grandes volumes de dados, facilitando a identificação, no caso da administração tributária, de indícios de sonegação, além da redução do tempo de processamento dos dados, do aprimoramento e produção de dados econômicos, malhas fiscais, utilização de inteligência artificial e redes neurais. </w:t>
      </w:r>
    </w:p>
    <w:p w:rsidR="00E64C5C" w:rsidRPr="001918E7" w:rsidRDefault="00E64C5C" w:rsidP="00FE560B">
      <w:pPr>
        <w:shd w:val="clear" w:color="auto" w:fill="FFFFFF"/>
        <w:jc w:val="both"/>
        <w:rPr>
          <w:rFonts w:eastAsia="Times New Roman" w:cs="Arial"/>
          <w:lang w:eastAsia="pt-BR"/>
        </w:rPr>
      </w:pPr>
    </w:p>
    <w:p w:rsidR="00C065FA" w:rsidRPr="001918E7"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3" w:name="_Toc517282103"/>
      <w:r w:rsidRPr="001918E7">
        <w:rPr>
          <w:rFonts w:cs="Calibri"/>
          <w:b/>
        </w:rPr>
        <w:t>DESCRIÇÃO DO RESULTADO ESPERA</w:t>
      </w:r>
      <w:r w:rsidR="00E64C5C">
        <w:rPr>
          <w:rFonts w:cs="Calibri"/>
          <w:b/>
        </w:rPr>
        <w:t>DO COM A IMPLANTAÇÃO DO PRODUTO</w:t>
      </w:r>
      <w:r w:rsidR="001918E7" w:rsidRPr="001918E7">
        <w:rPr>
          <w:rFonts w:cs="Calibri"/>
          <w:b/>
        </w:rPr>
        <w:t xml:space="preserve"> E RESPECTIVA LINHA DE BASE</w:t>
      </w:r>
      <w:bookmarkEnd w:id="83"/>
    </w:p>
    <w:p w:rsidR="00C065FA" w:rsidRPr="001918E7" w:rsidRDefault="00C065FA" w:rsidP="00FE560B">
      <w:pPr>
        <w:rPr>
          <w:rFonts w:cs="Calibri"/>
          <w:b/>
        </w:rPr>
      </w:pPr>
      <w:r w:rsidRPr="001918E7">
        <w:rPr>
          <w:rFonts w:cs="Calibri"/>
          <w:b/>
        </w:rPr>
        <w:t>Meta e Indicador de SubProduto: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8"/>
        <w:gridCol w:w="1102"/>
      </w:tblGrid>
      <w:tr w:rsidR="00C065FA" w:rsidRPr="001918E7" w:rsidTr="001918E7">
        <w:tc>
          <w:tcPr>
            <w:tcW w:w="4436" w:type="pct"/>
            <w:shd w:val="clear" w:color="auto" w:fill="C5E0B3"/>
          </w:tcPr>
          <w:p w:rsidR="00C065FA" w:rsidRPr="001918E7" w:rsidRDefault="00C065FA" w:rsidP="00FE560B">
            <w:pPr>
              <w:spacing w:line="240" w:lineRule="auto"/>
              <w:jc w:val="center"/>
              <w:rPr>
                <w:b/>
              </w:rPr>
            </w:pPr>
            <w:r w:rsidRPr="001918E7">
              <w:rPr>
                <w:b/>
              </w:rPr>
              <w:t>Indicador do produto</w:t>
            </w:r>
          </w:p>
        </w:tc>
        <w:tc>
          <w:tcPr>
            <w:tcW w:w="564" w:type="pct"/>
            <w:shd w:val="clear" w:color="auto" w:fill="C5E0B3"/>
          </w:tcPr>
          <w:p w:rsidR="00C065FA" w:rsidRPr="001918E7" w:rsidRDefault="00C065FA" w:rsidP="00FE560B">
            <w:pPr>
              <w:spacing w:line="240" w:lineRule="auto"/>
              <w:jc w:val="center"/>
              <w:rPr>
                <w:b/>
              </w:rPr>
            </w:pPr>
            <w:r w:rsidRPr="001918E7">
              <w:rPr>
                <w:b/>
              </w:rPr>
              <w:t>Meta</w:t>
            </w:r>
          </w:p>
        </w:tc>
      </w:tr>
      <w:tr w:rsidR="00C065FA" w:rsidRPr="001918E7" w:rsidTr="001918E7">
        <w:trPr>
          <w:trHeight w:val="567"/>
        </w:trPr>
        <w:tc>
          <w:tcPr>
            <w:tcW w:w="4436" w:type="pct"/>
            <w:shd w:val="clear" w:color="auto" w:fill="auto"/>
            <w:vAlign w:val="center"/>
          </w:tcPr>
          <w:p w:rsidR="00C065FA" w:rsidRPr="001918E7" w:rsidRDefault="00C065FA" w:rsidP="00FE560B">
            <w:pPr>
              <w:spacing w:line="240" w:lineRule="auto"/>
              <w:jc w:val="both"/>
            </w:pPr>
            <w:r w:rsidRPr="001918E7">
              <w:rPr>
                <w:rFonts w:cs="Calibri"/>
                <w:bCs/>
              </w:rPr>
              <w:t>Sistema informatizado de Gestão do planejamento da ação fiscal, com definição de metas e indicadores.</w:t>
            </w:r>
          </w:p>
        </w:tc>
        <w:tc>
          <w:tcPr>
            <w:tcW w:w="564" w:type="pct"/>
            <w:shd w:val="clear" w:color="auto" w:fill="auto"/>
            <w:vAlign w:val="center"/>
          </w:tcPr>
          <w:p w:rsidR="00C065FA" w:rsidRPr="001918E7" w:rsidRDefault="00C065FA" w:rsidP="00FE560B">
            <w:pPr>
              <w:spacing w:line="240" w:lineRule="auto"/>
              <w:jc w:val="center"/>
            </w:pPr>
            <w:r w:rsidRPr="001918E7">
              <w:t>1</w:t>
            </w:r>
          </w:p>
        </w:tc>
      </w:tr>
      <w:tr w:rsidR="00C065FA" w:rsidRPr="001918E7" w:rsidTr="001918E7">
        <w:trPr>
          <w:trHeight w:val="567"/>
        </w:trPr>
        <w:tc>
          <w:tcPr>
            <w:tcW w:w="4436" w:type="pct"/>
            <w:shd w:val="clear" w:color="auto" w:fill="auto"/>
            <w:vAlign w:val="center"/>
          </w:tcPr>
          <w:p w:rsidR="00C065FA" w:rsidRPr="001918E7" w:rsidRDefault="00C065FA" w:rsidP="00A249C9">
            <w:pPr>
              <w:pStyle w:val="PargrafodaLista"/>
              <w:numPr>
                <w:ilvl w:val="0"/>
                <w:numId w:val="103"/>
              </w:numPr>
              <w:spacing w:line="240" w:lineRule="auto"/>
              <w:jc w:val="both"/>
              <w:rPr>
                <w:rFonts w:cs="Calibri"/>
                <w:bCs/>
              </w:rPr>
            </w:pPr>
            <w:r w:rsidRPr="001918E7">
              <w:rPr>
                <w:rFonts w:cs="Calibri"/>
                <w:bCs/>
              </w:rPr>
              <w:t>Plano da ação fiscal institucionalizado</w:t>
            </w:r>
          </w:p>
        </w:tc>
        <w:tc>
          <w:tcPr>
            <w:tcW w:w="564" w:type="pct"/>
            <w:shd w:val="clear" w:color="auto" w:fill="auto"/>
            <w:vAlign w:val="center"/>
          </w:tcPr>
          <w:p w:rsidR="00C065FA" w:rsidRPr="001918E7" w:rsidRDefault="00C065FA" w:rsidP="00FE560B">
            <w:pPr>
              <w:spacing w:line="240" w:lineRule="auto"/>
              <w:jc w:val="center"/>
            </w:pPr>
            <w:r w:rsidRPr="001918E7">
              <w:t>2020</w:t>
            </w:r>
          </w:p>
        </w:tc>
      </w:tr>
      <w:tr w:rsidR="00C065FA" w:rsidRPr="001918E7" w:rsidTr="001918E7">
        <w:trPr>
          <w:trHeight w:val="567"/>
        </w:trPr>
        <w:tc>
          <w:tcPr>
            <w:tcW w:w="4436" w:type="pct"/>
            <w:shd w:val="clear" w:color="auto" w:fill="auto"/>
            <w:vAlign w:val="center"/>
          </w:tcPr>
          <w:p w:rsidR="00C065FA" w:rsidRPr="001918E7" w:rsidRDefault="00C065FA" w:rsidP="00FE560B">
            <w:pPr>
              <w:spacing w:line="240" w:lineRule="auto"/>
              <w:jc w:val="both"/>
              <w:rPr>
                <w:rFonts w:cs="Calibri"/>
                <w:bCs/>
              </w:rPr>
            </w:pPr>
            <w:r w:rsidRPr="001918E7">
              <w:rPr>
                <w:rFonts w:cs="Calibri"/>
                <w:bCs/>
              </w:rPr>
              <w:t>Sistema informatizado de Monitoramento de contribuintes.</w:t>
            </w:r>
          </w:p>
        </w:tc>
        <w:tc>
          <w:tcPr>
            <w:tcW w:w="564" w:type="pct"/>
            <w:shd w:val="clear" w:color="auto" w:fill="auto"/>
            <w:vAlign w:val="center"/>
          </w:tcPr>
          <w:p w:rsidR="00C065FA" w:rsidRPr="001918E7" w:rsidRDefault="00C065FA" w:rsidP="00FE560B">
            <w:pPr>
              <w:spacing w:line="240" w:lineRule="auto"/>
              <w:jc w:val="center"/>
            </w:pPr>
            <w:r w:rsidRPr="001918E7">
              <w:t>1</w:t>
            </w:r>
          </w:p>
        </w:tc>
      </w:tr>
      <w:tr w:rsidR="00C065FA" w:rsidRPr="001918E7" w:rsidTr="001918E7">
        <w:trPr>
          <w:trHeight w:val="567"/>
        </w:trPr>
        <w:tc>
          <w:tcPr>
            <w:tcW w:w="4436" w:type="pct"/>
            <w:shd w:val="clear" w:color="auto" w:fill="auto"/>
            <w:vAlign w:val="center"/>
          </w:tcPr>
          <w:p w:rsidR="00C065FA" w:rsidRPr="001918E7" w:rsidRDefault="00C065FA" w:rsidP="00A249C9">
            <w:pPr>
              <w:pStyle w:val="PargrafodaLista"/>
              <w:numPr>
                <w:ilvl w:val="0"/>
                <w:numId w:val="103"/>
              </w:numPr>
              <w:spacing w:line="240" w:lineRule="auto"/>
              <w:jc w:val="both"/>
              <w:rPr>
                <w:rFonts w:cs="Calibri"/>
                <w:bCs/>
              </w:rPr>
            </w:pPr>
            <w:r w:rsidRPr="001918E7">
              <w:rPr>
                <w:rFonts w:cs="Calibri"/>
                <w:bCs/>
              </w:rPr>
              <w:t>Sistema monitoramento de contribuintes implantado</w:t>
            </w:r>
          </w:p>
        </w:tc>
        <w:tc>
          <w:tcPr>
            <w:tcW w:w="564" w:type="pct"/>
            <w:shd w:val="clear" w:color="auto" w:fill="auto"/>
            <w:vAlign w:val="center"/>
          </w:tcPr>
          <w:p w:rsidR="00C065FA" w:rsidRPr="001918E7" w:rsidRDefault="00C065FA" w:rsidP="00FE560B">
            <w:pPr>
              <w:spacing w:line="240" w:lineRule="auto"/>
              <w:jc w:val="center"/>
            </w:pPr>
            <w:r w:rsidRPr="001918E7">
              <w:t>2021</w:t>
            </w:r>
          </w:p>
        </w:tc>
      </w:tr>
      <w:tr w:rsidR="00C065FA" w:rsidRPr="001918E7" w:rsidTr="001918E7">
        <w:trPr>
          <w:trHeight w:val="567"/>
        </w:trPr>
        <w:tc>
          <w:tcPr>
            <w:tcW w:w="4436" w:type="pct"/>
            <w:shd w:val="clear" w:color="auto" w:fill="auto"/>
            <w:vAlign w:val="center"/>
          </w:tcPr>
          <w:p w:rsidR="00C065FA" w:rsidRPr="001918E7" w:rsidRDefault="00C065FA" w:rsidP="00FE560B">
            <w:pPr>
              <w:spacing w:line="240" w:lineRule="auto"/>
              <w:jc w:val="both"/>
              <w:rPr>
                <w:rFonts w:cs="Calibri"/>
                <w:bCs/>
              </w:rPr>
            </w:pPr>
            <w:r w:rsidRPr="001918E7">
              <w:rPr>
                <w:rFonts w:cs="Calibri"/>
              </w:rPr>
              <w:t>Aperfeiçoamento do Sistema de Comércio Exterior – SICEX e integração ao Portal Único de Comércio Exterior.</w:t>
            </w:r>
          </w:p>
        </w:tc>
        <w:tc>
          <w:tcPr>
            <w:tcW w:w="564" w:type="pct"/>
            <w:shd w:val="clear" w:color="auto" w:fill="auto"/>
            <w:vAlign w:val="center"/>
          </w:tcPr>
          <w:p w:rsidR="00C065FA" w:rsidRPr="001918E7" w:rsidRDefault="00C065FA" w:rsidP="00FE560B">
            <w:pPr>
              <w:spacing w:line="240" w:lineRule="auto"/>
              <w:jc w:val="center"/>
            </w:pPr>
            <w:r w:rsidRPr="001918E7">
              <w:t>1</w:t>
            </w:r>
          </w:p>
        </w:tc>
      </w:tr>
      <w:tr w:rsidR="00C065FA" w:rsidRPr="001918E7" w:rsidTr="001918E7">
        <w:trPr>
          <w:trHeight w:val="567"/>
        </w:trPr>
        <w:tc>
          <w:tcPr>
            <w:tcW w:w="4436" w:type="pct"/>
            <w:shd w:val="clear" w:color="auto" w:fill="auto"/>
            <w:vAlign w:val="center"/>
          </w:tcPr>
          <w:p w:rsidR="00C065FA" w:rsidRPr="001918E7" w:rsidRDefault="00C065FA" w:rsidP="00A249C9">
            <w:pPr>
              <w:pStyle w:val="PargrafodaLista"/>
              <w:numPr>
                <w:ilvl w:val="0"/>
                <w:numId w:val="103"/>
              </w:numPr>
              <w:spacing w:line="240" w:lineRule="auto"/>
              <w:jc w:val="both"/>
              <w:rPr>
                <w:rFonts w:cs="Calibri"/>
              </w:rPr>
            </w:pPr>
            <w:r w:rsidRPr="001918E7">
              <w:rPr>
                <w:rFonts w:cs="Calibri"/>
              </w:rPr>
              <w:t>Sistema de Comércio exterior aperfeiçoado</w:t>
            </w:r>
          </w:p>
        </w:tc>
        <w:tc>
          <w:tcPr>
            <w:tcW w:w="564" w:type="pct"/>
            <w:shd w:val="clear" w:color="auto" w:fill="auto"/>
            <w:vAlign w:val="center"/>
          </w:tcPr>
          <w:p w:rsidR="00C065FA" w:rsidRPr="001918E7" w:rsidRDefault="00C065FA" w:rsidP="00FE560B">
            <w:pPr>
              <w:spacing w:line="240" w:lineRule="auto"/>
              <w:jc w:val="center"/>
            </w:pPr>
            <w:r w:rsidRPr="001918E7">
              <w:t>2023</w:t>
            </w:r>
          </w:p>
        </w:tc>
      </w:tr>
      <w:tr w:rsidR="00C065FA" w:rsidRPr="001918E7" w:rsidTr="001918E7">
        <w:trPr>
          <w:trHeight w:val="567"/>
        </w:trPr>
        <w:tc>
          <w:tcPr>
            <w:tcW w:w="4436" w:type="pct"/>
            <w:shd w:val="clear" w:color="auto" w:fill="auto"/>
            <w:vAlign w:val="center"/>
          </w:tcPr>
          <w:p w:rsidR="00C065FA" w:rsidRPr="001918E7" w:rsidRDefault="00C065FA" w:rsidP="00FE560B">
            <w:pPr>
              <w:spacing w:line="240" w:lineRule="auto"/>
              <w:jc w:val="both"/>
              <w:rPr>
                <w:rFonts w:cs="Calibri"/>
              </w:rPr>
            </w:pPr>
            <w:r w:rsidRPr="001918E7">
              <w:rPr>
                <w:rFonts w:cs="Calibri"/>
              </w:rPr>
              <w:t>Tratamento de Dados e Armazenamento</w:t>
            </w:r>
          </w:p>
        </w:tc>
        <w:tc>
          <w:tcPr>
            <w:tcW w:w="564" w:type="pct"/>
            <w:shd w:val="clear" w:color="auto" w:fill="auto"/>
            <w:vAlign w:val="center"/>
          </w:tcPr>
          <w:p w:rsidR="00C065FA" w:rsidRPr="001918E7" w:rsidRDefault="00C065FA" w:rsidP="00FE560B">
            <w:pPr>
              <w:spacing w:line="240" w:lineRule="auto"/>
              <w:jc w:val="center"/>
            </w:pPr>
            <w:r w:rsidRPr="001918E7">
              <w:t>1</w:t>
            </w:r>
          </w:p>
        </w:tc>
      </w:tr>
      <w:tr w:rsidR="00C065FA" w:rsidRPr="001918E7" w:rsidTr="001918E7">
        <w:trPr>
          <w:trHeight w:val="567"/>
        </w:trPr>
        <w:tc>
          <w:tcPr>
            <w:tcW w:w="4436" w:type="pct"/>
            <w:shd w:val="clear" w:color="auto" w:fill="auto"/>
            <w:vAlign w:val="center"/>
          </w:tcPr>
          <w:p w:rsidR="00C065FA" w:rsidRPr="001918E7" w:rsidRDefault="00C065FA" w:rsidP="00A249C9">
            <w:pPr>
              <w:pStyle w:val="PargrafodaLista"/>
              <w:numPr>
                <w:ilvl w:val="0"/>
                <w:numId w:val="103"/>
              </w:numPr>
              <w:spacing w:line="240" w:lineRule="auto"/>
              <w:jc w:val="both"/>
              <w:rPr>
                <w:rFonts w:cs="Calibri"/>
              </w:rPr>
            </w:pPr>
            <w:r w:rsidRPr="001918E7">
              <w:rPr>
                <w:rFonts w:cs="Calibri"/>
              </w:rPr>
              <w:t>Solução de Big Data implantada</w:t>
            </w:r>
          </w:p>
        </w:tc>
        <w:tc>
          <w:tcPr>
            <w:tcW w:w="564" w:type="pct"/>
            <w:shd w:val="clear" w:color="auto" w:fill="auto"/>
            <w:vAlign w:val="center"/>
          </w:tcPr>
          <w:p w:rsidR="00C065FA" w:rsidRPr="001918E7" w:rsidRDefault="00C065FA" w:rsidP="00FE560B">
            <w:pPr>
              <w:spacing w:line="240" w:lineRule="auto"/>
              <w:jc w:val="center"/>
            </w:pPr>
            <w:r w:rsidRPr="001918E7">
              <w:t>2022</w:t>
            </w:r>
          </w:p>
        </w:tc>
      </w:tr>
    </w:tbl>
    <w:p w:rsidR="001918E7" w:rsidRDefault="001918E7" w:rsidP="00FE560B">
      <w:pPr>
        <w:rPr>
          <w:rFonts w:cs="Calibri"/>
          <w:b/>
        </w:rPr>
      </w:pPr>
    </w:p>
    <w:p w:rsidR="00C065FA" w:rsidRPr="001918E7" w:rsidRDefault="00C065FA" w:rsidP="00FE560B">
      <w:pPr>
        <w:rPr>
          <w:rFonts w:cs="Calibri"/>
          <w:b/>
        </w:rPr>
      </w:pPr>
      <w:r w:rsidRPr="001918E7">
        <w:rPr>
          <w:rFonts w:cs="Calibri"/>
          <w:b/>
        </w:rPr>
        <w:t>Resultados quantificáveis:</w:t>
      </w:r>
    </w:p>
    <w:p w:rsidR="00C065FA" w:rsidRPr="001918E7" w:rsidRDefault="001918E7" w:rsidP="00FE560B">
      <w:pPr>
        <w:rPr>
          <w:rFonts w:cs="Calibri"/>
          <w:b/>
          <w:bCs/>
        </w:rPr>
      </w:pPr>
      <w:r w:rsidRPr="001918E7">
        <w:rPr>
          <w:rFonts w:cs="Calibri"/>
          <w:b/>
          <w:bCs/>
        </w:rPr>
        <w:t>2.4.1</w:t>
      </w:r>
      <w:r w:rsidR="00C065FA" w:rsidRPr="001918E7">
        <w:rPr>
          <w:rFonts w:cs="Calibri"/>
          <w:b/>
          <w:bCs/>
        </w:rPr>
        <w:t xml:space="preserve"> </w:t>
      </w:r>
      <w:r w:rsidRPr="001918E7">
        <w:rPr>
          <w:rFonts w:cs="Calibri"/>
          <w:b/>
          <w:bCs/>
        </w:rPr>
        <w:t xml:space="preserve">- </w:t>
      </w:r>
      <w:r w:rsidR="00C065FA" w:rsidRPr="001918E7">
        <w:rPr>
          <w:rFonts w:cs="Calibri"/>
          <w:b/>
          <w:bCs/>
        </w:rPr>
        <w:t>Sistema informatizado de Gestão do planejamento da ação fiscal, com definição de metas e indicadores.</w:t>
      </w:r>
    </w:p>
    <w:p w:rsidR="00C065FA" w:rsidRPr="001918E7" w:rsidRDefault="00C065FA" w:rsidP="00FE560B">
      <w:pPr>
        <w:jc w:val="both"/>
      </w:pPr>
      <w:r w:rsidRPr="001918E7">
        <w:t xml:space="preserve">Com a implantação do sistema de controle e avaliação do planejamento, estima-se um aumento na arrecadação do Estado, assim como um melhor aproveitamento dos recursos humanos e a possibilidade de identificação de falhas no planejamento.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269"/>
        <w:gridCol w:w="2087"/>
        <w:gridCol w:w="3363"/>
      </w:tblGrid>
      <w:tr w:rsidR="00C065FA" w:rsidRPr="001918E7" w:rsidTr="001918E7">
        <w:tc>
          <w:tcPr>
            <w:tcW w:w="1050" w:type="pct"/>
            <w:shd w:val="clear" w:color="auto" w:fill="C5E0B3"/>
            <w:vAlign w:val="center"/>
          </w:tcPr>
          <w:p w:rsidR="00C065FA" w:rsidRPr="001918E7" w:rsidRDefault="00C065FA" w:rsidP="00FE560B">
            <w:pPr>
              <w:spacing w:line="240" w:lineRule="auto"/>
              <w:jc w:val="right"/>
              <w:rPr>
                <w:rFonts w:cs="Calibri"/>
                <w:b/>
              </w:rPr>
            </w:pPr>
            <w:r w:rsidRPr="001918E7">
              <w:rPr>
                <w:rFonts w:cs="Calibri"/>
                <w:b/>
              </w:rPr>
              <w:t>Resultado 1</w:t>
            </w:r>
          </w:p>
        </w:tc>
        <w:tc>
          <w:tcPr>
            <w:tcW w:w="3950" w:type="pct"/>
            <w:gridSpan w:val="3"/>
            <w:shd w:val="clear" w:color="auto" w:fill="auto"/>
          </w:tcPr>
          <w:p w:rsidR="00C065FA" w:rsidRPr="001918E7" w:rsidRDefault="00C065FA" w:rsidP="00FE560B">
            <w:pPr>
              <w:spacing w:line="240" w:lineRule="auto"/>
              <w:jc w:val="both"/>
              <w:rPr>
                <w:rFonts w:cs="Calibri"/>
                <w:noProof/>
              </w:rPr>
            </w:pPr>
            <w:r w:rsidRPr="001918E7">
              <w:t>Aumento da arrecadação motivada</w:t>
            </w:r>
          </w:p>
        </w:tc>
      </w:tr>
      <w:tr w:rsidR="00C065FA" w:rsidRPr="001918E7" w:rsidTr="001918E7">
        <w:tc>
          <w:tcPr>
            <w:tcW w:w="1050" w:type="pct"/>
            <w:shd w:val="clear" w:color="auto" w:fill="C5E0B3"/>
            <w:vAlign w:val="center"/>
          </w:tcPr>
          <w:p w:rsidR="00C065FA" w:rsidRPr="001918E7" w:rsidRDefault="00C065FA" w:rsidP="00FE560B">
            <w:pPr>
              <w:spacing w:line="240" w:lineRule="auto"/>
              <w:jc w:val="right"/>
              <w:rPr>
                <w:rFonts w:cs="Calibri"/>
                <w:b/>
              </w:rPr>
            </w:pPr>
            <w:r w:rsidRPr="001918E7">
              <w:rPr>
                <w:rFonts w:cs="Calibri"/>
                <w:b/>
              </w:rPr>
              <w:t>Fórmula de cálculo</w:t>
            </w:r>
          </w:p>
        </w:tc>
        <w:tc>
          <w:tcPr>
            <w:tcW w:w="3950" w:type="pct"/>
            <w:gridSpan w:val="3"/>
            <w:shd w:val="clear" w:color="auto" w:fill="auto"/>
            <w:vAlign w:val="center"/>
          </w:tcPr>
          <w:p w:rsidR="00C065FA" w:rsidRPr="001918E7" w:rsidRDefault="00C065FA" w:rsidP="00FE560B">
            <w:pPr>
              <w:spacing w:line="240" w:lineRule="auto"/>
              <w:rPr>
                <w:rFonts w:cs="Calibri"/>
              </w:rPr>
            </w:pPr>
            <w:r w:rsidRPr="001918E7">
              <w:rPr>
                <w:rFonts w:cs="Calibri"/>
                <w:noProof/>
              </w:rPr>
              <w:t>Percentual da arrecadação motivada pela ação fiscal com a planejada</w:t>
            </w:r>
          </w:p>
        </w:tc>
      </w:tr>
      <w:tr w:rsidR="00C065FA" w:rsidRPr="001918E7" w:rsidTr="001918E7">
        <w:tc>
          <w:tcPr>
            <w:tcW w:w="1050"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Unidade de medida</w:t>
            </w:r>
          </w:p>
        </w:tc>
        <w:tc>
          <w:tcPr>
            <w:tcW w:w="1161"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Meta (fim do projeto)</w:t>
            </w:r>
          </w:p>
        </w:tc>
        <w:tc>
          <w:tcPr>
            <w:tcW w:w="1068"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Linha de Base (2017)</w:t>
            </w:r>
          </w:p>
        </w:tc>
        <w:tc>
          <w:tcPr>
            <w:tcW w:w="1720"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Fonte</w:t>
            </w:r>
          </w:p>
        </w:tc>
      </w:tr>
      <w:tr w:rsidR="00C065FA" w:rsidRPr="001918E7" w:rsidTr="001918E7">
        <w:tc>
          <w:tcPr>
            <w:tcW w:w="1050"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w:t>
            </w:r>
          </w:p>
        </w:tc>
        <w:tc>
          <w:tcPr>
            <w:tcW w:w="1161"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100%</w:t>
            </w:r>
          </w:p>
        </w:tc>
        <w:tc>
          <w:tcPr>
            <w:tcW w:w="1068"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w:t>
            </w:r>
          </w:p>
        </w:tc>
        <w:tc>
          <w:tcPr>
            <w:tcW w:w="1720"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Sefaz/ES</w:t>
            </w:r>
          </w:p>
        </w:tc>
      </w:tr>
    </w:tbl>
    <w:p w:rsidR="00C065FA" w:rsidRPr="001918E7" w:rsidRDefault="00C065FA" w:rsidP="00FE56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269"/>
        <w:gridCol w:w="2087"/>
        <w:gridCol w:w="3363"/>
      </w:tblGrid>
      <w:tr w:rsidR="00C065FA" w:rsidRPr="001918E7" w:rsidTr="001918E7">
        <w:tc>
          <w:tcPr>
            <w:tcW w:w="1050" w:type="pct"/>
            <w:shd w:val="clear" w:color="auto" w:fill="C5E0B3"/>
            <w:vAlign w:val="center"/>
          </w:tcPr>
          <w:p w:rsidR="00C065FA" w:rsidRPr="001918E7" w:rsidRDefault="00C065FA" w:rsidP="00FE560B">
            <w:pPr>
              <w:spacing w:line="240" w:lineRule="auto"/>
              <w:jc w:val="right"/>
              <w:rPr>
                <w:rFonts w:cs="Calibri"/>
                <w:b/>
              </w:rPr>
            </w:pPr>
            <w:r w:rsidRPr="001918E7">
              <w:rPr>
                <w:rFonts w:cs="Calibri"/>
                <w:b/>
              </w:rPr>
              <w:t>Resultado 2</w:t>
            </w:r>
          </w:p>
        </w:tc>
        <w:tc>
          <w:tcPr>
            <w:tcW w:w="3950" w:type="pct"/>
            <w:gridSpan w:val="3"/>
            <w:shd w:val="clear" w:color="auto" w:fill="auto"/>
          </w:tcPr>
          <w:p w:rsidR="00C065FA" w:rsidRPr="001918E7" w:rsidRDefault="00C065FA" w:rsidP="00FE560B">
            <w:pPr>
              <w:spacing w:line="240" w:lineRule="auto"/>
              <w:jc w:val="both"/>
              <w:rPr>
                <w:rFonts w:cs="Calibri"/>
                <w:noProof/>
              </w:rPr>
            </w:pPr>
            <w:r w:rsidRPr="001918E7">
              <w:t>Aumento no número de contribuintes fiscalizados</w:t>
            </w:r>
          </w:p>
        </w:tc>
      </w:tr>
      <w:tr w:rsidR="00C065FA" w:rsidRPr="001918E7" w:rsidTr="001918E7">
        <w:tc>
          <w:tcPr>
            <w:tcW w:w="1050" w:type="pct"/>
            <w:shd w:val="clear" w:color="auto" w:fill="C5E0B3"/>
            <w:vAlign w:val="center"/>
          </w:tcPr>
          <w:p w:rsidR="00C065FA" w:rsidRPr="001918E7" w:rsidRDefault="00C065FA" w:rsidP="00FE560B">
            <w:pPr>
              <w:spacing w:line="240" w:lineRule="auto"/>
              <w:jc w:val="right"/>
              <w:rPr>
                <w:rFonts w:cs="Calibri"/>
                <w:b/>
              </w:rPr>
            </w:pPr>
            <w:r w:rsidRPr="001918E7">
              <w:rPr>
                <w:rFonts w:cs="Calibri"/>
                <w:b/>
              </w:rPr>
              <w:t>Fórmula de cálculo</w:t>
            </w:r>
          </w:p>
        </w:tc>
        <w:tc>
          <w:tcPr>
            <w:tcW w:w="3950" w:type="pct"/>
            <w:gridSpan w:val="3"/>
            <w:shd w:val="clear" w:color="auto" w:fill="auto"/>
            <w:vAlign w:val="center"/>
          </w:tcPr>
          <w:p w:rsidR="00C065FA" w:rsidRPr="001918E7" w:rsidRDefault="00C065FA" w:rsidP="00FE560B">
            <w:pPr>
              <w:spacing w:line="240" w:lineRule="auto"/>
              <w:rPr>
                <w:rFonts w:cs="Calibri"/>
              </w:rPr>
            </w:pPr>
            <w:r w:rsidRPr="001918E7">
              <w:rPr>
                <w:rFonts w:cs="Calibri"/>
                <w:noProof/>
              </w:rPr>
              <w:t>Cálculo da quantidade de contribuintes fiscalizados e/ou monitorados</w:t>
            </w:r>
          </w:p>
        </w:tc>
      </w:tr>
      <w:tr w:rsidR="00C065FA" w:rsidRPr="001918E7" w:rsidTr="001918E7">
        <w:tc>
          <w:tcPr>
            <w:tcW w:w="1050"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Unidade de medida</w:t>
            </w:r>
          </w:p>
        </w:tc>
        <w:tc>
          <w:tcPr>
            <w:tcW w:w="1161"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Meta (fim do projeto)</w:t>
            </w:r>
          </w:p>
        </w:tc>
        <w:tc>
          <w:tcPr>
            <w:tcW w:w="1068"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Linha de Base (2017)</w:t>
            </w:r>
          </w:p>
        </w:tc>
        <w:tc>
          <w:tcPr>
            <w:tcW w:w="1720"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Fonte</w:t>
            </w:r>
          </w:p>
        </w:tc>
      </w:tr>
      <w:tr w:rsidR="00C065FA" w:rsidRPr="001918E7" w:rsidTr="001918E7">
        <w:tc>
          <w:tcPr>
            <w:tcW w:w="1050"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Número</w:t>
            </w:r>
          </w:p>
        </w:tc>
        <w:tc>
          <w:tcPr>
            <w:tcW w:w="1161"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3.000</w:t>
            </w:r>
          </w:p>
        </w:tc>
        <w:tc>
          <w:tcPr>
            <w:tcW w:w="1068"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1.314</w:t>
            </w:r>
          </w:p>
        </w:tc>
        <w:tc>
          <w:tcPr>
            <w:tcW w:w="1720"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Sefaz/ES</w:t>
            </w:r>
          </w:p>
        </w:tc>
      </w:tr>
    </w:tbl>
    <w:p w:rsidR="00C065FA" w:rsidRPr="001918E7" w:rsidRDefault="00C065FA" w:rsidP="00FE560B"/>
    <w:p w:rsidR="00C065FA" w:rsidRPr="001918E7" w:rsidRDefault="00C065FA" w:rsidP="00FE560B">
      <w:pPr>
        <w:rPr>
          <w:b/>
        </w:rPr>
      </w:pPr>
      <w:r w:rsidRPr="001918E7">
        <w:rPr>
          <w:rFonts w:cs="Calibri"/>
          <w:b/>
        </w:rPr>
        <w:t>Outros possíveis resultados:</w:t>
      </w:r>
    </w:p>
    <w:p w:rsidR="00C065FA" w:rsidRPr="001918E7" w:rsidRDefault="00C065FA" w:rsidP="00A249C9">
      <w:pPr>
        <w:pStyle w:val="PargrafodaLista"/>
        <w:numPr>
          <w:ilvl w:val="0"/>
          <w:numId w:val="100"/>
        </w:numPr>
        <w:jc w:val="both"/>
      </w:pPr>
      <w:r w:rsidRPr="001918E7">
        <w:t>Aumento da percepção de risco dos contribuintes;</w:t>
      </w:r>
    </w:p>
    <w:p w:rsidR="00C065FA" w:rsidRPr="001918E7" w:rsidRDefault="00C065FA" w:rsidP="00A249C9">
      <w:pPr>
        <w:pStyle w:val="PargrafodaLista"/>
        <w:numPr>
          <w:ilvl w:val="0"/>
          <w:numId w:val="100"/>
        </w:numPr>
        <w:jc w:val="both"/>
      </w:pPr>
      <w:r w:rsidRPr="001918E7">
        <w:t>Aumento da eficiência arrecadatória;</w:t>
      </w:r>
    </w:p>
    <w:p w:rsidR="00C065FA" w:rsidRPr="001918E7" w:rsidRDefault="00C065FA" w:rsidP="00A249C9">
      <w:pPr>
        <w:pStyle w:val="PargrafodaLista"/>
        <w:numPr>
          <w:ilvl w:val="0"/>
          <w:numId w:val="100"/>
        </w:numPr>
        <w:jc w:val="both"/>
      </w:pPr>
      <w:r w:rsidRPr="001918E7">
        <w:t>Aumento do recolhimento espontâneo;</w:t>
      </w:r>
    </w:p>
    <w:p w:rsidR="00C065FA" w:rsidRPr="001918E7" w:rsidRDefault="00C065FA" w:rsidP="00A249C9">
      <w:pPr>
        <w:pStyle w:val="PargrafodaLista"/>
        <w:numPr>
          <w:ilvl w:val="0"/>
          <w:numId w:val="100"/>
        </w:numPr>
        <w:jc w:val="both"/>
      </w:pPr>
      <w:r w:rsidRPr="001918E7">
        <w:t>Diminuição dos prazos de fiscalização;</w:t>
      </w:r>
    </w:p>
    <w:p w:rsidR="00C065FA" w:rsidRPr="001918E7" w:rsidRDefault="00C065FA" w:rsidP="00A249C9">
      <w:pPr>
        <w:pStyle w:val="PargrafodaLista"/>
        <w:numPr>
          <w:ilvl w:val="0"/>
          <w:numId w:val="100"/>
        </w:numPr>
        <w:jc w:val="both"/>
      </w:pPr>
      <w:r w:rsidRPr="001918E7">
        <w:t>Melhor uso do Auditor Fiscal lotado na atividade fim; e</w:t>
      </w:r>
    </w:p>
    <w:p w:rsidR="00C065FA" w:rsidRDefault="00C065FA" w:rsidP="00A249C9">
      <w:pPr>
        <w:pStyle w:val="PargrafodaLista"/>
        <w:numPr>
          <w:ilvl w:val="0"/>
          <w:numId w:val="100"/>
        </w:numPr>
        <w:jc w:val="both"/>
      </w:pPr>
      <w:r w:rsidRPr="001918E7">
        <w:t>Estimar com maior precisão a capacidade arrecadatória da fiscalização.</w:t>
      </w:r>
    </w:p>
    <w:p w:rsidR="001918E7" w:rsidRPr="001918E7" w:rsidRDefault="001918E7" w:rsidP="00FE560B">
      <w:pPr>
        <w:pStyle w:val="PargrafodaLista"/>
        <w:jc w:val="both"/>
      </w:pPr>
    </w:p>
    <w:p w:rsidR="00C065FA" w:rsidRPr="001918E7" w:rsidRDefault="001918E7" w:rsidP="00FE560B">
      <w:pPr>
        <w:rPr>
          <w:rFonts w:cs="Calibri"/>
          <w:b/>
          <w:bCs/>
        </w:rPr>
      </w:pPr>
      <w:r w:rsidRPr="001918E7">
        <w:rPr>
          <w:rFonts w:cs="Calibri"/>
          <w:b/>
          <w:bCs/>
        </w:rPr>
        <w:t>2.4.2</w:t>
      </w:r>
      <w:r w:rsidR="00C065FA" w:rsidRPr="001918E7">
        <w:rPr>
          <w:rFonts w:cs="Calibri"/>
          <w:b/>
          <w:bCs/>
        </w:rPr>
        <w:t xml:space="preserve"> - Sistema informatizado de Monitoramento de contribuintes.</w:t>
      </w:r>
    </w:p>
    <w:p w:rsidR="00C065FA" w:rsidRDefault="00C065FA" w:rsidP="00FE560B">
      <w:pPr>
        <w:jc w:val="both"/>
        <w:rPr>
          <w:rFonts w:cs="Calibri"/>
        </w:rPr>
      </w:pPr>
      <w:r w:rsidRPr="001918E7">
        <w:rPr>
          <w:rFonts w:cs="Calibri"/>
        </w:rPr>
        <w:t>Com a implantação do Sistema de Monitoramento, estima-se um aumento na arrecadação do Estado, assim como um incremento no cumprimento voluntário de obrigações acessórias e principais, decorrente da percepção de risco por parte dos contribuintes.</w:t>
      </w:r>
    </w:p>
    <w:p w:rsidR="001918E7" w:rsidRPr="001918E7" w:rsidRDefault="001918E7" w:rsidP="00FE560B">
      <w:pPr>
        <w:jc w:val="both"/>
        <w:rPr>
          <w:rFonts w:cs="Calibri"/>
        </w:rPr>
      </w:pPr>
    </w:p>
    <w:tbl>
      <w:tblPr>
        <w:tblW w:w="5000" w:type="pct"/>
        <w:tblLook w:val="0000" w:firstRow="0" w:lastRow="0" w:firstColumn="0" w:lastColumn="0" w:noHBand="0" w:noVBand="0"/>
      </w:tblPr>
      <w:tblGrid>
        <w:gridCol w:w="1944"/>
        <w:gridCol w:w="2720"/>
        <w:gridCol w:w="1956"/>
        <w:gridCol w:w="3150"/>
      </w:tblGrid>
      <w:tr w:rsidR="00C065FA" w:rsidRPr="001918E7" w:rsidTr="007D2BDD">
        <w:tc>
          <w:tcPr>
            <w:tcW w:w="995" w:type="pct"/>
            <w:tcBorders>
              <w:top w:val="single" w:sz="4" w:space="0" w:color="000000"/>
              <w:left w:val="single" w:sz="4" w:space="0" w:color="000000"/>
              <w:bottom w:val="single" w:sz="4" w:space="0" w:color="000000"/>
            </w:tcBorders>
            <w:shd w:val="clear" w:color="auto" w:fill="C5E0B3"/>
            <w:vAlign w:val="center"/>
          </w:tcPr>
          <w:p w:rsidR="00C065FA" w:rsidRPr="001918E7" w:rsidRDefault="00C065FA" w:rsidP="00FE560B">
            <w:pPr>
              <w:spacing w:line="240" w:lineRule="auto"/>
              <w:jc w:val="right"/>
            </w:pPr>
            <w:r w:rsidRPr="001918E7">
              <w:rPr>
                <w:rFonts w:cs="Calibri"/>
                <w:b/>
              </w:rPr>
              <w:t>Resultado 1</w:t>
            </w:r>
          </w:p>
        </w:tc>
        <w:tc>
          <w:tcPr>
            <w:tcW w:w="4005" w:type="pct"/>
            <w:gridSpan w:val="3"/>
            <w:tcBorders>
              <w:top w:val="single" w:sz="4" w:space="0" w:color="000000"/>
              <w:left w:val="single" w:sz="4" w:space="0" w:color="000000"/>
              <w:bottom w:val="single" w:sz="4" w:space="0" w:color="000000"/>
              <w:right w:val="single" w:sz="4" w:space="0" w:color="000000"/>
            </w:tcBorders>
            <w:shd w:val="clear" w:color="auto" w:fill="auto"/>
          </w:tcPr>
          <w:p w:rsidR="00C065FA" w:rsidRPr="001918E7" w:rsidRDefault="00C065FA" w:rsidP="00FE560B">
            <w:pPr>
              <w:spacing w:line="240" w:lineRule="auto"/>
            </w:pPr>
            <w:r w:rsidRPr="001918E7">
              <w:rPr>
                <w:rFonts w:cs="Calibri"/>
                <w:lang w:eastAsia="pt-BR"/>
              </w:rPr>
              <w:t>Diminuição da média de documentos fiscais emitidos antes da identificação da fraude</w:t>
            </w:r>
          </w:p>
        </w:tc>
      </w:tr>
      <w:tr w:rsidR="00C065FA" w:rsidRPr="001918E7" w:rsidTr="007D2BDD">
        <w:tc>
          <w:tcPr>
            <w:tcW w:w="995" w:type="pct"/>
            <w:tcBorders>
              <w:top w:val="single" w:sz="4" w:space="0" w:color="000000"/>
              <w:left w:val="single" w:sz="4" w:space="0" w:color="000000"/>
              <w:bottom w:val="single" w:sz="4" w:space="0" w:color="000000"/>
            </w:tcBorders>
            <w:shd w:val="clear" w:color="auto" w:fill="C5E0B3"/>
            <w:vAlign w:val="center"/>
          </w:tcPr>
          <w:p w:rsidR="00C065FA" w:rsidRPr="001918E7" w:rsidRDefault="00C065FA" w:rsidP="00FE560B">
            <w:pPr>
              <w:spacing w:line="240" w:lineRule="auto"/>
              <w:jc w:val="right"/>
            </w:pPr>
            <w:r w:rsidRPr="001918E7">
              <w:rPr>
                <w:rFonts w:cs="Calibri"/>
                <w:b/>
              </w:rPr>
              <w:t>Fórmula de cálculo</w:t>
            </w:r>
          </w:p>
        </w:tc>
        <w:tc>
          <w:tcPr>
            <w:tcW w:w="400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65FA" w:rsidRPr="001918E7" w:rsidRDefault="00C065FA" w:rsidP="00FE560B">
            <w:pPr>
              <w:spacing w:line="240" w:lineRule="auto"/>
              <w:jc w:val="both"/>
              <w:rPr>
                <w:highlight w:val="yellow"/>
              </w:rPr>
            </w:pPr>
            <w:r w:rsidRPr="001918E7">
              <w:t>Média de emissão e recepção de NF-e das empresas identificadas com indícios de fraudes bloqueadas pelo monitoramento sistêmico (somatório dos montantes divido pelo número de empresas)</w:t>
            </w:r>
          </w:p>
        </w:tc>
      </w:tr>
      <w:tr w:rsidR="00C065FA" w:rsidRPr="001918E7" w:rsidTr="007D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5"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Unidade de medida</w:t>
            </w:r>
          </w:p>
        </w:tc>
        <w:tc>
          <w:tcPr>
            <w:tcW w:w="1392"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Meta (fim do projeto)</w:t>
            </w:r>
          </w:p>
        </w:tc>
        <w:tc>
          <w:tcPr>
            <w:tcW w:w="1001"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Linha de Base (2017)</w:t>
            </w:r>
          </w:p>
        </w:tc>
        <w:tc>
          <w:tcPr>
            <w:tcW w:w="1612"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Fonte</w:t>
            </w:r>
          </w:p>
        </w:tc>
      </w:tr>
      <w:tr w:rsidR="00C065FA" w:rsidRPr="001918E7" w:rsidTr="007D2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95"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R$</w:t>
            </w:r>
          </w:p>
        </w:tc>
        <w:tc>
          <w:tcPr>
            <w:tcW w:w="1392"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R$ 2.000.000,00</w:t>
            </w:r>
          </w:p>
        </w:tc>
        <w:tc>
          <w:tcPr>
            <w:tcW w:w="1001"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 xml:space="preserve">R$ </w:t>
            </w:r>
            <w:r w:rsidRPr="001918E7">
              <w:t>7.807.610,28</w:t>
            </w:r>
          </w:p>
        </w:tc>
        <w:tc>
          <w:tcPr>
            <w:tcW w:w="1612" w:type="pct"/>
            <w:shd w:val="clear" w:color="auto" w:fill="auto"/>
            <w:vAlign w:val="center"/>
          </w:tcPr>
          <w:p w:rsidR="00C065FA" w:rsidRPr="001918E7" w:rsidRDefault="00C065FA" w:rsidP="00FE560B">
            <w:pPr>
              <w:spacing w:line="240" w:lineRule="auto"/>
              <w:jc w:val="center"/>
              <w:rPr>
                <w:rFonts w:cs="Calibri"/>
              </w:rPr>
            </w:pPr>
            <w:r w:rsidRPr="001918E7">
              <w:rPr>
                <w:rFonts w:cs="Calibri"/>
              </w:rPr>
              <w:t>Sefaz/ES</w:t>
            </w:r>
          </w:p>
        </w:tc>
      </w:tr>
    </w:tbl>
    <w:p w:rsidR="00C065FA" w:rsidRPr="001918E7" w:rsidRDefault="00C065FA" w:rsidP="00FE560B">
      <w:pPr>
        <w:rPr>
          <w:b/>
        </w:rPr>
      </w:pPr>
    </w:p>
    <w:p w:rsidR="00C065FA" w:rsidRPr="001918E7" w:rsidRDefault="00C065FA" w:rsidP="00FE560B">
      <w:pPr>
        <w:rPr>
          <w:b/>
        </w:rPr>
      </w:pPr>
      <w:r w:rsidRPr="001918E7">
        <w:rPr>
          <w:rFonts w:cs="Calibri"/>
          <w:b/>
        </w:rPr>
        <w:t>Outros possíveis resultados:</w:t>
      </w:r>
    </w:p>
    <w:p w:rsidR="00C065FA" w:rsidRPr="001918E7" w:rsidRDefault="00C065FA" w:rsidP="00A249C9">
      <w:pPr>
        <w:pStyle w:val="PargrafodaLista"/>
        <w:numPr>
          <w:ilvl w:val="0"/>
          <w:numId w:val="98"/>
        </w:numPr>
        <w:jc w:val="both"/>
      </w:pPr>
      <w:r w:rsidRPr="001918E7">
        <w:t>Aumento da percepção de risco;</w:t>
      </w:r>
    </w:p>
    <w:p w:rsidR="00C065FA" w:rsidRPr="001918E7" w:rsidRDefault="00C065FA" w:rsidP="00A249C9">
      <w:pPr>
        <w:pStyle w:val="PargrafodaLista"/>
        <w:numPr>
          <w:ilvl w:val="0"/>
          <w:numId w:val="98"/>
        </w:numPr>
        <w:jc w:val="both"/>
      </w:pPr>
      <w:r w:rsidRPr="001918E7">
        <w:t>Aumento do recolhimento espontâneo; e</w:t>
      </w:r>
    </w:p>
    <w:p w:rsidR="00C065FA" w:rsidRPr="001918E7" w:rsidRDefault="00C065FA" w:rsidP="00A249C9">
      <w:pPr>
        <w:pStyle w:val="PargrafodaLista"/>
        <w:numPr>
          <w:ilvl w:val="0"/>
          <w:numId w:val="98"/>
        </w:numPr>
        <w:jc w:val="both"/>
      </w:pPr>
      <w:r w:rsidRPr="001918E7">
        <w:t>Geração de subsídios para combate a crimes ou infrações tributárias e não tributárias.</w:t>
      </w:r>
    </w:p>
    <w:p w:rsidR="001918E7" w:rsidRPr="001918E7" w:rsidRDefault="001918E7" w:rsidP="00FE560B">
      <w:pPr>
        <w:pStyle w:val="PargrafodaLista"/>
        <w:jc w:val="both"/>
      </w:pPr>
    </w:p>
    <w:p w:rsidR="00C065FA" w:rsidRPr="001918E7" w:rsidRDefault="001918E7" w:rsidP="00FE560B">
      <w:pPr>
        <w:rPr>
          <w:rFonts w:cs="Calibri"/>
          <w:b/>
        </w:rPr>
      </w:pPr>
      <w:r w:rsidRPr="001918E7">
        <w:rPr>
          <w:rFonts w:cs="Calibri"/>
          <w:b/>
        </w:rPr>
        <w:t>2.4.</w:t>
      </w:r>
      <w:r w:rsidR="00C065FA" w:rsidRPr="001918E7">
        <w:rPr>
          <w:rFonts w:cs="Calibri"/>
          <w:b/>
        </w:rPr>
        <w:t>3 - Aperfeiçoamento do Sistema de Comércio Exterior – SICEX e integração ao Portal Único de Comércio Exterior.</w:t>
      </w:r>
    </w:p>
    <w:p w:rsidR="00C065FA" w:rsidRPr="001918E7" w:rsidRDefault="00C065FA" w:rsidP="00FE560B">
      <w:pPr>
        <w:spacing w:line="240" w:lineRule="auto"/>
      </w:pPr>
    </w:p>
    <w:p w:rsidR="00C065FA" w:rsidRPr="001918E7" w:rsidRDefault="00C065FA" w:rsidP="00FE560B">
      <w:pPr>
        <w:jc w:val="both"/>
        <w:rPr>
          <w:rFonts w:cs="Calibri"/>
        </w:rPr>
      </w:pPr>
      <w:r w:rsidRPr="001918E7">
        <w:rPr>
          <w:rFonts w:cs="Calibri"/>
        </w:rPr>
        <w:t>Com a implantação da evolutiva do Sistema e sua integração ao Projeto pagamento Centralizado do Comércio Exterior, estima-se um aumento na arrecadação do Estado, por conta das novas informações que serão fornecidas pela Receita Federal, assim como uma diminuição significativa do custo logístico nas operações de importação realizadas por contribuintes sediados no Estado do Espírito Santo tendo em vista o automatismo a ser implantado nos procedimentos de desembaraço, hoje dependentes de análise manual, realizada pelo Auditor Fiscal.</w:t>
      </w:r>
    </w:p>
    <w:p w:rsidR="00C065FA" w:rsidRPr="001918E7" w:rsidRDefault="00C065FA" w:rsidP="00FE560B">
      <w:pPr>
        <w:jc w:val="both"/>
        <w:rPr>
          <w:rFonts w:cs="Calibri"/>
        </w:rPr>
      </w:pPr>
    </w:p>
    <w:tbl>
      <w:tblPr>
        <w:tblW w:w="5000" w:type="pct"/>
        <w:tblLook w:val="0000" w:firstRow="0" w:lastRow="0" w:firstColumn="0" w:lastColumn="0" w:noHBand="0" w:noVBand="0"/>
      </w:tblPr>
      <w:tblGrid>
        <w:gridCol w:w="1944"/>
        <w:gridCol w:w="596"/>
        <w:gridCol w:w="2126"/>
        <w:gridCol w:w="1956"/>
        <w:gridCol w:w="3148"/>
      </w:tblGrid>
      <w:tr w:rsidR="00C065FA" w:rsidRPr="001918E7" w:rsidTr="000F67FC">
        <w:tc>
          <w:tcPr>
            <w:tcW w:w="995" w:type="pct"/>
            <w:tcBorders>
              <w:top w:val="single" w:sz="4" w:space="0" w:color="auto"/>
              <w:left w:val="single" w:sz="4" w:space="0" w:color="auto"/>
              <w:bottom w:val="single" w:sz="4" w:space="0" w:color="000000"/>
            </w:tcBorders>
            <w:shd w:val="clear" w:color="auto" w:fill="C5E0B3"/>
            <w:vAlign w:val="center"/>
          </w:tcPr>
          <w:p w:rsidR="00C065FA" w:rsidRPr="001918E7" w:rsidRDefault="00C065FA" w:rsidP="00FE560B">
            <w:pPr>
              <w:spacing w:line="240" w:lineRule="auto"/>
              <w:jc w:val="right"/>
              <w:rPr>
                <w:rFonts w:cs="Calibri"/>
                <w:b/>
              </w:rPr>
            </w:pPr>
            <w:r w:rsidRPr="001918E7">
              <w:rPr>
                <w:rFonts w:cs="Calibri"/>
                <w:b/>
              </w:rPr>
              <w:t>Resultado 1</w:t>
            </w:r>
          </w:p>
        </w:tc>
        <w:tc>
          <w:tcPr>
            <w:tcW w:w="4005" w:type="pct"/>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C065FA" w:rsidRPr="001918E7" w:rsidRDefault="00C065FA" w:rsidP="00FE560B">
            <w:pPr>
              <w:spacing w:line="240" w:lineRule="auto"/>
              <w:rPr>
                <w:rFonts w:cs="Calibri"/>
              </w:rPr>
            </w:pPr>
            <w:r w:rsidRPr="001918E7">
              <w:rPr>
                <w:rFonts w:cs="Calibri"/>
              </w:rPr>
              <w:t>Diminuição do tempo de análise no procedimento de Desembaraço Estadual e aumento do controle.</w:t>
            </w:r>
          </w:p>
        </w:tc>
      </w:tr>
      <w:tr w:rsidR="00C065FA" w:rsidRPr="001918E7" w:rsidTr="000F67FC">
        <w:tc>
          <w:tcPr>
            <w:tcW w:w="995" w:type="pct"/>
            <w:tcBorders>
              <w:top w:val="single" w:sz="4" w:space="0" w:color="000000"/>
              <w:left w:val="single" w:sz="4" w:space="0" w:color="auto"/>
              <w:bottom w:val="single" w:sz="4" w:space="0" w:color="000000"/>
            </w:tcBorders>
            <w:shd w:val="clear" w:color="auto" w:fill="C5E0B3"/>
            <w:vAlign w:val="center"/>
          </w:tcPr>
          <w:p w:rsidR="00C065FA" w:rsidRPr="001918E7" w:rsidRDefault="00C065FA" w:rsidP="00FE560B">
            <w:pPr>
              <w:spacing w:line="240" w:lineRule="auto"/>
              <w:jc w:val="right"/>
              <w:rPr>
                <w:rFonts w:cs="Calibri"/>
                <w:b/>
              </w:rPr>
            </w:pPr>
            <w:r w:rsidRPr="001918E7">
              <w:rPr>
                <w:rFonts w:cs="Calibri"/>
                <w:b/>
              </w:rPr>
              <w:t>Fórmula de cálculo</w:t>
            </w:r>
          </w:p>
        </w:tc>
        <w:tc>
          <w:tcPr>
            <w:tcW w:w="4005"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065FA" w:rsidRPr="001918E7" w:rsidRDefault="00C065FA" w:rsidP="00FE560B">
            <w:pPr>
              <w:spacing w:line="240" w:lineRule="auto"/>
              <w:rPr>
                <w:rFonts w:cs="Calibri"/>
              </w:rPr>
            </w:pPr>
            <w:r w:rsidRPr="001918E7">
              <w:rPr>
                <w:rFonts w:cs="Calibri"/>
              </w:rPr>
              <w:t>Prazo médio em horas entre ...</w:t>
            </w:r>
          </w:p>
        </w:tc>
      </w:tr>
      <w:tr w:rsidR="00C065FA" w:rsidRPr="001918E7" w:rsidTr="00C06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00" w:type="pct"/>
            <w:gridSpan w:val="2"/>
            <w:shd w:val="clear" w:color="auto" w:fill="C5E0B3"/>
            <w:vAlign w:val="center"/>
          </w:tcPr>
          <w:p w:rsidR="00C065FA" w:rsidRPr="001918E7" w:rsidRDefault="00C065FA" w:rsidP="00FE560B">
            <w:pPr>
              <w:spacing w:line="240" w:lineRule="auto"/>
              <w:jc w:val="center"/>
              <w:rPr>
                <w:rFonts w:cs="Calibri"/>
                <w:b/>
              </w:rPr>
            </w:pPr>
            <w:r w:rsidRPr="001918E7">
              <w:rPr>
                <w:rFonts w:cs="Calibri"/>
                <w:b/>
              </w:rPr>
              <w:t>Unidade de medida</w:t>
            </w:r>
          </w:p>
        </w:tc>
        <w:tc>
          <w:tcPr>
            <w:tcW w:w="1088"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Meta (fim do projeto)</w:t>
            </w:r>
          </w:p>
        </w:tc>
        <w:tc>
          <w:tcPr>
            <w:tcW w:w="1001" w:type="pc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Linha de Base (2017)</w:t>
            </w:r>
          </w:p>
        </w:tc>
        <w:tc>
          <w:tcPr>
            <w:tcW w:w="1611" w:type="pct"/>
            <w:vMerge w:val="restart"/>
            <w:shd w:val="clear" w:color="auto" w:fill="C5E0B3"/>
            <w:vAlign w:val="center"/>
          </w:tcPr>
          <w:p w:rsidR="00C065FA" w:rsidRPr="001918E7" w:rsidRDefault="00C065FA" w:rsidP="00FE560B">
            <w:pPr>
              <w:spacing w:line="240" w:lineRule="auto"/>
              <w:jc w:val="center"/>
              <w:rPr>
                <w:rFonts w:cs="Calibri"/>
                <w:b/>
              </w:rPr>
            </w:pPr>
            <w:r w:rsidRPr="001918E7">
              <w:rPr>
                <w:rFonts w:cs="Calibri"/>
                <w:b/>
              </w:rPr>
              <w:t>Fonte GEFIS</w:t>
            </w:r>
          </w:p>
        </w:tc>
      </w:tr>
      <w:tr w:rsidR="00C065FA" w:rsidRPr="001918E7" w:rsidTr="000F6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300" w:type="pct"/>
            <w:gridSpan w:val="2"/>
            <w:tcBorders>
              <w:bottom w:val="single" w:sz="4" w:space="0" w:color="auto"/>
            </w:tcBorders>
            <w:shd w:val="clear" w:color="auto" w:fill="auto"/>
            <w:vAlign w:val="center"/>
          </w:tcPr>
          <w:p w:rsidR="00C065FA" w:rsidRPr="001918E7" w:rsidRDefault="00C065FA" w:rsidP="00FE560B">
            <w:pPr>
              <w:spacing w:line="240" w:lineRule="auto"/>
              <w:jc w:val="center"/>
              <w:rPr>
                <w:rFonts w:cs="Calibri"/>
              </w:rPr>
            </w:pPr>
            <w:r w:rsidRPr="001918E7">
              <w:rPr>
                <w:rFonts w:cs="Calibri"/>
              </w:rPr>
              <w:t>horas</w:t>
            </w:r>
          </w:p>
        </w:tc>
        <w:tc>
          <w:tcPr>
            <w:tcW w:w="1088" w:type="pct"/>
            <w:tcBorders>
              <w:bottom w:val="single" w:sz="4" w:space="0" w:color="auto"/>
            </w:tcBorders>
            <w:shd w:val="clear" w:color="auto" w:fill="auto"/>
            <w:vAlign w:val="center"/>
          </w:tcPr>
          <w:p w:rsidR="00C065FA" w:rsidRPr="001918E7" w:rsidRDefault="00C065FA" w:rsidP="00FE560B">
            <w:pPr>
              <w:spacing w:line="240" w:lineRule="auto"/>
              <w:jc w:val="center"/>
              <w:rPr>
                <w:rFonts w:cs="Calibri"/>
              </w:rPr>
            </w:pPr>
            <w:r w:rsidRPr="001918E7">
              <w:rPr>
                <w:rFonts w:cs="Calibri"/>
              </w:rPr>
              <w:t>&lt; 6 horas</w:t>
            </w:r>
          </w:p>
        </w:tc>
        <w:tc>
          <w:tcPr>
            <w:tcW w:w="1001" w:type="pct"/>
            <w:tcBorders>
              <w:bottom w:val="single" w:sz="4" w:space="0" w:color="auto"/>
            </w:tcBorders>
            <w:shd w:val="clear" w:color="auto" w:fill="auto"/>
            <w:vAlign w:val="center"/>
          </w:tcPr>
          <w:p w:rsidR="00C065FA" w:rsidRPr="001918E7" w:rsidRDefault="00C065FA" w:rsidP="00FE560B">
            <w:pPr>
              <w:spacing w:line="240" w:lineRule="auto"/>
              <w:jc w:val="center"/>
              <w:rPr>
                <w:rFonts w:cs="Calibri"/>
              </w:rPr>
            </w:pPr>
            <w:r w:rsidRPr="001918E7">
              <w:rPr>
                <w:rFonts w:cs="Calibri"/>
              </w:rPr>
              <w:t>12 horas</w:t>
            </w:r>
          </w:p>
        </w:tc>
        <w:tc>
          <w:tcPr>
            <w:tcW w:w="1611" w:type="pct"/>
            <w:vMerge/>
            <w:tcBorders>
              <w:bottom w:val="single" w:sz="4" w:space="0" w:color="auto"/>
            </w:tcBorders>
            <w:shd w:val="clear" w:color="auto" w:fill="auto"/>
            <w:vAlign w:val="center"/>
          </w:tcPr>
          <w:p w:rsidR="00C065FA" w:rsidRPr="001918E7" w:rsidRDefault="00C065FA" w:rsidP="00FE560B">
            <w:pPr>
              <w:spacing w:line="240" w:lineRule="auto"/>
              <w:jc w:val="center"/>
              <w:rPr>
                <w:rFonts w:cs="Calibri"/>
              </w:rPr>
            </w:pPr>
          </w:p>
        </w:tc>
      </w:tr>
    </w:tbl>
    <w:p w:rsidR="00C065FA" w:rsidRPr="001918E7" w:rsidRDefault="00C065FA" w:rsidP="00FE560B">
      <w:pPr>
        <w:rPr>
          <w:rFonts w:cs="Calibri"/>
        </w:rPr>
      </w:pPr>
    </w:p>
    <w:p w:rsidR="00C065FA" w:rsidRPr="001918E7" w:rsidRDefault="00C065FA" w:rsidP="00FE560B">
      <w:pPr>
        <w:rPr>
          <w:b/>
        </w:rPr>
      </w:pPr>
      <w:r w:rsidRPr="001918E7">
        <w:rPr>
          <w:rFonts w:cs="Calibri"/>
          <w:b/>
        </w:rPr>
        <w:t>Outros possíveis resultados:</w:t>
      </w:r>
    </w:p>
    <w:p w:rsidR="00C065FA" w:rsidRPr="001918E7" w:rsidRDefault="00C065FA" w:rsidP="00A249C9">
      <w:pPr>
        <w:pStyle w:val="PargrafodaLista"/>
        <w:numPr>
          <w:ilvl w:val="0"/>
          <w:numId w:val="98"/>
        </w:numPr>
        <w:jc w:val="both"/>
      </w:pPr>
      <w:r w:rsidRPr="001918E7">
        <w:t>Aumento do controle e qualidade das análises;</w:t>
      </w:r>
    </w:p>
    <w:p w:rsidR="00C065FA" w:rsidRPr="001918E7" w:rsidRDefault="00C065FA" w:rsidP="00A249C9">
      <w:pPr>
        <w:pStyle w:val="PargrafodaLista"/>
        <w:numPr>
          <w:ilvl w:val="0"/>
          <w:numId w:val="98"/>
        </w:numPr>
        <w:jc w:val="both"/>
      </w:pPr>
      <w:r w:rsidRPr="001918E7">
        <w:t>Padronização dos procedimentos de análise; e</w:t>
      </w:r>
    </w:p>
    <w:p w:rsidR="00C065FA" w:rsidRPr="001918E7" w:rsidRDefault="00C065FA" w:rsidP="00A249C9">
      <w:pPr>
        <w:pStyle w:val="PargrafodaLista"/>
        <w:numPr>
          <w:ilvl w:val="0"/>
          <w:numId w:val="98"/>
        </w:numPr>
        <w:jc w:val="both"/>
      </w:pPr>
      <w:r w:rsidRPr="001918E7">
        <w:t>Aumento da arrecadação por conta das novas informações adquiridas com a vinculação do Sistema SICEX ao projeto Pagamento Centralizado do Comércio Exterior e que impactam positivamente a base de cálculo do ICMS na importação.</w:t>
      </w:r>
    </w:p>
    <w:p w:rsidR="007D2BDD" w:rsidRPr="001918E7" w:rsidRDefault="007D2BDD" w:rsidP="00FE560B">
      <w:pPr>
        <w:pStyle w:val="PargrafodaLista"/>
        <w:jc w:val="both"/>
      </w:pPr>
    </w:p>
    <w:p w:rsidR="00C065FA" w:rsidRPr="001918E7"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4" w:name="_Toc517282104"/>
      <w:r w:rsidRPr="001918E7">
        <w:rPr>
          <w:rFonts w:cs="Calibri"/>
          <w:b/>
        </w:rPr>
        <w:t>ASPECTO</w:t>
      </w:r>
      <w:r w:rsidR="007D2BDD">
        <w:rPr>
          <w:rFonts w:cs="Calibri"/>
          <w:b/>
        </w:rPr>
        <w:t>S</w:t>
      </w:r>
      <w:r w:rsidRPr="001918E7">
        <w:rPr>
          <w:rFonts w:cs="Calibri"/>
          <w:b/>
        </w:rPr>
        <w:t xml:space="preserve"> INOVADORES DO</w:t>
      </w:r>
      <w:r w:rsidR="007D2BDD">
        <w:rPr>
          <w:rFonts w:cs="Calibri"/>
          <w:b/>
        </w:rPr>
        <w:t xml:space="preserve">S </w:t>
      </w:r>
      <w:r w:rsidRPr="001918E7">
        <w:rPr>
          <w:rFonts w:cs="Calibri"/>
          <w:b/>
        </w:rPr>
        <w:t>SUBPRODUTO</w:t>
      </w:r>
      <w:bookmarkEnd w:id="84"/>
    </w:p>
    <w:p w:rsidR="00C065FA" w:rsidRPr="001918E7" w:rsidRDefault="007D2BDD" w:rsidP="00FE560B">
      <w:pPr>
        <w:rPr>
          <w:rFonts w:cs="Calibri"/>
          <w:b/>
        </w:rPr>
      </w:pPr>
      <w:r>
        <w:rPr>
          <w:rFonts w:cs="Calibri"/>
          <w:b/>
        </w:rPr>
        <w:t>2.5</w:t>
      </w:r>
      <w:r w:rsidR="00C065FA" w:rsidRPr="001918E7">
        <w:rPr>
          <w:rFonts w:cs="Calibri"/>
          <w:b/>
        </w:rPr>
        <w:t>.1 –</w:t>
      </w:r>
      <w:r w:rsidR="00C065FA" w:rsidRPr="001918E7">
        <w:rPr>
          <w:rFonts w:cs="Calibri"/>
          <w:b/>
          <w:bCs/>
        </w:rPr>
        <w:t xml:space="preserve"> Sistema informatizado de Gestão do planejamento da ação fiscal, com definição de metas e indicadores.</w:t>
      </w:r>
    </w:p>
    <w:p w:rsidR="00C065FA" w:rsidRDefault="00C065FA" w:rsidP="00FE560B">
      <w:pPr>
        <w:jc w:val="both"/>
      </w:pPr>
      <w:r w:rsidRPr="001918E7">
        <w:t xml:space="preserve">O aspecto inovador desse produto está no fato de implantar o planejamento que norteará a execução das ações fiscais promovidas pela Gerência Fiscal. É tarefa do planejamento estabelecer as metas de arrecadação, por período e por setor econômico, definir os contribuintes e os indícios de irregularidades e alocar os recursos humanos para desempenhar com maior eficiência as ações fiscais. Ademais, a criação de um sistema informatizado completo capaz de gerenciar a execução das ações fiscais em tempo real, emitir diagnósticos, construir gráficos e também de calcular o atingimento dos objetivos, constitui uma inovação imprescindível para a ampliação da arrecadação motivada. </w:t>
      </w:r>
    </w:p>
    <w:p w:rsidR="007D2BDD" w:rsidRPr="001918E7" w:rsidRDefault="007D2BDD" w:rsidP="00FE560B">
      <w:pPr>
        <w:jc w:val="both"/>
      </w:pPr>
    </w:p>
    <w:p w:rsidR="00C065FA" w:rsidRPr="001918E7" w:rsidRDefault="007D2BDD" w:rsidP="00FE560B">
      <w:pPr>
        <w:rPr>
          <w:rFonts w:cs="Calibri"/>
          <w:b/>
          <w:bCs/>
        </w:rPr>
      </w:pPr>
      <w:r>
        <w:rPr>
          <w:rFonts w:cs="Calibri"/>
          <w:b/>
        </w:rPr>
        <w:t>2.5</w:t>
      </w:r>
      <w:r w:rsidR="00C065FA" w:rsidRPr="001918E7">
        <w:rPr>
          <w:rFonts w:cs="Calibri"/>
          <w:b/>
        </w:rPr>
        <w:t xml:space="preserve">.2 – </w:t>
      </w:r>
      <w:r w:rsidR="00C065FA" w:rsidRPr="001918E7">
        <w:rPr>
          <w:rFonts w:cs="Calibri"/>
          <w:b/>
          <w:bCs/>
        </w:rPr>
        <w:t>Sistema informatizado de Monitoramento de contribuintes</w:t>
      </w:r>
    </w:p>
    <w:p w:rsidR="00C065FA" w:rsidRDefault="00C065FA" w:rsidP="00FE560B">
      <w:pPr>
        <w:jc w:val="both"/>
        <w:rPr>
          <w:rFonts w:cs="Calibri"/>
        </w:rPr>
      </w:pPr>
      <w:r w:rsidRPr="001918E7">
        <w:rPr>
          <w:rFonts w:cs="Calibri"/>
        </w:rPr>
        <w:t>O aspecto inovador desse produto está no fato de prover uma solução automatizada para a detecção de fraudes no âmbito da Receita Estadual. Um sistema que permita integrar malhas fiscais, dados de diversas fontes e gerar indicadores e diagnósticos assertivos acerca da regularidade dos contribuintes.</w:t>
      </w:r>
    </w:p>
    <w:p w:rsidR="007D2BDD" w:rsidRPr="001918E7" w:rsidRDefault="007D2BDD" w:rsidP="00FE560B">
      <w:pPr>
        <w:jc w:val="both"/>
        <w:rPr>
          <w:rFonts w:cs="Calibri"/>
        </w:rPr>
      </w:pPr>
    </w:p>
    <w:p w:rsidR="00C065FA" w:rsidRPr="001918E7" w:rsidRDefault="007D2BDD" w:rsidP="00FE560B">
      <w:pPr>
        <w:rPr>
          <w:rFonts w:cs="Calibri"/>
          <w:b/>
        </w:rPr>
      </w:pPr>
      <w:r>
        <w:rPr>
          <w:rFonts w:cs="Calibri"/>
          <w:b/>
        </w:rPr>
        <w:t>2.5</w:t>
      </w:r>
      <w:r w:rsidR="00C065FA" w:rsidRPr="001918E7">
        <w:rPr>
          <w:rFonts w:cs="Calibri"/>
          <w:b/>
        </w:rPr>
        <w:t>.3 - Aperfeiçoamento do Sistema de Comércio Exterior – SICEX e integração ao Portal Único de Comércio Exterior.</w:t>
      </w:r>
    </w:p>
    <w:p w:rsidR="00C065FA" w:rsidRDefault="00C065FA" w:rsidP="00FE560B">
      <w:pPr>
        <w:jc w:val="both"/>
        <w:rPr>
          <w:rFonts w:cs="Calibri"/>
        </w:rPr>
      </w:pPr>
      <w:r w:rsidRPr="001918E7">
        <w:rPr>
          <w:rFonts w:cs="Calibri"/>
        </w:rPr>
        <w:t xml:space="preserve">O aspecto inovador desse produto está no fato de prover uma solução automatizada para os desembaraços aduaneiros. O desembaraço, em sua maioria, passará ser realizado 24 horas por dia e sete dias por semana e em paralelo com o desembaraço Federal. Atualmente o desembaraço Estadual ocorre após o Federal. </w:t>
      </w:r>
    </w:p>
    <w:p w:rsidR="007D2BDD" w:rsidRPr="001918E7" w:rsidRDefault="007D2BDD" w:rsidP="00FE560B">
      <w:pPr>
        <w:jc w:val="both"/>
        <w:rPr>
          <w:rFonts w:cs="Calibri"/>
        </w:rPr>
      </w:pPr>
    </w:p>
    <w:p w:rsidR="00C065FA" w:rsidRPr="001918E7" w:rsidRDefault="007D2BDD" w:rsidP="00FE560B">
      <w:pPr>
        <w:rPr>
          <w:rFonts w:cs="Calibri"/>
          <w:b/>
        </w:rPr>
      </w:pPr>
      <w:r>
        <w:rPr>
          <w:rFonts w:cs="Calibri"/>
          <w:b/>
        </w:rPr>
        <w:t>2.5</w:t>
      </w:r>
      <w:r w:rsidR="00C065FA" w:rsidRPr="001918E7">
        <w:rPr>
          <w:rFonts w:cs="Calibri"/>
          <w:b/>
        </w:rPr>
        <w:t>.4 - Tratamento de Dados e Armazenamento.</w:t>
      </w:r>
    </w:p>
    <w:p w:rsidR="00C065FA" w:rsidRDefault="00C065FA" w:rsidP="00FE560B">
      <w:pPr>
        <w:jc w:val="both"/>
      </w:pPr>
      <w:r w:rsidRPr="001918E7">
        <w:t xml:space="preserve">A existência de uma plataforma de BIG Data ampliará as visões disponíveis para análise fiscal. </w:t>
      </w:r>
    </w:p>
    <w:p w:rsidR="007D2BDD" w:rsidRPr="001918E7" w:rsidRDefault="007D2BDD" w:rsidP="00FE560B">
      <w:pPr>
        <w:jc w:val="both"/>
      </w:pPr>
    </w:p>
    <w:p w:rsidR="00C065FA" w:rsidRPr="001918E7"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5" w:name="_Toc517282105"/>
      <w:r w:rsidRPr="001918E7">
        <w:rPr>
          <w:rFonts w:cs="Calibri"/>
          <w:b/>
        </w:rPr>
        <w:t>RISCOS DE EXECUÇÃO RELACIONADOS AO</w:t>
      </w:r>
      <w:r w:rsidR="007D2BDD">
        <w:rPr>
          <w:rFonts w:cs="Calibri"/>
          <w:b/>
        </w:rPr>
        <w:t xml:space="preserve">S </w:t>
      </w:r>
      <w:r w:rsidRPr="001918E7">
        <w:rPr>
          <w:rFonts w:cs="Calibri"/>
          <w:b/>
        </w:rPr>
        <w:t>SUBPRODUTO</w:t>
      </w:r>
      <w:bookmarkEnd w:id="85"/>
      <w:r w:rsidRPr="001918E7">
        <w:rPr>
          <w:rFonts w:cs="Calibri"/>
          <w:b/>
        </w:rPr>
        <w:t xml:space="preserve"> </w:t>
      </w:r>
    </w:p>
    <w:p w:rsidR="00C065FA" w:rsidRPr="001918E7" w:rsidRDefault="007D2BDD" w:rsidP="00FE560B">
      <w:pPr>
        <w:rPr>
          <w:rFonts w:cs="Calibri"/>
          <w:b/>
        </w:rPr>
      </w:pPr>
      <w:r>
        <w:rPr>
          <w:rFonts w:cs="Calibri"/>
          <w:b/>
        </w:rPr>
        <w:t>2.6</w:t>
      </w:r>
      <w:r w:rsidR="00C065FA" w:rsidRPr="001918E7">
        <w:rPr>
          <w:rFonts w:cs="Calibri"/>
          <w:b/>
        </w:rPr>
        <w:t>.1 –</w:t>
      </w:r>
      <w:r w:rsidR="00C065FA" w:rsidRPr="001918E7">
        <w:rPr>
          <w:rFonts w:cs="Calibri"/>
          <w:b/>
          <w:bCs/>
        </w:rPr>
        <w:t xml:space="preserve"> Sistema informatizado de Gestão do planejamento da ação fiscal, com definição de metas e indicadores.</w:t>
      </w:r>
    </w:p>
    <w:p w:rsidR="00C065FA" w:rsidRDefault="00C065FA" w:rsidP="00FE560B">
      <w:pPr>
        <w:jc w:val="both"/>
      </w:pPr>
      <w:r w:rsidRPr="001918E7">
        <w:t xml:space="preserve">Caso o sistema não tenha capacidade de interagir com os já existentes e que possuem dados importantes para o planejamento e para execução da fiscalização, há risco de o planejamento ser incompleto ou de difícil desenvolvimento. </w:t>
      </w:r>
    </w:p>
    <w:p w:rsidR="007D2BDD" w:rsidRPr="001918E7" w:rsidRDefault="007D2BDD" w:rsidP="00FE560B">
      <w:pPr>
        <w:jc w:val="both"/>
      </w:pPr>
    </w:p>
    <w:p w:rsidR="00C065FA" w:rsidRPr="001918E7" w:rsidRDefault="007D2BDD" w:rsidP="00FE560B">
      <w:pPr>
        <w:rPr>
          <w:rFonts w:cs="Calibri"/>
          <w:b/>
          <w:bCs/>
        </w:rPr>
      </w:pPr>
      <w:r>
        <w:rPr>
          <w:rFonts w:cs="Calibri"/>
          <w:b/>
        </w:rPr>
        <w:t>2.6</w:t>
      </w:r>
      <w:r w:rsidR="00C065FA" w:rsidRPr="001918E7">
        <w:rPr>
          <w:rFonts w:cs="Calibri"/>
          <w:b/>
        </w:rPr>
        <w:t xml:space="preserve">.2 – </w:t>
      </w:r>
      <w:r w:rsidR="00C065FA" w:rsidRPr="001918E7">
        <w:rPr>
          <w:rFonts w:cs="Calibri"/>
          <w:b/>
          <w:bCs/>
        </w:rPr>
        <w:t>Sistema informatizado de Monitoramento de contribuintes</w:t>
      </w:r>
    </w:p>
    <w:p w:rsidR="00C065FA" w:rsidRPr="001918E7" w:rsidRDefault="00C065FA" w:rsidP="00FE560B">
      <w:pPr>
        <w:jc w:val="both"/>
        <w:rPr>
          <w:rFonts w:cs="Calibri"/>
        </w:rPr>
      </w:pPr>
      <w:r w:rsidRPr="001918E7">
        <w:rPr>
          <w:rFonts w:cs="Calibri"/>
        </w:rPr>
        <w:t xml:space="preserve">O comportamento de empresas fraudulentas pode ter perfis bastante distintos, por conta da especificidade de cada situação, tipo de infração cometida, categoria de sujeito passivo etc. Isso torna mais complexo o desenvolvimento de um modelo padrão de execução dos procedimentos de monitoramento, o que é encarado como um risco de realização da tarefa. </w:t>
      </w:r>
    </w:p>
    <w:p w:rsidR="00C065FA" w:rsidRPr="001918E7" w:rsidRDefault="00C065FA" w:rsidP="00FE560B">
      <w:pPr>
        <w:jc w:val="both"/>
        <w:rPr>
          <w:rFonts w:cs="Calibri"/>
        </w:rPr>
      </w:pPr>
    </w:p>
    <w:p w:rsidR="00C065FA" w:rsidRPr="001918E7" w:rsidRDefault="007D2BDD" w:rsidP="00FE560B">
      <w:pPr>
        <w:rPr>
          <w:rFonts w:cs="Calibri"/>
          <w:b/>
        </w:rPr>
      </w:pPr>
      <w:r>
        <w:rPr>
          <w:rFonts w:cs="Calibri"/>
          <w:b/>
        </w:rPr>
        <w:t>2.6</w:t>
      </w:r>
      <w:r w:rsidR="00C065FA" w:rsidRPr="001918E7">
        <w:rPr>
          <w:rFonts w:cs="Calibri"/>
          <w:b/>
        </w:rPr>
        <w:t>.3 - Aperfeiçoamento do Sistema de Comércio Exterior – SICEX e integração ao Portal Único de Comércio Exterior.</w:t>
      </w:r>
    </w:p>
    <w:p w:rsidR="00C065FA" w:rsidRDefault="00C065FA" w:rsidP="00FE560B">
      <w:pPr>
        <w:jc w:val="both"/>
        <w:rPr>
          <w:rFonts w:cs="Calibri"/>
        </w:rPr>
      </w:pPr>
      <w:r w:rsidRPr="001918E7">
        <w:rPr>
          <w:rFonts w:cs="Calibri"/>
        </w:rPr>
        <w:t xml:space="preserve">O subproduto depende de integrações com outros órgãos e comunicação interna com outras bases de Sistemas. O risco de falhas nestas conexões precisa ser monitorado e mitigado constantemente. </w:t>
      </w:r>
    </w:p>
    <w:p w:rsidR="007D2BDD" w:rsidRPr="001918E7" w:rsidRDefault="007D2BDD" w:rsidP="00FE560B">
      <w:pPr>
        <w:jc w:val="both"/>
        <w:rPr>
          <w:rFonts w:cs="Calibri"/>
        </w:rPr>
      </w:pPr>
    </w:p>
    <w:p w:rsidR="00C065FA" w:rsidRPr="007D2BDD" w:rsidRDefault="00C065FA" w:rsidP="00A249C9">
      <w:pPr>
        <w:pStyle w:val="PargrafodaLista"/>
        <w:numPr>
          <w:ilvl w:val="2"/>
          <w:numId w:val="105"/>
        </w:numPr>
        <w:spacing w:line="259" w:lineRule="auto"/>
        <w:rPr>
          <w:rFonts w:cs="Calibri"/>
          <w:b/>
        </w:rPr>
      </w:pPr>
      <w:r w:rsidRPr="007D2BDD">
        <w:rPr>
          <w:rFonts w:cs="Calibri"/>
          <w:b/>
        </w:rPr>
        <w:t>- Tratamento de Dados e Armazenamento.</w:t>
      </w:r>
    </w:p>
    <w:p w:rsidR="00C065FA" w:rsidRDefault="00C065FA" w:rsidP="00FE560B">
      <w:pPr>
        <w:jc w:val="both"/>
      </w:pPr>
      <w:r w:rsidRPr="001918E7">
        <w:t xml:space="preserve">Possibilitar a evolução das malhas fiscais através de novas tecnologias de análise de dados, a fim de garantir o recolhimento dos tributos devidos. Implementação de novos modelos de controle e monitoramento de TIC que gerem celeridade, governabilidade, eficiência e eficácia. </w:t>
      </w: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Default="000F67FC" w:rsidP="00FE560B">
      <w:pPr>
        <w:jc w:val="both"/>
      </w:pPr>
    </w:p>
    <w:p w:rsidR="000F67FC" w:rsidRPr="001918E7" w:rsidRDefault="000F67FC" w:rsidP="00FE560B">
      <w:pPr>
        <w:jc w:val="both"/>
      </w:pPr>
    </w:p>
    <w:p w:rsidR="00C065FA" w:rsidRPr="001918E7" w:rsidRDefault="007D2BDD"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6" w:name="_Toc517282106"/>
      <w:r>
        <w:rPr>
          <w:rFonts w:cs="Calibri"/>
          <w:b/>
        </w:rPr>
        <w:t>QUADRO DE CUSTOS POR TIPO DE INVESTIMENTO</w:t>
      </w:r>
      <w:bookmarkEnd w:id="86"/>
    </w:p>
    <w:tbl>
      <w:tblPr>
        <w:tblW w:w="5117" w:type="pct"/>
        <w:tblInd w:w="-130" w:type="dxa"/>
        <w:tblLayout w:type="fixed"/>
        <w:tblCellMar>
          <w:left w:w="70" w:type="dxa"/>
          <w:right w:w="70" w:type="dxa"/>
        </w:tblCellMar>
        <w:tblLook w:val="04A0" w:firstRow="1" w:lastRow="0" w:firstColumn="1" w:lastColumn="0" w:noHBand="0" w:noVBand="1"/>
      </w:tblPr>
      <w:tblGrid>
        <w:gridCol w:w="831"/>
        <w:gridCol w:w="4391"/>
        <w:gridCol w:w="568"/>
        <w:gridCol w:w="1843"/>
        <w:gridCol w:w="1961"/>
        <w:gridCol w:w="204"/>
        <w:gridCol w:w="196"/>
      </w:tblGrid>
      <w:tr w:rsidR="00C065FA" w:rsidRPr="001918E7" w:rsidTr="007D2BDD">
        <w:trPr>
          <w:gridAfter w:val="2"/>
          <w:wAfter w:w="200" w:type="pct"/>
          <w:trHeight w:val="255"/>
        </w:trPr>
        <w:tc>
          <w:tcPr>
            <w:tcW w:w="4800" w:type="pct"/>
            <w:gridSpan w:val="5"/>
            <w:tcBorders>
              <w:top w:val="single" w:sz="4" w:space="0" w:color="000000"/>
              <w:left w:val="single" w:sz="8" w:space="0" w:color="auto"/>
              <w:bottom w:val="single" w:sz="4" w:space="0" w:color="000000"/>
              <w:right w:val="single" w:sz="4" w:space="0" w:color="000000"/>
            </w:tcBorders>
            <w:shd w:val="clear" w:color="auto" w:fill="C5E0B3"/>
            <w:noWrap/>
            <w:vAlign w:val="center"/>
          </w:tcPr>
          <w:p w:rsidR="00C065FA" w:rsidRPr="001918E7" w:rsidRDefault="00C065FA" w:rsidP="00FE560B">
            <w:pPr>
              <w:spacing w:line="240" w:lineRule="auto"/>
              <w:jc w:val="center"/>
              <w:rPr>
                <w:rFonts w:cs="Calibri"/>
                <w:b/>
              </w:rPr>
            </w:pPr>
            <w:r w:rsidRPr="001918E7">
              <w:rPr>
                <w:rFonts w:cs="Calibri"/>
                <w:b/>
              </w:rPr>
              <w:t>Capacitação</w:t>
            </w:r>
          </w:p>
        </w:tc>
      </w:tr>
      <w:tr w:rsidR="00C065FA" w:rsidRPr="001918E7" w:rsidTr="007D2BDD">
        <w:trPr>
          <w:trHeight w:val="257"/>
        </w:trPr>
        <w:tc>
          <w:tcPr>
            <w:tcW w:w="416"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SubP</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rPr>
                <w:rFonts w:cs="Calibri"/>
              </w:rPr>
            </w:pPr>
            <w:r w:rsidRPr="001918E7">
              <w:rPr>
                <w:rFonts w:cs="Calibri"/>
              </w:rPr>
              <w:t>DESCRIÇÃO</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QT.</w:t>
            </w:r>
          </w:p>
        </w:tc>
        <w:tc>
          <w:tcPr>
            <w:tcW w:w="922"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VALOR UNIT. (R$)</w:t>
            </w:r>
          </w:p>
        </w:tc>
        <w:tc>
          <w:tcPr>
            <w:tcW w:w="981"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VALOR TOTAL (R$)</w:t>
            </w:r>
          </w:p>
        </w:tc>
        <w:tc>
          <w:tcPr>
            <w:tcW w:w="102" w:type="pct"/>
            <w:vAlign w:val="center"/>
          </w:tcPr>
          <w:p w:rsidR="00C065FA" w:rsidRPr="001918E7" w:rsidRDefault="00C065FA" w:rsidP="00FE560B">
            <w:pPr>
              <w:spacing w:line="240" w:lineRule="auto"/>
              <w:jc w:val="center"/>
              <w:rPr>
                <w:rFonts w:cs="Calibri"/>
                <w:b/>
              </w:rPr>
            </w:pPr>
          </w:p>
        </w:tc>
        <w:tc>
          <w:tcPr>
            <w:tcW w:w="98" w:type="pct"/>
            <w:vAlign w:val="center"/>
          </w:tcPr>
          <w:p w:rsidR="00C065FA" w:rsidRPr="001918E7" w:rsidRDefault="00C065FA" w:rsidP="00FE560B">
            <w:pPr>
              <w:spacing w:line="240" w:lineRule="auto"/>
              <w:jc w:val="center"/>
              <w:rPr>
                <w:rFonts w:cs="Calibri"/>
                <w:b/>
              </w:rPr>
            </w:pP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4.2.3</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Comercio Exterior</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20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R$ 40.000,00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4.2.1</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Instrumento de fiscalização (malha, e etc.)</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30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R$ 60.000,00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4.2.2</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Planejamento da Ação Fiscal</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4.2.3</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Visita técnica</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20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R$ 3.000,00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R$ 60.000,00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4.2.2</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Monitoramento de contribuintes</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4.2.4</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pPr>
            <w:r w:rsidRPr="001918E7">
              <w:t>Capacitação para trabalhar com Big Data</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20</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R$ 40.000,00</w:t>
            </w:r>
          </w:p>
        </w:tc>
      </w:tr>
      <w:tr w:rsidR="00C065FA" w:rsidRPr="001918E7" w:rsidTr="007D2BDD">
        <w:trPr>
          <w:gridAfter w:val="2"/>
          <w:wAfter w:w="200" w:type="pct"/>
          <w:trHeight w:val="255"/>
        </w:trPr>
        <w:tc>
          <w:tcPr>
            <w:tcW w:w="4800" w:type="pct"/>
            <w:gridSpan w:val="5"/>
            <w:tcBorders>
              <w:top w:val="single" w:sz="4" w:space="0" w:color="000000"/>
              <w:left w:val="single" w:sz="8" w:space="0" w:color="auto"/>
              <w:bottom w:val="single" w:sz="4" w:space="0" w:color="000000"/>
              <w:right w:val="single" w:sz="4" w:space="0" w:color="000000"/>
            </w:tcBorders>
            <w:shd w:val="clear" w:color="auto" w:fill="C2D69B"/>
            <w:noWrap/>
            <w:vAlign w:val="center"/>
          </w:tcPr>
          <w:p w:rsidR="00C065FA" w:rsidRPr="001918E7" w:rsidRDefault="00C065FA" w:rsidP="00FE560B">
            <w:pPr>
              <w:spacing w:line="240" w:lineRule="auto"/>
              <w:jc w:val="center"/>
              <w:rPr>
                <w:rFonts w:cs="Calibri"/>
                <w:b/>
              </w:rPr>
            </w:pPr>
            <w:r w:rsidRPr="001918E7">
              <w:rPr>
                <w:rFonts w:cs="Calibri"/>
                <w:b/>
              </w:rPr>
              <w:t>Serviços de consultoria</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4.2.1</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Sistema informatizado de controle e avaliação do planejamento e da ação fiscal</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R$ 3.501.000,00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R$ 3.501.000,00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4.2.1</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Planejamento da Ação Fiscal- cons. individual</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R$ 200.000,00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4.2.2</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Sistema de Monitoramento de contribuintes</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R$ 3.000.000,00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R$ 3.000.000,00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4.2.3</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Aperfeiçoamento do Sistema de Comércio Exterior – SICEX e integração ao Portal Único de Comércio Exterior</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R$ 1.000.000,00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R$ 1.000.000,00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4.2.4</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Modelo de Big Data a ser implantado</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R$ 500.000,00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R$ 500.000,00</w:t>
            </w:r>
          </w:p>
        </w:tc>
      </w:tr>
      <w:tr w:rsidR="00C065FA" w:rsidRPr="001918E7" w:rsidTr="007D2BDD">
        <w:trPr>
          <w:gridAfter w:val="2"/>
          <w:wAfter w:w="200" w:type="pct"/>
          <w:trHeight w:val="255"/>
        </w:trPr>
        <w:tc>
          <w:tcPr>
            <w:tcW w:w="4800" w:type="pct"/>
            <w:gridSpan w:val="5"/>
            <w:tcBorders>
              <w:top w:val="single" w:sz="4" w:space="0" w:color="000000"/>
              <w:left w:val="single" w:sz="8" w:space="0" w:color="auto"/>
              <w:bottom w:val="single" w:sz="4" w:space="0" w:color="000000"/>
              <w:right w:val="single" w:sz="4" w:space="0" w:color="000000"/>
            </w:tcBorders>
            <w:shd w:val="clear" w:color="auto" w:fill="C2D69B"/>
            <w:noWrap/>
            <w:vAlign w:val="center"/>
          </w:tcPr>
          <w:p w:rsidR="00C065FA" w:rsidRPr="001918E7" w:rsidRDefault="00C065FA" w:rsidP="00FE560B">
            <w:pPr>
              <w:spacing w:line="240" w:lineRule="auto"/>
              <w:jc w:val="center"/>
              <w:rPr>
                <w:rFonts w:cs="Calibri"/>
                <w:b/>
              </w:rPr>
            </w:pPr>
            <w:r w:rsidRPr="001918E7">
              <w:rPr>
                <w:rFonts w:cs="Calibri"/>
                <w:b/>
              </w:rPr>
              <w:t>Serviços que não são de consultoria</w:t>
            </w:r>
          </w:p>
        </w:tc>
      </w:tr>
      <w:tr w:rsidR="00C065FA" w:rsidRPr="001918E7" w:rsidTr="007D2BDD">
        <w:trPr>
          <w:trHeight w:val="257"/>
        </w:trPr>
        <w:tc>
          <w:tcPr>
            <w:tcW w:w="416"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SubP</w:t>
            </w:r>
          </w:p>
        </w:tc>
        <w:tc>
          <w:tcPr>
            <w:tcW w:w="2197" w:type="pct"/>
            <w:tcBorders>
              <w:top w:val="single" w:sz="4" w:space="0" w:color="000000"/>
              <w:left w:val="nil"/>
              <w:bottom w:val="single" w:sz="4" w:space="0" w:color="000000"/>
              <w:right w:val="single" w:sz="4" w:space="0" w:color="000000"/>
            </w:tcBorders>
            <w:shd w:val="clear" w:color="auto" w:fill="auto"/>
            <w:vAlign w:val="center"/>
          </w:tcPr>
          <w:p w:rsidR="00C065FA" w:rsidRPr="001918E7" w:rsidRDefault="00C065FA" w:rsidP="00FE560B">
            <w:pPr>
              <w:spacing w:line="240" w:lineRule="auto"/>
              <w:jc w:val="center"/>
              <w:rPr>
                <w:rFonts w:cs="Calibri"/>
                <w:b/>
              </w:rPr>
            </w:pPr>
            <w:r w:rsidRPr="001918E7">
              <w:rPr>
                <w:rFonts w:cs="Calibri"/>
                <w:b/>
              </w:rPr>
              <w:t>DESCRIÇÃO</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QT.</w:t>
            </w:r>
          </w:p>
        </w:tc>
        <w:tc>
          <w:tcPr>
            <w:tcW w:w="922"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VALOR UNIT. (R$)</w:t>
            </w:r>
          </w:p>
        </w:tc>
        <w:tc>
          <w:tcPr>
            <w:tcW w:w="981"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rPr>
                <w:rFonts w:cs="Calibri"/>
                <w:b/>
              </w:rPr>
            </w:pPr>
            <w:r w:rsidRPr="001918E7">
              <w:rPr>
                <w:rFonts w:cs="Calibri"/>
                <w:b/>
              </w:rPr>
              <w:t>VALOR TOTAL (R$)</w:t>
            </w:r>
          </w:p>
        </w:tc>
        <w:tc>
          <w:tcPr>
            <w:tcW w:w="102" w:type="pct"/>
            <w:vAlign w:val="center"/>
          </w:tcPr>
          <w:p w:rsidR="00C065FA" w:rsidRPr="001918E7" w:rsidRDefault="00C065FA" w:rsidP="00FE560B">
            <w:pPr>
              <w:spacing w:line="240" w:lineRule="auto"/>
              <w:jc w:val="center"/>
              <w:rPr>
                <w:rFonts w:cs="Calibri"/>
                <w:b/>
              </w:rPr>
            </w:pPr>
          </w:p>
        </w:tc>
        <w:tc>
          <w:tcPr>
            <w:tcW w:w="98" w:type="pct"/>
            <w:vAlign w:val="center"/>
          </w:tcPr>
          <w:p w:rsidR="00C065FA" w:rsidRPr="001918E7" w:rsidRDefault="00C065FA" w:rsidP="00FE560B">
            <w:pPr>
              <w:spacing w:line="240" w:lineRule="auto"/>
              <w:jc w:val="center"/>
              <w:rPr>
                <w:rFonts w:cs="Calibri"/>
                <w:b/>
              </w:rPr>
            </w:pP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rPr>
                <w:rFonts w:cs="Calibri"/>
              </w:rPr>
            </w:pPr>
            <w:r w:rsidRPr="001918E7">
              <w:rPr>
                <w:rFonts w:cs="Calibri"/>
              </w:rPr>
              <w:t>4.2.4</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Sistema de BIG DATA</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R$ 7.000.000,00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R$ 7.000.000,00</w:t>
            </w:r>
          </w:p>
        </w:tc>
      </w:tr>
      <w:tr w:rsidR="00C065FA" w:rsidRPr="001918E7" w:rsidTr="007D2BDD">
        <w:trPr>
          <w:gridAfter w:val="2"/>
          <w:wAfter w:w="200" w:type="pct"/>
          <w:trHeight w:val="255"/>
        </w:trPr>
        <w:tc>
          <w:tcPr>
            <w:tcW w:w="416"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rPr>
                <w:rFonts w:cs="Calibri"/>
              </w:rPr>
            </w:pPr>
            <w:r w:rsidRPr="001918E7">
              <w:rPr>
                <w:rFonts w:cs="Calibri"/>
              </w:rPr>
              <w:t>4.2.4</w:t>
            </w:r>
          </w:p>
        </w:tc>
        <w:tc>
          <w:tcPr>
            <w:tcW w:w="2197" w:type="pct"/>
            <w:tcBorders>
              <w:top w:val="single" w:sz="4" w:space="0" w:color="000000"/>
              <w:left w:val="nil"/>
              <w:bottom w:val="single" w:sz="4" w:space="0" w:color="000000"/>
              <w:right w:val="single" w:sz="4" w:space="0" w:color="000000"/>
            </w:tcBorders>
            <w:shd w:val="clear" w:color="auto" w:fill="auto"/>
          </w:tcPr>
          <w:p w:rsidR="00C065FA" w:rsidRPr="001918E7" w:rsidRDefault="00C065FA" w:rsidP="00FE560B">
            <w:pPr>
              <w:spacing w:line="240" w:lineRule="auto"/>
              <w:jc w:val="center"/>
            </w:pPr>
            <w:r w:rsidRPr="001918E7">
              <w:t>Storage</w:t>
            </w:r>
          </w:p>
        </w:tc>
        <w:tc>
          <w:tcPr>
            <w:tcW w:w="284" w:type="pct"/>
            <w:tcBorders>
              <w:top w:val="single" w:sz="4" w:space="0" w:color="000000"/>
              <w:left w:val="nil"/>
              <w:bottom w:val="single" w:sz="4" w:space="0" w:color="000000"/>
              <w:right w:val="single" w:sz="4" w:space="0" w:color="000000"/>
            </w:tcBorders>
            <w:shd w:val="clear" w:color="auto" w:fill="auto"/>
            <w:noWrap/>
            <w:vAlign w:val="center"/>
          </w:tcPr>
          <w:p w:rsidR="00C065FA" w:rsidRPr="001918E7" w:rsidRDefault="00C065FA" w:rsidP="00FE560B">
            <w:pPr>
              <w:spacing w:line="240" w:lineRule="auto"/>
              <w:jc w:val="center"/>
            </w:pPr>
            <w:r w:rsidRPr="001918E7">
              <w:t>1</w:t>
            </w:r>
          </w:p>
        </w:tc>
        <w:tc>
          <w:tcPr>
            <w:tcW w:w="922"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R$ 8.000.000,00</w:t>
            </w:r>
          </w:p>
        </w:tc>
        <w:tc>
          <w:tcPr>
            <w:tcW w:w="981" w:type="pct"/>
            <w:tcBorders>
              <w:top w:val="single" w:sz="4" w:space="0" w:color="000000"/>
              <w:left w:val="nil"/>
              <w:bottom w:val="single" w:sz="4" w:space="0" w:color="000000"/>
              <w:right w:val="single" w:sz="4" w:space="0" w:color="000000"/>
            </w:tcBorders>
            <w:shd w:val="clear" w:color="auto" w:fill="auto"/>
            <w:noWrap/>
          </w:tcPr>
          <w:p w:rsidR="00C065FA" w:rsidRPr="001918E7" w:rsidRDefault="00C065FA" w:rsidP="00FE560B">
            <w:pPr>
              <w:spacing w:line="240" w:lineRule="auto"/>
              <w:jc w:val="center"/>
            </w:pPr>
            <w:r w:rsidRPr="001918E7">
              <w:t>R$ 8.000.000,00</w:t>
            </w:r>
          </w:p>
        </w:tc>
      </w:tr>
      <w:tr w:rsidR="00C065FA" w:rsidRPr="001918E7" w:rsidTr="007D2BDD">
        <w:trPr>
          <w:gridAfter w:val="2"/>
          <w:wAfter w:w="200" w:type="pct"/>
          <w:trHeight w:val="255"/>
        </w:trPr>
        <w:tc>
          <w:tcPr>
            <w:tcW w:w="3819" w:type="pct"/>
            <w:gridSpan w:val="4"/>
            <w:tcBorders>
              <w:top w:val="single" w:sz="4" w:space="0" w:color="auto"/>
              <w:left w:val="single" w:sz="4" w:space="0" w:color="auto"/>
              <w:bottom w:val="single" w:sz="4" w:space="0" w:color="auto"/>
              <w:right w:val="single" w:sz="4" w:space="0" w:color="auto"/>
            </w:tcBorders>
            <w:shd w:val="clear" w:color="auto" w:fill="C2D69B"/>
            <w:noWrap/>
            <w:vAlign w:val="center"/>
          </w:tcPr>
          <w:p w:rsidR="00C065FA" w:rsidRPr="001918E7" w:rsidRDefault="00C065FA" w:rsidP="00FE560B">
            <w:pPr>
              <w:spacing w:line="240" w:lineRule="auto"/>
              <w:jc w:val="right"/>
              <w:rPr>
                <w:rFonts w:cs="Calibri"/>
                <w:b/>
              </w:rPr>
            </w:pPr>
            <w:r w:rsidRPr="001918E7">
              <w:rPr>
                <w:rFonts w:cs="Calibri"/>
                <w:b/>
              </w:rPr>
              <w:t>Total Geral R$</w:t>
            </w:r>
          </w:p>
        </w:tc>
        <w:tc>
          <w:tcPr>
            <w:tcW w:w="981"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C065FA" w:rsidRPr="001918E7" w:rsidRDefault="00C065FA" w:rsidP="00FE560B">
            <w:pPr>
              <w:spacing w:line="240" w:lineRule="auto"/>
              <w:jc w:val="right"/>
              <w:rPr>
                <w:rFonts w:cs="Calibri"/>
                <w:b/>
              </w:rPr>
            </w:pPr>
            <w:r w:rsidRPr="001918E7">
              <w:rPr>
                <w:rFonts w:cs="Calibri"/>
                <w:b/>
              </w:rPr>
              <w:t>23.441.000,00</w:t>
            </w:r>
          </w:p>
        </w:tc>
      </w:tr>
      <w:tr w:rsidR="00C065FA" w:rsidRPr="001918E7" w:rsidTr="007D2BDD">
        <w:trPr>
          <w:gridAfter w:val="2"/>
          <w:wAfter w:w="200" w:type="pct"/>
          <w:trHeight w:val="255"/>
        </w:trPr>
        <w:tc>
          <w:tcPr>
            <w:tcW w:w="3819" w:type="pct"/>
            <w:gridSpan w:val="4"/>
            <w:tcBorders>
              <w:top w:val="single" w:sz="4" w:space="0" w:color="auto"/>
              <w:left w:val="single" w:sz="4" w:space="0" w:color="auto"/>
              <w:bottom w:val="single" w:sz="4" w:space="0" w:color="auto"/>
              <w:right w:val="single" w:sz="4" w:space="0" w:color="auto"/>
            </w:tcBorders>
            <w:shd w:val="clear" w:color="auto" w:fill="C2D69B"/>
            <w:noWrap/>
            <w:vAlign w:val="center"/>
          </w:tcPr>
          <w:p w:rsidR="00C065FA" w:rsidRPr="001918E7" w:rsidRDefault="00C065FA" w:rsidP="00FE560B">
            <w:pPr>
              <w:spacing w:line="240" w:lineRule="auto"/>
              <w:jc w:val="right"/>
              <w:rPr>
                <w:rFonts w:cs="Calibri"/>
                <w:b/>
              </w:rPr>
            </w:pPr>
            <w:r w:rsidRPr="001918E7">
              <w:rPr>
                <w:rFonts w:cs="Calibri"/>
                <w:b/>
              </w:rPr>
              <w:t>Total Geral US$</w:t>
            </w:r>
          </w:p>
        </w:tc>
        <w:tc>
          <w:tcPr>
            <w:tcW w:w="981" w:type="pct"/>
            <w:tcBorders>
              <w:top w:val="single" w:sz="4" w:space="0" w:color="auto"/>
              <w:left w:val="single" w:sz="4" w:space="0" w:color="auto"/>
              <w:bottom w:val="single" w:sz="4" w:space="0" w:color="auto"/>
              <w:right w:val="single" w:sz="4" w:space="0" w:color="auto"/>
            </w:tcBorders>
            <w:shd w:val="clear" w:color="auto" w:fill="C2D69B"/>
            <w:noWrap/>
            <w:vAlign w:val="center"/>
          </w:tcPr>
          <w:p w:rsidR="00C065FA" w:rsidRPr="001918E7" w:rsidRDefault="00C065FA" w:rsidP="00FE560B">
            <w:pPr>
              <w:spacing w:line="240" w:lineRule="auto"/>
              <w:jc w:val="right"/>
              <w:rPr>
                <w:rFonts w:cs="Calibri"/>
                <w:b/>
              </w:rPr>
            </w:pPr>
            <w:r w:rsidRPr="001918E7">
              <w:rPr>
                <w:rFonts w:cs="Calibri"/>
                <w:b/>
              </w:rPr>
              <w:t>6.697.428,59</w:t>
            </w:r>
          </w:p>
        </w:tc>
      </w:tr>
      <w:tr w:rsidR="00C065FA" w:rsidRPr="001918E7" w:rsidTr="007D2BDD">
        <w:trPr>
          <w:gridAfter w:val="2"/>
          <w:wAfter w:w="200" w:type="pct"/>
          <w:trHeight w:val="255"/>
        </w:trPr>
        <w:tc>
          <w:tcPr>
            <w:tcW w:w="4800" w:type="pct"/>
            <w:gridSpan w:val="5"/>
            <w:tcBorders>
              <w:top w:val="single" w:sz="4" w:space="0" w:color="auto"/>
            </w:tcBorders>
            <w:shd w:val="clear" w:color="auto" w:fill="auto"/>
            <w:noWrap/>
            <w:vAlign w:val="center"/>
          </w:tcPr>
          <w:p w:rsidR="00C065FA" w:rsidRPr="001918E7" w:rsidRDefault="00C065FA" w:rsidP="00FE560B">
            <w:pPr>
              <w:spacing w:line="240" w:lineRule="auto"/>
              <w:rPr>
                <w:rFonts w:cs="Calibri"/>
                <w:i/>
              </w:rPr>
            </w:pPr>
            <w:r w:rsidRPr="001918E7">
              <w:rPr>
                <w:rFonts w:cs="Calibri"/>
                <w:i/>
              </w:rPr>
              <w:t>Taxa de Câmbio R$ 3,50</w:t>
            </w:r>
          </w:p>
        </w:tc>
      </w:tr>
      <w:tr w:rsidR="00C065FA" w:rsidRPr="001918E7" w:rsidTr="007D2BDD">
        <w:trPr>
          <w:gridAfter w:val="2"/>
          <w:wAfter w:w="200" w:type="pct"/>
          <w:trHeight w:val="255"/>
        </w:trPr>
        <w:tc>
          <w:tcPr>
            <w:tcW w:w="4800" w:type="pct"/>
            <w:gridSpan w:val="5"/>
            <w:tcBorders>
              <w:top w:val="single" w:sz="4" w:space="0" w:color="auto"/>
            </w:tcBorders>
            <w:shd w:val="clear" w:color="auto" w:fill="auto"/>
            <w:noWrap/>
            <w:vAlign w:val="center"/>
          </w:tcPr>
          <w:p w:rsidR="00C065FA" w:rsidRPr="001918E7" w:rsidRDefault="00C065FA" w:rsidP="00FE560B">
            <w:pPr>
              <w:spacing w:line="240" w:lineRule="auto"/>
              <w:rPr>
                <w:rFonts w:cs="Calibri"/>
                <w:i/>
              </w:rPr>
            </w:pPr>
          </w:p>
        </w:tc>
      </w:tr>
    </w:tbl>
    <w:p w:rsidR="00C065FA" w:rsidRPr="001918E7" w:rsidRDefault="00C065FA" w:rsidP="00A249C9">
      <w:pPr>
        <w:pStyle w:val="PargrafodaLista"/>
        <w:numPr>
          <w:ilvl w:val="1"/>
          <w:numId w:val="104"/>
        </w:numPr>
        <w:pBdr>
          <w:bottom w:val="single" w:sz="4" w:space="1" w:color="auto"/>
        </w:pBdr>
        <w:tabs>
          <w:tab w:val="left" w:pos="0"/>
          <w:tab w:val="left" w:pos="426"/>
        </w:tabs>
        <w:jc w:val="both"/>
        <w:outlineLvl w:val="2"/>
        <w:rPr>
          <w:rFonts w:cs="Calibri"/>
          <w:b/>
        </w:rPr>
      </w:pPr>
      <w:bookmarkStart w:id="87" w:name="_Toc517282107"/>
      <w:r w:rsidRPr="001918E7">
        <w:rPr>
          <w:rFonts w:cs="Calibri"/>
          <w:b/>
        </w:rPr>
        <w:t>CRONOGRAMA DE DESEMBOLSO PROPOSTO</w:t>
      </w:r>
      <w:bookmarkEnd w:id="87"/>
    </w:p>
    <w:p w:rsidR="00C065FA" w:rsidRPr="001918E7" w:rsidRDefault="00C065FA" w:rsidP="00FE56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600"/>
        <w:gridCol w:w="354"/>
        <w:gridCol w:w="516"/>
        <w:gridCol w:w="436"/>
        <w:gridCol w:w="434"/>
        <w:gridCol w:w="438"/>
        <w:gridCol w:w="434"/>
        <w:gridCol w:w="412"/>
        <w:gridCol w:w="514"/>
        <w:gridCol w:w="514"/>
        <w:gridCol w:w="406"/>
      </w:tblGrid>
      <w:tr w:rsidR="00C065FA" w:rsidRPr="001918E7" w:rsidTr="007D2BDD">
        <w:trPr>
          <w:trHeight w:val="305"/>
        </w:trPr>
        <w:tc>
          <w:tcPr>
            <w:tcW w:w="365" w:type="pct"/>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No.</w:t>
            </w:r>
          </w:p>
        </w:tc>
        <w:tc>
          <w:tcPr>
            <w:tcW w:w="2354" w:type="pct"/>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rPr>
                <w:rFonts w:cs="Calibri"/>
                <w:b/>
              </w:rPr>
            </w:pPr>
            <w:r w:rsidRPr="001918E7">
              <w:rPr>
                <w:rFonts w:cs="Calibri"/>
                <w:b/>
              </w:rPr>
              <w:t>Item de Custo</w:t>
            </w:r>
          </w:p>
        </w:tc>
        <w:tc>
          <w:tcPr>
            <w:tcW w:w="445" w:type="pct"/>
            <w:gridSpan w:val="2"/>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2019</w:t>
            </w:r>
          </w:p>
        </w:tc>
        <w:tc>
          <w:tcPr>
            <w:tcW w:w="445" w:type="pct"/>
            <w:gridSpan w:val="2"/>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2020</w:t>
            </w:r>
          </w:p>
        </w:tc>
        <w:tc>
          <w:tcPr>
            <w:tcW w:w="446" w:type="pct"/>
            <w:gridSpan w:val="2"/>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2021</w:t>
            </w:r>
          </w:p>
        </w:tc>
        <w:tc>
          <w:tcPr>
            <w:tcW w:w="474" w:type="pct"/>
            <w:gridSpan w:val="2"/>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2022</w:t>
            </w:r>
          </w:p>
        </w:tc>
        <w:tc>
          <w:tcPr>
            <w:tcW w:w="471" w:type="pct"/>
            <w:gridSpan w:val="2"/>
            <w:tcBorders>
              <w:top w:val="single" w:sz="4" w:space="0" w:color="auto"/>
              <w:left w:val="single" w:sz="4" w:space="0" w:color="auto"/>
              <w:bottom w:val="single" w:sz="4" w:space="0" w:color="auto"/>
              <w:right w:val="single" w:sz="4" w:space="0" w:color="auto"/>
            </w:tcBorders>
            <w:shd w:val="clear" w:color="auto" w:fill="C5E0B3"/>
            <w:hideMark/>
          </w:tcPr>
          <w:p w:rsidR="00C065FA" w:rsidRPr="001918E7" w:rsidRDefault="00C065FA" w:rsidP="00FE560B">
            <w:pPr>
              <w:spacing w:line="240" w:lineRule="auto"/>
              <w:jc w:val="center"/>
              <w:rPr>
                <w:rFonts w:cs="Calibri"/>
                <w:b/>
              </w:rPr>
            </w:pPr>
            <w:r w:rsidRPr="001918E7">
              <w:rPr>
                <w:rFonts w:cs="Calibri"/>
                <w:b/>
              </w:rPr>
              <w:t>2023</w:t>
            </w:r>
          </w:p>
        </w:tc>
      </w:tr>
      <w:tr w:rsidR="00C065FA" w:rsidRPr="001918E7" w:rsidTr="007D2BDD">
        <w:tc>
          <w:tcPr>
            <w:tcW w:w="365"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1</w:t>
            </w:r>
          </w:p>
        </w:tc>
        <w:tc>
          <w:tcPr>
            <w:tcW w:w="235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rPr>
                <w:rFonts w:cs="Calibri"/>
              </w:rPr>
            </w:pPr>
            <w:r w:rsidRPr="001918E7">
              <w:rPr>
                <w:rFonts w:cs="Calibri"/>
              </w:rPr>
              <w:t>Viagens técnicas para conhecimento de soluções</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p w:rsidR="00C065FA" w:rsidRPr="001918E7" w:rsidRDefault="00C065FA" w:rsidP="00FE560B">
            <w:pPr>
              <w:spacing w:line="240" w:lineRule="auto"/>
              <w:jc w:val="center"/>
              <w:rPr>
                <w:rFonts w:cs="Calibri"/>
              </w:rPr>
            </w:pPr>
            <w:r w:rsidRPr="001918E7">
              <w:rPr>
                <w:rFonts w:cs="Calibri"/>
              </w:rPr>
              <w:t>x</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p w:rsidR="00C065FA" w:rsidRPr="001918E7" w:rsidRDefault="00C065FA" w:rsidP="00FE560B">
            <w:pPr>
              <w:spacing w:line="240" w:lineRule="auto"/>
              <w:jc w:val="center"/>
              <w:rPr>
                <w:rFonts w:cs="Calibri"/>
              </w:rPr>
            </w:pPr>
            <w:r w:rsidRPr="001918E7">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r>
      <w:tr w:rsidR="00C065FA" w:rsidRPr="001918E7" w:rsidTr="007D2BDD">
        <w:tc>
          <w:tcPr>
            <w:tcW w:w="365"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2</w:t>
            </w:r>
          </w:p>
        </w:tc>
        <w:tc>
          <w:tcPr>
            <w:tcW w:w="235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rPr>
                <w:rFonts w:cs="Calibri"/>
              </w:rPr>
            </w:pPr>
            <w:r w:rsidRPr="001918E7">
              <w:rPr>
                <w:rFonts w:cs="Calibri"/>
              </w:rPr>
              <w:t>Sistema de controle de fraude</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r>
      <w:tr w:rsidR="00C065FA" w:rsidRPr="001918E7" w:rsidTr="007D2BDD">
        <w:tc>
          <w:tcPr>
            <w:tcW w:w="365"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3</w:t>
            </w:r>
          </w:p>
        </w:tc>
        <w:tc>
          <w:tcPr>
            <w:tcW w:w="235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rPr>
                <w:rFonts w:cs="Calibri"/>
              </w:rPr>
            </w:pPr>
            <w:r w:rsidRPr="001918E7">
              <w:rPr>
                <w:rFonts w:cs="Calibri"/>
              </w:rPr>
              <w:t>Capacitação</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r>
      <w:tr w:rsidR="00C065FA" w:rsidRPr="001918E7" w:rsidTr="007D2BDD">
        <w:tc>
          <w:tcPr>
            <w:tcW w:w="365"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4</w:t>
            </w:r>
          </w:p>
        </w:tc>
        <w:tc>
          <w:tcPr>
            <w:tcW w:w="235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rPr>
                <w:rFonts w:cs="Calibri"/>
              </w:rPr>
            </w:pPr>
            <w:r w:rsidRPr="001918E7">
              <w:rPr>
                <w:rFonts w:cs="Calibri"/>
              </w:rPr>
              <w:t>Desenvolvimento do portal único e sua integração com o SICEX e bases de pagamento do ES</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24"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11"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r w:rsidRPr="001918E7">
              <w:rPr>
                <w:rFonts w:cs="Calibri"/>
              </w:rPr>
              <w:t>x</w:t>
            </w:r>
          </w:p>
        </w:tc>
        <w:tc>
          <w:tcPr>
            <w:tcW w:w="263"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c>
          <w:tcPr>
            <w:tcW w:w="208" w:type="pct"/>
            <w:tcBorders>
              <w:top w:val="single" w:sz="4" w:space="0" w:color="auto"/>
              <w:left w:val="single" w:sz="4" w:space="0" w:color="auto"/>
              <w:bottom w:val="single" w:sz="4" w:space="0" w:color="auto"/>
              <w:right w:val="single" w:sz="4" w:space="0" w:color="auto"/>
            </w:tcBorders>
            <w:shd w:val="clear" w:color="auto" w:fill="auto"/>
          </w:tcPr>
          <w:p w:rsidR="00C065FA" w:rsidRPr="001918E7" w:rsidRDefault="00C065FA" w:rsidP="00FE560B">
            <w:pPr>
              <w:spacing w:line="240" w:lineRule="auto"/>
              <w:jc w:val="center"/>
              <w:rPr>
                <w:rFonts w:cs="Calibri"/>
              </w:rPr>
            </w:pPr>
          </w:p>
        </w:tc>
      </w:tr>
    </w:tbl>
    <w:p w:rsidR="00C065FA" w:rsidRPr="001918E7" w:rsidRDefault="00C065FA" w:rsidP="00FE560B">
      <w:pPr>
        <w:tabs>
          <w:tab w:val="left" w:pos="0"/>
        </w:tabs>
        <w:jc w:val="both"/>
        <w:rPr>
          <w:lang w:eastAsia="pt-BR"/>
        </w:rPr>
      </w:pPr>
    </w:p>
    <w:p w:rsidR="00611D38" w:rsidRPr="00DE2D55" w:rsidRDefault="00611D38" w:rsidP="00FE560B">
      <w:pPr>
        <w:tabs>
          <w:tab w:val="left" w:pos="0"/>
        </w:tabs>
        <w:jc w:val="both"/>
        <w:rPr>
          <w:lang w:eastAsia="pt-BR"/>
        </w:rPr>
      </w:pPr>
      <w:r w:rsidRPr="00DE2D55">
        <w:rPr>
          <w:lang w:eastAsia="pt-BR"/>
        </w:rPr>
        <w:br w:type="page"/>
      </w:r>
    </w:p>
    <w:p w:rsidR="00976FB3" w:rsidRPr="00DE2D55" w:rsidRDefault="00976FB3" w:rsidP="00FE560B">
      <w:pPr>
        <w:pStyle w:val="Ttulo2"/>
        <w:tabs>
          <w:tab w:val="left" w:pos="0"/>
        </w:tabs>
        <w:spacing w:before="0"/>
        <w:jc w:val="both"/>
        <w:rPr>
          <w:rFonts w:asciiTheme="minorHAnsi" w:eastAsia="Times New Roman" w:hAnsiTheme="minorHAnsi" w:cs="Arial"/>
          <w:sz w:val="22"/>
          <w:szCs w:val="22"/>
          <w:lang w:eastAsia="pt-BR"/>
        </w:rPr>
      </w:pPr>
      <w:bookmarkStart w:id="88" w:name="_Toc517282108"/>
      <w:r w:rsidRPr="00DE2D55">
        <w:rPr>
          <w:rFonts w:asciiTheme="minorHAnsi" w:eastAsia="Times New Roman" w:hAnsiTheme="minorHAnsi" w:cs="Arial"/>
          <w:sz w:val="22"/>
          <w:szCs w:val="22"/>
          <w:lang w:eastAsia="pt-BR"/>
        </w:rPr>
        <w:t>PRODUTO 3. PROCESSO ELETRÔNICO DO CONTENCIOSO IMPLANTADO</w:t>
      </w:r>
      <w:bookmarkEnd w:id="88"/>
    </w:p>
    <w:p w:rsidR="003F7D43" w:rsidRPr="00DE2D55" w:rsidRDefault="003F7D43" w:rsidP="00FE560B">
      <w:pPr>
        <w:tabs>
          <w:tab w:val="left" w:pos="0"/>
        </w:tabs>
        <w:jc w:val="both"/>
        <w:rPr>
          <w:rFonts w:cs="Calibri"/>
        </w:rPr>
      </w:pPr>
    </w:p>
    <w:p w:rsidR="003F7D43" w:rsidRPr="00DE2D55" w:rsidRDefault="003F7D43" w:rsidP="00FE560B">
      <w:pPr>
        <w:tabs>
          <w:tab w:val="left" w:pos="0"/>
        </w:tabs>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3F7D43" w:rsidRPr="00DE2D55" w:rsidTr="00976FB3">
        <w:tc>
          <w:tcPr>
            <w:tcW w:w="9779" w:type="dxa"/>
            <w:tcBorders>
              <w:top w:val="single" w:sz="4" w:space="0" w:color="auto"/>
              <w:left w:val="nil"/>
              <w:bottom w:val="single" w:sz="4" w:space="0" w:color="auto"/>
              <w:right w:val="nil"/>
            </w:tcBorders>
            <w:shd w:val="clear" w:color="auto" w:fill="D5DCE4"/>
          </w:tcPr>
          <w:p w:rsidR="00976FB3" w:rsidRPr="00DE2D55" w:rsidRDefault="003F7D43" w:rsidP="00FE560B">
            <w:pPr>
              <w:shd w:val="clear" w:color="auto" w:fill="D5DCE4"/>
              <w:tabs>
                <w:tab w:val="left" w:pos="0"/>
              </w:tabs>
              <w:jc w:val="both"/>
              <w:rPr>
                <w:rFonts w:eastAsia="Times New Roman" w:cs="Arial"/>
                <w:b/>
                <w:bCs/>
                <w:color w:val="4A66AC" w:themeColor="accent1"/>
                <w:lang w:eastAsia="pt-BR"/>
              </w:rPr>
            </w:pPr>
            <w:r w:rsidRPr="00DE2D55">
              <w:rPr>
                <w:rFonts w:eastAsia="Times New Roman" w:cs="Arial"/>
                <w:b/>
                <w:bCs/>
                <w:color w:val="4A66AC" w:themeColor="accent1"/>
                <w:lang w:eastAsia="pt-BR"/>
              </w:rPr>
              <w:t xml:space="preserve">NOTA TÉCNICA </w:t>
            </w:r>
          </w:p>
          <w:p w:rsidR="003F7D43" w:rsidRPr="00DE2D55" w:rsidRDefault="00976FB3" w:rsidP="00FE560B">
            <w:pPr>
              <w:shd w:val="clear" w:color="auto" w:fill="D5DCE4"/>
              <w:tabs>
                <w:tab w:val="left" w:pos="0"/>
              </w:tabs>
              <w:jc w:val="both"/>
              <w:rPr>
                <w:rFonts w:eastAsia="Times New Roman" w:cs="Arial"/>
                <w:b/>
                <w:bCs/>
                <w:color w:val="4A66AC" w:themeColor="accent1"/>
                <w:lang w:eastAsia="pt-BR"/>
              </w:rPr>
            </w:pPr>
            <w:r w:rsidRPr="00DE2D55">
              <w:rPr>
                <w:rFonts w:eastAsia="Times New Roman" w:cs="Arial"/>
                <w:b/>
                <w:bCs/>
                <w:color w:val="4A66AC" w:themeColor="accent1"/>
                <w:lang w:eastAsia="pt-BR"/>
              </w:rPr>
              <w:t xml:space="preserve">P. 2.3 </w:t>
            </w:r>
            <w:r w:rsidR="003F7D43" w:rsidRPr="00DE2D55">
              <w:rPr>
                <w:rFonts w:eastAsia="Times New Roman" w:cs="Arial"/>
                <w:b/>
                <w:bCs/>
                <w:color w:val="4A66AC" w:themeColor="accent1"/>
                <w:lang w:eastAsia="pt-BR"/>
              </w:rPr>
              <w:t xml:space="preserve">Processo Eletrônico do Contencioso Implantado </w:t>
            </w:r>
          </w:p>
          <w:p w:rsidR="003F7D43" w:rsidRPr="00DE2D55" w:rsidRDefault="003F7D43" w:rsidP="00FE560B">
            <w:pPr>
              <w:pStyle w:val="PargrafodaLista"/>
              <w:tabs>
                <w:tab w:val="left" w:pos="0"/>
              </w:tabs>
              <w:ind w:left="390"/>
              <w:jc w:val="both"/>
              <w:rPr>
                <w:rFonts w:cs="Arial"/>
              </w:rPr>
            </w:pPr>
            <w:r w:rsidRPr="00DE2D55">
              <w:rPr>
                <w:rFonts w:eastAsia="Times New Roman" w:cs="Arial"/>
                <w:b/>
                <w:bCs/>
                <w:color w:val="4A66AC" w:themeColor="accent1"/>
                <w:lang w:eastAsia="pt-BR"/>
              </w:rPr>
              <w:t>Automação do processo eletrônico (contemplando workflow); integração dos sistemas da SEFAZ; disponibilidade para consulta/vista dos autos pelos contribuintes; soluções para armazenagem eletrônica dos processos existentes; e disponibilização do acesso à legislação tributária na WEB.</w:t>
            </w:r>
          </w:p>
        </w:tc>
      </w:tr>
    </w:tbl>
    <w:p w:rsidR="003F7D43" w:rsidRPr="00DE2D55" w:rsidRDefault="003F7D43" w:rsidP="00FE560B">
      <w:pPr>
        <w:tabs>
          <w:tab w:val="left" w:pos="0"/>
        </w:tabs>
        <w:jc w:val="both"/>
        <w:rPr>
          <w:rFonts w:cs="Calibri"/>
        </w:rPr>
      </w:pPr>
    </w:p>
    <w:p w:rsidR="003F7D43" w:rsidRPr="00DE2D55" w:rsidRDefault="003F7D43" w:rsidP="00FE560B">
      <w:pPr>
        <w:tabs>
          <w:tab w:val="left" w:pos="0"/>
        </w:tabs>
        <w:jc w:val="both"/>
        <w:rPr>
          <w:rFonts w:cs="Calibri"/>
        </w:rPr>
      </w:pPr>
    </w:p>
    <w:p w:rsidR="00976FB3" w:rsidRPr="00DE2D55" w:rsidRDefault="00976FB3" w:rsidP="00FE560B">
      <w:pPr>
        <w:tabs>
          <w:tab w:val="left" w:pos="0"/>
        </w:tabs>
        <w:jc w:val="both"/>
        <w:rPr>
          <w:rFonts w:cs="Calibri"/>
        </w:rPr>
      </w:pPr>
    </w:p>
    <w:p w:rsidR="003F7D43" w:rsidRPr="00DE2D55" w:rsidRDefault="003F7D43" w:rsidP="00FE560B">
      <w:pPr>
        <w:tabs>
          <w:tab w:val="left" w:pos="0"/>
        </w:tabs>
        <w:ind w:left="360"/>
        <w:jc w:val="both"/>
        <w:rPr>
          <w:rFonts w:cs="Calibri"/>
          <w:b/>
        </w:rPr>
      </w:pPr>
      <w:r w:rsidRPr="00DE2D55">
        <w:rPr>
          <w:rFonts w:cs="Calibri"/>
          <w:b/>
        </w:rPr>
        <w:t xml:space="preserve">Autores: </w:t>
      </w:r>
    </w:p>
    <w:tbl>
      <w:tblPr>
        <w:tblW w:w="5000" w:type="pct"/>
        <w:tblLook w:val="04A0" w:firstRow="1" w:lastRow="0" w:firstColumn="1" w:lastColumn="0" w:noHBand="0" w:noVBand="1"/>
      </w:tblPr>
      <w:tblGrid>
        <w:gridCol w:w="1549"/>
        <w:gridCol w:w="2780"/>
        <w:gridCol w:w="2021"/>
        <w:gridCol w:w="3420"/>
      </w:tblGrid>
      <w:tr w:rsidR="003F7D43" w:rsidRPr="00DE2D55" w:rsidTr="00976FB3">
        <w:tc>
          <w:tcPr>
            <w:tcW w:w="957" w:type="pct"/>
            <w:tcBorders>
              <w:top w:val="single" w:sz="4" w:space="0" w:color="00000A"/>
              <w:left w:val="single" w:sz="4" w:space="0" w:color="00000A"/>
              <w:bottom w:val="single" w:sz="4" w:space="0" w:color="00000A"/>
              <w:right w:val="single" w:sz="4" w:space="0" w:color="00000A"/>
            </w:tcBorders>
            <w:shd w:val="clear" w:color="auto" w:fill="FFFFFF"/>
            <w:hideMark/>
          </w:tcPr>
          <w:p w:rsidR="003F7D43" w:rsidRPr="00DE2D55" w:rsidRDefault="003F7D43" w:rsidP="00FE560B">
            <w:pPr>
              <w:tabs>
                <w:tab w:val="left" w:pos="0"/>
              </w:tabs>
              <w:ind w:left="37"/>
              <w:jc w:val="both"/>
              <w:rPr>
                <w:rFonts w:cs="Calibri"/>
                <w:b/>
              </w:rPr>
            </w:pPr>
            <w:r w:rsidRPr="00DE2D55">
              <w:rPr>
                <w:rFonts w:cs="Calibri"/>
                <w:b/>
              </w:rPr>
              <w:t>Nome</w:t>
            </w:r>
          </w:p>
        </w:tc>
        <w:tc>
          <w:tcPr>
            <w:tcW w:w="1587" w:type="pct"/>
            <w:tcBorders>
              <w:top w:val="single" w:sz="4" w:space="0" w:color="00000A"/>
              <w:left w:val="single" w:sz="4" w:space="0" w:color="00000A"/>
              <w:bottom w:val="single" w:sz="4" w:space="0" w:color="00000A"/>
              <w:right w:val="single" w:sz="4" w:space="0" w:color="00000A"/>
            </w:tcBorders>
            <w:shd w:val="clear" w:color="auto" w:fill="FFFFFF"/>
            <w:hideMark/>
          </w:tcPr>
          <w:p w:rsidR="003F7D43" w:rsidRPr="00DE2D55" w:rsidRDefault="003F7D43" w:rsidP="00FE560B">
            <w:pPr>
              <w:tabs>
                <w:tab w:val="left" w:pos="0"/>
              </w:tabs>
              <w:jc w:val="both"/>
              <w:rPr>
                <w:rFonts w:cs="Calibri"/>
                <w:b/>
              </w:rPr>
            </w:pPr>
            <w:r w:rsidRPr="00DE2D55">
              <w:rPr>
                <w:rFonts w:cs="Calibri"/>
                <w:b/>
              </w:rPr>
              <w:t>Cargo</w:t>
            </w:r>
          </w:p>
        </w:tc>
        <w:tc>
          <w:tcPr>
            <w:tcW w:w="1198" w:type="pct"/>
            <w:tcBorders>
              <w:top w:val="single" w:sz="4" w:space="0" w:color="00000A"/>
              <w:left w:val="single" w:sz="4" w:space="0" w:color="00000A"/>
              <w:bottom w:val="single" w:sz="4" w:space="0" w:color="00000A"/>
              <w:right w:val="single" w:sz="4" w:space="0" w:color="00000A"/>
            </w:tcBorders>
            <w:shd w:val="clear" w:color="auto" w:fill="FFFFFF"/>
            <w:hideMark/>
          </w:tcPr>
          <w:p w:rsidR="003F7D43" w:rsidRPr="00DE2D55" w:rsidRDefault="003F7D43" w:rsidP="00FE560B">
            <w:pPr>
              <w:tabs>
                <w:tab w:val="left" w:pos="0"/>
              </w:tabs>
              <w:jc w:val="both"/>
              <w:rPr>
                <w:rFonts w:cs="Calibri"/>
                <w:b/>
              </w:rPr>
            </w:pPr>
            <w:r w:rsidRPr="00DE2D55">
              <w:rPr>
                <w:rFonts w:cs="Calibri"/>
                <w:b/>
              </w:rPr>
              <w:t>Área</w:t>
            </w:r>
          </w:p>
        </w:tc>
        <w:tc>
          <w:tcPr>
            <w:tcW w:w="1259" w:type="pct"/>
            <w:tcBorders>
              <w:top w:val="single" w:sz="4" w:space="0" w:color="00000A"/>
              <w:left w:val="single" w:sz="4" w:space="0" w:color="00000A"/>
              <w:bottom w:val="single" w:sz="4" w:space="0" w:color="00000A"/>
              <w:right w:val="single" w:sz="4" w:space="0" w:color="00000A"/>
            </w:tcBorders>
            <w:shd w:val="clear" w:color="auto" w:fill="FFFFFF"/>
            <w:hideMark/>
          </w:tcPr>
          <w:p w:rsidR="003F7D43" w:rsidRPr="00DE2D55" w:rsidRDefault="003F7D43" w:rsidP="00FE560B">
            <w:pPr>
              <w:tabs>
                <w:tab w:val="left" w:pos="0"/>
              </w:tabs>
              <w:jc w:val="both"/>
              <w:rPr>
                <w:rFonts w:eastAsia="Calibri" w:cs="Calibri"/>
                <w:lang w:val="es-ES"/>
              </w:rPr>
            </w:pPr>
            <w:r w:rsidRPr="00DE2D55">
              <w:rPr>
                <w:rFonts w:cs="Calibri"/>
                <w:b/>
              </w:rPr>
              <w:t>E-mail</w:t>
            </w:r>
          </w:p>
        </w:tc>
      </w:tr>
      <w:tr w:rsidR="003F7D43" w:rsidRPr="00DE2D55" w:rsidTr="00976FB3">
        <w:tc>
          <w:tcPr>
            <w:tcW w:w="95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João Antonio Nunes da Silva</w:t>
            </w:r>
          </w:p>
        </w:tc>
        <w:tc>
          <w:tcPr>
            <w:tcW w:w="158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Gerente Tributário</w:t>
            </w:r>
          </w:p>
        </w:tc>
        <w:tc>
          <w:tcPr>
            <w:tcW w:w="1198"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GETRI</w:t>
            </w:r>
          </w:p>
        </w:tc>
        <w:tc>
          <w:tcPr>
            <w:tcW w:w="1259"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E04BB7" w:rsidP="00FE560B">
            <w:pPr>
              <w:tabs>
                <w:tab w:val="left" w:pos="0"/>
              </w:tabs>
              <w:jc w:val="both"/>
              <w:rPr>
                <w:rFonts w:cs="Calibri"/>
              </w:rPr>
            </w:pPr>
            <w:hyperlink r:id="rId19" w:history="1">
              <w:r w:rsidR="003F7D43" w:rsidRPr="00DE2D55">
                <w:rPr>
                  <w:rStyle w:val="Hyperlink"/>
                  <w:rFonts w:cs="Calibri"/>
                </w:rPr>
                <w:t>jsilva@sefaz.es.gov.br</w:t>
              </w:r>
            </w:hyperlink>
          </w:p>
        </w:tc>
      </w:tr>
      <w:tr w:rsidR="003F7D43" w:rsidRPr="00DE2D55" w:rsidTr="00976FB3">
        <w:tc>
          <w:tcPr>
            <w:tcW w:w="95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Hudson de Souza Carvalho</w:t>
            </w:r>
          </w:p>
        </w:tc>
        <w:tc>
          <w:tcPr>
            <w:tcW w:w="158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Subgerente de Julgamento de Processos Administrativos Fiscais I</w:t>
            </w:r>
          </w:p>
        </w:tc>
        <w:tc>
          <w:tcPr>
            <w:tcW w:w="1198"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SUJUP I / GETRI</w:t>
            </w:r>
          </w:p>
        </w:tc>
        <w:tc>
          <w:tcPr>
            <w:tcW w:w="1259"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E04BB7" w:rsidP="00FE560B">
            <w:pPr>
              <w:tabs>
                <w:tab w:val="left" w:pos="0"/>
              </w:tabs>
              <w:jc w:val="both"/>
              <w:rPr>
                <w:rFonts w:cs="Calibri"/>
              </w:rPr>
            </w:pPr>
            <w:hyperlink r:id="rId20" w:history="1">
              <w:r w:rsidR="003F7D43" w:rsidRPr="00DE2D55">
                <w:rPr>
                  <w:rStyle w:val="Hyperlink"/>
                  <w:rFonts w:cs="Calibri"/>
                </w:rPr>
                <w:t>hudson.carvalho@sefaz.es.gov.br</w:t>
              </w:r>
            </w:hyperlink>
            <w:r w:rsidR="003F7D43" w:rsidRPr="00DE2D55">
              <w:rPr>
                <w:rFonts w:cs="Calibri"/>
              </w:rPr>
              <w:t xml:space="preserve"> </w:t>
            </w:r>
          </w:p>
        </w:tc>
      </w:tr>
      <w:tr w:rsidR="003F7D43" w:rsidRPr="00DE2D55" w:rsidTr="00976FB3">
        <w:trPr>
          <w:trHeight w:val="347"/>
        </w:trPr>
        <w:tc>
          <w:tcPr>
            <w:tcW w:w="95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Jonathas de Oliveira Cerqueira</w:t>
            </w:r>
          </w:p>
        </w:tc>
        <w:tc>
          <w:tcPr>
            <w:tcW w:w="158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Subgerente de Julgamento de Processos Administrativos Fiscais II</w:t>
            </w:r>
          </w:p>
        </w:tc>
        <w:tc>
          <w:tcPr>
            <w:tcW w:w="1198"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SUJUP II / GETRI</w:t>
            </w:r>
          </w:p>
        </w:tc>
        <w:tc>
          <w:tcPr>
            <w:tcW w:w="1259"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E04BB7" w:rsidP="00FE560B">
            <w:pPr>
              <w:tabs>
                <w:tab w:val="left" w:pos="0"/>
              </w:tabs>
              <w:jc w:val="both"/>
              <w:rPr>
                <w:rFonts w:cs="Calibri"/>
              </w:rPr>
            </w:pPr>
            <w:hyperlink r:id="rId21" w:history="1">
              <w:r w:rsidR="003F7D43" w:rsidRPr="00DE2D55">
                <w:rPr>
                  <w:rStyle w:val="Hyperlink"/>
                  <w:rFonts w:cs="Calibri"/>
                </w:rPr>
                <w:t>jonathas.cerqueira@sefaz.es.gov.br</w:t>
              </w:r>
            </w:hyperlink>
            <w:r w:rsidR="003F7D43" w:rsidRPr="00DE2D55">
              <w:rPr>
                <w:rFonts w:cs="Calibri"/>
              </w:rPr>
              <w:t xml:space="preserve"> </w:t>
            </w:r>
          </w:p>
        </w:tc>
      </w:tr>
      <w:tr w:rsidR="003F7D43" w:rsidRPr="00DE2D55" w:rsidTr="00976FB3">
        <w:trPr>
          <w:trHeight w:val="347"/>
        </w:trPr>
        <w:tc>
          <w:tcPr>
            <w:tcW w:w="95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Andre Luiz Figueiredo Rosa</w:t>
            </w:r>
          </w:p>
        </w:tc>
        <w:tc>
          <w:tcPr>
            <w:tcW w:w="1587"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Subgerente de Legislação e Orientação Tributária</w:t>
            </w:r>
          </w:p>
        </w:tc>
        <w:tc>
          <w:tcPr>
            <w:tcW w:w="1198"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3F7D43" w:rsidP="00FE560B">
            <w:pPr>
              <w:tabs>
                <w:tab w:val="left" w:pos="0"/>
              </w:tabs>
              <w:jc w:val="both"/>
              <w:rPr>
                <w:rFonts w:cs="Calibri"/>
              </w:rPr>
            </w:pPr>
            <w:r w:rsidRPr="00DE2D55">
              <w:rPr>
                <w:rFonts w:cs="Calibri"/>
              </w:rPr>
              <w:t>SULOT/GETRI</w:t>
            </w:r>
          </w:p>
        </w:tc>
        <w:tc>
          <w:tcPr>
            <w:tcW w:w="1259" w:type="pct"/>
            <w:tcBorders>
              <w:top w:val="single" w:sz="4" w:space="0" w:color="00000A"/>
              <w:left w:val="single" w:sz="4" w:space="0" w:color="00000A"/>
              <w:bottom w:val="single" w:sz="4" w:space="0" w:color="00000A"/>
              <w:right w:val="single" w:sz="4" w:space="0" w:color="00000A"/>
            </w:tcBorders>
            <w:shd w:val="clear" w:color="auto" w:fill="FFFFFF"/>
          </w:tcPr>
          <w:p w:rsidR="003F7D43" w:rsidRPr="00DE2D55" w:rsidRDefault="00E04BB7" w:rsidP="00FE560B">
            <w:pPr>
              <w:tabs>
                <w:tab w:val="left" w:pos="0"/>
              </w:tabs>
              <w:jc w:val="both"/>
            </w:pPr>
            <w:hyperlink r:id="rId22" w:history="1">
              <w:r w:rsidR="003F7D43" w:rsidRPr="00DE2D55">
                <w:rPr>
                  <w:rStyle w:val="Hyperlink"/>
                  <w:rFonts w:cs="Calibri"/>
                </w:rPr>
                <w:t>afigueiredo@sefaz.es</w:t>
              </w:r>
            </w:hyperlink>
            <w:r w:rsidR="003F7D43" w:rsidRPr="00DE2D55">
              <w:rPr>
                <w:rStyle w:val="Hyperlink"/>
                <w:rFonts w:cs="Calibri"/>
              </w:rPr>
              <w:t>.gov.br</w:t>
            </w:r>
          </w:p>
        </w:tc>
      </w:tr>
    </w:tbl>
    <w:p w:rsidR="003F7D43" w:rsidRPr="00DE2D55" w:rsidRDefault="003F7D43" w:rsidP="00FE560B">
      <w:pPr>
        <w:tabs>
          <w:tab w:val="left" w:pos="0"/>
        </w:tabs>
        <w:jc w:val="both"/>
        <w:rPr>
          <w:rFonts w:cs="Calibri"/>
        </w:rPr>
      </w:pPr>
    </w:p>
    <w:p w:rsidR="003F7D43" w:rsidRPr="00DE2D55" w:rsidRDefault="003F7D43" w:rsidP="00FE560B">
      <w:pPr>
        <w:tabs>
          <w:tab w:val="left" w:pos="0"/>
        </w:tabs>
        <w:jc w:val="both"/>
        <w:rPr>
          <w:rFonts w:cs="Calibri"/>
        </w:rPr>
      </w:pPr>
    </w:p>
    <w:p w:rsidR="00976FB3" w:rsidRPr="00DE2D55" w:rsidRDefault="00976FB3" w:rsidP="00FE560B">
      <w:pPr>
        <w:tabs>
          <w:tab w:val="left" w:pos="0"/>
        </w:tabs>
        <w:jc w:val="both"/>
        <w:rPr>
          <w:rFonts w:cs="Calibri"/>
        </w:rPr>
      </w:pPr>
    </w:p>
    <w:p w:rsidR="00976FB3" w:rsidRPr="00DE2D55" w:rsidRDefault="00976FB3" w:rsidP="00FE560B">
      <w:pPr>
        <w:tabs>
          <w:tab w:val="left" w:pos="0"/>
        </w:tabs>
        <w:jc w:val="both"/>
        <w:rPr>
          <w:rFonts w:cs="Calibri"/>
        </w:rPr>
      </w:pPr>
    </w:p>
    <w:p w:rsidR="00976FB3" w:rsidRPr="00DE2D55" w:rsidRDefault="00976FB3" w:rsidP="00FE560B">
      <w:pPr>
        <w:tabs>
          <w:tab w:val="left" w:pos="0"/>
        </w:tabs>
        <w:jc w:val="both"/>
        <w:rPr>
          <w:rFonts w:cs="Calibri"/>
        </w:rPr>
      </w:pPr>
    </w:p>
    <w:p w:rsidR="00976FB3" w:rsidRPr="00DE2D55" w:rsidRDefault="00976FB3" w:rsidP="00FE560B">
      <w:pPr>
        <w:tabs>
          <w:tab w:val="left" w:pos="0"/>
        </w:tabs>
        <w:jc w:val="both"/>
        <w:rPr>
          <w:rFonts w:cs="Calibri"/>
        </w:rPr>
      </w:pPr>
    </w:p>
    <w:p w:rsidR="00976FB3" w:rsidRPr="00DE2D55" w:rsidRDefault="00976FB3" w:rsidP="00FE560B">
      <w:pPr>
        <w:tabs>
          <w:tab w:val="left" w:pos="0"/>
        </w:tabs>
        <w:jc w:val="both"/>
        <w:rPr>
          <w:rFonts w:cs="Calibri"/>
        </w:rPr>
      </w:pPr>
    </w:p>
    <w:p w:rsidR="003F7D43" w:rsidRPr="00DE2D55" w:rsidRDefault="003F7D43" w:rsidP="00FE560B">
      <w:pPr>
        <w:tabs>
          <w:tab w:val="left" w:pos="0"/>
        </w:tabs>
        <w:jc w:val="center"/>
        <w:rPr>
          <w:rFonts w:cs="Calibri"/>
          <w:b/>
        </w:rPr>
      </w:pPr>
      <w:r w:rsidRPr="00DE2D55">
        <w:rPr>
          <w:rFonts w:cs="Calibri"/>
          <w:b/>
        </w:rPr>
        <w:t>Vitória/ES – Junho de 2018</w:t>
      </w:r>
    </w:p>
    <w:p w:rsidR="003F7D43" w:rsidRPr="00DE2D55" w:rsidRDefault="003F7D43" w:rsidP="00FE560B">
      <w:pPr>
        <w:tabs>
          <w:tab w:val="left" w:pos="0"/>
        </w:tabs>
        <w:jc w:val="both"/>
        <w:rPr>
          <w:rFonts w:cs="Calibri"/>
          <w:b/>
        </w:rPr>
      </w:pPr>
      <w:r w:rsidRPr="00DE2D55">
        <w:rPr>
          <w:rFonts w:cs="Calibri"/>
          <w:b/>
        </w:rPr>
        <w:br w:type="page"/>
      </w: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89" w:name="_Toc517282109"/>
      <w:r w:rsidRPr="00DE2D55">
        <w:rPr>
          <w:rFonts w:cs="Calibri"/>
          <w:b/>
        </w:rPr>
        <w:t>ANTECEDENTES DO PRODUTO</w:t>
      </w:r>
      <w:bookmarkEnd w:id="89"/>
    </w:p>
    <w:p w:rsidR="00A278C9" w:rsidRPr="00DE2D55" w:rsidRDefault="00A278C9" w:rsidP="00FE560B">
      <w:pPr>
        <w:tabs>
          <w:tab w:val="left" w:pos="0"/>
        </w:tabs>
        <w:jc w:val="both"/>
        <w:rPr>
          <w:rFonts w:cs="Calibri"/>
        </w:rPr>
      </w:pPr>
    </w:p>
    <w:p w:rsidR="003F7D43" w:rsidRPr="00DE2D55" w:rsidRDefault="003F7D43" w:rsidP="00FE560B">
      <w:pPr>
        <w:tabs>
          <w:tab w:val="left" w:pos="0"/>
        </w:tabs>
        <w:jc w:val="both"/>
        <w:rPr>
          <w:rFonts w:cs="Calibri"/>
        </w:rPr>
      </w:pPr>
      <w:r w:rsidRPr="00DE2D55">
        <w:rPr>
          <w:rFonts w:cs="Calibri"/>
        </w:rPr>
        <w:t>No ano de 2015 foi feito um diagnóstico, por meio da Gerência Tributária, indicando que a morosidade era o problema de maior relevância na gestão do processo administrativo fiscal. Existiam mais de 13 mil processos aguardando julgamento. O tempo médio de tramitação era de sete anos e meio. Não obstante, alguns processos aguardavam há mais de duas décadas por uma solução.</w:t>
      </w:r>
    </w:p>
    <w:p w:rsidR="003F7D43" w:rsidRPr="00DE2D55" w:rsidRDefault="003F7D43" w:rsidP="00FE560B">
      <w:pPr>
        <w:tabs>
          <w:tab w:val="left" w:pos="0"/>
        </w:tabs>
        <w:jc w:val="both"/>
        <w:rPr>
          <w:rFonts w:cs="Calibri"/>
        </w:rPr>
      </w:pPr>
    </w:p>
    <w:p w:rsidR="003F7D43" w:rsidRPr="00DE2D55" w:rsidRDefault="003F7D43" w:rsidP="00FE560B">
      <w:pPr>
        <w:pBdr>
          <w:bottom w:val="single" w:sz="12" w:space="1" w:color="auto"/>
        </w:pBdr>
        <w:tabs>
          <w:tab w:val="left" w:pos="0"/>
        </w:tabs>
        <w:jc w:val="both"/>
        <w:rPr>
          <w:color w:val="000000"/>
        </w:rPr>
      </w:pPr>
      <w:r w:rsidRPr="00DE2D55">
        <w:rPr>
          <w:color w:val="000000"/>
        </w:rPr>
        <w:t xml:space="preserve">Diante  desse quadro, a partir daquele ano, o Governo do Estado tomou uma série de providências para resolver o problema, dentre elas: a aprovação da Lei nº 10.370/2015, que reformou o modelo de gestão do Processo Administrativo-Fiscal (PAF); a aprovação da Lei n° Lei n° 10.379/2015, que criou o Domicílio Tributário Eletrônico e a tramitação do PAF em formato digital; a adoção de providências para promover transparência nas decisões do Contencioso Administrativo Fiscal; e a contratação do Projeto de Digitalização e Gestão de Documentos Fiscais. </w:t>
      </w:r>
    </w:p>
    <w:p w:rsidR="003F7D43" w:rsidRPr="00DE2D55" w:rsidRDefault="003F7D43" w:rsidP="00FE560B">
      <w:pPr>
        <w:pBdr>
          <w:bottom w:val="single" w:sz="12" w:space="1" w:color="auto"/>
        </w:pBdr>
        <w:tabs>
          <w:tab w:val="left" w:pos="0"/>
        </w:tabs>
        <w:jc w:val="both"/>
        <w:rPr>
          <w:rFonts w:cs="Calibri"/>
          <w:b/>
        </w:rPr>
      </w:pPr>
    </w:p>
    <w:p w:rsidR="003F7D43" w:rsidRPr="00DE2D55" w:rsidRDefault="003F7D43" w:rsidP="00FE560B">
      <w:pPr>
        <w:pBdr>
          <w:bottom w:val="single" w:sz="12" w:space="1" w:color="auto"/>
        </w:pBdr>
        <w:tabs>
          <w:tab w:val="left" w:pos="0"/>
        </w:tabs>
        <w:jc w:val="both"/>
        <w:rPr>
          <w:rFonts w:cs="Calibri"/>
        </w:rPr>
      </w:pPr>
      <w:r w:rsidRPr="00DE2D55">
        <w:rPr>
          <w:rFonts w:cs="Calibri"/>
        </w:rPr>
        <w:t>Por meio da criação das Turmas de Julgamento de Primeira Instância (Lei n.º 10.370/2015), auditores fiscais designados, divididos em dez turmas, passaram a atuar para tornar o processo de resolução de conflitos mais ágil e eficaz.  A partir da implantação das Turmas, o tempo médio de análise de um processo foi drasticamente reduzido para menos de um ano.</w:t>
      </w:r>
    </w:p>
    <w:p w:rsidR="003F7D43" w:rsidRPr="00DE2D55" w:rsidRDefault="003F7D43" w:rsidP="00FE560B">
      <w:pPr>
        <w:pBdr>
          <w:bottom w:val="single" w:sz="12" w:space="1" w:color="auto"/>
        </w:pBdr>
        <w:tabs>
          <w:tab w:val="left" w:pos="0"/>
        </w:tabs>
        <w:jc w:val="both"/>
        <w:rPr>
          <w:rFonts w:cs="Calibri"/>
        </w:rPr>
      </w:pPr>
    </w:p>
    <w:p w:rsidR="003F7D43" w:rsidRPr="00DE2D55" w:rsidRDefault="003F7D43" w:rsidP="00FE560B">
      <w:pPr>
        <w:pBdr>
          <w:bottom w:val="single" w:sz="12" w:space="1" w:color="auto"/>
        </w:pBdr>
        <w:tabs>
          <w:tab w:val="left" w:pos="0"/>
        </w:tabs>
        <w:jc w:val="both"/>
        <w:rPr>
          <w:rFonts w:cs="Calibri"/>
        </w:rPr>
      </w:pPr>
      <w:r w:rsidRPr="00DE2D55">
        <w:rPr>
          <w:rFonts w:cs="Calibri"/>
        </w:rPr>
        <w:t>A título ilustrativo, entre os anos de 2012 e 2014 foram julgados em média 420 processos por ano. Em 2015 esse número passou para 3.905 em apenas seis meses, pois a instalação das turmas de julgamento aconteceu em 15/06/2015. Em 2016 foram julgados 2.513 processos, nos seis meses de atividades de julgamento do ano, em face do movimento classista de paralização do Fisco. Já em 2017 foram julgados 4.086 processos no curso do ano inteiro.</w:t>
      </w:r>
    </w:p>
    <w:p w:rsidR="003F7D43" w:rsidRPr="00DE2D55" w:rsidRDefault="003F7D43" w:rsidP="00FE560B">
      <w:pPr>
        <w:pBdr>
          <w:bottom w:val="single" w:sz="12" w:space="1" w:color="auto"/>
        </w:pBdr>
        <w:tabs>
          <w:tab w:val="left" w:pos="0"/>
        </w:tabs>
        <w:jc w:val="both"/>
        <w:rPr>
          <w:rFonts w:cs="Calibri"/>
        </w:rPr>
      </w:pPr>
    </w:p>
    <w:p w:rsidR="003F7D43" w:rsidRPr="00DE2D55" w:rsidRDefault="003F7D43" w:rsidP="00FE560B">
      <w:pPr>
        <w:pBdr>
          <w:bottom w:val="single" w:sz="12" w:space="1" w:color="auto"/>
        </w:pBdr>
        <w:tabs>
          <w:tab w:val="left" w:pos="0"/>
        </w:tabs>
        <w:jc w:val="both"/>
        <w:rPr>
          <w:color w:val="000000"/>
        </w:rPr>
      </w:pPr>
      <w:r w:rsidRPr="00DE2D55">
        <w:rPr>
          <w:color w:val="000000"/>
        </w:rPr>
        <w:t>Noutra via, o Projeto de Digitalização de Documentos Fiscais foi uma etapa primordial à implantação da Gestão Eletrônica de Documentos (GED). Iniciado em 2017, foram digitalizados mais de dez mil processos (mais de 4 milhões de cópias) e implantado o sistema de gestão desses processos digitalizados, por meio do GED.</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 xml:space="preserve">O estágio atual do projeto possibilita avançar em direção ao sistema de processo totalmente eletrônico na SEFAZ, o que significa a criação de novos processos exclusivamente em meio eletrônico, </w:t>
      </w:r>
      <w:r w:rsidRPr="00DE2D55">
        <w:rPr>
          <w:b/>
          <w:color w:val="000000"/>
        </w:rPr>
        <w:t>propiciando a sua automatização em toda a cadeia processual, por exemplo, desde a lavratura do auto de infração até a sua chegada ao contencioso judicial</w:t>
      </w:r>
      <w:r w:rsidRPr="00DE2D55">
        <w:rPr>
          <w:color w:val="000000"/>
        </w:rPr>
        <w:t xml:space="preserve">, eliminando a utilização do processo físico, por meio de papel. </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Outro elemento crítico é que, atualmente, na Gerência Tributária, utilizamos, para fins de controle gerencial, o software Sistema de Informações Gerenciais Tributário (SIGTRIB), desenvolvido em “Visual Basic 6”. Nele os julgadores inserem suas decisões e registram todas as tramitações processuais enquanto os processos estão na Gerência. A partir desses dados é possível a gestão de todo o acervo de processos em primeira instância de julgamento. Os relatórios retirados do sistema servem para nortear as decisões gerenciais a serem tomadas na Gerência Tributária uma vez que possibilitam a extração de indicadores dos mais diversos. A utilização de sistemas que não conversam entre si (verdadeiros módulos) não é exclusividade da Gerência Tributária, sendo um problema que afeta toda a Secretaria da Fazenda (SEFAZ).</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 xml:space="preserve">Por meio de um sistema de processo totalmente eletrônico, utilizando-se de uma arquitetura .NET Framework ou similar – capaz de executar, por meio de uma </w:t>
      </w:r>
      <w:r w:rsidRPr="00DE2D55">
        <w:rPr>
          <w:b/>
          <w:i/>
          <w:color w:val="000000"/>
        </w:rPr>
        <w:t>Common Language Infrastructure</w:t>
      </w:r>
      <w:r w:rsidRPr="00DE2D55">
        <w:rPr>
          <w:color w:val="000000"/>
        </w:rPr>
        <w:t>, uma grande quantidade de linguagens de programação, interagindo entre si como se fossem uma única linguagem –, haverá efetivamente um sistema de processo eletrônico no âmbito da SEFAZ, possibilitando que os diversos módulos já existentes ou em desenvolvimento interajam num ambiente único, eliminando inconsistências, retrabalhos, assegurando a coerência e integridade da comunicação, além de otimizar tempo e recursos.</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Registra-se que a legislação tributária na extensão dada pelo Código Tributário Nacional alcança diversos instrumentos normativos, com origens distintas, desde as Casas Legislativas, passando pelo chefe do Poder Executivo, até chegar aos atos das autoridades administrativas.</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Se de um lado é vedado ao contribuinte o descumprimento de qualquer obrigação imposta sob alegação do seu desconhecimento, de outro, a administração tributária tem a publicidade como requisito de eficácia dos seus atos.</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Como realização do princípio da publicidade, com o advento de novas tecnologias e a facilidade de acesso a estas por grande parcela da população, é imperativo a sistematização e disponibilização de todo o ordenamento jurídico no ambiente da Web.</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A SEFAZ mantém por intermédio da Gerência de Tributação – GETRI sítio eletrônico próprio para disponibilizar a legislação tributária Estadual, além de facilitar o acesso a documentos relevantes da legislação federal por meio de links.</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No entanto, dado ao grande volume de documentos normativos, a catalogação, manutenção, atualização e consolidação tem se tornado tarefa difícil sem o suporte de um sistema informatizado.</w:t>
      </w:r>
    </w:p>
    <w:p w:rsidR="003F7D43" w:rsidRPr="00DE2D55" w:rsidRDefault="003F7D43" w:rsidP="00FE560B">
      <w:pPr>
        <w:pBdr>
          <w:bottom w:val="single" w:sz="12" w:space="1" w:color="auto"/>
        </w:pBdr>
        <w:tabs>
          <w:tab w:val="left" w:pos="0"/>
        </w:tabs>
        <w:jc w:val="both"/>
        <w:rPr>
          <w:color w:val="000000"/>
        </w:rPr>
      </w:pPr>
      <w:r w:rsidRPr="00DE2D55">
        <w:rPr>
          <w:color w:val="000000"/>
        </w:rPr>
        <w:t>Em que pese à existência de uma ferramenta de busca padrão, o aprimoramento desta é vital para garantir pleno acesso a toda legislação.</w:t>
      </w:r>
    </w:p>
    <w:p w:rsidR="003F7D43" w:rsidRPr="00DE2D55" w:rsidRDefault="003F7D43" w:rsidP="00FE560B">
      <w:pPr>
        <w:pBdr>
          <w:bottom w:val="single" w:sz="12" w:space="1" w:color="auto"/>
        </w:pBdr>
        <w:tabs>
          <w:tab w:val="left" w:pos="0"/>
        </w:tabs>
        <w:jc w:val="both"/>
        <w:rPr>
          <w:color w:val="000000"/>
        </w:rPr>
      </w:pPr>
    </w:p>
    <w:p w:rsidR="003F7D43" w:rsidRPr="00DE2D55" w:rsidRDefault="003F7D43" w:rsidP="00FE560B">
      <w:pPr>
        <w:pBdr>
          <w:bottom w:val="single" w:sz="12" w:space="1" w:color="auto"/>
        </w:pBdr>
        <w:tabs>
          <w:tab w:val="left" w:pos="0"/>
        </w:tabs>
        <w:jc w:val="both"/>
        <w:rPr>
          <w:color w:val="000000"/>
        </w:rPr>
      </w:pPr>
      <w:r w:rsidRPr="00DE2D55">
        <w:rPr>
          <w:color w:val="000000"/>
        </w:rPr>
        <w:t>Compete ainda à Gerência de Tributação a elaboração de normas de natureza tributária. Contudo, carece de ferramenta informatizada que dê suporte ao fluxo de trabalho desde a proposição da norma até sua publicação.</w:t>
      </w:r>
    </w:p>
    <w:p w:rsidR="003F7D43" w:rsidRPr="00DE2D55" w:rsidRDefault="003F7D43" w:rsidP="00FE560B">
      <w:pPr>
        <w:pBdr>
          <w:bottom w:val="single" w:sz="12" w:space="1" w:color="auto"/>
        </w:pBdr>
        <w:tabs>
          <w:tab w:val="left" w:pos="0"/>
        </w:tabs>
        <w:jc w:val="both"/>
        <w:rPr>
          <w:rFonts w:cs="Calibri"/>
          <w:b/>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0" w:name="_Toc517282110"/>
      <w:r w:rsidRPr="00DE2D55">
        <w:rPr>
          <w:rFonts w:cs="Calibri"/>
          <w:b/>
        </w:rPr>
        <w:t>DESCRIÇÃO DO PROBLEMA E SUAS EVIDÊNCIAS</w:t>
      </w:r>
      <w:bookmarkEnd w:id="90"/>
      <w:r w:rsidRPr="00DE2D55">
        <w:rPr>
          <w:rFonts w:cs="Calibri"/>
          <w:b/>
        </w:rPr>
        <w:t xml:space="preserve"> </w:t>
      </w:r>
    </w:p>
    <w:p w:rsidR="003F7D43" w:rsidRPr="00DE2D55" w:rsidRDefault="003F7D43" w:rsidP="00FE560B">
      <w:pPr>
        <w:tabs>
          <w:tab w:val="left" w:pos="0"/>
        </w:tabs>
        <w:ind w:left="357"/>
        <w:jc w:val="both"/>
        <w:rPr>
          <w:rFonts w:cs="Calibri"/>
        </w:rPr>
      </w:pPr>
    </w:p>
    <w:p w:rsidR="003F7D43" w:rsidRPr="00DE2D55" w:rsidRDefault="003F7D43" w:rsidP="00FE560B">
      <w:pPr>
        <w:tabs>
          <w:tab w:val="left" w:pos="0"/>
        </w:tabs>
        <w:ind w:left="357"/>
        <w:jc w:val="both"/>
        <w:rPr>
          <w:rFonts w:cs="Calibri"/>
        </w:rPr>
      </w:pPr>
      <w:r w:rsidRPr="00DE2D55">
        <w:rPr>
          <w:rFonts w:cs="Calibri"/>
          <w:b/>
        </w:rPr>
        <w:t>Síntese dos problemas:</w:t>
      </w:r>
      <w:r w:rsidRPr="00DE2D55">
        <w:rPr>
          <w:rFonts w:cs="Calibri"/>
        </w:rPr>
        <w:t xml:space="preserve"> </w:t>
      </w:r>
    </w:p>
    <w:p w:rsidR="003F7D43" w:rsidRPr="00DE2D55" w:rsidRDefault="003F7D43" w:rsidP="00FE560B">
      <w:pPr>
        <w:tabs>
          <w:tab w:val="left" w:pos="0"/>
        </w:tabs>
        <w:ind w:left="357"/>
        <w:jc w:val="both"/>
        <w:rPr>
          <w:rFonts w:cs="Calibri"/>
        </w:rPr>
      </w:pPr>
    </w:p>
    <w:p w:rsidR="003F7D43" w:rsidRPr="00DE2D55" w:rsidRDefault="003F7D43" w:rsidP="00FE560B">
      <w:pPr>
        <w:numPr>
          <w:ilvl w:val="0"/>
          <w:numId w:val="62"/>
        </w:numPr>
        <w:tabs>
          <w:tab w:val="left" w:pos="0"/>
        </w:tabs>
        <w:jc w:val="both"/>
        <w:rPr>
          <w:rFonts w:cs="Calibri"/>
        </w:rPr>
      </w:pPr>
      <w:r w:rsidRPr="00DE2D55">
        <w:rPr>
          <w:rFonts w:cs="Calibri"/>
        </w:rPr>
        <w:t>Perda de recursos para os contribuintes devido a dificuldade da SEFAZ em julgar de maneira eficiente e oportuna os créditos fiscais devidos: O processo de distribuição e revisão dos processos é substancialmente manual, gerando inconsistências e demora no processamento. O sistema atual de gestão está em uma plataforma obsoleta, não contempla a funcionalidade requerida e não se integra com os sistemas corporativos (SIGTRIB, SICERF, SEP, GED e DTe). Deficiência nos instrumentos de apoio a política fiscal.</w:t>
      </w:r>
    </w:p>
    <w:p w:rsidR="003F7D43" w:rsidRPr="00DE2D55" w:rsidRDefault="003F7D43" w:rsidP="00FE560B">
      <w:pPr>
        <w:tabs>
          <w:tab w:val="left" w:pos="0"/>
        </w:tabs>
        <w:jc w:val="both"/>
        <w:rPr>
          <w:rFonts w:cs="Calibri"/>
        </w:rPr>
      </w:pPr>
    </w:p>
    <w:p w:rsidR="003F7D43" w:rsidRPr="00DE2D55" w:rsidRDefault="003F7D43" w:rsidP="00FE560B">
      <w:pPr>
        <w:tabs>
          <w:tab w:val="left" w:pos="0"/>
        </w:tabs>
        <w:ind w:left="357"/>
        <w:jc w:val="both"/>
        <w:rPr>
          <w:rFonts w:cs="Calibri"/>
          <w:b/>
        </w:rPr>
      </w:pPr>
      <w:r w:rsidRPr="00DE2D55">
        <w:rPr>
          <w:rFonts w:cs="Calibri"/>
          <w:b/>
        </w:rPr>
        <w:t>Principais causas:</w:t>
      </w:r>
    </w:p>
    <w:p w:rsidR="003F7D43" w:rsidRPr="00DE2D55" w:rsidRDefault="003F7D43" w:rsidP="00FE560B">
      <w:pPr>
        <w:numPr>
          <w:ilvl w:val="0"/>
          <w:numId w:val="62"/>
        </w:numPr>
        <w:tabs>
          <w:tab w:val="left" w:pos="0"/>
        </w:tabs>
        <w:jc w:val="both"/>
        <w:rPr>
          <w:rFonts w:cs="Calibri"/>
        </w:rPr>
      </w:pPr>
      <w:r w:rsidRPr="00DE2D55">
        <w:rPr>
          <w:rFonts w:cs="Calibri"/>
        </w:rPr>
        <w:t>Fluxo processual não inteiramente automatizado;</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Limitação da base de programação do software (SIGTRIB, desenvolvido em “Visual Basic 6”) – disponibilizado pela Gerência de Tecnologia (GETEC) – atualmente usado para auxiliar a Gerência Tributária (GETRI) no processo de tomada de decisão.</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Ausência de um sistema com uso da tecnologia do </w:t>
      </w:r>
      <w:r w:rsidRPr="00DE2D55">
        <w:rPr>
          <w:rFonts w:cs="Calibri"/>
          <w:b/>
          <w:i/>
        </w:rPr>
        <w:t>WorkFlow</w:t>
      </w:r>
      <w:r w:rsidRPr="00DE2D55">
        <w:rPr>
          <w:rFonts w:cs="Calibri"/>
        </w:rPr>
        <w:t>;</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Ausência de um sistema de captura de documentos com aplicação de </w:t>
      </w:r>
      <w:r w:rsidRPr="00DE2D55">
        <w:rPr>
          <w:rFonts w:cs="Calibri"/>
          <w:b/>
        </w:rPr>
        <w:t>OCR</w:t>
      </w:r>
      <w:r w:rsidRPr="00DE2D55">
        <w:rPr>
          <w:rFonts w:cs="Calibri"/>
        </w:rPr>
        <w:t>;</w:t>
      </w:r>
    </w:p>
    <w:p w:rsidR="003F7D43" w:rsidRPr="00DE2D55" w:rsidRDefault="003F7D43" w:rsidP="00FE560B">
      <w:pPr>
        <w:pStyle w:val="PargrafodaLista"/>
        <w:numPr>
          <w:ilvl w:val="0"/>
          <w:numId w:val="62"/>
        </w:numPr>
        <w:tabs>
          <w:tab w:val="left" w:pos="0"/>
        </w:tabs>
        <w:ind w:left="709" w:hanging="352"/>
        <w:contextualSpacing w:val="0"/>
        <w:jc w:val="both"/>
        <w:rPr>
          <w:rFonts w:cs="Calibri"/>
          <w:b/>
        </w:rPr>
      </w:pPr>
      <w:r w:rsidRPr="00DE2D55">
        <w:rPr>
          <w:rFonts w:cs="Calibri"/>
        </w:rPr>
        <w:t>Ausência de integração dos sistemas corporativos;</w:t>
      </w:r>
    </w:p>
    <w:p w:rsidR="003F7D43" w:rsidRPr="00DE2D55" w:rsidRDefault="003F7D43" w:rsidP="00FE560B">
      <w:pPr>
        <w:pStyle w:val="PargrafodaLista"/>
        <w:numPr>
          <w:ilvl w:val="0"/>
          <w:numId w:val="62"/>
        </w:numPr>
        <w:tabs>
          <w:tab w:val="left" w:pos="0"/>
        </w:tabs>
        <w:ind w:left="709" w:hanging="352"/>
        <w:contextualSpacing w:val="0"/>
        <w:jc w:val="both"/>
        <w:rPr>
          <w:rFonts w:cs="Calibri"/>
          <w:b/>
        </w:rPr>
      </w:pPr>
      <w:r w:rsidRPr="00DE2D55">
        <w:rPr>
          <w:rFonts w:cs="Calibri"/>
        </w:rPr>
        <w:t>Ausência de um sistema capaz de ser acessado fora da estação de trabalho;</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Dificuldade em manter atualizada, consolidada e disponível a legislação tributária estadual.</w:t>
      </w:r>
    </w:p>
    <w:p w:rsidR="003F7D43" w:rsidRPr="00DE2D55" w:rsidRDefault="003F7D43" w:rsidP="00FE560B">
      <w:pPr>
        <w:tabs>
          <w:tab w:val="left" w:pos="0"/>
        </w:tabs>
        <w:jc w:val="both"/>
        <w:rPr>
          <w:rFonts w:cs="Calibri"/>
          <w:b/>
        </w:rPr>
      </w:pPr>
    </w:p>
    <w:p w:rsidR="003F7D43" w:rsidRPr="00DE2D55" w:rsidRDefault="003F7D43" w:rsidP="00FE560B">
      <w:pPr>
        <w:tabs>
          <w:tab w:val="left" w:pos="0"/>
        </w:tabs>
        <w:ind w:left="357"/>
        <w:jc w:val="both"/>
        <w:rPr>
          <w:rFonts w:cs="Calibri"/>
          <w:b/>
        </w:rPr>
      </w:pPr>
      <w:r w:rsidRPr="00DE2D55">
        <w:rPr>
          <w:rFonts w:cs="Calibri"/>
          <w:b/>
        </w:rPr>
        <w:t xml:space="preserve">Evidências: </w:t>
      </w:r>
    </w:p>
    <w:p w:rsidR="003F7D43" w:rsidRPr="00DE2D55" w:rsidRDefault="003F7D43" w:rsidP="00FE560B">
      <w:pPr>
        <w:numPr>
          <w:ilvl w:val="0"/>
          <w:numId w:val="62"/>
        </w:numPr>
        <w:tabs>
          <w:tab w:val="left" w:pos="0"/>
        </w:tabs>
        <w:jc w:val="both"/>
        <w:rPr>
          <w:rFonts w:cs="Calibri"/>
        </w:rPr>
      </w:pPr>
      <w:r w:rsidRPr="00DE2D55">
        <w:rPr>
          <w:rFonts w:cs="Calibri"/>
        </w:rPr>
        <w:t>Seleção não automatizada dos processos para julgamento;</w:t>
      </w:r>
    </w:p>
    <w:p w:rsidR="003F7D43" w:rsidRPr="00DE2D55" w:rsidRDefault="003F7D43" w:rsidP="00FE560B">
      <w:pPr>
        <w:numPr>
          <w:ilvl w:val="0"/>
          <w:numId w:val="62"/>
        </w:numPr>
        <w:tabs>
          <w:tab w:val="left" w:pos="0"/>
        </w:tabs>
        <w:jc w:val="both"/>
        <w:rPr>
          <w:rFonts w:cs="Calibri"/>
        </w:rPr>
      </w:pPr>
      <w:r w:rsidRPr="00DE2D55">
        <w:rPr>
          <w:rFonts w:cs="Calibri"/>
        </w:rPr>
        <w:t>Tramitação não automatizada dos processos;</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Falta de integração dos sistemas corporativos:  SIGTRIB – Sistema da GETRI, SICERF – Sistema do CERF, SEP – Sistema Eletrônico de Protocolo, GED – Gestão Eletrônica de Documentos, DT-e – Domicílio Tributário Eletrônico e outros;</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Registro não automatizado dos processos; </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Inconsistência de dados dos relatórios;</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Ausência de implementação de </w:t>
      </w:r>
      <w:r w:rsidRPr="00DE2D55">
        <w:rPr>
          <w:rFonts w:cs="Calibri"/>
          <w:b/>
          <w:i/>
        </w:rPr>
        <w:t>WorkFlow</w:t>
      </w:r>
      <w:r w:rsidRPr="00DE2D55">
        <w:rPr>
          <w:rFonts w:cs="Calibri"/>
        </w:rPr>
        <w:t xml:space="preserve"> no sistema GED e de captura de documentos com aplicação de </w:t>
      </w:r>
      <w:r w:rsidRPr="00DE2D55">
        <w:rPr>
          <w:rFonts w:cs="Calibri"/>
          <w:b/>
          <w:i/>
        </w:rPr>
        <w:t>OCR</w:t>
      </w:r>
      <w:r w:rsidRPr="00DE2D55">
        <w:rPr>
          <w:rFonts w:cs="Calibri"/>
        </w:rPr>
        <w:t>;</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Programa não disponível na plataforma </w:t>
      </w:r>
      <w:r w:rsidRPr="00DE2D55">
        <w:rPr>
          <w:rFonts w:cs="Calibri"/>
          <w:b/>
          <w:i/>
        </w:rPr>
        <w:t>web</w:t>
      </w:r>
      <w:r w:rsidRPr="00DE2D55">
        <w:rPr>
          <w:rFonts w:cs="Calibri"/>
        </w:rPr>
        <w:t>, o que afeta o acesso a informação e a transparência;</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 xml:space="preserve">Inexistência de acesso direto aos autos em meio eletrônico (via </w:t>
      </w:r>
      <w:r w:rsidRPr="00DE2D55">
        <w:rPr>
          <w:rFonts w:cs="Calibri"/>
          <w:b/>
          <w:i/>
        </w:rPr>
        <w:t>WEB</w:t>
      </w:r>
      <w:r w:rsidRPr="00DE2D55">
        <w:rPr>
          <w:rFonts w:cs="Calibri"/>
        </w:rPr>
        <w:t>) para os interessados;</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Processo não integrado com o sistema informatizado da Dívida Ativa Estadual e da PGE, órgão responsável pelo contencioso judicial;</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Demora em encontrar respostas nas buscas utilizando a atual ferramenta de legislação tributária; e</w:t>
      </w:r>
    </w:p>
    <w:p w:rsidR="003F7D43" w:rsidRPr="00DE2D55" w:rsidRDefault="003F7D43" w:rsidP="00FE560B">
      <w:pPr>
        <w:pStyle w:val="PargrafodaLista"/>
        <w:numPr>
          <w:ilvl w:val="0"/>
          <w:numId w:val="62"/>
        </w:numPr>
        <w:tabs>
          <w:tab w:val="left" w:pos="0"/>
        </w:tabs>
        <w:contextualSpacing w:val="0"/>
        <w:jc w:val="both"/>
        <w:rPr>
          <w:rFonts w:cs="Calibri"/>
        </w:rPr>
      </w:pPr>
      <w:r w:rsidRPr="00DE2D55">
        <w:rPr>
          <w:rFonts w:cs="Calibri"/>
        </w:rPr>
        <w:t>Demora em navegar entre dispositivos legais.</w:t>
      </w:r>
    </w:p>
    <w:p w:rsidR="003F7D43" w:rsidRPr="00DE2D55" w:rsidRDefault="003F7D43" w:rsidP="00FE560B">
      <w:pPr>
        <w:tabs>
          <w:tab w:val="left" w:pos="0"/>
        </w:tabs>
        <w:ind w:left="788"/>
        <w:jc w:val="both"/>
        <w:rPr>
          <w:rFonts w:cs="Calibri"/>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1" w:name="_Toc517282111"/>
      <w:r w:rsidRPr="00DE2D55">
        <w:rPr>
          <w:rFonts w:cs="Calibri"/>
          <w:b/>
        </w:rPr>
        <w:t>DE</w:t>
      </w:r>
      <w:r w:rsidR="00EB6017">
        <w:rPr>
          <w:rFonts w:cs="Calibri"/>
          <w:b/>
        </w:rPr>
        <w:t>SCRIÇÃO DO PRODUTO</w:t>
      </w:r>
      <w:r w:rsidRPr="00DE2D55">
        <w:rPr>
          <w:rFonts w:cs="Calibri"/>
          <w:b/>
        </w:rPr>
        <w:t xml:space="preserve"> E SUA META QUANTITATIVA E QUALITATIVA</w:t>
      </w:r>
      <w:bookmarkEnd w:id="91"/>
      <w:r w:rsidRPr="00DE2D55">
        <w:rPr>
          <w:rFonts w:cs="Calibri"/>
          <w:b/>
        </w:rPr>
        <w:t xml:space="preserve"> </w:t>
      </w:r>
    </w:p>
    <w:p w:rsidR="003F7D43" w:rsidRPr="00DE2D55" w:rsidRDefault="003F7D43" w:rsidP="00FE560B">
      <w:pPr>
        <w:tabs>
          <w:tab w:val="left" w:pos="0"/>
        </w:tabs>
        <w:ind w:left="357"/>
        <w:jc w:val="both"/>
        <w:rPr>
          <w:rFonts w:cs="Calibri"/>
          <w:b/>
        </w:rPr>
      </w:pPr>
    </w:p>
    <w:p w:rsidR="003F7D43" w:rsidRPr="00DE2D55" w:rsidRDefault="003F7D43" w:rsidP="00FE560B">
      <w:pPr>
        <w:tabs>
          <w:tab w:val="left" w:pos="0"/>
        </w:tabs>
        <w:ind w:left="357"/>
        <w:jc w:val="both"/>
        <w:rPr>
          <w:rFonts w:cs="Calibri"/>
        </w:rPr>
      </w:pPr>
      <w:r w:rsidRPr="00DE2D55">
        <w:rPr>
          <w:rFonts w:cs="Calibri"/>
          <w:b/>
        </w:rPr>
        <w:t xml:space="preserve">Descrição do Produto: </w:t>
      </w:r>
      <w:r w:rsidRPr="00DE2D55">
        <w:rPr>
          <w:rFonts w:cs="Calibri"/>
        </w:rPr>
        <w:t>Automação do Processo Eletrônico (contemplando workflow), compreendendo todas as etapas; a integração dos demais sistemas da SEFAZ e da PGE; disponibilidade para consulta/vista dos autos pelos contribuintes; soluções para armazenagem eletrônica dos processos existentes; e que permita a participação remota de interessados nos julgamentos do Contencioso Administrativo. Disponibilização do Acesso à Legislação Tributária na WEB.</w:t>
      </w:r>
    </w:p>
    <w:p w:rsidR="003F7D43" w:rsidRPr="00DE2D55" w:rsidRDefault="003F7D43" w:rsidP="00FE560B">
      <w:pPr>
        <w:tabs>
          <w:tab w:val="left" w:pos="0"/>
        </w:tabs>
        <w:jc w:val="both"/>
        <w:rPr>
          <w:rFonts w:cs="Calibri"/>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0"/>
      </w:tblGrid>
      <w:tr w:rsidR="003F7D43" w:rsidRPr="00DE2D55" w:rsidTr="00976FB3">
        <w:tc>
          <w:tcPr>
            <w:tcW w:w="8505" w:type="dxa"/>
            <w:shd w:val="clear" w:color="auto" w:fill="C5E0B3"/>
          </w:tcPr>
          <w:p w:rsidR="003F7D43" w:rsidRPr="00DE2D55" w:rsidRDefault="003F7D43" w:rsidP="00FE560B">
            <w:pPr>
              <w:tabs>
                <w:tab w:val="left" w:pos="0"/>
              </w:tabs>
              <w:spacing w:line="240" w:lineRule="auto"/>
              <w:jc w:val="both"/>
              <w:rPr>
                <w:rFonts w:cs="Calibri"/>
                <w:b/>
                <w:bCs/>
              </w:rPr>
            </w:pPr>
            <w:r w:rsidRPr="00DE2D55">
              <w:rPr>
                <w:rFonts w:cs="Calibri"/>
                <w:b/>
                <w:bCs/>
              </w:rPr>
              <w:t>Indicadores dos Subprodutos</w:t>
            </w:r>
          </w:p>
        </w:tc>
        <w:tc>
          <w:tcPr>
            <w:tcW w:w="850" w:type="dxa"/>
            <w:shd w:val="clear" w:color="auto" w:fill="C5E0B3"/>
          </w:tcPr>
          <w:p w:rsidR="003F7D43" w:rsidRPr="00DE2D55" w:rsidRDefault="003F7D43" w:rsidP="00FE560B">
            <w:pPr>
              <w:tabs>
                <w:tab w:val="left" w:pos="0"/>
              </w:tabs>
              <w:spacing w:line="240" w:lineRule="auto"/>
              <w:jc w:val="both"/>
              <w:rPr>
                <w:rFonts w:cs="Calibri"/>
                <w:b/>
                <w:bCs/>
              </w:rPr>
            </w:pPr>
            <w:r w:rsidRPr="00DE2D55">
              <w:rPr>
                <w:rFonts w:cs="Calibri"/>
                <w:b/>
                <w:bCs/>
              </w:rPr>
              <w:t>Metas</w:t>
            </w:r>
          </w:p>
        </w:tc>
      </w:tr>
      <w:tr w:rsidR="003F7D43" w:rsidRPr="00DE2D55" w:rsidTr="00976FB3">
        <w:tc>
          <w:tcPr>
            <w:tcW w:w="8505" w:type="dxa"/>
            <w:shd w:val="clear" w:color="auto" w:fill="auto"/>
          </w:tcPr>
          <w:p w:rsidR="003F7D43" w:rsidRPr="00DE2D55" w:rsidRDefault="003F7D43" w:rsidP="00FE560B">
            <w:pPr>
              <w:tabs>
                <w:tab w:val="left" w:pos="0"/>
                <w:tab w:val="left" w:pos="1597"/>
              </w:tabs>
              <w:spacing w:line="240" w:lineRule="auto"/>
              <w:jc w:val="both"/>
              <w:rPr>
                <w:rFonts w:cs="Calibri"/>
                <w:b/>
                <w:noProof/>
              </w:rPr>
            </w:pPr>
            <w:r w:rsidRPr="00DE2D55">
              <w:rPr>
                <w:rFonts w:cs="Calibri"/>
                <w:b/>
                <w:noProof/>
              </w:rPr>
              <w:t>Subproduto 2.3.1 Automação do Processo Eletrônico</w:t>
            </w:r>
          </w:p>
        </w:tc>
        <w:tc>
          <w:tcPr>
            <w:tcW w:w="850" w:type="dxa"/>
            <w:shd w:val="clear" w:color="auto" w:fill="auto"/>
            <w:vAlign w:val="center"/>
          </w:tcPr>
          <w:p w:rsidR="003F7D43" w:rsidRPr="00DE2D55" w:rsidRDefault="003F7D43" w:rsidP="00FE560B">
            <w:pPr>
              <w:tabs>
                <w:tab w:val="left" w:pos="0"/>
              </w:tabs>
              <w:spacing w:line="240" w:lineRule="auto"/>
              <w:jc w:val="both"/>
              <w:rPr>
                <w:rFonts w:cs="Calibri"/>
                <w:bCs/>
              </w:rPr>
            </w:pPr>
            <w:r w:rsidRPr="00DE2D55">
              <w:rPr>
                <w:rFonts w:cs="Calibri"/>
                <w:bCs/>
              </w:rPr>
              <w:t>1</w:t>
            </w:r>
          </w:p>
        </w:tc>
      </w:tr>
    </w:tbl>
    <w:p w:rsidR="003F7D43" w:rsidRPr="00DE2D55" w:rsidRDefault="003F7D43" w:rsidP="00FE560B">
      <w:pPr>
        <w:tabs>
          <w:tab w:val="left" w:pos="0"/>
        </w:tabs>
        <w:jc w:val="both"/>
        <w:rPr>
          <w:rFonts w:cs="Calibri"/>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0"/>
      </w:tblGrid>
      <w:tr w:rsidR="003F7D43" w:rsidRPr="00DE2D55" w:rsidTr="00976FB3">
        <w:tc>
          <w:tcPr>
            <w:tcW w:w="8505" w:type="dxa"/>
            <w:shd w:val="clear" w:color="auto" w:fill="C5E0B3"/>
          </w:tcPr>
          <w:p w:rsidR="003F7D43" w:rsidRPr="00DE2D55" w:rsidRDefault="003F7D43" w:rsidP="00FE560B">
            <w:pPr>
              <w:tabs>
                <w:tab w:val="left" w:pos="0"/>
              </w:tabs>
              <w:spacing w:line="240" w:lineRule="auto"/>
              <w:jc w:val="both"/>
              <w:rPr>
                <w:rFonts w:cs="Calibri"/>
                <w:b/>
                <w:bCs/>
              </w:rPr>
            </w:pPr>
            <w:r w:rsidRPr="00DE2D55">
              <w:rPr>
                <w:rFonts w:cs="Calibri"/>
                <w:b/>
                <w:bCs/>
              </w:rPr>
              <w:t>Indicador do Produto</w:t>
            </w:r>
          </w:p>
        </w:tc>
        <w:tc>
          <w:tcPr>
            <w:tcW w:w="850" w:type="dxa"/>
            <w:shd w:val="clear" w:color="auto" w:fill="C5E0B3"/>
          </w:tcPr>
          <w:p w:rsidR="003F7D43" w:rsidRPr="00DE2D55" w:rsidRDefault="003F7D43" w:rsidP="00FE560B">
            <w:pPr>
              <w:tabs>
                <w:tab w:val="left" w:pos="0"/>
              </w:tabs>
              <w:spacing w:line="240" w:lineRule="auto"/>
              <w:jc w:val="both"/>
              <w:rPr>
                <w:rFonts w:cs="Calibri"/>
                <w:b/>
                <w:bCs/>
              </w:rPr>
            </w:pPr>
            <w:r w:rsidRPr="00DE2D55">
              <w:rPr>
                <w:rFonts w:cs="Calibri"/>
                <w:b/>
                <w:bCs/>
              </w:rPr>
              <w:t>Metas</w:t>
            </w:r>
          </w:p>
        </w:tc>
      </w:tr>
      <w:tr w:rsidR="003F7D43" w:rsidRPr="00DE2D55" w:rsidTr="00976FB3">
        <w:tc>
          <w:tcPr>
            <w:tcW w:w="8505" w:type="dxa"/>
            <w:shd w:val="clear" w:color="auto" w:fill="auto"/>
          </w:tcPr>
          <w:p w:rsidR="003F7D43" w:rsidRPr="00EB6017" w:rsidRDefault="003F7D43" w:rsidP="00FE560B">
            <w:pPr>
              <w:tabs>
                <w:tab w:val="left" w:pos="0"/>
              </w:tabs>
              <w:spacing w:line="240" w:lineRule="auto"/>
              <w:contextualSpacing/>
              <w:jc w:val="both"/>
              <w:rPr>
                <w:rFonts w:cs="Arial"/>
              </w:rPr>
            </w:pPr>
            <w:r w:rsidRPr="00DE2D55">
              <w:rPr>
                <w:rFonts w:cs="Arial"/>
              </w:rPr>
              <w:t xml:space="preserve">         Automação do Processo Eletrônico (contemplando workflow), compreendendo todas as etapas; a integração dos demais sistemas da SEFAZ e da PGE; disponibilidade para consulta/vista dos autos pelos contribuintes; soluções para armazenagem eletrônica dos processos existentes; e que permita a participação remota de interessados nos julgamentos do Contencioso Administrativo. Disponibilização do Acesso </w:t>
            </w:r>
            <w:r w:rsidR="00EB6017">
              <w:rPr>
                <w:rFonts w:cs="Arial"/>
              </w:rPr>
              <w:t>à Legislação Tributária na WEB.</w:t>
            </w:r>
          </w:p>
        </w:tc>
        <w:tc>
          <w:tcPr>
            <w:tcW w:w="850" w:type="dxa"/>
            <w:shd w:val="clear" w:color="auto" w:fill="auto"/>
            <w:vAlign w:val="center"/>
          </w:tcPr>
          <w:p w:rsidR="003F7D43" w:rsidRPr="00DE2D55" w:rsidRDefault="003F7D43" w:rsidP="00FE560B">
            <w:pPr>
              <w:tabs>
                <w:tab w:val="left" w:pos="0"/>
              </w:tabs>
              <w:spacing w:line="240" w:lineRule="auto"/>
              <w:jc w:val="center"/>
              <w:rPr>
                <w:rFonts w:cs="Calibri"/>
                <w:bCs/>
              </w:rPr>
            </w:pPr>
            <w:r w:rsidRPr="00DE2D55">
              <w:rPr>
                <w:rFonts w:cs="Calibri"/>
                <w:bCs/>
              </w:rPr>
              <w:t>1</w:t>
            </w:r>
          </w:p>
        </w:tc>
      </w:tr>
    </w:tbl>
    <w:p w:rsidR="003F7D43" w:rsidRPr="00DE2D55" w:rsidRDefault="003F7D43" w:rsidP="00FE560B">
      <w:pPr>
        <w:tabs>
          <w:tab w:val="left" w:pos="0"/>
        </w:tabs>
        <w:jc w:val="both"/>
        <w:rPr>
          <w:rFonts w:cs="Calibri"/>
        </w:rPr>
      </w:pPr>
    </w:p>
    <w:p w:rsidR="003F7D43" w:rsidRDefault="003F7D43" w:rsidP="00FE560B">
      <w:pPr>
        <w:tabs>
          <w:tab w:val="left" w:pos="0"/>
        </w:tabs>
        <w:jc w:val="both"/>
        <w:rPr>
          <w:rFonts w:cs="Calibri"/>
        </w:rPr>
      </w:pPr>
    </w:p>
    <w:p w:rsidR="000F67FC" w:rsidRDefault="000F67FC" w:rsidP="00FE560B">
      <w:pPr>
        <w:tabs>
          <w:tab w:val="left" w:pos="0"/>
        </w:tabs>
        <w:jc w:val="both"/>
        <w:rPr>
          <w:rFonts w:cs="Calibri"/>
        </w:rPr>
      </w:pPr>
    </w:p>
    <w:p w:rsidR="00EB6017" w:rsidRPr="00DE2D55" w:rsidRDefault="00EB6017" w:rsidP="00FE560B">
      <w:pPr>
        <w:tabs>
          <w:tab w:val="left" w:pos="0"/>
        </w:tabs>
        <w:jc w:val="both"/>
        <w:rPr>
          <w:rFonts w:cs="Calibri"/>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2" w:name="_Toc517282112"/>
      <w:r w:rsidRPr="00DE2D55">
        <w:rPr>
          <w:rFonts w:cs="Calibri"/>
          <w:b/>
        </w:rPr>
        <w:t>DESCRIÇÃO DO RESULTADO ESPERADO COM A IMPLANTAÇÃO DO PRODUTO E RESPECTIVA LINHA DE BASE</w:t>
      </w:r>
      <w:bookmarkEnd w:id="92"/>
      <w:r w:rsidRPr="00DE2D55">
        <w:rPr>
          <w:rFonts w:cs="Calibri"/>
          <w:b/>
        </w:rPr>
        <w:t xml:space="preserve"> </w:t>
      </w:r>
    </w:p>
    <w:p w:rsidR="003F7D43" w:rsidRPr="00DE2D55" w:rsidRDefault="00FD58F5" w:rsidP="00FE560B">
      <w:pPr>
        <w:pStyle w:val="Corpodetexto3"/>
        <w:tabs>
          <w:tab w:val="left" w:pos="0"/>
        </w:tabs>
        <w:spacing w:before="0" w:after="0" w:line="360" w:lineRule="auto"/>
        <w:rPr>
          <w:rFonts w:asciiTheme="minorHAnsi" w:hAnsiTheme="minorHAnsi" w:cs="Calibri"/>
          <w:b/>
          <w:sz w:val="22"/>
          <w:szCs w:val="22"/>
        </w:rPr>
      </w:pPr>
      <w:r>
        <w:rPr>
          <w:rFonts w:asciiTheme="minorHAnsi" w:hAnsiTheme="minorHAnsi" w:cs="Calibri"/>
          <w:b/>
          <w:sz w:val="22"/>
          <w:szCs w:val="22"/>
        </w:rPr>
        <w:t>3</w:t>
      </w:r>
      <w:r w:rsidR="003F7D43" w:rsidRPr="00DE2D55">
        <w:rPr>
          <w:rFonts w:asciiTheme="minorHAnsi" w:hAnsiTheme="minorHAnsi" w:cs="Calibri"/>
          <w:b/>
          <w:sz w:val="22"/>
          <w:szCs w:val="22"/>
        </w:rPr>
        <w:t>.4.1 Resultados quantificáveis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25"/>
        <w:gridCol w:w="1982"/>
        <w:gridCol w:w="3289"/>
      </w:tblGrid>
      <w:tr w:rsidR="003F7D43" w:rsidRPr="00DE2D55" w:rsidTr="000F67FC">
        <w:tc>
          <w:tcPr>
            <w:tcW w:w="2374"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 xml:space="preserve">Resultado 1  </w:t>
            </w:r>
          </w:p>
        </w:tc>
        <w:tc>
          <w:tcPr>
            <w:tcW w:w="7396" w:type="dxa"/>
            <w:gridSpan w:val="3"/>
            <w:vAlign w:val="center"/>
          </w:tcPr>
          <w:p w:rsidR="003F7D43" w:rsidRPr="00DE2D55" w:rsidRDefault="003F7D43" w:rsidP="000F67FC">
            <w:pPr>
              <w:tabs>
                <w:tab w:val="left" w:pos="0"/>
              </w:tabs>
              <w:spacing w:line="240" w:lineRule="auto"/>
              <w:jc w:val="both"/>
              <w:rPr>
                <w:rFonts w:cs="Calibri"/>
                <w:b/>
              </w:rPr>
            </w:pPr>
            <w:r w:rsidRPr="00DE2D55">
              <w:rPr>
                <w:rFonts w:cs="Calibri"/>
              </w:rPr>
              <w:t>Tempo médio de solução de um processo administrativo fiscal na primeira instância</w:t>
            </w:r>
          </w:p>
        </w:tc>
      </w:tr>
      <w:tr w:rsidR="003F7D43" w:rsidRPr="00DE2D55" w:rsidTr="000F67FC">
        <w:tc>
          <w:tcPr>
            <w:tcW w:w="2374"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Unidade de medida</w:t>
            </w:r>
          </w:p>
        </w:tc>
        <w:tc>
          <w:tcPr>
            <w:tcW w:w="2125"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Meta (fim do projeto)</w:t>
            </w:r>
          </w:p>
        </w:tc>
        <w:tc>
          <w:tcPr>
            <w:tcW w:w="1982"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Linha de Base (2018)</w:t>
            </w:r>
          </w:p>
        </w:tc>
        <w:tc>
          <w:tcPr>
            <w:tcW w:w="3289"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Fonte</w:t>
            </w:r>
          </w:p>
        </w:tc>
      </w:tr>
      <w:tr w:rsidR="003F7D43" w:rsidRPr="00DE2D55" w:rsidTr="000F67FC">
        <w:tc>
          <w:tcPr>
            <w:tcW w:w="2374" w:type="dxa"/>
            <w:vAlign w:val="center"/>
          </w:tcPr>
          <w:p w:rsidR="003F7D43" w:rsidRPr="00DE2D55" w:rsidRDefault="003F7D43" w:rsidP="000F67FC">
            <w:pPr>
              <w:tabs>
                <w:tab w:val="left" w:pos="0"/>
              </w:tabs>
              <w:spacing w:line="240" w:lineRule="auto"/>
              <w:jc w:val="both"/>
              <w:rPr>
                <w:rFonts w:cs="Calibri"/>
              </w:rPr>
            </w:pPr>
            <w:r w:rsidRPr="00DE2D55">
              <w:rPr>
                <w:rFonts w:cs="Calibri"/>
              </w:rPr>
              <w:t>Modelo</w:t>
            </w:r>
          </w:p>
        </w:tc>
        <w:tc>
          <w:tcPr>
            <w:tcW w:w="2125" w:type="dxa"/>
            <w:vAlign w:val="center"/>
          </w:tcPr>
          <w:p w:rsidR="003F7D43" w:rsidRPr="00DE2D55" w:rsidRDefault="003F7D43" w:rsidP="000F67FC">
            <w:pPr>
              <w:tabs>
                <w:tab w:val="left" w:pos="0"/>
              </w:tabs>
              <w:spacing w:line="240" w:lineRule="auto"/>
              <w:jc w:val="both"/>
              <w:rPr>
                <w:rFonts w:cs="Calibri"/>
              </w:rPr>
            </w:pPr>
            <w:r w:rsidRPr="00DE2D55">
              <w:rPr>
                <w:rFonts w:cs="Calibri"/>
              </w:rPr>
              <w:t>100%</w:t>
            </w:r>
          </w:p>
        </w:tc>
        <w:tc>
          <w:tcPr>
            <w:tcW w:w="1982" w:type="dxa"/>
            <w:vAlign w:val="center"/>
          </w:tcPr>
          <w:p w:rsidR="003F7D43" w:rsidRPr="00DE2D55" w:rsidRDefault="003F7D43" w:rsidP="000F67FC">
            <w:pPr>
              <w:tabs>
                <w:tab w:val="left" w:pos="0"/>
              </w:tabs>
              <w:spacing w:line="240" w:lineRule="auto"/>
              <w:jc w:val="both"/>
              <w:rPr>
                <w:rFonts w:cs="Calibri"/>
              </w:rPr>
            </w:pPr>
            <w:r w:rsidRPr="00DE2D55">
              <w:rPr>
                <w:rFonts w:cs="Calibri"/>
              </w:rPr>
              <w:t>0%</w:t>
            </w:r>
          </w:p>
        </w:tc>
        <w:tc>
          <w:tcPr>
            <w:tcW w:w="3289" w:type="dxa"/>
            <w:vAlign w:val="center"/>
          </w:tcPr>
          <w:p w:rsidR="003F7D43" w:rsidRPr="00DE2D55" w:rsidRDefault="003F7D43" w:rsidP="000F67FC">
            <w:pPr>
              <w:tabs>
                <w:tab w:val="left" w:pos="0"/>
              </w:tabs>
              <w:spacing w:line="240" w:lineRule="auto"/>
              <w:jc w:val="both"/>
              <w:rPr>
                <w:rFonts w:cs="Calibri"/>
              </w:rPr>
            </w:pPr>
            <w:r w:rsidRPr="00DE2D55">
              <w:rPr>
                <w:rFonts w:cs="Calibri"/>
              </w:rPr>
              <w:t>SEFAZ/GETRI</w:t>
            </w:r>
          </w:p>
        </w:tc>
      </w:tr>
    </w:tbl>
    <w:p w:rsidR="003F7D43" w:rsidRPr="00DE2D55" w:rsidRDefault="003F7D43" w:rsidP="000F67FC">
      <w:pPr>
        <w:tabs>
          <w:tab w:val="left" w:pos="0"/>
        </w:tabs>
        <w:spacing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125"/>
        <w:gridCol w:w="1982"/>
        <w:gridCol w:w="3289"/>
      </w:tblGrid>
      <w:tr w:rsidR="003F7D43" w:rsidRPr="00DE2D55" w:rsidTr="000F67FC">
        <w:tc>
          <w:tcPr>
            <w:tcW w:w="2374"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 xml:space="preserve">Resultado 2  </w:t>
            </w:r>
          </w:p>
        </w:tc>
        <w:tc>
          <w:tcPr>
            <w:tcW w:w="7396" w:type="dxa"/>
            <w:gridSpan w:val="3"/>
            <w:vAlign w:val="center"/>
          </w:tcPr>
          <w:p w:rsidR="003F7D43" w:rsidRPr="00DE2D55" w:rsidRDefault="003F7D43" w:rsidP="000F67FC">
            <w:pPr>
              <w:tabs>
                <w:tab w:val="left" w:pos="0"/>
              </w:tabs>
              <w:spacing w:line="240" w:lineRule="auto"/>
              <w:jc w:val="both"/>
              <w:rPr>
                <w:rFonts w:cs="Calibri"/>
                <w:b/>
              </w:rPr>
            </w:pPr>
            <w:r w:rsidRPr="00DE2D55">
              <w:rPr>
                <w:rFonts w:cs="Calibri"/>
              </w:rPr>
              <w:t>Automatização dos relatórios e gerenciamento em tempo real.</w:t>
            </w:r>
          </w:p>
        </w:tc>
      </w:tr>
      <w:tr w:rsidR="003F7D43" w:rsidRPr="00DE2D55" w:rsidTr="000F67FC">
        <w:tc>
          <w:tcPr>
            <w:tcW w:w="2374"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Unidade de medida</w:t>
            </w:r>
          </w:p>
        </w:tc>
        <w:tc>
          <w:tcPr>
            <w:tcW w:w="2125"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Meta (fim do projeto)</w:t>
            </w:r>
          </w:p>
        </w:tc>
        <w:tc>
          <w:tcPr>
            <w:tcW w:w="1982"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Linha de Base (2017)</w:t>
            </w:r>
          </w:p>
        </w:tc>
        <w:tc>
          <w:tcPr>
            <w:tcW w:w="3289" w:type="dxa"/>
            <w:shd w:val="clear" w:color="auto" w:fill="C5E0B3"/>
            <w:vAlign w:val="center"/>
          </w:tcPr>
          <w:p w:rsidR="003F7D43" w:rsidRPr="00DE2D55" w:rsidRDefault="003F7D43" w:rsidP="000F67FC">
            <w:pPr>
              <w:tabs>
                <w:tab w:val="left" w:pos="0"/>
              </w:tabs>
              <w:spacing w:line="240" w:lineRule="auto"/>
              <w:jc w:val="both"/>
              <w:rPr>
                <w:rFonts w:cs="Calibri"/>
                <w:b/>
              </w:rPr>
            </w:pPr>
            <w:r w:rsidRPr="00DE2D55">
              <w:rPr>
                <w:rFonts w:cs="Calibri"/>
                <w:b/>
              </w:rPr>
              <w:t>Fonte</w:t>
            </w:r>
          </w:p>
        </w:tc>
      </w:tr>
      <w:tr w:rsidR="003F7D43" w:rsidRPr="00DE2D55" w:rsidTr="000F67FC">
        <w:tc>
          <w:tcPr>
            <w:tcW w:w="2374" w:type="dxa"/>
            <w:vAlign w:val="center"/>
          </w:tcPr>
          <w:p w:rsidR="003F7D43" w:rsidRPr="00DE2D55" w:rsidRDefault="003F7D43" w:rsidP="000F67FC">
            <w:pPr>
              <w:tabs>
                <w:tab w:val="left" w:pos="0"/>
              </w:tabs>
              <w:spacing w:line="240" w:lineRule="auto"/>
              <w:jc w:val="both"/>
              <w:rPr>
                <w:rFonts w:cs="Calibri"/>
              </w:rPr>
            </w:pPr>
            <w:r w:rsidRPr="00DE2D55">
              <w:rPr>
                <w:rFonts w:cs="Calibri"/>
              </w:rPr>
              <w:t>Dias</w:t>
            </w:r>
          </w:p>
        </w:tc>
        <w:tc>
          <w:tcPr>
            <w:tcW w:w="2125" w:type="dxa"/>
            <w:vAlign w:val="center"/>
          </w:tcPr>
          <w:p w:rsidR="003F7D43" w:rsidRPr="00DE2D55" w:rsidRDefault="003F7D43" w:rsidP="000F67FC">
            <w:pPr>
              <w:tabs>
                <w:tab w:val="left" w:pos="0"/>
              </w:tabs>
              <w:spacing w:line="240" w:lineRule="auto"/>
              <w:jc w:val="both"/>
              <w:rPr>
                <w:rFonts w:cs="Calibri"/>
              </w:rPr>
            </w:pPr>
            <w:r w:rsidRPr="00DE2D55">
              <w:rPr>
                <w:rFonts w:cs="Calibri"/>
              </w:rPr>
              <w:t>30</w:t>
            </w:r>
          </w:p>
        </w:tc>
        <w:tc>
          <w:tcPr>
            <w:tcW w:w="1982" w:type="dxa"/>
            <w:vAlign w:val="center"/>
          </w:tcPr>
          <w:p w:rsidR="003F7D43" w:rsidRPr="00DE2D55" w:rsidRDefault="003F7D43" w:rsidP="000F67FC">
            <w:pPr>
              <w:tabs>
                <w:tab w:val="left" w:pos="0"/>
              </w:tabs>
              <w:spacing w:line="240" w:lineRule="auto"/>
              <w:jc w:val="both"/>
              <w:rPr>
                <w:rFonts w:cs="Calibri"/>
              </w:rPr>
            </w:pPr>
            <w:r w:rsidRPr="00DE2D55">
              <w:rPr>
                <w:rFonts w:cs="Calibri"/>
              </w:rPr>
              <w:t>1358</w:t>
            </w:r>
          </w:p>
        </w:tc>
        <w:tc>
          <w:tcPr>
            <w:tcW w:w="3289" w:type="dxa"/>
            <w:vAlign w:val="center"/>
          </w:tcPr>
          <w:p w:rsidR="003F7D43" w:rsidRPr="00DE2D55" w:rsidRDefault="003F7D43" w:rsidP="000F67FC">
            <w:pPr>
              <w:tabs>
                <w:tab w:val="left" w:pos="0"/>
              </w:tabs>
              <w:spacing w:line="240" w:lineRule="auto"/>
              <w:jc w:val="both"/>
              <w:rPr>
                <w:rFonts w:cs="Calibri"/>
              </w:rPr>
            </w:pPr>
            <w:r w:rsidRPr="00DE2D55">
              <w:rPr>
                <w:rFonts w:cs="Calibri"/>
              </w:rPr>
              <w:t>SEFAZ/SIGTRIB</w:t>
            </w:r>
          </w:p>
        </w:tc>
      </w:tr>
    </w:tbl>
    <w:p w:rsidR="003F7D43" w:rsidRPr="00DE2D55" w:rsidRDefault="003F7D43" w:rsidP="00FE560B">
      <w:pPr>
        <w:tabs>
          <w:tab w:val="left" w:pos="0"/>
        </w:tabs>
        <w:jc w:val="both"/>
        <w:rPr>
          <w:rFonts w:cs="Calibri"/>
        </w:rPr>
      </w:pPr>
    </w:p>
    <w:p w:rsidR="003F7D43" w:rsidRPr="00DE2D55" w:rsidRDefault="00FD58F5" w:rsidP="00FE560B">
      <w:pPr>
        <w:pStyle w:val="Corpodetexto3"/>
        <w:tabs>
          <w:tab w:val="left" w:pos="0"/>
        </w:tabs>
        <w:spacing w:before="0" w:after="0" w:line="360" w:lineRule="auto"/>
        <w:rPr>
          <w:rFonts w:asciiTheme="minorHAnsi" w:hAnsiTheme="minorHAnsi" w:cs="Calibri"/>
          <w:b/>
          <w:sz w:val="22"/>
          <w:szCs w:val="22"/>
        </w:rPr>
      </w:pPr>
      <w:r>
        <w:rPr>
          <w:rFonts w:asciiTheme="minorHAnsi" w:hAnsiTheme="minorHAnsi" w:cs="Calibri"/>
          <w:b/>
          <w:sz w:val="22"/>
          <w:szCs w:val="22"/>
        </w:rPr>
        <w:t>3</w:t>
      </w:r>
      <w:r w:rsidR="003F7D43" w:rsidRPr="00DE2D55">
        <w:rPr>
          <w:rFonts w:asciiTheme="minorHAnsi" w:hAnsiTheme="minorHAnsi" w:cs="Calibri"/>
          <w:b/>
          <w:sz w:val="22"/>
          <w:szCs w:val="22"/>
        </w:rPr>
        <w:t xml:space="preserve">.4.2  Outros possíveis resultados </w:t>
      </w:r>
    </w:p>
    <w:p w:rsidR="003F7D43" w:rsidRPr="00DE2D55" w:rsidRDefault="003F7D43" w:rsidP="00FE560B">
      <w:pPr>
        <w:tabs>
          <w:tab w:val="left" w:pos="0"/>
        </w:tabs>
        <w:jc w:val="both"/>
        <w:rPr>
          <w:rFonts w:cs="Calibri"/>
        </w:rPr>
      </w:pPr>
      <w:r w:rsidRPr="00DE2D55">
        <w:rPr>
          <w:rFonts w:cs="Calibri"/>
        </w:rPr>
        <w:t>- Redução de cópias e impressões mensais;</w:t>
      </w:r>
    </w:p>
    <w:p w:rsidR="003F7D43" w:rsidRPr="00DE2D55" w:rsidRDefault="003F7D43" w:rsidP="00FE560B">
      <w:pPr>
        <w:tabs>
          <w:tab w:val="left" w:pos="0"/>
        </w:tabs>
        <w:jc w:val="both"/>
        <w:rPr>
          <w:rFonts w:cs="Calibri"/>
        </w:rPr>
      </w:pPr>
      <w:r w:rsidRPr="00DE2D55">
        <w:rPr>
          <w:rFonts w:cs="Calibri"/>
        </w:rPr>
        <w:t>- Menor utilização de armários e outros móveis, que podem ser aproveitados por outros setores e órgãos;</w:t>
      </w:r>
    </w:p>
    <w:p w:rsidR="003F7D43" w:rsidRPr="00DE2D55" w:rsidRDefault="003F7D43" w:rsidP="00FE560B">
      <w:pPr>
        <w:tabs>
          <w:tab w:val="left" w:pos="0"/>
        </w:tabs>
        <w:jc w:val="both"/>
        <w:rPr>
          <w:rFonts w:cs="Calibri"/>
        </w:rPr>
      </w:pPr>
      <w:r w:rsidRPr="00DE2D55">
        <w:rPr>
          <w:rFonts w:cs="Calibri"/>
        </w:rPr>
        <w:t>- Ganhos de produtividade decorrentes do trabalho com processos eletrônicos;</w:t>
      </w:r>
    </w:p>
    <w:p w:rsidR="003F7D43" w:rsidRPr="00DE2D55" w:rsidRDefault="003F7D43" w:rsidP="00FE560B">
      <w:pPr>
        <w:tabs>
          <w:tab w:val="left" w:pos="0"/>
        </w:tabs>
        <w:jc w:val="both"/>
        <w:rPr>
          <w:rFonts w:cs="Calibri"/>
        </w:rPr>
      </w:pPr>
      <w:r w:rsidRPr="00DE2D55">
        <w:rPr>
          <w:rFonts w:cs="Calibri"/>
        </w:rPr>
        <w:t>- Acesso à informação e maior transparência dos processos;</w:t>
      </w:r>
    </w:p>
    <w:p w:rsidR="003F7D43" w:rsidRPr="00DE2D55" w:rsidRDefault="003F7D43" w:rsidP="00FE560B">
      <w:pPr>
        <w:tabs>
          <w:tab w:val="left" w:pos="0"/>
        </w:tabs>
        <w:jc w:val="both"/>
        <w:rPr>
          <w:rFonts w:cs="Calibri"/>
        </w:rPr>
      </w:pPr>
      <w:r w:rsidRPr="00DE2D55">
        <w:rPr>
          <w:rFonts w:cs="Calibri"/>
        </w:rPr>
        <w:t>- Decisões gerenciais mais precisas;</w:t>
      </w:r>
    </w:p>
    <w:p w:rsidR="003F7D43" w:rsidRPr="00DE2D55" w:rsidRDefault="003F7D43" w:rsidP="00FE560B">
      <w:pPr>
        <w:tabs>
          <w:tab w:val="left" w:pos="0"/>
        </w:tabs>
        <w:jc w:val="both"/>
        <w:rPr>
          <w:rFonts w:cs="Calibri"/>
        </w:rPr>
      </w:pPr>
      <w:r w:rsidRPr="00DE2D55">
        <w:rPr>
          <w:rFonts w:cs="Calibri"/>
        </w:rPr>
        <w:t>- Ganho de produtividade;</w:t>
      </w:r>
    </w:p>
    <w:p w:rsidR="003F7D43" w:rsidRPr="00DE2D55" w:rsidRDefault="003F7D43" w:rsidP="00FE560B">
      <w:pPr>
        <w:tabs>
          <w:tab w:val="left" w:pos="0"/>
        </w:tabs>
        <w:jc w:val="both"/>
        <w:rPr>
          <w:rFonts w:cs="Calibri"/>
        </w:rPr>
      </w:pPr>
      <w:r w:rsidRPr="00DE2D55">
        <w:rPr>
          <w:rFonts w:cs="Calibri"/>
        </w:rPr>
        <w:t>- Maior transparência dos julgamentos.</w:t>
      </w:r>
    </w:p>
    <w:p w:rsidR="003F7D43" w:rsidRPr="00DE2D55" w:rsidRDefault="003F7D43" w:rsidP="00FE560B">
      <w:pPr>
        <w:tabs>
          <w:tab w:val="left" w:pos="0"/>
        </w:tabs>
        <w:jc w:val="both"/>
        <w:rPr>
          <w:rFonts w:cs="Calibri"/>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3" w:name="_Toc517282113"/>
      <w:r w:rsidRPr="00DE2D55">
        <w:rPr>
          <w:rFonts w:cs="Calibri"/>
          <w:b/>
        </w:rPr>
        <w:t>ASPECTO INOVADOR DO PRODUTO</w:t>
      </w:r>
      <w:bookmarkEnd w:id="93"/>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Eficiência e eficácia das rotinas de trabalho;</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Melhoria geral nas condições físicas e procedimentais de trabalho;</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Menor consumo de materiais;</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Qualidade do serviço público ofertado;</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Modernização da administração pública;</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Incremento do valor institucional da Secretaria de Estado da Fazenda;</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Elaboração de novos relatórios;</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Controle de prazos de processos que foram para diligência;</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Controle do fluxo de trabalho de julgamento;</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Avaliação dos julgadores dentro do próprio sistema;</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Maior eficiência e eficácia das rotinas de trabalho;</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Modernização da administração pública;</w:t>
      </w:r>
    </w:p>
    <w:p w:rsidR="003F7D43" w:rsidRPr="00DE2D55" w:rsidRDefault="003F7D43" w:rsidP="00FE560B">
      <w:pPr>
        <w:pStyle w:val="Corpodetexto3"/>
        <w:tabs>
          <w:tab w:val="left" w:pos="0"/>
        </w:tabs>
        <w:spacing w:before="0" w:after="0" w:line="360" w:lineRule="auto"/>
        <w:rPr>
          <w:rFonts w:asciiTheme="minorHAnsi" w:hAnsiTheme="minorHAnsi" w:cs="Calibri"/>
          <w:sz w:val="22"/>
          <w:szCs w:val="22"/>
        </w:rPr>
      </w:pPr>
      <w:r w:rsidRPr="00DE2D55">
        <w:rPr>
          <w:rFonts w:asciiTheme="minorHAnsi" w:hAnsiTheme="minorHAnsi" w:cs="Calibri"/>
          <w:sz w:val="22"/>
          <w:szCs w:val="22"/>
        </w:rPr>
        <w:t>- Incremento do valor institucional da Secretaria de Estado da Fazenda.</w:t>
      </w: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4" w:name="_Toc517282114"/>
      <w:r w:rsidRPr="00DE2D55">
        <w:rPr>
          <w:rFonts w:cs="Calibri"/>
          <w:b/>
        </w:rPr>
        <w:t>IMPACTOS POTENCIAIS DO PRODUTO</w:t>
      </w:r>
      <w:bookmarkEnd w:id="94"/>
    </w:p>
    <w:p w:rsidR="003F7D43" w:rsidRPr="00DE2D55" w:rsidRDefault="003F7D43" w:rsidP="00FE560B">
      <w:pPr>
        <w:tabs>
          <w:tab w:val="left" w:pos="0"/>
        </w:tabs>
        <w:jc w:val="both"/>
        <w:rPr>
          <w:rFonts w:cs="Calibri"/>
        </w:rPr>
      </w:pPr>
    </w:p>
    <w:p w:rsidR="003F7D43" w:rsidRPr="00DE2D55" w:rsidRDefault="003F7D43" w:rsidP="00FE560B">
      <w:pPr>
        <w:pStyle w:val="Corpodetexto3"/>
        <w:tabs>
          <w:tab w:val="left" w:pos="0"/>
        </w:tabs>
        <w:spacing w:before="0" w:after="0" w:line="360" w:lineRule="auto"/>
        <w:rPr>
          <w:rFonts w:asciiTheme="minorHAnsi" w:hAnsiTheme="minorHAnsi" w:cs="Calibri"/>
          <w:b/>
          <w:sz w:val="22"/>
          <w:szCs w:val="22"/>
        </w:rPr>
      </w:pPr>
      <w:r w:rsidRPr="00DE2D55">
        <w:rPr>
          <w:rFonts w:asciiTheme="minorHAnsi" w:hAnsiTheme="minorHAnsi" w:cs="Calibri"/>
          <w:b/>
          <w:sz w:val="22"/>
          <w:szCs w:val="22"/>
        </w:rPr>
        <w:t>1.5.1 Para o aumento da arrecadação:</w:t>
      </w:r>
    </w:p>
    <w:p w:rsidR="003F7D43" w:rsidRPr="00FD58F5" w:rsidRDefault="003F7D43" w:rsidP="00A249C9">
      <w:pPr>
        <w:pStyle w:val="PargrafodaLista"/>
        <w:numPr>
          <w:ilvl w:val="0"/>
          <w:numId w:val="169"/>
        </w:numPr>
        <w:tabs>
          <w:tab w:val="left" w:pos="0"/>
        </w:tabs>
        <w:jc w:val="both"/>
        <w:rPr>
          <w:rFonts w:cs="Calibri"/>
        </w:rPr>
      </w:pPr>
      <w:r w:rsidRPr="00FD58F5">
        <w:rPr>
          <w:rFonts w:cs="Calibri"/>
        </w:rPr>
        <w:t>Ganhos de produtividade decorrentes do trabalho com processos eletrônicos. Cada auditor pode analisar e julgar mais processos em um prazo mais reduzido.</w:t>
      </w:r>
    </w:p>
    <w:p w:rsidR="003F7D43" w:rsidRPr="00FD58F5" w:rsidRDefault="003F7D43" w:rsidP="00A249C9">
      <w:pPr>
        <w:pStyle w:val="PargrafodaLista"/>
        <w:numPr>
          <w:ilvl w:val="0"/>
          <w:numId w:val="169"/>
        </w:numPr>
        <w:tabs>
          <w:tab w:val="left" w:pos="0"/>
        </w:tabs>
        <w:jc w:val="both"/>
        <w:rPr>
          <w:rFonts w:cs="Calibri"/>
        </w:rPr>
      </w:pPr>
      <w:r w:rsidRPr="00FD58F5">
        <w:rPr>
          <w:rFonts w:cs="Calibri"/>
        </w:rPr>
        <w:t>Com a elaboração de relatórios fidedignos à realidade do julgamento de primeira instância da Gerência Tributária, as decisões tomadas pela administração serão mais precisas e verdadeiras.</w:t>
      </w:r>
    </w:p>
    <w:p w:rsidR="003F7D43" w:rsidRPr="00DE2D55" w:rsidRDefault="003F7D43" w:rsidP="00FE560B">
      <w:pPr>
        <w:tabs>
          <w:tab w:val="left" w:pos="0"/>
        </w:tabs>
        <w:jc w:val="both"/>
        <w:rPr>
          <w:rFonts w:cs="Calibri"/>
        </w:rPr>
      </w:pPr>
    </w:p>
    <w:p w:rsidR="003F7D43" w:rsidRPr="00DE2D55" w:rsidRDefault="003F7D43" w:rsidP="00FE560B">
      <w:pPr>
        <w:pStyle w:val="Corpodetexto3"/>
        <w:tabs>
          <w:tab w:val="left" w:pos="0"/>
        </w:tabs>
        <w:spacing w:before="0" w:after="0" w:line="360" w:lineRule="auto"/>
        <w:rPr>
          <w:rFonts w:asciiTheme="minorHAnsi" w:hAnsiTheme="minorHAnsi" w:cs="Calibri"/>
          <w:b/>
          <w:sz w:val="22"/>
          <w:szCs w:val="22"/>
        </w:rPr>
      </w:pPr>
      <w:r w:rsidRPr="00DE2D55">
        <w:rPr>
          <w:rFonts w:asciiTheme="minorHAnsi" w:hAnsiTheme="minorHAnsi" w:cs="Calibri"/>
          <w:b/>
          <w:sz w:val="22"/>
          <w:szCs w:val="22"/>
        </w:rPr>
        <w:t>1.5.2 Para redução ou aumento da eficiência dos gastos:</w:t>
      </w:r>
    </w:p>
    <w:p w:rsidR="003F7D43" w:rsidRPr="00DE2D55" w:rsidRDefault="003F7D43" w:rsidP="00FE560B">
      <w:pPr>
        <w:tabs>
          <w:tab w:val="left" w:pos="0"/>
        </w:tabs>
        <w:jc w:val="both"/>
        <w:rPr>
          <w:rFonts w:cs="Calibri"/>
        </w:rPr>
      </w:pPr>
    </w:p>
    <w:p w:rsidR="003F7D43" w:rsidRPr="00FD58F5" w:rsidRDefault="00FD58F5" w:rsidP="00A249C9">
      <w:pPr>
        <w:pStyle w:val="PargrafodaLista"/>
        <w:numPr>
          <w:ilvl w:val="0"/>
          <w:numId w:val="170"/>
        </w:numPr>
        <w:tabs>
          <w:tab w:val="left" w:pos="0"/>
        </w:tabs>
        <w:jc w:val="both"/>
        <w:rPr>
          <w:rFonts w:cs="Calibri"/>
        </w:rPr>
      </w:pPr>
      <w:r>
        <w:rPr>
          <w:rFonts w:cs="Calibri"/>
        </w:rPr>
        <w:t>-</w:t>
      </w:r>
      <w:r w:rsidR="003F7D43" w:rsidRPr="00FD58F5">
        <w:rPr>
          <w:rFonts w:cs="Calibri"/>
        </w:rPr>
        <w:t>Redução do gasto com pessoal.</w:t>
      </w:r>
    </w:p>
    <w:p w:rsidR="003F7D43" w:rsidRPr="00FD58F5" w:rsidRDefault="003F7D43" w:rsidP="00A249C9">
      <w:pPr>
        <w:pStyle w:val="PargrafodaLista"/>
        <w:numPr>
          <w:ilvl w:val="0"/>
          <w:numId w:val="170"/>
        </w:numPr>
        <w:tabs>
          <w:tab w:val="left" w:pos="0"/>
        </w:tabs>
        <w:jc w:val="both"/>
        <w:rPr>
          <w:rFonts w:cs="Calibri"/>
        </w:rPr>
      </w:pPr>
      <w:r w:rsidRPr="00FD58F5">
        <w:rPr>
          <w:rFonts w:cs="Calibri"/>
        </w:rPr>
        <w:t>Redução de cópias e impressões mensais.</w:t>
      </w:r>
    </w:p>
    <w:p w:rsidR="003F7D43" w:rsidRPr="00FD58F5" w:rsidRDefault="003F7D43" w:rsidP="00A249C9">
      <w:pPr>
        <w:pStyle w:val="PargrafodaLista"/>
        <w:numPr>
          <w:ilvl w:val="0"/>
          <w:numId w:val="170"/>
        </w:numPr>
        <w:tabs>
          <w:tab w:val="left" w:pos="0"/>
        </w:tabs>
        <w:jc w:val="both"/>
        <w:rPr>
          <w:rFonts w:cs="Calibri"/>
        </w:rPr>
      </w:pPr>
      <w:r w:rsidRPr="00FD58F5">
        <w:rPr>
          <w:rFonts w:cs="Calibri"/>
        </w:rPr>
        <w:t>Utilização menos intensiva e extensiva de armários e outros móveis, que podem ser aproveitados por outros setores e órgãos.</w:t>
      </w:r>
    </w:p>
    <w:p w:rsidR="003F7D43" w:rsidRPr="00FD58F5" w:rsidRDefault="003F7D43" w:rsidP="00A249C9">
      <w:pPr>
        <w:pStyle w:val="PargrafodaLista"/>
        <w:numPr>
          <w:ilvl w:val="0"/>
          <w:numId w:val="170"/>
        </w:numPr>
        <w:tabs>
          <w:tab w:val="left" w:pos="0"/>
        </w:tabs>
        <w:jc w:val="both"/>
        <w:rPr>
          <w:rFonts w:cs="Calibri"/>
        </w:rPr>
      </w:pPr>
      <w:r w:rsidRPr="00FD58F5">
        <w:rPr>
          <w:rFonts w:cs="Calibri"/>
        </w:rPr>
        <w:t>Controle mais eficiente e eficaz do crédito tributário.</w:t>
      </w:r>
    </w:p>
    <w:p w:rsidR="003F7D43" w:rsidRPr="00FD58F5" w:rsidRDefault="003F7D43" w:rsidP="00A249C9">
      <w:pPr>
        <w:pStyle w:val="PargrafodaLista"/>
        <w:numPr>
          <w:ilvl w:val="0"/>
          <w:numId w:val="170"/>
        </w:numPr>
        <w:tabs>
          <w:tab w:val="left" w:pos="0"/>
        </w:tabs>
        <w:jc w:val="both"/>
        <w:rPr>
          <w:rFonts w:cs="Calibri"/>
        </w:rPr>
      </w:pPr>
      <w:r w:rsidRPr="00FD58F5">
        <w:rPr>
          <w:rFonts w:cs="Calibri"/>
        </w:rPr>
        <w:t>Melhoria da gestão.</w:t>
      </w:r>
    </w:p>
    <w:p w:rsidR="003F7D43" w:rsidRPr="00FD58F5" w:rsidRDefault="003F7D43" w:rsidP="00A249C9">
      <w:pPr>
        <w:pStyle w:val="PargrafodaLista"/>
        <w:numPr>
          <w:ilvl w:val="0"/>
          <w:numId w:val="170"/>
        </w:numPr>
        <w:tabs>
          <w:tab w:val="left" w:pos="0"/>
        </w:tabs>
        <w:jc w:val="both"/>
        <w:rPr>
          <w:rFonts w:cs="Calibri"/>
        </w:rPr>
      </w:pPr>
      <w:r w:rsidRPr="00FD58F5">
        <w:rPr>
          <w:rFonts w:cs="Calibri"/>
        </w:rPr>
        <w:t>Controle mais eficiente da atividade de julgamento, garantindo a máxima produtividade dos julgadores de primeira instância administrativa.</w:t>
      </w:r>
    </w:p>
    <w:p w:rsidR="003F7D43" w:rsidRPr="00DE2D55" w:rsidRDefault="003F7D43" w:rsidP="00FE560B">
      <w:pPr>
        <w:tabs>
          <w:tab w:val="left" w:pos="0"/>
        </w:tabs>
        <w:jc w:val="both"/>
        <w:rPr>
          <w:rFonts w:cs="Calibri"/>
        </w:rPr>
      </w:pPr>
    </w:p>
    <w:p w:rsidR="003F7D43" w:rsidRPr="00DE2D55" w:rsidRDefault="003F7D43" w:rsidP="00FE560B">
      <w:pPr>
        <w:pStyle w:val="Corpodetexto3"/>
        <w:tabs>
          <w:tab w:val="left" w:pos="0"/>
        </w:tabs>
        <w:spacing w:before="0" w:after="0" w:line="360" w:lineRule="auto"/>
        <w:rPr>
          <w:rFonts w:asciiTheme="minorHAnsi" w:hAnsiTheme="minorHAnsi" w:cs="Calibri"/>
          <w:b/>
          <w:sz w:val="22"/>
          <w:szCs w:val="22"/>
        </w:rPr>
      </w:pPr>
      <w:r w:rsidRPr="00DE2D55">
        <w:rPr>
          <w:rFonts w:asciiTheme="minorHAnsi" w:hAnsiTheme="minorHAnsi" w:cs="Calibri"/>
          <w:b/>
          <w:sz w:val="22"/>
          <w:szCs w:val="22"/>
        </w:rPr>
        <w:t>1.5.3 Para a melhoria dos serviços ao contribuinte: (ex.: tempo de espera, serviço on line, simplificação de trâmites, etc.)</w:t>
      </w:r>
    </w:p>
    <w:p w:rsidR="003F7D43" w:rsidRPr="00DE2D55" w:rsidRDefault="003F7D43" w:rsidP="00FE560B">
      <w:pPr>
        <w:tabs>
          <w:tab w:val="left" w:pos="0"/>
        </w:tabs>
        <w:jc w:val="both"/>
        <w:rPr>
          <w:rFonts w:cs="Calibri"/>
        </w:rPr>
      </w:pPr>
    </w:p>
    <w:p w:rsidR="003F7D43" w:rsidRPr="00DE2D55" w:rsidRDefault="003F7D43" w:rsidP="00FE560B">
      <w:pPr>
        <w:tabs>
          <w:tab w:val="left" w:pos="0"/>
        </w:tabs>
        <w:jc w:val="both"/>
        <w:rPr>
          <w:rFonts w:cs="Calibri"/>
        </w:rPr>
      </w:pPr>
      <w:r w:rsidRPr="00DE2D55">
        <w:rPr>
          <w:rFonts w:cs="Calibri"/>
        </w:rPr>
        <w:t>- Maior transparência dos processos e segurança proporcionada pela assinatura eletrônica com certificado digital.</w:t>
      </w:r>
    </w:p>
    <w:p w:rsidR="003F7D43" w:rsidRPr="00DE2D55" w:rsidRDefault="003F7D43" w:rsidP="00FE560B">
      <w:pPr>
        <w:tabs>
          <w:tab w:val="left" w:pos="0"/>
        </w:tabs>
        <w:jc w:val="both"/>
        <w:rPr>
          <w:rFonts w:cs="Calibri"/>
        </w:rPr>
      </w:pPr>
      <w:r w:rsidRPr="00DE2D55">
        <w:rPr>
          <w:rFonts w:cs="Calibri"/>
        </w:rPr>
        <w:t>- Melhoria na interação da sociedade com o poder público.</w:t>
      </w:r>
    </w:p>
    <w:p w:rsidR="003F7D43" w:rsidRPr="00DE2D55" w:rsidRDefault="003F7D43" w:rsidP="00FE560B">
      <w:pPr>
        <w:tabs>
          <w:tab w:val="left" w:pos="0"/>
        </w:tabs>
        <w:jc w:val="both"/>
        <w:rPr>
          <w:rFonts w:cs="Calibri"/>
        </w:rPr>
      </w:pPr>
      <w:r w:rsidRPr="00DE2D55">
        <w:rPr>
          <w:rFonts w:cs="Calibri"/>
        </w:rPr>
        <w:t>- Redução do prazo médio de solução dos litígios administrativo-fiscais.</w:t>
      </w:r>
    </w:p>
    <w:p w:rsidR="003F7D43" w:rsidRPr="00DE2D55" w:rsidRDefault="003F7D43" w:rsidP="00FE560B">
      <w:pPr>
        <w:tabs>
          <w:tab w:val="left" w:pos="0"/>
        </w:tabs>
        <w:jc w:val="both"/>
        <w:rPr>
          <w:rFonts w:cs="Calibri"/>
        </w:rPr>
      </w:pPr>
      <w:r w:rsidRPr="00DE2D55">
        <w:rPr>
          <w:rFonts w:cs="Calibri"/>
        </w:rPr>
        <w:t>- Simplificação e maior fluidez da tramitação dos processos.</w:t>
      </w:r>
    </w:p>
    <w:p w:rsidR="003F7D43" w:rsidRPr="00DE2D55" w:rsidRDefault="003F7D43" w:rsidP="00FE560B">
      <w:pPr>
        <w:tabs>
          <w:tab w:val="left" w:pos="0"/>
        </w:tabs>
        <w:jc w:val="both"/>
        <w:rPr>
          <w:rFonts w:cs="Calibri"/>
        </w:rPr>
      </w:pPr>
      <w:r w:rsidRPr="00DE2D55">
        <w:rPr>
          <w:rFonts w:cs="Calibri"/>
        </w:rPr>
        <w:t>- Vistas e possibilidade de realização de atos processuais pelo contribuinte em qualquer lugar, sem a necessidade de deslocamento à repartição fiscal competente.</w:t>
      </w:r>
    </w:p>
    <w:p w:rsidR="003F7D43" w:rsidRPr="00DE2D55" w:rsidRDefault="003F7D43" w:rsidP="00FE560B">
      <w:pPr>
        <w:tabs>
          <w:tab w:val="left" w:pos="0"/>
        </w:tabs>
        <w:jc w:val="both"/>
        <w:rPr>
          <w:rFonts w:cs="Calibri"/>
        </w:rPr>
      </w:pPr>
      <w:r w:rsidRPr="00DE2D55">
        <w:rPr>
          <w:rFonts w:cs="Calibri"/>
        </w:rPr>
        <w:t>- Maior transparência dos julgamentos de primeira instância.</w:t>
      </w:r>
    </w:p>
    <w:p w:rsidR="003F7D43" w:rsidRPr="00DE2D55" w:rsidRDefault="003F7D43" w:rsidP="00FE560B">
      <w:pPr>
        <w:tabs>
          <w:tab w:val="left" w:pos="0"/>
        </w:tabs>
        <w:jc w:val="both"/>
        <w:rPr>
          <w:rFonts w:cs="Calibri"/>
        </w:rPr>
      </w:pPr>
      <w:r w:rsidRPr="00DE2D55">
        <w:rPr>
          <w:rFonts w:cs="Calibri"/>
        </w:rPr>
        <w:t>- Melhoria na eficiência e controle de trabalho.</w:t>
      </w:r>
    </w:p>
    <w:p w:rsidR="003F7D43" w:rsidRPr="00DE2D55" w:rsidRDefault="003F7D43" w:rsidP="00FE560B">
      <w:pPr>
        <w:tabs>
          <w:tab w:val="left" w:pos="0"/>
        </w:tabs>
        <w:jc w:val="both"/>
        <w:rPr>
          <w:rFonts w:cs="Calibri"/>
        </w:rPr>
      </w:pPr>
      <w:r w:rsidRPr="00DE2D55">
        <w:rPr>
          <w:rFonts w:cs="Calibri"/>
        </w:rPr>
        <w:t>- Redução do prazo médio de solução dos litígios administrativo-fiscais, em decorrência da melhoria na qualidade dos relatórios da atividade de julgamento.</w:t>
      </w:r>
    </w:p>
    <w:p w:rsidR="003F7D43" w:rsidRPr="00DE2D55" w:rsidRDefault="003F7D43" w:rsidP="00FE560B">
      <w:pPr>
        <w:tabs>
          <w:tab w:val="left" w:pos="0"/>
        </w:tabs>
        <w:jc w:val="both"/>
        <w:rPr>
          <w:rFonts w:cs="Calibri"/>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5" w:name="_Toc517282115"/>
      <w:r w:rsidRPr="00DE2D55">
        <w:rPr>
          <w:rFonts w:cs="Calibri"/>
          <w:b/>
        </w:rPr>
        <w:t>RISCOS DE EXECUÇÃO DO PRODUTO</w:t>
      </w:r>
      <w:bookmarkEnd w:id="95"/>
      <w:r w:rsidRPr="00DE2D55">
        <w:rPr>
          <w:rFonts w:cs="Calibri"/>
          <w:b/>
        </w:rPr>
        <w:t xml:space="preserve"> </w:t>
      </w:r>
    </w:p>
    <w:p w:rsidR="003F7D43" w:rsidRPr="00DE2D55" w:rsidRDefault="003F7D43" w:rsidP="00FE560B">
      <w:pPr>
        <w:tabs>
          <w:tab w:val="left" w:pos="0"/>
        </w:tabs>
        <w:jc w:val="both"/>
        <w:rPr>
          <w:rFonts w:cs="Calibri"/>
        </w:rPr>
      </w:pPr>
    </w:p>
    <w:p w:rsidR="003F7D43" w:rsidRPr="00DE2D55" w:rsidRDefault="003F7D43" w:rsidP="00FE560B">
      <w:pPr>
        <w:tabs>
          <w:tab w:val="left" w:pos="0"/>
        </w:tabs>
        <w:jc w:val="both"/>
        <w:rPr>
          <w:rFonts w:cs="Calibri"/>
        </w:rPr>
      </w:pPr>
      <w:r w:rsidRPr="00DE2D55">
        <w:rPr>
          <w:rFonts w:cs="Calibri"/>
        </w:rPr>
        <w:t>- Descontinuidades da Administração e do Governo (eleições à vista);</w:t>
      </w:r>
    </w:p>
    <w:p w:rsidR="003F7D43" w:rsidRPr="00DE2D55" w:rsidRDefault="003F7D43" w:rsidP="00FE560B">
      <w:pPr>
        <w:tabs>
          <w:tab w:val="left" w:pos="0"/>
        </w:tabs>
        <w:jc w:val="both"/>
        <w:rPr>
          <w:rFonts w:cs="Calibri"/>
        </w:rPr>
      </w:pPr>
      <w:r w:rsidRPr="00DE2D55">
        <w:rPr>
          <w:rFonts w:cs="Calibri"/>
        </w:rPr>
        <w:t>- Falta de recursos humanos na área de TI no âmbito da Administração;</w:t>
      </w:r>
    </w:p>
    <w:p w:rsidR="003F7D43" w:rsidRPr="00DE2D55" w:rsidRDefault="003F7D43" w:rsidP="00FE560B">
      <w:pPr>
        <w:tabs>
          <w:tab w:val="left" w:pos="0"/>
        </w:tabs>
        <w:jc w:val="both"/>
        <w:rPr>
          <w:rFonts w:cs="Calibri"/>
        </w:rPr>
      </w:pPr>
      <w:r w:rsidRPr="00DE2D55">
        <w:rPr>
          <w:rFonts w:cs="Calibri"/>
        </w:rPr>
        <w:t>- Manutenção dos serviços atualmente implantados;</w:t>
      </w:r>
    </w:p>
    <w:p w:rsidR="003F7D43" w:rsidRPr="00DE2D55" w:rsidRDefault="003F7D43" w:rsidP="00FE560B">
      <w:pPr>
        <w:tabs>
          <w:tab w:val="left" w:pos="0"/>
        </w:tabs>
        <w:jc w:val="both"/>
        <w:rPr>
          <w:rFonts w:cs="Calibri"/>
        </w:rPr>
      </w:pPr>
      <w:r w:rsidRPr="00DE2D55">
        <w:rPr>
          <w:rFonts w:cs="Calibri"/>
        </w:rPr>
        <w:t xml:space="preserve">Obs: O produto é interdependente e requer continuidade e incremento de funcionalidades em permanente desenvolvimento. </w:t>
      </w:r>
    </w:p>
    <w:p w:rsidR="003F7D43" w:rsidRPr="00DE2D55" w:rsidRDefault="003F7D43" w:rsidP="00FE560B">
      <w:pPr>
        <w:tabs>
          <w:tab w:val="left" w:pos="0"/>
        </w:tabs>
        <w:jc w:val="both"/>
        <w:rPr>
          <w:rFonts w:cs="Calibri"/>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6" w:name="_Toc517282116"/>
      <w:r w:rsidRPr="00DE2D55">
        <w:rPr>
          <w:rFonts w:cs="Calibri"/>
          <w:b/>
        </w:rPr>
        <w:t>QUADRO DE CUSTOS DO PRODUTO POR TIPO DE INVESTIMENTO</w:t>
      </w:r>
      <w:bookmarkEnd w:id="96"/>
    </w:p>
    <w:p w:rsidR="003F7D43" w:rsidRPr="00DE2D55" w:rsidRDefault="003F7D43" w:rsidP="00FE560B">
      <w:pPr>
        <w:tabs>
          <w:tab w:val="left" w:pos="0"/>
        </w:tabs>
        <w:suppressAutoHyphens/>
        <w:jc w:val="both"/>
        <w:rPr>
          <w:rFonts w:cs="Calibri"/>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1416"/>
        <w:gridCol w:w="1681"/>
        <w:gridCol w:w="1691"/>
        <w:gridCol w:w="571"/>
      </w:tblGrid>
      <w:tr w:rsidR="003F7D43" w:rsidRPr="00DE2D55" w:rsidTr="000F67FC">
        <w:tc>
          <w:tcPr>
            <w:tcW w:w="9804" w:type="dxa"/>
            <w:gridSpan w:val="5"/>
            <w:shd w:val="clear" w:color="auto" w:fill="C5E0B3"/>
            <w:vAlign w:val="center"/>
          </w:tcPr>
          <w:p w:rsidR="003F7D43" w:rsidRPr="00DE2D55" w:rsidRDefault="003F7D43" w:rsidP="00FE560B">
            <w:pPr>
              <w:tabs>
                <w:tab w:val="left" w:pos="0"/>
              </w:tabs>
              <w:suppressAutoHyphens/>
              <w:jc w:val="both"/>
              <w:rPr>
                <w:rFonts w:cs="Calibri"/>
                <w:b/>
              </w:rPr>
            </w:pPr>
            <w:r w:rsidRPr="00DE2D55">
              <w:rPr>
                <w:rFonts w:cs="Calibri"/>
                <w:b/>
              </w:rPr>
              <w:t>Capacitação</w:t>
            </w:r>
          </w:p>
        </w:tc>
      </w:tr>
      <w:tr w:rsidR="003F7D43" w:rsidRPr="00DE2D55" w:rsidTr="000F67FC">
        <w:tc>
          <w:tcPr>
            <w:tcW w:w="4445"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Descrição detalhada</w:t>
            </w:r>
          </w:p>
        </w:tc>
        <w:tc>
          <w:tcPr>
            <w:tcW w:w="1416" w:type="dxa"/>
            <w:shd w:val="clear" w:color="auto" w:fill="E2EFD9"/>
            <w:vAlign w:val="center"/>
          </w:tcPr>
          <w:p w:rsidR="003F7D43" w:rsidRPr="00DE2D55" w:rsidRDefault="000F67FC" w:rsidP="00FE560B">
            <w:pPr>
              <w:tabs>
                <w:tab w:val="left" w:pos="0"/>
              </w:tabs>
              <w:suppressAutoHyphens/>
              <w:jc w:val="both"/>
              <w:rPr>
                <w:rFonts w:cs="Calibri"/>
                <w:b/>
              </w:rPr>
            </w:pPr>
            <w:r>
              <w:rPr>
                <w:rFonts w:cs="Calibri"/>
                <w:b/>
              </w:rPr>
              <w:t>Participantes</w:t>
            </w:r>
          </w:p>
        </w:tc>
        <w:tc>
          <w:tcPr>
            <w:tcW w:w="168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unit.</w:t>
            </w:r>
          </w:p>
        </w:tc>
        <w:tc>
          <w:tcPr>
            <w:tcW w:w="169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total</w:t>
            </w:r>
          </w:p>
        </w:tc>
        <w:tc>
          <w:tcPr>
            <w:tcW w:w="57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Obs</w:t>
            </w:r>
          </w:p>
        </w:tc>
      </w:tr>
      <w:tr w:rsidR="003F7D43" w:rsidRPr="00DE2D55" w:rsidTr="000F67FC">
        <w:tc>
          <w:tcPr>
            <w:tcW w:w="4445" w:type="dxa"/>
            <w:vAlign w:val="center"/>
          </w:tcPr>
          <w:p w:rsidR="003F7D43" w:rsidRPr="00DE2D55" w:rsidRDefault="003F7D43" w:rsidP="00FE560B">
            <w:pPr>
              <w:tabs>
                <w:tab w:val="left" w:pos="0"/>
              </w:tabs>
              <w:suppressAutoHyphens/>
              <w:jc w:val="both"/>
              <w:rPr>
                <w:rFonts w:cs="Calibri"/>
                <w:b/>
              </w:rPr>
            </w:pPr>
            <w:r w:rsidRPr="00DE2D55">
              <w:t>Capacitação em sistema de processo eletrônico</w:t>
            </w:r>
          </w:p>
        </w:tc>
        <w:tc>
          <w:tcPr>
            <w:tcW w:w="1416" w:type="dxa"/>
            <w:vAlign w:val="center"/>
          </w:tcPr>
          <w:p w:rsidR="003F7D43" w:rsidRPr="00DE2D55" w:rsidRDefault="003F7D43" w:rsidP="00FE560B">
            <w:pPr>
              <w:tabs>
                <w:tab w:val="left" w:pos="0"/>
              </w:tabs>
              <w:suppressAutoHyphens/>
              <w:jc w:val="both"/>
              <w:rPr>
                <w:rFonts w:cs="Calibri"/>
              </w:rPr>
            </w:pPr>
            <w:r w:rsidRPr="00DE2D55">
              <w:rPr>
                <w:rFonts w:cs="Calibri"/>
              </w:rPr>
              <w:t>20</w:t>
            </w:r>
          </w:p>
        </w:tc>
        <w:tc>
          <w:tcPr>
            <w:tcW w:w="1681" w:type="dxa"/>
            <w:vAlign w:val="center"/>
          </w:tcPr>
          <w:p w:rsidR="003F7D43" w:rsidRPr="00DE2D55" w:rsidRDefault="003F7D43" w:rsidP="00FE560B">
            <w:pPr>
              <w:tabs>
                <w:tab w:val="left" w:pos="0"/>
              </w:tabs>
              <w:suppressAutoHyphens/>
              <w:jc w:val="both"/>
              <w:rPr>
                <w:rFonts w:cs="Calibri"/>
              </w:rPr>
            </w:pPr>
            <w:r w:rsidRPr="00DE2D55">
              <w:rPr>
                <w:rFonts w:cs="Calibri"/>
              </w:rPr>
              <w:t>R$ 2.000,00</w:t>
            </w:r>
          </w:p>
        </w:tc>
        <w:tc>
          <w:tcPr>
            <w:tcW w:w="1691" w:type="dxa"/>
            <w:vAlign w:val="center"/>
          </w:tcPr>
          <w:p w:rsidR="003F7D43" w:rsidRPr="00DE2D55" w:rsidRDefault="003F7D43" w:rsidP="00FE560B">
            <w:pPr>
              <w:tabs>
                <w:tab w:val="left" w:pos="0"/>
              </w:tabs>
              <w:suppressAutoHyphens/>
              <w:jc w:val="both"/>
              <w:rPr>
                <w:rFonts w:cs="Calibri"/>
              </w:rPr>
            </w:pPr>
            <w:r w:rsidRPr="00DE2D55">
              <w:rPr>
                <w:rFonts w:cs="Calibri"/>
              </w:rPr>
              <w:t>R$ 40.000,00</w:t>
            </w:r>
          </w:p>
        </w:tc>
        <w:tc>
          <w:tcPr>
            <w:tcW w:w="571" w:type="dxa"/>
            <w:vAlign w:val="center"/>
          </w:tcPr>
          <w:p w:rsidR="003F7D43" w:rsidRPr="00DE2D55" w:rsidRDefault="003F7D43" w:rsidP="00FE560B">
            <w:pPr>
              <w:tabs>
                <w:tab w:val="left" w:pos="0"/>
              </w:tabs>
              <w:suppressAutoHyphens/>
              <w:jc w:val="both"/>
              <w:rPr>
                <w:rFonts w:cs="Calibri"/>
                <w:b/>
              </w:rPr>
            </w:pPr>
          </w:p>
        </w:tc>
      </w:tr>
      <w:tr w:rsidR="003F7D43" w:rsidRPr="00DE2D55" w:rsidTr="000F67FC">
        <w:tc>
          <w:tcPr>
            <w:tcW w:w="4445" w:type="dxa"/>
            <w:vAlign w:val="center"/>
          </w:tcPr>
          <w:p w:rsidR="003F7D43" w:rsidRPr="00DE2D55" w:rsidRDefault="003F7D43" w:rsidP="00FE560B">
            <w:pPr>
              <w:tabs>
                <w:tab w:val="left" w:pos="0"/>
              </w:tabs>
              <w:suppressAutoHyphens/>
              <w:jc w:val="both"/>
              <w:rPr>
                <w:rFonts w:cs="Calibri"/>
                <w:b/>
              </w:rPr>
            </w:pPr>
            <w:r w:rsidRPr="00DE2D55">
              <w:rPr>
                <w:rFonts w:cs="Calibri"/>
              </w:rPr>
              <w:t>Visitas técnicas</w:t>
            </w:r>
          </w:p>
        </w:tc>
        <w:tc>
          <w:tcPr>
            <w:tcW w:w="1416" w:type="dxa"/>
            <w:vAlign w:val="center"/>
          </w:tcPr>
          <w:p w:rsidR="003F7D43" w:rsidRPr="00DE2D55" w:rsidRDefault="003F7D43" w:rsidP="00FE560B">
            <w:pPr>
              <w:tabs>
                <w:tab w:val="left" w:pos="0"/>
              </w:tabs>
              <w:suppressAutoHyphens/>
              <w:jc w:val="both"/>
              <w:rPr>
                <w:rFonts w:cs="Calibri"/>
              </w:rPr>
            </w:pPr>
            <w:r w:rsidRPr="00DE2D55">
              <w:rPr>
                <w:rFonts w:cs="Calibri"/>
              </w:rPr>
              <w:t>6</w:t>
            </w:r>
          </w:p>
        </w:tc>
        <w:tc>
          <w:tcPr>
            <w:tcW w:w="1681" w:type="dxa"/>
            <w:vAlign w:val="center"/>
          </w:tcPr>
          <w:p w:rsidR="003F7D43" w:rsidRPr="00DE2D55" w:rsidRDefault="003F7D43" w:rsidP="00FE560B">
            <w:pPr>
              <w:tabs>
                <w:tab w:val="left" w:pos="0"/>
              </w:tabs>
              <w:suppressAutoHyphens/>
              <w:jc w:val="both"/>
              <w:rPr>
                <w:rFonts w:cs="Calibri"/>
                <w:b/>
              </w:rPr>
            </w:pPr>
            <w:r w:rsidRPr="00DE2D55">
              <w:rPr>
                <w:rFonts w:cs="Calibri"/>
              </w:rPr>
              <w:t>R$ 2.000,00</w:t>
            </w:r>
          </w:p>
        </w:tc>
        <w:tc>
          <w:tcPr>
            <w:tcW w:w="1691" w:type="dxa"/>
            <w:vAlign w:val="center"/>
          </w:tcPr>
          <w:p w:rsidR="003F7D43" w:rsidRPr="00DE2D55" w:rsidRDefault="003F7D43" w:rsidP="00FE560B">
            <w:pPr>
              <w:tabs>
                <w:tab w:val="left" w:pos="0"/>
              </w:tabs>
              <w:suppressAutoHyphens/>
              <w:jc w:val="both"/>
              <w:rPr>
                <w:rFonts w:cs="Calibri"/>
              </w:rPr>
            </w:pPr>
            <w:r w:rsidRPr="00DE2D55">
              <w:rPr>
                <w:rFonts w:cs="Calibri"/>
              </w:rPr>
              <w:t>R$ 12.000,00</w:t>
            </w:r>
          </w:p>
        </w:tc>
        <w:tc>
          <w:tcPr>
            <w:tcW w:w="571" w:type="dxa"/>
            <w:vAlign w:val="center"/>
          </w:tcPr>
          <w:p w:rsidR="003F7D43" w:rsidRPr="00DE2D55" w:rsidRDefault="003F7D43" w:rsidP="00FE560B">
            <w:pPr>
              <w:tabs>
                <w:tab w:val="left" w:pos="0"/>
              </w:tabs>
              <w:suppressAutoHyphens/>
              <w:jc w:val="both"/>
              <w:rPr>
                <w:rFonts w:cs="Calibri"/>
                <w:b/>
              </w:rPr>
            </w:pPr>
          </w:p>
        </w:tc>
      </w:tr>
      <w:tr w:rsidR="003F7D43" w:rsidRPr="00DE2D55" w:rsidTr="000F67FC">
        <w:tc>
          <w:tcPr>
            <w:tcW w:w="9804" w:type="dxa"/>
            <w:gridSpan w:val="5"/>
            <w:shd w:val="clear" w:color="auto" w:fill="C5E0B3"/>
            <w:vAlign w:val="center"/>
          </w:tcPr>
          <w:p w:rsidR="003F7D43" w:rsidRPr="00DE2D55" w:rsidRDefault="003F7D43" w:rsidP="00FE560B">
            <w:pPr>
              <w:tabs>
                <w:tab w:val="left" w:pos="0"/>
              </w:tabs>
              <w:suppressAutoHyphens/>
              <w:jc w:val="both"/>
              <w:rPr>
                <w:rFonts w:cs="Calibri"/>
                <w:b/>
              </w:rPr>
            </w:pPr>
            <w:r w:rsidRPr="00DE2D55">
              <w:rPr>
                <w:rFonts w:cs="Calibri"/>
                <w:b/>
              </w:rPr>
              <w:t>Consultoria</w:t>
            </w:r>
          </w:p>
        </w:tc>
      </w:tr>
      <w:tr w:rsidR="003F7D43" w:rsidRPr="00DE2D55" w:rsidTr="000F67FC">
        <w:tc>
          <w:tcPr>
            <w:tcW w:w="4445"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Descrição detalhada</w:t>
            </w:r>
          </w:p>
        </w:tc>
        <w:tc>
          <w:tcPr>
            <w:tcW w:w="1416"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Quantidade</w:t>
            </w:r>
          </w:p>
        </w:tc>
        <w:tc>
          <w:tcPr>
            <w:tcW w:w="168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unit.</w:t>
            </w:r>
          </w:p>
        </w:tc>
        <w:tc>
          <w:tcPr>
            <w:tcW w:w="169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total</w:t>
            </w:r>
          </w:p>
        </w:tc>
        <w:tc>
          <w:tcPr>
            <w:tcW w:w="57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Obs</w:t>
            </w:r>
          </w:p>
        </w:tc>
      </w:tr>
      <w:tr w:rsidR="003F7D43" w:rsidRPr="00DE2D55" w:rsidTr="000F67FC">
        <w:tc>
          <w:tcPr>
            <w:tcW w:w="4445" w:type="dxa"/>
          </w:tcPr>
          <w:p w:rsidR="003F7D43" w:rsidRPr="00DE2D55" w:rsidRDefault="003F7D43" w:rsidP="00FE560B">
            <w:pPr>
              <w:tabs>
                <w:tab w:val="left" w:pos="0"/>
              </w:tabs>
              <w:suppressAutoHyphens/>
              <w:jc w:val="both"/>
              <w:rPr>
                <w:rFonts w:cs="Calibri"/>
                <w:b/>
              </w:rPr>
            </w:pPr>
            <w:r w:rsidRPr="00DE2D55">
              <w:rPr>
                <w:rFonts w:cs="Calibri"/>
              </w:rPr>
              <w:t>Revisão e ajuste da legislação com ferramenta de busca</w:t>
            </w:r>
          </w:p>
        </w:tc>
        <w:tc>
          <w:tcPr>
            <w:tcW w:w="1416" w:type="dxa"/>
          </w:tcPr>
          <w:p w:rsidR="003F7D43" w:rsidRPr="00DE2D55" w:rsidRDefault="003F7D43" w:rsidP="00FE560B">
            <w:pPr>
              <w:tabs>
                <w:tab w:val="left" w:pos="0"/>
              </w:tabs>
              <w:suppressAutoHyphens/>
              <w:jc w:val="both"/>
              <w:rPr>
                <w:rFonts w:cs="Calibri"/>
                <w:b/>
              </w:rPr>
            </w:pPr>
            <w:r w:rsidRPr="00DE2D55">
              <w:rPr>
                <w:rFonts w:cs="Calibri"/>
              </w:rPr>
              <w:t>1</w:t>
            </w:r>
          </w:p>
        </w:tc>
        <w:tc>
          <w:tcPr>
            <w:tcW w:w="1681" w:type="dxa"/>
          </w:tcPr>
          <w:p w:rsidR="003F7D43" w:rsidRPr="00DE2D55" w:rsidRDefault="003F7D43" w:rsidP="00FE560B">
            <w:pPr>
              <w:tabs>
                <w:tab w:val="left" w:pos="0"/>
              </w:tabs>
              <w:suppressAutoHyphens/>
              <w:jc w:val="both"/>
              <w:rPr>
                <w:rFonts w:cs="Calibri"/>
              </w:rPr>
            </w:pPr>
            <w:r w:rsidRPr="00DE2D55">
              <w:rPr>
                <w:rFonts w:cs="Calibri"/>
              </w:rPr>
              <w:t>R$ 600.000,00</w:t>
            </w:r>
          </w:p>
          <w:p w:rsidR="003F7D43" w:rsidRPr="00DE2D55" w:rsidRDefault="003F7D43" w:rsidP="00FE560B">
            <w:pPr>
              <w:tabs>
                <w:tab w:val="left" w:pos="0"/>
              </w:tabs>
              <w:suppressAutoHyphens/>
              <w:jc w:val="both"/>
              <w:rPr>
                <w:rFonts w:cs="Calibri"/>
                <w:b/>
              </w:rPr>
            </w:pPr>
          </w:p>
        </w:tc>
        <w:tc>
          <w:tcPr>
            <w:tcW w:w="1691" w:type="dxa"/>
          </w:tcPr>
          <w:p w:rsidR="003F7D43" w:rsidRPr="00DE2D55" w:rsidRDefault="003F7D43" w:rsidP="00FE560B">
            <w:pPr>
              <w:tabs>
                <w:tab w:val="left" w:pos="0"/>
              </w:tabs>
              <w:suppressAutoHyphens/>
              <w:jc w:val="both"/>
              <w:rPr>
                <w:rFonts w:cs="Calibri"/>
              </w:rPr>
            </w:pPr>
            <w:r w:rsidRPr="00DE2D55">
              <w:rPr>
                <w:rFonts w:cs="Calibri"/>
              </w:rPr>
              <w:t>R$ 600.000,00</w:t>
            </w:r>
          </w:p>
          <w:p w:rsidR="003F7D43" w:rsidRPr="00DE2D55" w:rsidRDefault="003F7D43" w:rsidP="00FE560B">
            <w:pPr>
              <w:tabs>
                <w:tab w:val="left" w:pos="0"/>
              </w:tabs>
              <w:suppressAutoHyphens/>
              <w:jc w:val="both"/>
              <w:rPr>
                <w:rFonts w:cs="Calibri"/>
                <w:b/>
              </w:rPr>
            </w:pPr>
          </w:p>
        </w:tc>
        <w:tc>
          <w:tcPr>
            <w:tcW w:w="571" w:type="dxa"/>
          </w:tcPr>
          <w:p w:rsidR="003F7D43" w:rsidRPr="00DE2D55" w:rsidRDefault="003F7D43" w:rsidP="00FE560B">
            <w:pPr>
              <w:tabs>
                <w:tab w:val="left" w:pos="0"/>
              </w:tabs>
              <w:suppressAutoHyphens/>
              <w:jc w:val="both"/>
              <w:rPr>
                <w:rFonts w:cs="Calibri"/>
                <w:b/>
              </w:rPr>
            </w:pPr>
          </w:p>
        </w:tc>
      </w:tr>
      <w:tr w:rsidR="003F7D43" w:rsidRPr="00DE2D55" w:rsidTr="000F67FC">
        <w:tc>
          <w:tcPr>
            <w:tcW w:w="9804" w:type="dxa"/>
            <w:gridSpan w:val="5"/>
            <w:shd w:val="clear" w:color="auto" w:fill="C5E0B3"/>
            <w:vAlign w:val="center"/>
          </w:tcPr>
          <w:p w:rsidR="003F7D43" w:rsidRPr="00DE2D55" w:rsidRDefault="003F7D43" w:rsidP="00FE560B">
            <w:pPr>
              <w:tabs>
                <w:tab w:val="left" w:pos="0"/>
              </w:tabs>
              <w:suppressAutoHyphens/>
              <w:jc w:val="both"/>
              <w:rPr>
                <w:rFonts w:cs="Calibri"/>
                <w:b/>
              </w:rPr>
            </w:pPr>
            <w:r w:rsidRPr="00DE2D55">
              <w:rPr>
                <w:rFonts w:cs="Calibri"/>
                <w:b/>
              </w:rPr>
              <w:t>Bens</w:t>
            </w:r>
          </w:p>
        </w:tc>
      </w:tr>
      <w:tr w:rsidR="003F7D43" w:rsidRPr="00DE2D55" w:rsidTr="000F67FC">
        <w:tc>
          <w:tcPr>
            <w:tcW w:w="4445"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Descrição detalhada</w:t>
            </w:r>
          </w:p>
        </w:tc>
        <w:tc>
          <w:tcPr>
            <w:tcW w:w="1416"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Quantidade</w:t>
            </w:r>
          </w:p>
        </w:tc>
        <w:tc>
          <w:tcPr>
            <w:tcW w:w="168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unit.</w:t>
            </w:r>
          </w:p>
        </w:tc>
        <w:tc>
          <w:tcPr>
            <w:tcW w:w="169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Valor total</w:t>
            </w:r>
          </w:p>
        </w:tc>
        <w:tc>
          <w:tcPr>
            <w:tcW w:w="571" w:type="dxa"/>
            <w:shd w:val="clear" w:color="auto" w:fill="E2EFD9"/>
            <w:vAlign w:val="center"/>
          </w:tcPr>
          <w:p w:rsidR="003F7D43" w:rsidRPr="00DE2D55" w:rsidRDefault="003F7D43" w:rsidP="00FE560B">
            <w:pPr>
              <w:tabs>
                <w:tab w:val="left" w:pos="0"/>
              </w:tabs>
              <w:suppressAutoHyphens/>
              <w:jc w:val="both"/>
              <w:rPr>
                <w:rFonts w:cs="Calibri"/>
                <w:b/>
              </w:rPr>
            </w:pPr>
            <w:r w:rsidRPr="00DE2D55">
              <w:rPr>
                <w:rFonts w:cs="Calibri"/>
                <w:b/>
              </w:rPr>
              <w:t>Obs</w:t>
            </w:r>
          </w:p>
        </w:tc>
      </w:tr>
      <w:tr w:rsidR="003F7D43" w:rsidRPr="00DE2D55" w:rsidTr="000F67FC">
        <w:tc>
          <w:tcPr>
            <w:tcW w:w="4445" w:type="dxa"/>
          </w:tcPr>
          <w:p w:rsidR="003F7D43" w:rsidRPr="00DE2D55" w:rsidRDefault="003F7D43" w:rsidP="00FE560B">
            <w:pPr>
              <w:tabs>
                <w:tab w:val="left" w:pos="0"/>
              </w:tabs>
              <w:suppressAutoHyphens/>
              <w:jc w:val="both"/>
              <w:rPr>
                <w:rFonts w:cs="Calibri"/>
                <w:b/>
              </w:rPr>
            </w:pPr>
            <w:r w:rsidRPr="00DE2D55">
              <w:rPr>
                <w:color w:val="000000"/>
              </w:rPr>
              <w:t>Sistema automatizado de processo eletrônico com workflow</w:t>
            </w:r>
          </w:p>
        </w:tc>
        <w:tc>
          <w:tcPr>
            <w:tcW w:w="1416" w:type="dxa"/>
          </w:tcPr>
          <w:p w:rsidR="003F7D43" w:rsidRPr="00DE2D55" w:rsidRDefault="003F7D43" w:rsidP="00FE560B">
            <w:pPr>
              <w:tabs>
                <w:tab w:val="left" w:pos="0"/>
              </w:tabs>
              <w:suppressAutoHyphens/>
              <w:jc w:val="both"/>
              <w:rPr>
                <w:rFonts w:cs="Calibri"/>
              </w:rPr>
            </w:pPr>
            <w:r w:rsidRPr="00DE2D55">
              <w:rPr>
                <w:rFonts w:cs="Calibri"/>
              </w:rPr>
              <w:t>1</w:t>
            </w:r>
          </w:p>
        </w:tc>
        <w:tc>
          <w:tcPr>
            <w:tcW w:w="1681" w:type="dxa"/>
          </w:tcPr>
          <w:p w:rsidR="003F7D43" w:rsidRPr="00DE2D55" w:rsidRDefault="003F7D43" w:rsidP="00FE560B">
            <w:pPr>
              <w:tabs>
                <w:tab w:val="left" w:pos="0"/>
              </w:tabs>
              <w:suppressAutoHyphens/>
              <w:jc w:val="both"/>
              <w:rPr>
                <w:rFonts w:cs="Calibri"/>
              </w:rPr>
            </w:pPr>
            <w:r w:rsidRPr="00DE2D55">
              <w:rPr>
                <w:rFonts w:cs="Calibri"/>
              </w:rPr>
              <w:t>R$ 5.000.000,00</w:t>
            </w:r>
          </w:p>
        </w:tc>
        <w:tc>
          <w:tcPr>
            <w:tcW w:w="1691" w:type="dxa"/>
          </w:tcPr>
          <w:p w:rsidR="003F7D43" w:rsidRPr="00DE2D55" w:rsidRDefault="003F7D43" w:rsidP="00FE560B">
            <w:pPr>
              <w:tabs>
                <w:tab w:val="left" w:pos="0"/>
              </w:tabs>
              <w:suppressAutoHyphens/>
              <w:jc w:val="both"/>
              <w:rPr>
                <w:rFonts w:cs="Calibri"/>
                <w:b/>
              </w:rPr>
            </w:pPr>
            <w:r w:rsidRPr="00DE2D55">
              <w:rPr>
                <w:rFonts w:cs="Calibri"/>
              </w:rPr>
              <w:t>R$ 5.000.000,00</w:t>
            </w:r>
          </w:p>
        </w:tc>
        <w:tc>
          <w:tcPr>
            <w:tcW w:w="571" w:type="dxa"/>
          </w:tcPr>
          <w:p w:rsidR="003F7D43" w:rsidRPr="00DE2D55" w:rsidRDefault="003F7D43" w:rsidP="00FE560B">
            <w:pPr>
              <w:tabs>
                <w:tab w:val="left" w:pos="0"/>
              </w:tabs>
              <w:suppressAutoHyphens/>
              <w:jc w:val="both"/>
              <w:rPr>
                <w:rFonts w:cs="Calibri"/>
                <w:b/>
              </w:rPr>
            </w:pPr>
          </w:p>
        </w:tc>
      </w:tr>
      <w:tr w:rsidR="003F7D43" w:rsidRPr="00DE2D55" w:rsidTr="000F67FC">
        <w:tc>
          <w:tcPr>
            <w:tcW w:w="4445" w:type="dxa"/>
          </w:tcPr>
          <w:p w:rsidR="003F7D43" w:rsidRPr="00DE2D55" w:rsidRDefault="003F7D43" w:rsidP="00FE560B">
            <w:pPr>
              <w:tabs>
                <w:tab w:val="left" w:pos="0"/>
              </w:tabs>
              <w:suppressAutoHyphens/>
              <w:jc w:val="both"/>
              <w:rPr>
                <w:rFonts w:cs="Calibri"/>
              </w:rPr>
            </w:pPr>
            <w:r w:rsidRPr="00DE2D55">
              <w:t xml:space="preserve">Levantamento de requisitos funcionais </w:t>
            </w:r>
          </w:p>
        </w:tc>
        <w:tc>
          <w:tcPr>
            <w:tcW w:w="1416" w:type="dxa"/>
          </w:tcPr>
          <w:p w:rsidR="003F7D43" w:rsidRPr="00DE2D55" w:rsidRDefault="003F7D43" w:rsidP="00FE560B">
            <w:pPr>
              <w:tabs>
                <w:tab w:val="left" w:pos="0"/>
              </w:tabs>
              <w:suppressAutoHyphens/>
              <w:jc w:val="both"/>
              <w:rPr>
                <w:rFonts w:cs="Calibri"/>
              </w:rPr>
            </w:pPr>
            <w:r w:rsidRPr="00DE2D55">
              <w:rPr>
                <w:rFonts w:cs="Calibri"/>
              </w:rPr>
              <w:t>1</w:t>
            </w:r>
          </w:p>
        </w:tc>
        <w:tc>
          <w:tcPr>
            <w:tcW w:w="1681" w:type="dxa"/>
          </w:tcPr>
          <w:p w:rsidR="003F7D43" w:rsidRPr="00DE2D55" w:rsidRDefault="003F7D43" w:rsidP="00FE560B">
            <w:pPr>
              <w:tabs>
                <w:tab w:val="left" w:pos="0"/>
              </w:tabs>
              <w:suppressAutoHyphens/>
              <w:jc w:val="both"/>
              <w:rPr>
                <w:rFonts w:cs="Calibri"/>
              </w:rPr>
            </w:pPr>
            <w:r w:rsidRPr="00DE2D55">
              <w:rPr>
                <w:rFonts w:cs="Calibri"/>
              </w:rPr>
              <w:t>R$ 54.000,00</w:t>
            </w:r>
          </w:p>
        </w:tc>
        <w:tc>
          <w:tcPr>
            <w:tcW w:w="1691" w:type="dxa"/>
          </w:tcPr>
          <w:p w:rsidR="003F7D43" w:rsidRPr="00DE2D55" w:rsidRDefault="003F7D43" w:rsidP="00FE560B">
            <w:pPr>
              <w:tabs>
                <w:tab w:val="left" w:pos="0"/>
              </w:tabs>
              <w:suppressAutoHyphens/>
              <w:jc w:val="both"/>
              <w:rPr>
                <w:rFonts w:cs="Calibri"/>
              </w:rPr>
            </w:pPr>
            <w:r w:rsidRPr="00DE2D55">
              <w:rPr>
                <w:rFonts w:cs="Calibri"/>
              </w:rPr>
              <w:t>R$ 54.000,00</w:t>
            </w:r>
          </w:p>
        </w:tc>
        <w:tc>
          <w:tcPr>
            <w:tcW w:w="571" w:type="dxa"/>
          </w:tcPr>
          <w:p w:rsidR="003F7D43" w:rsidRPr="00DE2D55" w:rsidRDefault="003F7D43" w:rsidP="00FE560B">
            <w:pPr>
              <w:tabs>
                <w:tab w:val="left" w:pos="0"/>
              </w:tabs>
              <w:suppressAutoHyphens/>
              <w:jc w:val="both"/>
              <w:rPr>
                <w:rFonts w:cs="Calibri"/>
              </w:rPr>
            </w:pPr>
          </w:p>
        </w:tc>
      </w:tr>
      <w:tr w:rsidR="003F7D43" w:rsidRPr="00DE2D55" w:rsidTr="000F67FC">
        <w:tc>
          <w:tcPr>
            <w:tcW w:w="4445" w:type="dxa"/>
          </w:tcPr>
          <w:p w:rsidR="003F7D43" w:rsidRPr="00DE2D55" w:rsidRDefault="003F7D43" w:rsidP="00FE560B">
            <w:pPr>
              <w:tabs>
                <w:tab w:val="left" w:pos="0"/>
              </w:tabs>
              <w:suppressAutoHyphens/>
              <w:jc w:val="both"/>
              <w:rPr>
                <w:rFonts w:cs="Calibri"/>
                <w:b/>
              </w:rPr>
            </w:pPr>
            <w:r w:rsidRPr="00DE2D55">
              <w:t xml:space="preserve">Instalação de licenças de Sistema de Captura de Documento Desktop </w:t>
            </w:r>
          </w:p>
        </w:tc>
        <w:tc>
          <w:tcPr>
            <w:tcW w:w="1416" w:type="dxa"/>
          </w:tcPr>
          <w:p w:rsidR="003F7D43" w:rsidRPr="00DE2D55" w:rsidRDefault="003F7D43" w:rsidP="00FE560B">
            <w:pPr>
              <w:tabs>
                <w:tab w:val="left" w:pos="0"/>
              </w:tabs>
              <w:suppressAutoHyphens/>
              <w:jc w:val="both"/>
              <w:rPr>
                <w:rFonts w:cs="Calibri"/>
              </w:rPr>
            </w:pPr>
            <w:r w:rsidRPr="00DE2D55">
              <w:rPr>
                <w:rFonts w:cs="Calibri"/>
              </w:rPr>
              <w:t>60</w:t>
            </w:r>
          </w:p>
        </w:tc>
        <w:tc>
          <w:tcPr>
            <w:tcW w:w="1681" w:type="dxa"/>
          </w:tcPr>
          <w:p w:rsidR="003F7D43" w:rsidRPr="00DE2D55" w:rsidRDefault="003F7D43" w:rsidP="00FE560B">
            <w:pPr>
              <w:tabs>
                <w:tab w:val="left" w:pos="0"/>
              </w:tabs>
              <w:suppressAutoHyphens/>
              <w:jc w:val="both"/>
              <w:rPr>
                <w:rFonts w:cs="Calibri"/>
              </w:rPr>
            </w:pPr>
            <w:r w:rsidRPr="00DE2D55">
              <w:rPr>
                <w:rFonts w:cs="Calibri"/>
              </w:rPr>
              <w:t>R$ 3.100,00</w:t>
            </w:r>
          </w:p>
        </w:tc>
        <w:tc>
          <w:tcPr>
            <w:tcW w:w="1691" w:type="dxa"/>
          </w:tcPr>
          <w:p w:rsidR="003F7D43" w:rsidRPr="00DE2D55" w:rsidRDefault="003F7D43" w:rsidP="00FE560B">
            <w:pPr>
              <w:tabs>
                <w:tab w:val="left" w:pos="0"/>
              </w:tabs>
              <w:jc w:val="both"/>
            </w:pPr>
            <w:r w:rsidRPr="00DE2D55">
              <w:t xml:space="preserve">R$ 186.000,00 </w:t>
            </w:r>
          </w:p>
        </w:tc>
        <w:tc>
          <w:tcPr>
            <w:tcW w:w="571" w:type="dxa"/>
          </w:tcPr>
          <w:p w:rsidR="003F7D43" w:rsidRPr="00DE2D55" w:rsidRDefault="003F7D43" w:rsidP="00FE560B">
            <w:pPr>
              <w:tabs>
                <w:tab w:val="left" w:pos="0"/>
              </w:tabs>
              <w:suppressAutoHyphens/>
              <w:jc w:val="both"/>
              <w:rPr>
                <w:rFonts w:cs="Calibri"/>
                <w:b/>
              </w:rPr>
            </w:pPr>
          </w:p>
        </w:tc>
      </w:tr>
    </w:tbl>
    <w:p w:rsidR="003F7D43" w:rsidRPr="00DE2D55" w:rsidRDefault="003F7D43" w:rsidP="00FE560B">
      <w:pPr>
        <w:pBdr>
          <w:bottom w:val="single" w:sz="12" w:space="1" w:color="auto"/>
        </w:pBdr>
        <w:tabs>
          <w:tab w:val="left" w:pos="0"/>
        </w:tabs>
        <w:jc w:val="both"/>
        <w:rPr>
          <w:rFonts w:cs="Calibri"/>
          <w:b/>
        </w:rPr>
      </w:pPr>
    </w:p>
    <w:p w:rsidR="003F7D43" w:rsidRPr="00DE2D55" w:rsidRDefault="003F7D43" w:rsidP="00FE560B">
      <w:pPr>
        <w:pBdr>
          <w:bottom w:val="single" w:sz="12" w:space="1" w:color="auto"/>
        </w:pBdr>
        <w:tabs>
          <w:tab w:val="left" w:pos="0"/>
        </w:tabs>
        <w:jc w:val="both"/>
        <w:rPr>
          <w:rFonts w:cs="Calibri"/>
          <w:b/>
        </w:rPr>
      </w:pPr>
    </w:p>
    <w:p w:rsidR="003F7D43" w:rsidRPr="00DE2D55" w:rsidRDefault="003F7D43" w:rsidP="00FE560B">
      <w:pPr>
        <w:pStyle w:val="PargrafodaLista"/>
        <w:numPr>
          <w:ilvl w:val="1"/>
          <w:numId w:val="63"/>
        </w:numPr>
        <w:pBdr>
          <w:bottom w:val="single" w:sz="12" w:space="1" w:color="auto"/>
        </w:pBdr>
        <w:tabs>
          <w:tab w:val="left" w:pos="0"/>
        </w:tabs>
        <w:jc w:val="both"/>
        <w:outlineLvl w:val="2"/>
        <w:rPr>
          <w:rFonts w:cs="Calibri"/>
          <w:b/>
        </w:rPr>
      </w:pPr>
      <w:bookmarkStart w:id="97" w:name="_Toc517282117"/>
      <w:r w:rsidRPr="00DE2D55">
        <w:rPr>
          <w:rFonts w:cs="Calibri"/>
          <w:b/>
        </w:rPr>
        <w:t>CRONOGRAMA PROPOSTO DO PRODUTO</w:t>
      </w:r>
      <w:bookmarkEnd w:id="97"/>
    </w:p>
    <w:p w:rsidR="003F7D43" w:rsidRPr="00DE2D55" w:rsidRDefault="003F7D43" w:rsidP="00FE560B">
      <w:pPr>
        <w:tabs>
          <w:tab w:val="left" w:pos="0"/>
        </w:tabs>
        <w:suppressAutoHyphens/>
        <w:jc w:val="both"/>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164"/>
        <w:gridCol w:w="382"/>
        <w:gridCol w:w="386"/>
        <w:gridCol w:w="386"/>
        <w:gridCol w:w="384"/>
        <w:gridCol w:w="386"/>
        <w:gridCol w:w="384"/>
        <w:gridCol w:w="385"/>
        <w:gridCol w:w="385"/>
        <w:gridCol w:w="385"/>
        <w:gridCol w:w="385"/>
      </w:tblGrid>
      <w:tr w:rsidR="003F7D43" w:rsidRPr="00DE2D55" w:rsidTr="003F7D43">
        <w:tc>
          <w:tcPr>
            <w:tcW w:w="538" w:type="dxa"/>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No.</w:t>
            </w:r>
          </w:p>
        </w:tc>
        <w:tc>
          <w:tcPr>
            <w:tcW w:w="5164" w:type="dxa"/>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Item de Custo</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2018</w:t>
            </w:r>
          </w:p>
        </w:tc>
        <w:tc>
          <w:tcPr>
            <w:tcW w:w="77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2019</w:t>
            </w:r>
          </w:p>
        </w:tc>
        <w:tc>
          <w:tcPr>
            <w:tcW w:w="77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2020</w:t>
            </w:r>
          </w:p>
        </w:tc>
        <w:tc>
          <w:tcPr>
            <w:tcW w:w="77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2021</w:t>
            </w:r>
          </w:p>
        </w:tc>
        <w:tc>
          <w:tcPr>
            <w:tcW w:w="77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F7D43" w:rsidRPr="00DE2D55" w:rsidRDefault="003F7D43" w:rsidP="00FE560B">
            <w:pPr>
              <w:tabs>
                <w:tab w:val="left" w:pos="0"/>
              </w:tabs>
              <w:jc w:val="both"/>
              <w:rPr>
                <w:rFonts w:cs="Calibri"/>
                <w:b/>
              </w:rPr>
            </w:pPr>
            <w:r w:rsidRPr="00DE2D55">
              <w:rPr>
                <w:rFonts w:cs="Calibri"/>
                <w:b/>
              </w:rPr>
              <w:t>2022</w:t>
            </w:r>
          </w:p>
        </w:tc>
      </w:tr>
      <w:tr w:rsidR="003F7D43" w:rsidRPr="00DE2D55" w:rsidTr="003F7D43">
        <w:tc>
          <w:tcPr>
            <w:tcW w:w="538"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r w:rsidRPr="00DE2D55">
              <w:rPr>
                <w:rFonts w:cs="Calibri"/>
              </w:rPr>
              <w:t>1</w:t>
            </w:r>
          </w:p>
        </w:tc>
        <w:tc>
          <w:tcPr>
            <w:tcW w:w="516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r w:rsidRPr="00DE2D55">
              <w:rPr>
                <w:color w:val="000000"/>
              </w:rPr>
              <w:t>Processos redesenhados com workflow</w:t>
            </w:r>
          </w:p>
        </w:tc>
        <w:tc>
          <w:tcPr>
            <w:tcW w:w="382"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r w:rsidRPr="00DE2D55">
              <w:rPr>
                <w:rFonts w:cs="Calibri"/>
              </w:rPr>
              <w:t>X</w:t>
            </w: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r>
      <w:tr w:rsidR="003F7D43" w:rsidRPr="00DE2D55" w:rsidTr="003F7D43">
        <w:tc>
          <w:tcPr>
            <w:tcW w:w="538"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r w:rsidRPr="00DE2D55">
              <w:rPr>
                <w:rFonts w:cs="Calibri"/>
              </w:rPr>
              <w:t>2</w:t>
            </w:r>
          </w:p>
        </w:tc>
        <w:tc>
          <w:tcPr>
            <w:tcW w:w="516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ind w:left="-21" w:firstLine="1"/>
              <w:jc w:val="both"/>
              <w:rPr>
                <w:rFonts w:cs="Calibri"/>
              </w:rPr>
            </w:pPr>
            <w:r w:rsidRPr="00DE2D55">
              <w:rPr>
                <w:rFonts w:cs="Calibri"/>
              </w:rPr>
              <w:t>Contencioso fiscal automatizado</w:t>
            </w:r>
          </w:p>
        </w:tc>
        <w:tc>
          <w:tcPr>
            <w:tcW w:w="382"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r w:rsidRPr="00DE2D55">
              <w:rPr>
                <w:rFonts w:cs="Calibri"/>
              </w:rPr>
              <w:t>X</w:t>
            </w:r>
          </w:p>
        </w:tc>
        <w:tc>
          <w:tcPr>
            <w:tcW w:w="385" w:type="dxa"/>
            <w:tcBorders>
              <w:top w:val="single" w:sz="4" w:space="0" w:color="auto"/>
              <w:left w:val="single" w:sz="4" w:space="0" w:color="auto"/>
              <w:bottom w:val="single" w:sz="4" w:space="0" w:color="auto"/>
              <w:right w:val="single" w:sz="4" w:space="0" w:color="auto"/>
            </w:tcBorders>
          </w:tcPr>
          <w:p w:rsidR="003F7D43" w:rsidRPr="00DE2D55" w:rsidRDefault="003F7D43" w:rsidP="00FE560B">
            <w:pPr>
              <w:tabs>
                <w:tab w:val="left" w:pos="0"/>
              </w:tabs>
              <w:jc w:val="both"/>
              <w:rPr>
                <w:rFonts w:cs="Calibri"/>
              </w:rPr>
            </w:pPr>
          </w:p>
        </w:tc>
      </w:tr>
    </w:tbl>
    <w:p w:rsidR="003F7D43" w:rsidRPr="00DE2D55" w:rsidRDefault="003F7D43" w:rsidP="00FE560B">
      <w:pPr>
        <w:tabs>
          <w:tab w:val="left" w:pos="0"/>
        </w:tabs>
        <w:jc w:val="both"/>
        <w:rPr>
          <w:rFonts w:cs="Calibri"/>
        </w:rPr>
      </w:pPr>
    </w:p>
    <w:p w:rsidR="00611D38" w:rsidRPr="00DE2D55" w:rsidRDefault="00611D38" w:rsidP="00FE560B">
      <w:pPr>
        <w:tabs>
          <w:tab w:val="left" w:pos="0"/>
        </w:tabs>
        <w:jc w:val="both"/>
        <w:rPr>
          <w:rFonts w:eastAsia="Times New Roman" w:cs="Arial"/>
          <w:color w:val="996633"/>
          <w:lang w:eastAsia="pt-BR"/>
        </w:rPr>
      </w:pPr>
      <w:r w:rsidRPr="00DE2D55">
        <w:rPr>
          <w:rFonts w:eastAsia="Times New Roman" w:cs="Arial"/>
          <w:color w:val="996633"/>
          <w:lang w:eastAsia="pt-BR"/>
        </w:rPr>
        <w:br w:type="page"/>
      </w:r>
    </w:p>
    <w:p w:rsidR="00594D5B" w:rsidRPr="00DE2D55" w:rsidRDefault="00611D38" w:rsidP="00FE560B">
      <w:pPr>
        <w:pStyle w:val="Ttulo2"/>
        <w:tabs>
          <w:tab w:val="left" w:pos="0"/>
        </w:tabs>
        <w:spacing w:before="0"/>
        <w:jc w:val="both"/>
        <w:rPr>
          <w:rFonts w:asciiTheme="minorHAnsi" w:eastAsia="Times New Roman" w:hAnsiTheme="minorHAnsi" w:cs="Arial"/>
          <w:sz w:val="22"/>
          <w:szCs w:val="22"/>
          <w:lang w:eastAsia="pt-BR"/>
        </w:rPr>
      </w:pPr>
      <w:bookmarkStart w:id="98" w:name="_Toc517282118"/>
      <w:r w:rsidRPr="00DE2D55">
        <w:rPr>
          <w:rFonts w:asciiTheme="minorHAnsi" w:eastAsia="Times New Roman" w:hAnsiTheme="minorHAnsi" w:cs="Arial"/>
          <w:sz w:val="22"/>
          <w:szCs w:val="22"/>
          <w:lang w:eastAsia="pt-BR"/>
        </w:rPr>
        <w:t>PRODUTO 4. SISTEMA DE ATENDIMENTO INTEGRAL IMPLANTADO</w:t>
      </w:r>
      <w:bookmarkEnd w:id="98"/>
    </w:p>
    <w:p w:rsidR="00611D38" w:rsidRPr="00DE2D55" w:rsidRDefault="00611D38" w:rsidP="00FE560B">
      <w:pPr>
        <w:tabs>
          <w:tab w:val="left" w:pos="0"/>
        </w:tabs>
        <w:jc w:val="both"/>
        <w:rPr>
          <w:lang w:eastAsia="pt-BR"/>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611D38" w:rsidRPr="00DE2D55" w:rsidTr="00611D38">
        <w:tc>
          <w:tcPr>
            <w:tcW w:w="9779" w:type="dxa"/>
            <w:tcBorders>
              <w:top w:val="single" w:sz="4" w:space="0" w:color="auto"/>
              <w:left w:val="nil"/>
              <w:bottom w:val="single" w:sz="4" w:space="0" w:color="auto"/>
              <w:right w:val="nil"/>
            </w:tcBorders>
            <w:shd w:val="clear" w:color="auto" w:fill="D5DCE4"/>
          </w:tcPr>
          <w:p w:rsidR="00611D38" w:rsidRPr="00DE2D55" w:rsidRDefault="00611D38"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611D38" w:rsidRPr="00DE2D55" w:rsidRDefault="00611D38" w:rsidP="00FE560B">
            <w:pPr>
              <w:shd w:val="clear" w:color="auto" w:fill="D5DCE4"/>
              <w:tabs>
                <w:tab w:val="left" w:pos="0"/>
              </w:tabs>
              <w:ind w:left="567" w:hanging="567"/>
              <w:jc w:val="both"/>
              <w:rPr>
                <w:rFonts w:cs="Calibri"/>
                <w:b/>
                <w:bCs/>
                <w:color w:val="0070C0"/>
              </w:rPr>
            </w:pPr>
            <w:r w:rsidRPr="00DE2D55">
              <w:rPr>
                <w:rFonts w:cs="Calibri"/>
                <w:b/>
                <w:noProof/>
                <w:color w:val="0070C0"/>
              </w:rPr>
              <w:t>2.4 Sistema de Atendimento Integral Implantado</w:t>
            </w:r>
          </w:p>
          <w:p w:rsidR="00611D38" w:rsidRPr="00DE2D55" w:rsidRDefault="00611D38" w:rsidP="00FE560B">
            <w:pPr>
              <w:shd w:val="clear" w:color="auto" w:fill="D5DCE4"/>
              <w:tabs>
                <w:tab w:val="left" w:pos="0"/>
              </w:tabs>
              <w:jc w:val="both"/>
              <w:rPr>
                <w:rFonts w:cs="Calibri"/>
                <w:b/>
                <w:noProof/>
                <w:color w:val="0070C0"/>
              </w:rPr>
            </w:pPr>
            <w:r w:rsidRPr="00DE2D55">
              <w:rPr>
                <w:rFonts w:cs="Calibri"/>
                <w:b/>
                <w:noProof/>
                <w:color w:val="0070C0"/>
              </w:rPr>
              <w:t>2.4.1 Modelo de atendimento com base em inteligência artificial (acesso cognitivo), com acesso eletrônico e via telefone.</w:t>
            </w:r>
          </w:p>
        </w:tc>
      </w:tr>
    </w:tbl>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ind w:left="360"/>
        <w:jc w:val="both"/>
        <w:rPr>
          <w:rFonts w:cs="Calibri"/>
          <w:b/>
        </w:rPr>
      </w:pPr>
      <w:r w:rsidRPr="00DE2D55">
        <w:rPr>
          <w:rFonts w:cs="Calibri"/>
          <w:b/>
        </w:rPr>
        <w:t xml:space="preserve">Autor(es): </w:t>
      </w:r>
    </w:p>
    <w:tbl>
      <w:tblPr>
        <w:tblW w:w="9781" w:type="dxa"/>
        <w:tblInd w:w="-34" w:type="dxa"/>
        <w:tblLayout w:type="fixed"/>
        <w:tblLook w:val="04A0" w:firstRow="1" w:lastRow="0" w:firstColumn="1" w:lastColumn="0" w:noHBand="0" w:noVBand="1"/>
      </w:tblPr>
      <w:tblGrid>
        <w:gridCol w:w="3290"/>
        <w:gridCol w:w="1686"/>
        <w:gridCol w:w="1857"/>
        <w:gridCol w:w="2948"/>
      </w:tblGrid>
      <w:tr w:rsidR="00611D38" w:rsidRPr="00DE2D55" w:rsidTr="00611D38">
        <w:tc>
          <w:tcPr>
            <w:tcW w:w="3290" w:type="dxa"/>
            <w:tcBorders>
              <w:top w:val="single" w:sz="4" w:space="0" w:color="00000A"/>
              <w:left w:val="single" w:sz="4" w:space="0" w:color="00000A"/>
              <w:bottom w:val="single" w:sz="4" w:space="0" w:color="00000A"/>
              <w:right w:val="single" w:sz="4" w:space="0" w:color="00000A"/>
            </w:tcBorders>
            <w:shd w:val="clear" w:color="auto" w:fill="FFFFFF"/>
            <w:hideMark/>
          </w:tcPr>
          <w:p w:rsidR="00611D38" w:rsidRPr="00DE2D55" w:rsidRDefault="00611D38" w:rsidP="00FE560B">
            <w:pPr>
              <w:tabs>
                <w:tab w:val="left" w:pos="0"/>
              </w:tabs>
              <w:ind w:left="37"/>
              <w:jc w:val="both"/>
              <w:rPr>
                <w:rFonts w:cs="Calibri"/>
                <w:b/>
              </w:rPr>
            </w:pPr>
            <w:r w:rsidRPr="00DE2D55">
              <w:rPr>
                <w:rFonts w:cs="Calibri"/>
                <w:b/>
              </w:rPr>
              <w:t>Nome</w:t>
            </w:r>
          </w:p>
        </w:tc>
        <w:tc>
          <w:tcPr>
            <w:tcW w:w="1686" w:type="dxa"/>
            <w:tcBorders>
              <w:top w:val="single" w:sz="4" w:space="0" w:color="00000A"/>
              <w:left w:val="single" w:sz="4" w:space="0" w:color="00000A"/>
              <w:bottom w:val="single" w:sz="4" w:space="0" w:color="00000A"/>
              <w:right w:val="single" w:sz="4" w:space="0" w:color="00000A"/>
            </w:tcBorders>
            <w:shd w:val="clear" w:color="auto" w:fill="FFFFFF"/>
            <w:hideMark/>
          </w:tcPr>
          <w:p w:rsidR="00611D38" w:rsidRPr="00DE2D55" w:rsidRDefault="00611D38" w:rsidP="00FE560B">
            <w:pPr>
              <w:tabs>
                <w:tab w:val="left" w:pos="0"/>
              </w:tabs>
              <w:jc w:val="both"/>
              <w:rPr>
                <w:rFonts w:cs="Calibri"/>
                <w:b/>
              </w:rPr>
            </w:pPr>
            <w:r w:rsidRPr="00DE2D55">
              <w:rPr>
                <w:rFonts w:cs="Calibri"/>
                <w:b/>
              </w:rPr>
              <w:t>Cargo</w:t>
            </w:r>
          </w:p>
        </w:tc>
        <w:tc>
          <w:tcPr>
            <w:tcW w:w="1857" w:type="dxa"/>
            <w:tcBorders>
              <w:top w:val="single" w:sz="4" w:space="0" w:color="00000A"/>
              <w:left w:val="single" w:sz="4" w:space="0" w:color="00000A"/>
              <w:bottom w:val="single" w:sz="4" w:space="0" w:color="00000A"/>
              <w:right w:val="single" w:sz="4" w:space="0" w:color="00000A"/>
            </w:tcBorders>
            <w:shd w:val="clear" w:color="auto" w:fill="FFFFFF"/>
            <w:hideMark/>
          </w:tcPr>
          <w:p w:rsidR="00611D38" w:rsidRPr="00DE2D55" w:rsidRDefault="00611D38" w:rsidP="00FE560B">
            <w:pPr>
              <w:tabs>
                <w:tab w:val="left" w:pos="0"/>
              </w:tabs>
              <w:jc w:val="both"/>
              <w:rPr>
                <w:rFonts w:cs="Calibri"/>
                <w:b/>
              </w:rPr>
            </w:pPr>
            <w:r w:rsidRPr="00DE2D55">
              <w:rPr>
                <w:rFonts w:cs="Calibri"/>
                <w:b/>
              </w:rPr>
              <w:t>Área</w:t>
            </w:r>
          </w:p>
        </w:tc>
        <w:tc>
          <w:tcPr>
            <w:tcW w:w="2948" w:type="dxa"/>
            <w:tcBorders>
              <w:top w:val="single" w:sz="4" w:space="0" w:color="00000A"/>
              <w:left w:val="single" w:sz="4" w:space="0" w:color="00000A"/>
              <w:bottom w:val="single" w:sz="4" w:space="0" w:color="00000A"/>
              <w:right w:val="single" w:sz="4" w:space="0" w:color="00000A"/>
            </w:tcBorders>
            <w:shd w:val="clear" w:color="auto" w:fill="FFFFFF"/>
            <w:hideMark/>
          </w:tcPr>
          <w:p w:rsidR="00611D38" w:rsidRPr="00DE2D55" w:rsidRDefault="00611D38" w:rsidP="00FE560B">
            <w:pPr>
              <w:tabs>
                <w:tab w:val="left" w:pos="0"/>
              </w:tabs>
              <w:jc w:val="both"/>
              <w:rPr>
                <w:rFonts w:eastAsia="Calibri" w:cs="Calibri"/>
                <w:lang w:val="es-ES"/>
              </w:rPr>
            </w:pPr>
            <w:r w:rsidRPr="00DE2D55">
              <w:rPr>
                <w:rFonts w:cs="Calibri"/>
                <w:b/>
              </w:rPr>
              <w:t>E-mail</w:t>
            </w:r>
          </w:p>
        </w:tc>
      </w:tr>
      <w:tr w:rsidR="00611D38" w:rsidRPr="00DE2D55" w:rsidTr="00611D38">
        <w:tc>
          <w:tcPr>
            <w:tcW w:w="3290" w:type="dxa"/>
            <w:tcBorders>
              <w:top w:val="single" w:sz="4" w:space="0" w:color="00000A"/>
              <w:left w:val="single" w:sz="4" w:space="0" w:color="00000A"/>
              <w:bottom w:val="single" w:sz="4" w:space="0" w:color="00000A"/>
              <w:right w:val="single" w:sz="4" w:space="0" w:color="00000A"/>
            </w:tcBorders>
            <w:shd w:val="clear" w:color="auto" w:fill="FFFFFF"/>
          </w:tcPr>
          <w:p w:rsidR="00611D38" w:rsidRPr="00DE2D55" w:rsidRDefault="00611D38" w:rsidP="00FE560B">
            <w:pPr>
              <w:tabs>
                <w:tab w:val="left" w:pos="0"/>
              </w:tabs>
              <w:jc w:val="both"/>
              <w:rPr>
                <w:rFonts w:cs="Calibri"/>
              </w:rPr>
            </w:pPr>
            <w:r w:rsidRPr="00DE2D55">
              <w:rPr>
                <w:rFonts w:cs="Calibri"/>
              </w:rPr>
              <w:t>Bismarck Jaime de Menezes</w:t>
            </w:r>
          </w:p>
        </w:tc>
        <w:tc>
          <w:tcPr>
            <w:tcW w:w="1686" w:type="dxa"/>
            <w:tcBorders>
              <w:top w:val="single" w:sz="4" w:space="0" w:color="00000A"/>
              <w:left w:val="single" w:sz="4" w:space="0" w:color="00000A"/>
              <w:bottom w:val="single" w:sz="4" w:space="0" w:color="00000A"/>
              <w:right w:val="single" w:sz="4" w:space="0" w:color="00000A"/>
            </w:tcBorders>
            <w:shd w:val="clear" w:color="auto" w:fill="FFFFFF"/>
          </w:tcPr>
          <w:p w:rsidR="00611D38" w:rsidRPr="00DE2D55" w:rsidRDefault="00611D38" w:rsidP="00FE560B">
            <w:pPr>
              <w:tabs>
                <w:tab w:val="left" w:pos="0"/>
              </w:tabs>
              <w:jc w:val="both"/>
              <w:rPr>
                <w:rFonts w:cs="Calibri"/>
              </w:rPr>
            </w:pPr>
            <w:r w:rsidRPr="00DE2D55">
              <w:rPr>
                <w:rFonts w:cs="Calibri"/>
              </w:rPr>
              <w:t>Gerente</w:t>
            </w:r>
          </w:p>
        </w:tc>
        <w:tc>
          <w:tcPr>
            <w:tcW w:w="1857" w:type="dxa"/>
            <w:tcBorders>
              <w:top w:val="single" w:sz="4" w:space="0" w:color="00000A"/>
              <w:left w:val="single" w:sz="4" w:space="0" w:color="00000A"/>
              <w:bottom w:val="single" w:sz="4" w:space="0" w:color="00000A"/>
              <w:right w:val="single" w:sz="4" w:space="0" w:color="00000A"/>
            </w:tcBorders>
            <w:shd w:val="clear" w:color="auto" w:fill="FFFFFF"/>
          </w:tcPr>
          <w:p w:rsidR="00611D38" w:rsidRPr="00DE2D55" w:rsidRDefault="00611D38" w:rsidP="00FE560B">
            <w:pPr>
              <w:tabs>
                <w:tab w:val="left" w:pos="0"/>
              </w:tabs>
              <w:jc w:val="both"/>
              <w:rPr>
                <w:rFonts w:cs="Calibri"/>
              </w:rPr>
            </w:pPr>
            <w:r w:rsidRPr="00DE2D55">
              <w:rPr>
                <w:rFonts w:cs="Calibri"/>
              </w:rPr>
              <w:t>GEACO</w:t>
            </w:r>
          </w:p>
        </w:tc>
        <w:tc>
          <w:tcPr>
            <w:tcW w:w="2948" w:type="dxa"/>
            <w:tcBorders>
              <w:top w:val="single" w:sz="4" w:space="0" w:color="00000A"/>
              <w:left w:val="single" w:sz="4" w:space="0" w:color="00000A"/>
              <w:bottom w:val="single" w:sz="4" w:space="0" w:color="00000A"/>
              <w:right w:val="single" w:sz="4" w:space="0" w:color="00000A"/>
            </w:tcBorders>
            <w:shd w:val="clear" w:color="auto" w:fill="FFFFFF"/>
          </w:tcPr>
          <w:p w:rsidR="00611D38" w:rsidRPr="00DE2D55" w:rsidRDefault="00611D38" w:rsidP="00FE560B">
            <w:pPr>
              <w:tabs>
                <w:tab w:val="left" w:pos="0"/>
              </w:tabs>
              <w:jc w:val="both"/>
              <w:rPr>
                <w:rFonts w:cs="Calibri"/>
              </w:rPr>
            </w:pPr>
            <w:r w:rsidRPr="00DE2D55">
              <w:rPr>
                <w:rFonts w:cs="Calibri"/>
              </w:rPr>
              <w:t>bmenezes@sefaz.es.gov.br</w:t>
            </w:r>
          </w:p>
        </w:tc>
      </w:tr>
    </w:tbl>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D58F5">
      <w:pPr>
        <w:tabs>
          <w:tab w:val="left" w:pos="0"/>
        </w:tabs>
        <w:jc w:val="center"/>
        <w:rPr>
          <w:rFonts w:cs="Calibri"/>
          <w:b/>
        </w:rPr>
      </w:pPr>
      <w:r w:rsidRPr="00DE2D55">
        <w:rPr>
          <w:rFonts w:cs="Calibri"/>
          <w:b/>
        </w:rPr>
        <w:t>VITÓRIA/ES – Junho de 2018</w:t>
      </w:r>
    </w:p>
    <w:p w:rsidR="00611D38" w:rsidRPr="00DE2D55" w:rsidRDefault="00611D38" w:rsidP="00FE560B">
      <w:pPr>
        <w:tabs>
          <w:tab w:val="left" w:pos="0"/>
        </w:tabs>
        <w:jc w:val="both"/>
        <w:rPr>
          <w:rFonts w:cs="Calibri"/>
        </w:rPr>
      </w:pPr>
      <w:r w:rsidRPr="00DE2D55">
        <w:rPr>
          <w:rFonts w:cs="Calibri"/>
          <w:b/>
        </w:rPr>
        <w:br w:type="page"/>
      </w: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99" w:name="_Toc517282119"/>
      <w:r w:rsidRPr="00DE2D55">
        <w:rPr>
          <w:rFonts w:cs="Calibri"/>
          <w:b/>
        </w:rPr>
        <w:t>ANTECEDENTES DO PRODUTO</w:t>
      </w:r>
      <w:bookmarkEnd w:id="99"/>
    </w:p>
    <w:p w:rsidR="00611D38" w:rsidRPr="00DE2D55" w:rsidRDefault="00611D38" w:rsidP="00FE560B">
      <w:pPr>
        <w:tabs>
          <w:tab w:val="left" w:pos="0"/>
        </w:tabs>
        <w:jc w:val="both"/>
        <w:rPr>
          <w:rFonts w:cs="Calibri"/>
          <w:highlight w:val="yellow"/>
        </w:rPr>
      </w:pPr>
    </w:p>
    <w:p w:rsidR="00611D38" w:rsidRPr="00DE2D55" w:rsidRDefault="00611D38" w:rsidP="00FE560B">
      <w:pPr>
        <w:tabs>
          <w:tab w:val="left" w:pos="0"/>
        </w:tabs>
        <w:jc w:val="both"/>
        <w:rPr>
          <w:rFonts w:cs="Calibri"/>
        </w:rPr>
      </w:pPr>
      <w:r w:rsidRPr="00DE2D55">
        <w:rPr>
          <w:rFonts w:cs="Calibri"/>
        </w:rPr>
        <w:t>A SEFAZ/ES, a mais de dez anos, com a criação de seu Portal de internet, vem buscando melhorias no atendimento ao contribuinte, desenvolvendo serviços de autoatendimento. Assim, há mais de dez anos, criou-se na internet o Portal da Agência Virtual, automatizando alguns serviços, migrados das Agências da Receita para essa plataforma.</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 xml:space="preserve">Estando na visão desta Secretaria o bom atendimento ao contribuinte, criou-se a Gerência de Atendimento ao Contribuinte – GEACO em 23/09/2010, quando passou a gerenciar todo o atendimento das Agências da Receita e o atendimento de forma não presencial. Veio priorizar a padronização no atendimento e fornecimento dos serviços, que antes era feito de forma regionalizada pelas Gerências Fazendárias Regionais, já com muitas outras atribuições. </w:t>
      </w:r>
    </w:p>
    <w:p w:rsidR="00611D38" w:rsidRPr="00DE2D55" w:rsidRDefault="00611D38" w:rsidP="00FE560B">
      <w:pPr>
        <w:tabs>
          <w:tab w:val="left" w:pos="0"/>
        </w:tabs>
        <w:jc w:val="both"/>
        <w:rPr>
          <w:rFonts w:cs="Calibri"/>
        </w:rPr>
      </w:pPr>
      <w:r w:rsidRPr="00DE2D55">
        <w:rPr>
          <w:rFonts w:cs="Calibri"/>
        </w:rPr>
        <w:t xml:space="preserve">Cerca de quinze anos atrás a SEFAZ mantinha 30 (trinta) Agências da Receita Estadual, face ao grande número de contribuinte que procuravam presencialmente os serviços. Com o aprimoramento dos serviços automatizados, hoje já é possível manter-se com apenas 11 (onze) Agências da Receita Estadual. </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Com a ampliação dos sinais de telefonia móvel, e uma nova visão de melhoria do ambiente do negócio, outros serviços poderão ser migrados das Agências da Receita para as plataformas digitais.</w:t>
      </w:r>
    </w:p>
    <w:p w:rsidR="00611D38" w:rsidRPr="00DE2D55" w:rsidRDefault="00611D38" w:rsidP="00FE560B">
      <w:pPr>
        <w:tabs>
          <w:tab w:val="left" w:pos="0"/>
        </w:tabs>
        <w:jc w:val="both"/>
        <w:rPr>
          <w:rFonts w:cs="Calibri"/>
        </w:rPr>
      </w:pPr>
      <w:r w:rsidRPr="00DE2D55">
        <w:rPr>
          <w:rFonts w:cs="Calibri"/>
        </w:rPr>
        <w:t>Isto surge uma nova demanda, que é o reforço nos serviços de suporte e soluções de dúvidas e problemas demandados pelos contribuintes, por meios de nossos canais virtuais de atendimento, razão porque apresentamos a proposta de melhoria nos métodos de atendimento e nova gestão das demandas captadas pelos setores desta gerência.</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O atendimento virtual feito atualmente se dá pelo sistema FALE CONOSCO, onde os usuários formulam as perguntas, sugestões, reclamações, e recebem um protocolo. Porém, não possui meios de acompanhar o status nem manter contato com o usuário durante o atendimento. Para cada complementação da mesma pergunta é necessário abrir novo chamado.</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O atendimento de suporte voltado às dúvidas da Agência Virtual é feito por meio de grupo de e-mail, dificultando muito o controle, impossibilitando qualquer tipo de relatório sobre volume e quantidade de atendimento. A Agência Virtual disponibiliza serviços nas áreas de cadastro, arrecadação e fiscalização. Além disso, já possui serviço de auto regularização de pendências.</w:t>
      </w:r>
    </w:p>
    <w:p w:rsidR="00611D38" w:rsidRDefault="00611D38" w:rsidP="00FE560B">
      <w:pPr>
        <w:pBdr>
          <w:bottom w:val="single" w:sz="12" w:space="1" w:color="auto"/>
        </w:pBdr>
        <w:tabs>
          <w:tab w:val="left" w:pos="0"/>
        </w:tabs>
        <w:jc w:val="both"/>
        <w:rPr>
          <w:rFonts w:cs="Calibri"/>
          <w:b/>
        </w:rPr>
      </w:pPr>
    </w:p>
    <w:p w:rsidR="00FD58F5" w:rsidRPr="00DE2D55" w:rsidRDefault="00FD58F5" w:rsidP="00FE560B">
      <w:pPr>
        <w:pBdr>
          <w:bottom w:val="single" w:sz="12" w:space="1" w:color="auto"/>
        </w:pBdr>
        <w:tabs>
          <w:tab w:val="left" w:pos="0"/>
        </w:tabs>
        <w:jc w:val="both"/>
        <w:rPr>
          <w:rFonts w:cs="Calibri"/>
          <w:b/>
        </w:rPr>
      </w:pP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0" w:name="_Toc517282120"/>
      <w:r w:rsidRPr="00DE2D55">
        <w:rPr>
          <w:rFonts w:cs="Calibri"/>
          <w:b/>
        </w:rPr>
        <w:t>DESCRIÇÃO DO PROBLEMA</w:t>
      </w:r>
      <w:bookmarkEnd w:id="100"/>
    </w:p>
    <w:p w:rsidR="00611D38" w:rsidRPr="00DE2D55" w:rsidRDefault="00611D38" w:rsidP="00FE560B">
      <w:pPr>
        <w:tabs>
          <w:tab w:val="left" w:pos="0"/>
        </w:tabs>
        <w:jc w:val="both"/>
        <w:rPr>
          <w:rFonts w:cs="Calibri"/>
          <w:b/>
        </w:rPr>
      </w:pPr>
    </w:p>
    <w:p w:rsidR="00611D38" w:rsidRPr="00DE2D55" w:rsidRDefault="00611D38" w:rsidP="00FE560B">
      <w:pPr>
        <w:tabs>
          <w:tab w:val="left" w:pos="0"/>
        </w:tabs>
        <w:jc w:val="both"/>
        <w:rPr>
          <w:rFonts w:cs="Calibri"/>
        </w:rPr>
      </w:pPr>
      <w:r w:rsidRPr="00DE2D55">
        <w:rPr>
          <w:rFonts w:cs="Calibri"/>
          <w:b/>
        </w:rPr>
        <w:t>2.1 – Síntese do Problema</w:t>
      </w:r>
      <w:r w:rsidRPr="00DE2D55">
        <w:rPr>
          <w:rFonts w:cs="Calibri"/>
        </w:rPr>
        <w:t xml:space="preserve"> </w:t>
      </w:r>
    </w:p>
    <w:p w:rsidR="00611D38" w:rsidRPr="00DE2D55" w:rsidRDefault="00611D38"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Calibri"/>
          <w:i/>
          <w:noProof/>
        </w:rPr>
      </w:pPr>
      <w:r w:rsidRPr="00DE2D55">
        <w:rPr>
          <w:rFonts w:cs="Calibri"/>
          <w:i/>
          <w:noProof/>
        </w:rPr>
        <w:t>Deficiente nível de atendimento aos contribuintes.</w:t>
      </w:r>
    </w:p>
    <w:p w:rsidR="00611D38" w:rsidRPr="00DE2D55" w:rsidRDefault="00611D38" w:rsidP="00FE560B">
      <w:pPr>
        <w:tabs>
          <w:tab w:val="left" w:pos="0"/>
        </w:tabs>
        <w:jc w:val="both"/>
        <w:rPr>
          <w:rFonts w:cs="Calibri"/>
          <w:b/>
        </w:rPr>
      </w:pPr>
    </w:p>
    <w:p w:rsidR="00611D38" w:rsidRPr="00DE2D55" w:rsidRDefault="00611D38" w:rsidP="00FE560B">
      <w:pPr>
        <w:tabs>
          <w:tab w:val="left" w:pos="0"/>
        </w:tabs>
        <w:ind w:left="357"/>
        <w:jc w:val="both"/>
        <w:rPr>
          <w:rFonts w:cs="Calibri"/>
          <w:b/>
        </w:rPr>
      </w:pPr>
      <w:r w:rsidRPr="00DE2D55">
        <w:rPr>
          <w:rFonts w:cs="Calibri"/>
          <w:b/>
        </w:rPr>
        <w:t>Principais causas:</w:t>
      </w:r>
    </w:p>
    <w:p w:rsidR="00611D38" w:rsidRPr="00DE2D55" w:rsidRDefault="00611D38" w:rsidP="00FE560B">
      <w:pPr>
        <w:tabs>
          <w:tab w:val="left" w:pos="0"/>
        </w:tabs>
        <w:ind w:left="357"/>
        <w:jc w:val="both"/>
        <w:rPr>
          <w:rFonts w:cs="Calibri"/>
          <w:b/>
        </w:rPr>
      </w:pP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Dificuldade para atender um elevado número de consultas de atendimento da gestão fazendária;</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Pouco serviço oferecido de forma eletrônica, principalmente para o contribuinte pessoa física;</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Falta de ferramenta de avaliação do atendimento;</w:t>
      </w:r>
    </w:p>
    <w:p w:rsidR="00611D38" w:rsidRPr="00DE2D55" w:rsidRDefault="00611D38" w:rsidP="00FE560B">
      <w:pPr>
        <w:pStyle w:val="PargrafodaLista"/>
        <w:numPr>
          <w:ilvl w:val="0"/>
          <w:numId w:val="64"/>
        </w:numPr>
        <w:tabs>
          <w:tab w:val="left" w:pos="0"/>
        </w:tabs>
        <w:contextualSpacing w:val="0"/>
        <w:jc w:val="both"/>
        <w:rPr>
          <w:rFonts w:cs="Calibri"/>
        </w:rPr>
      </w:pPr>
      <w:bookmarkStart w:id="101" w:name="_Hlk484134498"/>
      <w:r w:rsidRPr="00DE2D55">
        <w:rPr>
          <w:noProof/>
        </w:rPr>
        <w:t>Orientações divergentes por deficiência na antiga estrutura organizacional do atendimento;</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Demora e imprecisão no fornecimento de informações</w:t>
      </w:r>
      <w:bookmarkEnd w:id="101"/>
      <w:r w:rsidRPr="00DE2D55">
        <w:rPr>
          <w:noProof/>
        </w:rPr>
        <w:t>;</w:t>
      </w:r>
    </w:p>
    <w:p w:rsidR="00611D38" w:rsidRPr="00DE2D55" w:rsidRDefault="00611D38" w:rsidP="00FE560B">
      <w:pPr>
        <w:pStyle w:val="PargrafodaLista"/>
        <w:numPr>
          <w:ilvl w:val="0"/>
          <w:numId w:val="64"/>
        </w:numPr>
        <w:tabs>
          <w:tab w:val="left" w:pos="0"/>
        </w:tabs>
        <w:jc w:val="both"/>
        <w:rPr>
          <w:noProof/>
        </w:rPr>
      </w:pPr>
      <w:r w:rsidRPr="00DE2D55">
        <w:rPr>
          <w:noProof/>
        </w:rPr>
        <w:t>Não há capacitação para os servidores envolvidos no atendimento;</w:t>
      </w:r>
    </w:p>
    <w:p w:rsidR="00611D38" w:rsidRPr="00DE2D55" w:rsidRDefault="00611D38" w:rsidP="00FE560B">
      <w:pPr>
        <w:pStyle w:val="PargrafodaLista"/>
        <w:numPr>
          <w:ilvl w:val="0"/>
          <w:numId w:val="64"/>
        </w:numPr>
        <w:tabs>
          <w:tab w:val="left" w:pos="0"/>
        </w:tabs>
        <w:jc w:val="both"/>
        <w:rPr>
          <w:noProof/>
        </w:rPr>
      </w:pPr>
      <w:r w:rsidRPr="00DE2D55">
        <w:rPr>
          <w:noProof/>
        </w:rPr>
        <w:t>Muita burocracia nos procedimentos, engessados pelo grande número de exigências nas legislações;</w:t>
      </w:r>
    </w:p>
    <w:p w:rsidR="00611D38" w:rsidRPr="00DE2D55" w:rsidRDefault="00611D38" w:rsidP="00FE560B">
      <w:pPr>
        <w:pStyle w:val="PargrafodaLista"/>
        <w:numPr>
          <w:ilvl w:val="0"/>
          <w:numId w:val="64"/>
        </w:numPr>
        <w:tabs>
          <w:tab w:val="left" w:pos="0"/>
        </w:tabs>
        <w:jc w:val="both"/>
        <w:rPr>
          <w:noProof/>
        </w:rPr>
      </w:pPr>
      <w:r w:rsidRPr="00DE2D55">
        <w:rPr>
          <w:noProof/>
        </w:rPr>
        <w:t>Estrutura física das Agências da Receita ruim, não podendo oferecer nenhum conforto ao contribuinte.</w:t>
      </w:r>
    </w:p>
    <w:p w:rsidR="00611D38" w:rsidRPr="00DE2D55" w:rsidRDefault="00611D38" w:rsidP="00FE560B">
      <w:pPr>
        <w:tabs>
          <w:tab w:val="left" w:pos="0"/>
        </w:tabs>
        <w:jc w:val="both"/>
        <w:rPr>
          <w:rFonts w:cs="Calibri"/>
        </w:rPr>
      </w:pPr>
    </w:p>
    <w:p w:rsidR="00611D38" w:rsidRPr="00DE2D55" w:rsidRDefault="00611D38" w:rsidP="00FE560B">
      <w:pPr>
        <w:tabs>
          <w:tab w:val="left" w:pos="0"/>
        </w:tabs>
        <w:ind w:left="357"/>
        <w:jc w:val="both"/>
        <w:rPr>
          <w:rFonts w:cs="Calibri"/>
          <w:b/>
        </w:rPr>
      </w:pPr>
      <w:r w:rsidRPr="00DE2D55">
        <w:rPr>
          <w:rFonts w:cs="Calibri"/>
          <w:b/>
        </w:rPr>
        <w:t xml:space="preserve">Evidências: </w:t>
      </w:r>
    </w:p>
    <w:p w:rsidR="00611D38" w:rsidRPr="00DE2D55" w:rsidRDefault="00611D38" w:rsidP="00FE560B">
      <w:pPr>
        <w:tabs>
          <w:tab w:val="left" w:pos="0"/>
        </w:tabs>
        <w:ind w:left="357"/>
        <w:jc w:val="both"/>
        <w:rPr>
          <w:rFonts w:cs="Calibri"/>
          <w:b/>
        </w:rPr>
      </w:pPr>
    </w:p>
    <w:p w:rsidR="00611D38" w:rsidRPr="00DE2D55" w:rsidRDefault="00611D38" w:rsidP="00FE560B">
      <w:pPr>
        <w:pStyle w:val="PargrafodaLista"/>
        <w:numPr>
          <w:ilvl w:val="0"/>
          <w:numId w:val="64"/>
        </w:numPr>
        <w:tabs>
          <w:tab w:val="left" w:pos="0"/>
        </w:tabs>
        <w:contextualSpacing w:val="0"/>
        <w:jc w:val="both"/>
        <w:rPr>
          <w:noProof/>
        </w:rPr>
      </w:pPr>
      <w:r w:rsidRPr="00DE2D55">
        <w:rPr>
          <w:noProof/>
        </w:rPr>
        <w:t>Em 2017 realizaram 24.307 chamados pelo sistema FALE CONOSCO, além de 9.400 e-mail respondidos pelos atendentes.  Somente de temas fiscais</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Número de reclamações dos contribuintes.</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Morosidade na solução dos problemas.</w:t>
      </w:r>
    </w:p>
    <w:p w:rsidR="00611D38" w:rsidRPr="00DE2D55" w:rsidRDefault="00611D38" w:rsidP="00FE560B">
      <w:pPr>
        <w:pStyle w:val="PargrafodaLista"/>
        <w:numPr>
          <w:ilvl w:val="0"/>
          <w:numId w:val="64"/>
        </w:numPr>
        <w:tabs>
          <w:tab w:val="left" w:pos="0"/>
        </w:tabs>
        <w:contextualSpacing w:val="0"/>
        <w:jc w:val="both"/>
        <w:rPr>
          <w:rFonts w:cs="Calibri"/>
        </w:rPr>
      </w:pPr>
      <w:r w:rsidRPr="00DE2D55">
        <w:rPr>
          <w:noProof/>
        </w:rPr>
        <w:t>Relatórios mostram grande quantidade de serviços manuais, que ainda dependem de deslocamento do contribuinte até uma das Agências da Receita. São eles:</w:t>
      </w:r>
    </w:p>
    <w:p w:rsidR="00611D38" w:rsidRDefault="00611D38"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Default="00FD58F5" w:rsidP="00FE560B">
      <w:pPr>
        <w:pStyle w:val="PargrafodaLista"/>
        <w:tabs>
          <w:tab w:val="left" w:pos="0"/>
        </w:tabs>
        <w:contextualSpacing w:val="0"/>
        <w:jc w:val="both"/>
        <w:rPr>
          <w:rFonts w:cs="Calibri"/>
        </w:rPr>
      </w:pPr>
    </w:p>
    <w:p w:rsidR="00FD58F5" w:rsidRPr="00DE2D55" w:rsidRDefault="00FD58F5" w:rsidP="00FE560B">
      <w:pPr>
        <w:pStyle w:val="PargrafodaLista"/>
        <w:tabs>
          <w:tab w:val="left" w:pos="0"/>
        </w:tabs>
        <w:contextualSpacing w:val="0"/>
        <w:jc w:val="both"/>
        <w:rPr>
          <w:rFonts w:cs="Calibri"/>
        </w:rPr>
      </w:pPr>
    </w:p>
    <w:tbl>
      <w:tblPr>
        <w:tblW w:w="9629" w:type="dxa"/>
        <w:shd w:val="clear" w:color="auto" w:fill="D9DFEF" w:themeFill="accent1" w:themeFillTint="33"/>
        <w:tblCellMar>
          <w:left w:w="70" w:type="dxa"/>
          <w:right w:w="70" w:type="dxa"/>
        </w:tblCellMar>
        <w:tblLook w:val="04A0" w:firstRow="1" w:lastRow="0" w:firstColumn="1" w:lastColumn="0" w:noHBand="0" w:noVBand="1"/>
      </w:tblPr>
      <w:tblGrid>
        <w:gridCol w:w="421"/>
        <w:gridCol w:w="9208"/>
      </w:tblGrid>
      <w:tr w:rsidR="00611D38" w:rsidRPr="00DE2D55" w:rsidTr="00611D38">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w:t>
            </w:r>
          </w:p>
        </w:tc>
        <w:tc>
          <w:tcPr>
            <w:tcW w:w="9208" w:type="dxa"/>
            <w:tcBorders>
              <w:top w:val="single" w:sz="4" w:space="0" w:color="auto"/>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AGV - ALTERAÇÃO DE E-MAIL</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AGV - TERMO DE ADESÃO A AGV</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3</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Auto de Infração de IPVA e ITCMD – CIENTIFICAÇÃO – IMPUGNAÇÃO – RECURSO e REVELIA</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4</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AIDF de Produtor Rural (DEFERIMENTO E CANCELAMENTO)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5</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AUTORIZAR USUÁRIO DE NFA-E, mediante Termo de Adesão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6</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 xml:space="preserve">CADASTRO PJ – ALTERAÇÃO, CANCELAMENTO, CORREÇÃO, </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7</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CADASTRO Produtor Rural – INSCRIÇÃO, ALTERAÇÃO, REATIVAÇÃO, CANCELAMENTO e CORREÇÃO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8</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CERTIDÃO POSITIVA C/ EFEITOS DE NEGATIVA - EMISSÃO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9</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COMUNICAÇÕES DIVERSAS</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10</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ICMS - ISENÇÃO DEF. FÍSICO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11</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ICMS - ISENÇÃO TAXISTA</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12</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ICMS – PARCELAMENTOS DE DÉBITOS FORA DA AGÊNCIA VIRTUAL</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13</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ICMS - RESTITUIÇÃO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14</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IPVA - CADIN - BAIXA DE PENDÊNCIAS</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15</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IPVA - IMPEDIMENTO FAZENDÁRIO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16</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 xml:space="preserve">IPVA - ISENÇÃO </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17</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IPVA - PARCELAMENTO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18</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IPVA - RESTITUIÇÃO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19</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ITCMD - GUIA DE TRANSMISSÃO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20</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ITCMD - PARCELAMENTO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21</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ITCMD – ANÁLISE DE PROCESSO ADMNISTRATIVO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22</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ITCMD – ANÁLISE DE PROCESSO JUDICIAL</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23</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ITCMD - RESTITUIÇÃO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24</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RECEBIMENTO DE MANDADO DE SEGURANÇA</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25</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NOTIFICAÇÃO DE DÉBITO - PEDIDO DE REVISÃO</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26</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REDUA – RETIFICAÇÃO DE DUA</w:t>
            </w:r>
          </w:p>
        </w:tc>
      </w:tr>
      <w:tr w:rsidR="00611D38" w:rsidRPr="00DE2D55" w:rsidTr="00611D38">
        <w:trPr>
          <w:trHeight w:val="300"/>
        </w:trPr>
        <w:tc>
          <w:tcPr>
            <w:tcW w:w="421" w:type="dxa"/>
            <w:tcBorders>
              <w:top w:val="nil"/>
              <w:left w:val="single" w:sz="4" w:space="0" w:color="auto"/>
              <w:bottom w:val="single" w:sz="4" w:space="0" w:color="auto"/>
              <w:right w:val="single" w:sz="4" w:space="0" w:color="auto"/>
            </w:tcBorders>
            <w:shd w:val="clear" w:color="auto" w:fill="D9DFEF" w:themeFill="accent1" w:themeFillTint="33"/>
          </w:tcPr>
          <w:p w:rsidR="00611D38" w:rsidRPr="00DE2D55" w:rsidRDefault="00611D38" w:rsidP="00FD58F5">
            <w:pPr>
              <w:tabs>
                <w:tab w:val="left" w:pos="0"/>
              </w:tabs>
              <w:spacing w:line="240" w:lineRule="auto"/>
              <w:jc w:val="both"/>
            </w:pPr>
            <w:r w:rsidRPr="00DE2D55">
              <w:t>27</w:t>
            </w:r>
          </w:p>
        </w:tc>
        <w:tc>
          <w:tcPr>
            <w:tcW w:w="9208"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D58F5">
            <w:pPr>
              <w:tabs>
                <w:tab w:val="left" w:pos="0"/>
              </w:tabs>
              <w:spacing w:line="240" w:lineRule="auto"/>
              <w:jc w:val="both"/>
            </w:pPr>
            <w:r w:rsidRPr="00DE2D55">
              <w:t>REQUERIMENTOS DIVERSOS</w:t>
            </w:r>
          </w:p>
        </w:tc>
      </w:tr>
    </w:tbl>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p>
    <w:p w:rsidR="00611D38" w:rsidRPr="00DE2D55" w:rsidRDefault="00611D38" w:rsidP="00FE560B">
      <w:pPr>
        <w:tabs>
          <w:tab w:val="left" w:pos="0"/>
        </w:tabs>
        <w:ind w:left="788"/>
        <w:jc w:val="both"/>
        <w:rPr>
          <w:rFonts w:cs="Calibri"/>
        </w:rPr>
      </w:pPr>
      <w:r w:rsidRPr="00DE2D55">
        <w:rPr>
          <w:noProof/>
          <w:shd w:val="clear" w:color="auto" w:fill="5B63B7" w:themeFill="text2" w:themeFillTint="99"/>
          <w:lang w:eastAsia="pt-BR"/>
        </w:rPr>
        <w:drawing>
          <wp:inline distT="0" distB="0" distL="0" distR="0" wp14:anchorId="14EF61BB" wp14:editId="3E850F70">
            <wp:extent cx="5915025" cy="240665"/>
            <wp:effectExtent l="0" t="0" r="9525"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4221" cy="256907"/>
                    </a:xfrm>
                    <a:prstGeom prst="rect">
                      <a:avLst/>
                    </a:prstGeom>
                    <a:noFill/>
                    <a:ln>
                      <a:noFill/>
                    </a:ln>
                  </pic:spPr>
                </pic:pic>
              </a:graphicData>
            </a:graphic>
          </wp:inline>
        </w:drawing>
      </w:r>
    </w:p>
    <w:p w:rsidR="00611D38" w:rsidRPr="00DE2D55" w:rsidRDefault="00611D38" w:rsidP="00FE560B">
      <w:pPr>
        <w:tabs>
          <w:tab w:val="left" w:pos="0"/>
        </w:tabs>
        <w:ind w:left="788"/>
        <w:jc w:val="both"/>
        <w:rPr>
          <w:rFonts w:cs="Calibri"/>
        </w:rPr>
      </w:pPr>
      <w:r w:rsidRPr="00DE2D55">
        <w:rPr>
          <w:noProof/>
          <w:lang w:eastAsia="pt-BR"/>
        </w:rPr>
        <w:drawing>
          <wp:anchor distT="0" distB="0" distL="114300" distR="114300" simplePos="0" relativeHeight="251698176" behindDoc="0" locked="0" layoutInCell="1" allowOverlap="1" wp14:anchorId="11AE00A0" wp14:editId="394E471C">
            <wp:simplePos x="0" y="0"/>
            <wp:positionH relativeFrom="margin">
              <wp:align>right</wp:align>
            </wp:positionH>
            <wp:positionV relativeFrom="paragraph">
              <wp:posOffset>163830</wp:posOffset>
            </wp:positionV>
            <wp:extent cx="2752725" cy="2590800"/>
            <wp:effectExtent l="0" t="0" r="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W w:w="5387" w:type="dxa"/>
        <w:tblCellMar>
          <w:left w:w="70" w:type="dxa"/>
          <w:right w:w="70" w:type="dxa"/>
        </w:tblCellMar>
        <w:tblLook w:val="04A0" w:firstRow="1" w:lastRow="0" w:firstColumn="1" w:lastColumn="0" w:noHBand="0" w:noVBand="1"/>
      </w:tblPr>
      <w:tblGrid>
        <w:gridCol w:w="456"/>
        <w:gridCol w:w="3939"/>
        <w:gridCol w:w="992"/>
      </w:tblGrid>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pPr>
          </w:p>
        </w:tc>
        <w:tc>
          <w:tcPr>
            <w:tcW w:w="3939" w:type="dxa"/>
            <w:tcBorders>
              <w:top w:val="single" w:sz="4" w:space="0" w:color="auto"/>
              <w:left w:val="single" w:sz="4" w:space="0" w:color="auto"/>
              <w:bottom w:val="single" w:sz="4" w:space="0" w:color="auto"/>
              <w:right w:val="single" w:sz="4" w:space="0" w:color="auto"/>
            </w:tcBorders>
            <w:shd w:val="clear" w:color="auto" w:fill="5B63B7" w:themeFill="text2" w:themeFillTint="99"/>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DESCRIÇÃO</w:t>
            </w:r>
          </w:p>
        </w:tc>
        <w:tc>
          <w:tcPr>
            <w:tcW w:w="992"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QTD</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AIDF (DEFERIMENTO E CANCELAMENTO)</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14552</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2º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ITCMD - GUIA DE TRANSMISSÃO</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13316</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3º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LIVROS - HOMOLOGAÇÃO LIVRO NOVO</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11944</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4º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PED - AUTORIZAÇÃO</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8056</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5º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CADASTRO INSCRIÇÃO PRODUTOR RURAL</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6752</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6º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AGV - TERMO DE ADESÃO A AGV</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4952</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7º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OFÍCIOS DIVERSOS (CORREIO OU DTE)</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3988</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8º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CADASTRO PESSOA JURÍDICA - BAIXA</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3116</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9º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REQUERIMENTOS DIVERSOS</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2728</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10º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CADASTRO BAIXA PRODUTOR RURAL</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2556</w:t>
            </w:r>
          </w:p>
        </w:tc>
      </w:tr>
      <w:tr w:rsidR="00611D38" w:rsidRPr="00DE2D55" w:rsidTr="00555E76">
        <w:trPr>
          <w:trHeight w:val="300"/>
        </w:trPr>
        <w:tc>
          <w:tcPr>
            <w:tcW w:w="456" w:type="dxa"/>
            <w:tcBorders>
              <w:top w:val="nil"/>
              <w:left w:val="nil"/>
              <w:bottom w:val="nil"/>
              <w:right w:val="nil"/>
            </w:tcBorders>
            <w:shd w:val="clear" w:color="auto" w:fill="auto"/>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11º</w:t>
            </w:r>
          </w:p>
        </w:tc>
        <w:tc>
          <w:tcPr>
            <w:tcW w:w="3939" w:type="dxa"/>
            <w:tcBorders>
              <w:top w:val="nil"/>
              <w:left w:val="single" w:sz="4" w:space="0" w:color="auto"/>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LIVROS FISCAIS - AUTENTICAÇÃO</w:t>
            </w:r>
          </w:p>
        </w:tc>
        <w:tc>
          <w:tcPr>
            <w:tcW w:w="992" w:type="dxa"/>
            <w:tcBorders>
              <w:top w:val="nil"/>
              <w:left w:val="nil"/>
              <w:bottom w:val="single" w:sz="4" w:space="0" w:color="auto"/>
              <w:right w:val="single" w:sz="4" w:space="0" w:color="auto"/>
            </w:tcBorders>
            <w:shd w:val="clear" w:color="auto" w:fill="D9DFEF" w:themeFill="accent1" w:themeFillTint="33"/>
            <w:noWrap/>
            <w:vAlign w:val="bottom"/>
            <w:hideMark/>
          </w:tcPr>
          <w:p w:rsidR="00611D38" w:rsidRPr="00DE2D55" w:rsidRDefault="00611D38" w:rsidP="00FE560B">
            <w:pPr>
              <w:tabs>
                <w:tab w:val="left" w:pos="0"/>
              </w:tabs>
              <w:spacing w:line="240" w:lineRule="auto"/>
              <w:jc w:val="both"/>
              <w:rPr>
                <w:color w:val="000000"/>
              </w:rPr>
            </w:pPr>
            <w:r w:rsidRPr="00DE2D55">
              <w:rPr>
                <w:color w:val="000000"/>
              </w:rPr>
              <w:t>2508</w:t>
            </w:r>
          </w:p>
        </w:tc>
      </w:tr>
    </w:tbl>
    <w:p w:rsidR="00611D38" w:rsidRPr="00DE2D55" w:rsidRDefault="00555E76" w:rsidP="00A249C9">
      <w:pPr>
        <w:pStyle w:val="PargrafodaLista"/>
        <w:numPr>
          <w:ilvl w:val="1"/>
          <w:numId w:val="67"/>
        </w:numPr>
        <w:pBdr>
          <w:bottom w:val="single" w:sz="12" w:space="1" w:color="auto"/>
        </w:pBdr>
        <w:tabs>
          <w:tab w:val="left" w:pos="0"/>
        </w:tabs>
        <w:jc w:val="both"/>
        <w:outlineLvl w:val="2"/>
        <w:rPr>
          <w:rFonts w:cs="Calibri"/>
          <w:b/>
        </w:rPr>
      </w:pPr>
      <w:bookmarkStart w:id="102" w:name="_Toc517282121"/>
      <w:r>
        <w:rPr>
          <w:rFonts w:cs="Calibri"/>
          <w:b/>
        </w:rPr>
        <w:t>DESCRIÇÃO DO PRODUTO</w:t>
      </w:r>
      <w:r w:rsidR="00611D38" w:rsidRPr="00DE2D55">
        <w:rPr>
          <w:rFonts w:cs="Calibri"/>
          <w:b/>
        </w:rPr>
        <w:t xml:space="preserve"> E SUA META QUANTITATIVA</w:t>
      </w:r>
      <w:bookmarkEnd w:id="102"/>
    </w:p>
    <w:p w:rsidR="00611D38" w:rsidRPr="00DE2D55" w:rsidRDefault="00611D38" w:rsidP="00FE560B">
      <w:pPr>
        <w:tabs>
          <w:tab w:val="left" w:pos="0"/>
        </w:tabs>
        <w:jc w:val="both"/>
        <w:rPr>
          <w:rFonts w:cs="Calibri"/>
          <w:b/>
        </w:rPr>
      </w:pPr>
      <w:r w:rsidRPr="00DE2D55">
        <w:rPr>
          <w:rFonts w:cs="Calibri"/>
          <w:b/>
        </w:rPr>
        <w:t>3.1 – Produto Principal:</w:t>
      </w:r>
    </w:p>
    <w:p w:rsidR="00611D38" w:rsidRPr="00DE2D55" w:rsidRDefault="00611D38" w:rsidP="00FE560B">
      <w:pPr>
        <w:pStyle w:val="PargrafodaLista"/>
        <w:tabs>
          <w:tab w:val="left" w:pos="0"/>
        </w:tabs>
        <w:ind w:left="0"/>
        <w:jc w:val="both"/>
        <w:rPr>
          <w:rFonts w:cs="Calibri"/>
          <w:b/>
          <w:bCs/>
        </w:rPr>
      </w:pPr>
      <w:r w:rsidRPr="00DE2D55">
        <w:rPr>
          <w:rFonts w:cs="Calibri"/>
          <w:b/>
          <w:bCs/>
        </w:rPr>
        <w:t>Sistema de Atendimento Integral implantado</w:t>
      </w:r>
    </w:p>
    <w:p w:rsidR="00611D38" w:rsidRPr="00DE2D55" w:rsidRDefault="00611D38" w:rsidP="00FE560B">
      <w:pPr>
        <w:pStyle w:val="PargrafodaLista"/>
        <w:tabs>
          <w:tab w:val="left" w:pos="0"/>
        </w:tabs>
        <w:ind w:left="0"/>
        <w:jc w:val="both"/>
        <w:rPr>
          <w:rFonts w:cs="Calibri"/>
          <w:b/>
          <w:bCs/>
        </w:rPr>
      </w:pPr>
      <w:r w:rsidRPr="00DE2D55">
        <w:rPr>
          <w:rFonts w:cs="Calibri"/>
          <w:b/>
          <w:bCs/>
        </w:rPr>
        <w:t>3.2 – Subproduto</w:t>
      </w:r>
    </w:p>
    <w:p w:rsidR="00611D38" w:rsidRPr="00DE2D55" w:rsidRDefault="00611D38" w:rsidP="00FE560B">
      <w:pPr>
        <w:pStyle w:val="PargrafodaLista"/>
        <w:tabs>
          <w:tab w:val="left" w:pos="0"/>
        </w:tabs>
        <w:ind w:left="0"/>
        <w:jc w:val="both"/>
        <w:rPr>
          <w:rFonts w:cs="Calibri"/>
          <w:b/>
          <w:bCs/>
        </w:rPr>
      </w:pPr>
    </w:p>
    <w:p w:rsidR="00611D38" w:rsidRPr="00DE2D55" w:rsidRDefault="00611D38" w:rsidP="00FE560B">
      <w:pPr>
        <w:pStyle w:val="PargrafodaLista"/>
        <w:tabs>
          <w:tab w:val="left" w:pos="0"/>
        </w:tabs>
        <w:ind w:left="0"/>
        <w:jc w:val="both"/>
        <w:rPr>
          <w:rFonts w:cs="Calibri"/>
          <w:b/>
          <w:bCs/>
        </w:rPr>
      </w:pPr>
      <w:r w:rsidRPr="00DE2D55">
        <w:rPr>
          <w:rFonts w:cs="Calibri"/>
          <w:b/>
          <w:bCs/>
        </w:rPr>
        <w:t>3.2.1 - Modelo de atendimento com base em inteligência artificial (acesso cognitivo) com acesso eletrônico e via telefone.</w:t>
      </w:r>
    </w:p>
    <w:p w:rsidR="00611D38" w:rsidRPr="00DE2D55" w:rsidRDefault="00611D38" w:rsidP="00FE560B">
      <w:pPr>
        <w:pStyle w:val="PargrafodaLista"/>
        <w:tabs>
          <w:tab w:val="left" w:pos="0"/>
        </w:tabs>
        <w:ind w:left="0"/>
        <w:jc w:val="both"/>
        <w:rPr>
          <w:rFonts w:cs="Calibri"/>
          <w:bCs/>
        </w:rPr>
      </w:pPr>
    </w:p>
    <w:p w:rsidR="00611D38" w:rsidRPr="00DE2D55" w:rsidRDefault="00611D38" w:rsidP="00FE560B">
      <w:pPr>
        <w:tabs>
          <w:tab w:val="left" w:pos="0"/>
        </w:tabs>
        <w:jc w:val="both"/>
        <w:rPr>
          <w:rFonts w:cs="Calibri"/>
        </w:rPr>
      </w:pPr>
      <w:r w:rsidRPr="00DE2D55">
        <w:rPr>
          <w:rFonts w:cs="Calibri"/>
        </w:rPr>
        <w:t>A Lei Complementar n°101/2000, conhecida como Lei de Responsabilidade Fiscal, estabelece normas de finanças públicas voltadas para a responsabilidade na gestão fiscal. Ela objetiva aprimorar a gestão dos recursos públicos, por meio de ações planejadas e transparentes que previnem riscos e corrigem desvios capazes de afetar o equilíbrio das contas públicas.</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É nesse âmbito que a solução deve ser otimizada para cenários de assistência ao cliente, centrada em fornecer respostas a perguntas descritivas para ajudar o usuário a obter informações necessárias para tomar uma decisão, ou para explorar opções, oferecendo recursos de grande valia, na medida em que representa ferramenta de fundamental importância para a modernização do acesso do cidadão às informações do fisco estadual.</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A implementação dessa ferramenta de software, aliada a uma estrutura administrativa devidamente treinada na sua utilização, bem como dotada de recursos apropriados, no uso de serviços modernos de telecomunicação com o público (“call center”), conduz de forma eficiente e eficaz ao substancial incremento na arrecadação dos tributos de competência estadual e no melhor relacionamento entre o fisco e o contribuinte.</w:t>
      </w:r>
    </w:p>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cs="Calibri"/>
        </w:rPr>
      </w:pPr>
      <w:r w:rsidRPr="00DE2D55">
        <w:rPr>
          <w:rFonts w:cs="Calibri"/>
        </w:rPr>
        <w:t xml:space="preserve">A Solução deve ser capaz de: </w:t>
      </w:r>
    </w:p>
    <w:p w:rsidR="00611D38" w:rsidRPr="00DE2D55" w:rsidRDefault="00611D38" w:rsidP="00FE560B">
      <w:pPr>
        <w:tabs>
          <w:tab w:val="left" w:pos="0"/>
        </w:tabs>
        <w:jc w:val="both"/>
        <w:rPr>
          <w:rFonts w:cs="Calibri"/>
        </w:rPr>
      </w:pP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 xml:space="preserve">Compreender os recursos de dados e requisitos específicos, pertinentes a SEFAZ;  </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Compreender o domínio (assunto) e os tipos de perguntas e respostas;</w:t>
      </w:r>
    </w:p>
    <w:p w:rsidR="00611D38" w:rsidRPr="00DE2D55" w:rsidRDefault="00611D38" w:rsidP="00A249C9">
      <w:pPr>
        <w:pStyle w:val="Pr-formataoHTML"/>
        <w:numPr>
          <w:ilvl w:val="0"/>
          <w:numId w:val="66"/>
        </w:numPr>
        <w:shd w:val="clear" w:color="auto" w:fill="FFFFFF"/>
        <w:tabs>
          <w:tab w:val="left" w:pos="0"/>
        </w:tabs>
        <w:spacing w:line="360" w:lineRule="auto"/>
        <w:jc w:val="both"/>
        <w:rPr>
          <w:rFonts w:asciiTheme="minorHAnsi" w:hAnsiTheme="minorHAnsi" w:cs="Calibri"/>
          <w:sz w:val="22"/>
          <w:szCs w:val="22"/>
        </w:rPr>
      </w:pPr>
      <w:r w:rsidRPr="00DE2D55">
        <w:rPr>
          <w:rFonts w:asciiTheme="minorHAnsi" w:hAnsiTheme="minorHAnsi" w:cs="Calibri"/>
          <w:sz w:val="22"/>
          <w:szCs w:val="22"/>
        </w:rPr>
        <w:t>Conhecer os termos e formas que os usuários normalmente usam para fazer perguntas à SEFAZ;</w:t>
      </w:r>
    </w:p>
    <w:p w:rsidR="00611D38" w:rsidRPr="00DE2D55" w:rsidRDefault="00611D38" w:rsidP="00A249C9">
      <w:pPr>
        <w:pStyle w:val="Pr-formataoHTML"/>
        <w:numPr>
          <w:ilvl w:val="0"/>
          <w:numId w:val="66"/>
        </w:numPr>
        <w:shd w:val="clear" w:color="auto" w:fill="FFFFFF"/>
        <w:tabs>
          <w:tab w:val="left" w:pos="0"/>
        </w:tabs>
        <w:spacing w:line="360" w:lineRule="auto"/>
        <w:jc w:val="both"/>
        <w:rPr>
          <w:rFonts w:asciiTheme="minorHAnsi" w:hAnsiTheme="minorHAnsi" w:cs="Calibri"/>
          <w:sz w:val="22"/>
          <w:szCs w:val="22"/>
        </w:rPr>
      </w:pPr>
      <w:r w:rsidRPr="00DE2D55">
        <w:rPr>
          <w:rFonts w:asciiTheme="minorHAnsi" w:hAnsiTheme="minorHAnsi" w:cs="Calibri"/>
          <w:sz w:val="22"/>
          <w:szCs w:val="22"/>
        </w:rPr>
        <w:t>Ajudar a identificar e carregar as informações necessárias para se tornar parte de conteúdo de conhecimento da solução; e</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Não serão aceitos sistemas que possuírem tecnologias que fazem buscas baseadas em “keyword hit”, máximo de palavras chave coincidentes.</w:t>
      </w:r>
    </w:p>
    <w:p w:rsidR="00611D38" w:rsidRPr="00DE2D55" w:rsidRDefault="00611D38" w:rsidP="00FE560B">
      <w:pPr>
        <w:tabs>
          <w:tab w:val="left" w:pos="0"/>
        </w:tabs>
        <w:jc w:val="both"/>
        <w:rPr>
          <w:rFonts w:cs="Calibri"/>
        </w:rPr>
      </w:pPr>
      <w:r w:rsidRPr="00DE2D55">
        <w:rPr>
          <w:rFonts w:cs="Calibri"/>
        </w:rPr>
        <w:t xml:space="preserve"> Características cognitivas:</w:t>
      </w:r>
    </w:p>
    <w:p w:rsidR="00611D38" w:rsidRPr="00DE2D55" w:rsidRDefault="00611D38" w:rsidP="00FE560B">
      <w:pPr>
        <w:tabs>
          <w:tab w:val="left" w:pos="0"/>
        </w:tabs>
        <w:jc w:val="both"/>
        <w:rPr>
          <w:rFonts w:cs="Calibri"/>
        </w:rPr>
      </w:pP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Compreender questões em linguagem natural. Deve-se entender como linguagem natural a linguagem real que o ser humano usa normalmente para adquirir e comunicar conhecimento, sendo capaz de compreender trocadilhos, gírias, jargões e acrônimos para determinar qualidade da resposta.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O suporte a processamento de linguagem natural deve ser capaz de compreender as complexidades da comunicação humana, compreender os significados da interação com o usuário e extrair conhecimento das fontes de dados;</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Capaz de compreender sintaxe e semântica;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Respostas probabilísticas – indicando o percentual de assertividade da resposta;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O sistema deve possuir mais valor com o tempo, desenvolvendo mais expertise, ao longo do tempo e se tornando mais assertivo em sua resposta;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O sistema deve retornar com a melhor resposta com “scoring” e utilizando probabilística, baseando-se em suas tecnologias de aprendizado de máquina e inteligência artificial;</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O sistema deve ser capaz de compreender perguntas e textos, diferentes dos quais foram treinados, utilizando recursos de linguística;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A compreensão de textos deve ir além da compreensão de palavras isoladas e utilizar técnicas de compreensão de sintaxe, semântica, ontologias, extração de conceitos e compreensão de contextos específicos da SEFAZ;</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Ser capaz de gerar e avaliar hipóteses e responder perguntas baseado em evidências;</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Ser capaz de adaptar e aprender com as escolhas do usuário, se tornando mais inteligente a cada interação com o usuário;</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Disponibilizar canal de conversação via chat (on line ou não) para relacionamento com os contribuintes, sendo um</w:t>
      </w:r>
      <w:r w:rsidR="00EB6017">
        <w:rPr>
          <w:rFonts w:cs="Calibri"/>
        </w:rPr>
        <w:t>A</w:t>
      </w:r>
      <w:r w:rsidRPr="00DE2D55">
        <w:rPr>
          <w:rFonts w:cs="Calibri"/>
        </w:rPr>
        <w:t xml:space="preserve"> ferramenta interativa em que possa demandar, inclusive enviar arquivos anexos;</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Implantar controle de atendimento nas maiores agências, organizado por senha de chamada;</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Implantar relatório de gestão do atendimento em todas as Agências da Receita Estadual;</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Implantar gestão de todos os atendimentos virtuais, com possibilidade de expedir relatórios para subsidiar as ações de planejamento da Gerência de Atendimento ao contribuinte;</w:t>
      </w:r>
    </w:p>
    <w:p w:rsidR="00611D38" w:rsidRPr="00DE2D55" w:rsidRDefault="00611D38" w:rsidP="00A249C9">
      <w:pPr>
        <w:pStyle w:val="PargrafodaLista"/>
        <w:numPr>
          <w:ilvl w:val="0"/>
          <w:numId w:val="66"/>
        </w:numPr>
        <w:tabs>
          <w:tab w:val="left" w:pos="0"/>
        </w:tabs>
        <w:contextualSpacing w:val="0"/>
        <w:jc w:val="both"/>
        <w:rPr>
          <w:rFonts w:cs="Calibri"/>
        </w:rPr>
      </w:pPr>
      <w:r w:rsidRPr="00DE2D55">
        <w:rPr>
          <w:rFonts w:cs="Calibri"/>
        </w:rPr>
        <w:t>Criar um portal da Educação Tributária, hospedado no site da SEFAZ, atendendo as demandas dos NAC’s (municípios), Secretarias Municipais de Fazenda e Finanças, com vistas ao Índice de Participação dos Municípios; Dispor material didático do curso do Disseminadores da Educação Fiscal-DEF/ESAF; Inscrição em eventos organizados pela SUDET – Supervisão de Educação Tributária, vinculada a esta gerência.</w:t>
      </w: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3" w:name="_Toc517282122"/>
      <w:r w:rsidRPr="00DE2D55">
        <w:rPr>
          <w:rFonts w:cs="Calibri"/>
          <w:b/>
        </w:rPr>
        <w:t>DESCRIÇÃO DO RESULTADO ESPERA</w:t>
      </w:r>
      <w:r w:rsidR="00E64C5C">
        <w:rPr>
          <w:rFonts w:cs="Calibri"/>
          <w:b/>
        </w:rPr>
        <w:t>DO COM A IMPLANTAÇÃO DO PRODUTO</w:t>
      </w:r>
      <w:r w:rsidRPr="00DE2D55">
        <w:rPr>
          <w:rFonts w:cs="Calibri"/>
          <w:b/>
        </w:rPr>
        <w:t xml:space="preserve"> E RESPECTIVA LINHA DE BASE</w:t>
      </w:r>
      <w:bookmarkEnd w:id="103"/>
    </w:p>
    <w:p w:rsidR="00EB6017" w:rsidRDefault="00EB6017" w:rsidP="00FE560B">
      <w:pPr>
        <w:tabs>
          <w:tab w:val="left" w:pos="0"/>
        </w:tabs>
        <w:jc w:val="both"/>
        <w:rPr>
          <w:rFonts w:cs="Calibri"/>
          <w:b/>
        </w:rPr>
      </w:pPr>
    </w:p>
    <w:p w:rsidR="00611D38" w:rsidRDefault="00611D38" w:rsidP="00FE560B">
      <w:pPr>
        <w:tabs>
          <w:tab w:val="left" w:pos="0"/>
        </w:tabs>
        <w:jc w:val="both"/>
        <w:rPr>
          <w:rFonts w:cs="Calibri"/>
          <w:b/>
        </w:rPr>
      </w:pPr>
      <w:r w:rsidRPr="00DE2D55">
        <w:rPr>
          <w:rFonts w:cs="Calibri"/>
          <w:b/>
        </w:rPr>
        <w:t>4</w:t>
      </w:r>
      <w:r w:rsidR="002716DA">
        <w:rPr>
          <w:rFonts w:cs="Calibri"/>
          <w:b/>
        </w:rPr>
        <w:t>.4</w:t>
      </w:r>
      <w:r w:rsidRPr="00DE2D55">
        <w:rPr>
          <w:rFonts w:cs="Calibri"/>
          <w:b/>
        </w:rPr>
        <w:t>.1- Meta e Indicador de Subproduto:</w:t>
      </w:r>
    </w:p>
    <w:p w:rsidR="00FD58F5" w:rsidRPr="00DE2D55" w:rsidRDefault="00FD58F5" w:rsidP="00FE560B">
      <w:pPr>
        <w:tabs>
          <w:tab w:val="left" w:pos="0"/>
        </w:tabs>
        <w:jc w:val="both"/>
        <w:rPr>
          <w:rFonts w:cs="Calibri"/>
          <w:b/>
        </w:rPr>
      </w:pPr>
    </w:p>
    <w:p w:rsidR="00611D38" w:rsidRPr="002716DA" w:rsidRDefault="00611D38" w:rsidP="00FE560B">
      <w:pPr>
        <w:tabs>
          <w:tab w:val="left" w:pos="0"/>
        </w:tabs>
        <w:jc w:val="both"/>
        <w:rPr>
          <w:rFonts w:cs="Calibri"/>
        </w:rPr>
      </w:pPr>
      <w:r w:rsidRPr="002716DA">
        <w:rPr>
          <w:rFonts w:cs="Calibri"/>
        </w:rPr>
        <w:t xml:space="preserve">Espera-se aumentar a quantidade de serviços prestados de forma automatizada, evitando ou diminuindo o trabalho humano. Assim como, agilizar a prestação do serviço. Satisfazer o contribuinte pelos serviços prestados em retribuição aos tributos pagos ao Estado. Gerir o atendimento, podendo distribuir e remanejar pessoal de acordo com a demanda, além de idealizar novos métodos de prestação de serviços.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5"/>
        <w:gridCol w:w="2255"/>
      </w:tblGrid>
      <w:tr w:rsidR="00611D38" w:rsidRPr="00DE2D55" w:rsidTr="002716DA">
        <w:tc>
          <w:tcPr>
            <w:tcW w:w="3846" w:type="pct"/>
            <w:shd w:val="clear" w:color="auto" w:fill="D6E3BC"/>
          </w:tcPr>
          <w:p w:rsidR="00611D38" w:rsidRPr="00DE2D55" w:rsidRDefault="00611D38" w:rsidP="00FE560B">
            <w:pPr>
              <w:tabs>
                <w:tab w:val="left" w:pos="0"/>
              </w:tabs>
              <w:spacing w:line="240" w:lineRule="auto"/>
              <w:jc w:val="both"/>
              <w:rPr>
                <w:rFonts w:cs="Calibri"/>
                <w:b/>
                <w:bCs/>
              </w:rPr>
            </w:pPr>
            <w:r w:rsidRPr="00DE2D55">
              <w:rPr>
                <w:rFonts w:cs="Calibri"/>
                <w:b/>
                <w:bCs/>
              </w:rPr>
              <w:t>SubProduto/Indicador de SubProduto</w:t>
            </w:r>
          </w:p>
        </w:tc>
        <w:tc>
          <w:tcPr>
            <w:tcW w:w="1154" w:type="pct"/>
            <w:shd w:val="clear" w:color="auto" w:fill="D6E3BC"/>
          </w:tcPr>
          <w:p w:rsidR="00611D38" w:rsidRPr="00DE2D55" w:rsidRDefault="00611D38" w:rsidP="00FE560B">
            <w:pPr>
              <w:tabs>
                <w:tab w:val="left" w:pos="0"/>
              </w:tabs>
              <w:spacing w:line="240" w:lineRule="auto"/>
              <w:jc w:val="both"/>
              <w:rPr>
                <w:rFonts w:cs="Calibri"/>
                <w:b/>
                <w:bCs/>
              </w:rPr>
            </w:pPr>
          </w:p>
        </w:tc>
      </w:tr>
      <w:tr w:rsidR="00611D38" w:rsidRPr="00DE2D55" w:rsidTr="002716DA">
        <w:tc>
          <w:tcPr>
            <w:tcW w:w="3846" w:type="pct"/>
            <w:shd w:val="clear" w:color="auto" w:fill="D6E3BC"/>
          </w:tcPr>
          <w:p w:rsidR="00611D38" w:rsidRPr="00DE2D55" w:rsidRDefault="00611D38" w:rsidP="00FE560B">
            <w:pPr>
              <w:tabs>
                <w:tab w:val="left" w:pos="0"/>
              </w:tabs>
              <w:spacing w:line="240" w:lineRule="auto"/>
              <w:jc w:val="both"/>
              <w:rPr>
                <w:rFonts w:cs="Calibri"/>
                <w:b/>
                <w:bCs/>
              </w:rPr>
            </w:pPr>
            <w:r w:rsidRPr="00DE2D55">
              <w:rPr>
                <w:rFonts w:cs="Calibri"/>
                <w:b/>
                <w:bCs/>
              </w:rPr>
              <w:t>Solução integrada de inteligência artificial para atendimento eletrônico ao contribuinte.</w:t>
            </w:r>
          </w:p>
        </w:tc>
        <w:tc>
          <w:tcPr>
            <w:tcW w:w="1154" w:type="pct"/>
            <w:shd w:val="clear" w:color="auto" w:fill="D6E3BC"/>
          </w:tcPr>
          <w:p w:rsidR="00611D38" w:rsidRPr="00DE2D55" w:rsidRDefault="00611D38" w:rsidP="00FE560B">
            <w:pPr>
              <w:tabs>
                <w:tab w:val="left" w:pos="0"/>
              </w:tabs>
              <w:spacing w:line="240" w:lineRule="auto"/>
              <w:jc w:val="both"/>
              <w:rPr>
                <w:rFonts w:cs="Calibri"/>
                <w:b/>
                <w:bCs/>
              </w:rPr>
            </w:pPr>
            <w:r w:rsidRPr="00DE2D55">
              <w:rPr>
                <w:rFonts w:cs="Calibri"/>
                <w:b/>
                <w:bCs/>
              </w:rPr>
              <w:t>Meta</w:t>
            </w:r>
          </w:p>
        </w:tc>
      </w:tr>
      <w:tr w:rsidR="00611D38" w:rsidRPr="00DE2D55" w:rsidTr="002716DA">
        <w:tc>
          <w:tcPr>
            <w:tcW w:w="3846" w:type="pct"/>
            <w:shd w:val="clear" w:color="auto" w:fill="auto"/>
          </w:tcPr>
          <w:p w:rsidR="00611D38" w:rsidRPr="002716DA" w:rsidRDefault="002716DA" w:rsidP="00FE560B">
            <w:pPr>
              <w:tabs>
                <w:tab w:val="left" w:pos="0"/>
              </w:tabs>
              <w:spacing w:line="240" w:lineRule="auto"/>
              <w:jc w:val="both"/>
              <w:rPr>
                <w:rFonts w:cs="Calibri"/>
                <w:bCs/>
              </w:rPr>
            </w:pPr>
            <w:r w:rsidRPr="002716DA">
              <w:rPr>
                <w:rFonts w:ascii="Arial" w:hAnsi="Arial" w:cs="Arial"/>
                <w:sz w:val="18"/>
                <w:szCs w:val="18"/>
              </w:rPr>
              <w:t>Sistema informatizado de atendimento</w:t>
            </w:r>
          </w:p>
        </w:tc>
        <w:tc>
          <w:tcPr>
            <w:tcW w:w="1154" w:type="pct"/>
            <w:shd w:val="clear" w:color="auto" w:fill="auto"/>
          </w:tcPr>
          <w:p w:rsidR="00611D38" w:rsidRPr="00DE2D55" w:rsidRDefault="00242B5E" w:rsidP="00FE560B">
            <w:pPr>
              <w:tabs>
                <w:tab w:val="left" w:pos="0"/>
              </w:tabs>
              <w:spacing w:line="240" w:lineRule="auto"/>
              <w:jc w:val="center"/>
              <w:rPr>
                <w:rFonts w:cs="Calibri"/>
                <w:bCs/>
              </w:rPr>
            </w:pPr>
            <w:r w:rsidRPr="00DE2D55">
              <w:rPr>
                <w:rFonts w:cs="Calibri"/>
                <w:bCs/>
              </w:rPr>
              <w:t>1</w:t>
            </w:r>
          </w:p>
        </w:tc>
      </w:tr>
    </w:tbl>
    <w:p w:rsidR="00EB6017" w:rsidRDefault="00EB6017" w:rsidP="00FE560B">
      <w:pPr>
        <w:pStyle w:val="Corpodetexto3"/>
        <w:tabs>
          <w:tab w:val="left" w:pos="0"/>
        </w:tabs>
        <w:spacing w:before="0" w:after="0" w:line="360" w:lineRule="auto"/>
        <w:rPr>
          <w:rFonts w:asciiTheme="minorHAnsi" w:hAnsiTheme="minorHAnsi" w:cs="Calibri"/>
          <w:b/>
          <w:sz w:val="22"/>
          <w:szCs w:val="22"/>
        </w:rPr>
      </w:pPr>
    </w:p>
    <w:p w:rsidR="00611D38" w:rsidRPr="00DE2D55" w:rsidRDefault="00611D38" w:rsidP="00FE560B">
      <w:pPr>
        <w:pStyle w:val="Corpodetexto3"/>
        <w:tabs>
          <w:tab w:val="left" w:pos="0"/>
        </w:tabs>
        <w:spacing w:before="0" w:after="0" w:line="360" w:lineRule="auto"/>
        <w:rPr>
          <w:rFonts w:asciiTheme="minorHAnsi" w:hAnsiTheme="minorHAnsi" w:cs="Calibri"/>
          <w:b/>
          <w:sz w:val="22"/>
          <w:szCs w:val="22"/>
        </w:rPr>
      </w:pPr>
      <w:r w:rsidRPr="00DE2D55">
        <w:rPr>
          <w:rFonts w:asciiTheme="minorHAnsi" w:hAnsiTheme="minorHAnsi" w:cs="Calibri"/>
          <w:b/>
          <w:sz w:val="22"/>
          <w:szCs w:val="22"/>
        </w:rPr>
        <w:t>4</w:t>
      </w:r>
      <w:r w:rsidR="002716DA">
        <w:rPr>
          <w:rFonts w:asciiTheme="minorHAnsi" w:hAnsiTheme="minorHAnsi" w:cs="Calibri"/>
          <w:b/>
          <w:sz w:val="22"/>
          <w:szCs w:val="22"/>
        </w:rPr>
        <w:t>.4</w:t>
      </w:r>
      <w:r w:rsidRPr="00DE2D55">
        <w:rPr>
          <w:rFonts w:asciiTheme="minorHAnsi" w:hAnsiTheme="minorHAnsi" w:cs="Calibri"/>
          <w:b/>
          <w:sz w:val="22"/>
          <w:szCs w:val="22"/>
        </w:rPr>
        <w:t>.2- Resultados quantificáveis</w:t>
      </w:r>
    </w:p>
    <w:p w:rsidR="00611D38" w:rsidRPr="00DE2D55" w:rsidRDefault="00611D38" w:rsidP="00FE560B">
      <w:pPr>
        <w:tabs>
          <w:tab w:val="left" w:pos="0"/>
        </w:tabs>
        <w:spacing w:line="240" w:lineRule="auto"/>
        <w:jc w:val="both"/>
        <w:rPr>
          <w:rFonts w:cs="Calibri"/>
          <w:b/>
          <w:color w:val="0000FF"/>
        </w:rPr>
      </w:pPr>
      <w:r w:rsidRPr="00DE2D55">
        <w:rPr>
          <w:rFonts w:cs="Calibri"/>
          <w:b/>
        </w:rPr>
        <w:t>4.</w:t>
      </w:r>
      <w:r w:rsidR="002716DA">
        <w:rPr>
          <w:rFonts w:cs="Calibri"/>
          <w:b/>
        </w:rPr>
        <w:t>4.</w:t>
      </w:r>
      <w:r w:rsidRPr="00DE2D55">
        <w:rPr>
          <w:rFonts w:cs="Calibri"/>
          <w:b/>
        </w:rPr>
        <w:t xml:space="preserve">2.1- </w:t>
      </w:r>
      <w:r w:rsidRPr="00DE2D55">
        <w:rPr>
          <w:rFonts w:cs="Calibri"/>
          <w:b/>
          <w:bCs/>
        </w:rPr>
        <w:t>Solução integrada de inteligência artificial para atendimento eletrônico ao contribuinte.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25"/>
        <w:gridCol w:w="1982"/>
        <w:gridCol w:w="3288"/>
      </w:tblGrid>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Resultado 1</w:t>
            </w:r>
          </w:p>
        </w:tc>
        <w:tc>
          <w:tcPr>
            <w:tcW w:w="7403" w:type="dxa"/>
            <w:gridSpan w:val="3"/>
            <w:vAlign w:val="center"/>
          </w:tcPr>
          <w:p w:rsidR="00611D38" w:rsidRPr="00DE2D55" w:rsidRDefault="00611D38" w:rsidP="00FD58F5">
            <w:pPr>
              <w:tabs>
                <w:tab w:val="left" w:pos="0"/>
              </w:tabs>
              <w:spacing w:line="240" w:lineRule="auto"/>
              <w:jc w:val="both"/>
              <w:rPr>
                <w:rFonts w:cs="Calibri"/>
                <w:b/>
              </w:rPr>
            </w:pPr>
            <w:r w:rsidRPr="00DE2D55">
              <w:rPr>
                <w:noProof/>
              </w:rPr>
              <w:t>Canal de conversação com o contribuinte modelo chat (on line)</w:t>
            </w:r>
          </w:p>
        </w:tc>
      </w:tr>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Fórmula de cálculo</w:t>
            </w:r>
          </w:p>
        </w:tc>
        <w:tc>
          <w:tcPr>
            <w:tcW w:w="7403" w:type="dxa"/>
            <w:gridSpan w:val="3"/>
            <w:vAlign w:val="center"/>
          </w:tcPr>
          <w:p w:rsidR="00611D38" w:rsidRPr="00DE2D55" w:rsidRDefault="00611D38" w:rsidP="00FD58F5">
            <w:pPr>
              <w:tabs>
                <w:tab w:val="left" w:pos="0"/>
              </w:tabs>
              <w:spacing w:line="240" w:lineRule="auto"/>
              <w:jc w:val="both"/>
              <w:rPr>
                <w:rFonts w:cs="Calibri"/>
                <w:b/>
              </w:rPr>
            </w:pPr>
            <w:r w:rsidRPr="00DE2D55">
              <w:rPr>
                <w:rFonts w:cs="Calibri"/>
                <w:b/>
              </w:rPr>
              <w:t>Soma do tempo de resposta de cada chamada/total de chamadas no dia</w:t>
            </w:r>
          </w:p>
        </w:tc>
      </w:tr>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Linha de Base (2018)</w:t>
            </w:r>
          </w:p>
        </w:tc>
        <w:tc>
          <w:tcPr>
            <w:tcW w:w="3292"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Fonte</w:t>
            </w:r>
          </w:p>
        </w:tc>
      </w:tr>
      <w:tr w:rsidR="00611D38" w:rsidRPr="00DE2D55" w:rsidTr="00611D38">
        <w:tc>
          <w:tcPr>
            <w:tcW w:w="2376" w:type="dxa"/>
            <w:vAlign w:val="center"/>
          </w:tcPr>
          <w:p w:rsidR="00611D38" w:rsidRPr="00DE2D55" w:rsidRDefault="00611D38" w:rsidP="00FD58F5">
            <w:pPr>
              <w:tabs>
                <w:tab w:val="left" w:pos="0"/>
              </w:tabs>
              <w:spacing w:line="240" w:lineRule="auto"/>
              <w:jc w:val="both"/>
              <w:rPr>
                <w:rFonts w:cs="Calibri"/>
              </w:rPr>
            </w:pPr>
            <w:r w:rsidRPr="00DE2D55">
              <w:rPr>
                <w:rFonts w:cs="Calibri"/>
              </w:rPr>
              <w:t>Tempo</w:t>
            </w:r>
          </w:p>
        </w:tc>
        <w:tc>
          <w:tcPr>
            <w:tcW w:w="2127" w:type="dxa"/>
            <w:vAlign w:val="center"/>
          </w:tcPr>
          <w:p w:rsidR="00611D38" w:rsidRPr="00DE2D55" w:rsidRDefault="00611D38" w:rsidP="00FD58F5">
            <w:pPr>
              <w:tabs>
                <w:tab w:val="left" w:pos="0"/>
              </w:tabs>
              <w:spacing w:line="240" w:lineRule="auto"/>
              <w:jc w:val="both"/>
              <w:rPr>
                <w:rFonts w:cs="Calibri"/>
              </w:rPr>
            </w:pPr>
            <w:r w:rsidRPr="00DE2D55">
              <w:rPr>
                <w:rFonts w:cs="Calibri"/>
              </w:rPr>
              <w:t>15 min.</w:t>
            </w:r>
          </w:p>
        </w:tc>
        <w:tc>
          <w:tcPr>
            <w:tcW w:w="1984" w:type="dxa"/>
            <w:vAlign w:val="center"/>
          </w:tcPr>
          <w:p w:rsidR="00611D38" w:rsidRPr="00DE2D55" w:rsidRDefault="00611D38" w:rsidP="00FD58F5">
            <w:pPr>
              <w:tabs>
                <w:tab w:val="left" w:pos="0"/>
              </w:tabs>
              <w:spacing w:line="240" w:lineRule="auto"/>
              <w:jc w:val="both"/>
              <w:rPr>
                <w:rFonts w:cs="Calibri"/>
              </w:rPr>
            </w:pPr>
            <w:r w:rsidRPr="00DE2D55">
              <w:rPr>
                <w:rFonts w:cs="Calibri"/>
              </w:rPr>
              <w:t>4h</w:t>
            </w:r>
          </w:p>
        </w:tc>
        <w:tc>
          <w:tcPr>
            <w:tcW w:w="3292" w:type="dxa"/>
            <w:vAlign w:val="center"/>
          </w:tcPr>
          <w:p w:rsidR="00611D38" w:rsidRPr="00DE2D55" w:rsidRDefault="00611D38" w:rsidP="00FD58F5">
            <w:pPr>
              <w:tabs>
                <w:tab w:val="left" w:pos="0"/>
              </w:tabs>
              <w:spacing w:line="240" w:lineRule="auto"/>
              <w:jc w:val="both"/>
              <w:rPr>
                <w:rFonts w:cs="Calibri"/>
              </w:rPr>
            </w:pPr>
            <w:r w:rsidRPr="00DE2D55">
              <w:rPr>
                <w:rFonts w:cs="Calibri"/>
              </w:rPr>
              <w:t>GEACO</w:t>
            </w:r>
          </w:p>
        </w:tc>
      </w:tr>
    </w:tbl>
    <w:p w:rsidR="00611D38" w:rsidRPr="00DE2D55" w:rsidRDefault="00611D38" w:rsidP="00FD58F5">
      <w:pPr>
        <w:pBdr>
          <w:bottom w:val="single" w:sz="12" w:space="1" w:color="auto"/>
        </w:pBdr>
        <w:tabs>
          <w:tab w:val="left" w:pos="0"/>
        </w:tabs>
        <w:spacing w:line="240" w:lineRule="auto"/>
        <w:jc w:val="both"/>
        <w:rPr>
          <w:rFonts w:cs="Calibri"/>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25"/>
        <w:gridCol w:w="1982"/>
        <w:gridCol w:w="3288"/>
      </w:tblGrid>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Resultado 2</w:t>
            </w:r>
          </w:p>
        </w:tc>
        <w:tc>
          <w:tcPr>
            <w:tcW w:w="7403" w:type="dxa"/>
            <w:gridSpan w:val="3"/>
            <w:vAlign w:val="center"/>
          </w:tcPr>
          <w:p w:rsidR="00611D38" w:rsidRPr="00DE2D55" w:rsidRDefault="00611D38" w:rsidP="00FD58F5">
            <w:pPr>
              <w:tabs>
                <w:tab w:val="left" w:pos="0"/>
              </w:tabs>
              <w:spacing w:line="240" w:lineRule="auto"/>
              <w:jc w:val="both"/>
              <w:rPr>
                <w:rFonts w:cs="Calibri"/>
                <w:b/>
              </w:rPr>
            </w:pPr>
            <w:r w:rsidRPr="00DE2D55">
              <w:rPr>
                <w:rFonts w:cs="Calibri"/>
              </w:rPr>
              <w:t>Sistema de suporte voltado às dúvidas da Agência Virtual</w:t>
            </w:r>
          </w:p>
        </w:tc>
      </w:tr>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Fórmula de cálculo</w:t>
            </w:r>
          </w:p>
        </w:tc>
        <w:tc>
          <w:tcPr>
            <w:tcW w:w="7403" w:type="dxa"/>
            <w:gridSpan w:val="3"/>
            <w:vAlign w:val="center"/>
          </w:tcPr>
          <w:p w:rsidR="00611D38" w:rsidRPr="00DE2D55" w:rsidRDefault="00611D38" w:rsidP="00FD58F5">
            <w:pPr>
              <w:tabs>
                <w:tab w:val="left" w:pos="0"/>
              </w:tabs>
              <w:spacing w:line="240" w:lineRule="auto"/>
              <w:jc w:val="both"/>
              <w:rPr>
                <w:rFonts w:cs="Calibri"/>
                <w:b/>
              </w:rPr>
            </w:pPr>
            <w:r w:rsidRPr="00DE2D55">
              <w:rPr>
                <w:rFonts w:cs="Calibri"/>
                <w:b/>
              </w:rPr>
              <w:t>Soma do tempo de resposta de cada chamada/total de demandas no dia</w:t>
            </w:r>
          </w:p>
        </w:tc>
      </w:tr>
      <w:tr w:rsidR="00611D38" w:rsidRPr="00DE2D55" w:rsidTr="00611D38">
        <w:tc>
          <w:tcPr>
            <w:tcW w:w="2376"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Linha de Base (2018)</w:t>
            </w:r>
          </w:p>
        </w:tc>
        <w:tc>
          <w:tcPr>
            <w:tcW w:w="3292" w:type="dxa"/>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Fonte</w:t>
            </w:r>
          </w:p>
        </w:tc>
      </w:tr>
      <w:tr w:rsidR="00611D38" w:rsidRPr="00DE2D55" w:rsidTr="00611D38">
        <w:tc>
          <w:tcPr>
            <w:tcW w:w="2376" w:type="dxa"/>
            <w:vAlign w:val="center"/>
          </w:tcPr>
          <w:p w:rsidR="00611D38" w:rsidRPr="00DE2D55" w:rsidRDefault="00611D38" w:rsidP="00FD58F5">
            <w:pPr>
              <w:tabs>
                <w:tab w:val="left" w:pos="0"/>
              </w:tabs>
              <w:spacing w:line="240" w:lineRule="auto"/>
              <w:jc w:val="both"/>
              <w:rPr>
                <w:rFonts w:cs="Calibri"/>
              </w:rPr>
            </w:pPr>
            <w:r w:rsidRPr="00DE2D55">
              <w:rPr>
                <w:rFonts w:cs="Calibri"/>
              </w:rPr>
              <w:t>Tempo</w:t>
            </w:r>
          </w:p>
        </w:tc>
        <w:tc>
          <w:tcPr>
            <w:tcW w:w="2127" w:type="dxa"/>
            <w:vAlign w:val="center"/>
          </w:tcPr>
          <w:p w:rsidR="00611D38" w:rsidRPr="00DE2D55" w:rsidRDefault="00611D38" w:rsidP="00FD58F5">
            <w:pPr>
              <w:tabs>
                <w:tab w:val="left" w:pos="0"/>
              </w:tabs>
              <w:spacing w:line="240" w:lineRule="auto"/>
              <w:jc w:val="both"/>
              <w:rPr>
                <w:rFonts w:cs="Calibri"/>
              </w:rPr>
            </w:pPr>
            <w:r w:rsidRPr="00DE2D55">
              <w:rPr>
                <w:rFonts w:cs="Calibri"/>
              </w:rPr>
              <w:t>15 min.</w:t>
            </w:r>
          </w:p>
        </w:tc>
        <w:tc>
          <w:tcPr>
            <w:tcW w:w="1984" w:type="dxa"/>
            <w:vAlign w:val="center"/>
          </w:tcPr>
          <w:p w:rsidR="00611D38" w:rsidRPr="00DE2D55" w:rsidRDefault="00611D38" w:rsidP="00FD58F5">
            <w:pPr>
              <w:tabs>
                <w:tab w:val="left" w:pos="0"/>
              </w:tabs>
              <w:spacing w:line="240" w:lineRule="auto"/>
              <w:jc w:val="both"/>
              <w:rPr>
                <w:rFonts w:cs="Calibri"/>
              </w:rPr>
            </w:pPr>
            <w:r w:rsidRPr="00DE2D55">
              <w:rPr>
                <w:rFonts w:cs="Calibri"/>
              </w:rPr>
              <w:t>3h</w:t>
            </w:r>
          </w:p>
        </w:tc>
        <w:tc>
          <w:tcPr>
            <w:tcW w:w="3292" w:type="dxa"/>
            <w:vAlign w:val="center"/>
          </w:tcPr>
          <w:p w:rsidR="00611D38" w:rsidRPr="00DE2D55" w:rsidRDefault="00611D38" w:rsidP="00FD58F5">
            <w:pPr>
              <w:tabs>
                <w:tab w:val="left" w:pos="0"/>
              </w:tabs>
              <w:spacing w:line="240" w:lineRule="auto"/>
              <w:jc w:val="both"/>
              <w:rPr>
                <w:rFonts w:cs="Calibri"/>
              </w:rPr>
            </w:pPr>
            <w:r w:rsidRPr="00DE2D55">
              <w:rPr>
                <w:rFonts w:cs="Calibri"/>
              </w:rPr>
              <w:t>GEACO</w:t>
            </w:r>
          </w:p>
        </w:tc>
      </w:tr>
    </w:tbl>
    <w:p w:rsidR="00611D38" w:rsidRPr="00DE2D55" w:rsidRDefault="00611D38" w:rsidP="00FD58F5">
      <w:pPr>
        <w:pBdr>
          <w:bottom w:val="single" w:sz="12" w:space="1" w:color="auto"/>
        </w:pBdr>
        <w:tabs>
          <w:tab w:val="left" w:pos="0"/>
        </w:tabs>
        <w:spacing w:line="240" w:lineRule="auto"/>
        <w:jc w:val="both"/>
        <w:rPr>
          <w:rFonts w:cs="Calibri"/>
          <w:b/>
          <w:color w:val="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124"/>
        <w:gridCol w:w="1979"/>
        <w:gridCol w:w="3273"/>
      </w:tblGrid>
      <w:tr w:rsidR="00611D38" w:rsidRPr="00DE2D55" w:rsidTr="00FD58F5">
        <w:tc>
          <w:tcPr>
            <w:tcW w:w="1225"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Resultado 3</w:t>
            </w:r>
          </w:p>
        </w:tc>
        <w:tc>
          <w:tcPr>
            <w:tcW w:w="3775" w:type="pct"/>
            <w:gridSpan w:val="3"/>
            <w:shd w:val="clear" w:color="auto" w:fill="auto"/>
          </w:tcPr>
          <w:p w:rsidR="00611D38" w:rsidRPr="00DE2D55" w:rsidRDefault="00611D38" w:rsidP="00FD58F5">
            <w:pPr>
              <w:tabs>
                <w:tab w:val="left" w:pos="0"/>
              </w:tabs>
              <w:spacing w:line="240" w:lineRule="auto"/>
              <w:jc w:val="both"/>
              <w:rPr>
                <w:rFonts w:cs="Calibri"/>
                <w:noProof/>
              </w:rPr>
            </w:pPr>
            <w:r w:rsidRPr="00DE2D55">
              <w:rPr>
                <w:noProof/>
              </w:rPr>
              <w:t>Sistema de relatório de gestão do atendimento em todas as Agências da Receita Estadual</w:t>
            </w:r>
          </w:p>
        </w:tc>
      </w:tr>
      <w:tr w:rsidR="00611D38" w:rsidRPr="00DE2D55" w:rsidTr="00FD58F5">
        <w:tc>
          <w:tcPr>
            <w:tcW w:w="1225"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Fórmula de cálculo</w:t>
            </w:r>
          </w:p>
        </w:tc>
        <w:tc>
          <w:tcPr>
            <w:tcW w:w="3775" w:type="pct"/>
            <w:gridSpan w:val="3"/>
            <w:shd w:val="clear" w:color="auto" w:fill="auto"/>
            <w:vAlign w:val="center"/>
          </w:tcPr>
          <w:p w:rsidR="00611D38" w:rsidRPr="00DE2D55" w:rsidRDefault="00611D38" w:rsidP="00FD58F5">
            <w:pPr>
              <w:tabs>
                <w:tab w:val="left" w:pos="0"/>
              </w:tabs>
              <w:spacing w:line="240" w:lineRule="auto"/>
              <w:jc w:val="both"/>
              <w:rPr>
                <w:rFonts w:cs="Calibri"/>
                <w:b/>
              </w:rPr>
            </w:pPr>
            <w:r w:rsidRPr="00DE2D55">
              <w:rPr>
                <w:rFonts w:cs="Calibri"/>
                <w:b/>
              </w:rPr>
              <w:t>Relatório mensal x quantidade de Agências da Receita</w:t>
            </w:r>
          </w:p>
        </w:tc>
      </w:tr>
      <w:tr w:rsidR="00611D38" w:rsidRPr="00DE2D55" w:rsidTr="00FD58F5">
        <w:tc>
          <w:tcPr>
            <w:tcW w:w="1225"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Unidade de medida</w:t>
            </w:r>
          </w:p>
        </w:tc>
        <w:tc>
          <w:tcPr>
            <w:tcW w:w="1087"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Meta (fim do projeto)</w:t>
            </w:r>
          </w:p>
        </w:tc>
        <w:tc>
          <w:tcPr>
            <w:tcW w:w="1013"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Linha de Base (2018)</w:t>
            </w:r>
          </w:p>
        </w:tc>
        <w:tc>
          <w:tcPr>
            <w:tcW w:w="1674"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Fonte</w:t>
            </w:r>
          </w:p>
        </w:tc>
      </w:tr>
      <w:tr w:rsidR="00611D38" w:rsidRPr="00DE2D55" w:rsidTr="00FD58F5">
        <w:tc>
          <w:tcPr>
            <w:tcW w:w="1225"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Quantidade</w:t>
            </w:r>
          </w:p>
        </w:tc>
        <w:tc>
          <w:tcPr>
            <w:tcW w:w="1087"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 xml:space="preserve">11 </w:t>
            </w:r>
          </w:p>
        </w:tc>
        <w:tc>
          <w:tcPr>
            <w:tcW w:w="1013" w:type="pct"/>
            <w:shd w:val="clear" w:color="auto" w:fill="auto"/>
            <w:vAlign w:val="center"/>
          </w:tcPr>
          <w:p w:rsidR="00611D38" w:rsidRPr="00DE2D55" w:rsidRDefault="00611D38" w:rsidP="00FD58F5">
            <w:pPr>
              <w:tabs>
                <w:tab w:val="left" w:pos="0"/>
                <w:tab w:val="left" w:pos="795"/>
              </w:tabs>
              <w:spacing w:line="240" w:lineRule="auto"/>
              <w:ind w:left="33" w:hanging="33"/>
              <w:jc w:val="both"/>
              <w:rPr>
                <w:rFonts w:cs="Calibri"/>
              </w:rPr>
            </w:pPr>
            <w:r w:rsidRPr="00DE2D55">
              <w:rPr>
                <w:rFonts w:cs="Calibri"/>
              </w:rPr>
              <w:t>Não possui</w:t>
            </w:r>
          </w:p>
        </w:tc>
        <w:tc>
          <w:tcPr>
            <w:tcW w:w="1674"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GEACO</w:t>
            </w:r>
          </w:p>
        </w:tc>
      </w:tr>
    </w:tbl>
    <w:p w:rsidR="00611D38" w:rsidRPr="00DE2D55" w:rsidRDefault="00611D38" w:rsidP="00FD58F5">
      <w:pPr>
        <w:pBdr>
          <w:bottom w:val="single" w:sz="12" w:space="1" w:color="auto"/>
        </w:pBdr>
        <w:tabs>
          <w:tab w:val="left" w:pos="0"/>
        </w:tabs>
        <w:spacing w:line="240" w:lineRule="auto"/>
        <w:jc w:val="both"/>
        <w:rPr>
          <w:rFonts w:cs="Calibri"/>
          <w:b/>
          <w:color w:val="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120"/>
        <w:gridCol w:w="1975"/>
        <w:gridCol w:w="3283"/>
      </w:tblGrid>
      <w:tr w:rsidR="00611D38" w:rsidRPr="00DE2D55" w:rsidTr="00FD58F5">
        <w:tc>
          <w:tcPr>
            <w:tcW w:w="1224"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Resultado 4</w:t>
            </w:r>
          </w:p>
        </w:tc>
        <w:tc>
          <w:tcPr>
            <w:tcW w:w="3776" w:type="pct"/>
            <w:gridSpan w:val="3"/>
            <w:shd w:val="clear" w:color="auto" w:fill="auto"/>
          </w:tcPr>
          <w:p w:rsidR="00611D38" w:rsidRPr="00DE2D55" w:rsidRDefault="00611D38" w:rsidP="00FD58F5">
            <w:pPr>
              <w:tabs>
                <w:tab w:val="left" w:pos="0"/>
              </w:tabs>
              <w:spacing w:line="240" w:lineRule="auto"/>
              <w:jc w:val="both"/>
              <w:rPr>
                <w:rFonts w:cs="Calibri"/>
                <w:noProof/>
              </w:rPr>
            </w:pPr>
            <w:r w:rsidRPr="00DE2D55">
              <w:rPr>
                <w:noProof/>
              </w:rPr>
              <w:t>Portal de assuntos da Educação Tributária</w:t>
            </w:r>
          </w:p>
        </w:tc>
      </w:tr>
      <w:tr w:rsidR="00611D38" w:rsidRPr="00DE2D55" w:rsidTr="00FD58F5">
        <w:tc>
          <w:tcPr>
            <w:tcW w:w="1224"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Fórmula de cálculo</w:t>
            </w:r>
          </w:p>
        </w:tc>
        <w:tc>
          <w:tcPr>
            <w:tcW w:w="3776" w:type="pct"/>
            <w:gridSpan w:val="3"/>
            <w:shd w:val="clear" w:color="auto" w:fill="auto"/>
            <w:vAlign w:val="center"/>
          </w:tcPr>
          <w:p w:rsidR="00611D38" w:rsidRPr="00DE2D55" w:rsidRDefault="00611D38" w:rsidP="00FD58F5">
            <w:pPr>
              <w:tabs>
                <w:tab w:val="left" w:pos="0"/>
              </w:tabs>
              <w:spacing w:line="240" w:lineRule="auto"/>
              <w:jc w:val="both"/>
              <w:rPr>
                <w:rFonts w:cs="Calibri"/>
                <w:b/>
              </w:rPr>
            </w:pPr>
            <w:r w:rsidRPr="00DE2D55">
              <w:rPr>
                <w:rFonts w:cs="Calibri"/>
                <w:b/>
              </w:rPr>
              <w:t>Acessos ao portal no dia/total de acessos mensais</w:t>
            </w:r>
          </w:p>
        </w:tc>
      </w:tr>
      <w:tr w:rsidR="00611D38" w:rsidRPr="00DE2D55" w:rsidTr="00FD58F5">
        <w:tc>
          <w:tcPr>
            <w:tcW w:w="1224"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Unidade de medida</w:t>
            </w:r>
          </w:p>
        </w:tc>
        <w:tc>
          <w:tcPr>
            <w:tcW w:w="1085"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Meta (fim do projeto)</w:t>
            </w:r>
          </w:p>
        </w:tc>
        <w:tc>
          <w:tcPr>
            <w:tcW w:w="1011"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Linha de Base (2018)</w:t>
            </w:r>
          </w:p>
        </w:tc>
        <w:tc>
          <w:tcPr>
            <w:tcW w:w="1680" w:type="pct"/>
            <w:shd w:val="clear" w:color="auto" w:fill="C5E0B3"/>
            <w:vAlign w:val="center"/>
          </w:tcPr>
          <w:p w:rsidR="00611D38" w:rsidRPr="00DE2D55" w:rsidRDefault="00611D38" w:rsidP="00FD58F5">
            <w:pPr>
              <w:tabs>
                <w:tab w:val="left" w:pos="0"/>
              </w:tabs>
              <w:spacing w:line="240" w:lineRule="auto"/>
              <w:jc w:val="both"/>
              <w:rPr>
                <w:rFonts w:cs="Calibri"/>
                <w:b/>
              </w:rPr>
            </w:pPr>
            <w:r w:rsidRPr="00DE2D55">
              <w:rPr>
                <w:rFonts w:cs="Calibri"/>
                <w:b/>
              </w:rPr>
              <w:t>Fonte</w:t>
            </w:r>
          </w:p>
        </w:tc>
      </w:tr>
      <w:tr w:rsidR="00611D38" w:rsidRPr="00FD58F5" w:rsidTr="00FD58F5">
        <w:trPr>
          <w:trHeight w:val="296"/>
        </w:trPr>
        <w:tc>
          <w:tcPr>
            <w:tcW w:w="1224"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Quantidade</w:t>
            </w:r>
          </w:p>
          <w:p w:rsidR="00611D38" w:rsidRPr="00DE2D55" w:rsidRDefault="00611D38" w:rsidP="00FD58F5">
            <w:pPr>
              <w:tabs>
                <w:tab w:val="left" w:pos="0"/>
              </w:tabs>
              <w:spacing w:line="240" w:lineRule="auto"/>
              <w:jc w:val="both"/>
              <w:rPr>
                <w:rFonts w:cs="Calibri"/>
              </w:rPr>
            </w:pPr>
          </w:p>
        </w:tc>
        <w:tc>
          <w:tcPr>
            <w:tcW w:w="1085"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1.000</w:t>
            </w:r>
          </w:p>
        </w:tc>
        <w:tc>
          <w:tcPr>
            <w:tcW w:w="1011" w:type="pct"/>
            <w:shd w:val="clear" w:color="auto" w:fill="auto"/>
            <w:vAlign w:val="center"/>
          </w:tcPr>
          <w:p w:rsidR="00611D38" w:rsidRPr="00FD58F5" w:rsidRDefault="00611D38" w:rsidP="00FD58F5">
            <w:pPr>
              <w:tabs>
                <w:tab w:val="left" w:pos="0"/>
              </w:tabs>
              <w:spacing w:line="240" w:lineRule="auto"/>
              <w:jc w:val="both"/>
              <w:rPr>
                <w:rFonts w:cs="Calibri"/>
              </w:rPr>
            </w:pPr>
            <w:r w:rsidRPr="00DE2D55">
              <w:rPr>
                <w:rFonts w:cs="Calibri"/>
              </w:rPr>
              <w:t>Não possui</w:t>
            </w:r>
            <w:r w:rsidRPr="00FD58F5">
              <w:rPr>
                <w:rFonts w:cs="Calibri"/>
              </w:rPr>
              <w:t xml:space="preserve"> </w:t>
            </w:r>
          </w:p>
        </w:tc>
        <w:tc>
          <w:tcPr>
            <w:tcW w:w="1680" w:type="pct"/>
            <w:shd w:val="clear" w:color="auto" w:fill="auto"/>
            <w:vAlign w:val="center"/>
          </w:tcPr>
          <w:p w:rsidR="00611D38" w:rsidRPr="00DE2D55" w:rsidRDefault="00611D38" w:rsidP="00FD58F5">
            <w:pPr>
              <w:tabs>
                <w:tab w:val="left" w:pos="0"/>
              </w:tabs>
              <w:spacing w:line="240" w:lineRule="auto"/>
              <w:jc w:val="both"/>
              <w:rPr>
                <w:rFonts w:cs="Calibri"/>
              </w:rPr>
            </w:pPr>
            <w:r w:rsidRPr="00DE2D55">
              <w:rPr>
                <w:rFonts w:cs="Calibri"/>
              </w:rPr>
              <w:t>Relatório de Telefonia</w:t>
            </w:r>
          </w:p>
        </w:tc>
      </w:tr>
    </w:tbl>
    <w:p w:rsidR="00FD58F5" w:rsidRDefault="00FD58F5" w:rsidP="00FE560B">
      <w:pPr>
        <w:tabs>
          <w:tab w:val="left" w:pos="0"/>
        </w:tabs>
        <w:jc w:val="both"/>
        <w:rPr>
          <w:rFonts w:cs="Calibri"/>
          <w:b/>
        </w:rPr>
      </w:pPr>
    </w:p>
    <w:p w:rsidR="00FD58F5" w:rsidRDefault="00FD58F5" w:rsidP="00FE560B">
      <w:pPr>
        <w:tabs>
          <w:tab w:val="left" w:pos="0"/>
        </w:tabs>
        <w:jc w:val="both"/>
        <w:rPr>
          <w:rFonts w:cs="Calibri"/>
          <w:b/>
        </w:rPr>
      </w:pPr>
    </w:p>
    <w:p w:rsidR="00611D38" w:rsidRPr="002716DA" w:rsidRDefault="002716DA" w:rsidP="00FE560B">
      <w:pPr>
        <w:tabs>
          <w:tab w:val="left" w:pos="0"/>
        </w:tabs>
        <w:jc w:val="both"/>
        <w:rPr>
          <w:rFonts w:cs="Calibri"/>
          <w:b/>
        </w:rPr>
      </w:pPr>
      <w:r>
        <w:rPr>
          <w:rFonts w:cs="Calibri"/>
          <w:b/>
        </w:rPr>
        <w:t>4.4.3</w:t>
      </w:r>
      <w:r w:rsidR="00611D38" w:rsidRPr="002716DA">
        <w:rPr>
          <w:rFonts w:cs="Calibri"/>
          <w:b/>
        </w:rPr>
        <w:t xml:space="preserve">– Outros possíveis resultados: </w:t>
      </w:r>
    </w:p>
    <w:p w:rsidR="00611D38" w:rsidRPr="00DE2D55" w:rsidRDefault="00611D38" w:rsidP="00A249C9">
      <w:pPr>
        <w:pStyle w:val="PargrafodaLista"/>
        <w:numPr>
          <w:ilvl w:val="0"/>
          <w:numId w:val="65"/>
        </w:numPr>
        <w:tabs>
          <w:tab w:val="left" w:pos="0"/>
        </w:tabs>
        <w:contextualSpacing w:val="0"/>
        <w:jc w:val="both"/>
        <w:rPr>
          <w:rFonts w:cs="Calibri"/>
        </w:rPr>
      </w:pPr>
      <w:r w:rsidRPr="00DE2D55">
        <w:rPr>
          <w:rFonts w:cs="Calibri"/>
        </w:rPr>
        <w:t>Efetivo incremento de arrecadação;</w:t>
      </w:r>
    </w:p>
    <w:p w:rsidR="00611D38" w:rsidRPr="00DE2D55" w:rsidRDefault="00611D38" w:rsidP="00A249C9">
      <w:pPr>
        <w:pStyle w:val="PargrafodaLista"/>
        <w:numPr>
          <w:ilvl w:val="0"/>
          <w:numId w:val="65"/>
        </w:numPr>
        <w:tabs>
          <w:tab w:val="left" w:pos="0"/>
        </w:tabs>
        <w:contextualSpacing w:val="0"/>
        <w:jc w:val="both"/>
        <w:rPr>
          <w:rFonts w:cs="Calibri"/>
        </w:rPr>
      </w:pPr>
      <w:r w:rsidRPr="00DE2D55">
        <w:rPr>
          <w:rFonts w:cs="Calibri"/>
        </w:rPr>
        <w:t>Eficiência no processo de crédito tributário;</w:t>
      </w:r>
    </w:p>
    <w:p w:rsidR="00611D38" w:rsidRPr="00DE2D55" w:rsidRDefault="00611D38" w:rsidP="00A249C9">
      <w:pPr>
        <w:pStyle w:val="PargrafodaLista"/>
        <w:numPr>
          <w:ilvl w:val="0"/>
          <w:numId w:val="65"/>
        </w:numPr>
        <w:tabs>
          <w:tab w:val="left" w:pos="0"/>
        </w:tabs>
        <w:contextualSpacing w:val="0"/>
        <w:jc w:val="both"/>
        <w:rPr>
          <w:rFonts w:cs="Calibri"/>
        </w:rPr>
      </w:pPr>
      <w:r w:rsidRPr="00DE2D55">
        <w:rPr>
          <w:rFonts w:cs="Calibri"/>
        </w:rPr>
        <w:t>Eficiência e facilidade na análise de comportamento de contribuintes visando inibir sonegação fiscal;</w:t>
      </w:r>
    </w:p>
    <w:p w:rsidR="00611D38" w:rsidRPr="00DE2D55" w:rsidRDefault="00611D38" w:rsidP="00A249C9">
      <w:pPr>
        <w:pStyle w:val="PargrafodaLista"/>
        <w:numPr>
          <w:ilvl w:val="0"/>
          <w:numId w:val="65"/>
        </w:numPr>
        <w:tabs>
          <w:tab w:val="left" w:pos="0"/>
        </w:tabs>
        <w:contextualSpacing w:val="0"/>
        <w:jc w:val="both"/>
        <w:rPr>
          <w:rFonts w:cs="Calibri"/>
        </w:rPr>
      </w:pPr>
      <w:r w:rsidRPr="00DE2D55">
        <w:rPr>
          <w:rFonts w:cs="Calibri"/>
        </w:rPr>
        <w:t>Facilidade nas consultas tributárias, com uso de linguagem natural, pelos servidores desta secretaria.</w:t>
      </w:r>
    </w:p>
    <w:p w:rsidR="00611D38" w:rsidRPr="00DE2D55" w:rsidRDefault="00611D38" w:rsidP="00FE560B">
      <w:pPr>
        <w:pStyle w:val="PargrafodaLista"/>
        <w:tabs>
          <w:tab w:val="left" w:pos="0"/>
        </w:tabs>
        <w:contextualSpacing w:val="0"/>
        <w:jc w:val="both"/>
        <w:rPr>
          <w:rFonts w:cs="Calibri"/>
        </w:rPr>
      </w:pP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4" w:name="_Toc517282123"/>
      <w:r w:rsidRPr="00DE2D55">
        <w:rPr>
          <w:rFonts w:cs="Calibri"/>
          <w:b/>
        </w:rPr>
        <w:t>ASPECTO INOVADOR DO PRODUTO</w:t>
      </w:r>
      <w:bookmarkEnd w:id="104"/>
    </w:p>
    <w:p w:rsidR="00611D38" w:rsidRDefault="00611D38" w:rsidP="00FE560B">
      <w:pPr>
        <w:tabs>
          <w:tab w:val="left" w:pos="0"/>
        </w:tabs>
        <w:jc w:val="both"/>
        <w:rPr>
          <w:rFonts w:cs="Calibri"/>
        </w:rPr>
      </w:pPr>
      <w:r w:rsidRPr="00DE2D55">
        <w:rPr>
          <w:rFonts w:cs="Calibri"/>
        </w:rPr>
        <w:t>Com o atendimento eletrônico e uso intensivo das tecnologias de informação e comunicação, cada vez mais será possível um serviço público de qualidade, disponível em equipamentos de última geração literalmente na mão dos cidadãos. Além disso, teremos também em números exatos, o quantitativo de demandas por assunto e o esforço de cada atendente para a solução dos problemas demandados. Logo, espera-se por melhoria dos serviços prestados ao contribuinte, proporcionando-lhe maior satisfação e solução de sua demanda. Controle de todo o atendimento ao contribuinte por meio de sistema gerencial, administrado pela Gerência de Atendimento ao Contribuinte – GEACO.</w:t>
      </w:r>
    </w:p>
    <w:p w:rsidR="002716DA" w:rsidRPr="00DE2D55" w:rsidRDefault="002716DA" w:rsidP="00FE560B">
      <w:pPr>
        <w:tabs>
          <w:tab w:val="left" w:pos="0"/>
        </w:tabs>
        <w:jc w:val="both"/>
        <w:rPr>
          <w:rFonts w:cs="Calibri"/>
        </w:rPr>
      </w:pP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5" w:name="_Toc517282124"/>
      <w:r w:rsidRPr="00DE2D55">
        <w:rPr>
          <w:rFonts w:cs="Calibri"/>
          <w:b/>
        </w:rPr>
        <w:t>RISCOS DE EXECUÇÃO REELACIONADOS AO PRODUTO</w:t>
      </w:r>
      <w:bookmarkEnd w:id="105"/>
      <w:r w:rsidRPr="00DE2D55">
        <w:rPr>
          <w:rFonts w:cs="Calibri"/>
          <w:b/>
        </w:rPr>
        <w:t xml:space="preserve"> </w:t>
      </w:r>
    </w:p>
    <w:p w:rsidR="002716DA" w:rsidRDefault="002716DA" w:rsidP="00FE560B">
      <w:pPr>
        <w:tabs>
          <w:tab w:val="left" w:pos="0"/>
        </w:tabs>
        <w:jc w:val="both"/>
        <w:rPr>
          <w:rFonts w:cs="Calibri"/>
        </w:rPr>
      </w:pPr>
    </w:p>
    <w:p w:rsidR="00611D38" w:rsidRDefault="00611D38" w:rsidP="00FE560B">
      <w:pPr>
        <w:tabs>
          <w:tab w:val="left" w:pos="0"/>
        </w:tabs>
        <w:jc w:val="both"/>
        <w:rPr>
          <w:rFonts w:cs="Calibri"/>
        </w:rPr>
      </w:pPr>
      <w:r w:rsidRPr="00DE2D55">
        <w:rPr>
          <w:rFonts w:cs="Calibri"/>
        </w:rPr>
        <w:t>Falta de aprovação ou desinteresse pela SEFAZ em acolher a proposta, haja vista o custo benefício. Isto porque o atendimento realizado em excelência não traz rapidamente resultado financeiro. Falta de reconhecimento de serviço como prioritário.</w:t>
      </w:r>
    </w:p>
    <w:p w:rsidR="002716DA" w:rsidRPr="00DE2D55" w:rsidRDefault="002716DA" w:rsidP="00FE560B">
      <w:pPr>
        <w:tabs>
          <w:tab w:val="left" w:pos="0"/>
        </w:tabs>
        <w:jc w:val="both"/>
        <w:rPr>
          <w:rFonts w:cs="Calibri"/>
        </w:rPr>
      </w:pP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6" w:name="_Toc517282125"/>
      <w:r w:rsidRPr="00DE2D55">
        <w:rPr>
          <w:rFonts w:cs="Calibri"/>
          <w:b/>
        </w:rPr>
        <w:t>QUADRO DE CUSTO DO PRODUTO POR TIPO DE INVESTIMENTO</w:t>
      </w:r>
      <w:bookmarkEnd w:id="106"/>
    </w:p>
    <w:p w:rsidR="00611D38" w:rsidRPr="00DE2D55" w:rsidRDefault="00611D38" w:rsidP="00FE560B">
      <w:pPr>
        <w:tabs>
          <w:tab w:val="left" w:pos="0"/>
        </w:tabs>
        <w:suppressAutoHyphens/>
        <w:jc w:val="both"/>
        <w:rPr>
          <w:rFonts w:cs="Calibri"/>
        </w:rPr>
      </w:pPr>
      <w:r w:rsidRPr="00DE2D55">
        <w:rPr>
          <w:rFonts w:cs="Calibri"/>
        </w:rPr>
        <w:t>Valores em 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850"/>
        <w:gridCol w:w="709"/>
        <w:gridCol w:w="1418"/>
        <w:gridCol w:w="1411"/>
      </w:tblGrid>
      <w:tr w:rsidR="00611D38" w:rsidRPr="00DE2D55" w:rsidTr="002716DA">
        <w:tc>
          <w:tcPr>
            <w:tcW w:w="9804" w:type="dxa"/>
            <w:gridSpan w:val="5"/>
            <w:shd w:val="clear" w:color="auto" w:fill="C5E0B3"/>
            <w:vAlign w:val="center"/>
          </w:tcPr>
          <w:p w:rsidR="00611D38" w:rsidRPr="00DE2D55" w:rsidRDefault="00611D38" w:rsidP="00FE560B">
            <w:pPr>
              <w:tabs>
                <w:tab w:val="left" w:pos="0"/>
              </w:tabs>
              <w:suppressAutoHyphens/>
              <w:spacing w:line="240" w:lineRule="auto"/>
              <w:jc w:val="both"/>
              <w:rPr>
                <w:rFonts w:cs="Calibri"/>
                <w:b/>
              </w:rPr>
            </w:pPr>
            <w:r w:rsidRPr="00DE2D55">
              <w:rPr>
                <w:rFonts w:cs="Calibri"/>
                <w:b/>
              </w:rPr>
              <w:t>Capacitação</w:t>
            </w:r>
          </w:p>
        </w:tc>
      </w:tr>
      <w:tr w:rsidR="002716DA" w:rsidRPr="00DE2D55" w:rsidTr="00FD58F5">
        <w:tc>
          <w:tcPr>
            <w:tcW w:w="5416" w:type="dxa"/>
            <w:shd w:val="clear" w:color="auto" w:fill="E2EFD9"/>
            <w:vAlign w:val="center"/>
          </w:tcPr>
          <w:p w:rsidR="002716DA" w:rsidRPr="00DE2D55" w:rsidRDefault="002716DA" w:rsidP="00FE560B">
            <w:pPr>
              <w:tabs>
                <w:tab w:val="left" w:pos="0"/>
              </w:tabs>
              <w:suppressAutoHyphens/>
              <w:spacing w:line="240" w:lineRule="auto"/>
              <w:jc w:val="both"/>
              <w:rPr>
                <w:rFonts w:cs="Calibri"/>
                <w:b/>
              </w:rPr>
            </w:pPr>
            <w:r w:rsidRPr="00DE2D55">
              <w:rPr>
                <w:rFonts w:cs="Calibri"/>
                <w:b/>
              </w:rPr>
              <w:t>Descrição detalhada</w:t>
            </w:r>
          </w:p>
        </w:tc>
        <w:tc>
          <w:tcPr>
            <w:tcW w:w="850" w:type="dxa"/>
            <w:shd w:val="clear" w:color="auto" w:fill="E2EFD9"/>
            <w:vAlign w:val="center"/>
          </w:tcPr>
          <w:p w:rsidR="002716DA" w:rsidRPr="00DE2D55" w:rsidRDefault="00FD58F5" w:rsidP="00FE560B">
            <w:pPr>
              <w:tabs>
                <w:tab w:val="left" w:pos="0"/>
              </w:tabs>
              <w:suppressAutoHyphens/>
              <w:spacing w:line="240" w:lineRule="auto"/>
              <w:jc w:val="both"/>
              <w:rPr>
                <w:rFonts w:cs="Calibri"/>
                <w:b/>
              </w:rPr>
            </w:pPr>
            <w:r>
              <w:rPr>
                <w:rFonts w:cs="Calibri"/>
                <w:b/>
              </w:rPr>
              <w:t>Unid.</w:t>
            </w:r>
          </w:p>
        </w:tc>
        <w:tc>
          <w:tcPr>
            <w:tcW w:w="709" w:type="dxa"/>
            <w:shd w:val="clear" w:color="auto" w:fill="E2EFD9"/>
            <w:vAlign w:val="center"/>
          </w:tcPr>
          <w:p w:rsidR="002716DA" w:rsidRPr="00DE2D55" w:rsidRDefault="002716DA" w:rsidP="00FD58F5">
            <w:pPr>
              <w:tabs>
                <w:tab w:val="left" w:pos="0"/>
              </w:tabs>
              <w:suppressAutoHyphens/>
              <w:spacing w:line="240" w:lineRule="auto"/>
              <w:jc w:val="both"/>
              <w:rPr>
                <w:rFonts w:cs="Calibri"/>
                <w:b/>
              </w:rPr>
            </w:pPr>
            <w:r w:rsidRPr="00DE2D55">
              <w:rPr>
                <w:rFonts w:cs="Calibri"/>
                <w:b/>
              </w:rPr>
              <w:t>Quan</w:t>
            </w:r>
            <w:r w:rsidR="00FD58F5">
              <w:rPr>
                <w:rFonts w:cs="Calibri"/>
                <w:b/>
              </w:rPr>
              <w:t>t.</w:t>
            </w:r>
          </w:p>
        </w:tc>
        <w:tc>
          <w:tcPr>
            <w:tcW w:w="1418" w:type="dxa"/>
            <w:shd w:val="clear" w:color="auto" w:fill="E2EFD9"/>
            <w:vAlign w:val="center"/>
          </w:tcPr>
          <w:p w:rsidR="002716DA" w:rsidRPr="00DE2D55" w:rsidRDefault="002716DA" w:rsidP="00FE560B">
            <w:pPr>
              <w:tabs>
                <w:tab w:val="left" w:pos="0"/>
              </w:tabs>
              <w:suppressAutoHyphens/>
              <w:spacing w:line="240" w:lineRule="auto"/>
              <w:jc w:val="both"/>
              <w:rPr>
                <w:rFonts w:cs="Calibri"/>
                <w:b/>
              </w:rPr>
            </w:pPr>
            <w:r w:rsidRPr="00DE2D55">
              <w:rPr>
                <w:rFonts w:cs="Calibri"/>
                <w:b/>
              </w:rPr>
              <w:t>Valor unit.</w:t>
            </w:r>
          </w:p>
        </w:tc>
        <w:tc>
          <w:tcPr>
            <w:tcW w:w="1411" w:type="dxa"/>
            <w:shd w:val="clear" w:color="auto" w:fill="E2EFD9"/>
            <w:vAlign w:val="center"/>
          </w:tcPr>
          <w:p w:rsidR="002716DA" w:rsidRPr="00DE2D55" w:rsidRDefault="002716DA" w:rsidP="00FE560B">
            <w:pPr>
              <w:tabs>
                <w:tab w:val="left" w:pos="0"/>
              </w:tabs>
              <w:suppressAutoHyphens/>
              <w:spacing w:line="240" w:lineRule="auto"/>
              <w:jc w:val="both"/>
              <w:rPr>
                <w:rFonts w:cs="Calibri"/>
                <w:b/>
              </w:rPr>
            </w:pPr>
            <w:r w:rsidRPr="00DE2D55">
              <w:rPr>
                <w:rFonts w:cs="Calibri"/>
                <w:b/>
              </w:rPr>
              <w:t>Valor total</w:t>
            </w:r>
          </w:p>
        </w:tc>
      </w:tr>
      <w:tr w:rsidR="002716DA" w:rsidRPr="00DE2D55" w:rsidTr="00FD58F5">
        <w:tc>
          <w:tcPr>
            <w:tcW w:w="5416"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Capacitação</w:t>
            </w:r>
          </w:p>
        </w:tc>
        <w:tc>
          <w:tcPr>
            <w:tcW w:w="850"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Und</w:t>
            </w:r>
          </w:p>
        </w:tc>
        <w:tc>
          <w:tcPr>
            <w:tcW w:w="709"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50</w:t>
            </w:r>
          </w:p>
        </w:tc>
        <w:tc>
          <w:tcPr>
            <w:tcW w:w="1418"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2000,00</w:t>
            </w:r>
          </w:p>
        </w:tc>
        <w:tc>
          <w:tcPr>
            <w:tcW w:w="1411"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100.000,00</w:t>
            </w:r>
          </w:p>
        </w:tc>
      </w:tr>
      <w:tr w:rsidR="002716DA" w:rsidRPr="00DE2D55" w:rsidTr="00FD58F5">
        <w:tc>
          <w:tcPr>
            <w:tcW w:w="5416"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Visita técnica</w:t>
            </w:r>
          </w:p>
        </w:tc>
        <w:tc>
          <w:tcPr>
            <w:tcW w:w="850"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Und</w:t>
            </w:r>
          </w:p>
        </w:tc>
        <w:tc>
          <w:tcPr>
            <w:tcW w:w="709"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6</w:t>
            </w:r>
          </w:p>
        </w:tc>
        <w:tc>
          <w:tcPr>
            <w:tcW w:w="1418"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3000,00</w:t>
            </w:r>
          </w:p>
        </w:tc>
        <w:tc>
          <w:tcPr>
            <w:tcW w:w="1411" w:type="dxa"/>
            <w:vAlign w:val="center"/>
          </w:tcPr>
          <w:p w:rsidR="002716DA" w:rsidRPr="00DE2D55" w:rsidRDefault="002716DA" w:rsidP="00FE560B">
            <w:pPr>
              <w:tabs>
                <w:tab w:val="left" w:pos="0"/>
              </w:tabs>
              <w:suppressAutoHyphens/>
              <w:spacing w:line="240" w:lineRule="auto"/>
              <w:jc w:val="both"/>
              <w:rPr>
                <w:rFonts w:cs="Calibri"/>
              </w:rPr>
            </w:pPr>
            <w:r w:rsidRPr="00DE2D55">
              <w:rPr>
                <w:rFonts w:cs="Calibri"/>
              </w:rPr>
              <w:t xml:space="preserve">  18.000,00</w:t>
            </w:r>
          </w:p>
        </w:tc>
      </w:tr>
      <w:tr w:rsidR="00611D38" w:rsidRPr="00DE2D55" w:rsidTr="002716DA">
        <w:tc>
          <w:tcPr>
            <w:tcW w:w="9804" w:type="dxa"/>
            <w:gridSpan w:val="5"/>
            <w:shd w:val="clear" w:color="auto" w:fill="C5E0B3"/>
            <w:vAlign w:val="center"/>
          </w:tcPr>
          <w:p w:rsidR="00611D38" w:rsidRPr="00DE2D55" w:rsidRDefault="00611D38" w:rsidP="00FE560B">
            <w:pPr>
              <w:tabs>
                <w:tab w:val="left" w:pos="0"/>
              </w:tabs>
              <w:suppressAutoHyphens/>
              <w:spacing w:line="240" w:lineRule="auto"/>
              <w:jc w:val="both"/>
              <w:rPr>
                <w:rFonts w:cs="Calibri"/>
                <w:b/>
              </w:rPr>
            </w:pPr>
            <w:r w:rsidRPr="00DE2D55">
              <w:rPr>
                <w:rFonts w:cs="Calibri"/>
                <w:b/>
              </w:rPr>
              <w:t>Consultoria</w:t>
            </w:r>
          </w:p>
        </w:tc>
      </w:tr>
      <w:tr w:rsidR="00EB6017" w:rsidRPr="00DE2D55" w:rsidTr="00FD58F5">
        <w:tc>
          <w:tcPr>
            <w:tcW w:w="5416" w:type="dxa"/>
            <w:shd w:val="clear" w:color="auto" w:fill="E2EFD9"/>
            <w:vAlign w:val="center"/>
          </w:tcPr>
          <w:p w:rsidR="00EB6017" w:rsidRPr="00DE2D55" w:rsidRDefault="00EB6017" w:rsidP="00FE560B">
            <w:pPr>
              <w:tabs>
                <w:tab w:val="left" w:pos="0"/>
              </w:tabs>
              <w:suppressAutoHyphens/>
              <w:spacing w:line="240" w:lineRule="auto"/>
              <w:jc w:val="both"/>
              <w:rPr>
                <w:rFonts w:cs="Calibri"/>
                <w:b/>
              </w:rPr>
            </w:pPr>
            <w:r w:rsidRPr="00DE2D55">
              <w:rPr>
                <w:rFonts w:cs="Calibri"/>
                <w:b/>
              </w:rPr>
              <w:t>Descrição detalhada</w:t>
            </w:r>
          </w:p>
        </w:tc>
        <w:tc>
          <w:tcPr>
            <w:tcW w:w="850" w:type="dxa"/>
            <w:shd w:val="clear" w:color="auto" w:fill="E2EFD9"/>
            <w:vAlign w:val="center"/>
          </w:tcPr>
          <w:p w:rsidR="00EB6017" w:rsidRPr="00DE2D55" w:rsidRDefault="00FD58F5" w:rsidP="00FE560B">
            <w:pPr>
              <w:tabs>
                <w:tab w:val="left" w:pos="0"/>
              </w:tabs>
              <w:suppressAutoHyphens/>
              <w:spacing w:line="240" w:lineRule="auto"/>
              <w:jc w:val="both"/>
              <w:rPr>
                <w:rFonts w:cs="Calibri"/>
                <w:b/>
              </w:rPr>
            </w:pPr>
            <w:r>
              <w:rPr>
                <w:rFonts w:cs="Calibri"/>
                <w:b/>
              </w:rPr>
              <w:t>Unid.</w:t>
            </w:r>
          </w:p>
        </w:tc>
        <w:tc>
          <w:tcPr>
            <w:tcW w:w="709" w:type="dxa"/>
            <w:shd w:val="clear" w:color="auto" w:fill="E2EFD9"/>
            <w:vAlign w:val="center"/>
          </w:tcPr>
          <w:p w:rsidR="00EB6017" w:rsidRPr="00DE2D55" w:rsidRDefault="00EB6017" w:rsidP="00FD58F5">
            <w:pPr>
              <w:tabs>
                <w:tab w:val="left" w:pos="0"/>
              </w:tabs>
              <w:suppressAutoHyphens/>
              <w:spacing w:line="240" w:lineRule="auto"/>
              <w:jc w:val="both"/>
              <w:rPr>
                <w:rFonts w:cs="Calibri"/>
                <w:b/>
              </w:rPr>
            </w:pPr>
            <w:r w:rsidRPr="00DE2D55">
              <w:rPr>
                <w:rFonts w:cs="Calibri"/>
                <w:b/>
              </w:rPr>
              <w:t>Quan</w:t>
            </w:r>
            <w:r w:rsidR="00FD58F5">
              <w:rPr>
                <w:rFonts w:cs="Calibri"/>
                <w:b/>
              </w:rPr>
              <w:t>t.</w:t>
            </w:r>
          </w:p>
        </w:tc>
        <w:tc>
          <w:tcPr>
            <w:tcW w:w="1418" w:type="dxa"/>
            <w:shd w:val="clear" w:color="auto" w:fill="E2EFD9"/>
            <w:vAlign w:val="center"/>
          </w:tcPr>
          <w:p w:rsidR="00EB6017" w:rsidRPr="00DE2D55" w:rsidRDefault="00EB6017" w:rsidP="00FE560B">
            <w:pPr>
              <w:tabs>
                <w:tab w:val="left" w:pos="0"/>
              </w:tabs>
              <w:suppressAutoHyphens/>
              <w:spacing w:line="240" w:lineRule="auto"/>
              <w:jc w:val="both"/>
              <w:rPr>
                <w:rFonts w:cs="Calibri"/>
                <w:b/>
              </w:rPr>
            </w:pPr>
            <w:r w:rsidRPr="00DE2D55">
              <w:rPr>
                <w:rFonts w:cs="Calibri"/>
                <w:b/>
              </w:rPr>
              <w:t>Valor unit.</w:t>
            </w:r>
          </w:p>
        </w:tc>
        <w:tc>
          <w:tcPr>
            <w:tcW w:w="1411" w:type="dxa"/>
            <w:shd w:val="clear" w:color="auto" w:fill="E2EFD9"/>
            <w:vAlign w:val="center"/>
          </w:tcPr>
          <w:p w:rsidR="00EB6017" w:rsidRPr="00DE2D55" w:rsidRDefault="00EB6017" w:rsidP="00FE560B">
            <w:pPr>
              <w:tabs>
                <w:tab w:val="left" w:pos="0"/>
              </w:tabs>
              <w:suppressAutoHyphens/>
              <w:spacing w:line="240" w:lineRule="auto"/>
              <w:jc w:val="both"/>
              <w:rPr>
                <w:rFonts w:cs="Calibri"/>
                <w:b/>
              </w:rPr>
            </w:pPr>
            <w:r w:rsidRPr="00DE2D55">
              <w:rPr>
                <w:rFonts w:cs="Calibri"/>
                <w:b/>
              </w:rPr>
              <w:t>Valor total</w:t>
            </w:r>
          </w:p>
        </w:tc>
      </w:tr>
      <w:tr w:rsidR="002716DA" w:rsidRPr="00DE2D55" w:rsidTr="00FD58F5">
        <w:tc>
          <w:tcPr>
            <w:tcW w:w="5416" w:type="dxa"/>
          </w:tcPr>
          <w:p w:rsidR="002716DA" w:rsidRPr="00DE2D55" w:rsidRDefault="002716DA" w:rsidP="00FD58F5">
            <w:pPr>
              <w:tabs>
                <w:tab w:val="left" w:pos="0"/>
              </w:tabs>
              <w:suppressAutoHyphens/>
              <w:spacing w:line="240" w:lineRule="auto"/>
              <w:jc w:val="both"/>
              <w:rPr>
                <w:rFonts w:cs="Calibri"/>
                <w:b/>
              </w:rPr>
            </w:pPr>
            <w:r w:rsidRPr="00DE2D55">
              <w:rPr>
                <w:rFonts w:cs="Calibri"/>
              </w:rPr>
              <w:t>Desenvolver e implementar solução integrada de inteligência artificial para atendimento eletrônico ao contribuinte   na SEFAZ  (solução de computação  cognitiva)</w:t>
            </w:r>
          </w:p>
        </w:tc>
        <w:tc>
          <w:tcPr>
            <w:tcW w:w="850" w:type="dxa"/>
          </w:tcPr>
          <w:p w:rsidR="002716DA" w:rsidRPr="00DE2D55" w:rsidRDefault="002716DA" w:rsidP="00FE560B">
            <w:pPr>
              <w:tabs>
                <w:tab w:val="left" w:pos="0"/>
              </w:tabs>
              <w:suppressAutoHyphens/>
              <w:spacing w:line="240" w:lineRule="auto"/>
              <w:jc w:val="both"/>
              <w:rPr>
                <w:rFonts w:cs="Calibri"/>
              </w:rPr>
            </w:pPr>
            <w:r w:rsidRPr="00DE2D55">
              <w:rPr>
                <w:rFonts w:cs="Calibri"/>
              </w:rPr>
              <w:t>Und</w:t>
            </w:r>
          </w:p>
        </w:tc>
        <w:tc>
          <w:tcPr>
            <w:tcW w:w="709" w:type="dxa"/>
          </w:tcPr>
          <w:p w:rsidR="002716DA" w:rsidRPr="00DE2D55" w:rsidRDefault="002716DA" w:rsidP="00FE560B">
            <w:pPr>
              <w:tabs>
                <w:tab w:val="left" w:pos="0"/>
              </w:tabs>
              <w:suppressAutoHyphens/>
              <w:spacing w:line="240" w:lineRule="auto"/>
              <w:jc w:val="both"/>
              <w:rPr>
                <w:rFonts w:cs="Calibri"/>
              </w:rPr>
            </w:pPr>
            <w:r w:rsidRPr="00DE2D55">
              <w:rPr>
                <w:rFonts w:cs="Calibri"/>
              </w:rPr>
              <w:t>01</w:t>
            </w:r>
          </w:p>
        </w:tc>
        <w:tc>
          <w:tcPr>
            <w:tcW w:w="1418" w:type="dxa"/>
          </w:tcPr>
          <w:p w:rsidR="002716DA" w:rsidRPr="00DE2D55" w:rsidRDefault="002716DA" w:rsidP="00FE560B">
            <w:pPr>
              <w:tabs>
                <w:tab w:val="left" w:pos="0"/>
              </w:tabs>
              <w:suppressAutoHyphens/>
              <w:spacing w:line="240" w:lineRule="auto"/>
              <w:jc w:val="both"/>
              <w:rPr>
                <w:rFonts w:cs="Calibri"/>
              </w:rPr>
            </w:pPr>
            <w:r w:rsidRPr="00DE2D55">
              <w:rPr>
                <w:rFonts w:cs="Calibri"/>
              </w:rPr>
              <w:t>3.000.000,00</w:t>
            </w:r>
          </w:p>
        </w:tc>
        <w:tc>
          <w:tcPr>
            <w:tcW w:w="1411" w:type="dxa"/>
          </w:tcPr>
          <w:p w:rsidR="002716DA" w:rsidRPr="00DE2D55" w:rsidRDefault="002716DA" w:rsidP="00FE560B">
            <w:pPr>
              <w:tabs>
                <w:tab w:val="left" w:pos="0"/>
              </w:tabs>
              <w:suppressAutoHyphens/>
              <w:spacing w:line="240" w:lineRule="auto"/>
              <w:jc w:val="both"/>
              <w:rPr>
                <w:rFonts w:cs="Calibri"/>
                <w:b/>
              </w:rPr>
            </w:pPr>
            <w:r w:rsidRPr="00DE2D55">
              <w:rPr>
                <w:rFonts w:cs="Calibri"/>
              </w:rPr>
              <w:t>3.000.000,00</w:t>
            </w:r>
          </w:p>
        </w:tc>
      </w:tr>
      <w:tr w:rsidR="00EB6017" w:rsidRPr="00DE2D55" w:rsidTr="00EB6017">
        <w:tc>
          <w:tcPr>
            <w:tcW w:w="8393" w:type="dxa"/>
            <w:gridSpan w:val="4"/>
          </w:tcPr>
          <w:p w:rsidR="00EB6017" w:rsidRPr="00DE2D55" w:rsidRDefault="00EB6017" w:rsidP="00FE560B">
            <w:pPr>
              <w:tabs>
                <w:tab w:val="left" w:pos="0"/>
              </w:tabs>
              <w:suppressAutoHyphens/>
              <w:spacing w:line="240" w:lineRule="auto"/>
              <w:jc w:val="both"/>
              <w:rPr>
                <w:rFonts w:cs="Calibri"/>
                <w:b/>
              </w:rPr>
            </w:pPr>
            <w:r w:rsidRPr="00DE2D55">
              <w:rPr>
                <w:rFonts w:cs="Calibri"/>
                <w:b/>
              </w:rPr>
              <w:t>TOTAL EM R$</w:t>
            </w:r>
          </w:p>
        </w:tc>
        <w:tc>
          <w:tcPr>
            <w:tcW w:w="1411" w:type="dxa"/>
          </w:tcPr>
          <w:p w:rsidR="00EB6017" w:rsidRPr="00DE2D55" w:rsidRDefault="00EB6017" w:rsidP="00FE560B">
            <w:pPr>
              <w:tabs>
                <w:tab w:val="left" w:pos="0"/>
              </w:tabs>
              <w:suppressAutoHyphens/>
              <w:spacing w:line="240" w:lineRule="auto"/>
              <w:jc w:val="both"/>
              <w:rPr>
                <w:rFonts w:cs="Calibri"/>
                <w:b/>
              </w:rPr>
            </w:pPr>
            <w:r w:rsidRPr="00DE2D55">
              <w:rPr>
                <w:rFonts w:cs="Calibri"/>
              </w:rPr>
              <w:t>3.118.000,00</w:t>
            </w:r>
          </w:p>
        </w:tc>
      </w:tr>
      <w:tr w:rsidR="00EB6017" w:rsidRPr="00DE2D55" w:rsidTr="00EB6017">
        <w:tc>
          <w:tcPr>
            <w:tcW w:w="8393" w:type="dxa"/>
            <w:gridSpan w:val="4"/>
          </w:tcPr>
          <w:p w:rsidR="00EB6017" w:rsidRPr="00DE2D55" w:rsidRDefault="00EB6017" w:rsidP="00FE560B">
            <w:pPr>
              <w:tabs>
                <w:tab w:val="left" w:pos="0"/>
              </w:tabs>
              <w:suppressAutoHyphens/>
              <w:spacing w:line="240" w:lineRule="auto"/>
              <w:jc w:val="both"/>
              <w:rPr>
                <w:rFonts w:cs="Calibri"/>
                <w:b/>
              </w:rPr>
            </w:pPr>
            <w:r w:rsidRPr="00DE2D55">
              <w:rPr>
                <w:rFonts w:cs="Calibri"/>
                <w:b/>
              </w:rPr>
              <w:t>TOTAL EM USD</w:t>
            </w:r>
          </w:p>
        </w:tc>
        <w:tc>
          <w:tcPr>
            <w:tcW w:w="1411" w:type="dxa"/>
          </w:tcPr>
          <w:p w:rsidR="00EB6017" w:rsidRPr="00DE2D55" w:rsidRDefault="00EB6017" w:rsidP="00FE560B">
            <w:pPr>
              <w:tabs>
                <w:tab w:val="left" w:pos="0"/>
              </w:tabs>
              <w:suppressAutoHyphens/>
              <w:spacing w:line="240" w:lineRule="auto"/>
              <w:jc w:val="both"/>
              <w:rPr>
                <w:rFonts w:cs="Calibri"/>
                <w:b/>
              </w:rPr>
            </w:pPr>
            <w:r w:rsidRPr="00DE2D55">
              <w:rPr>
                <w:rFonts w:cs="Calibri"/>
              </w:rPr>
              <w:t>890.857,15</w:t>
            </w:r>
          </w:p>
        </w:tc>
      </w:tr>
    </w:tbl>
    <w:p w:rsidR="00611D38" w:rsidRDefault="00611D38" w:rsidP="00FE560B">
      <w:pPr>
        <w:pBdr>
          <w:bottom w:val="single" w:sz="12" w:space="1" w:color="auto"/>
        </w:pBdr>
        <w:tabs>
          <w:tab w:val="left" w:pos="0"/>
        </w:tabs>
        <w:jc w:val="both"/>
        <w:rPr>
          <w:rFonts w:cs="Calibri"/>
        </w:rPr>
      </w:pPr>
      <w:r w:rsidRPr="00DE2D55">
        <w:rPr>
          <w:rFonts w:cs="Calibri"/>
        </w:rPr>
        <w:t>Dólar a R$ 3,50</w:t>
      </w:r>
    </w:p>
    <w:p w:rsidR="00FD58F5" w:rsidRPr="00DE2D55" w:rsidRDefault="00FD58F5" w:rsidP="00FE560B">
      <w:pPr>
        <w:pBdr>
          <w:bottom w:val="single" w:sz="12" w:space="1" w:color="auto"/>
        </w:pBdr>
        <w:tabs>
          <w:tab w:val="left" w:pos="0"/>
        </w:tabs>
        <w:jc w:val="both"/>
        <w:rPr>
          <w:rFonts w:cs="Calibri"/>
        </w:rPr>
      </w:pPr>
    </w:p>
    <w:p w:rsidR="00611D38" w:rsidRPr="00DE2D55" w:rsidRDefault="00611D38" w:rsidP="00A249C9">
      <w:pPr>
        <w:pStyle w:val="PargrafodaLista"/>
        <w:numPr>
          <w:ilvl w:val="1"/>
          <w:numId w:val="67"/>
        </w:numPr>
        <w:pBdr>
          <w:bottom w:val="single" w:sz="12" w:space="1" w:color="auto"/>
        </w:pBdr>
        <w:tabs>
          <w:tab w:val="left" w:pos="0"/>
        </w:tabs>
        <w:jc w:val="both"/>
        <w:outlineLvl w:val="2"/>
        <w:rPr>
          <w:rFonts w:cs="Calibri"/>
          <w:b/>
        </w:rPr>
      </w:pPr>
      <w:bookmarkStart w:id="107" w:name="_Toc517282126"/>
      <w:r w:rsidRPr="00DE2D55">
        <w:rPr>
          <w:rFonts w:cs="Calibri"/>
          <w:b/>
        </w:rPr>
        <w:t>CRONOGRAMA PROPOSTO DO PRODUTO</w:t>
      </w:r>
      <w:bookmarkEnd w:id="107"/>
    </w:p>
    <w:p w:rsidR="00611D38" w:rsidRPr="00DE2D55" w:rsidRDefault="00611D38" w:rsidP="00FE560B">
      <w:pPr>
        <w:tabs>
          <w:tab w:val="left" w:pos="0"/>
        </w:tabs>
        <w:suppressAutoHyphens/>
        <w:jc w:val="both"/>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41"/>
        <w:gridCol w:w="382"/>
        <w:gridCol w:w="386"/>
        <w:gridCol w:w="386"/>
        <w:gridCol w:w="384"/>
        <w:gridCol w:w="386"/>
        <w:gridCol w:w="384"/>
        <w:gridCol w:w="385"/>
        <w:gridCol w:w="384"/>
        <w:gridCol w:w="385"/>
        <w:gridCol w:w="384"/>
      </w:tblGrid>
      <w:tr w:rsidR="00611D38" w:rsidRPr="00DE2D55" w:rsidTr="00FD58F5">
        <w:tc>
          <w:tcPr>
            <w:tcW w:w="675" w:type="dxa"/>
            <w:shd w:val="clear" w:color="auto" w:fill="D9D9D9"/>
            <w:hideMark/>
          </w:tcPr>
          <w:p w:rsidR="00611D38" w:rsidRPr="00DE2D55" w:rsidRDefault="00611D38" w:rsidP="00FE560B">
            <w:pPr>
              <w:tabs>
                <w:tab w:val="left" w:pos="0"/>
              </w:tabs>
              <w:suppressAutoHyphens/>
              <w:spacing w:line="240" w:lineRule="auto"/>
              <w:jc w:val="both"/>
              <w:rPr>
                <w:rFonts w:cs="Calibri"/>
                <w:b/>
              </w:rPr>
            </w:pPr>
            <w:r w:rsidRPr="00DE2D55">
              <w:rPr>
                <w:rFonts w:cs="Calibri"/>
                <w:b/>
              </w:rPr>
              <w:t>Subp</w:t>
            </w:r>
          </w:p>
        </w:tc>
        <w:tc>
          <w:tcPr>
            <w:tcW w:w="5142" w:type="dxa"/>
            <w:shd w:val="clear" w:color="auto" w:fill="D9D9D9"/>
            <w:hideMark/>
          </w:tcPr>
          <w:p w:rsidR="00611D38" w:rsidRPr="00DE2D55" w:rsidRDefault="00611D38" w:rsidP="00FE560B">
            <w:pPr>
              <w:tabs>
                <w:tab w:val="left" w:pos="0"/>
              </w:tabs>
              <w:suppressAutoHyphens/>
              <w:spacing w:line="240" w:lineRule="auto"/>
              <w:jc w:val="both"/>
              <w:rPr>
                <w:rFonts w:cs="Calibri"/>
                <w:b/>
              </w:rPr>
            </w:pPr>
            <w:r w:rsidRPr="00DE2D55">
              <w:rPr>
                <w:rFonts w:cs="Calibri"/>
                <w:b/>
              </w:rPr>
              <w:t>Item de Custo</w:t>
            </w:r>
          </w:p>
        </w:tc>
        <w:tc>
          <w:tcPr>
            <w:tcW w:w="768" w:type="dxa"/>
            <w:gridSpan w:val="2"/>
            <w:shd w:val="clear" w:color="auto" w:fill="D9D9D9"/>
            <w:hideMark/>
          </w:tcPr>
          <w:p w:rsidR="00611D38" w:rsidRPr="00DE2D55" w:rsidRDefault="00242B5E" w:rsidP="00FE560B">
            <w:pPr>
              <w:tabs>
                <w:tab w:val="left" w:pos="0"/>
              </w:tabs>
              <w:suppressAutoHyphens/>
              <w:spacing w:line="240" w:lineRule="auto"/>
              <w:jc w:val="both"/>
              <w:rPr>
                <w:rFonts w:cs="Calibri"/>
                <w:b/>
              </w:rPr>
            </w:pPr>
            <w:r w:rsidRPr="00DE2D55">
              <w:rPr>
                <w:rFonts w:cs="Calibri"/>
                <w:b/>
              </w:rPr>
              <w:t>2019</w:t>
            </w:r>
          </w:p>
        </w:tc>
        <w:tc>
          <w:tcPr>
            <w:tcW w:w="770" w:type="dxa"/>
            <w:gridSpan w:val="2"/>
            <w:shd w:val="clear" w:color="auto" w:fill="D9D9D9"/>
            <w:hideMark/>
          </w:tcPr>
          <w:p w:rsidR="00611D38" w:rsidRPr="00DE2D55" w:rsidRDefault="00242B5E" w:rsidP="00FE560B">
            <w:pPr>
              <w:tabs>
                <w:tab w:val="left" w:pos="0"/>
              </w:tabs>
              <w:suppressAutoHyphens/>
              <w:spacing w:line="240" w:lineRule="auto"/>
              <w:jc w:val="both"/>
              <w:rPr>
                <w:rFonts w:cs="Calibri"/>
                <w:b/>
              </w:rPr>
            </w:pPr>
            <w:r w:rsidRPr="00DE2D55">
              <w:rPr>
                <w:rFonts w:cs="Calibri"/>
                <w:b/>
              </w:rPr>
              <w:t>2020</w:t>
            </w:r>
          </w:p>
        </w:tc>
        <w:tc>
          <w:tcPr>
            <w:tcW w:w="770" w:type="dxa"/>
            <w:gridSpan w:val="2"/>
            <w:shd w:val="clear" w:color="auto" w:fill="D9D9D9"/>
            <w:hideMark/>
          </w:tcPr>
          <w:p w:rsidR="00611D38" w:rsidRPr="00DE2D55" w:rsidRDefault="00611D38" w:rsidP="00FE560B">
            <w:pPr>
              <w:tabs>
                <w:tab w:val="left" w:pos="0"/>
              </w:tabs>
              <w:suppressAutoHyphens/>
              <w:spacing w:line="240" w:lineRule="auto"/>
              <w:jc w:val="both"/>
              <w:rPr>
                <w:rFonts w:cs="Calibri"/>
                <w:b/>
              </w:rPr>
            </w:pPr>
            <w:r w:rsidRPr="00DE2D55">
              <w:rPr>
                <w:rFonts w:cs="Calibri"/>
                <w:b/>
              </w:rPr>
              <w:t>202</w:t>
            </w:r>
            <w:r w:rsidR="00242B5E" w:rsidRPr="00DE2D55">
              <w:rPr>
                <w:rFonts w:cs="Calibri"/>
                <w:b/>
              </w:rPr>
              <w:t>1</w:t>
            </w:r>
          </w:p>
        </w:tc>
        <w:tc>
          <w:tcPr>
            <w:tcW w:w="769" w:type="dxa"/>
            <w:gridSpan w:val="2"/>
            <w:shd w:val="clear" w:color="auto" w:fill="D9D9D9"/>
            <w:hideMark/>
          </w:tcPr>
          <w:p w:rsidR="00611D38" w:rsidRPr="00DE2D55" w:rsidRDefault="00611D38" w:rsidP="00FE560B">
            <w:pPr>
              <w:tabs>
                <w:tab w:val="left" w:pos="0"/>
              </w:tabs>
              <w:suppressAutoHyphens/>
              <w:spacing w:line="240" w:lineRule="auto"/>
              <w:jc w:val="both"/>
              <w:rPr>
                <w:rFonts w:cs="Calibri"/>
                <w:b/>
              </w:rPr>
            </w:pPr>
            <w:r w:rsidRPr="00DE2D55">
              <w:rPr>
                <w:rFonts w:cs="Calibri"/>
                <w:b/>
              </w:rPr>
              <w:t>2</w:t>
            </w:r>
            <w:r w:rsidR="00242B5E" w:rsidRPr="00DE2D55">
              <w:rPr>
                <w:rFonts w:cs="Calibri"/>
                <w:b/>
              </w:rPr>
              <w:t>022</w:t>
            </w:r>
          </w:p>
        </w:tc>
        <w:tc>
          <w:tcPr>
            <w:tcW w:w="769" w:type="dxa"/>
            <w:gridSpan w:val="2"/>
            <w:shd w:val="clear" w:color="auto" w:fill="D9D9D9"/>
            <w:hideMark/>
          </w:tcPr>
          <w:p w:rsidR="00611D38" w:rsidRPr="00DE2D55" w:rsidRDefault="00242B5E" w:rsidP="00FE560B">
            <w:pPr>
              <w:tabs>
                <w:tab w:val="left" w:pos="0"/>
              </w:tabs>
              <w:suppressAutoHyphens/>
              <w:spacing w:line="240" w:lineRule="auto"/>
              <w:jc w:val="both"/>
              <w:rPr>
                <w:rFonts w:cs="Calibri"/>
                <w:b/>
              </w:rPr>
            </w:pPr>
            <w:r w:rsidRPr="00DE2D55">
              <w:rPr>
                <w:rFonts w:cs="Calibri"/>
                <w:b/>
              </w:rPr>
              <w:t>2023</w:t>
            </w:r>
          </w:p>
        </w:tc>
      </w:tr>
      <w:tr w:rsidR="00611D38" w:rsidRPr="00DE2D55" w:rsidTr="00FD58F5">
        <w:tc>
          <w:tcPr>
            <w:tcW w:w="675" w:type="dxa"/>
          </w:tcPr>
          <w:p w:rsidR="00611D38" w:rsidRPr="00DE2D55" w:rsidRDefault="00611D38" w:rsidP="00FE560B">
            <w:pPr>
              <w:tabs>
                <w:tab w:val="left" w:pos="0"/>
              </w:tabs>
              <w:spacing w:line="240" w:lineRule="auto"/>
              <w:jc w:val="both"/>
              <w:rPr>
                <w:rFonts w:cs="Calibri"/>
              </w:rPr>
            </w:pPr>
            <w:r w:rsidRPr="00DE2D55">
              <w:rPr>
                <w:rFonts w:cs="Calibri"/>
              </w:rPr>
              <w:t>2.4.1</w:t>
            </w:r>
          </w:p>
        </w:tc>
        <w:tc>
          <w:tcPr>
            <w:tcW w:w="5142" w:type="dxa"/>
          </w:tcPr>
          <w:p w:rsidR="00611D38" w:rsidRPr="00EB6017" w:rsidRDefault="00611D38" w:rsidP="00FE560B">
            <w:pPr>
              <w:tabs>
                <w:tab w:val="left" w:pos="0"/>
              </w:tabs>
              <w:spacing w:line="240" w:lineRule="auto"/>
              <w:jc w:val="both"/>
              <w:rPr>
                <w:rFonts w:cs="Calibri"/>
              </w:rPr>
            </w:pPr>
            <w:r w:rsidRPr="00EB6017">
              <w:rPr>
                <w:rFonts w:cs="Calibri"/>
                <w:bCs/>
              </w:rPr>
              <w:t>Solução integrada de inteligência artificial para atendimento eletrônico ao contribuinte.</w:t>
            </w:r>
          </w:p>
        </w:tc>
        <w:tc>
          <w:tcPr>
            <w:tcW w:w="382" w:type="dxa"/>
          </w:tcPr>
          <w:p w:rsidR="00611D38" w:rsidRPr="00DE2D55" w:rsidRDefault="00611D38" w:rsidP="00FE560B">
            <w:pPr>
              <w:tabs>
                <w:tab w:val="left" w:pos="0"/>
              </w:tabs>
              <w:spacing w:line="240" w:lineRule="auto"/>
              <w:jc w:val="both"/>
              <w:rPr>
                <w:rFonts w:cs="Calibri"/>
              </w:rPr>
            </w:pPr>
          </w:p>
        </w:tc>
        <w:tc>
          <w:tcPr>
            <w:tcW w:w="386" w:type="dxa"/>
          </w:tcPr>
          <w:p w:rsidR="00611D38" w:rsidRPr="00DE2D55" w:rsidRDefault="00EB6017" w:rsidP="00FE560B">
            <w:pPr>
              <w:tabs>
                <w:tab w:val="left" w:pos="0"/>
              </w:tabs>
              <w:spacing w:line="240" w:lineRule="auto"/>
              <w:jc w:val="both"/>
              <w:rPr>
                <w:rFonts w:cs="Calibri"/>
              </w:rPr>
            </w:pPr>
            <w:r>
              <w:rPr>
                <w:rFonts w:cs="Calibri"/>
              </w:rPr>
              <w:t>X</w:t>
            </w:r>
          </w:p>
        </w:tc>
        <w:tc>
          <w:tcPr>
            <w:tcW w:w="386" w:type="dxa"/>
          </w:tcPr>
          <w:p w:rsidR="00611D38" w:rsidRPr="00DE2D55" w:rsidRDefault="00EB6017" w:rsidP="00FE560B">
            <w:pPr>
              <w:tabs>
                <w:tab w:val="left" w:pos="0"/>
              </w:tabs>
              <w:spacing w:line="240" w:lineRule="auto"/>
              <w:jc w:val="both"/>
              <w:rPr>
                <w:rFonts w:cs="Calibri"/>
              </w:rPr>
            </w:pPr>
            <w:r>
              <w:rPr>
                <w:rFonts w:cs="Calibri"/>
              </w:rPr>
              <w:t>X</w:t>
            </w:r>
          </w:p>
        </w:tc>
        <w:tc>
          <w:tcPr>
            <w:tcW w:w="384" w:type="dxa"/>
          </w:tcPr>
          <w:p w:rsidR="00611D38" w:rsidRPr="00DE2D55" w:rsidRDefault="00EB6017" w:rsidP="00FE560B">
            <w:pPr>
              <w:tabs>
                <w:tab w:val="left" w:pos="0"/>
              </w:tabs>
              <w:spacing w:line="240" w:lineRule="auto"/>
              <w:jc w:val="both"/>
              <w:rPr>
                <w:rFonts w:cs="Calibri"/>
              </w:rPr>
            </w:pPr>
            <w:r>
              <w:rPr>
                <w:rFonts w:cs="Calibri"/>
              </w:rPr>
              <w:t>X</w:t>
            </w:r>
          </w:p>
        </w:tc>
        <w:tc>
          <w:tcPr>
            <w:tcW w:w="386" w:type="dxa"/>
          </w:tcPr>
          <w:p w:rsidR="00611D38" w:rsidRPr="00DE2D55" w:rsidRDefault="00EB6017" w:rsidP="00FE560B">
            <w:pPr>
              <w:tabs>
                <w:tab w:val="left" w:pos="0"/>
              </w:tabs>
              <w:spacing w:line="240" w:lineRule="auto"/>
              <w:jc w:val="both"/>
              <w:rPr>
                <w:rFonts w:cs="Calibri"/>
              </w:rPr>
            </w:pPr>
            <w:r>
              <w:rPr>
                <w:rFonts w:cs="Calibri"/>
              </w:rPr>
              <w:t>X</w:t>
            </w:r>
          </w:p>
        </w:tc>
        <w:tc>
          <w:tcPr>
            <w:tcW w:w="384" w:type="dxa"/>
          </w:tcPr>
          <w:p w:rsidR="00611D38" w:rsidRPr="00DE2D55" w:rsidRDefault="00242B5E" w:rsidP="00FE560B">
            <w:pPr>
              <w:tabs>
                <w:tab w:val="left" w:pos="0"/>
              </w:tabs>
              <w:spacing w:line="240" w:lineRule="auto"/>
              <w:jc w:val="both"/>
              <w:rPr>
                <w:rFonts w:cs="Calibri"/>
              </w:rPr>
            </w:pPr>
            <w:r w:rsidRPr="00DE2D55">
              <w:rPr>
                <w:rFonts w:cs="Calibri"/>
              </w:rPr>
              <w:t>X</w:t>
            </w:r>
          </w:p>
        </w:tc>
        <w:tc>
          <w:tcPr>
            <w:tcW w:w="385" w:type="dxa"/>
          </w:tcPr>
          <w:p w:rsidR="00611D38" w:rsidRPr="00DE2D55" w:rsidRDefault="00611D38" w:rsidP="00FE560B">
            <w:pPr>
              <w:tabs>
                <w:tab w:val="left" w:pos="0"/>
              </w:tabs>
              <w:spacing w:line="240" w:lineRule="auto"/>
              <w:jc w:val="both"/>
              <w:rPr>
                <w:rFonts w:cs="Calibri"/>
              </w:rPr>
            </w:pPr>
          </w:p>
        </w:tc>
        <w:tc>
          <w:tcPr>
            <w:tcW w:w="384" w:type="dxa"/>
          </w:tcPr>
          <w:p w:rsidR="00611D38" w:rsidRPr="00DE2D55" w:rsidRDefault="00611D38" w:rsidP="00FE560B">
            <w:pPr>
              <w:tabs>
                <w:tab w:val="left" w:pos="0"/>
              </w:tabs>
              <w:spacing w:line="240" w:lineRule="auto"/>
              <w:jc w:val="both"/>
              <w:rPr>
                <w:rFonts w:cs="Calibri"/>
              </w:rPr>
            </w:pPr>
          </w:p>
        </w:tc>
        <w:tc>
          <w:tcPr>
            <w:tcW w:w="385" w:type="dxa"/>
          </w:tcPr>
          <w:p w:rsidR="00611D38" w:rsidRPr="00DE2D55" w:rsidRDefault="00611D38" w:rsidP="00FE560B">
            <w:pPr>
              <w:tabs>
                <w:tab w:val="left" w:pos="0"/>
              </w:tabs>
              <w:spacing w:line="240" w:lineRule="auto"/>
              <w:jc w:val="both"/>
              <w:rPr>
                <w:rFonts w:cs="Calibri"/>
              </w:rPr>
            </w:pPr>
          </w:p>
        </w:tc>
        <w:tc>
          <w:tcPr>
            <w:tcW w:w="384" w:type="dxa"/>
          </w:tcPr>
          <w:p w:rsidR="00611D38" w:rsidRPr="00DE2D55" w:rsidRDefault="00611D38" w:rsidP="00FE560B">
            <w:pPr>
              <w:tabs>
                <w:tab w:val="left" w:pos="0"/>
              </w:tabs>
              <w:spacing w:line="240" w:lineRule="auto"/>
              <w:jc w:val="both"/>
              <w:rPr>
                <w:rFonts w:cs="Calibri"/>
              </w:rPr>
            </w:pPr>
          </w:p>
        </w:tc>
      </w:tr>
    </w:tbl>
    <w:p w:rsidR="00611D38" w:rsidRPr="00DE2D55" w:rsidRDefault="00611D38" w:rsidP="00FE560B">
      <w:pPr>
        <w:tabs>
          <w:tab w:val="left" w:pos="0"/>
        </w:tabs>
        <w:jc w:val="both"/>
        <w:rPr>
          <w:rFonts w:cs="Calibri"/>
        </w:rPr>
      </w:pPr>
    </w:p>
    <w:p w:rsidR="00611D38" w:rsidRPr="00DE2D55" w:rsidRDefault="00611D38" w:rsidP="00FE560B">
      <w:pPr>
        <w:tabs>
          <w:tab w:val="left" w:pos="0"/>
        </w:tabs>
        <w:jc w:val="both"/>
        <w:rPr>
          <w:rFonts w:eastAsia="Times New Roman" w:cs="Arial"/>
          <w:color w:val="996633"/>
          <w:lang w:eastAsia="pt-BR"/>
        </w:rPr>
      </w:pPr>
      <w:r w:rsidRPr="00DE2D55">
        <w:rPr>
          <w:rFonts w:eastAsia="Times New Roman" w:cs="Arial"/>
          <w:color w:val="996633"/>
          <w:lang w:eastAsia="pt-BR"/>
        </w:rPr>
        <w:br w:type="page"/>
      </w:r>
    </w:p>
    <w:p w:rsidR="001B4726" w:rsidRPr="00DE2D55" w:rsidRDefault="00611D38" w:rsidP="00FE560B">
      <w:pPr>
        <w:pStyle w:val="Ttulo2"/>
        <w:tabs>
          <w:tab w:val="left" w:pos="0"/>
        </w:tabs>
        <w:spacing w:before="0"/>
        <w:jc w:val="both"/>
        <w:rPr>
          <w:rFonts w:asciiTheme="minorHAnsi" w:eastAsia="Times New Roman" w:hAnsiTheme="minorHAnsi" w:cs="Arial"/>
          <w:color w:val="996633"/>
          <w:sz w:val="22"/>
          <w:szCs w:val="22"/>
          <w:lang w:eastAsia="pt-BR"/>
        </w:rPr>
      </w:pPr>
      <w:bookmarkStart w:id="108" w:name="_Toc517282127"/>
      <w:r w:rsidRPr="00DE2D55">
        <w:rPr>
          <w:rFonts w:asciiTheme="minorHAnsi" w:eastAsia="Times New Roman" w:hAnsiTheme="minorHAnsi" w:cs="Arial"/>
          <w:sz w:val="22"/>
          <w:szCs w:val="22"/>
          <w:lang w:eastAsia="pt-BR"/>
        </w:rPr>
        <w:t>PRODUTO 5. MODELO DE COBRANÇA ADMINISTRATIVA IMPLANTADO</w:t>
      </w:r>
      <w:bookmarkEnd w:id="108"/>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174C8A" w:rsidRPr="00DE2D55" w:rsidTr="00DE2D55">
        <w:tc>
          <w:tcPr>
            <w:tcW w:w="9779" w:type="dxa"/>
            <w:tcBorders>
              <w:top w:val="single" w:sz="4" w:space="0" w:color="auto"/>
              <w:left w:val="nil"/>
              <w:bottom w:val="single" w:sz="4" w:space="0" w:color="auto"/>
              <w:right w:val="nil"/>
            </w:tcBorders>
            <w:shd w:val="clear" w:color="auto" w:fill="D5DCE4"/>
          </w:tcPr>
          <w:p w:rsidR="00174C8A" w:rsidRPr="00DE2D55" w:rsidRDefault="00174C8A"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174C8A" w:rsidRPr="00DE2D55" w:rsidRDefault="00174C8A" w:rsidP="00FE560B">
            <w:pPr>
              <w:shd w:val="clear" w:color="auto" w:fill="D5DCE4"/>
              <w:tabs>
                <w:tab w:val="left" w:pos="0"/>
              </w:tabs>
              <w:jc w:val="both"/>
              <w:rPr>
                <w:rFonts w:cs="Calibri"/>
                <w:b/>
                <w:bCs/>
                <w:color w:val="0070C0"/>
              </w:rPr>
            </w:pPr>
            <w:r w:rsidRPr="00DE2D55">
              <w:rPr>
                <w:rFonts w:cs="Calibri"/>
                <w:b/>
                <w:bCs/>
                <w:color w:val="0070C0"/>
              </w:rPr>
              <w:t xml:space="preserve">2.5 </w:t>
            </w:r>
            <w:r w:rsidRPr="00DE2D55">
              <w:rPr>
                <w:rFonts w:cs="Arial"/>
                <w:b/>
                <w:color w:val="0070C0"/>
              </w:rPr>
              <w:t>Modelo de Cobrança Administrativa implantado</w:t>
            </w:r>
          </w:p>
          <w:p w:rsidR="00174C8A" w:rsidRPr="00DE2D55" w:rsidRDefault="00174C8A" w:rsidP="00FE560B">
            <w:pPr>
              <w:shd w:val="clear" w:color="auto" w:fill="D5DCE4"/>
              <w:tabs>
                <w:tab w:val="left" w:pos="0"/>
              </w:tabs>
              <w:jc w:val="both"/>
              <w:rPr>
                <w:rFonts w:cs="Calibri"/>
                <w:b/>
                <w:bCs/>
              </w:rPr>
            </w:pPr>
            <w:r w:rsidRPr="00DE2D55">
              <w:rPr>
                <w:rFonts w:cs="Calibri"/>
                <w:b/>
                <w:bCs/>
                <w:color w:val="0070C0"/>
              </w:rPr>
              <w:t xml:space="preserve">2.5.1 </w:t>
            </w:r>
            <w:r w:rsidRPr="00DE2D55">
              <w:rPr>
                <w:rFonts w:cs="Arial"/>
                <w:color w:val="0070C0"/>
              </w:rPr>
              <w:t>Implantação de um modelo de cobrança com base no perfil de recuperação do contribuinte do ICMS e IPVA, apoiado por um sistema informatizado de gestão da Cobrança; incluindo interface com o sistema DETRANET para cobrança do IPVA.</w:t>
            </w:r>
          </w:p>
        </w:tc>
      </w:tr>
    </w:tbl>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ind w:left="360"/>
        <w:jc w:val="both"/>
        <w:rPr>
          <w:rFonts w:cs="Calibri"/>
          <w:b/>
        </w:rPr>
      </w:pPr>
      <w:r w:rsidRPr="00DE2D55">
        <w:rPr>
          <w:rFonts w:cs="Calibri"/>
          <w:b/>
        </w:rPr>
        <w:t xml:space="preserve">Autores: </w:t>
      </w:r>
    </w:p>
    <w:p w:rsidR="00174C8A" w:rsidRPr="00DE2D55" w:rsidRDefault="00174C8A" w:rsidP="00FE560B">
      <w:pPr>
        <w:tabs>
          <w:tab w:val="left" w:pos="0"/>
        </w:tabs>
        <w:ind w:left="360"/>
        <w:jc w:val="both"/>
        <w:rPr>
          <w:rFonts w:cs="Calibri"/>
          <w:b/>
        </w:rPr>
      </w:pPr>
    </w:p>
    <w:tbl>
      <w:tblPr>
        <w:tblW w:w="9781" w:type="dxa"/>
        <w:tblInd w:w="-34" w:type="dxa"/>
        <w:tblLayout w:type="fixed"/>
        <w:tblLook w:val="04A0" w:firstRow="1" w:lastRow="0" w:firstColumn="1" w:lastColumn="0" w:noHBand="0" w:noVBand="1"/>
      </w:tblPr>
      <w:tblGrid>
        <w:gridCol w:w="3290"/>
        <w:gridCol w:w="1275"/>
        <w:gridCol w:w="1701"/>
        <w:gridCol w:w="3515"/>
      </w:tblGrid>
      <w:tr w:rsidR="00174C8A" w:rsidRPr="00DE2D55" w:rsidTr="00DE2D55">
        <w:tc>
          <w:tcPr>
            <w:tcW w:w="3290" w:type="dxa"/>
            <w:tcBorders>
              <w:top w:val="single" w:sz="4" w:space="0" w:color="00000A"/>
              <w:left w:val="single" w:sz="4" w:space="0" w:color="00000A"/>
              <w:bottom w:val="single" w:sz="4" w:space="0" w:color="00000A"/>
              <w:right w:val="single" w:sz="4" w:space="0" w:color="00000A"/>
            </w:tcBorders>
            <w:shd w:val="clear" w:color="auto" w:fill="FFFFFF"/>
            <w:hideMark/>
          </w:tcPr>
          <w:p w:rsidR="00174C8A" w:rsidRPr="00DE2D55" w:rsidRDefault="00174C8A" w:rsidP="00FE560B">
            <w:pPr>
              <w:tabs>
                <w:tab w:val="left" w:pos="0"/>
              </w:tabs>
              <w:ind w:left="37"/>
              <w:jc w:val="both"/>
              <w:rPr>
                <w:rFonts w:cs="Calibri"/>
                <w:b/>
              </w:rPr>
            </w:pPr>
            <w:r w:rsidRPr="00DE2D55">
              <w:rPr>
                <w:rFonts w:cs="Calibri"/>
                <w:b/>
              </w:rPr>
              <w:t>Nome</w:t>
            </w:r>
          </w:p>
        </w:tc>
        <w:tc>
          <w:tcPr>
            <w:tcW w:w="1275" w:type="dxa"/>
            <w:tcBorders>
              <w:top w:val="single" w:sz="4" w:space="0" w:color="00000A"/>
              <w:left w:val="single" w:sz="4" w:space="0" w:color="00000A"/>
              <w:bottom w:val="single" w:sz="4" w:space="0" w:color="00000A"/>
              <w:right w:val="single" w:sz="4" w:space="0" w:color="00000A"/>
            </w:tcBorders>
            <w:shd w:val="clear" w:color="auto" w:fill="FFFFFF"/>
            <w:hideMark/>
          </w:tcPr>
          <w:p w:rsidR="00174C8A" w:rsidRPr="00DE2D55" w:rsidRDefault="00174C8A" w:rsidP="00FE560B">
            <w:pPr>
              <w:tabs>
                <w:tab w:val="left" w:pos="0"/>
              </w:tabs>
              <w:jc w:val="both"/>
              <w:rPr>
                <w:rFonts w:cs="Calibri"/>
                <w:b/>
              </w:rPr>
            </w:pPr>
            <w:r w:rsidRPr="00DE2D55">
              <w:rPr>
                <w:rFonts w:cs="Calibri"/>
                <w:b/>
              </w:rPr>
              <w:t>Cargo</w:t>
            </w:r>
          </w:p>
        </w:tc>
        <w:tc>
          <w:tcPr>
            <w:tcW w:w="1701" w:type="dxa"/>
            <w:tcBorders>
              <w:top w:val="single" w:sz="4" w:space="0" w:color="00000A"/>
              <w:left w:val="single" w:sz="4" w:space="0" w:color="00000A"/>
              <w:bottom w:val="single" w:sz="4" w:space="0" w:color="00000A"/>
              <w:right w:val="single" w:sz="4" w:space="0" w:color="00000A"/>
            </w:tcBorders>
            <w:shd w:val="clear" w:color="auto" w:fill="FFFFFF"/>
            <w:hideMark/>
          </w:tcPr>
          <w:p w:rsidR="00174C8A" w:rsidRPr="00DE2D55" w:rsidRDefault="00174C8A" w:rsidP="00FE560B">
            <w:pPr>
              <w:tabs>
                <w:tab w:val="left" w:pos="0"/>
              </w:tabs>
              <w:jc w:val="both"/>
              <w:rPr>
                <w:rFonts w:cs="Calibri"/>
                <w:b/>
              </w:rPr>
            </w:pPr>
            <w:r w:rsidRPr="00DE2D55">
              <w:rPr>
                <w:rFonts w:cs="Calibri"/>
                <w:b/>
              </w:rPr>
              <w:t>Área</w:t>
            </w:r>
          </w:p>
        </w:tc>
        <w:tc>
          <w:tcPr>
            <w:tcW w:w="3515" w:type="dxa"/>
            <w:tcBorders>
              <w:top w:val="single" w:sz="4" w:space="0" w:color="00000A"/>
              <w:left w:val="single" w:sz="4" w:space="0" w:color="00000A"/>
              <w:bottom w:val="single" w:sz="4" w:space="0" w:color="00000A"/>
              <w:right w:val="single" w:sz="4" w:space="0" w:color="00000A"/>
            </w:tcBorders>
            <w:shd w:val="clear" w:color="auto" w:fill="FFFFFF"/>
            <w:hideMark/>
          </w:tcPr>
          <w:p w:rsidR="00174C8A" w:rsidRPr="00DE2D55" w:rsidRDefault="00174C8A" w:rsidP="00FE560B">
            <w:pPr>
              <w:tabs>
                <w:tab w:val="left" w:pos="0"/>
              </w:tabs>
              <w:jc w:val="both"/>
              <w:rPr>
                <w:rFonts w:eastAsia="Calibri" w:cs="Calibri"/>
                <w:lang w:val="es-ES"/>
              </w:rPr>
            </w:pPr>
            <w:r w:rsidRPr="00DE2D55">
              <w:rPr>
                <w:rFonts w:cs="Calibri"/>
                <w:b/>
              </w:rPr>
              <w:t>E-mail</w:t>
            </w:r>
          </w:p>
        </w:tc>
      </w:tr>
      <w:tr w:rsidR="00174C8A" w:rsidRPr="00DE2D55" w:rsidTr="00DE2D55">
        <w:tc>
          <w:tcPr>
            <w:tcW w:w="3290"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Leandro Gonçalves Kuster</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AFRE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Arrecadação</w:t>
            </w:r>
          </w:p>
        </w:tc>
        <w:tc>
          <w:tcPr>
            <w:tcW w:w="351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E04BB7" w:rsidP="00FE560B">
            <w:pPr>
              <w:tabs>
                <w:tab w:val="left" w:pos="0"/>
              </w:tabs>
              <w:jc w:val="both"/>
              <w:rPr>
                <w:rFonts w:cs="Calibri"/>
              </w:rPr>
            </w:pPr>
            <w:hyperlink r:id="rId25" w:history="1">
              <w:r w:rsidR="00174C8A" w:rsidRPr="00DE2D55">
                <w:t>lgkuster@sefaz.es.gov.br</w:t>
              </w:r>
            </w:hyperlink>
          </w:p>
        </w:tc>
      </w:tr>
      <w:tr w:rsidR="00174C8A" w:rsidRPr="00DE2D55" w:rsidTr="00DE2D55">
        <w:tc>
          <w:tcPr>
            <w:tcW w:w="3290"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Ricardo Zanetti London</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AFRE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Arrecadação</w:t>
            </w:r>
          </w:p>
        </w:tc>
        <w:tc>
          <w:tcPr>
            <w:tcW w:w="351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ricardo.london@sefaz.es.gov.br</w:t>
            </w:r>
          </w:p>
        </w:tc>
      </w:tr>
      <w:tr w:rsidR="00174C8A" w:rsidRPr="00DE2D55" w:rsidTr="00DE2D55">
        <w:tc>
          <w:tcPr>
            <w:tcW w:w="3290"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Christiane Gonçalves Madeira</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AFRE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174C8A" w:rsidP="00FE560B">
            <w:pPr>
              <w:tabs>
                <w:tab w:val="left" w:pos="0"/>
              </w:tabs>
              <w:jc w:val="both"/>
              <w:rPr>
                <w:rFonts w:cs="Calibri"/>
              </w:rPr>
            </w:pPr>
            <w:r w:rsidRPr="00DE2D55">
              <w:rPr>
                <w:rFonts w:cs="Calibri"/>
              </w:rPr>
              <w:t>Arrecadação</w:t>
            </w:r>
          </w:p>
        </w:tc>
        <w:tc>
          <w:tcPr>
            <w:tcW w:w="3515" w:type="dxa"/>
            <w:tcBorders>
              <w:top w:val="single" w:sz="4" w:space="0" w:color="00000A"/>
              <w:left w:val="single" w:sz="4" w:space="0" w:color="00000A"/>
              <w:bottom w:val="single" w:sz="4" w:space="0" w:color="00000A"/>
              <w:right w:val="single" w:sz="4" w:space="0" w:color="00000A"/>
            </w:tcBorders>
            <w:shd w:val="clear" w:color="auto" w:fill="FFFFFF"/>
          </w:tcPr>
          <w:p w:rsidR="00174C8A" w:rsidRPr="00DE2D55" w:rsidRDefault="00E04BB7" w:rsidP="00FE560B">
            <w:pPr>
              <w:tabs>
                <w:tab w:val="left" w:pos="0"/>
              </w:tabs>
              <w:jc w:val="both"/>
              <w:rPr>
                <w:rFonts w:cs="Calibri"/>
              </w:rPr>
            </w:pPr>
            <w:hyperlink r:id="rId26" w:history="1">
              <w:r w:rsidR="00174C8A" w:rsidRPr="00DE2D55">
                <w:t>cgmadeira@sefaz.es.gov.br</w:t>
              </w:r>
            </w:hyperlink>
          </w:p>
        </w:tc>
      </w:tr>
    </w:tbl>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p>
    <w:p w:rsidR="00174C8A" w:rsidRPr="00DE2D55" w:rsidRDefault="00174C8A" w:rsidP="00FD58F5">
      <w:pPr>
        <w:tabs>
          <w:tab w:val="left" w:pos="0"/>
        </w:tabs>
        <w:jc w:val="center"/>
        <w:rPr>
          <w:rFonts w:cs="Calibri"/>
          <w:b/>
        </w:rPr>
      </w:pPr>
      <w:r w:rsidRPr="00DE2D55">
        <w:rPr>
          <w:rFonts w:cs="Calibri"/>
          <w:b/>
        </w:rPr>
        <w:t>Vitória/ES – junho de 2018</w:t>
      </w:r>
    </w:p>
    <w:p w:rsidR="00174C8A" w:rsidRPr="00DE2D55" w:rsidRDefault="00174C8A" w:rsidP="00FE560B">
      <w:pPr>
        <w:tabs>
          <w:tab w:val="left" w:pos="0"/>
        </w:tabs>
        <w:jc w:val="both"/>
        <w:rPr>
          <w:rFonts w:cs="Calibri"/>
          <w:b/>
        </w:rPr>
      </w:pPr>
    </w:p>
    <w:p w:rsidR="00174C8A" w:rsidRPr="00DE2D55" w:rsidRDefault="00174C8A" w:rsidP="00FE560B">
      <w:pPr>
        <w:tabs>
          <w:tab w:val="left" w:pos="0"/>
        </w:tabs>
        <w:jc w:val="both"/>
        <w:rPr>
          <w:rFonts w:cs="Calibri"/>
          <w:b/>
        </w:rPr>
      </w:pPr>
    </w:p>
    <w:p w:rsidR="00174C8A" w:rsidRPr="00DE2D55" w:rsidRDefault="00174C8A" w:rsidP="00FE560B">
      <w:pPr>
        <w:tabs>
          <w:tab w:val="left" w:pos="0"/>
        </w:tabs>
        <w:jc w:val="both"/>
        <w:rPr>
          <w:rFonts w:cs="Calibri"/>
          <w:b/>
        </w:rPr>
      </w:pPr>
      <w:r w:rsidRPr="00DE2D55">
        <w:rPr>
          <w:rFonts w:cs="Calibri"/>
          <w:b/>
        </w:rPr>
        <w:br w:type="page"/>
      </w: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09" w:name="_Toc517282128"/>
      <w:r w:rsidRPr="00DE2D55">
        <w:rPr>
          <w:rFonts w:cs="Calibri"/>
          <w:b/>
        </w:rPr>
        <w:t>ANTECEDENTES DO PRODUTO</w:t>
      </w:r>
      <w:bookmarkEnd w:id="109"/>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 xml:space="preserve">Considerando que um dos objetivos estratégicos da SEFAZ, é o de melhorar o cumprimento voluntário da obrigação tributária por meio de monitoramento e assistência ao contribuinte, a ação da Cobrança Administrativa é fundamental para alcançar este propósito. </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No âmbito do projeto de redesenho de processos da Secretaria da Fazenda do Estado da Fazenda do Estado do Espírito Santo (SEFAZ), verificou-se a necessidade de revisar e implantar um novo Modelo de Cobrança Administrativa na SEFAZ.</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Inicialmente foi realizada a elaboração de um diagnóstico situacional do modelo da Cobrança Administrativa que a SEFAZ utiliza atualmente, com o objetivo de verificar as melhorias para o processo de cobrança existente e as lacunas a serem preenchidas pelo projeto.</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A revisão do atual modelo de cobrança administrativa teve como base três fundamentos: um sistema de informação para cobrança, um processo de gestão para cobrança e a organização da área de cobrança.</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Finalmente, seguem algumas sugestões e propostas de melhoria nos processos de Cobrança em termos de Organização, Recursos Humanos, Processos de Gestão e em termos de Sistemas de Informação e Recursos Tecnológicos.</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 xml:space="preserve">O processo de redesenho da Cobrança Administrativa apresentou sugestões e propostas de melhoria nos processos de Cobrança em termos de Organização, Recursos Humanos, Processos de Gestão e em termos de Sistemas de Informação e Recursos Tecnológicos. </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r w:rsidRPr="00DE2D55">
        <w:rPr>
          <w:rFonts w:asciiTheme="minorHAnsi" w:hAnsiTheme="minorHAnsi"/>
          <w:szCs w:val="22"/>
          <w:lang w:val="pt-BR"/>
        </w:rPr>
        <w:t>Para dar suporte às mudanças propostas, sugerimos a criação de manuais de procedimentos para o novo modelo de gestão de cobrança. Os manuais de procedimentos serão elaborados para aplicação em todas as carteiras de cobranças elaboradas pela SEFAZ.</w:t>
      </w:r>
    </w:p>
    <w:p w:rsidR="00174C8A" w:rsidRPr="00DE2D55" w:rsidRDefault="00174C8A" w:rsidP="00FE560B">
      <w:pPr>
        <w:pStyle w:val="EstiloJustificado"/>
        <w:tabs>
          <w:tab w:val="left" w:pos="0"/>
        </w:tabs>
        <w:spacing w:before="0" w:after="0" w:line="360" w:lineRule="auto"/>
        <w:ind w:left="360"/>
        <w:rPr>
          <w:rFonts w:asciiTheme="minorHAnsi" w:hAnsiTheme="minorHAnsi"/>
          <w:szCs w:val="22"/>
          <w:lang w:val="pt-BR"/>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0" w:name="_Toc517282129"/>
      <w:r w:rsidRPr="00DE2D55">
        <w:rPr>
          <w:rFonts w:cs="Calibri"/>
          <w:b/>
        </w:rPr>
        <w:t>DESCRIÇÃO DO PROBLEMA E SUAS EVIDÊNCIAS</w:t>
      </w:r>
      <w:bookmarkEnd w:id="110"/>
    </w:p>
    <w:p w:rsidR="00174C8A" w:rsidRPr="00DE2D55" w:rsidRDefault="00174C8A" w:rsidP="00FE560B">
      <w:pPr>
        <w:tabs>
          <w:tab w:val="left" w:pos="0"/>
        </w:tabs>
        <w:ind w:left="357"/>
        <w:jc w:val="both"/>
        <w:rPr>
          <w:rFonts w:cs="Calibri"/>
        </w:rPr>
      </w:pPr>
    </w:p>
    <w:p w:rsidR="00174C8A" w:rsidRPr="00DE2D55" w:rsidRDefault="00174C8A" w:rsidP="00FE560B">
      <w:pPr>
        <w:tabs>
          <w:tab w:val="left" w:pos="0"/>
        </w:tabs>
        <w:ind w:left="357"/>
        <w:jc w:val="both"/>
        <w:rPr>
          <w:rFonts w:cs="Calibri"/>
        </w:rPr>
      </w:pPr>
      <w:r w:rsidRPr="00DE2D55">
        <w:rPr>
          <w:rFonts w:cs="Calibri"/>
          <w:b/>
        </w:rPr>
        <w:t>Síntese do Problema:</w:t>
      </w:r>
      <w:r w:rsidRPr="00DE2D55">
        <w:rPr>
          <w:rFonts w:cs="Calibri"/>
        </w:rPr>
        <w:t xml:space="preserve"> </w:t>
      </w:r>
    </w:p>
    <w:p w:rsidR="00174C8A" w:rsidRPr="00DE2D55" w:rsidRDefault="00174C8A" w:rsidP="00FE560B">
      <w:pPr>
        <w:tabs>
          <w:tab w:val="left" w:pos="0"/>
        </w:tabs>
        <w:ind w:left="357"/>
        <w:jc w:val="both"/>
        <w:rPr>
          <w:rFonts w:cs="Calibri"/>
        </w:rPr>
      </w:pPr>
    </w:p>
    <w:p w:rsidR="00174C8A" w:rsidRPr="00DE2D55" w:rsidRDefault="00174C8A"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Calibri"/>
          <w:i/>
          <w:noProof/>
        </w:rPr>
      </w:pPr>
      <w:r w:rsidRPr="00DE2D55">
        <w:rPr>
          <w:rFonts w:cs="Calibri"/>
          <w:i/>
          <w:noProof/>
        </w:rPr>
        <w:t>Perda de arrecadação devido ao baixo desempenho da cobrança administrativa.</w:t>
      </w:r>
    </w:p>
    <w:p w:rsidR="00174C8A" w:rsidRPr="00DE2D55" w:rsidRDefault="00174C8A" w:rsidP="00FE560B">
      <w:pPr>
        <w:tabs>
          <w:tab w:val="left" w:pos="0"/>
        </w:tabs>
        <w:ind w:left="357"/>
        <w:jc w:val="both"/>
        <w:rPr>
          <w:rFonts w:cs="Calibri"/>
        </w:rPr>
      </w:pPr>
    </w:p>
    <w:p w:rsidR="00174C8A" w:rsidRPr="00DE2D55" w:rsidRDefault="00174C8A" w:rsidP="00FE560B">
      <w:pPr>
        <w:tabs>
          <w:tab w:val="left" w:pos="0"/>
        </w:tabs>
        <w:ind w:left="357"/>
        <w:jc w:val="both"/>
        <w:rPr>
          <w:rFonts w:cs="Calibri"/>
          <w:b/>
        </w:rPr>
      </w:pPr>
      <w:r w:rsidRPr="00DE2D55">
        <w:rPr>
          <w:rFonts w:cs="Calibri"/>
          <w:b/>
        </w:rPr>
        <w:t>Principais causas:</w:t>
      </w:r>
    </w:p>
    <w:p w:rsidR="00174C8A" w:rsidRPr="00DE2D55" w:rsidRDefault="00174C8A" w:rsidP="00A249C9">
      <w:pPr>
        <w:pStyle w:val="EstiloJustificado"/>
        <w:numPr>
          <w:ilvl w:val="0"/>
          <w:numId w:val="91"/>
        </w:numPr>
        <w:tabs>
          <w:tab w:val="left" w:pos="0"/>
        </w:tabs>
        <w:spacing w:before="0" w:after="0" w:line="360" w:lineRule="auto"/>
        <w:rPr>
          <w:rFonts w:asciiTheme="minorHAnsi" w:hAnsiTheme="minorHAnsi"/>
          <w:szCs w:val="22"/>
          <w:lang w:val="pt-BR"/>
        </w:rPr>
      </w:pPr>
      <w:r w:rsidRPr="00DE2D55">
        <w:rPr>
          <w:rFonts w:asciiTheme="minorHAnsi" w:hAnsiTheme="minorHAnsi"/>
          <w:szCs w:val="22"/>
          <w:lang w:val="pt-BR"/>
        </w:rPr>
        <w:t xml:space="preserve">Dificuldade para identificar os contribuintes inadimplentes do ICMS e IPVA, porque o processo de cobrança é feito totalmente de forma manual, sem critérios claramente definidos para parcelamento e classificação de risco. A cobrança do ICMS é feita majoritariamente nos parcelamentos rescindidos e avisos de cobranças registrados no sistema de tributação. Não existindo cobrança para o IPVA. Falta de produto para elaboração, controle e mensuração dos trabalhos. </w:t>
      </w:r>
    </w:p>
    <w:p w:rsidR="00174C8A" w:rsidRPr="00DE2D55" w:rsidRDefault="00174C8A" w:rsidP="00A249C9">
      <w:pPr>
        <w:pStyle w:val="EstiloJustificado"/>
        <w:numPr>
          <w:ilvl w:val="0"/>
          <w:numId w:val="91"/>
        </w:numPr>
        <w:tabs>
          <w:tab w:val="left" w:pos="0"/>
        </w:tabs>
        <w:spacing w:before="0" w:after="0" w:line="360" w:lineRule="auto"/>
        <w:rPr>
          <w:rFonts w:asciiTheme="minorHAnsi" w:hAnsiTheme="minorHAnsi"/>
          <w:szCs w:val="22"/>
          <w:lang w:val="pt-BR"/>
        </w:rPr>
      </w:pPr>
      <w:r w:rsidRPr="00DE2D55">
        <w:rPr>
          <w:rFonts w:asciiTheme="minorHAnsi" w:hAnsiTheme="minorHAnsi"/>
          <w:szCs w:val="22"/>
          <w:lang w:val="pt-BR"/>
        </w:rPr>
        <w:t>Falta de documento ou curso elaborado com orientação para atividade de cobrança administrativa.</w:t>
      </w:r>
    </w:p>
    <w:p w:rsidR="00174C8A" w:rsidRPr="00DE2D55" w:rsidRDefault="00174C8A" w:rsidP="00FE560B">
      <w:pPr>
        <w:pStyle w:val="EstiloJustificado"/>
        <w:tabs>
          <w:tab w:val="left" w:pos="0"/>
        </w:tabs>
        <w:spacing w:before="0" w:after="0" w:line="360" w:lineRule="auto"/>
        <w:ind w:left="1080"/>
        <w:rPr>
          <w:rFonts w:asciiTheme="minorHAnsi" w:hAnsiTheme="minorHAnsi"/>
          <w:szCs w:val="22"/>
          <w:lang w:val="pt-BR"/>
        </w:rPr>
      </w:pPr>
    </w:p>
    <w:p w:rsidR="00174C8A" w:rsidRPr="00DE2D55" w:rsidRDefault="00174C8A" w:rsidP="00FE560B">
      <w:pPr>
        <w:tabs>
          <w:tab w:val="left" w:pos="0"/>
        </w:tabs>
        <w:ind w:left="357"/>
        <w:jc w:val="both"/>
        <w:rPr>
          <w:rFonts w:cs="Calibri"/>
          <w:b/>
        </w:rPr>
      </w:pPr>
      <w:r w:rsidRPr="00DE2D55">
        <w:rPr>
          <w:rFonts w:cs="Calibri"/>
          <w:b/>
        </w:rPr>
        <w:t xml:space="preserve">Evidências: </w:t>
      </w:r>
    </w:p>
    <w:p w:rsidR="00174C8A" w:rsidRPr="00DE2D55" w:rsidRDefault="00174C8A" w:rsidP="00A249C9">
      <w:pPr>
        <w:pStyle w:val="PargrafodaLista"/>
        <w:numPr>
          <w:ilvl w:val="0"/>
          <w:numId w:val="93"/>
        </w:numPr>
        <w:tabs>
          <w:tab w:val="left" w:pos="0"/>
        </w:tabs>
        <w:contextualSpacing w:val="0"/>
        <w:jc w:val="both"/>
      </w:pPr>
      <w:r w:rsidRPr="00DE2D55">
        <w:t>Estima-se que em 2018 existem 25 mil processos de cobranças potenciais de ICMS totalizando BR$3.3 bilhões. Por consequência, o estoque da dívida ativa do estado é de BR$ 24 bilhões. De 2013-2017 o montante de inadimplência do IPVA é de BR$115 milhões, 20% da arrecadação anual.</w:t>
      </w:r>
    </w:p>
    <w:p w:rsidR="00174C8A" w:rsidRPr="00DE2D55" w:rsidRDefault="00174C8A" w:rsidP="00A249C9">
      <w:pPr>
        <w:pStyle w:val="PargrafodaLista"/>
        <w:numPr>
          <w:ilvl w:val="0"/>
          <w:numId w:val="93"/>
        </w:numPr>
        <w:tabs>
          <w:tab w:val="left" w:pos="0"/>
        </w:tabs>
        <w:contextualSpacing w:val="0"/>
        <w:jc w:val="both"/>
      </w:pPr>
      <w:r w:rsidRPr="00DE2D55">
        <w:t>O atendimento de cada colaborador é diferente em situações semelhantes.</w:t>
      </w:r>
    </w:p>
    <w:p w:rsidR="00174C8A" w:rsidRPr="00DE2D55" w:rsidRDefault="00174C8A" w:rsidP="00FE560B">
      <w:pPr>
        <w:tabs>
          <w:tab w:val="left" w:pos="0"/>
        </w:tabs>
        <w:jc w:val="both"/>
        <w:rPr>
          <w:rFonts w:cs="Calibri"/>
        </w:rPr>
      </w:pPr>
    </w:p>
    <w:p w:rsidR="00174C8A" w:rsidRPr="00DE2D55" w:rsidRDefault="00DB4B8F" w:rsidP="00A249C9">
      <w:pPr>
        <w:pStyle w:val="PargrafodaLista"/>
        <w:numPr>
          <w:ilvl w:val="1"/>
          <w:numId w:val="94"/>
        </w:numPr>
        <w:pBdr>
          <w:bottom w:val="single" w:sz="12" w:space="1" w:color="auto"/>
        </w:pBdr>
        <w:tabs>
          <w:tab w:val="left" w:pos="0"/>
        </w:tabs>
        <w:jc w:val="both"/>
        <w:outlineLvl w:val="2"/>
        <w:rPr>
          <w:rFonts w:cs="Calibri"/>
          <w:b/>
        </w:rPr>
      </w:pPr>
      <w:bookmarkStart w:id="111" w:name="_Toc517282130"/>
      <w:r>
        <w:rPr>
          <w:rFonts w:cs="Calibri"/>
          <w:b/>
        </w:rPr>
        <w:t>DESCRIÇÃO DO PRODUTO</w:t>
      </w:r>
      <w:r w:rsidR="00174C8A" w:rsidRPr="00DE2D55">
        <w:rPr>
          <w:rFonts w:cs="Calibri"/>
          <w:b/>
        </w:rPr>
        <w:t xml:space="preserve"> E SUA META QUANTITATIVA</w:t>
      </w:r>
      <w:bookmarkEnd w:id="111"/>
    </w:p>
    <w:p w:rsidR="00174C8A" w:rsidRPr="00DE2D55" w:rsidRDefault="00174C8A" w:rsidP="00FE560B">
      <w:pPr>
        <w:tabs>
          <w:tab w:val="left" w:pos="0"/>
        </w:tabs>
        <w:jc w:val="both"/>
        <w:rPr>
          <w:rFonts w:cs="Calibri"/>
          <w:b/>
        </w:rPr>
      </w:pPr>
      <w:r w:rsidRPr="00DE2D55">
        <w:rPr>
          <w:rFonts w:cs="Calibri"/>
          <w:b/>
        </w:rPr>
        <w:t>2.1 – Produto Principal:</w:t>
      </w:r>
    </w:p>
    <w:p w:rsidR="00174C8A" w:rsidRPr="00DE2D55" w:rsidRDefault="00174C8A" w:rsidP="00FE560B">
      <w:pPr>
        <w:pStyle w:val="PargrafodaLista"/>
        <w:tabs>
          <w:tab w:val="left" w:pos="0"/>
        </w:tabs>
        <w:ind w:left="0"/>
        <w:jc w:val="both"/>
        <w:rPr>
          <w:rFonts w:cs="Calibri"/>
          <w:bCs/>
        </w:rPr>
      </w:pPr>
      <w:r w:rsidRPr="00DE2D55">
        <w:rPr>
          <w:rFonts w:cs="Calibri"/>
          <w:bCs/>
        </w:rPr>
        <w:t>Modelo de Cobrança Administrativa implantado.</w:t>
      </w:r>
    </w:p>
    <w:p w:rsidR="00174C8A" w:rsidRPr="00DE2D55" w:rsidRDefault="00174C8A" w:rsidP="00FE560B">
      <w:pPr>
        <w:pStyle w:val="PargrafodaLista"/>
        <w:tabs>
          <w:tab w:val="left" w:pos="0"/>
        </w:tabs>
        <w:ind w:left="0"/>
        <w:jc w:val="both"/>
        <w:rPr>
          <w:rFonts w:cs="Calibri"/>
          <w:b/>
          <w:bCs/>
        </w:rPr>
      </w:pPr>
      <w:r w:rsidRPr="00DE2D55">
        <w:rPr>
          <w:rFonts w:cs="Calibri"/>
          <w:b/>
          <w:bCs/>
        </w:rPr>
        <w:t>2.2 - Subproduto</w:t>
      </w:r>
    </w:p>
    <w:p w:rsidR="00174C8A" w:rsidRPr="00DE2D55" w:rsidRDefault="00174C8A" w:rsidP="00FE560B">
      <w:pPr>
        <w:pStyle w:val="PargrafodaLista"/>
        <w:tabs>
          <w:tab w:val="left" w:pos="0"/>
        </w:tabs>
        <w:ind w:left="0"/>
        <w:jc w:val="both"/>
        <w:rPr>
          <w:rFonts w:cs="Calibri"/>
          <w:bCs/>
        </w:rPr>
      </w:pPr>
      <w:r w:rsidRPr="00DE2D55">
        <w:rPr>
          <w:rFonts w:cs="Calibri"/>
          <w:bCs/>
        </w:rPr>
        <w:t>2.2.1 - Implantação de um modelo de Cobrança com base no perfil de recuperação do contribuinte do ICMS e IPVA, apoiado por um sistema informatizado de gestão da Cobrança; incluindo interface com o sistema DETRANET para cobrança do IPVA.</w:t>
      </w:r>
    </w:p>
    <w:p w:rsidR="00174C8A" w:rsidRPr="00DE2D55" w:rsidRDefault="00174C8A" w:rsidP="00FE560B">
      <w:pPr>
        <w:tabs>
          <w:tab w:val="left" w:pos="0"/>
        </w:tabs>
        <w:jc w:val="both"/>
        <w:rPr>
          <w:rFonts w:cs="Calibri"/>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174C8A" w:rsidRPr="00DE2D55" w:rsidTr="00DE2D55">
        <w:tc>
          <w:tcPr>
            <w:tcW w:w="7087" w:type="dxa"/>
            <w:shd w:val="clear" w:color="auto" w:fill="D6E3BC"/>
          </w:tcPr>
          <w:p w:rsidR="00174C8A" w:rsidRPr="00DE2D55" w:rsidRDefault="00174C8A" w:rsidP="00FE560B">
            <w:pPr>
              <w:tabs>
                <w:tab w:val="left" w:pos="0"/>
              </w:tabs>
              <w:jc w:val="both"/>
              <w:rPr>
                <w:rFonts w:cs="Calibri"/>
                <w:bCs/>
              </w:rPr>
            </w:pPr>
            <w:r w:rsidRPr="00DE2D55">
              <w:rPr>
                <w:rFonts w:cs="Calibri"/>
                <w:bCs/>
              </w:rPr>
              <w:t>Subproduto/Indicador de Subproduto</w:t>
            </w:r>
          </w:p>
        </w:tc>
        <w:tc>
          <w:tcPr>
            <w:tcW w:w="2126" w:type="dxa"/>
            <w:shd w:val="clear" w:color="auto" w:fill="D6E3BC"/>
          </w:tcPr>
          <w:p w:rsidR="00174C8A" w:rsidRPr="00DE2D55" w:rsidRDefault="00174C8A" w:rsidP="00FE560B">
            <w:pPr>
              <w:tabs>
                <w:tab w:val="left" w:pos="0"/>
              </w:tabs>
              <w:jc w:val="both"/>
              <w:rPr>
                <w:rFonts w:cs="Calibri"/>
                <w:b/>
                <w:bCs/>
              </w:rPr>
            </w:pPr>
            <w:r w:rsidRPr="00DE2D55">
              <w:rPr>
                <w:rFonts w:cs="Calibri"/>
                <w:b/>
                <w:bCs/>
              </w:rPr>
              <w:t>Meta</w:t>
            </w:r>
          </w:p>
        </w:tc>
      </w:tr>
      <w:tr w:rsidR="00174C8A" w:rsidRPr="00DE2D55" w:rsidTr="00DE2D55">
        <w:tc>
          <w:tcPr>
            <w:tcW w:w="7087" w:type="dxa"/>
            <w:shd w:val="clear" w:color="auto" w:fill="D6E3BC"/>
          </w:tcPr>
          <w:p w:rsidR="00174C8A" w:rsidRPr="00DE2D55" w:rsidRDefault="00174C8A" w:rsidP="00FE560B">
            <w:pPr>
              <w:tabs>
                <w:tab w:val="left" w:pos="0"/>
              </w:tabs>
              <w:jc w:val="both"/>
              <w:rPr>
                <w:rFonts w:cs="Calibri"/>
                <w:b/>
                <w:bCs/>
              </w:rPr>
            </w:pPr>
            <w:r w:rsidRPr="00DE2D55">
              <w:rPr>
                <w:rFonts w:cs="Calibri"/>
                <w:b/>
                <w:bCs/>
              </w:rPr>
              <w:t>Modelo de Cobrança Administrativa Implantado</w:t>
            </w:r>
          </w:p>
        </w:tc>
        <w:tc>
          <w:tcPr>
            <w:tcW w:w="2126" w:type="dxa"/>
            <w:shd w:val="clear" w:color="auto" w:fill="D6E3BC"/>
          </w:tcPr>
          <w:p w:rsidR="00174C8A" w:rsidRPr="00DE2D55" w:rsidRDefault="00174C8A" w:rsidP="00FE560B">
            <w:pPr>
              <w:tabs>
                <w:tab w:val="left" w:pos="0"/>
              </w:tabs>
              <w:jc w:val="both"/>
              <w:rPr>
                <w:rFonts w:cs="Calibri"/>
                <w:b/>
                <w:bCs/>
              </w:rPr>
            </w:pPr>
            <w:r w:rsidRPr="00DE2D55">
              <w:rPr>
                <w:rFonts w:cs="Calibri"/>
                <w:b/>
                <w:bCs/>
              </w:rPr>
              <w:t>01</w:t>
            </w:r>
          </w:p>
        </w:tc>
      </w:tr>
    </w:tbl>
    <w:p w:rsidR="00174C8A" w:rsidRDefault="00174C8A" w:rsidP="00FE560B">
      <w:pPr>
        <w:tabs>
          <w:tab w:val="left" w:pos="0"/>
        </w:tabs>
        <w:jc w:val="both"/>
        <w:rPr>
          <w:rFonts w:cs="Calibri"/>
        </w:rPr>
      </w:pPr>
    </w:p>
    <w:p w:rsidR="00E64C5C" w:rsidRPr="00DE2D55" w:rsidRDefault="00E64C5C" w:rsidP="00FE560B">
      <w:pPr>
        <w:tabs>
          <w:tab w:val="left" w:pos="0"/>
        </w:tabs>
        <w:jc w:val="both"/>
        <w:rPr>
          <w:rFonts w:cs="Calibri"/>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2" w:name="_Toc517282131"/>
      <w:r w:rsidRPr="00DE2D55">
        <w:rPr>
          <w:rFonts w:cs="Calibri"/>
          <w:b/>
        </w:rPr>
        <w:t>DESCRIÇÃO DO RESULTADO ESPERA</w:t>
      </w:r>
      <w:r w:rsidR="00E64C5C">
        <w:rPr>
          <w:rFonts w:cs="Calibri"/>
          <w:b/>
        </w:rPr>
        <w:t>DO COM A IMPLANTAÇÃO DO PRODUTO</w:t>
      </w:r>
      <w:r w:rsidRPr="00DE2D55">
        <w:rPr>
          <w:rFonts w:cs="Calibri"/>
          <w:b/>
        </w:rPr>
        <w:t xml:space="preserve"> E RESPECTIVA LINHA DE BASE</w:t>
      </w:r>
      <w:bookmarkEnd w:id="112"/>
      <w:r w:rsidRPr="00DE2D55">
        <w:rPr>
          <w:rFonts w:cs="Calibri"/>
          <w:b/>
        </w:rPr>
        <w:t xml:space="preserve"> </w:t>
      </w:r>
    </w:p>
    <w:p w:rsidR="00E64C5C" w:rsidRDefault="00E64C5C" w:rsidP="00FE560B">
      <w:pPr>
        <w:tabs>
          <w:tab w:val="left" w:pos="0"/>
        </w:tabs>
        <w:jc w:val="both"/>
        <w:rPr>
          <w:rFonts w:cs="Calibri"/>
          <w:b/>
        </w:rPr>
      </w:pPr>
    </w:p>
    <w:p w:rsidR="00174C8A" w:rsidRPr="00DE2D55" w:rsidRDefault="00174C8A" w:rsidP="00FE560B">
      <w:pPr>
        <w:tabs>
          <w:tab w:val="left" w:pos="0"/>
        </w:tabs>
        <w:jc w:val="both"/>
        <w:rPr>
          <w:rFonts w:cs="Calibri"/>
          <w:b/>
        </w:rPr>
      </w:pPr>
      <w:r w:rsidRPr="00DE2D55">
        <w:rPr>
          <w:rFonts w:cs="Calibri"/>
          <w:b/>
        </w:rPr>
        <w:t>3.1- Meta e Indicador de Subproduto:</w:t>
      </w:r>
    </w:p>
    <w:p w:rsidR="00174C8A" w:rsidRPr="00DE2D55" w:rsidRDefault="00174C8A" w:rsidP="00FE560B">
      <w:pPr>
        <w:tabs>
          <w:tab w:val="left" w:pos="0"/>
        </w:tabs>
        <w:jc w:val="both"/>
      </w:pPr>
      <w:r w:rsidRPr="00DE2D55">
        <w:t>O novo modelo de cobrança administrativa tem por objetivo recuperar os créditos tributários devidos obtendo seu pagamento no menor tempo possível, reduzindo gradualmente e de maneira sistemática o estoque acumulado das dívidas pendentes de pagamento, para o qual é necessário realizar diversos tipos de ações em função das características das dívidas e dos devedores.</w:t>
      </w:r>
    </w:p>
    <w:p w:rsidR="00174C8A" w:rsidRPr="00DE2D55" w:rsidRDefault="00174C8A" w:rsidP="00FE560B">
      <w:pPr>
        <w:tabs>
          <w:tab w:val="left" w:pos="0"/>
        </w:tabs>
        <w:jc w:val="both"/>
      </w:pPr>
    </w:p>
    <w:p w:rsidR="00174C8A" w:rsidRPr="00DE2D55" w:rsidRDefault="00174C8A" w:rsidP="00FE560B">
      <w:pPr>
        <w:tabs>
          <w:tab w:val="left" w:pos="0"/>
        </w:tabs>
        <w:jc w:val="both"/>
      </w:pPr>
      <w:r w:rsidRPr="00DE2D55">
        <w:rPr>
          <w:rFonts w:cs="Calibri"/>
        </w:rPr>
        <w:t>O tempo aplicável para elaboração de carteiras de trabalho e acesso a informações referentes a pendencias de crédito tributário seria reduzido, possibilitando o contado com número maior de contribuinte e consequentemente incremento no valor recuperado de créditos tributários. Maior número de contribuintes contemplados pelo contado da SEFAZ com informações sobre pendências referentes a pagamento de créditos tributários.</w:t>
      </w:r>
    </w:p>
    <w:p w:rsidR="00174C8A" w:rsidRPr="00DE2D55" w:rsidRDefault="00174C8A" w:rsidP="00FE560B">
      <w:pPr>
        <w:tabs>
          <w:tab w:val="left" w:pos="0"/>
        </w:tabs>
        <w:ind w:left="788"/>
        <w:jc w:val="both"/>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5"/>
        <w:gridCol w:w="2255"/>
      </w:tblGrid>
      <w:tr w:rsidR="00174C8A" w:rsidRPr="00DE2D55" w:rsidTr="00FD58F5">
        <w:tc>
          <w:tcPr>
            <w:tcW w:w="3846" w:type="pct"/>
            <w:shd w:val="clear" w:color="auto" w:fill="D6E3BC"/>
          </w:tcPr>
          <w:p w:rsidR="00174C8A" w:rsidRPr="00DE2D55" w:rsidRDefault="00174C8A" w:rsidP="00FD58F5">
            <w:pPr>
              <w:tabs>
                <w:tab w:val="left" w:pos="0"/>
              </w:tabs>
              <w:spacing w:line="240" w:lineRule="auto"/>
              <w:jc w:val="both"/>
              <w:rPr>
                <w:rFonts w:cs="Calibri"/>
                <w:bCs/>
              </w:rPr>
            </w:pPr>
            <w:r w:rsidRPr="00DE2D55">
              <w:rPr>
                <w:rFonts w:cs="Calibri"/>
                <w:bCs/>
              </w:rPr>
              <w:t>Subproduto/Indicador de Subproduto</w:t>
            </w:r>
          </w:p>
        </w:tc>
        <w:tc>
          <w:tcPr>
            <w:tcW w:w="1154" w:type="pct"/>
            <w:shd w:val="clear" w:color="auto" w:fill="D6E3BC"/>
          </w:tcPr>
          <w:p w:rsidR="00174C8A" w:rsidRPr="00DE2D55" w:rsidRDefault="00174C8A" w:rsidP="00FD58F5">
            <w:pPr>
              <w:tabs>
                <w:tab w:val="left" w:pos="0"/>
              </w:tabs>
              <w:spacing w:line="240" w:lineRule="auto"/>
              <w:jc w:val="both"/>
              <w:rPr>
                <w:rFonts w:cs="Calibri"/>
                <w:b/>
                <w:bCs/>
              </w:rPr>
            </w:pPr>
          </w:p>
        </w:tc>
      </w:tr>
      <w:tr w:rsidR="00174C8A" w:rsidRPr="00DE2D55" w:rsidTr="00FD58F5">
        <w:tc>
          <w:tcPr>
            <w:tcW w:w="3846" w:type="pct"/>
            <w:shd w:val="clear" w:color="auto" w:fill="D6E3BC"/>
          </w:tcPr>
          <w:p w:rsidR="00174C8A" w:rsidRPr="00DE2D55" w:rsidRDefault="00174C8A" w:rsidP="00FD58F5">
            <w:pPr>
              <w:tabs>
                <w:tab w:val="left" w:pos="0"/>
              </w:tabs>
              <w:spacing w:line="240" w:lineRule="auto"/>
              <w:jc w:val="both"/>
              <w:rPr>
                <w:rFonts w:cs="Calibri"/>
                <w:b/>
                <w:bCs/>
              </w:rPr>
            </w:pPr>
            <w:r w:rsidRPr="00DE2D55">
              <w:rPr>
                <w:rFonts w:cs="Calibri"/>
                <w:b/>
                <w:bCs/>
              </w:rPr>
              <w:t>Modelo de Cobrança Administrativa Implantado</w:t>
            </w:r>
          </w:p>
        </w:tc>
        <w:tc>
          <w:tcPr>
            <w:tcW w:w="1154" w:type="pct"/>
            <w:shd w:val="clear" w:color="auto" w:fill="D6E3BC"/>
          </w:tcPr>
          <w:p w:rsidR="00174C8A" w:rsidRPr="00DE2D55" w:rsidRDefault="00174C8A" w:rsidP="00FD58F5">
            <w:pPr>
              <w:tabs>
                <w:tab w:val="left" w:pos="0"/>
              </w:tabs>
              <w:spacing w:line="240" w:lineRule="auto"/>
              <w:jc w:val="both"/>
              <w:rPr>
                <w:rFonts w:cs="Calibri"/>
                <w:b/>
                <w:bCs/>
              </w:rPr>
            </w:pPr>
            <w:r w:rsidRPr="00DE2D55">
              <w:rPr>
                <w:rFonts w:cs="Calibri"/>
                <w:b/>
                <w:bCs/>
              </w:rPr>
              <w:t>Meta</w:t>
            </w:r>
          </w:p>
        </w:tc>
      </w:tr>
      <w:tr w:rsidR="00174C8A" w:rsidRPr="00DE2D55" w:rsidTr="00FD58F5">
        <w:tc>
          <w:tcPr>
            <w:tcW w:w="3846" w:type="pct"/>
            <w:shd w:val="clear" w:color="auto" w:fill="auto"/>
          </w:tcPr>
          <w:p w:rsidR="00174C8A" w:rsidRPr="00DE2D55" w:rsidRDefault="00FD58F5" w:rsidP="00A249C9">
            <w:pPr>
              <w:pStyle w:val="PargrafodaLista"/>
              <w:numPr>
                <w:ilvl w:val="0"/>
                <w:numId w:val="92"/>
              </w:numPr>
              <w:tabs>
                <w:tab w:val="left" w:pos="0"/>
              </w:tabs>
              <w:spacing w:line="240" w:lineRule="auto"/>
              <w:contextualSpacing w:val="0"/>
              <w:jc w:val="both"/>
              <w:rPr>
                <w:rFonts w:cs="Calibri"/>
              </w:rPr>
            </w:pPr>
            <w:r w:rsidRPr="00FD58F5">
              <w:rPr>
                <w:rFonts w:cs="Calibri"/>
              </w:rPr>
              <w:t>Soluções tecnológicas para cobrança de IPVA</w:t>
            </w:r>
          </w:p>
          <w:p w:rsidR="00174C8A" w:rsidRPr="00DE2D55" w:rsidRDefault="00174C8A" w:rsidP="00A249C9">
            <w:pPr>
              <w:pStyle w:val="PargrafodaLista"/>
              <w:numPr>
                <w:ilvl w:val="0"/>
                <w:numId w:val="92"/>
              </w:numPr>
              <w:tabs>
                <w:tab w:val="left" w:pos="0"/>
              </w:tabs>
              <w:spacing w:line="240" w:lineRule="auto"/>
              <w:contextualSpacing w:val="0"/>
              <w:jc w:val="both"/>
              <w:rPr>
                <w:rFonts w:cs="Calibri"/>
              </w:rPr>
            </w:pPr>
            <w:r w:rsidRPr="00DE2D55">
              <w:rPr>
                <w:rFonts w:cs="Calibri"/>
              </w:rPr>
              <w:t>Sistema informatizado de cobrança.</w:t>
            </w:r>
          </w:p>
        </w:tc>
        <w:tc>
          <w:tcPr>
            <w:tcW w:w="1154" w:type="pct"/>
            <w:shd w:val="clear" w:color="auto" w:fill="auto"/>
          </w:tcPr>
          <w:p w:rsidR="00174C8A" w:rsidRDefault="00174C8A" w:rsidP="00FD58F5">
            <w:pPr>
              <w:tabs>
                <w:tab w:val="left" w:pos="0"/>
              </w:tabs>
              <w:spacing w:line="240" w:lineRule="auto"/>
              <w:jc w:val="both"/>
              <w:rPr>
                <w:rFonts w:cs="Calibri"/>
                <w:bCs/>
              </w:rPr>
            </w:pPr>
            <w:r w:rsidRPr="00DE2D55">
              <w:rPr>
                <w:rFonts w:cs="Calibri"/>
                <w:bCs/>
              </w:rPr>
              <w:t>2021</w:t>
            </w:r>
          </w:p>
          <w:p w:rsidR="00FD58F5" w:rsidRPr="00DE2D55" w:rsidRDefault="00FD58F5" w:rsidP="00FD58F5">
            <w:pPr>
              <w:tabs>
                <w:tab w:val="left" w:pos="0"/>
              </w:tabs>
              <w:spacing w:line="240" w:lineRule="auto"/>
              <w:jc w:val="both"/>
              <w:rPr>
                <w:rFonts w:cs="Calibri"/>
                <w:bCs/>
              </w:rPr>
            </w:pPr>
            <w:r>
              <w:rPr>
                <w:rFonts w:cs="Calibri"/>
                <w:bCs/>
              </w:rPr>
              <w:t>2021</w:t>
            </w:r>
          </w:p>
        </w:tc>
      </w:tr>
    </w:tbl>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b/>
        </w:rPr>
      </w:pPr>
      <w:r w:rsidRPr="00DE2D55">
        <w:rPr>
          <w:rFonts w:cs="Calibri"/>
          <w:b/>
        </w:rPr>
        <w:t xml:space="preserve">3.3 – Outros possíveis resultados: </w:t>
      </w:r>
    </w:p>
    <w:p w:rsidR="00174C8A" w:rsidRPr="00DE2D55" w:rsidRDefault="00174C8A" w:rsidP="00FE560B">
      <w:pPr>
        <w:pStyle w:val="Corpodetexto3"/>
        <w:tabs>
          <w:tab w:val="left" w:pos="0"/>
        </w:tabs>
        <w:spacing w:before="0" w:after="0" w:line="360" w:lineRule="auto"/>
        <w:ind w:left="0" w:firstLine="0"/>
        <w:rPr>
          <w:rFonts w:asciiTheme="minorHAnsi" w:hAnsiTheme="minorHAnsi" w:cs="Calibri"/>
          <w:sz w:val="22"/>
          <w:szCs w:val="22"/>
        </w:rPr>
      </w:pPr>
      <w:r w:rsidRPr="00DE2D55">
        <w:rPr>
          <w:rFonts w:asciiTheme="minorHAnsi" w:hAnsiTheme="minorHAnsi" w:cs="Calibri"/>
          <w:sz w:val="22"/>
          <w:szCs w:val="22"/>
        </w:rPr>
        <w:t>O manual padronizará os procedimentos de cobrança da SEFAZ, e estabelecer as atividades necessárias para realizar as ações de cobranças aos contribuintes com dívidas.</w:t>
      </w:r>
    </w:p>
    <w:p w:rsidR="00174C8A" w:rsidRPr="00DE2D55" w:rsidRDefault="00174C8A" w:rsidP="00FE560B">
      <w:pPr>
        <w:pStyle w:val="Corpodetexto3"/>
        <w:tabs>
          <w:tab w:val="left" w:pos="0"/>
        </w:tabs>
        <w:spacing w:before="0" w:after="0" w:line="360" w:lineRule="auto"/>
        <w:ind w:left="0" w:firstLine="0"/>
        <w:rPr>
          <w:rFonts w:asciiTheme="minorHAnsi" w:hAnsiTheme="minorHAnsi" w:cs="Calibri"/>
          <w:sz w:val="22"/>
          <w:szCs w:val="22"/>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3" w:name="_Toc517282132"/>
      <w:r w:rsidRPr="00DE2D55">
        <w:rPr>
          <w:rFonts w:cs="Calibri"/>
          <w:b/>
        </w:rPr>
        <w:t>ASPECTO INOVADOR DO PRODUTO</w:t>
      </w:r>
      <w:bookmarkEnd w:id="113"/>
    </w:p>
    <w:p w:rsidR="00174C8A" w:rsidRPr="00DE2D55" w:rsidRDefault="00174C8A" w:rsidP="00FE560B">
      <w:pPr>
        <w:pStyle w:val="Corpodetexto3"/>
        <w:tabs>
          <w:tab w:val="left" w:pos="0"/>
        </w:tabs>
        <w:spacing w:before="0" w:after="0" w:line="360" w:lineRule="auto"/>
        <w:ind w:left="0" w:firstLine="0"/>
        <w:rPr>
          <w:rFonts w:asciiTheme="minorHAnsi" w:hAnsiTheme="minorHAnsi" w:cs="Calibri"/>
          <w:sz w:val="22"/>
          <w:szCs w:val="22"/>
        </w:rPr>
      </w:pPr>
    </w:p>
    <w:p w:rsidR="00174C8A" w:rsidRPr="00DE2D55" w:rsidRDefault="00174C8A" w:rsidP="00FE560B">
      <w:pPr>
        <w:pStyle w:val="Corpodetexto3"/>
        <w:tabs>
          <w:tab w:val="left" w:pos="0"/>
        </w:tabs>
        <w:spacing w:before="0" w:after="0" w:line="360" w:lineRule="auto"/>
        <w:ind w:left="0" w:firstLine="0"/>
        <w:rPr>
          <w:rFonts w:asciiTheme="minorHAnsi" w:hAnsiTheme="minorHAnsi" w:cs="Calibri"/>
          <w:sz w:val="22"/>
          <w:szCs w:val="22"/>
        </w:rPr>
      </w:pPr>
      <w:r w:rsidRPr="00DE2D55">
        <w:rPr>
          <w:rFonts w:asciiTheme="minorHAnsi" w:hAnsiTheme="minorHAnsi" w:cs="Calibri"/>
          <w:sz w:val="22"/>
          <w:szCs w:val="22"/>
        </w:rPr>
        <w:t>Qualificar de forma prática e rápida todo e qualquer colaborador que for designado para atuar na área de cobrança administrativa. A análise adequada desta informação permitirá identificar as categorias de classificação do estoque de dívida (e dentro destas, os segmentos), nos quais a taxa de arrecadação por cobrança e a taxa de obrigações cobradas são relativamente mais baixas e aquelas nas quais a taxa de crescimento do valor da carteira e a taxa de crescimento de casos em carteira são mais altas.</w:t>
      </w:r>
    </w:p>
    <w:p w:rsidR="00FD58F5" w:rsidRPr="00FD58F5" w:rsidRDefault="00FD58F5" w:rsidP="00FD58F5">
      <w:pPr>
        <w:pBdr>
          <w:bottom w:val="single" w:sz="12" w:space="1" w:color="auto"/>
        </w:pBdr>
        <w:tabs>
          <w:tab w:val="left" w:pos="0"/>
        </w:tabs>
        <w:jc w:val="both"/>
        <w:outlineLvl w:val="2"/>
        <w:rPr>
          <w:rFonts w:cs="Calibri"/>
          <w:b/>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4" w:name="_Toc517282133"/>
      <w:r w:rsidRPr="00DE2D55">
        <w:rPr>
          <w:rFonts w:cs="Calibri"/>
          <w:b/>
        </w:rPr>
        <w:t>RISCOS DE EXECUÇÃO RELACIONADOS AO PRODUTO</w:t>
      </w:r>
      <w:bookmarkEnd w:id="114"/>
      <w:r w:rsidRPr="00DE2D55">
        <w:rPr>
          <w:rFonts w:cs="Calibri"/>
          <w:b/>
        </w:rPr>
        <w:t xml:space="preserve"> </w:t>
      </w:r>
    </w:p>
    <w:p w:rsidR="00174C8A" w:rsidRPr="00DE2D55" w:rsidRDefault="00174C8A" w:rsidP="00FE560B">
      <w:pPr>
        <w:tabs>
          <w:tab w:val="left" w:pos="0"/>
        </w:tabs>
        <w:jc w:val="both"/>
        <w:rPr>
          <w:rFonts w:cs="Calibri"/>
        </w:rPr>
      </w:pPr>
    </w:p>
    <w:p w:rsidR="00174C8A" w:rsidRPr="00DE2D55" w:rsidRDefault="00174C8A" w:rsidP="00FE560B">
      <w:pPr>
        <w:tabs>
          <w:tab w:val="left" w:pos="0"/>
        </w:tabs>
        <w:jc w:val="both"/>
        <w:rPr>
          <w:rFonts w:cs="Calibri"/>
        </w:rPr>
      </w:pPr>
      <w:r w:rsidRPr="00DE2D55">
        <w:rPr>
          <w:rFonts w:cs="Calibri"/>
        </w:rPr>
        <w:t>Considerando que o trabalho hoje é executado por colaboradores que não fazem parte do quadro efetivo da SEFAZ, vislumbra-se o risco de uma alta rotatividade no setor de cobrança, o que demandaria disponibilidade de material para uma grande quantidade de colaboradores.</w:t>
      </w:r>
    </w:p>
    <w:p w:rsidR="00174C8A" w:rsidRDefault="00174C8A" w:rsidP="00FE560B">
      <w:pPr>
        <w:tabs>
          <w:tab w:val="left" w:pos="0"/>
        </w:tabs>
        <w:jc w:val="both"/>
        <w:rPr>
          <w:rFonts w:cs="Calibri"/>
        </w:rPr>
      </w:pPr>
    </w:p>
    <w:p w:rsidR="00FD58F5" w:rsidRDefault="00FD58F5" w:rsidP="00FE560B">
      <w:pPr>
        <w:tabs>
          <w:tab w:val="left" w:pos="0"/>
        </w:tabs>
        <w:jc w:val="both"/>
        <w:rPr>
          <w:rFonts w:cs="Calibri"/>
        </w:rPr>
      </w:pPr>
    </w:p>
    <w:p w:rsidR="00FD58F5" w:rsidRDefault="00FD58F5" w:rsidP="00FE560B">
      <w:pPr>
        <w:tabs>
          <w:tab w:val="left" w:pos="0"/>
        </w:tabs>
        <w:jc w:val="both"/>
        <w:rPr>
          <w:rFonts w:cs="Calibri"/>
        </w:rPr>
      </w:pPr>
    </w:p>
    <w:p w:rsidR="00FD58F5" w:rsidRDefault="00FD58F5" w:rsidP="00FE560B">
      <w:pPr>
        <w:tabs>
          <w:tab w:val="left" w:pos="0"/>
        </w:tabs>
        <w:jc w:val="both"/>
        <w:rPr>
          <w:rFonts w:cs="Calibri"/>
        </w:rPr>
      </w:pPr>
    </w:p>
    <w:p w:rsidR="00FD58F5" w:rsidRDefault="00FD58F5" w:rsidP="00FE560B">
      <w:pPr>
        <w:tabs>
          <w:tab w:val="left" w:pos="0"/>
        </w:tabs>
        <w:jc w:val="both"/>
        <w:rPr>
          <w:rFonts w:cs="Calibri"/>
        </w:rPr>
      </w:pPr>
    </w:p>
    <w:p w:rsidR="00FD58F5" w:rsidRDefault="00FD58F5" w:rsidP="00FE560B">
      <w:pPr>
        <w:tabs>
          <w:tab w:val="left" w:pos="0"/>
        </w:tabs>
        <w:jc w:val="both"/>
        <w:rPr>
          <w:rFonts w:cs="Calibri"/>
        </w:rPr>
      </w:pPr>
    </w:p>
    <w:p w:rsidR="00FD58F5" w:rsidRDefault="00FD58F5" w:rsidP="00FE560B">
      <w:pPr>
        <w:tabs>
          <w:tab w:val="left" w:pos="0"/>
        </w:tabs>
        <w:jc w:val="both"/>
        <w:rPr>
          <w:rFonts w:cs="Calibri"/>
        </w:rPr>
      </w:pPr>
    </w:p>
    <w:p w:rsidR="00FD58F5" w:rsidRPr="00DE2D55" w:rsidRDefault="00FD58F5" w:rsidP="00FE560B">
      <w:pPr>
        <w:tabs>
          <w:tab w:val="left" w:pos="0"/>
        </w:tabs>
        <w:jc w:val="both"/>
        <w:rPr>
          <w:rFonts w:cs="Calibri"/>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5" w:name="_Toc517282134"/>
      <w:r w:rsidRPr="00DE2D55">
        <w:rPr>
          <w:rFonts w:cs="Calibri"/>
          <w:b/>
        </w:rPr>
        <w:t>QUADRO DE CUSTOS DO SUBPRODUTO POR TIPO DE INVESTIMENTO</w:t>
      </w:r>
      <w:bookmarkEnd w:id="115"/>
    </w:p>
    <w:p w:rsidR="00A65288" w:rsidRDefault="00A65288" w:rsidP="00FE560B">
      <w:pPr>
        <w:tabs>
          <w:tab w:val="left" w:pos="0"/>
        </w:tabs>
        <w:suppressAutoHyphens/>
        <w:spacing w:line="240" w:lineRule="auto"/>
        <w:jc w:val="right"/>
        <w:rPr>
          <w:rFonts w:cs="Calibri"/>
        </w:rPr>
      </w:pPr>
    </w:p>
    <w:p w:rsidR="00174C8A" w:rsidRPr="00DE2D55" w:rsidRDefault="00174C8A" w:rsidP="00FE560B">
      <w:pPr>
        <w:tabs>
          <w:tab w:val="left" w:pos="0"/>
        </w:tabs>
        <w:suppressAutoHyphens/>
        <w:spacing w:line="240" w:lineRule="auto"/>
        <w:jc w:val="right"/>
        <w:rPr>
          <w:rFonts w:cs="Calibri"/>
        </w:rPr>
      </w:pPr>
      <w:r w:rsidRPr="00DE2D55">
        <w:rPr>
          <w:rFonts w:cs="Calibri"/>
        </w:rPr>
        <w:t>Valores em 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988"/>
        <w:gridCol w:w="1298"/>
        <w:gridCol w:w="1418"/>
        <w:gridCol w:w="1395"/>
        <w:gridCol w:w="1292"/>
      </w:tblGrid>
      <w:tr w:rsidR="00174C8A" w:rsidRPr="00DE2D55" w:rsidTr="00A65288">
        <w:tc>
          <w:tcPr>
            <w:tcW w:w="9804" w:type="dxa"/>
            <w:gridSpan w:val="6"/>
            <w:shd w:val="clear" w:color="auto" w:fill="C5E0B3"/>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Capacitação</w:t>
            </w:r>
          </w:p>
        </w:tc>
      </w:tr>
      <w:tr w:rsidR="00174C8A" w:rsidRPr="00DE2D55" w:rsidTr="00A65288">
        <w:tc>
          <w:tcPr>
            <w:tcW w:w="3413"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Descrição detalhada</w:t>
            </w:r>
          </w:p>
        </w:tc>
        <w:tc>
          <w:tcPr>
            <w:tcW w:w="98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Unidade</w:t>
            </w:r>
          </w:p>
        </w:tc>
        <w:tc>
          <w:tcPr>
            <w:tcW w:w="129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Quantidade</w:t>
            </w:r>
          </w:p>
        </w:tc>
        <w:tc>
          <w:tcPr>
            <w:tcW w:w="141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unit.</w:t>
            </w:r>
          </w:p>
        </w:tc>
        <w:tc>
          <w:tcPr>
            <w:tcW w:w="1395"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total</w:t>
            </w:r>
          </w:p>
        </w:tc>
        <w:tc>
          <w:tcPr>
            <w:tcW w:w="1292"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Observação</w:t>
            </w:r>
          </w:p>
        </w:tc>
      </w:tr>
      <w:tr w:rsidR="00174C8A" w:rsidRPr="00DE2D55" w:rsidTr="00A65288">
        <w:tc>
          <w:tcPr>
            <w:tcW w:w="3413"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Capacitação da equipe de cobrança e arrecadação</w:t>
            </w:r>
          </w:p>
        </w:tc>
        <w:tc>
          <w:tcPr>
            <w:tcW w:w="98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Und.</w:t>
            </w:r>
          </w:p>
        </w:tc>
        <w:tc>
          <w:tcPr>
            <w:tcW w:w="129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40</w:t>
            </w:r>
          </w:p>
        </w:tc>
        <w:tc>
          <w:tcPr>
            <w:tcW w:w="141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2000,00</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80.000,00</w:t>
            </w:r>
          </w:p>
        </w:tc>
        <w:tc>
          <w:tcPr>
            <w:tcW w:w="1292" w:type="dxa"/>
            <w:vAlign w:val="center"/>
          </w:tcPr>
          <w:p w:rsidR="00174C8A" w:rsidRPr="00DE2D55" w:rsidRDefault="00174C8A" w:rsidP="00FE560B">
            <w:pPr>
              <w:tabs>
                <w:tab w:val="left" w:pos="0"/>
              </w:tabs>
              <w:suppressAutoHyphens/>
              <w:spacing w:line="240" w:lineRule="auto"/>
              <w:jc w:val="both"/>
              <w:rPr>
                <w:rFonts w:cs="Calibri"/>
              </w:rPr>
            </w:pPr>
          </w:p>
        </w:tc>
      </w:tr>
      <w:tr w:rsidR="00174C8A" w:rsidRPr="00DE2D55" w:rsidTr="00A65288">
        <w:tc>
          <w:tcPr>
            <w:tcW w:w="9804" w:type="dxa"/>
            <w:gridSpan w:val="6"/>
            <w:shd w:val="clear" w:color="auto" w:fill="C5E0B3"/>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Consultoria</w:t>
            </w:r>
          </w:p>
        </w:tc>
      </w:tr>
      <w:tr w:rsidR="00174C8A" w:rsidRPr="00DE2D55" w:rsidTr="00A65288">
        <w:tc>
          <w:tcPr>
            <w:tcW w:w="3413"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Descrição detalhada</w:t>
            </w:r>
          </w:p>
        </w:tc>
        <w:tc>
          <w:tcPr>
            <w:tcW w:w="98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Unidade</w:t>
            </w:r>
          </w:p>
        </w:tc>
        <w:tc>
          <w:tcPr>
            <w:tcW w:w="129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Quantidade</w:t>
            </w:r>
          </w:p>
        </w:tc>
        <w:tc>
          <w:tcPr>
            <w:tcW w:w="141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unit.</w:t>
            </w:r>
          </w:p>
        </w:tc>
        <w:tc>
          <w:tcPr>
            <w:tcW w:w="1395"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total</w:t>
            </w:r>
          </w:p>
        </w:tc>
        <w:tc>
          <w:tcPr>
            <w:tcW w:w="1292"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Observação</w:t>
            </w:r>
          </w:p>
        </w:tc>
      </w:tr>
      <w:tr w:rsidR="00174C8A" w:rsidRPr="00DE2D55" w:rsidTr="00A65288">
        <w:tc>
          <w:tcPr>
            <w:tcW w:w="3413" w:type="dxa"/>
          </w:tcPr>
          <w:p w:rsidR="00174C8A" w:rsidRPr="00DE2D55" w:rsidRDefault="00174C8A" w:rsidP="00FE560B">
            <w:pPr>
              <w:tabs>
                <w:tab w:val="left" w:pos="0"/>
              </w:tabs>
              <w:suppressAutoHyphens/>
              <w:spacing w:line="240" w:lineRule="auto"/>
              <w:jc w:val="both"/>
              <w:rPr>
                <w:rFonts w:cs="Calibri"/>
              </w:rPr>
            </w:pPr>
            <w:r w:rsidRPr="00DE2D55">
              <w:rPr>
                <w:rFonts w:cs="Calibri"/>
              </w:rPr>
              <w:t>Implantação de um modelo de gestão de cobrança com base no perfil de recuperação do contribuinte e sistema de apoio</w:t>
            </w:r>
          </w:p>
        </w:tc>
        <w:tc>
          <w:tcPr>
            <w:tcW w:w="98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Und.</w:t>
            </w:r>
          </w:p>
        </w:tc>
        <w:tc>
          <w:tcPr>
            <w:tcW w:w="129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01</w:t>
            </w:r>
          </w:p>
        </w:tc>
        <w:tc>
          <w:tcPr>
            <w:tcW w:w="141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2.000.000,00</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2.000.000,00</w:t>
            </w:r>
          </w:p>
        </w:tc>
        <w:tc>
          <w:tcPr>
            <w:tcW w:w="1292" w:type="dxa"/>
          </w:tcPr>
          <w:p w:rsidR="00174C8A" w:rsidRPr="00DE2D55" w:rsidRDefault="00174C8A" w:rsidP="00FE560B">
            <w:pPr>
              <w:tabs>
                <w:tab w:val="left" w:pos="0"/>
              </w:tabs>
              <w:suppressAutoHyphens/>
              <w:spacing w:line="240" w:lineRule="auto"/>
              <w:jc w:val="both"/>
              <w:rPr>
                <w:rFonts w:cs="Calibri"/>
                <w:b/>
              </w:rPr>
            </w:pPr>
          </w:p>
        </w:tc>
      </w:tr>
      <w:tr w:rsidR="00174C8A" w:rsidRPr="00DE2D55" w:rsidTr="00A65288">
        <w:tc>
          <w:tcPr>
            <w:tcW w:w="3413" w:type="dxa"/>
          </w:tcPr>
          <w:p w:rsidR="00174C8A" w:rsidRPr="00DE2D55" w:rsidRDefault="00174C8A" w:rsidP="00FE560B">
            <w:pPr>
              <w:tabs>
                <w:tab w:val="left" w:pos="0"/>
              </w:tabs>
              <w:suppressAutoHyphens/>
              <w:spacing w:line="240" w:lineRule="auto"/>
              <w:jc w:val="both"/>
              <w:rPr>
                <w:rFonts w:cs="Calibri"/>
              </w:rPr>
            </w:pPr>
            <w:r w:rsidRPr="00DE2D55">
              <w:rPr>
                <w:rFonts w:cs="Calibri"/>
              </w:rPr>
              <w:t>Desenvolvimento de soluções tecnológicas para cobrança de IPVA: aplicativo de notificação automática e OCR para fiscalização móvel</w:t>
            </w:r>
          </w:p>
        </w:tc>
        <w:tc>
          <w:tcPr>
            <w:tcW w:w="98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Und.</w:t>
            </w:r>
          </w:p>
        </w:tc>
        <w:tc>
          <w:tcPr>
            <w:tcW w:w="129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01</w:t>
            </w:r>
          </w:p>
        </w:tc>
        <w:tc>
          <w:tcPr>
            <w:tcW w:w="141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1.500.000,00</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1.500.000,00</w:t>
            </w:r>
          </w:p>
        </w:tc>
        <w:tc>
          <w:tcPr>
            <w:tcW w:w="1292" w:type="dxa"/>
          </w:tcPr>
          <w:p w:rsidR="00174C8A" w:rsidRPr="00DE2D55" w:rsidRDefault="00174C8A" w:rsidP="00FE560B">
            <w:pPr>
              <w:tabs>
                <w:tab w:val="left" w:pos="0"/>
              </w:tabs>
              <w:suppressAutoHyphens/>
              <w:spacing w:line="240" w:lineRule="auto"/>
              <w:jc w:val="both"/>
              <w:rPr>
                <w:rFonts w:cs="Calibri"/>
                <w:b/>
              </w:rPr>
            </w:pPr>
          </w:p>
        </w:tc>
      </w:tr>
      <w:tr w:rsidR="00174C8A" w:rsidRPr="00DE2D55" w:rsidTr="00A65288">
        <w:tc>
          <w:tcPr>
            <w:tcW w:w="9804" w:type="dxa"/>
            <w:gridSpan w:val="6"/>
            <w:shd w:val="clear" w:color="auto" w:fill="C5E0B3"/>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Serviços que não Consultoria</w:t>
            </w:r>
          </w:p>
        </w:tc>
      </w:tr>
      <w:tr w:rsidR="00174C8A" w:rsidRPr="00DE2D55" w:rsidTr="00A65288">
        <w:tc>
          <w:tcPr>
            <w:tcW w:w="3413"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Descrição detalhada</w:t>
            </w:r>
          </w:p>
        </w:tc>
        <w:tc>
          <w:tcPr>
            <w:tcW w:w="98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Unidade</w:t>
            </w:r>
          </w:p>
        </w:tc>
        <w:tc>
          <w:tcPr>
            <w:tcW w:w="129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Quantidade</w:t>
            </w:r>
          </w:p>
        </w:tc>
        <w:tc>
          <w:tcPr>
            <w:tcW w:w="1418"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unit.</w:t>
            </w:r>
          </w:p>
        </w:tc>
        <w:tc>
          <w:tcPr>
            <w:tcW w:w="1395"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Valor total</w:t>
            </w:r>
          </w:p>
        </w:tc>
        <w:tc>
          <w:tcPr>
            <w:tcW w:w="1292" w:type="dxa"/>
            <w:shd w:val="clear" w:color="auto" w:fill="E2EFD9"/>
            <w:vAlign w:val="center"/>
          </w:tcPr>
          <w:p w:rsidR="00174C8A" w:rsidRPr="00DE2D55" w:rsidRDefault="00174C8A" w:rsidP="00FE560B">
            <w:pPr>
              <w:tabs>
                <w:tab w:val="left" w:pos="0"/>
              </w:tabs>
              <w:suppressAutoHyphens/>
              <w:spacing w:line="240" w:lineRule="auto"/>
              <w:jc w:val="both"/>
              <w:rPr>
                <w:rFonts w:cs="Calibri"/>
                <w:b/>
              </w:rPr>
            </w:pPr>
            <w:r w:rsidRPr="00DE2D55">
              <w:rPr>
                <w:rFonts w:cs="Calibri"/>
                <w:b/>
              </w:rPr>
              <w:t>Observação</w:t>
            </w:r>
          </w:p>
        </w:tc>
      </w:tr>
      <w:tr w:rsidR="00174C8A" w:rsidRPr="00DE2D55" w:rsidTr="00A65288">
        <w:tc>
          <w:tcPr>
            <w:tcW w:w="3413" w:type="dxa"/>
          </w:tcPr>
          <w:p w:rsidR="00174C8A" w:rsidRPr="00DE2D55" w:rsidRDefault="00174C8A" w:rsidP="00FE560B">
            <w:pPr>
              <w:tabs>
                <w:tab w:val="left" w:pos="0"/>
              </w:tabs>
              <w:suppressAutoHyphens/>
              <w:spacing w:line="240" w:lineRule="auto"/>
              <w:jc w:val="both"/>
              <w:rPr>
                <w:rFonts w:cs="Calibri"/>
              </w:rPr>
            </w:pPr>
            <w:r w:rsidRPr="00DE2D55">
              <w:rPr>
                <w:rFonts w:cs="Calibri"/>
              </w:rPr>
              <w:t>Implantação de Call Center de cobrança</w:t>
            </w:r>
          </w:p>
        </w:tc>
        <w:tc>
          <w:tcPr>
            <w:tcW w:w="98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Und.</w:t>
            </w:r>
          </w:p>
        </w:tc>
        <w:tc>
          <w:tcPr>
            <w:tcW w:w="129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01</w:t>
            </w:r>
          </w:p>
        </w:tc>
        <w:tc>
          <w:tcPr>
            <w:tcW w:w="1418"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500.000,00</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500.000,00</w:t>
            </w:r>
          </w:p>
        </w:tc>
        <w:tc>
          <w:tcPr>
            <w:tcW w:w="1292" w:type="dxa"/>
          </w:tcPr>
          <w:p w:rsidR="00174C8A" w:rsidRPr="00DE2D55" w:rsidRDefault="00174C8A" w:rsidP="00FE560B">
            <w:pPr>
              <w:tabs>
                <w:tab w:val="left" w:pos="0"/>
              </w:tabs>
              <w:suppressAutoHyphens/>
              <w:spacing w:line="240" w:lineRule="auto"/>
              <w:jc w:val="both"/>
              <w:rPr>
                <w:rFonts w:cs="Calibri"/>
                <w:b/>
              </w:rPr>
            </w:pPr>
          </w:p>
        </w:tc>
      </w:tr>
      <w:tr w:rsidR="00174C8A" w:rsidRPr="00DE2D55" w:rsidTr="00A65288">
        <w:tc>
          <w:tcPr>
            <w:tcW w:w="7117" w:type="dxa"/>
            <w:gridSpan w:val="4"/>
          </w:tcPr>
          <w:p w:rsidR="00174C8A" w:rsidRPr="00DE2D55" w:rsidRDefault="00174C8A" w:rsidP="00FE560B">
            <w:pPr>
              <w:tabs>
                <w:tab w:val="left" w:pos="0"/>
              </w:tabs>
              <w:suppressAutoHyphens/>
              <w:spacing w:line="240" w:lineRule="auto"/>
              <w:jc w:val="both"/>
              <w:rPr>
                <w:rFonts w:cs="Calibri"/>
              </w:rPr>
            </w:pPr>
            <w:r w:rsidRPr="00DE2D55">
              <w:rPr>
                <w:rFonts w:cs="Calibri"/>
              </w:rPr>
              <w:t>TOTAL R$</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4.080.000,00</w:t>
            </w:r>
          </w:p>
        </w:tc>
        <w:tc>
          <w:tcPr>
            <w:tcW w:w="1292" w:type="dxa"/>
          </w:tcPr>
          <w:p w:rsidR="00174C8A" w:rsidRPr="00DE2D55" w:rsidRDefault="00174C8A" w:rsidP="00FE560B">
            <w:pPr>
              <w:tabs>
                <w:tab w:val="left" w:pos="0"/>
              </w:tabs>
              <w:suppressAutoHyphens/>
              <w:spacing w:line="240" w:lineRule="auto"/>
              <w:jc w:val="both"/>
              <w:rPr>
                <w:rFonts w:cs="Calibri"/>
                <w:b/>
              </w:rPr>
            </w:pPr>
          </w:p>
        </w:tc>
      </w:tr>
      <w:tr w:rsidR="00174C8A" w:rsidRPr="00DE2D55" w:rsidTr="00A65288">
        <w:tc>
          <w:tcPr>
            <w:tcW w:w="7117" w:type="dxa"/>
            <w:gridSpan w:val="4"/>
          </w:tcPr>
          <w:p w:rsidR="00174C8A" w:rsidRPr="00DE2D55" w:rsidRDefault="00174C8A" w:rsidP="00FE560B">
            <w:pPr>
              <w:tabs>
                <w:tab w:val="left" w:pos="0"/>
              </w:tabs>
              <w:suppressAutoHyphens/>
              <w:spacing w:line="240" w:lineRule="auto"/>
              <w:jc w:val="both"/>
              <w:rPr>
                <w:rFonts w:cs="Calibri"/>
              </w:rPr>
            </w:pPr>
            <w:r w:rsidRPr="00DE2D55">
              <w:rPr>
                <w:rFonts w:cs="Calibri"/>
              </w:rPr>
              <w:t>TOTAL U$</w:t>
            </w:r>
          </w:p>
        </w:tc>
        <w:tc>
          <w:tcPr>
            <w:tcW w:w="1395" w:type="dxa"/>
            <w:vAlign w:val="center"/>
          </w:tcPr>
          <w:p w:rsidR="00174C8A" w:rsidRPr="00DE2D55" w:rsidRDefault="00174C8A" w:rsidP="00FE560B">
            <w:pPr>
              <w:tabs>
                <w:tab w:val="left" w:pos="0"/>
              </w:tabs>
              <w:suppressAutoHyphens/>
              <w:spacing w:line="240" w:lineRule="auto"/>
              <w:jc w:val="both"/>
              <w:rPr>
                <w:rFonts w:cs="Calibri"/>
              </w:rPr>
            </w:pPr>
            <w:r w:rsidRPr="00DE2D55">
              <w:rPr>
                <w:rFonts w:cs="Calibri"/>
              </w:rPr>
              <w:t>1.165.714,28</w:t>
            </w:r>
          </w:p>
        </w:tc>
        <w:tc>
          <w:tcPr>
            <w:tcW w:w="1292" w:type="dxa"/>
          </w:tcPr>
          <w:p w:rsidR="00174C8A" w:rsidRPr="00DE2D55" w:rsidRDefault="00174C8A" w:rsidP="00FE560B">
            <w:pPr>
              <w:tabs>
                <w:tab w:val="left" w:pos="0"/>
              </w:tabs>
              <w:suppressAutoHyphens/>
              <w:spacing w:line="240" w:lineRule="auto"/>
              <w:jc w:val="both"/>
              <w:rPr>
                <w:rFonts w:cs="Calibri"/>
                <w:b/>
              </w:rPr>
            </w:pPr>
          </w:p>
        </w:tc>
      </w:tr>
    </w:tbl>
    <w:p w:rsidR="00174C8A" w:rsidRPr="00DE2D55" w:rsidRDefault="00174C8A" w:rsidP="00FE560B">
      <w:pPr>
        <w:pBdr>
          <w:bottom w:val="single" w:sz="12" w:space="1" w:color="auto"/>
        </w:pBdr>
        <w:tabs>
          <w:tab w:val="left" w:pos="0"/>
        </w:tabs>
        <w:jc w:val="both"/>
        <w:rPr>
          <w:rFonts w:cs="Calibri"/>
          <w:b/>
        </w:rPr>
      </w:pPr>
    </w:p>
    <w:p w:rsidR="00174C8A" w:rsidRPr="00DE2D55" w:rsidRDefault="00174C8A" w:rsidP="00FE560B">
      <w:pPr>
        <w:pBdr>
          <w:bottom w:val="single" w:sz="12" w:space="1" w:color="auto"/>
        </w:pBdr>
        <w:tabs>
          <w:tab w:val="left" w:pos="0"/>
        </w:tabs>
        <w:jc w:val="both"/>
        <w:rPr>
          <w:rFonts w:cs="Calibri"/>
          <w:b/>
        </w:rPr>
      </w:pPr>
    </w:p>
    <w:p w:rsidR="00174C8A" w:rsidRPr="00DE2D55" w:rsidRDefault="00174C8A" w:rsidP="00A249C9">
      <w:pPr>
        <w:pStyle w:val="PargrafodaLista"/>
        <w:numPr>
          <w:ilvl w:val="1"/>
          <w:numId w:val="94"/>
        </w:numPr>
        <w:pBdr>
          <w:bottom w:val="single" w:sz="12" w:space="1" w:color="auto"/>
        </w:pBdr>
        <w:tabs>
          <w:tab w:val="left" w:pos="0"/>
        </w:tabs>
        <w:jc w:val="both"/>
        <w:outlineLvl w:val="2"/>
        <w:rPr>
          <w:rFonts w:cs="Calibri"/>
          <w:b/>
        </w:rPr>
      </w:pPr>
      <w:bookmarkStart w:id="116" w:name="_Toc517282135"/>
      <w:r w:rsidRPr="00DE2D55">
        <w:rPr>
          <w:rFonts w:cs="Calibri"/>
          <w:b/>
        </w:rPr>
        <w:t>CRONOGRAMA PROPOSTO DO SUBPRODUTO</w:t>
      </w:r>
      <w:bookmarkEnd w:id="116"/>
    </w:p>
    <w:p w:rsidR="00174C8A" w:rsidRPr="00DE2D55" w:rsidRDefault="00174C8A" w:rsidP="00FE560B">
      <w:pPr>
        <w:tabs>
          <w:tab w:val="left" w:pos="0"/>
        </w:tabs>
        <w:suppressAutoHyphens/>
        <w:jc w:val="both"/>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167"/>
        <w:gridCol w:w="385"/>
        <w:gridCol w:w="383"/>
        <w:gridCol w:w="386"/>
        <w:gridCol w:w="383"/>
        <w:gridCol w:w="386"/>
        <w:gridCol w:w="383"/>
        <w:gridCol w:w="385"/>
        <w:gridCol w:w="384"/>
        <w:gridCol w:w="385"/>
        <w:gridCol w:w="384"/>
      </w:tblGrid>
      <w:tr w:rsidR="00174C8A" w:rsidRPr="00DE2D55" w:rsidTr="00A65288">
        <w:tc>
          <w:tcPr>
            <w:tcW w:w="538" w:type="dxa"/>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No.</w:t>
            </w:r>
          </w:p>
        </w:tc>
        <w:tc>
          <w:tcPr>
            <w:tcW w:w="5167" w:type="dxa"/>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Item de Custo</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2019</w:t>
            </w:r>
          </w:p>
        </w:tc>
        <w:tc>
          <w:tcPr>
            <w:tcW w:w="7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2020</w:t>
            </w:r>
          </w:p>
        </w:tc>
        <w:tc>
          <w:tcPr>
            <w:tcW w:w="7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2021</w:t>
            </w:r>
          </w:p>
        </w:tc>
        <w:tc>
          <w:tcPr>
            <w:tcW w:w="7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2022</w:t>
            </w:r>
          </w:p>
        </w:tc>
        <w:tc>
          <w:tcPr>
            <w:tcW w:w="7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74C8A" w:rsidRPr="00DE2D55" w:rsidRDefault="00174C8A" w:rsidP="00FE560B">
            <w:pPr>
              <w:tabs>
                <w:tab w:val="left" w:pos="0"/>
              </w:tabs>
              <w:jc w:val="both"/>
              <w:rPr>
                <w:rFonts w:cs="Calibri"/>
                <w:b/>
              </w:rPr>
            </w:pPr>
            <w:r w:rsidRPr="00DE2D55">
              <w:rPr>
                <w:rFonts w:cs="Calibri"/>
                <w:b/>
              </w:rPr>
              <w:t>2023</w:t>
            </w:r>
          </w:p>
        </w:tc>
      </w:tr>
      <w:tr w:rsidR="00174C8A" w:rsidRPr="00DE2D55" w:rsidTr="00A65288">
        <w:tc>
          <w:tcPr>
            <w:tcW w:w="538"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r w:rsidRPr="00DE2D55">
              <w:rPr>
                <w:rFonts w:cs="Calibri"/>
              </w:rPr>
              <w:t>1</w:t>
            </w:r>
          </w:p>
        </w:tc>
        <w:tc>
          <w:tcPr>
            <w:tcW w:w="5167"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sidRPr="00C90FFD">
              <w:rPr>
                <w:rFonts w:ascii="Arial" w:hAnsi="Arial" w:cs="Arial"/>
                <w:sz w:val="18"/>
                <w:szCs w:val="18"/>
              </w:rPr>
              <w:t xml:space="preserve">Sistema </w:t>
            </w:r>
            <w:r w:rsidRPr="00860F4C">
              <w:rPr>
                <w:rFonts w:ascii="Arial" w:hAnsi="Arial" w:cs="Arial"/>
                <w:sz w:val="18"/>
                <w:szCs w:val="18"/>
              </w:rPr>
              <w:t>informatizado de cobrança</w:t>
            </w: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6"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6"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r>
      <w:tr w:rsidR="00174C8A" w:rsidRPr="00DE2D55" w:rsidTr="00A65288">
        <w:tc>
          <w:tcPr>
            <w:tcW w:w="538"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r w:rsidRPr="00DE2D55">
              <w:rPr>
                <w:rFonts w:cs="Calibri"/>
              </w:rPr>
              <w:t>2</w:t>
            </w:r>
          </w:p>
        </w:tc>
        <w:tc>
          <w:tcPr>
            <w:tcW w:w="5167"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sidRPr="00C90FFD">
              <w:rPr>
                <w:rFonts w:ascii="Arial" w:hAnsi="Arial" w:cs="Arial"/>
                <w:sz w:val="18"/>
                <w:szCs w:val="18"/>
              </w:rPr>
              <w:t>Soluções tecnológicas para cobrança de IPVA</w:t>
            </w: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6"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6"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3" w:type="dxa"/>
            <w:tcBorders>
              <w:top w:val="single" w:sz="4" w:space="0" w:color="auto"/>
              <w:left w:val="single" w:sz="4" w:space="0" w:color="auto"/>
              <w:bottom w:val="single" w:sz="4" w:space="0" w:color="auto"/>
              <w:right w:val="single" w:sz="4" w:space="0" w:color="auto"/>
            </w:tcBorders>
          </w:tcPr>
          <w:p w:rsidR="00174C8A" w:rsidRPr="00DE2D55" w:rsidRDefault="009F5317" w:rsidP="00FE560B">
            <w:pPr>
              <w:tabs>
                <w:tab w:val="left" w:pos="0"/>
              </w:tabs>
              <w:jc w:val="both"/>
              <w:rPr>
                <w:rFonts w:cs="Calibri"/>
              </w:rPr>
            </w:pPr>
            <w:r>
              <w:rPr>
                <w:rFonts w:cs="Calibri"/>
              </w:rPr>
              <w:t>X</w:t>
            </w: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5"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c>
          <w:tcPr>
            <w:tcW w:w="384" w:type="dxa"/>
            <w:tcBorders>
              <w:top w:val="single" w:sz="4" w:space="0" w:color="auto"/>
              <w:left w:val="single" w:sz="4" w:space="0" w:color="auto"/>
              <w:bottom w:val="single" w:sz="4" w:space="0" w:color="auto"/>
              <w:right w:val="single" w:sz="4" w:space="0" w:color="auto"/>
            </w:tcBorders>
          </w:tcPr>
          <w:p w:rsidR="00174C8A" w:rsidRPr="00DE2D55" w:rsidRDefault="00174C8A" w:rsidP="00FE560B">
            <w:pPr>
              <w:tabs>
                <w:tab w:val="left" w:pos="0"/>
              </w:tabs>
              <w:jc w:val="both"/>
              <w:rPr>
                <w:rFonts w:cs="Calibri"/>
              </w:rPr>
            </w:pPr>
          </w:p>
        </w:tc>
      </w:tr>
    </w:tbl>
    <w:p w:rsidR="00174C8A" w:rsidRDefault="00174C8A" w:rsidP="00FE560B">
      <w:pPr>
        <w:tabs>
          <w:tab w:val="left" w:pos="0"/>
        </w:tabs>
        <w:jc w:val="both"/>
        <w:rPr>
          <w:rFonts w:cs="Calibri"/>
        </w:rPr>
      </w:pPr>
    </w:p>
    <w:p w:rsidR="00A65288" w:rsidRDefault="00A65288" w:rsidP="00FE560B">
      <w:pPr>
        <w:tabs>
          <w:tab w:val="left" w:pos="0"/>
        </w:tabs>
        <w:jc w:val="both"/>
        <w:rPr>
          <w:rFonts w:cs="Calibri"/>
        </w:rPr>
      </w:pPr>
    </w:p>
    <w:p w:rsidR="00A65288" w:rsidRDefault="00A65288" w:rsidP="00FE560B">
      <w:pPr>
        <w:tabs>
          <w:tab w:val="left" w:pos="0"/>
        </w:tabs>
        <w:jc w:val="both"/>
        <w:rPr>
          <w:rFonts w:cs="Calibri"/>
        </w:rPr>
      </w:pPr>
    </w:p>
    <w:p w:rsidR="00A65288" w:rsidRPr="00DE2D55" w:rsidRDefault="00A65288" w:rsidP="00FE560B">
      <w:pPr>
        <w:tabs>
          <w:tab w:val="left" w:pos="0"/>
        </w:tabs>
        <w:jc w:val="both"/>
        <w:rPr>
          <w:rFonts w:cs="Calibri"/>
        </w:rPr>
      </w:pPr>
    </w:p>
    <w:p w:rsidR="00FD58F5" w:rsidRDefault="00FD58F5">
      <w:pPr>
        <w:rPr>
          <w:rFonts w:eastAsia="Times New Roman" w:cs="Arial"/>
          <w:b/>
          <w:bCs/>
          <w:color w:val="374C80" w:themeColor="accent1" w:themeShade="BF"/>
          <w:lang w:eastAsia="pt-BR"/>
        </w:rPr>
      </w:pPr>
      <w:r>
        <w:rPr>
          <w:rFonts w:eastAsia="Times New Roman" w:cs="Arial"/>
          <w:lang w:eastAsia="pt-BR"/>
        </w:rPr>
        <w:br w:type="page"/>
      </w:r>
    </w:p>
    <w:p w:rsidR="001B4726" w:rsidRPr="00DE2D55" w:rsidRDefault="001B4726" w:rsidP="00FE560B">
      <w:pPr>
        <w:pStyle w:val="Ttulo1"/>
        <w:tabs>
          <w:tab w:val="left" w:pos="0"/>
        </w:tabs>
        <w:spacing w:before="0"/>
        <w:jc w:val="both"/>
        <w:rPr>
          <w:rFonts w:asciiTheme="minorHAnsi" w:eastAsia="Times New Roman" w:hAnsiTheme="minorHAnsi" w:cs="Arial"/>
          <w:sz w:val="22"/>
          <w:szCs w:val="22"/>
          <w:lang w:eastAsia="pt-BR"/>
        </w:rPr>
      </w:pPr>
      <w:bookmarkStart w:id="117" w:name="_Toc517282136"/>
      <w:r w:rsidRPr="00DE2D55">
        <w:rPr>
          <w:rFonts w:asciiTheme="minorHAnsi" w:eastAsia="Times New Roman" w:hAnsiTheme="minorHAnsi" w:cs="Arial"/>
          <w:sz w:val="22"/>
          <w:szCs w:val="22"/>
          <w:lang w:eastAsia="pt-BR"/>
        </w:rPr>
        <w:t>COMPONENTE 3. ADMINISTRAÇÃO FINANCEIRA E GASTO PÚBLICO</w:t>
      </w:r>
      <w:bookmarkEnd w:id="117"/>
    </w:p>
    <w:p w:rsidR="001B4726" w:rsidRPr="00DE2D55" w:rsidRDefault="001B4726" w:rsidP="00FE560B">
      <w:pPr>
        <w:tabs>
          <w:tab w:val="left" w:pos="0"/>
        </w:tabs>
        <w:jc w:val="both"/>
        <w:rPr>
          <w:lang w:eastAsia="pt-BR"/>
        </w:rPr>
      </w:pPr>
    </w:p>
    <w:p w:rsidR="00BA2374" w:rsidRPr="00DE2D55" w:rsidRDefault="001B4726" w:rsidP="00FE560B">
      <w:pPr>
        <w:pStyle w:val="Ttulo2"/>
        <w:tabs>
          <w:tab w:val="left" w:pos="0"/>
        </w:tabs>
        <w:spacing w:before="0"/>
        <w:jc w:val="both"/>
        <w:rPr>
          <w:rFonts w:asciiTheme="minorHAnsi" w:eastAsia="Times New Roman" w:hAnsiTheme="minorHAnsi" w:cs="Arial"/>
          <w:sz w:val="22"/>
          <w:szCs w:val="22"/>
          <w:lang w:eastAsia="pt-BR"/>
        </w:rPr>
      </w:pPr>
      <w:bookmarkStart w:id="118" w:name="_Toc517282137"/>
      <w:r w:rsidRPr="00DE2D55">
        <w:rPr>
          <w:rFonts w:asciiTheme="minorHAnsi" w:eastAsia="Times New Roman" w:hAnsiTheme="minorHAnsi" w:cs="Arial"/>
          <w:sz w:val="22"/>
          <w:szCs w:val="22"/>
          <w:lang w:eastAsia="pt-BR"/>
        </w:rPr>
        <w:t>PRODUTO 1. NOVO MODELO DE PLANEJAMENTO ORÇAMENTÁRIO E DE INVESTIMENTOS ORIENTADO A RESULTADO</w:t>
      </w:r>
      <w:bookmarkEnd w:id="118"/>
    </w:p>
    <w:p w:rsidR="001A2594" w:rsidRPr="00DE2D55" w:rsidRDefault="001A2594" w:rsidP="00FE560B">
      <w:pPr>
        <w:tabs>
          <w:tab w:val="left" w:pos="0"/>
        </w:tabs>
        <w:jc w:val="both"/>
        <w:rPr>
          <w:lang w:eastAsia="pt-BR"/>
        </w:rPr>
      </w:pPr>
    </w:p>
    <w:p w:rsidR="001A2594" w:rsidRPr="00DE2D55" w:rsidRDefault="001A2594" w:rsidP="00FE560B">
      <w:pPr>
        <w:pStyle w:val="WW-Primeirorecuodecorpodetexto"/>
        <w:tabs>
          <w:tab w:val="left" w:pos="0"/>
          <w:tab w:val="center" w:pos="1560"/>
        </w:tabs>
        <w:snapToGrid w:val="0"/>
        <w:spacing w:after="0" w:line="360" w:lineRule="auto"/>
        <w:ind w:left="-115"/>
        <w:jc w:val="both"/>
        <w:rPr>
          <w:rFonts w:asciiTheme="minorHAnsi" w:hAnsiTheme="minorHAnsi" w:cs="Calibri"/>
          <w:b/>
          <w:sz w:val="22"/>
          <w:szCs w:val="22"/>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5"/>
      </w:tblGrid>
      <w:tr w:rsidR="001A2594" w:rsidRPr="00DE2D55" w:rsidTr="001A2594">
        <w:trPr>
          <w:trHeight w:val="2427"/>
        </w:trPr>
        <w:tc>
          <w:tcPr>
            <w:tcW w:w="9795" w:type="dxa"/>
            <w:tcBorders>
              <w:top w:val="single" w:sz="4" w:space="0" w:color="auto"/>
              <w:left w:val="nil"/>
              <w:bottom w:val="single" w:sz="4" w:space="0" w:color="auto"/>
              <w:right w:val="nil"/>
            </w:tcBorders>
            <w:shd w:val="clear" w:color="auto" w:fill="D5DCE4"/>
          </w:tcPr>
          <w:p w:rsidR="001A2594" w:rsidRPr="00DE2D55" w:rsidRDefault="001A2594"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1A2594" w:rsidRPr="00DE2D55" w:rsidRDefault="001A2594" w:rsidP="00FE560B">
            <w:pPr>
              <w:shd w:val="clear" w:color="auto" w:fill="D5DCE4"/>
              <w:tabs>
                <w:tab w:val="left" w:pos="0"/>
              </w:tabs>
              <w:jc w:val="both"/>
              <w:rPr>
                <w:rFonts w:cs="Calibri"/>
                <w:b/>
                <w:bCs/>
                <w:color w:val="0070C0"/>
              </w:rPr>
            </w:pPr>
            <w:r w:rsidRPr="00DE2D55">
              <w:rPr>
                <w:rFonts w:cs="Calibri"/>
                <w:b/>
                <w:bCs/>
                <w:color w:val="0070C0"/>
              </w:rPr>
              <w:t>P</w:t>
            </w:r>
            <w:r w:rsidRPr="00DE2D55">
              <w:rPr>
                <w:b/>
              </w:rPr>
              <w:t xml:space="preserve"> </w:t>
            </w:r>
            <w:r w:rsidRPr="00DE2D55">
              <w:rPr>
                <w:rFonts w:cs="Calibri"/>
                <w:b/>
                <w:noProof/>
                <w:color w:val="0070C0"/>
              </w:rPr>
              <w:t xml:space="preserve">1.1 </w:t>
            </w:r>
            <w:r w:rsidRPr="00DE2D55">
              <w:rPr>
                <w:rFonts w:cs="Calibri"/>
                <w:b/>
                <w:bCs/>
                <w:color w:val="0070C0"/>
              </w:rPr>
              <w:t>Novo modelo de planejamento orçamentário e de investimentos orientado a resultado</w:t>
            </w:r>
          </w:p>
          <w:p w:rsidR="001A2594" w:rsidRPr="00DE2D55" w:rsidRDefault="001A2594" w:rsidP="00A249C9">
            <w:pPr>
              <w:numPr>
                <w:ilvl w:val="2"/>
                <w:numId w:val="85"/>
              </w:numPr>
              <w:tabs>
                <w:tab w:val="left" w:pos="0"/>
              </w:tabs>
              <w:jc w:val="both"/>
              <w:rPr>
                <w:rFonts w:cs="Calibri"/>
                <w:b/>
                <w:bCs/>
                <w:color w:val="0070C0"/>
              </w:rPr>
            </w:pPr>
            <w:r w:rsidRPr="00DE2D55">
              <w:rPr>
                <w:rFonts w:cs="Calibri"/>
                <w:b/>
                <w:bCs/>
                <w:color w:val="0070C0"/>
              </w:rPr>
              <w:t xml:space="preserve">Marco orçamentário de médio prazo </w:t>
            </w:r>
          </w:p>
          <w:p w:rsidR="001A2594" w:rsidRPr="00DE2D55" w:rsidRDefault="001A2594" w:rsidP="00A249C9">
            <w:pPr>
              <w:numPr>
                <w:ilvl w:val="2"/>
                <w:numId w:val="85"/>
              </w:numPr>
              <w:tabs>
                <w:tab w:val="left" w:pos="0"/>
              </w:tabs>
              <w:jc w:val="both"/>
              <w:rPr>
                <w:rFonts w:cs="Calibri"/>
                <w:b/>
                <w:bCs/>
                <w:color w:val="0070C0"/>
              </w:rPr>
            </w:pPr>
            <w:r w:rsidRPr="00DE2D55">
              <w:rPr>
                <w:rFonts w:cs="Calibri"/>
                <w:b/>
                <w:bCs/>
                <w:color w:val="0070C0"/>
              </w:rPr>
              <w:t>Modelo de Gestão de Investimento Público</w:t>
            </w:r>
          </w:p>
        </w:tc>
      </w:tr>
    </w:tbl>
    <w:p w:rsidR="001A2594" w:rsidRPr="00DE2D55" w:rsidRDefault="001A2594" w:rsidP="00FE560B">
      <w:pPr>
        <w:tabs>
          <w:tab w:val="left" w:pos="0"/>
        </w:tabs>
        <w:jc w:val="both"/>
        <w:rPr>
          <w:rFonts w:cs="Calibri"/>
        </w:rPr>
      </w:pPr>
    </w:p>
    <w:p w:rsidR="009C102E" w:rsidRPr="00DE2D55" w:rsidRDefault="009C102E" w:rsidP="00FE560B">
      <w:pPr>
        <w:tabs>
          <w:tab w:val="left" w:pos="0"/>
        </w:tabs>
        <w:ind w:left="360"/>
        <w:jc w:val="both"/>
        <w:rPr>
          <w:rFonts w:cs="Calibri"/>
        </w:rPr>
      </w:pPr>
    </w:p>
    <w:p w:rsidR="009C102E" w:rsidRPr="00DE2D55" w:rsidRDefault="009C102E" w:rsidP="00FE560B">
      <w:pPr>
        <w:tabs>
          <w:tab w:val="left" w:pos="0"/>
        </w:tabs>
        <w:ind w:left="360"/>
        <w:jc w:val="both"/>
        <w:rPr>
          <w:rFonts w:cs="Calibri"/>
        </w:rPr>
      </w:pPr>
    </w:p>
    <w:p w:rsidR="009C102E" w:rsidRPr="00DE2D55" w:rsidRDefault="001A2594" w:rsidP="00FE560B">
      <w:pPr>
        <w:tabs>
          <w:tab w:val="left" w:pos="0"/>
        </w:tabs>
        <w:ind w:left="360"/>
        <w:jc w:val="both"/>
        <w:rPr>
          <w:rFonts w:cs="Calibri"/>
        </w:rPr>
      </w:pPr>
      <w:r w:rsidRPr="00DE2D55">
        <w:rPr>
          <w:rFonts w:cs="Calibri"/>
        </w:rPr>
        <w:t xml:space="preserve">Autor(es): </w:t>
      </w:r>
    </w:p>
    <w:tbl>
      <w:tblPr>
        <w:tblW w:w="5000" w:type="pct"/>
        <w:tblLook w:val="0000" w:firstRow="0" w:lastRow="0" w:firstColumn="0" w:lastColumn="0" w:noHBand="0" w:noVBand="0"/>
      </w:tblPr>
      <w:tblGrid>
        <w:gridCol w:w="2306"/>
        <w:gridCol w:w="2026"/>
        <w:gridCol w:w="787"/>
        <w:gridCol w:w="4651"/>
      </w:tblGrid>
      <w:tr w:rsidR="009C102E" w:rsidRPr="00DE2D55" w:rsidTr="00DE2D55">
        <w:trPr>
          <w:trHeight w:val="253"/>
        </w:trPr>
        <w:tc>
          <w:tcPr>
            <w:tcW w:w="1180"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rPr>
                <w:b/>
              </w:rPr>
            </w:pPr>
            <w:r w:rsidRPr="00DE2D55">
              <w:rPr>
                <w:b/>
              </w:rPr>
              <w:t>Nomes</w:t>
            </w:r>
          </w:p>
        </w:tc>
        <w:tc>
          <w:tcPr>
            <w:tcW w:w="1037"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rPr>
                <w:b/>
              </w:rPr>
            </w:pPr>
            <w:r w:rsidRPr="00DE2D55">
              <w:rPr>
                <w:b/>
              </w:rPr>
              <w:t>Cargos</w:t>
            </w:r>
          </w:p>
        </w:tc>
        <w:tc>
          <w:tcPr>
            <w:tcW w:w="403"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rPr>
                <w:b/>
              </w:rPr>
            </w:pPr>
            <w:r w:rsidRPr="00DE2D55">
              <w:rPr>
                <w:rFonts w:cs="Calibri"/>
                <w:b/>
              </w:rPr>
              <w:t>Área</w:t>
            </w:r>
          </w:p>
        </w:tc>
        <w:tc>
          <w:tcPr>
            <w:tcW w:w="2381"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rPr>
                <w:b/>
              </w:rPr>
              <w:t>E-mail</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Antonio Carlos Amorim</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Assessor Especial</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antonio.amorim@planejamento.es.gov.br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Márcio Bastos Medeiros</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Subsecretário de Orçamento</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marcio.medeiros@planejamento.es.gov.br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 xml:space="preserve">Mariana Machado Barreto Fontao </w:t>
            </w:r>
          </w:p>
        </w:tc>
        <w:tc>
          <w:tcPr>
            <w:tcW w:w="1037"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Subgerente</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rPr>
                <w:bCs/>
              </w:rPr>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mariana.fontao@planejamento.es.gov.br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 xml:space="preserve">Marina Miranda Marques </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Subgerente</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rPr>
                <w:bCs/>
              </w:rPr>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marina.marques@planejamento.es.gov.br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 xml:space="preserve">Adriano Frossard Rasseli </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Consultor do Tesouro</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rPr>
                <w:bCs/>
              </w:rPr>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adriano.rasseli@planejamento.es.gov.br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 xml:space="preserve">Juliani Nunes Campos </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Gerente</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rPr>
                <w:bCs/>
              </w:rPr>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juliani.campos@planejamento.es.gov.br</w:t>
            </w:r>
          </w:p>
        </w:tc>
      </w:tr>
      <w:tr w:rsidR="009C102E" w:rsidRPr="00DE2D55" w:rsidTr="00DE2D55">
        <w:trPr>
          <w:trHeight w:val="70"/>
        </w:trPr>
        <w:tc>
          <w:tcPr>
            <w:tcW w:w="1180" w:type="pct"/>
            <w:tcBorders>
              <w:top w:val="single" w:sz="4" w:space="0" w:color="00000A"/>
              <w:left w:val="single" w:sz="4" w:space="0" w:color="00000A"/>
              <w:bottom w:val="single" w:sz="4" w:space="0" w:color="00000A"/>
              <w:right w:val="single" w:sz="4" w:space="0" w:color="00000A"/>
            </w:tcBorders>
            <w:shd w:val="clear" w:color="auto" w:fill="FFFFFF"/>
          </w:tcPr>
          <w:p w:rsidR="009C102E" w:rsidRPr="00DE2D55" w:rsidRDefault="009C102E" w:rsidP="00FE560B">
            <w:pPr>
              <w:tabs>
                <w:tab w:val="left" w:pos="0"/>
              </w:tabs>
              <w:jc w:val="both"/>
            </w:pPr>
            <w:r w:rsidRPr="00DE2D55">
              <w:t xml:space="preserve">Sandra Mara Magevski </w:t>
            </w:r>
          </w:p>
        </w:tc>
        <w:tc>
          <w:tcPr>
            <w:tcW w:w="1037"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Gerente</w:t>
            </w:r>
          </w:p>
        </w:tc>
        <w:tc>
          <w:tcPr>
            <w:tcW w:w="4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rPr>
                <w:bCs/>
              </w:rPr>
              <w:t>SEP</w:t>
            </w:r>
          </w:p>
        </w:tc>
        <w:tc>
          <w:tcPr>
            <w:tcW w:w="238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9C102E" w:rsidRPr="00DE2D55" w:rsidRDefault="009C102E" w:rsidP="00FE560B">
            <w:pPr>
              <w:tabs>
                <w:tab w:val="left" w:pos="0"/>
              </w:tabs>
              <w:jc w:val="both"/>
            </w:pPr>
            <w:r w:rsidRPr="00DE2D55">
              <w:t>sandra.magevski@planejamento.es.gov.br</w:t>
            </w:r>
          </w:p>
        </w:tc>
      </w:tr>
    </w:tbl>
    <w:p w:rsidR="009C102E" w:rsidRPr="00DE2D55" w:rsidRDefault="009C102E" w:rsidP="00FE560B">
      <w:pPr>
        <w:tabs>
          <w:tab w:val="left" w:pos="0"/>
        </w:tabs>
        <w:jc w:val="both"/>
        <w:rPr>
          <w:rFonts w:cs="Calibri"/>
        </w:rPr>
      </w:pPr>
    </w:p>
    <w:p w:rsidR="009C102E" w:rsidRPr="00DE2D55" w:rsidRDefault="009C102E" w:rsidP="00FE560B">
      <w:pPr>
        <w:tabs>
          <w:tab w:val="left" w:pos="0"/>
        </w:tabs>
        <w:jc w:val="both"/>
        <w:rPr>
          <w:rFonts w:cs="Calibri"/>
        </w:rPr>
      </w:pPr>
    </w:p>
    <w:p w:rsidR="009C102E" w:rsidRPr="00DE2D55" w:rsidRDefault="009C102E" w:rsidP="00FE560B">
      <w:pPr>
        <w:tabs>
          <w:tab w:val="left" w:pos="0"/>
        </w:tabs>
        <w:jc w:val="both"/>
        <w:rPr>
          <w:rFonts w:cs="Calibri"/>
        </w:rPr>
      </w:pPr>
    </w:p>
    <w:p w:rsidR="009C102E" w:rsidRPr="00DE2D55" w:rsidRDefault="009C102E" w:rsidP="00FE560B">
      <w:pPr>
        <w:tabs>
          <w:tab w:val="left" w:pos="0"/>
        </w:tabs>
        <w:jc w:val="both"/>
        <w:rPr>
          <w:rFonts w:cs="Calibri"/>
        </w:rPr>
      </w:pPr>
    </w:p>
    <w:p w:rsidR="001A2594" w:rsidRPr="00DE2D55" w:rsidRDefault="001A2594" w:rsidP="00FE560B">
      <w:pPr>
        <w:tabs>
          <w:tab w:val="left" w:pos="0"/>
        </w:tabs>
        <w:ind w:left="360"/>
        <w:jc w:val="both"/>
        <w:rPr>
          <w:rFonts w:cs="Calibri"/>
        </w:rPr>
      </w:pPr>
    </w:p>
    <w:p w:rsidR="001A2594" w:rsidRPr="00DE2D55" w:rsidRDefault="001A2594" w:rsidP="00FD58F5">
      <w:pPr>
        <w:tabs>
          <w:tab w:val="left" w:pos="0"/>
        </w:tabs>
        <w:jc w:val="center"/>
        <w:rPr>
          <w:rFonts w:cs="Calibri"/>
          <w:b/>
        </w:rPr>
      </w:pPr>
      <w:r w:rsidRPr="00DE2D55">
        <w:rPr>
          <w:rFonts w:cs="Calibri"/>
          <w:b/>
        </w:rPr>
        <w:t>Vitória/ES - junho de 2018</w:t>
      </w: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19" w:name="_Toc517282138"/>
      <w:r w:rsidRPr="00DE2D55">
        <w:rPr>
          <w:rFonts w:cs="Calibri"/>
          <w:b/>
        </w:rPr>
        <w:t>ANTECEDENTES DO PRODUTO</w:t>
      </w:r>
      <w:bookmarkEnd w:id="119"/>
    </w:p>
    <w:p w:rsidR="00FC44ED" w:rsidRPr="00DE2D55" w:rsidRDefault="00FC44ED" w:rsidP="00FE560B">
      <w:pPr>
        <w:tabs>
          <w:tab w:val="left" w:pos="0"/>
        </w:tabs>
        <w:jc w:val="both"/>
        <w:rPr>
          <w:rFonts w:cs="Calibri"/>
          <w:b/>
        </w:rPr>
      </w:pPr>
      <w:r w:rsidRPr="00DE2D55">
        <w:rPr>
          <w:rFonts w:cs="Calibri"/>
          <w:b/>
        </w:rPr>
        <w:t>1.1 – Marco orçamentário de médio prazo</w:t>
      </w:r>
    </w:p>
    <w:p w:rsidR="00FC44ED" w:rsidRDefault="00FC44ED" w:rsidP="00FE560B">
      <w:pPr>
        <w:tabs>
          <w:tab w:val="left" w:pos="0"/>
        </w:tabs>
        <w:jc w:val="both"/>
      </w:pPr>
      <w:r w:rsidRPr="00DE2D55">
        <w:t>A gestão responsável das finanças públicas, a prática de um orçamento equilibrado e a gestão estratégica orientada para resultados são pilares fundamentais no processo de revitalização, expansão e melhoria dos serviços públicos e também para a realização de investimentos focados na melhoria da qualidade de vida da população.</w:t>
      </w:r>
    </w:p>
    <w:p w:rsidR="00FD58F5" w:rsidRPr="00DE2D55" w:rsidRDefault="00FD58F5" w:rsidP="00FE560B">
      <w:pPr>
        <w:tabs>
          <w:tab w:val="left" w:pos="0"/>
        </w:tabs>
        <w:jc w:val="both"/>
      </w:pPr>
    </w:p>
    <w:p w:rsidR="00FC44ED" w:rsidRDefault="00FC44ED" w:rsidP="00FE560B">
      <w:pPr>
        <w:tabs>
          <w:tab w:val="left" w:pos="0"/>
        </w:tabs>
        <w:jc w:val="both"/>
      </w:pPr>
      <w:r w:rsidRPr="00DE2D55">
        <w:t>O comportamento da arrecadação do Estado no ano de 2017 leva-nos a manter cautela e disciplina frente aos gastos públicos nesses anos que virão. A disciplina em manter um orçamento equilibrado nos garantirá a sustentabilidade do ajuste fiscal que o estado alcançou nos últimos dois anos.</w:t>
      </w:r>
    </w:p>
    <w:p w:rsidR="00FD58F5" w:rsidRPr="00DE2D55" w:rsidRDefault="00FD58F5" w:rsidP="00FE560B">
      <w:pPr>
        <w:tabs>
          <w:tab w:val="left" w:pos="0"/>
        </w:tabs>
        <w:jc w:val="both"/>
      </w:pPr>
    </w:p>
    <w:p w:rsidR="00FC44ED" w:rsidRDefault="00FC44ED" w:rsidP="00FE560B">
      <w:pPr>
        <w:tabs>
          <w:tab w:val="left" w:pos="0"/>
        </w:tabs>
        <w:jc w:val="both"/>
      </w:pPr>
      <w:r w:rsidRPr="00DE2D55">
        <w:t xml:space="preserve"> A gestão orçamentária de um estado equilibrado tem início no processo de planejamento estratégico, traçando as metas e prioridades da Administração Pública Estadual.  Conta ainda com a formulação de orçamentos estruturados de forma transparente visando propiciar a participação da sociedade na definição de políticas públicas sociais e a definição de projetos estruturantes que, por meio de metodologia de gestão intensiva, buscam alavancar a capacidade de realização da administração pública.</w:t>
      </w:r>
    </w:p>
    <w:p w:rsidR="00FD58F5" w:rsidRPr="00DE2D55" w:rsidRDefault="00FD58F5" w:rsidP="00FE560B">
      <w:pPr>
        <w:tabs>
          <w:tab w:val="left" w:pos="0"/>
        </w:tabs>
        <w:jc w:val="both"/>
      </w:pPr>
    </w:p>
    <w:p w:rsidR="00FC44ED" w:rsidRDefault="00FC44ED" w:rsidP="00FE560B">
      <w:pPr>
        <w:tabs>
          <w:tab w:val="left" w:pos="0"/>
        </w:tabs>
        <w:jc w:val="both"/>
      </w:pPr>
      <w:r w:rsidRPr="00DE2D55">
        <w:t xml:space="preserve">Para a economia brasileira, as expectativas de mercado indicam certa estabilidade em 2018, com uma retomada modesta do crescimento. No cenário capixaba, os dados indicam crescimento positivo, porém não suficiente ainda para compensar as perdas registradas em 2016 e 2017. Vivemos, portanto, um cenário de cautela, que requer cuidadoso planejamento orçamentário e gerenciamento financeiro equilibrado, preservando as conquistas da gestão fiscal responsável praticada nos últimos anos e propiciando a prestação eficiente de serviços e a ampliação da capacidade de investimento pelo Estado. </w:t>
      </w:r>
    </w:p>
    <w:p w:rsidR="00FD58F5" w:rsidRPr="00DE2D55" w:rsidRDefault="00FD58F5" w:rsidP="00FE560B">
      <w:pPr>
        <w:tabs>
          <w:tab w:val="left" w:pos="0"/>
        </w:tabs>
        <w:jc w:val="both"/>
      </w:pPr>
    </w:p>
    <w:p w:rsidR="00FC44ED" w:rsidRDefault="00FC44ED" w:rsidP="00FE560B">
      <w:pPr>
        <w:tabs>
          <w:tab w:val="left" w:pos="0"/>
        </w:tabs>
        <w:jc w:val="both"/>
      </w:pPr>
      <w:r w:rsidRPr="00DE2D55">
        <w:t xml:space="preserve">O cenário fiscal apontado pelas informações compiladas pelo Instituto Jones dos Santos Neves aponta, em linhas gerais, para uma melhoria discreta do cenário econômico. Se considerarmos os limites que tal cenário aponta, manteremos o controle dos gastos públicos e assim poderemos modernizar a política de gestão e suas ferramentas, buscando sempre fazer mais com menos recursos, com a garantia da qualidade dos serviços ofertados. </w:t>
      </w:r>
    </w:p>
    <w:p w:rsidR="00FD58F5" w:rsidRPr="00DE2D55" w:rsidRDefault="00FD58F5" w:rsidP="00FE560B">
      <w:pPr>
        <w:tabs>
          <w:tab w:val="left" w:pos="0"/>
        </w:tabs>
        <w:jc w:val="both"/>
      </w:pPr>
    </w:p>
    <w:p w:rsidR="00FC44ED" w:rsidRPr="00DE2D55" w:rsidRDefault="00FC44ED" w:rsidP="00FE560B">
      <w:pPr>
        <w:tabs>
          <w:tab w:val="left" w:pos="0"/>
        </w:tabs>
        <w:jc w:val="both"/>
      </w:pPr>
      <w:r w:rsidRPr="00DE2D55">
        <w:t>Com o cenário, ora imposto, torna-se necessário identificar com clareza os problemas e suas causas, propor soluções e fixar ações prioritárias para a correspondente superação e implantar mecanismos de monitoramento e avaliação, visando melhorar as iniciativas de tomada de decisões e comunicação com a sociedade, buscando maior transparência e excelência na gestão do Estado.</w:t>
      </w:r>
    </w:p>
    <w:p w:rsidR="00FC44ED" w:rsidRDefault="00FC44ED" w:rsidP="00FE560B">
      <w:pPr>
        <w:tabs>
          <w:tab w:val="left" w:pos="0"/>
        </w:tabs>
        <w:jc w:val="both"/>
      </w:pPr>
      <w:r w:rsidRPr="00DE2D55">
        <w:t>Com uma receita total estimada de R$ 16,9 bilhões para o exercício de 2018, considerando os orçamentos fiscal e da seguridade social, enquanto a receita de caixa do tesouro, isto é, a receita disponível do Estado, situa-se em R$ 10,5 bilhões, a busca por novos recursos que permitirão ao estado ampliar o horizonte de investimentos públicos e impulsionar a capacidade de execução das iniciativas prioritárias de Governo sempre visando a satisfação da sociedade pelos serviços prestados.</w:t>
      </w:r>
    </w:p>
    <w:p w:rsidR="00FD58F5" w:rsidRPr="00DE2D55" w:rsidRDefault="00FD58F5" w:rsidP="00FE560B">
      <w:pPr>
        <w:tabs>
          <w:tab w:val="left" w:pos="0"/>
        </w:tabs>
        <w:jc w:val="both"/>
      </w:pPr>
    </w:p>
    <w:p w:rsidR="00FC44ED" w:rsidRPr="00DE2D55" w:rsidRDefault="00FC44ED" w:rsidP="00FE560B">
      <w:pPr>
        <w:tabs>
          <w:tab w:val="left" w:pos="0"/>
        </w:tabs>
        <w:jc w:val="both"/>
      </w:pPr>
      <w:r w:rsidRPr="00DE2D55">
        <w:t>A Secretaria de Estado de Economia e Planejamento – SEP quer legitimar as ações a serem alcançadas com a estrita observância do processo de discussão e aprovação do planejamento da gestão pública, embasado em um amplo consenso político e social.</w:t>
      </w:r>
    </w:p>
    <w:p w:rsidR="00FC44ED" w:rsidRPr="00DE2D55" w:rsidRDefault="00FC44ED" w:rsidP="00FE560B">
      <w:pPr>
        <w:tabs>
          <w:tab w:val="left" w:pos="0"/>
        </w:tabs>
        <w:jc w:val="both"/>
        <w:rPr>
          <w:rFonts w:cs="Calibri"/>
        </w:rPr>
      </w:pPr>
    </w:p>
    <w:p w:rsidR="00FC44ED" w:rsidRPr="00DE2D55" w:rsidRDefault="00FC44ED" w:rsidP="00FE560B">
      <w:pPr>
        <w:tabs>
          <w:tab w:val="left" w:pos="0"/>
        </w:tabs>
        <w:jc w:val="both"/>
        <w:rPr>
          <w:rFonts w:cs="Calibri"/>
          <w:b/>
        </w:rPr>
      </w:pPr>
      <w:r w:rsidRPr="00DE2D55">
        <w:rPr>
          <w:rFonts w:cs="Calibri"/>
          <w:b/>
        </w:rPr>
        <w:t>1.2 – Modelo de Gestão de Investimento Público</w:t>
      </w:r>
    </w:p>
    <w:p w:rsidR="00FC44ED" w:rsidRDefault="00FC44ED" w:rsidP="00FE560B">
      <w:pPr>
        <w:tabs>
          <w:tab w:val="left" w:pos="0"/>
        </w:tabs>
        <w:jc w:val="both"/>
      </w:pPr>
      <w:r w:rsidRPr="00DE2D55">
        <w:rPr>
          <w:rFonts w:cs="Times New Roman"/>
        </w:rPr>
        <w:t xml:space="preserve">Com o comportamento da economia brasileira e estadual estamos enfrentando um </w:t>
      </w:r>
      <w:r w:rsidRPr="00DE2D55">
        <w:t>período de fraco crescimento econômico, e a melhor maneira de evitar esse resultado é descobrir como canalizar grandes reservas de poupança para investimentos que melhorem a produtividade do setor público. Os ganhos de produtividade são vitais para o crescimento no longo prazo, e esse processo leva tempo, mas com investimento em áreas certas, o crescimento da produtividade pode ser sustentado.</w:t>
      </w:r>
    </w:p>
    <w:p w:rsidR="00FD58F5" w:rsidRPr="00DE2D55" w:rsidRDefault="00FD58F5" w:rsidP="00FE560B">
      <w:pPr>
        <w:tabs>
          <w:tab w:val="left" w:pos="0"/>
        </w:tabs>
        <w:jc w:val="both"/>
      </w:pPr>
    </w:p>
    <w:p w:rsidR="00FC44ED" w:rsidRDefault="00FC44ED" w:rsidP="00FE560B">
      <w:pPr>
        <w:tabs>
          <w:tab w:val="left" w:pos="0"/>
        </w:tabs>
        <w:jc w:val="both"/>
        <w:rPr>
          <w:rFonts w:cs="Times New Roman"/>
        </w:rPr>
      </w:pPr>
      <w:r w:rsidRPr="00DE2D55">
        <w:rPr>
          <w:rFonts w:cs="Times New Roman"/>
        </w:rPr>
        <w:t>O Sistema de Investimento Público devidamente orientado pode fazer muito para impulsionar o desempenho econômico, gerando demanda agregada rapidamente, alimentando o crescimento da produtividade através da melhoria do capital humano, incentivando a inovação tecnológica, e estimulando o investimento do setor privado, aumentando os retornos. Embora o investimento público não possa corrigir um déficit de grande demanda de uma hora para a outra, ele pode acelerar a recuperação e estabelecer padrões mais sustentáveis de crescimento.</w:t>
      </w:r>
    </w:p>
    <w:p w:rsidR="00FD58F5" w:rsidRPr="00DE2D55" w:rsidRDefault="00FD58F5" w:rsidP="00FE560B">
      <w:pPr>
        <w:tabs>
          <w:tab w:val="left" w:pos="0"/>
        </w:tabs>
        <w:jc w:val="both"/>
        <w:rPr>
          <w:rFonts w:cs="Times New Roman"/>
        </w:rPr>
      </w:pPr>
    </w:p>
    <w:p w:rsidR="00FC44ED" w:rsidRPr="00DE2D55" w:rsidRDefault="00FC44ED" w:rsidP="00FE560B">
      <w:pPr>
        <w:tabs>
          <w:tab w:val="left" w:pos="0"/>
        </w:tabs>
        <w:jc w:val="both"/>
        <w:rPr>
          <w:rFonts w:cs="Times New Roman"/>
        </w:rPr>
      </w:pPr>
      <w:r w:rsidRPr="00DE2D55">
        <w:rPr>
          <w:rFonts w:cs="Times New Roman"/>
        </w:rPr>
        <w:t>O resultado dessas fragilidades segue na contramão das decisões de governo, que buscam abrir espaço fiscal para a realização de investimentos públicos sob o argumento de que esses poderão aumentar as perspectivas econômicas futuras. Num ambiente de recursos escassos, pode-se supor os governos que sabidamente fazem o sacrifício de apartar recursos para investimentos, deveriam fazê-lo orientados por uma melhoria da eficiência alocativa. Nesses termos, toda política de estímulo ao investimento público deveria considerar a possibilidade de criação ou aperfeiçoamento do seu sistema de Investimento. Isso propiciaria não só o aumento da eficiência do investimento, como também permitiria o monitoramento e a manutenção preventiva do patrimônio em operação, responsável pela prestação dos serviços públicos – rodovias, escolas, hospitais, presídios etc. Não é isso o que ocorre habitualmente, o que se vê é a deterioração do patrimônio por falta de manutenção adequada, levando à necessidade de construção de novo empreendimento para substituí-lo. Não menos frequentes são as decisões de investir em serviços que poderiam ser prestados diretamente pela sociedade organizada ou por agente privado.  É conhecido o fenômeno da descontinuidade de políticas públicas, seja por falta de recursos ou por perda de prioridade, quando se passa de um governo para outro.  Essas anomalias geram obras inacabadas e decorrem da falta de um Sistema de Investimento Público.</w:t>
      </w:r>
    </w:p>
    <w:p w:rsidR="00FC44ED" w:rsidRPr="00DE2D55" w:rsidRDefault="00FC44ED" w:rsidP="00FE560B">
      <w:pPr>
        <w:tabs>
          <w:tab w:val="left" w:pos="0"/>
        </w:tabs>
        <w:jc w:val="both"/>
        <w:rPr>
          <w:rFonts w:cs="Calibri"/>
        </w:rPr>
      </w:pP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0" w:name="_Toc517282139"/>
      <w:r w:rsidRPr="00DE2D55">
        <w:rPr>
          <w:rFonts w:cs="Calibri"/>
          <w:b/>
        </w:rPr>
        <w:t>DESCRIÇÃO DO PROBLEMA</w:t>
      </w:r>
      <w:bookmarkEnd w:id="120"/>
    </w:p>
    <w:p w:rsidR="00FC44ED" w:rsidRDefault="00FC44ED" w:rsidP="00FE560B">
      <w:pPr>
        <w:tabs>
          <w:tab w:val="left" w:pos="0"/>
        </w:tabs>
        <w:jc w:val="both"/>
      </w:pPr>
      <w:r w:rsidRPr="00DE2D55">
        <w:t>O papel desempenhado pela SEP, o desejo de evoluir e não medir esforços em controlar e gerir os recursos orçamentários de forma transparente, responsável e com resultados satisfatórios para a sociedade, além da permanente necessidade de aprimoramento do ciclo de Gestão Estratégica do Governo, por meio da gestão intensiva de projetos, do monitoramento de resultados, dentre outras ferramentas, requer uma reestruturação e aprimoramento nos seus instrumentos de gestão, metodologias e ferramentas utilizadas.</w:t>
      </w:r>
    </w:p>
    <w:p w:rsidR="00FD58F5" w:rsidRPr="00DE2D55" w:rsidRDefault="00FD58F5" w:rsidP="00FE560B">
      <w:pPr>
        <w:tabs>
          <w:tab w:val="left" w:pos="0"/>
        </w:tabs>
        <w:jc w:val="both"/>
      </w:pPr>
    </w:p>
    <w:p w:rsidR="00FC44ED" w:rsidRDefault="00FC44ED" w:rsidP="00FE560B">
      <w:pPr>
        <w:tabs>
          <w:tab w:val="left" w:pos="0"/>
        </w:tabs>
        <w:jc w:val="both"/>
      </w:pPr>
      <w:r w:rsidRPr="00DE2D55">
        <w:t>Hoje muito embora exista uma sistemática moderna e inovadora de planejamento estratégico, com modelo de escritório de projetos e uma carteira de projetos estruturantes, estes projetos não possuem uma percepção clara e transparente nos instrumentos de planejamento oficiais, PPA e LOA, dificultando assim uma rápida visualização do seu gasto efetivo.</w:t>
      </w:r>
    </w:p>
    <w:p w:rsidR="00FD58F5" w:rsidRPr="00DE2D55" w:rsidRDefault="00FD58F5" w:rsidP="00FE560B">
      <w:pPr>
        <w:tabs>
          <w:tab w:val="left" w:pos="0"/>
        </w:tabs>
        <w:jc w:val="both"/>
      </w:pPr>
    </w:p>
    <w:p w:rsidR="00FC44ED" w:rsidRDefault="00FC44ED" w:rsidP="00FE560B">
      <w:pPr>
        <w:tabs>
          <w:tab w:val="left" w:pos="0"/>
        </w:tabs>
        <w:jc w:val="both"/>
      </w:pPr>
      <w:r w:rsidRPr="00DE2D55">
        <w:t xml:space="preserve">A carteira de indicadores de resultados precisa ser melhorada, de forma a termos indicadores mais sistematizados, que possibilitem análise mais imediata do resultado. Definir indicadores que possam aferir o alcance dos objetivos, metas e produtos, fazendo “link” ou feedback das entregas para com a sociedade, de forma a termos um monitoramento da ação que esta sendo implantada e ao final, que se possa alcançar a efetividade da política implantada junto a sociedade. </w:t>
      </w:r>
    </w:p>
    <w:p w:rsidR="00FD58F5" w:rsidRPr="00DE2D55" w:rsidRDefault="00FD58F5" w:rsidP="00FE560B">
      <w:pPr>
        <w:tabs>
          <w:tab w:val="left" w:pos="0"/>
        </w:tabs>
        <w:jc w:val="both"/>
      </w:pPr>
    </w:p>
    <w:p w:rsidR="00FC44ED" w:rsidRPr="00DE2D55" w:rsidRDefault="00FC44ED" w:rsidP="00FE560B">
      <w:pPr>
        <w:tabs>
          <w:tab w:val="left" w:pos="0"/>
        </w:tabs>
        <w:jc w:val="both"/>
      </w:pPr>
      <w:r w:rsidRPr="00DE2D55">
        <w:t>Por outro lado, a impossibilidade de inovações ou adequações à legislação orçamentária, leva a uma dificuldade de comunicação para com a sociedade, ou seja, rotina repetitiva das atividades técnicas e burocráticas gera desconforto e falta de comunicação.  A busca por novos modelos de comunicação e participação da sociedade no planejamento, o controle da gestão pública, a introdução de novas metodologias e a busca da valoração da participação da sociedade na elaboração das políticas públicas se fazem necessárias.</w:t>
      </w:r>
    </w:p>
    <w:p w:rsidR="00FC44ED" w:rsidRPr="00DE2D55" w:rsidRDefault="00FC44ED" w:rsidP="00A249C9">
      <w:pPr>
        <w:numPr>
          <w:ilvl w:val="0"/>
          <w:numId w:val="88"/>
        </w:numPr>
        <w:tabs>
          <w:tab w:val="left" w:pos="0"/>
        </w:tabs>
        <w:jc w:val="both"/>
        <w:rPr>
          <w:rFonts w:cs="Times New Roman"/>
        </w:rPr>
      </w:pPr>
      <w:r w:rsidRPr="00DE2D55">
        <w:rPr>
          <w:rFonts w:cs="Times New Roman"/>
        </w:rPr>
        <w:t>Seleção de projetos pouco consistentes em termos técnicos, os quais geram desperdício com a construção de "elefantes brancos";</w:t>
      </w:r>
    </w:p>
    <w:p w:rsidR="00FC44ED" w:rsidRPr="00DE2D55" w:rsidRDefault="00FC44ED" w:rsidP="00A249C9">
      <w:pPr>
        <w:numPr>
          <w:ilvl w:val="0"/>
          <w:numId w:val="88"/>
        </w:numPr>
        <w:tabs>
          <w:tab w:val="left" w:pos="0"/>
        </w:tabs>
        <w:jc w:val="both"/>
        <w:rPr>
          <w:rFonts w:cs="Times New Roman"/>
        </w:rPr>
      </w:pPr>
      <w:r w:rsidRPr="00DE2D55">
        <w:rPr>
          <w:rFonts w:cs="Times New Roman"/>
        </w:rPr>
        <w:t>Atrasos na concepção e realização de projetos;</w:t>
      </w:r>
    </w:p>
    <w:p w:rsidR="00FC44ED" w:rsidRPr="00DE2D55" w:rsidRDefault="00FC44ED" w:rsidP="00A249C9">
      <w:pPr>
        <w:numPr>
          <w:ilvl w:val="0"/>
          <w:numId w:val="88"/>
        </w:numPr>
        <w:tabs>
          <w:tab w:val="left" w:pos="0"/>
        </w:tabs>
        <w:jc w:val="both"/>
        <w:rPr>
          <w:rFonts w:cs="Times New Roman"/>
        </w:rPr>
      </w:pPr>
      <w:r w:rsidRPr="00DE2D55">
        <w:rPr>
          <w:rFonts w:cs="Times New Roman"/>
        </w:rPr>
        <w:t>Práticas de corrupção na contratação;</w:t>
      </w:r>
    </w:p>
    <w:p w:rsidR="00FC44ED" w:rsidRPr="00DE2D55" w:rsidRDefault="00FC44ED" w:rsidP="00A249C9">
      <w:pPr>
        <w:numPr>
          <w:ilvl w:val="0"/>
          <w:numId w:val="88"/>
        </w:numPr>
        <w:tabs>
          <w:tab w:val="left" w:pos="0"/>
        </w:tabs>
        <w:jc w:val="both"/>
        <w:rPr>
          <w:rFonts w:cs="Times New Roman"/>
        </w:rPr>
      </w:pPr>
      <w:r w:rsidRPr="00DE2D55">
        <w:rPr>
          <w:rFonts w:cs="Times New Roman"/>
        </w:rPr>
        <w:t>Diferença entre o custo previsto e o executado, projetos incompletos em termos técnicos;</w:t>
      </w:r>
    </w:p>
    <w:p w:rsidR="00FC44ED" w:rsidRPr="00DE2D55" w:rsidRDefault="00FC44ED" w:rsidP="00A249C9">
      <w:pPr>
        <w:numPr>
          <w:ilvl w:val="0"/>
          <w:numId w:val="88"/>
        </w:numPr>
        <w:tabs>
          <w:tab w:val="left" w:pos="0"/>
        </w:tabs>
        <w:jc w:val="both"/>
        <w:rPr>
          <w:rFonts w:cs="Times New Roman"/>
        </w:rPr>
      </w:pPr>
      <w:r w:rsidRPr="00DE2D55">
        <w:rPr>
          <w:rFonts w:cs="Times New Roman"/>
        </w:rPr>
        <w:t>Baixa qualidade dos serviços, reduzida capacidade na operação e na manutenção dos ativos, de modo que os benefícios são menores do que deveriam ser efetivamente;</w:t>
      </w:r>
    </w:p>
    <w:p w:rsidR="00FC44ED" w:rsidRPr="00DE2D55" w:rsidRDefault="00FC44ED" w:rsidP="00A249C9">
      <w:pPr>
        <w:numPr>
          <w:ilvl w:val="0"/>
          <w:numId w:val="88"/>
        </w:numPr>
        <w:tabs>
          <w:tab w:val="left" w:pos="0"/>
        </w:tabs>
        <w:jc w:val="both"/>
        <w:rPr>
          <w:rFonts w:cs="Times New Roman"/>
        </w:rPr>
      </w:pPr>
      <w:r w:rsidRPr="00DE2D55">
        <w:rPr>
          <w:rFonts w:cs="Times New Roman"/>
        </w:rPr>
        <w:t>Falta de estimativa detalhada dos custos e benefícios;</w:t>
      </w:r>
    </w:p>
    <w:p w:rsidR="00FC44ED" w:rsidRPr="00DE2D55" w:rsidRDefault="00FC44ED" w:rsidP="00A249C9">
      <w:pPr>
        <w:numPr>
          <w:ilvl w:val="0"/>
          <w:numId w:val="88"/>
        </w:numPr>
        <w:tabs>
          <w:tab w:val="left" w:pos="0"/>
        </w:tabs>
        <w:jc w:val="both"/>
        <w:rPr>
          <w:rFonts w:cs="Times New Roman"/>
        </w:rPr>
      </w:pPr>
      <w:r w:rsidRPr="00DE2D55">
        <w:rPr>
          <w:rFonts w:cs="Times New Roman"/>
        </w:rPr>
        <w:t>Falta de previsão orçamentária suficiente que assegure o financiamento, seja no período de implantação do projeto, seja no período pós-obra, para operar e manter os ativos existentes;</w:t>
      </w:r>
    </w:p>
    <w:p w:rsidR="00FC44ED" w:rsidRPr="00DE2D55" w:rsidRDefault="00FC44ED" w:rsidP="00A249C9">
      <w:pPr>
        <w:numPr>
          <w:ilvl w:val="0"/>
          <w:numId w:val="88"/>
        </w:numPr>
        <w:tabs>
          <w:tab w:val="left" w:pos="0"/>
        </w:tabs>
        <w:jc w:val="both"/>
        <w:rPr>
          <w:rFonts w:cs="Times New Roman"/>
        </w:rPr>
      </w:pPr>
      <w:r w:rsidRPr="00DE2D55">
        <w:rPr>
          <w:rFonts w:cs="Times New Roman"/>
        </w:rPr>
        <w:t>Inexistência de projeção de gastos com manutenção dos investimentos.</w:t>
      </w:r>
    </w:p>
    <w:p w:rsidR="00FC44ED" w:rsidRPr="00DE2D55" w:rsidRDefault="00FC44ED" w:rsidP="00FE560B">
      <w:pPr>
        <w:tabs>
          <w:tab w:val="left" w:pos="0"/>
        </w:tabs>
        <w:jc w:val="both"/>
        <w:rPr>
          <w:rFonts w:cs="Calibri"/>
          <w:b/>
        </w:rPr>
      </w:pPr>
    </w:p>
    <w:p w:rsidR="00FC44ED" w:rsidRPr="00DE2D55" w:rsidRDefault="00FC44ED" w:rsidP="00FE560B">
      <w:pPr>
        <w:tabs>
          <w:tab w:val="left" w:pos="0"/>
        </w:tabs>
        <w:jc w:val="both"/>
        <w:rPr>
          <w:rFonts w:cs="Calibri"/>
        </w:rPr>
      </w:pPr>
      <w:r w:rsidRPr="00DE2D55">
        <w:rPr>
          <w:rFonts w:cs="Calibri"/>
          <w:b/>
        </w:rPr>
        <w:t>2.1 – Síntese do Problema</w:t>
      </w:r>
      <w:r w:rsidRPr="00DE2D55">
        <w:rPr>
          <w:rFonts w:cs="Calibri"/>
        </w:rPr>
        <w:t xml:space="preserve"> </w:t>
      </w:r>
    </w:p>
    <w:p w:rsidR="00FC44ED" w:rsidRPr="00DE2D55" w:rsidRDefault="00FC44ED"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Arial"/>
        </w:rPr>
      </w:pPr>
    </w:p>
    <w:p w:rsidR="00FC44ED" w:rsidRPr="00DE2D55" w:rsidRDefault="00FC44ED"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Calibri"/>
          <w:i/>
          <w:noProof/>
        </w:rPr>
      </w:pPr>
      <w:r w:rsidRPr="00DE2D55">
        <w:rPr>
          <w:rFonts w:cs="Arial"/>
        </w:rPr>
        <w:t>Baixa qualidade do planejamento e na gestão dos investimentos públicos</w:t>
      </w:r>
      <w:r w:rsidRPr="00DE2D55">
        <w:rPr>
          <w:rFonts w:cs="Calibri"/>
          <w:i/>
          <w:noProof/>
        </w:rPr>
        <w:t>.</w:t>
      </w:r>
    </w:p>
    <w:p w:rsidR="00FC44ED" w:rsidRPr="00DE2D55" w:rsidRDefault="00FC44ED" w:rsidP="00FE560B">
      <w:pPr>
        <w:pBdr>
          <w:top w:val="dotted" w:sz="4" w:space="1" w:color="auto"/>
          <w:left w:val="dotted" w:sz="4" w:space="4" w:color="auto"/>
          <w:bottom w:val="dotted" w:sz="4" w:space="1" w:color="auto"/>
          <w:right w:val="dotted" w:sz="4" w:space="4" w:color="auto"/>
        </w:pBdr>
        <w:shd w:val="clear" w:color="auto" w:fill="D6E3BC"/>
        <w:tabs>
          <w:tab w:val="left" w:pos="0"/>
        </w:tabs>
        <w:jc w:val="both"/>
        <w:rPr>
          <w:rFonts w:cs="Calibri"/>
          <w:i/>
          <w:noProof/>
        </w:rPr>
      </w:pPr>
    </w:p>
    <w:p w:rsidR="00FC44ED" w:rsidRPr="00DE2D55" w:rsidRDefault="00FC44ED" w:rsidP="00FE560B">
      <w:pPr>
        <w:pStyle w:val="PargrafodaLista"/>
        <w:tabs>
          <w:tab w:val="left" w:pos="0"/>
        </w:tabs>
        <w:ind w:left="225"/>
        <w:jc w:val="both"/>
        <w:rPr>
          <w:noProof/>
        </w:rPr>
      </w:pPr>
    </w:p>
    <w:p w:rsidR="00FC44ED" w:rsidRPr="00DE2D55" w:rsidRDefault="00FC44ED" w:rsidP="00FE560B">
      <w:pPr>
        <w:tabs>
          <w:tab w:val="left" w:pos="0"/>
        </w:tabs>
        <w:jc w:val="both"/>
        <w:rPr>
          <w:rFonts w:cs="Calibri"/>
          <w:b/>
        </w:rPr>
      </w:pPr>
      <w:r w:rsidRPr="00DE2D55">
        <w:rPr>
          <w:rFonts w:cs="Calibri"/>
          <w:b/>
        </w:rPr>
        <w:t>2.2 – Principais causas</w:t>
      </w:r>
    </w:p>
    <w:p w:rsidR="00FC44ED" w:rsidRPr="00DE2D55" w:rsidRDefault="00FC44ED" w:rsidP="00FE560B">
      <w:pPr>
        <w:numPr>
          <w:ilvl w:val="0"/>
          <w:numId w:val="54"/>
        </w:numPr>
        <w:tabs>
          <w:tab w:val="left" w:pos="0"/>
        </w:tabs>
        <w:suppressAutoHyphens/>
        <w:jc w:val="both"/>
        <w:rPr>
          <w:rFonts w:cs="Calibri"/>
        </w:rPr>
      </w:pPr>
      <w:r w:rsidRPr="00DE2D55">
        <w:rPr>
          <w:rFonts w:cs="Calibri"/>
        </w:rPr>
        <w:t xml:space="preserve">Dificuldades para alinhar as estimativas de receita e despesas com os objetivos e metas prioritárias do governo com o PPA e a LOA em uma perspectiva de gestão por resultados. </w:t>
      </w:r>
    </w:p>
    <w:p w:rsidR="00FC44ED" w:rsidRPr="00DE2D55" w:rsidRDefault="00FC44ED" w:rsidP="00FE560B">
      <w:pPr>
        <w:numPr>
          <w:ilvl w:val="0"/>
          <w:numId w:val="54"/>
        </w:numPr>
        <w:tabs>
          <w:tab w:val="left" w:pos="0"/>
        </w:tabs>
        <w:suppressAutoHyphens/>
        <w:jc w:val="both"/>
        <w:rPr>
          <w:rFonts w:cs="Calibri"/>
          <w:b/>
        </w:rPr>
      </w:pPr>
      <w:r w:rsidRPr="00DE2D55">
        <w:rPr>
          <w:rFonts w:cs="Calibri"/>
        </w:rPr>
        <w:t>Deficiência para priorizar, planificar, preparar, executar y monitorar os investimentos do estado.</w:t>
      </w:r>
    </w:p>
    <w:p w:rsidR="00FC44ED" w:rsidRPr="00DE2D55" w:rsidRDefault="00FC44ED" w:rsidP="00FE560B">
      <w:pPr>
        <w:tabs>
          <w:tab w:val="left" w:pos="0"/>
        </w:tabs>
        <w:suppressAutoHyphens/>
        <w:jc w:val="both"/>
        <w:rPr>
          <w:rFonts w:cs="Calibri"/>
        </w:rPr>
      </w:pPr>
    </w:p>
    <w:p w:rsidR="00FC44ED" w:rsidRPr="00DE2D55" w:rsidRDefault="00FC44ED" w:rsidP="00FE560B">
      <w:pPr>
        <w:tabs>
          <w:tab w:val="left" w:pos="0"/>
        </w:tabs>
        <w:suppressAutoHyphens/>
        <w:jc w:val="both"/>
        <w:rPr>
          <w:rFonts w:cs="Calibri"/>
          <w:b/>
        </w:rPr>
      </w:pPr>
      <w:r w:rsidRPr="00DE2D55">
        <w:rPr>
          <w:rFonts w:cs="Calibri"/>
          <w:b/>
        </w:rPr>
        <w:t xml:space="preserve">2.3 – Evidências/Magnitudes </w:t>
      </w:r>
    </w:p>
    <w:p w:rsidR="00FC44ED" w:rsidRPr="00DE2D55" w:rsidRDefault="00FC44ED" w:rsidP="00FE560B">
      <w:pPr>
        <w:tabs>
          <w:tab w:val="left" w:pos="0"/>
        </w:tabs>
        <w:suppressAutoHyphens/>
        <w:jc w:val="both"/>
        <w:rPr>
          <w:rFonts w:cs="Calibri"/>
          <w:b/>
        </w:rPr>
      </w:pPr>
    </w:p>
    <w:p w:rsidR="00FC44ED" w:rsidRPr="00DE2D55" w:rsidRDefault="00FC44ED" w:rsidP="00FE560B">
      <w:pPr>
        <w:numPr>
          <w:ilvl w:val="0"/>
          <w:numId w:val="54"/>
        </w:numPr>
        <w:tabs>
          <w:tab w:val="left" w:pos="0"/>
        </w:tabs>
        <w:suppressAutoHyphens/>
        <w:jc w:val="both"/>
        <w:rPr>
          <w:rFonts w:cs="Calibri"/>
        </w:rPr>
      </w:pPr>
      <w:r w:rsidRPr="00DE2D55">
        <w:rPr>
          <w:rFonts w:cs="Calibri"/>
        </w:rPr>
        <w:t>Em 2017 a discrepância entre o orçamento previsto inicialmente e o executado foi de 11%. Ocorreram 617 créditos adicionais na execução do orçamento, num total de 18% do orçamento.</w:t>
      </w:r>
    </w:p>
    <w:p w:rsidR="00FC44ED" w:rsidRPr="00DE2D55" w:rsidRDefault="00FC44ED" w:rsidP="00FE560B">
      <w:pPr>
        <w:numPr>
          <w:ilvl w:val="0"/>
          <w:numId w:val="54"/>
        </w:numPr>
        <w:tabs>
          <w:tab w:val="left" w:pos="0"/>
        </w:tabs>
        <w:suppressAutoHyphens/>
        <w:jc w:val="both"/>
        <w:rPr>
          <w:rFonts w:cs="Calibri"/>
        </w:rPr>
      </w:pPr>
      <w:r w:rsidRPr="00DE2D55">
        <w:rPr>
          <w:rFonts w:cs="Calibri"/>
        </w:rPr>
        <w:t>Em 2017 dos 21 projetos prioritários em execução nenhum contou com pre-investimento.</w:t>
      </w:r>
    </w:p>
    <w:p w:rsidR="00FC44ED" w:rsidRDefault="00FC44ED"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Default="00B10F82" w:rsidP="00FE560B">
      <w:pPr>
        <w:tabs>
          <w:tab w:val="left" w:pos="0"/>
        </w:tabs>
        <w:suppressAutoHyphens/>
        <w:jc w:val="both"/>
        <w:rPr>
          <w:rFonts w:cs="Calibri"/>
        </w:rPr>
      </w:pPr>
    </w:p>
    <w:p w:rsidR="00B10F82" w:rsidRPr="00DE2D55" w:rsidRDefault="00B10F82" w:rsidP="00FE560B">
      <w:pPr>
        <w:tabs>
          <w:tab w:val="left" w:pos="0"/>
        </w:tabs>
        <w:suppressAutoHyphens/>
        <w:jc w:val="both"/>
        <w:rPr>
          <w:rFonts w:cs="Calibri"/>
        </w:rPr>
      </w:pPr>
    </w:p>
    <w:p w:rsidR="00FC44ED" w:rsidRPr="00DE2D55" w:rsidRDefault="00FC44ED" w:rsidP="00FE560B">
      <w:pPr>
        <w:tabs>
          <w:tab w:val="left" w:pos="0"/>
        </w:tabs>
        <w:jc w:val="both"/>
        <w:rPr>
          <w:rFonts w:eastAsia="Times New Roman" w:cs="Segoe UI"/>
          <w:b/>
        </w:rPr>
      </w:pPr>
      <w:r w:rsidRPr="00DE2D55">
        <w:rPr>
          <w:rFonts w:cs="Segoe UI"/>
          <w:b/>
        </w:rPr>
        <w:t>1.3.1</w:t>
      </w:r>
      <w:r w:rsidRPr="00DE2D55">
        <w:rPr>
          <w:rFonts w:eastAsia="Times New Roman" w:cs="Segoe UI"/>
          <w:b/>
        </w:rPr>
        <w:t xml:space="preserve"> Comparação entre a Execução Orçamentária e a Programação nos últimos 3 anos</w:t>
      </w:r>
    </w:p>
    <w:p w:rsidR="00FC44ED" w:rsidRPr="00DE2D55" w:rsidRDefault="00FC44ED" w:rsidP="00FE560B">
      <w:pPr>
        <w:tabs>
          <w:tab w:val="left" w:pos="0"/>
        </w:tabs>
        <w:jc w:val="both"/>
        <w:rPr>
          <w:rFonts w:eastAsia="Times New Roman" w:cs="Segoe UI"/>
        </w:rPr>
      </w:pPr>
      <w:r w:rsidRPr="00DE2D55">
        <w:rPr>
          <w:noProof/>
          <w:lang w:eastAsia="pt-BR"/>
        </w:rPr>
        <w:drawing>
          <wp:anchor distT="0" distB="0" distL="114300" distR="114300" simplePos="0" relativeHeight="251703296" behindDoc="0" locked="0" layoutInCell="1" allowOverlap="1" wp14:anchorId="4F14D8C0" wp14:editId="1DECD0B5">
            <wp:simplePos x="0" y="0"/>
            <wp:positionH relativeFrom="margin">
              <wp:align>right</wp:align>
            </wp:positionH>
            <wp:positionV relativeFrom="paragraph">
              <wp:posOffset>119380</wp:posOffset>
            </wp:positionV>
            <wp:extent cx="6197014" cy="524827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014" cy="524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Default="00FC44ED"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B10F82" w:rsidRPr="00DE2D55" w:rsidRDefault="00B10F82" w:rsidP="00FE560B">
      <w:pPr>
        <w:tabs>
          <w:tab w:val="left" w:pos="0"/>
        </w:tabs>
        <w:jc w:val="both"/>
        <w:rPr>
          <w:rFonts w:eastAsia="Times New Roman" w:cs="Segoe U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FC44ED" w:rsidRDefault="00FC44ED" w:rsidP="00FE560B">
      <w:pPr>
        <w:tabs>
          <w:tab w:val="left" w:pos="0"/>
        </w:tabs>
        <w:jc w:val="both"/>
        <w:rPr>
          <w:rFonts w:cs="Calibri"/>
        </w:rPr>
      </w:pPr>
      <w:r w:rsidRPr="00DE2D55">
        <w:rPr>
          <w:rFonts w:cs="Calibri"/>
        </w:rPr>
        <w:t>De acordo com o quadro acima, a maior discrepância verificada entre o orçado e o empenhando anualmente, se dá em despesas de Investimentos, principalmente em previsões de Operações de Crédito Internas e Externas que não se realizam.</w:t>
      </w: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Default="00B10F82" w:rsidP="00FE560B">
      <w:pPr>
        <w:tabs>
          <w:tab w:val="left" w:pos="0"/>
        </w:tabs>
        <w:jc w:val="both"/>
        <w:rPr>
          <w:rFonts w:cs="Calibri"/>
        </w:rPr>
      </w:pPr>
    </w:p>
    <w:p w:rsidR="00B10F82" w:rsidRPr="00DE2D55" w:rsidRDefault="00B10F82" w:rsidP="00FE560B">
      <w:pPr>
        <w:tabs>
          <w:tab w:val="left" w:pos="0"/>
        </w:tabs>
        <w:jc w:val="both"/>
        <w:rPr>
          <w:rFonts w:cs="Calibri"/>
        </w:rPr>
      </w:pPr>
    </w:p>
    <w:p w:rsidR="00FC44ED" w:rsidRDefault="00FC44ED" w:rsidP="00FE560B">
      <w:pPr>
        <w:tabs>
          <w:tab w:val="left" w:pos="0"/>
        </w:tabs>
        <w:jc w:val="both"/>
        <w:rPr>
          <w:rFonts w:eastAsia="Times New Roman" w:cs="Segoe UI"/>
          <w:b/>
        </w:rPr>
      </w:pPr>
      <w:r w:rsidRPr="00DE2D55">
        <w:rPr>
          <w:rFonts w:cs="Segoe UI"/>
          <w:b/>
        </w:rPr>
        <w:t xml:space="preserve">2.3.2 </w:t>
      </w:r>
      <w:r w:rsidRPr="00DE2D55">
        <w:rPr>
          <w:rFonts w:eastAsia="Times New Roman" w:cs="Segoe UI"/>
          <w:b/>
        </w:rPr>
        <w:t>Análise da consistência entre o PPA e os orçamentos anuais nos últimos 3 anos</w:t>
      </w:r>
    </w:p>
    <w:p w:rsidR="00B10F82" w:rsidRPr="00DE2D55" w:rsidRDefault="00B10F82" w:rsidP="00FE560B">
      <w:pPr>
        <w:tabs>
          <w:tab w:val="left" w:pos="0"/>
        </w:tabs>
        <w:jc w:val="both"/>
        <w:rPr>
          <w:rFonts w:eastAsia="Times New Roman" w:cs="Segoe UI"/>
          <w:b/>
        </w:rPr>
      </w:pPr>
    </w:p>
    <w:tbl>
      <w:tblPr>
        <w:tblStyle w:val="Tabelacomgrad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25"/>
        <w:gridCol w:w="4853"/>
      </w:tblGrid>
      <w:tr w:rsidR="00FC44ED" w:rsidRPr="00DE2D55" w:rsidTr="00FD58F5">
        <w:tc>
          <w:tcPr>
            <w:tcW w:w="4503" w:type="dxa"/>
          </w:tcPr>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noProof/>
              </w:rPr>
              <w:drawing>
                <wp:anchor distT="0" distB="0" distL="114300" distR="114300" simplePos="0" relativeHeight="251702272" behindDoc="0" locked="0" layoutInCell="1" allowOverlap="1" wp14:anchorId="6DCC1890" wp14:editId="6C866340">
                  <wp:simplePos x="0" y="0"/>
                  <wp:positionH relativeFrom="column">
                    <wp:posOffset>-219075</wp:posOffset>
                  </wp:positionH>
                  <wp:positionV relativeFrom="paragraph">
                    <wp:posOffset>-5080</wp:posOffset>
                  </wp:positionV>
                  <wp:extent cx="2832100" cy="2099310"/>
                  <wp:effectExtent l="0" t="0" r="6350" b="0"/>
                  <wp:wrapThrough wrapText="bothSides">
                    <wp:wrapPolygon edited="0">
                      <wp:start x="0" y="0"/>
                      <wp:lineTo x="0" y="21365"/>
                      <wp:lineTo x="21503" y="21365"/>
                      <wp:lineTo x="21503" y="0"/>
                      <wp:lineTo x="0" y="0"/>
                    </wp:wrapPolygon>
                  </wp:wrapThrough>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210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78" w:type="dxa"/>
            <w:gridSpan w:val="2"/>
          </w:tcPr>
          <w:p w:rsidR="00FC44ED" w:rsidRPr="00DE2D55" w:rsidRDefault="00FC44ED" w:rsidP="00FD58F5">
            <w:pPr>
              <w:tabs>
                <w:tab w:val="left" w:pos="0"/>
              </w:tabs>
              <w:spacing w:line="360" w:lineRule="auto"/>
              <w:ind w:right="-1169"/>
              <w:jc w:val="both"/>
              <w:rPr>
                <w:rFonts w:asciiTheme="minorHAnsi" w:hAnsiTheme="minorHAnsi"/>
                <w:noProof/>
                <w:sz w:val="22"/>
                <w:szCs w:val="22"/>
              </w:rPr>
            </w:pPr>
            <w:r w:rsidRPr="00DE2D55">
              <w:rPr>
                <w:rFonts w:asciiTheme="minorHAnsi" w:hAnsiTheme="minorHAnsi"/>
                <w:noProof/>
                <w:sz w:val="22"/>
                <w:szCs w:val="22"/>
              </w:rPr>
              <w:t>No que tange ao financeiro, os valores previstos no PPA e Orçados na LOA dos últimos 3 exercícios, inicia-se com um equilíbrio no primeiro ano e que nos exercícios seguintes há um ligeiro distânciamento da LOA para o PPA, em função principalmente da reprogramação da receita orçamentária.</w:t>
            </w:r>
          </w:p>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Em relação à meta física prevista há discrepância nas metas previstas na LOA em relação ao PPA já no primeiro exercício financeiro. Essa diferença tende a refletir o esforço insuficiente na definição e planejamento das metas físicas no plano.</w:t>
            </w:r>
          </w:p>
        </w:tc>
      </w:tr>
      <w:tr w:rsidR="00FC44ED" w:rsidRPr="00DE2D55" w:rsidTr="00FD58F5">
        <w:tc>
          <w:tcPr>
            <w:tcW w:w="4503" w:type="dxa"/>
          </w:tcPr>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noProof/>
              </w:rPr>
              <w:drawing>
                <wp:anchor distT="0" distB="0" distL="114300" distR="114300" simplePos="0" relativeHeight="251705344" behindDoc="0" locked="0" layoutInCell="1" allowOverlap="1" wp14:anchorId="49D72BD9" wp14:editId="15EFD36E">
                  <wp:simplePos x="0" y="0"/>
                  <wp:positionH relativeFrom="column">
                    <wp:posOffset>-41910</wp:posOffset>
                  </wp:positionH>
                  <wp:positionV relativeFrom="paragraph">
                    <wp:posOffset>-635</wp:posOffset>
                  </wp:positionV>
                  <wp:extent cx="2809875" cy="2119630"/>
                  <wp:effectExtent l="0" t="0" r="9525" b="0"/>
                  <wp:wrapThrough wrapText="bothSides">
                    <wp:wrapPolygon edited="0">
                      <wp:start x="0" y="0"/>
                      <wp:lineTo x="0" y="21354"/>
                      <wp:lineTo x="21527" y="21354"/>
                      <wp:lineTo x="21527"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211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78" w:type="dxa"/>
            <w:gridSpan w:val="2"/>
          </w:tcPr>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Durante a execução financeira nos 2 últimos exercícios no PPA, verificamos um valor executado aproximadamente 20% inferior ao previsto no poder executivo. A maior discrepância se dá no TCEES, onde a aderência do PPA à execução finaliza 2017 em 70%.</w:t>
            </w:r>
          </w:p>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No que tange ao cumprimeto das metas físicas, acentua-se a discrepância, corroborando para o diagnóstico que aponta para a baixa qualidade no planejamento e definição das metas físicas anuais no PPA.</w:t>
            </w:r>
          </w:p>
        </w:tc>
      </w:tr>
      <w:tr w:rsidR="00FC44ED" w:rsidRPr="00DE2D55" w:rsidTr="00FD58F5">
        <w:tc>
          <w:tcPr>
            <w:tcW w:w="4928" w:type="dxa"/>
            <w:gridSpan w:val="2"/>
          </w:tcPr>
          <w:p w:rsidR="00FC44ED" w:rsidRPr="00DE2D55" w:rsidRDefault="00B10F82" w:rsidP="00FE560B">
            <w:pPr>
              <w:tabs>
                <w:tab w:val="left" w:pos="0"/>
              </w:tabs>
              <w:spacing w:line="360" w:lineRule="auto"/>
              <w:jc w:val="both"/>
              <w:rPr>
                <w:rFonts w:asciiTheme="minorHAnsi" w:hAnsiTheme="minorHAnsi"/>
                <w:noProof/>
                <w:sz w:val="22"/>
                <w:szCs w:val="22"/>
              </w:rPr>
            </w:pPr>
            <w:r w:rsidRPr="00DE2D55">
              <w:rPr>
                <w:noProof/>
              </w:rPr>
              <w:drawing>
                <wp:anchor distT="0" distB="0" distL="114300" distR="114300" simplePos="0" relativeHeight="251707392" behindDoc="0" locked="0" layoutInCell="1" allowOverlap="1" wp14:anchorId="5EB9EE16" wp14:editId="7934D297">
                  <wp:simplePos x="0" y="0"/>
                  <wp:positionH relativeFrom="column">
                    <wp:posOffset>-218440</wp:posOffset>
                  </wp:positionH>
                  <wp:positionV relativeFrom="paragraph">
                    <wp:posOffset>-309880</wp:posOffset>
                  </wp:positionV>
                  <wp:extent cx="3058160" cy="1045845"/>
                  <wp:effectExtent l="0" t="0" r="8890" b="190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816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4ED" w:rsidRPr="00DE2D55" w:rsidRDefault="00FC44ED" w:rsidP="00FE560B">
            <w:pPr>
              <w:tabs>
                <w:tab w:val="left" w:pos="0"/>
              </w:tabs>
              <w:spacing w:line="360" w:lineRule="auto"/>
              <w:jc w:val="both"/>
              <w:rPr>
                <w:rFonts w:asciiTheme="minorHAnsi" w:hAnsiTheme="minorHAnsi"/>
                <w:noProof/>
                <w:sz w:val="22"/>
                <w:szCs w:val="22"/>
              </w:rPr>
            </w:pPr>
          </w:p>
          <w:p w:rsidR="00FC44ED" w:rsidRPr="00DE2D55" w:rsidRDefault="00FC44ED" w:rsidP="00FE560B">
            <w:pPr>
              <w:tabs>
                <w:tab w:val="left" w:pos="0"/>
              </w:tabs>
              <w:spacing w:line="360" w:lineRule="auto"/>
              <w:jc w:val="both"/>
              <w:rPr>
                <w:rFonts w:asciiTheme="minorHAnsi" w:hAnsiTheme="minorHAnsi"/>
                <w:noProof/>
                <w:sz w:val="22"/>
                <w:szCs w:val="22"/>
              </w:rPr>
            </w:pPr>
          </w:p>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As defiências de planejamento também são evidenciadas pelas alterações do plano, seja por meio de créditos especiais ou por meio de novas ações na lei orçamentária.</w:t>
            </w:r>
          </w:p>
          <w:p w:rsidR="00FC44ED" w:rsidRDefault="00FC44ED" w:rsidP="00FE560B">
            <w:pPr>
              <w:tabs>
                <w:tab w:val="left" w:pos="0"/>
              </w:tabs>
              <w:spacing w:line="360" w:lineRule="auto"/>
              <w:jc w:val="both"/>
              <w:rPr>
                <w:rFonts w:asciiTheme="minorHAnsi" w:hAnsiTheme="minorHAnsi"/>
                <w:noProof/>
                <w:sz w:val="22"/>
                <w:szCs w:val="22"/>
              </w:rPr>
            </w:pPr>
          </w:p>
          <w:p w:rsidR="00B10F82" w:rsidRDefault="00B10F82" w:rsidP="00FE560B">
            <w:pPr>
              <w:tabs>
                <w:tab w:val="left" w:pos="0"/>
              </w:tabs>
              <w:spacing w:line="360" w:lineRule="auto"/>
              <w:jc w:val="both"/>
              <w:rPr>
                <w:rFonts w:asciiTheme="minorHAnsi" w:hAnsiTheme="minorHAnsi"/>
                <w:noProof/>
                <w:sz w:val="22"/>
                <w:szCs w:val="22"/>
              </w:rPr>
            </w:pPr>
          </w:p>
          <w:p w:rsidR="00B10F82" w:rsidRDefault="00B10F82" w:rsidP="00FE560B">
            <w:pPr>
              <w:tabs>
                <w:tab w:val="left" w:pos="0"/>
              </w:tabs>
              <w:spacing w:line="360" w:lineRule="auto"/>
              <w:jc w:val="both"/>
              <w:rPr>
                <w:rFonts w:asciiTheme="minorHAnsi" w:hAnsiTheme="minorHAnsi"/>
                <w:noProof/>
                <w:sz w:val="22"/>
                <w:szCs w:val="22"/>
              </w:rPr>
            </w:pPr>
          </w:p>
          <w:p w:rsidR="00B10F82" w:rsidRDefault="00B10F82" w:rsidP="00FE560B">
            <w:pPr>
              <w:tabs>
                <w:tab w:val="left" w:pos="0"/>
              </w:tabs>
              <w:spacing w:line="360" w:lineRule="auto"/>
              <w:jc w:val="both"/>
              <w:rPr>
                <w:rFonts w:asciiTheme="minorHAnsi" w:hAnsiTheme="minorHAnsi"/>
                <w:noProof/>
                <w:sz w:val="22"/>
                <w:szCs w:val="22"/>
              </w:rPr>
            </w:pPr>
          </w:p>
          <w:p w:rsidR="00B10F82" w:rsidRDefault="00B10F82" w:rsidP="00FE560B">
            <w:pPr>
              <w:tabs>
                <w:tab w:val="left" w:pos="0"/>
              </w:tabs>
              <w:spacing w:line="360" w:lineRule="auto"/>
              <w:jc w:val="both"/>
              <w:rPr>
                <w:rFonts w:asciiTheme="minorHAnsi" w:hAnsiTheme="minorHAnsi"/>
                <w:noProof/>
                <w:sz w:val="22"/>
                <w:szCs w:val="22"/>
              </w:rPr>
            </w:pPr>
          </w:p>
          <w:p w:rsidR="00B10F82" w:rsidRPr="00DE2D55" w:rsidRDefault="00B10F82" w:rsidP="00FE560B">
            <w:pPr>
              <w:tabs>
                <w:tab w:val="left" w:pos="0"/>
              </w:tabs>
              <w:spacing w:line="360" w:lineRule="auto"/>
              <w:jc w:val="both"/>
              <w:rPr>
                <w:rFonts w:asciiTheme="minorHAnsi" w:hAnsiTheme="minorHAnsi"/>
                <w:noProof/>
                <w:sz w:val="22"/>
                <w:szCs w:val="22"/>
              </w:rPr>
            </w:pPr>
          </w:p>
        </w:tc>
        <w:tc>
          <w:tcPr>
            <w:tcW w:w="4853" w:type="dxa"/>
          </w:tcPr>
          <w:p w:rsidR="00FC44ED" w:rsidRPr="00DE2D55"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Verifica-se que a cada exercício há uma criação muito alta de ações novas no PPA em relação ao exercício anterior. No ano de 2016 existiram 12 novas ações e em 2018 estas totalizaram 47.</w:t>
            </w:r>
          </w:p>
          <w:p w:rsidR="00FC44ED" w:rsidRDefault="00FC44ED" w:rsidP="00FE560B">
            <w:pPr>
              <w:tabs>
                <w:tab w:val="left" w:pos="0"/>
              </w:tabs>
              <w:spacing w:line="360" w:lineRule="auto"/>
              <w:jc w:val="both"/>
              <w:rPr>
                <w:rFonts w:asciiTheme="minorHAnsi" w:hAnsiTheme="minorHAnsi"/>
                <w:noProof/>
                <w:sz w:val="22"/>
                <w:szCs w:val="22"/>
              </w:rPr>
            </w:pPr>
            <w:r w:rsidRPr="00DE2D55">
              <w:rPr>
                <w:rFonts w:asciiTheme="minorHAnsi" w:hAnsiTheme="minorHAnsi"/>
                <w:noProof/>
                <w:sz w:val="22"/>
                <w:szCs w:val="22"/>
              </w:rPr>
              <w:t>Se consideradas, as constantes reestruturações administrativas em função de criação/extinção de novos órgãos e unidades administrativas, em conjunto com as novas ações, o número de alterações no plano sobe para 125 em 2018.</w:t>
            </w:r>
          </w:p>
          <w:p w:rsidR="00FD58F5" w:rsidRDefault="00FD58F5" w:rsidP="00FE560B">
            <w:pPr>
              <w:tabs>
                <w:tab w:val="left" w:pos="0"/>
              </w:tabs>
              <w:spacing w:line="360" w:lineRule="auto"/>
              <w:jc w:val="both"/>
              <w:rPr>
                <w:rFonts w:asciiTheme="minorHAnsi" w:hAnsiTheme="minorHAnsi"/>
                <w:noProof/>
                <w:sz w:val="22"/>
                <w:szCs w:val="22"/>
              </w:rPr>
            </w:pPr>
          </w:p>
          <w:p w:rsidR="00FD58F5" w:rsidRPr="00DE2D55" w:rsidRDefault="00FD58F5" w:rsidP="00FE560B">
            <w:pPr>
              <w:tabs>
                <w:tab w:val="left" w:pos="0"/>
              </w:tabs>
              <w:spacing w:line="360" w:lineRule="auto"/>
              <w:jc w:val="both"/>
              <w:rPr>
                <w:rFonts w:asciiTheme="minorHAnsi" w:hAnsiTheme="minorHAnsi"/>
                <w:noProof/>
                <w:sz w:val="22"/>
                <w:szCs w:val="22"/>
              </w:rPr>
            </w:pPr>
          </w:p>
        </w:tc>
      </w:tr>
    </w:tbl>
    <w:p w:rsidR="00FC44ED" w:rsidRPr="00DE2D55" w:rsidRDefault="00FC44ED" w:rsidP="00FE560B">
      <w:pPr>
        <w:tabs>
          <w:tab w:val="left" w:pos="0"/>
        </w:tabs>
        <w:jc w:val="both"/>
        <w:rPr>
          <w:rFonts w:eastAsia="Times New Roman" w:cs="Segoe UI"/>
          <w:b/>
        </w:rPr>
      </w:pPr>
      <w:r w:rsidRPr="00DE2D55">
        <w:rPr>
          <w:rFonts w:eastAsia="Times New Roman" w:cs="Segoe UI"/>
          <w:b/>
        </w:rPr>
        <w:t xml:space="preserve"> </w:t>
      </w:r>
      <w:r w:rsidRPr="00DE2D55">
        <w:rPr>
          <w:rFonts w:cs="Segoe UI"/>
          <w:b/>
        </w:rPr>
        <w:t xml:space="preserve">2.3.3 </w:t>
      </w:r>
      <w:r w:rsidRPr="00DE2D55">
        <w:rPr>
          <w:rFonts w:eastAsia="Times New Roman" w:cs="Segoe UI"/>
          <w:b/>
        </w:rPr>
        <w:t>Média de atraso na execução dos investimentos e os custos decorrentes desse atraso</w:t>
      </w: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r w:rsidRPr="00DE2D55">
        <w:rPr>
          <w:noProof/>
          <w:lang w:eastAsia="pt-BR"/>
        </w:rPr>
        <w:drawing>
          <wp:anchor distT="0" distB="0" distL="114300" distR="114300" simplePos="0" relativeHeight="251704320" behindDoc="0" locked="0" layoutInCell="1" allowOverlap="1" wp14:anchorId="1DEF9C0F" wp14:editId="5D7FA786">
            <wp:simplePos x="0" y="0"/>
            <wp:positionH relativeFrom="column">
              <wp:posOffset>731520</wp:posOffset>
            </wp:positionH>
            <wp:positionV relativeFrom="paragraph">
              <wp:posOffset>-224155</wp:posOffset>
            </wp:positionV>
            <wp:extent cx="3430270" cy="4572000"/>
            <wp:effectExtent l="0" t="0" r="0" b="0"/>
            <wp:wrapThrough wrapText="bothSides">
              <wp:wrapPolygon edited="0">
                <wp:start x="0" y="0"/>
                <wp:lineTo x="0" y="21330"/>
                <wp:lineTo x="9357" y="21510"/>
                <wp:lineTo x="17753" y="21510"/>
                <wp:lineTo x="19913" y="21330"/>
                <wp:lineTo x="21472" y="20880"/>
                <wp:lineTo x="21472"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027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eastAsia="Times New Roman" w:cs="Segoe UI"/>
        </w:rPr>
      </w:pPr>
    </w:p>
    <w:p w:rsidR="00FC44ED" w:rsidRPr="00DE2D55" w:rsidRDefault="00FC44ED" w:rsidP="00FE560B">
      <w:pPr>
        <w:tabs>
          <w:tab w:val="left" w:pos="0"/>
        </w:tabs>
        <w:jc w:val="both"/>
        <w:rPr>
          <w:rFonts w:cs="Segoe UI"/>
        </w:rPr>
      </w:pPr>
    </w:p>
    <w:p w:rsidR="00B10F82" w:rsidRDefault="00B10F82"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B10F82" w:rsidRDefault="00B10F82" w:rsidP="00FE560B">
      <w:pPr>
        <w:tabs>
          <w:tab w:val="left" w:pos="0"/>
        </w:tabs>
        <w:jc w:val="both"/>
        <w:rPr>
          <w:rFonts w:eastAsia="Times New Roman" w:cs="Segoe UI"/>
        </w:rPr>
      </w:pPr>
    </w:p>
    <w:p w:rsidR="00FC44ED" w:rsidRDefault="00FC44ED" w:rsidP="00FE560B">
      <w:pPr>
        <w:tabs>
          <w:tab w:val="left" w:pos="0"/>
        </w:tabs>
        <w:jc w:val="both"/>
        <w:rPr>
          <w:rFonts w:eastAsia="Times New Roman" w:cs="Segoe UI"/>
        </w:rPr>
      </w:pPr>
      <w:r w:rsidRPr="00DE2D55">
        <w:rPr>
          <w:rFonts w:eastAsia="Times New Roman" w:cs="Segoe UI"/>
        </w:rPr>
        <w:t xml:space="preserve">A carteira de Projetos Estruturantes e as ações prioritárias do Governo do Estado do Espírito Santo tem sua execução acompanhada por meio do </w:t>
      </w:r>
      <w:r w:rsidRPr="00DE2D55">
        <w:rPr>
          <w:b/>
        </w:rPr>
        <w:t>SIGES – Sistema de Gerenciamento Estratégico de Projetos do Governo do Espírito Santo</w:t>
      </w:r>
      <w:r w:rsidRPr="00DE2D55">
        <w:rPr>
          <w:rFonts w:eastAsia="Times New Roman" w:cs="Segoe UI"/>
        </w:rPr>
        <w:t xml:space="preserve">.  </w:t>
      </w:r>
    </w:p>
    <w:p w:rsidR="00B10F82" w:rsidRPr="00DE2D55" w:rsidRDefault="00B10F82" w:rsidP="00FE560B">
      <w:pPr>
        <w:tabs>
          <w:tab w:val="left" w:pos="0"/>
        </w:tabs>
        <w:jc w:val="both"/>
        <w:rPr>
          <w:rFonts w:eastAsia="Times New Roman" w:cs="Segoe UI"/>
        </w:rPr>
      </w:pPr>
    </w:p>
    <w:p w:rsidR="00FC44ED" w:rsidRDefault="00FC44ED" w:rsidP="00FE560B">
      <w:pPr>
        <w:tabs>
          <w:tab w:val="left" w:pos="0"/>
        </w:tabs>
        <w:jc w:val="both"/>
        <w:rPr>
          <w:rFonts w:eastAsia="Times New Roman" w:cs="Segoe UI"/>
        </w:rPr>
      </w:pPr>
      <w:r w:rsidRPr="00DE2D55">
        <w:rPr>
          <w:rFonts w:eastAsia="Times New Roman" w:cs="Segoe UI"/>
        </w:rPr>
        <w:t>Nele, o escopo e respectivas ações dos projetos são estruturadas a partir da sua decomposição em marcos críticos, que são os eventos mais significativos do cronograma do projeto, além do detalhamento dos custos envolvidos, dentre outras informações importantes para o gerenciamento.</w:t>
      </w:r>
    </w:p>
    <w:p w:rsidR="00B10F82" w:rsidRPr="00DE2D55" w:rsidRDefault="00B10F82" w:rsidP="00FE560B">
      <w:pPr>
        <w:tabs>
          <w:tab w:val="left" w:pos="0"/>
        </w:tabs>
        <w:jc w:val="both"/>
        <w:rPr>
          <w:rFonts w:eastAsia="Times New Roman" w:cs="Segoe UI"/>
        </w:rPr>
      </w:pPr>
    </w:p>
    <w:p w:rsidR="00FC44ED" w:rsidRDefault="00FC44ED" w:rsidP="00FE560B">
      <w:pPr>
        <w:tabs>
          <w:tab w:val="left" w:pos="0"/>
        </w:tabs>
        <w:jc w:val="both"/>
        <w:rPr>
          <w:rFonts w:eastAsia="Times New Roman" w:cs="Segoe UI"/>
        </w:rPr>
      </w:pPr>
      <w:r w:rsidRPr="00DE2D55">
        <w:rPr>
          <w:rFonts w:eastAsia="Times New Roman" w:cs="Segoe UI"/>
        </w:rPr>
        <w:t>Conforme a tabela 3.3, podemos observar o percentual de dilatação de prazos em cada projeto estruturante, além da dilatação média, expressa em dias. Tais dilatações ocorrem principalmente em função de marcos legais, licenciamentos ambientais, problemas em licitações, insuficiência de previsão orçamentária, dentre outros, e são nessas questões que o Gerenciamento Intensivo focaliza suas ações, visando reduzir essas distorções.</w:t>
      </w:r>
    </w:p>
    <w:p w:rsidR="00B10F82" w:rsidRPr="00DE2D55" w:rsidRDefault="00B10F82" w:rsidP="00FE560B">
      <w:pPr>
        <w:tabs>
          <w:tab w:val="left" w:pos="0"/>
        </w:tabs>
        <w:jc w:val="both"/>
        <w:rPr>
          <w:rFonts w:cs="Segoe UI"/>
        </w:rPr>
      </w:pPr>
    </w:p>
    <w:p w:rsidR="00FC44ED" w:rsidRPr="00DE2D55" w:rsidRDefault="00FC44ED" w:rsidP="00FE560B">
      <w:pPr>
        <w:tabs>
          <w:tab w:val="left" w:pos="0"/>
        </w:tabs>
        <w:jc w:val="both"/>
        <w:rPr>
          <w:rFonts w:cs="Segoe UI"/>
          <w:b/>
        </w:rPr>
      </w:pPr>
      <w:r w:rsidRPr="00DE2D55">
        <w:rPr>
          <w:rFonts w:cs="Segoe UI"/>
          <w:b/>
        </w:rPr>
        <w:t>2.3.4</w:t>
      </w:r>
      <w:r w:rsidRPr="00DE2D55">
        <w:rPr>
          <w:rFonts w:eastAsia="Times New Roman" w:cs="Segoe UI"/>
          <w:b/>
        </w:rPr>
        <w:t xml:space="preserve"> Quantitativo de alterações orçamentárias nos últimos três anos</w:t>
      </w:r>
    </w:p>
    <w:p w:rsidR="00FC44ED" w:rsidRPr="00DE2D55" w:rsidRDefault="00B10F82" w:rsidP="00FE560B">
      <w:pPr>
        <w:tabs>
          <w:tab w:val="left" w:pos="0"/>
        </w:tabs>
        <w:ind w:left="431" w:hanging="431"/>
        <w:jc w:val="both"/>
        <w:rPr>
          <w:rFonts w:eastAsia="Times New Roman" w:cs="Segoe UI"/>
          <w:b/>
        </w:rPr>
      </w:pPr>
      <w:r w:rsidRPr="00DE2D55">
        <w:rPr>
          <w:noProof/>
          <w:lang w:eastAsia="pt-BR"/>
        </w:rPr>
        <w:drawing>
          <wp:anchor distT="0" distB="0" distL="114300" distR="114300" simplePos="0" relativeHeight="251706368" behindDoc="0" locked="0" layoutInCell="1" allowOverlap="1" wp14:anchorId="0C42ABAB" wp14:editId="40090294">
            <wp:simplePos x="0" y="0"/>
            <wp:positionH relativeFrom="margin">
              <wp:align>right</wp:align>
            </wp:positionH>
            <wp:positionV relativeFrom="paragraph">
              <wp:posOffset>257175</wp:posOffset>
            </wp:positionV>
            <wp:extent cx="6210300" cy="1865630"/>
            <wp:effectExtent l="0" t="0" r="0" b="1270"/>
            <wp:wrapThrough wrapText="bothSides">
              <wp:wrapPolygon edited="0">
                <wp:start x="0" y="0"/>
                <wp:lineTo x="0" y="21394"/>
                <wp:lineTo x="21534" y="21394"/>
                <wp:lineTo x="21534"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F82" w:rsidRDefault="00B10F82" w:rsidP="00FE560B">
      <w:pPr>
        <w:tabs>
          <w:tab w:val="left" w:pos="0"/>
        </w:tabs>
        <w:jc w:val="both"/>
        <w:rPr>
          <w:rFonts w:eastAsia="Times New Roman" w:cs="Segoe UI"/>
        </w:rPr>
      </w:pPr>
    </w:p>
    <w:p w:rsidR="00FC44ED" w:rsidRPr="00DE2D55" w:rsidRDefault="00FC44ED" w:rsidP="00FE560B">
      <w:pPr>
        <w:tabs>
          <w:tab w:val="left" w:pos="0"/>
        </w:tabs>
        <w:jc w:val="both"/>
      </w:pPr>
      <w:r w:rsidRPr="00DE2D55">
        <w:t>Na execução orçamentária, podem ocorrer despesa não computadas ou insuficientemente dotadas Lei Orçamentária Anual – LOA, tal situação pode ser corrigida por meio de um dispositivo previsto nos artigos 40 a 46 da Lei Federal nº 4.320/64, denominado créditos adicionais, que são divididos em:</w:t>
      </w:r>
    </w:p>
    <w:p w:rsidR="00FC44ED" w:rsidRPr="00DE2D55" w:rsidRDefault="00FC44ED" w:rsidP="00FE560B">
      <w:pPr>
        <w:tabs>
          <w:tab w:val="left" w:pos="0"/>
        </w:tabs>
        <w:ind w:firstLine="567"/>
        <w:jc w:val="both"/>
      </w:pPr>
      <w:r w:rsidRPr="00DE2D55">
        <w:t> I - suplementares, os destinados a reforço de dotação orçamentária;</w:t>
      </w:r>
    </w:p>
    <w:p w:rsidR="00FC44ED" w:rsidRPr="00DE2D55" w:rsidRDefault="00FC44ED" w:rsidP="00FE560B">
      <w:pPr>
        <w:tabs>
          <w:tab w:val="left" w:pos="0"/>
        </w:tabs>
        <w:ind w:firstLine="567"/>
        <w:jc w:val="both"/>
      </w:pPr>
      <w:bookmarkStart w:id="121" w:name="art41ii"/>
      <w:bookmarkEnd w:id="121"/>
      <w:r w:rsidRPr="00DE2D55">
        <w:t>II - especiais, os destinados a despesas para as quais não haja dotação orçamentária específica;</w:t>
      </w:r>
    </w:p>
    <w:p w:rsidR="00FC44ED" w:rsidRPr="00DE2D55" w:rsidRDefault="00FC44ED" w:rsidP="00FE560B">
      <w:pPr>
        <w:tabs>
          <w:tab w:val="left" w:pos="0"/>
        </w:tabs>
        <w:ind w:firstLine="567"/>
        <w:jc w:val="both"/>
      </w:pPr>
      <w:bookmarkStart w:id="122" w:name="art41iii"/>
      <w:bookmarkEnd w:id="122"/>
      <w:r w:rsidRPr="00DE2D55">
        <w:t>III - extraordinários, os destinados a despesas urgentes e imprevistas, em caso de guerra, comoção intestina ou calamidade pública.</w:t>
      </w:r>
    </w:p>
    <w:p w:rsidR="00FC44ED" w:rsidRPr="00DE2D55" w:rsidRDefault="00FC44ED" w:rsidP="00FE560B">
      <w:pPr>
        <w:tabs>
          <w:tab w:val="left" w:pos="0"/>
        </w:tabs>
        <w:jc w:val="both"/>
      </w:pPr>
      <w:r w:rsidRPr="00DE2D55">
        <w:t>Conforme estabelecido na Constituição Estadual, o ES dispõe em sua LOA, limite para a abertura de créditos suplementares, em nosso caso, a autorização é de 20% do valor total previsto na LOA. Deste limite, foram utilizados 18,9% em 2015, 15,2 em 2016 e 17,8% em 2017, gerando aproximadamente 505, 437 e 617 atos para abertura de créditos adicionais, respectivamente.</w:t>
      </w:r>
    </w:p>
    <w:p w:rsidR="00FC44ED" w:rsidRPr="00DE2D55" w:rsidRDefault="00FC44ED" w:rsidP="00FE560B">
      <w:pPr>
        <w:tabs>
          <w:tab w:val="left" w:pos="0"/>
        </w:tabs>
        <w:suppressAutoHyphens/>
        <w:ind w:left="431" w:hanging="431"/>
        <w:jc w:val="both"/>
        <w:rPr>
          <w:rFonts w:cs="Calibri"/>
        </w:rPr>
      </w:pPr>
    </w:p>
    <w:p w:rsidR="00FC44ED" w:rsidRPr="00DE2D55" w:rsidRDefault="00737E57"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3" w:name="_Toc517282140"/>
      <w:r>
        <w:rPr>
          <w:rFonts w:cs="Calibri"/>
          <w:b/>
        </w:rPr>
        <w:t>DESCRIÇÃO DO PRODUTO</w:t>
      </w:r>
      <w:r w:rsidR="00FC44ED" w:rsidRPr="00DE2D55">
        <w:rPr>
          <w:rFonts w:cs="Calibri"/>
          <w:b/>
        </w:rPr>
        <w:t xml:space="preserve"> E SUA META QUANTITATIVA</w:t>
      </w:r>
      <w:bookmarkEnd w:id="123"/>
    </w:p>
    <w:p w:rsidR="00FC44ED" w:rsidRPr="00DE2D55" w:rsidRDefault="00FC44ED" w:rsidP="00FE560B">
      <w:pPr>
        <w:pStyle w:val="PargrafodaLista"/>
        <w:tabs>
          <w:tab w:val="left" w:pos="0"/>
        </w:tabs>
        <w:ind w:left="0"/>
        <w:jc w:val="both"/>
        <w:rPr>
          <w:rFonts w:cs="Calibri"/>
          <w:b/>
          <w:bCs/>
        </w:rPr>
      </w:pPr>
    </w:p>
    <w:p w:rsidR="00FC44ED" w:rsidRPr="00DE2D55" w:rsidRDefault="00FC44ED" w:rsidP="00FE560B">
      <w:pPr>
        <w:pStyle w:val="PargrafodaLista"/>
        <w:tabs>
          <w:tab w:val="left" w:pos="0"/>
        </w:tabs>
        <w:ind w:left="0"/>
        <w:jc w:val="both"/>
        <w:rPr>
          <w:rFonts w:cs="Calibri"/>
          <w:b/>
          <w:bCs/>
        </w:rPr>
      </w:pPr>
      <w:r w:rsidRPr="00DE2D55">
        <w:rPr>
          <w:rFonts w:cs="Calibri"/>
          <w:b/>
          <w:bCs/>
        </w:rPr>
        <w:t>3.1 - Subprodutos</w:t>
      </w:r>
    </w:p>
    <w:p w:rsidR="00FC44ED" w:rsidRDefault="00FC44ED" w:rsidP="00FE560B">
      <w:pPr>
        <w:pStyle w:val="PargrafodaLista"/>
        <w:tabs>
          <w:tab w:val="left" w:pos="0"/>
        </w:tabs>
        <w:ind w:left="0"/>
        <w:jc w:val="both"/>
        <w:rPr>
          <w:rFonts w:eastAsia="Times New Roman" w:cs="Calibri"/>
          <w:b/>
          <w:bCs/>
        </w:rPr>
      </w:pPr>
      <w:r w:rsidRPr="00DE2D55">
        <w:rPr>
          <w:rFonts w:cs="Calibri"/>
          <w:b/>
          <w:bCs/>
        </w:rPr>
        <w:t>3.2.1 - Marco orçamentário de médio prazo com r</w:t>
      </w:r>
      <w:r w:rsidRPr="00DE2D55">
        <w:rPr>
          <w:rFonts w:eastAsia="Times New Roman" w:cs="Calibri"/>
          <w:b/>
          <w:bCs/>
        </w:rPr>
        <w:t>eformulação da sistemática de estimativa de receita e projeção de despesa, conexão entre as prioridades dos instrumentos de planejamento e o previsto nos orçamentos anuais. Ajustes no SIGEFES.</w:t>
      </w:r>
    </w:p>
    <w:p w:rsidR="00D117E1" w:rsidRPr="00DE2D55" w:rsidRDefault="00D117E1" w:rsidP="00FE560B">
      <w:pPr>
        <w:pStyle w:val="PargrafodaLista"/>
        <w:tabs>
          <w:tab w:val="left" w:pos="0"/>
        </w:tabs>
        <w:ind w:left="0"/>
        <w:jc w:val="both"/>
        <w:rPr>
          <w:rFonts w:cs="Calibri"/>
          <w:b/>
          <w:bCs/>
        </w:rPr>
      </w:pPr>
    </w:p>
    <w:p w:rsidR="00FC44ED" w:rsidRPr="00DE2D55" w:rsidRDefault="00FC44ED" w:rsidP="00FE560B">
      <w:pPr>
        <w:tabs>
          <w:tab w:val="left" w:pos="0"/>
        </w:tabs>
        <w:jc w:val="both"/>
        <w:rPr>
          <w:rFonts w:cs="Calibri"/>
        </w:rPr>
      </w:pPr>
      <w:r w:rsidRPr="00DE2D55">
        <w:rPr>
          <w:rFonts w:cs="Calibri"/>
        </w:rPr>
        <w:t>O Marco Orçamentário de Médio Prazo – MOMP é um processo estruturado e interativo baseado em estratégias setoriais, com custos estimados, acordados com os recursos disponíveis num período de 3 ou 4 anos.  Tal processo produz informações suficientes para que o Governo possa tomar decisões transparente e consistente sobre suas prioridades num determinado horizonte temporal, dada a disponibilidade de recursos.</w:t>
      </w:r>
    </w:p>
    <w:p w:rsidR="00FC44ED" w:rsidRDefault="00FC44ED" w:rsidP="00FE560B">
      <w:pPr>
        <w:tabs>
          <w:tab w:val="left" w:pos="0"/>
        </w:tabs>
        <w:jc w:val="both"/>
      </w:pPr>
      <w:r w:rsidRPr="00DE2D55">
        <w:t xml:space="preserve">O objetivo é criar ferramentas e gerar conhecimento para apoiar uma gestão inovadora que potencialize o planejamento e a execução dos gastos públicos criando um sistema que busque resultados para a sociedade, de forma a gerar informações que possibilite aos gestores a tomada de decisão, frente aos recursos disponíveis. </w:t>
      </w:r>
    </w:p>
    <w:p w:rsidR="00D117E1" w:rsidRPr="00DE2D55" w:rsidRDefault="00D117E1" w:rsidP="00FE560B">
      <w:pPr>
        <w:tabs>
          <w:tab w:val="left" w:pos="0"/>
        </w:tabs>
        <w:jc w:val="both"/>
      </w:pPr>
    </w:p>
    <w:p w:rsidR="00FC44ED" w:rsidRDefault="00FC44ED" w:rsidP="00FE560B">
      <w:pPr>
        <w:tabs>
          <w:tab w:val="left" w:pos="0"/>
        </w:tabs>
        <w:jc w:val="both"/>
      </w:pPr>
      <w:r w:rsidRPr="00DE2D55">
        <w:t>Outro ponto focal é criar uma plataforma de projetos de investimentos que possam ter visibilidade ao longo dos anos de elaboração do planejamento de governo, com todos os custos do projeto bem como das despesas ao decorrer dos anos, da implantação dos projetos, com todas as projeções possíveis e permanentemente atualizadas, desenvolvendo e implantando um modelo de Gestão de risco de possíveis investimentos junto à administração fiscal.</w:t>
      </w:r>
    </w:p>
    <w:p w:rsidR="00D117E1" w:rsidRPr="00DE2D55" w:rsidRDefault="00D117E1" w:rsidP="00FE560B">
      <w:pPr>
        <w:tabs>
          <w:tab w:val="left" w:pos="0"/>
        </w:tabs>
        <w:jc w:val="both"/>
      </w:pPr>
    </w:p>
    <w:p w:rsidR="00FC44ED" w:rsidRDefault="00FC44ED" w:rsidP="00FE560B">
      <w:pPr>
        <w:tabs>
          <w:tab w:val="left" w:pos="0"/>
        </w:tabs>
        <w:jc w:val="both"/>
      </w:pPr>
      <w:r w:rsidRPr="00DE2D55">
        <w:t>Criar para os investimentos públicos estaduais, uma rede de análises acerca das forças e fraquezas da administração e das oportunidades e desafios que existem no ambiente interno e externo, implantando uma gestão de riscos, bem como, ações para a contenção do gasto, redução do desperdício e melhoria dos resultados.</w:t>
      </w:r>
    </w:p>
    <w:p w:rsidR="00D117E1" w:rsidRPr="00DE2D55" w:rsidRDefault="00D117E1" w:rsidP="00FE560B">
      <w:pPr>
        <w:tabs>
          <w:tab w:val="left" w:pos="0"/>
        </w:tabs>
        <w:jc w:val="both"/>
      </w:pPr>
    </w:p>
    <w:p w:rsidR="00FC44ED" w:rsidRDefault="00FC44ED" w:rsidP="00FE560B">
      <w:pPr>
        <w:tabs>
          <w:tab w:val="left" w:pos="0"/>
        </w:tabs>
        <w:jc w:val="both"/>
      </w:pPr>
      <w:r w:rsidRPr="00DE2D55">
        <w:t xml:space="preserve">Análise das possibilidades de ampliação do potencial de geração de benefícios sociais e econômicos dos investimentos, tem de partir desde a sua concepção </w:t>
      </w:r>
      <w:r w:rsidR="00D117E1" w:rsidRPr="00DE2D55">
        <w:t>até</w:t>
      </w:r>
      <w:r w:rsidRPr="00DE2D55">
        <w:t xml:space="preserve"> a efetiva entrega à sociedade, o que requer do gestor uma base consolidada de informações que possibilite a tomada de suas decisões quanto a melhor escolha do investimento a ser realizado, principalmente a elaboração de propostas que viabilizem a implementação de modelos de negócios, arranjos institucionais, parcerias com o setor privado e entes federativos, e a identificação de nichos de oportunidades. </w:t>
      </w:r>
    </w:p>
    <w:p w:rsidR="00D117E1" w:rsidRPr="00DE2D55" w:rsidRDefault="00D117E1" w:rsidP="00FE560B">
      <w:pPr>
        <w:tabs>
          <w:tab w:val="left" w:pos="0"/>
        </w:tabs>
        <w:jc w:val="both"/>
      </w:pPr>
    </w:p>
    <w:p w:rsidR="00FC44ED" w:rsidRDefault="00FC44ED" w:rsidP="00FE560B">
      <w:pPr>
        <w:tabs>
          <w:tab w:val="left" w:pos="0"/>
        </w:tabs>
        <w:jc w:val="both"/>
      </w:pPr>
      <w:r w:rsidRPr="00DE2D55">
        <w:t>Torna-se necessário criar no Estado uma cultura de monitoramento e avaliação, e que essa cultura já nasça na própria definição e elaboração da política a ser implantada, na sua definição e precisão dos objetivos e metas a serem alcançadas, trazer para a sociedade os benefícios de forma clara e transparente, identificando quais os indicadores e os modelos de gestão que propiciarão o alcance dos resultados.</w:t>
      </w:r>
    </w:p>
    <w:p w:rsidR="00D117E1" w:rsidRPr="00DE2D55" w:rsidRDefault="00D117E1" w:rsidP="00FE560B">
      <w:pPr>
        <w:tabs>
          <w:tab w:val="left" w:pos="0"/>
        </w:tabs>
        <w:jc w:val="both"/>
      </w:pPr>
    </w:p>
    <w:p w:rsidR="00FC44ED" w:rsidRDefault="00FC44ED" w:rsidP="00FE560B">
      <w:pPr>
        <w:tabs>
          <w:tab w:val="left" w:pos="0"/>
        </w:tabs>
        <w:jc w:val="both"/>
      </w:pPr>
      <w:r w:rsidRPr="00DE2D55">
        <w:t>Além disso, é de extrema importância o aprimoramento do SIGES - Sistema de Gerenciamento Estratégico de Projetos do Governo do Espírito Santo, ampliando e melhorando sua utilização pelos Órgãos de Governo, colaborando para alavancar os resultados dos projetos prioritários, além da necessidade de capacitar a equipe envolvida em novas metodologias em gestão estratégica, gerenciamento de projetos e avaliação de resultados, permitindo, também, a disseminação desses conhecimentos aos demais servidores públicos estaduais, por meio de projetos de transferência de metodologias.</w:t>
      </w:r>
    </w:p>
    <w:p w:rsidR="00D117E1" w:rsidRPr="00DE2D55" w:rsidRDefault="00D117E1" w:rsidP="00FE560B">
      <w:pPr>
        <w:tabs>
          <w:tab w:val="left" w:pos="0"/>
        </w:tabs>
        <w:jc w:val="both"/>
      </w:pPr>
    </w:p>
    <w:p w:rsidR="00FC44ED" w:rsidRDefault="00FC44ED" w:rsidP="00FE560B">
      <w:pPr>
        <w:tabs>
          <w:tab w:val="left" w:pos="0"/>
        </w:tabs>
        <w:jc w:val="both"/>
      </w:pPr>
      <w:r w:rsidRPr="00DE2D55">
        <w:t>Por fim, é necessário a permanente busca por novas experiências e o treinamento contínuo do corpo técnico da Secretaria, e a busca por instrumentos capazes de monitorar e avaliar as políticas públicas de forma a medir de fato a satisfação dos usuários dos serviços públicos e das demandas solicitadas.</w:t>
      </w:r>
    </w:p>
    <w:p w:rsidR="00D117E1" w:rsidRPr="00DE2D55" w:rsidRDefault="00D117E1" w:rsidP="00FE560B">
      <w:pPr>
        <w:tabs>
          <w:tab w:val="left" w:pos="0"/>
        </w:tabs>
        <w:jc w:val="both"/>
      </w:pPr>
    </w:p>
    <w:p w:rsidR="00FC44ED" w:rsidRDefault="00FC44ED" w:rsidP="00FE560B">
      <w:pPr>
        <w:pStyle w:val="PargrafodaLista"/>
        <w:tabs>
          <w:tab w:val="left" w:pos="0"/>
        </w:tabs>
        <w:ind w:left="0"/>
        <w:jc w:val="both"/>
        <w:rPr>
          <w:rFonts w:eastAsia="Times New Roman" w:cs="Calibri"/>
          <w:b/>
          <w:bCs/>
        </w:rPr>
      </w:pPr>
      <w:r w:rsidRPr="00DE2D55">
        <w:rPr>
          <w:rFonts w:cs="Calibri"/>
          <w:b/>
          <w:bCs/>
        </w:rPr>
        <w:t xml:space="preserve">3.2.2 – Modelo de Gestão de Investimento Público com </w:t>
      </w:r>
      <w:r w:rsidRPr="00DE2D55">
        <w:rPr>
          <w:rFonts w:eastAsia="Times New Roman" w:cs="Calibri"/>
          <w:b/>
          <w:bCs/>
        </w:rPr>
        <w:t>integração dos projetos prioritários e as estratégias de governo, uma metodologia de avaliação da viabilidade dos projetos, e com apoio de um sistema informatizado de investimento integrado aos sistemas corporativos.</w:t>
      </w:r>
    </w:p>
    <w:p w:rsidR="00D117E1" w:rsidRPr="00DE2D55" w:rsidRDefault="00D117E1" w:rsidP="00FE560B">
      <w:pPr>
        <w:pStyle w:val="PargrafodaLista"/>
        <w:tabs>
          <w:tab w:val="left" w:pos="0"/>
        </w:tabs>
        <w:ind w:left="0"/>
        <w:jc w:val="both"/>
        <w:rPr>
          <w:rFonts w:cs="Calibri"/>
          <w:b/>
          <w:noProof/>
          <w:color w:val="0070C0"/>
        </w:rPr>
      </w:pPr>
    </w:p>
    <w:p w:rsidR="00FC44ED" w:rsidRDefault="00FC44ED" w:rsidP="00FE560B">
      <w:pPr>
        <w:tabs>
          <w:tab w:val="left" w:pos="0"/>
        </w:tabs>
        <w:jc w:val="both"/>
        <w:rPr>
          <w:rFonts w:cs="Times New Roman"/>
        </w:rPr>
      </w:pPr>
      <w:r w:rsidRPr="00DE2D55">
        <w:t>F</w:t>
      </w:r>
      <w:r w:rsidRPr="00DE2D55">
        <w:rPr>
          <w:rFonts w:cs="Times New Roman"/>
        </w:rPr>
        <w:t>erramentas para auxiliar no Ciclo de Gestão da Estratégia do Governo do Estado, contemplando funcionalidades para a elaboração e revisão do Planejamento Estratégico, gestão e monitoramento de indicadores de resultado e de políticas públicas, gestão de contratos e convênios, além de uma nova versão do SigES, contemplando funcionalidades como georrefereciamento das entregas, integração com os sistemas supracitados, painel de monitoramento da estratégia em tempo real, dentre outras funcionalidades.</w:t>
      </w:r>
    </w:p>
    <w:p w:rsidR="00D117E1" w:rsidRPr="00DE2D55" w:rsidRDefault="00D117E1" w:rsidP="00FE560B">
      <w:pPr>
        <w:tabs>
          <w:tab w:val="left" w:pos="0"/>
        </w:tabs>
        <w:jc w:val="both"/>
        <w:rPr>
          <w:rFonts w:cs="Times New Roman"/>
        </w:rPr>
      </w:pPr>
    </w:p>
    <w:p w:rsidR="00FC44ED" w:rsidRPr="00DE2D55" w:rsidRDefault="00FC44ED" w:rsidP="00FE560B">
      <w:pPr>
        <w:tabs>
          <w:tab w:val="left" w:pos="0"/>
        </w:tabs>
        <w:jc w:val="both"/>
        <w:rPr>
          <w:rFonts w:cs="Times New Roman"/>
        </w:rPr>
      </w:pPr>
      <w:r w:rsidRPr="00DE2D55">
        <w:rPr>
          <w:rFonts w:cs="Times New Roman"/>
        </w:rPr>
        <w:t>Além disso, também devem ser direcionados recursos para a atualização e capacitação dos servidores envolvidos diretamente na formulação da estratégia, além de investimentos na disseminação desses conhecimentos para servidores de outros Órgãos do Estado, por meio de projetos de transferência de metodologia.</w:t>
      </w:r>
    </w:p>
    <w:p w:rsidR="00FC44ED" w:rsidRPr="00DE2D55" w:rsidRDefault="00FC44ED" w:rsidP="00FE560B">
      <w:pPr>
        <w:tabs>
          <w:tab w:val="left" w:pos="0"/>
        </w:tabs>
        <w:jc w:val="both"/>
        <w:rPr>
          <w:rFonts w:cs="Calibri"/>
          <w:b/>
        </w:rPr>
      </w:pP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4" w:name="_Toc517282141"/>
      <w:r w:rsidRPr="00DE2D55">
        <w:rPr>
          <w:rFonts w:cs="Calibri"/>
          <w:b/>
        </w:rPr>
        <w:t>DESCRIÇÃO DO RESULTADO ESPERA</w:t>
      </w:r>
      <w:r w:rsidR="00E64C5C">
        <w:rPr>
          <w:rFonts w:cs="Calibri"/>
          <w:b/>
        </w:rPr>
        <w:t>DO COM A IMPLANTAÇÃO DO PRODUTO</w:t>
      </w:r>
      <w:r w:rsidRPr="00DE2D55">
        <w:rPr>
          <w:rFonts w:cs="Calibri"/>
          <w:b/>
        </w:rPr>
        <w:t xml:space="preserve"> E RESPECTIVA LINHA DE BASE</w:t>
      </w:r>
      <w:bookmarkEnd w:id="124"/>
    </w:p>
    <w:p w:rsidR="00FC44ED" w:rsidRPr="00DE2D55" w:rsidRDefault="00E64C5C" w:rsidP="00FE560B">
      <w:pPr>
        <w:tabs>
          <w:tab w:val="left" w:pos="0"/>
        </w:tabs>
        <w:spacing w:line="240" w:lineRule="auto"/>
        <w:jc w:val="both"/>
        <w:rPr>
          <w:rFonts w:cs="Calibri"/>
          <w:b/>
        </w:rPr>
      </w:pPr>
      <w:r>
        <w:rPr>
          <w:rFonts w:cs="Calibri"/>
          <w:b/>
        </w:rPr>
        <w:t>1.</w:t>
      </w:r>
      <w:r w:rsidR="00FC44ED" w:rsidRPr="00DE2D55">
        <w:rPr>
          <w:rFonts w:cs="Calibri"/>
          <w:b/>
        </w:rPr>
        <w:t>4.1- Meta e Indicador de SubProduto: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FC44ED" w:rsidRPr="00DE2D55" w:rsidTr="00DE2D55">
        <w:tc>
          <w:tcPr>
            <w:tcW w:w="7087"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FC44ED" w:rsidRPr="00DE2D55" w:rsidRDefault="00FC44ED" w:rsidP="00FE560B">
            <w:pPr>
              <w:tabs>
                <w:tab w:val="left" w:pos="0"/>
              </w:tabs>
              <w:spacing w:line="240" w:lineRule="auto"/>
              <w:jc w:val="both"/>
              <w:rPr>
                <w:rFonts w:cs="Calibri"/>
                <w:b/>
                <w:bCs/>
              </w:rPr>
            </w:pPr>
          </w:p>
        </w:tc>
      </w:tr>
      <w:tr w:rsidR="00FC44ED" w:rsidRPr="00DE2D55" w:rsidTr="00DE2D55">
        <w:tc>
          <w:tcPr>
            <w:tcW w:w="7087"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 xml:space="preserve">SubP 3.1.1 </w:t>
            </w:r>
            <w:r w:rsidRPr="00DE2D55">
              <w:rPr>
                <w:rFonts w:cs="Arial"/>
                <w:b/>
              </w:rPr>
              <w:t>Marco orçamentário de médio prazo</w:t>
            </w:r>
          </w:p>
        </w:tc>
        <w:tc>
          <w:tcPr>
            <w:tcW w:w="2126"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Meta</w:t>
            </w:r>
          </w:p>
        </w:tc>
      </w:tr>
      <w:tr w:rsidR="00FC44ED" w:rsidRPr="00DE2D55" w:rsidTr="00DE2D55">
        <w:tc>
          <w:tcPr>
            <w:tcW w:w="7087" w:type="dxa"/>
            <w:shd w:val="clear" w:color="auto" w:fill="auto"/>
          </w:tcPr>
          <w:p w:rsidR="00FC44ED" w:rsidRPr="00E64C5C" w:rsidRDefault="00FC44ED" w:rsidP="00FE560B">
            <w:pPr>
              <w:tabs>
                <w:tab w:val="left" w:pos="0"/>
              </w:tabs>
              <w:spacing w:line="240" w:lineRule="auto"/>
              <w:jc w:val="both"/>
              <w:rPr>
                <w:rFonts w:cs="Calibri"/>
                <w:bCs/>
              </w:rPr>
            </w:pPr>
            <w:r w:rsidRPr="00E64C5C">
              <w:rPr>
                <w:rFonts w:cs="Arial"/>
              </w:rPr>
              <w:t>Programação de médio prazo</w:t>
            </w:r>
          </w:p>
        </w:tc>
        <w:tc>
          <w:tcPr>
            <w:tcW w:w="2126" w:type="dxa"/>
            <w:shd w:val="clear" w:color="auto" w:fill="auto"/>
          </w:tcPr>
          <w:p w:rsidR="00FC44ED" w:rsidRPr="00DE2D55" w:rsidRDefault="00FC44ED" w:rsidP="00FE560B">
            <w:pPr>
              <w:tabs>
                <w:tab w:val="left" w:pos="0"/>
              </w:tabs>
              <w:spacing w:line="240" w:lineRule="auto"/>
              <w:jc w:val="both"/>
              <w:rPr>
                <w:rFonts w:cs="Calibri"/>
                <w:bCs/>
              </w:rPr>
            </w:pPr>
            <w:r w:rsidRPr="00DE2D55">
              <w:rPr>
                <w:rFonts w:cs="Calibri"/>
                <w:bCs/>
              </w:rPr>
              <w:t>1</w:t>
            </w:r>
          </w:p>
        </w:tc>
      </w:tr>
    </w:tbl>
    <w:p w:rsidR="00FC44ED" w:rsidRPr="00DE2D55" w:rsidRDefault="00FC44ED"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FC44ED" w:rsidRPr="00DE2D55" w:rsidTr="00DE2D55">
        <w:tc>
          <w:tcPr>
            <w:tcW w:w="7087"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FC44ED" w:rsidRPr="00DE2D55" w:rsidRDefault="00FC44ED" w:rsidP="00FE560B">
            <w:pPr>
              <w:tabs>
                <w:tab w:val="left" w:pos="0"/>
              </w:tabs>
              <w:spacing w:line="240" w:lineRule="auto"/>
              <w:jc w:val="both"/>
              <w:rPr>
                <w:rFonts w:cs="Calibri"/>
                <w:b/>
                <w:bCs/>
              </w:rPr>
            </w:pPr>
          </w:p>
        </w:tc>
      </w:tr>
      <w:tr w:rsidR="00FC44ED" w:rsidRPr="00DE2D55" w:rsidTr="00DE2D55">
        <w:tc>
          <w:tcPr>
            <w:tcW w:w="7087"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 xml:space="preserve">SubP 3.1.2 </w:t>
            </w:r>
            <w:r w:rsidRPr="00DE2D55">
              <w:rPr>
                <w:rFonts w:cs="Arial"/>
                <w:b/>
              </w:rPr>
              <w:t>Modelo de Gestão de Investimento Público</w:t>
            </w:r>
          </w:p>
        </w:tc>
        <w:tc>
          <w:tcPr>
            <w:tcW w:w="2126" w:type="dxa"/>
            <w:shd w:val="clear" w:color="auto" w:fill="D6E3BC"/>
          </w:tcPr>
          <w:p w:rsidR="00FC44ED" w:rsidRPr="00DE2D55" w:rsidRDefault="00FC44ED" w:rsidP="00FE560B">
            <w:pPr>
              <w:tabs>
                <w:tab w:val="left" w:pos="0"/>
              </w:tabs>
              <w:spacing w:line="240" w:lineRule="auto"/>
              <w:jc w:val="both"/>
              <w:rPr>
                <w:rFonts w:cs="Calibri"/>
                <w:b/>
                <w:bCs/>
              </w:rPr>
            </w:pPr>
            <w:r w:rsidRPr="00DE2D55">
              <w:rPr>
                <w:rFonts w:cs="Calibri"/>
                <w:b/>
                <w:bCs/>
              </w:rPr>
              <w:t>Meta</w:t>
            </w:r>
          </w:p>
        </w:tc>
      </w:tr>
      <w:tr w:rsidR="00FC44ED" w:rsidRPr="00DE2D55" w:rsidTr="00DE2D55">
        <w:tc>
          <w:tcPr>
            <w:tcW w:w="7087" w:type="dxa"/>
            <w:shd w:val="clear" w:color="auto" w:fill="auto"/>
          </w:tcPr>
          <w:p w:rsidR="00FC44ED" w:rsidRPr="00E64C5C" w:rsidRDefault="00FC44ED" w:rsidP="00FE560B">
            <w:pPr>
              <w:tabs>
                <w:tab w:val="left" w:pos="0"/>
              </w:tabs>
              <w:spacing w:line="240" w:lineRule="auto"/>
              <w:jc w:val="both"/>
              <w:rPr>
                <w:rFonts w:cs="Calibri"/>
                <w:bCs/>
              </w:rPr>
            </w:pPr>
            <w:r w:rsidRPr="00E64C5C">
              <w:rPr>
                <w:rFonts w:cs="Arial"/>
              </w:rPr>
              <w:t>Sistema de Investimento Público</w:t>
            </w:r>
          </w:p>
        </w:tc>
        <w:tc>
          <w:tcPr>
            <w:tcW w:w="2126" w:type="dxa"/>
            <w:shd w:val="clear" w:color="auto" w:fill="auto"/>
          </w:tcPr>
          <w:p w:rsidR="00FC44ED" w:rsidRPr="00DE2D55" w:rsidRDefault="00FC44ED" w:rsidP="00FE560B">
            <w:pPr>
              <w:tabs>
                <w:tab w:val="left" w:pos="0"/>
              </w:tabs>
              <w:spacing w:line="240" w:lineRule="auto"/>
              <w:jc w:val="both"/>
              <w:rPr>
                <w:rFonts w:cs="Calibri"/>
                <w:bCs/>
              </w:rPr>
            </w:pPr>
            <w:r w:rsidRPr="00DE2D55">
              <w:rPr>
                <w:rFonts w:cs="Calibri"/>
              </w:rPr>
              <w:t>1</w:t>
            </w:r>
          </w:p>
        </w:tc>
      </w:tr>
    </w:tbl>
    <w:p w:rsidR="00E64C5C" w:rsidRDefault="00E64C5C" w:rsidP="00FE560B">
      <w:pPr>
        <w:tabs>
          <w:tab w:val="left" w:pos="0"/>
        </w:tabs>
        <w:jc w:val="both"/>
        <w:rPr>
          <w:rFonts w:cs="Calibri"/>
          <w:b/>
        </w:rPr>
      </w:pPr>
    </w:p>
    <w:p w:rsidR="00D117E1" w:rsidRDefault="00D117E1" w:rsidP="00FE560B">
      <w:pPr>
        <w:tabs>
          <w:tab w:val="left" w:pos="0"/>
        </w:tabs>
        <w:jc w:val="both"/>
        <w:rPr>
          <w:rFonts w:cs="Calibri"/>
          <w:b/>
        </w:rPr>
      </w:pPr>
    </w:p>
    <w:p w:rsidR="00D117E1" w:rsidRDefault="00D117E1" w:rsidP="00FE560B">
      <w:pPr>
        <w:tabs>
          <w:tab w:val="left" w:pos="0"/>
        </w:tabs>
        <w:jc w:val="both"/>
        <w:rPr>
          <w:rFonts w:cs="Calibri"/>
          <w:b/>
        </w:rPr>
      </w:pPr>
    </w:p>
    <w:p w:rsidR="00D117E1" w:rsidRDefault="00D117E1" w:rsidP="00FE560B">
      <w:pPr>
        <w:tabs>
          <w:tab w:val="left" w:pos="0"/>
        </w:tabs>
        <w:jc w:val="both"/>
        <w:rPr>
          <w:rFonts w:cs="Calibri"/>
          <w:b/>
        </w:rPr>
      </w:pPr>
    </w:p>
    <w:p w:rsidR="00E64C5C" w:rsidRDefault="00E64C5C" w:rsidP="00FE560B">
      <w:pPr>
        <w:tabs>
          <w:tab w:val="left" w:pos="0"/>
        </w:tabs>
        <w:jc w:val="both"/>
        <w:rPr>
          <w:rFonts w:cs="Calibri"/>
          <w:b/>
        </w:rPr>
      </w:pPr>
    </w:p>
    <w:p w:rsidR="00FC44ED" w:rsidRPr="00DE2D55" w:rsidRDefault="00E64C5C" w:rsidP="00FE560B">
      <w:pPr>
        <w:tabs>
          <w:tab w:val="left" w:pos="0"/>
        </w:tabs>
        <w:jc w:val="both"/>
        <w:rPr>
          <w:rFonts w:cs="Calibri"/>
          <w:b/>
        </w:rPr>
      </w:pPr>
      <w:r>
        <w:rPr>
          <w:rFonts w:cs="Calibri"/>
          <w:b/>
        </w:rPr>
        <w:t>1.4.2</w:t>
      </w:r>
      <w:r w:rsidR="00FC44ED" w:rsidRPr="00DE2D55">
        <w:rPr>
          <w:rFonts w:cs="Calibri"/>
          <w:b/>
        </w:rPr>
        <w:t xml:space="preserve"> – Outros possíveis resultados: </w:t>
      </w:r>
    </w:p>
    <w:p w:rsidR="00FC44ED" w:rsidRPr="00DE2D55" w:rsidRDefault="00FC44ED" w:rsidP="00A249C9">
      <w:pPr>
        <w:pStyle w:val="PargrafodaLista"/>
        <w:numPr>
          <w:ilvl w:val="0"/>
          <w:numId w:val="86"/>
        </w:numPr>
        <w:tabs>
          <w:tab w:val="left" w:pos="0"/>
        </w:tabs>
        <w:contextualSpacing w:val="0"/>
        <w:jc w:val="both"/>
        <w:rPr>
          <w:rFonts w:cs="Calibri"/>
        </w:rPr>
      </w:pPr>
      <w:r w:rsidRPr="00DE2D55">
        <w:rPr>
          <w:rFonts w:cs="Calibri"/>
        </w:rPr>
        <w:t>Tornar o processamento de planejamento e orçamento em uma efetiva ferramenta de gestão para o gestor público, assim qualificando e orientando a ação governamental com vistas a qualidade do gasto público;</w:t>
      </w:r>
    </w:p>
    <w:p w:rsidR="00FC44ED" w:rsidRPr="00DE2D55" w:rsidRDefault="00FC44ED" w:rsidP="00A249C9">
      <w:pPr>
        <w:pStyle w:val="PargrafodaLista"/>
        <w:numPr>
          <w:ilvl w:val="0"/>
          <w:numId w:val="86"/>
        </w:numPr>
        <w:tabs>
          <w:tab w:val="left" w:pos="0"/>
        </w:tabs>
        <w:contextualSpacing w:val="0"/>
        <w:jc w:val="both"/>
        <w:rPr>
          <w:rFonts w:cs="Calibri"/>
        </w:rPr>
      </w:pPr>
      <w:r w:rsidRPr="00DE2D55">
        <w:rPr>
          <w:rFonts w:cs="Calibri"/>
        </w:rPr>
        <w:t>Integrar a sociedade e os municípios ao processo de construção do planejamento do governo do Estado;</w:t>
      </w:r>
    </w:p>
    <w:p w:rsidR="00FC44ED" w:rsidRPr="00DE2D55" w:rsidRDefault="00FC44ED" w:rsidP="00A249C9">
      <w:pPr>
        <w:pStyle w:val="PargrafodaLista"/>
        <w:numPr>
          <w:ilvl w:val="0"/>
          <w:numId w:val="86"/>
        </w:numPr>
        <w:tabs>
          <w:tab w:val="left" w:pos="0"/>
        </w:tabs>
        <w:contextualSpacing w:val="0"/>
        <w:jc w:val="both"/>
        <w:rPr>
          <w:rFonts w:cs="Calibri"/>
        </w:rPr>
      </w:pPr>
      <w:r w:rsidRPr="00DE2D55">
        <w:rPr>
          <w:rFonts w:cs="Calibri"/>
        </w:rPr>
        <w:t>Possibilitar a implementação de políticas de incentivo ao “bom gestor” com o foco em resultados; e</w:t>
      </w:r>
    </w:p>
    <w:p w:rsidR="00FC44ED" w:rsidRPr="00DE2D55" w:rsidRDefault="00FC44ED" w:rsidP="00A249C9">
      <w:pPr>
        <w:pStyle w:val="PargrafodaLista"/>
        <w:numPr>
          <w:ilvl w:val="0"/>
          <w:numId w:val="86"/>
        </w:numPr>
        <w:tabs>
          <w:tab w:val="left" w:pos="0"/>
        </w:tabs>
        <w:contextualSpacing w:val="0"/>
        <w:jc w:val="both"/>
        <w:rPr>
          <w:rFonts w:cs="Calibri"/>
        </w:rPr>
      </w:pPr>
      <w:r w:rsidRPr="00DE2D55">
        <w:rPr>
          <w:rFonts w:cs="Calibri"/>
        </w:rPr>
        <w:t xml:space="preserve">Ampliação da transparência e </w:t>
      </w:r>
      <w:r w:rsidRPr="00DE2D55">
        <w:rPr>
          <w:rFonts w:cs="Calibri"/>
          <w:i/>
        </w:rPr>
        <w:t>accountability</w:t>
      </w:r>
      <w:r w:rsidRPr="00DE2D55">
        <w:rPr>
          <w:rFonts w:cs="Calibri"/>
        </w:rPr>
        <w:t xml:space="preserve"> das políticas públicas governamentais. </w:t>
      </w:r>
    </w:p>
    <w:p w:rsidR="00FC44ED" w:rsidRPr="00DE2D55" w:rsidRDefault="00FC44ED" w:rsidP="00A249C9">
      <w:pPr>
        <w:numPr>
          <w:ilvl w:val="0"/>
          <w:numId w:val="86"/>
        </w:numPr>
        <w:tabs>
          <w:tab w:val="left" w:pos="0"/>
        </w:tabs>
        <w:jc w:val="both"/>
        <w:rPr>
          <w:rFonts w:cs="Calibri"/>
        </w:rPr>
      </w:pPr>
      <w:r w:rsidRPr="00DE2D55">
        <w:rPr>
          <w:rFonts w:cs="Calibri"/>
        </w:rPr>
        <w:t>Melhorar a situação fiscal;</w:t>
      </w:r>
    </w:p>
    <w:p w:rsidR="00FC44ED" w:rsidRPr="00DE2D55" w:rsidRDefault="00FC44ED" w:rsidP="00A249C9">
      <w:pPr>
        <w:numPr>
          <w:ilvl w:val="0"/>
          <w:numId w:val="86"/>
        </w:numPr>
        <w:tabs>
          <w:tab w:val="left" w:pos="0"/>
        </w:tabs>
        <w:jc w:val="both"/>
        <w:rPr>
          <w:rFonts w:cs="Calibri"/>
        </w:rPr>
      </w:pPr>
      <w:r w:rsidRPr="00DE2D55">
        <w:rPr>
          <w:rFonts w:cs="Calibri"/>
        </w:rPr>
        <w:t>Melhorar a alocação de recursos setoriais por meio da conexão entre políticas públicas, planejamento e orçamento;</w:t>
      </w:r>
    </w:p>
    <w:p w:rsidR="00FC44ED" w:rsidRPr="00DE2D55" w:rsidRDefault="00FC44ED" w:rsidP="00A249C9">
      <w:pPr>
        <w:numPr>
          <w:ilvl w:val="0"/>
          <w:numId w:val="86"/>
        </w:numPr>
        <w:tabs>
          <w:tab w:val="left" w:pos="0"/>
        </w:tabs>
        <w:jc w:val="both"/>
        <w:rPr>
          <w:rFonts w:cs="Calibri"/>
        </w:rPr>
      </w:pPr>
      <w:r w:rsidRPr="00DE2D55">
        <w:rPr>
          <w:rFonts w:cs="Calibri"/>
        </w:rPr>
        <w:t>Melhorar desempenho dos programas;</w:t>
      </w:r>
    </w:p>
    <w:p w:rsidR="00FC44ED" w:rsidRPr="00DE2D55" w:rsidRDefault="00FC44ED" w:rsidP="00A249C9">
      <w:pPr>
        <w:numPr>
          <w:ilvl w:val="0"/>
          <w:numId w:val="86"/>
        </w:numPr>
        <w:tabs>
          <w:tab w:val="left" w:pos="0"/>
        </w:tabs>
        <w:jc w:val="both"/>
        <w:rPr>
          <w:rFonts w:cs="Calibri"/>
        </w:rPr>
      </w:pPr>
      <w:r w:rsidRPr="00DE2D55">
        <w:rPr>
          <w:rFonts w:cs="Calibri"/>
        </w:rPr>
        <w:t xml:space="preserve">Maior credibilidade da tomada de decisões orçamentárias; </w:t>
      </w:r>
    </w:p>
    <w:p w:rsidR="00FC44ED" w:rsidRPr="00DE2D55" w:rsidRDefault="00FC44ED" w:rsidP="00A249C9">
      <w:pPr>
        <w:numPr>
          <w:ilvl w:val="0"/>
          <w:numId w:val="86"/>
        </w:numPr>
        <w:tabs>
          <w:tab w:val="left" w:pos="0"/>
        </w:tabs>
        <w:jc w:val="both"/>
        <w:rPr>
          <w:rFonts w:cs="Calibri"/>
        </w:rPr>
      </w:pPr>
      <w:r w:rsidRPr="00DE2D55">
        <w:rPr>
          <w:rFonts w:cs="Calibri"/>
        </w:rPr>
        <w:t>Maior responsabilização política pelos resultados das despesas públicas em virtude de um processo de tomada de decisões mais legítimo;</w:t>
      </w:r>
    </w:p>
    <w:p w:rsidR="00FC44ED" w:rsidRPr="00DE2D55" w:rsidRDefault="00FC44ED" w:rsidP="00A249C9">
      <w:pPr>
        <w:numPr>
          <w:ilvl w:val="0"/>
          <w:numId w:val="86"/>
        </w:numPr>
        <w:tabs>
          <w:tab w:val="left" w:pos="0"/>
        </w:tabs>
        <w:jc w:val="both"/>
        <w:rPr>
          <w:rFonts w:cs="Calibri"/>
        </w:rPr>
      </w:pPr>
      <w:r w:rsidRPr="00DE2D55">
        <w:rPr>
          <w:rFonts w:cs="Calibri"/>
        </w:rPr>
        <w:t>Uso mais eficiente do dinheiro público por meio da entrega do serviço com desempenho esperado e menor custo.</w:t>
      </w:r>
    </w:p>
    <w:p w:rsidR="00FC44ED" w:rsidRPr="00DE2D55" w:rsidRDefault="00FC44ED" w:rsidP="00FE560B">
      <w:pPr>
        <w:pStyle w:val="PargrafodaLista"/>
        <w:tabs>
          <w:tab w:val="left" w:pos="0"/>
        </w:tabs>
        <w:jc w:val="both"/>
        <w:rPr>
          <w:rFonts w:cs="Calibri"/>
        </w:rPr>
      </w:pP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5" w:name="_Toc517282142"/>
      <w:r w:rsidRPr="00DE2D55">
        <w:rPr>
          <w:rFonts w:cs="Calibri"/>
          <w:b/>
        </w:rPr>
        <w:t>ASPECTOS INOVADOR</w:t>
      </w:r>
      <w:r w:rsidR="00737E57">
        <w:rPr>
          <w:rFonts w:cs="Calibri"/>
          <w:b/>
        </w:rPr>
        <w:t>ES</w:t>
      </w:r>
      <w:r w:rsidRPr="00DE2D55">
        <w:rPr>
          <w:rFonts w:cs="Calibri"/>
          <w:b/>
        </w:rPr>
        <w:t xml:space="preserve"> DO PRODUTO</w:t>
      </w:r>
      <w:bookmarkEnd w:id="125"/>
    </w:p>
    <w:p w:rsidR="00737E57" w:rsidRDefault="00737E57" w:rsidP="00FE560B">
      <w:pPr>
        <w:pStyle w:val="PargrafodaLista"/>
        <w:tabs>
          <w:tab w:val="left" w:pos="0"/>
        </w:tabs>
        <w:jc w:val="both"/>
        <w:rPr>
          <w:rFonts w:cs="Calibri"/>
        </w:rPr>
      </w:pPr>
    </w:p>
    <w:p w:rsidR="00FC44ED" w:rsidRPr="00737E57" w:rsidRDefault="00FC44ED" w:rsidP="00A249C9">
      <w:pPr>
        <w:pStyle w:val="PargrafodaLista"/>
        <w:numPr>
          <w:ilvl w:val="0"/>
          <w:numId w:val="168"/>
        </w:numPr>
        <w:tabs>
          <w:tab w:val="left" w:pos="0"/>
        </w:tabs>
        <w:jc w:val="both"/>
        <w:rPr>
          <w:rFonts w:cs="Calibri"/>
        </w:rPr>
      </w:pPr>
      <w:r w:rsidRPr="00737E57">
        <w:rPr>
          <w:rFonts w:cs="Calibri"/>
        </w:rPr>
        <w:t>Transição do orçamento tradicional incremental para o orçamento moderno orientado para resultados;</w:t>
      </w:r>
    </w:p>
    <w:p w:rsidR="00FC44ED" w:rsidRPr="00DE2D55" w:rsidRDefault="00FC44ED" w:rsidP="00A249C9">
      <w:pPr>
        <w:pStyle w:val="PargrafodaLista"/>
        <w:numPr>
          <w:ilvl w:val="0"/>
          <w:numId w:val="87"/>
        </w:numPr>
        <w:tabs>
          <w:tab w:val="left" w:pos="0"/>
        </w:tabs>
        <w:ind w:left="720"/>
        <w:contextualSpacing w:val="0"/>
        <w:jc w:val="both"/>
        <w:rPr>
          <w:rFonts w:cs="Calibri"/>
        </w:rPr>
      </w:pPr>
      <w:r w:rsidRPr="00DE2D55">
        <w:rPr>
          <w:rFonts w:cs="Calibri"/>
        </w:rPr>
        <w:t>Mudança da cultura organizacional, hoje calcada no imediatismo do dia a dia para uma cultura de planejamento governamental;</w:t>
      </w:r>
    </w:p>
    <w:p w:rsidR="00FC44ED" w:rsidRPr="00DE2D55" w:rsidRDefault="00FC44ED" w:rsidP="00A249C9">
      <w:pPr>
        <w:pStyle w:val="PargrafodaLista"/>
        <w:numPr>
          <w:ilvl w:val="0"/>
          <w:numId w:val="87"/>
        </w:numPr>
        <w:tabs>
          <w:tab w:val="left" w:pos="0"/>
        </w:tabs>
        <w:ind w:left="720"/>
        <w:contextualSpacing w:val="0"/>
        <w:jc w:val="both"/>
        <w:rPr>
          <w:rFonts w:cs="Calibri"/>
        </w:rPr>
      </w:pPr>
      <w:r w:rsidRPr="00DE2D55">
        <w:rPr>
          <w:rFonts w:cs="Calibri"/>
        </w:rPr>
        <w:t>Modernização do processo de previsão de receitas e fixação de despesas; e</w:t>
      </w:r>
    </w:p>
    <w:p w:rsidR="00FC44ED" w:rsidRPr="00DE2D55" w:rsidRDefault="00FC44ED" w:rsidP="00A249C9">
      <w:pPr>
        <w:pStyle w:val="PargrafodaLista"/>
        <w:numPr>
          <w:ilvl w:val="0"/>
          <w:numId w:val="87"/>
        </w:numPr>
        <w:tabs>
          <w:tab w:val="left" w:pos="0"/>
        </w:tabs>
        <w:ind w:left="720"/>
        <w:contextualSpacing w:val="0"/>
        <w:jc w:val="both"/>
        <w:rPr>
          <w:rFonts w:cs="Calibri"/>
        </w:rPr>
      </w:pPr>
      <w:r w:rsidRPr="00DE2D55">
        <w:rPr>
          <w:rFonts w:cs="Calibri"/>
        </w:rPr>
        <w:t>Modernização do processo de monitoramento e avaliação orientado para resultados.</w:t>
      </w:r>
    </w:p>
    <w:p w:rsidR="00FC44ED" w:rsidRPr="00DE2D55" w:rsidRDefault="00FC44ED" w:rsidP="00FE560B">
      <w:pPr>
        <w:pStyle w:val="PargrafodaLista"/>
        <w:tabs>
          <w:tab w:val="left" w:pos="0"/>
        </w:tabs>
        <w:contextualSpacing w:val="0"/>
        <w:jc w:val="both"/>
        <w:rPr>
          <w:rFonts w:cs="Calibri"/>
        </w:rPr>
      </w:pP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6" w:name="_Toc517282143"/>
      <w:r w:rsidRPr="00DE2D55">
        <w:rPr>
          <w:rFonts w:cs="Calibri"/>
          <w:b/>
        </w:rPr>
        <w:t>RISCOS DE E</w:t>
      </w:r>
      <w:r w:rsidR="00737E57">
        <w:rPr>
          <w:rFonts w:cs="Calibri"/>
          <w:b/>
        </w:rPr>
        <w:t>XECUÇÃO RELACIONADOS AO PRODUTO</w:t>
      </w:r>
      <w:bookmarkEnd w:id="126"/>
      <w:r w:rsidRPr="00DE2D55">
        <w:rPr>
          <w:rFonts w:cs="Calibri"/>
          <w:b/>
        </w:rPr>
        <w:t xml:space="preserve"> </w:t>
      </w:r>
    </w:p>
    <w:p w:rsidR="00FC44ED" w:rsidRPr="00DE2D55" w:rsidRDefault="00FC44ED" w:rsidP="00A249C9">
      <w:pPr>
        <w:pStyle w:val="PargrafodaLista"/>
        <w:numPr>
          <w:ilvl w:val="0"/>
          <w:numId w:val="90"/>
        </w:numPr>
        <w:tabs>
          <w:tab w:val="left" w:pos="0"/>
        </w:tabs>
        <w:jc w:val="both"/>
        <w:rPr>
          <w:rFonts w:eastAsia="Times New Roman" w:cs="Calibri"/>
        </w:rPr>
      </w:pPr>
      <w:r w:rsidRPr="00DE2D55">
        <w:rPr>
          <w:rFonts w:eastAsia="Times New Roman" w:cs="Calibri"/>
        </w:rPr>
        <w:t>Riscos relacionados com recursos</w:t>
      </w:r>
    </w:p>
    <w:p w:rsidR="00FC44ED" w:rsidRPr="00DE2D55" w:rsidRDefault="00FC44ED" w:rsidP="00FE560B">
      <w:pPr>
        <w:tabs>
          <w:tab w:val="left" w:pos="0"/>
        </w:tabs>
        <w:jc w:val="both"/>
      </w:pPr>
      <w:r w:rsidRPr="00DE2D55">
        <w:rPr>
          <w:b/>
        </w:rPr>
        <w:t xml:space="preserve">Humanos: </w:t>
      </w:r>
      <w:r w:rsidRPr="00DE2D55">
        <w:t>A SEP tem como atribuição atualizar e expedir normas e instruções relativas à elaboração dos projetos do PPA, da LDO e da LOA, coordenar a elaboração, execução e o acompanhamento da LOA, comandar os atos relativos à abertura de créditos adicionais, coordenar as políticas e diretrizes da área de planejamento orçamentário e articular ações com os demais sistemas administrativos.</w:t>
      </w:r>
    </w:p>
    <w:p w:rsidR="00FC44ED" w:rsidRDefault="00FC44ED" w:rsidP="00FE560B">
      <w:pPr>
        <w:tabs>
          <w:tab w:val="left" w:pos="0"/>
        </w:tabs>
        <w:ind w:left="431"/>
        <w:jc w:val="both"/>
      </w:pPr>
      <w:r w:rsidRPr="00DE2D55">
        <w:t xml:space="preserve">Diferentemente das áreas de Tesouro, Administração </w:t>
      </w:r>
      <w:r w:rsidR="00D117E1">
        <w:t>Tributária, Controle Interno, o</w:t>
      </w:r>
      <w:r w:rsidRPr="00DE2D55">
        <w:t xml:space="preserve"> Planejamento Orçamentário não dispõe de uma carreira. Em consequência, e principalmente nos órgãos setoriais, os servidores alocados não estão previamente preparados para as atividades técnicas requeridas pela área e, geralmente, não permanece muito tempo no setor.</w:t>
      </w:r>
    </w:p>
    <w:p w:rsidR="00D117E1" w:rsidRPr="00DE2D55" w:rsidRDefault="00D117E1" w:rsidP="00FE560B">
      <w:pPr>
        <w:tabs>
          <w:tab w:val="left" w:pos="0"/>
        </w:tabs>
        <w:ind w:left="431"/>
        <w:jc w:val="both"/>
      </w:pPr>
    </w:p>
    <w:p w:rsidR="00FC44ED" w:rsidRPr="00DE2D55" w:rsidRDefault="00FC44ED" w:rsidP="00FE560B">
      <w:pPr>
        <w:tabs>
          <w:tab w:val="left" w:pos="0"/>
        </w:tabs>
        <w:jc w:val="both"/>
      </w:pPr>
      <w:r w:rsidRPr="00DE2D55">
        <w:rPr>
          <w:b/>
        </w:rPr>
        <w:t xml:space="preserve">Tempo e Recurso financeiro: </w:t>
      </w:r>
      <w:r w:rsidRPr="00DE2D55">
        <w:t xml:space="preserve">Por se tratar de um tema abrangente e multisetorial evoluir o processo de planejamento e orçamento é de difícil mensuração de tempo e recurso financeiro, pois não se trata de um produto de prateleira. Sendo assim, a planificação de um processo desta magnitude se torna uma atividade complexa e de difícil mensuração. </w:t>
      </w:r>
    </w:p>
    <w:p w:rsidR="00FC44ED" w:rsidRPr="00DE2D55" w:rsidRDefault="00FC44ED" w:rsidP="00FE560B">
      <w:pPr>
        <w:tabs>
          <w:tab w:val="left" w:pos="0"/>
        </w:tabs>
        <w:jc w:val="both"/>
      </w:pPr>
    </w:p>
    <w:p w:rsidR="00FC44ED" w:rsidRPr="00DE2D55" w:rsidRDefault="00FC44ED" w:rsidP="00A249C9">
      <w:pPr>
        <w:pStyle w:val="PargrafodaLista"/>
        <w:numPr>
          <w:ilvl w:val="0"/>
          <w:numId w:val="90"/>
        </w:numPr>
        <w:tabs>
          <w:tab w:val="left" w:pos="0"/>
        </w:tabs>
        <w:jc w:val="both"/>
        <w:rPr>
          <w:rFonts w:eastAsia="Times New Roman" w:cs="Calibri"/>
        </w:rPr>
      </w:pPr>
      <w:bookmarkStart w:id="127" w:name="External_dependencies"/>
      <w:r w:rsidRPr="00DE2D55">
        <w:rPr>
          <w:rFonts w:eastAsia="Times New Roman" w:cs="Calibri"/>
        </w:rPr>
        <w:t>Risco de dependência externa</w:t>
      </w:r>
      <w:bookmarkEnd w:id="127"/>
    </w:p>
    <w:p w:rsidR="00FC44ED" w:rsidRPr="00DE2D55" w:rsidRDefault="00FC44ED" w:rsidP="00FE560B">
      <w:pPr>
        <w:tabs>
          <w:tab w:val="left" w:pos="0"/>
        </w:tabs>
        <w:ind w:left="431"/>
        <w:jc w:val="both"/>
      </w:pPr>
      <w:r w:rsidRPr="00DE2D55">
        <w:t xml:space="preserve">O sucesso da implementação do novo modelo metodológico possui um alto grau de dependência externa, pois a Secretaria Economia e Planejamento é apenas o órgão central do Planejamento e Orçamento do Governo do Estado do Espírito Santo a que compete coordenar o orientar os demais órgãos. </w:t>
      </w:r>
    </w:p>
    <w:p w:rsidR="00FC44ED" w:rsidRPr="00DE2D55" w:rsidRDefault="00FC44ED" w:rsidP="00FE560B">
      <w:pPr>
        <w:tabs>
          <w:tab w:val="left" w:pos="0"/>
        </w:tabs>
        <w:ind w:left="431"/>
        <w:jc w:val="both"/>
      </w:pPr>
      <w:r w:rsidRPr="00DE2D55">
        <w:t>No entanto, a elaboração dos planos setoriais, Plano Plurianual (PPA) e Lei Orçamentária Anual (LOA) são de competência de cada unidade orçamentária, sucesso do projeto depende de todo o funcionamento do Sistema Administrativo de Planejamento e Orçamento.</w:t>
      </w:r>
    </w:p>
    <w:p w:rsidR="00FC44ED" w:rsidRPr="00DE2D55" w:rsidRDefault="00FC44ED" w:rsidP="00FE560B">
      <w:pPr>
        <w:tabs>
          <w:tab w:val="left" w:pos="0"/>
        </w:tabs>
        <w:ind w:left="431"/>
        <w:jc w:val="both"/>
      </w:pPr>
      <w:r w:rsidRPr="00DE2D55">
        <w:t>Outro risco de dependência externa proeminente é a dependência entre programação orçamentária e financeira, pois estes setores necessitam de uma maior aproximação e entendimento, no intuito de mitigar as diferenças entre o planejamento orçamentário e o fluxo de caixa do governo.</w:t>
      </w:r>
    </w:p>
    <w:p w:rsidR="00E64C5C" w:rsidRPr="00DE2D55" w:rsidRDefault="00E64C5C" w:rsidP="00FE560B">
      <w:pPr>
        <w:tabs>
          <w:tab w:val="left" w:pos="0"/>
        </w:tabs>
        <w:jc w:val="both"/>
        <w:rPr>
          <w:rFonts w:cs="Calibri"/>
          <w:b/>
        </w:rPr>
      </w:pPr>
    </w:p>
    <w:p w:rsidR="00FC44ED" w:rsidRPr="00DE2D55" w:rsidRDefault="00FC44ED" w:rsidP="00A249C9">
      <w:pPr>
        <w:pStyle w:val="PargrafodaLista"/>
        <w:numPr>
          <w:ilvl w:val="1"/>
          <w:numId w:val="89"/>
        </w:numPr>
        <w:pBdr>
          <w:bottom w:val="single" w:sz="4" w:space="1" w:color="auto"/>
        </w:pBdr>
        <w:tabs>
          <w:tab w:val="left" w:pos="0"/>
          <w:tab w:val="left" w:pos="426"/>
        </w:tabs>
        <w:jc w:val="both"/>
        <w:outlineLvl w:val="2"/>
        <w:rPr>
          <w:rFonts w:cs="Calibri"/>
          <w:b/>
        </w:rPr>
      </w:pPr>
      <w:bookmarkStart w:id="128" w:name="_Toc517282144"/>
      <w:r w:rsidRPr="00DE2D55">
        <w:rPr>
          <w:rFonts w:cs="Calibri"/>
          <w:b/>
        </w:rPr>
        <w:t>QUADRO DE CUSTO DO PRODUTO POR TIPO DE INVESTIMENTO</w:t>
      </w:r>
      <w:bookmarkEnd w:id="128"/>
    </w:p>
    <w:tbl>
      <w:tblPr>
        <w:tblW w:w="5000" w:type="pct"/>
        <w:tblLayout w:type="fixed"/>
        <w:tblCellMar>
          <w:left w:w="70" w:type="dxa"/>
          <w:right w:w="70" w:type="dxa"/>
        </w:tblCellMar>
        <w:tblLook w:val="04A0" w:firstRow="1" w:lastRow="0" w:firstColumn="1" w:lastColumn="0" w:noHBand="0" w:noVBand="1"/>
      </w:tblPr>
      <w:tblGrid>
        <w:gridCol w:w="777"/>
        <w:gridCol w:w="4176"/>
        <w:gridCol w:w="709"/>
        <w:gridCol w:w="1795"/>
        <w:gridCol w:w="2308"/>
      </w:tblGrid>
      <w:tr w:rsidR="00FC44ED" w:rsidRPr="00DE2D55" w:rsidTr="00D117E1">
        <w:trPr>
          <w:trHeight w:val="255"/>
        </w:trPr>
        <w:tc>
          <w:tcPr>
            <w:tcW w:w="398" w:type="pct"/>
            <w:tcBorders>
              <w:top w:val="single" w:sz="4" w:space="0" w:color="000000"/>
              <w:left w:val="single" w:sz="8" w:space="0" w:color="auto"/>
              <w:bottom w:val="single" w:sz="4" w:space="0" w:color="000000"/>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rPr>
            </w:pPr>
            <w:r w:rsidRPr="00DE2D55">
              <w:rPr>
                <w:rFonts w:cs="Arial"/>
              </w:rPr>
              <w:t> </w:t>
            </w:r>
          </w:p>
        </w:tc>
        <w:tc>
          <w:tcPr>
            <w:tcW w:w="2138" w:type="pct"/>
            <w:tcBorders>
              <w:top w:val="single" w:sz="4" w:space="0" w:color="000000"/>
              <w:left w:val="nil"/>
              <w:bottom w:val="single" w:sz="4" w:space="0" w:color="000000"/>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color w:val="0000FF"/>
              </w:rPr>
            </w:pPr>
            <w:r w:rsidRPr="00DE2D55">
              <w:rPr>
                <w:rFonts w:cs="Arial"/>
                <w:b/>
                <w:bCs/>
                <w:color w:val="0000FF"/>
              </w:rPr>
              <w:t>CAPACITAÇÃO</w:t>
            </w:r>
          </w:p>
        </w:tc>
        <w:tc>
          <w:tcPr>
            <w:tcW w:w="363" w:type="pct"/>
            <w:tcBorders>
              <w:top w:val="single" w:sz="4" w:space="0" w:color="000000"/>
              <w:left w:val="nil"/>
              <w:bottom w:val="single" w:sz="4" w:space="0" w:color="000000"/>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w:t>
            </w:r>
          </w:p>
        </w:tc>
        <w:tc>
          <w:tcPr>
            <w:tcW w:w="919" w:type="pct"/>
            <w:tcBorders>
              <w:top w:val="single" w:sz="4" w:space="0" w:color="000000"/>
              <w:left w:val="nil"/>
              <w:bottom w:val="single" w:sz="4" w:space="0" w:color="000000"/>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w:t>
            </w:r>
          </w:p>
        </w:tc>
        <w:tc>
          <w:tcPr>
            <w:tcW w:w="1183" w:type="pct"/>
            <w:tcBorders>
              <w:top w:val="single" w:sz="4" w:space="0" w:color="000000"/>
              <w:left w:val="single" w:sz="4" w:space="0" w:color="000000"/>
              <w:bottom w:val="single" w:sz="4" w:space="0" w:color="000000"/>
              <w:right w:val="single" w:sz="4" w:space="0" w:color="000000"/>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 R$                   300.000,00 </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SubP</w:t>
            </w:r>
          </w:p>
        </w:tc>
        <w:tc>
          <w:tcPr>
            <w:tcW w:w="2138" w:type="pct"/>
            <w:tcBorders>
              <w:top w:val="nil"/>
              <w:left w:val="nil"/>
              <w:bottom w:val="nil"/>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DESCRIÇÃO</w:t>
            </w:r>
          </w:p>
        </w:tc>
        <w:tc>
          <w:tcPr>
            <w:tcW w:w="363" w:type="pct"/>
            <w:tcBorders>
              <w:top w:val="nil"/>
              <w:left w:val="single" w:sz="4" w:space="0" w:color="000000"/>
              <w:bottom w:val="nil"/>
              <w:right w:val="single" w:sz="4" w:space="0" w:color="000000"/>
            </w:tcBorders>
            <w:shd w:val="clear" w:color="DCE6F2" w:fill="BFBFBF"/>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QT PART.</w:t>
            </w:r>
          </w:p>
        </w:tc>
        <w:tc>
          <w:tcPr>
            <w:tcW w:w="919" w:type="pct"/>
            <w:tcBorders>
              <w:top w:val="nil"/>
              <w:left w:val="nil"/>
              <w:bottom w:val="nil"/>
              <w:right w:val="nil"/>
            </w:tcBorders>
            <w:shd w:val="clear" w:color="DCE6F2" w:fill="BFBFBF"/>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VALOR UNIT. (R$)</w:t>
            </w:r>
          </w:p>
        </w:tc>
        <w:tc>
          <w:tcPr>
            <w:tcW w:w="1183" w:type="pct"/>
            <w:tcBorders>
              <w:top w:val="nil"/>
              <w:left w:val="single" w:sz="4" w:space="0" w:color="000000"/>
              <w:bottom w:val="single" w:sz="4" w:space="0" w:color="000000"/>
              <w:right w:val="single" w:sz="4" w:space="0" w:color="000000"/>
            </w:tcBorders>
            <w:shd w:val="clear" w:color="DCE6F2" w:fill="BFBFBF"/>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VALOR TOTAL (R$) </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3.1.1</w:t>
            </w:r>
          </w:p>
        </w:tc>
        <w:tc>
          <w:tcPr>
            <w:tcW w:w="2138" w:type="pct"/>
            <w:tcBorders>
              <w:top w:val="single" w:sz="4" w:space="0" w:color="000000"/>
              <w:left w:val="nil"/>
              <w:bottom w:val="single" w:sz="4" w:space="0" w:color="000000"/>
              <w:right w:val="single" w:sz="4" w:space="0" w:color="000000"/>
            </w:tcBorders>
            <w:shd w:val="clear" w:color="auto" w:fill="auto"/>
            <w:vAlign w:val="center"/>
            <w:hideMark/>
          </w:tcPr>
          <w:p w:rsidR="00FC44ED" w:rsidRPr="00DE2D55" w:rsidRDefault="00FC44ED" w:rsidP="00D117E1">
            <w:pPr>
              <w:tabs>
                <w:tab w:val="left" w:pos="0"/>
              </w:tabs>
              <w:spacing w:line="240" w:lineRule="auto"/>
              <w:jc w:val="both"/>
              <w:rPr>
                <w:rFonts w:cs="Arial"/>
              </w:rPr>
            </w:pPr>
            <w:r w:rsidRPr="00DE2D55">
              <w:rPr>
                <w:rFonts w:cs="Arial"/>
              </w:rPr>
              <w:t>Capacitação em planejamento público</w:t>
            </w:r>
          </w:p>
        </w:tc>
        <w:tc>
          <w:tcPr>
            <w:tcW w:w="363" w:type="pct"/>
            <w:tcBorders>
              <w:top w:val="single" w:sz="4" w:space="0" w:color="000000"/>
              <w:left w:val="nil"/>
              <w:bottom w:val="single" w:sz="4" w:space="0" w:color="000000"/>
              <w:right w:val="single" w:sz="4" w:space="0" w:color="000000"/>
            </w:tcBorders>
            <w:shd w:val="clear" w:color="auto" w:fill="auto"/>
            <w:vAlign w:val="center"/>
            <w:hideMark/>
          </w:tcPr>
          <w:p w:rsidR="00FC44ED" w:rsidRPr="00DE2D55" w:rsidRDefault="00FC44ED" w:rsidP="00D117E1">
            <w:pPr>
              <w:tabs>
                <w:tab w:val="left" w:pos="0"/>
              </w:tabs>
              <w:spacing w:line="240" w:lineRule="auto"/>
              <w:jc w:val="center"/>
              <w:rPr>
                <w:rFonts w:cs="Arial"/>
              </w:rPr>
            </w:pPr>
            <w:r w:rsidRPr="00DE2D55">
              <w:rPr>
                <w:rFonts w:cs="Arial"/>
              </w:rPr>
              <w:t>500</w:t>
            </w:r>
          </w:p>
        </w:tc>
        <w:tc>
          <w:tcPr>
            <w:tcW w:w="919" w:type="pct"/>
            <w:tcBorders>
              <w:top w:val="single" w:sz="4" w:space="0" w:color="000000"/>
              <w:left w:val="nil"/>
              <w:bottom w:val="single" w:sz="4" w:space="0" w:color="000000"/>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r w:rsidRPr="00DE2D55">
              <w:rPr>
                <w:rFonts w:cs="Arial"/>
              </w:rPr>
              <w:t>R$ 300,00</w:t>
            </w:r>
          </w:p>
        </w:tc>
        <w:tc>
          <w:tcPr>
            <w:tcW w:w="1183" w:type="pct"/>
            <w:tcBorders>
              <w:top w:val="nil"/>
              <w:left w:val="nil"/>
              <w:bottom w:val="single" w:sz="4" w:space="0" w:color="000000"/>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r w:rsidRPr="00DE2D55">
              <w:rPr>
                <w:rFonts w:cs="Arial"/>
              </w:rPr>
              <w:t>R$ 150.000,00</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3.1.1</w:t>
            </w:r>
          </w:p>
        </w:tc>
        <w:tc>
          <w:tcPr>
            <w:tcW w:w="2138" w:type="pct"/>
            <w:tcBorders>
              <w:top w:val="nil"/>
              <w:left w:val="nil"/>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 xml:space="preserve">Capacitação em orçamento público </w:t>
            </w:r>
          </w:p>
        </w:tc>
        <w:tc>
          <w:tcPr>
            <w:tcW w:w="363" w:type="pct"/>
            <w:tcBorders>
              <w:top w:val="nil"/>
              <w:left w:val="nil"/>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center"/>
              <w:rPr>
                <w:rFonts w:cs="Arial"/>
              </w:rPr>
            </w:pPr>
            <w:r w:rsidRPr="00DE2D55">
              <w:rPr>
                <w:rFonts w:cs="Arial"/>
              </w:rPr>
              <w:t>500</w:t>
            </w:r>
          </w:p>
        </w:tc>
        <w:tc>
          <w:tcPr>
            <w:tcW w:w="919" w:type="pct"/>
            <w:tcBorders>
              <w:top w:val="nil"/>
              <w:left w:val="nil"/>
              <w:bottom w:val="single" w:sz="4" w:space="0" w:color="000000"/>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r w:rsidRPr="00DE2D55">
              <w:rPr>
                <w:rFonts w:cs="Arial"/>
              </w:rPr>
              <w:t>R$ 300,00</w:t>
            </w:r>
          </w:p>
        </w:tc>
        <w:tc>
          <w:tcPr>
            <w:tcW w:w="1183" w:type="pct"/>
            <w:tcBorders>
              <w:top w:val="nil"/>
              <w:left w:val="nil"/>
              <w:bottom w:val="single" w:sz="4" w:space="0" w:color="000000"/>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r w:rsidRPr="00DE2D55">
              <w:rPr>
                <w:rFonts w:cs="Arial"/>
              </w:rPr>
              <w:t>R$ 150.000,00</w:t>
            </w:r>
          </w:p>
        </w:tc>
      </w:tr>
      <w:tr w:rsidR="00FC44ED" w:rsidRPr="00DE2D55" w:rsidTr="00D117E1">
        <w:trPr>
          <w:trHeight w:val="255"/>
        </w:trPr>
        <w:tc>
          <w:tcPr>
            <w:tcW w:w="398" w:type="pct"/>
            <w:tcBorders>
              <w:top w:val="nil"/>
              <w:left w:val="single" w:sz="8" w:space="0" w:color="auto"/>
              <w:bottom w:val="single" w:sz="4" w:space="0" w:color="000000"/>
              <w:right w:val="nil"/>
            </w:tcBorders>
            <w:shd w:val="clear" w:color="DCE6F2" w:fill="BFBFBF"/>
            <w:noWrap/>
            <w:vAlign w:val="bottom"/>
            <w:hideMark/>
          </w:tcPr>
          <w:p w:rsidR="00FC44ED" w:rsidRPr="00DE2D55" w:rsidRDefault="00FC44ED" w:rsidP="00D117E1">
            <w:pPr>
              <w:tabs>
                <w:tab w:val="left" w:pos="0"/>
              </w:tabs>
              <w:spacing w:line="240" w:lineRule="auto"/>
              <w:jc w:val="both"/>
              <w:rPr>
                <w:rFonts w:cs="Arial"/>
              </w:rPr>
            </w:pPr>
            <w:r w:rsidRPr="00DE2D55">
              <w:rPr>
                <w:rFonts w:cs="Arial"/>
              </w:rPr>
              <w:t> </w:t>
            </w:r>
          </w:p>
        </w:tc>
        <w:tc>
          <w:tcPr>
            <w:tcW w:w="2138" w:type="pct"/>
            <w:tcBorders>
              <w:top w:val="nil"/>
              <w:left w:val="nil"/>
              <w:bottom w:val="single" w:sz="4" w:space="0" w:color="000000"/>
              <w:right w:val="nil"/>
            </w:tcBorders>
            <w:shd w:val="clear" w:color="DCE6F2" w:fill="BFBFBF"/>
            <w:noWrap/>
            <w:hideMark/>
          </w:tcPr>
          <w:p w:rsidR="00FC44ED" w:rsidRPr="00DE2D55" w:rsidRDefault="00FC44ED" w:rsidP="00D117E1">
            <w:pPr>
              <w:tabs>
                <w:tab w:val="left" w:pos="0"/>
              </w:tabs>
              <w:spacing w:line="240" w:lineRule="auto"/>
              <w:jc w:val="both"/>
              <w:rPr>
                <w:rFonts w:cs="Arial"/>
                <w:b/>
                <w:bCs/>
                <w:color w:val="0000FF"/>
              </w:rPr>
            </w:pPr>
            <w:r w:rsidRPr="00DE2D55">
              <w:rPr>
                <w:rFonts w:cs="Arial"/>
                <w:b/>
                <w:bCs/>
                <w:color w:val="0000FF"/>
              </w:rPr>
              <w:t>SERVIÇOS DE CONSULTORIA</w:t>
            </w:r>
          </w:p>
        </w:tc>
        <w:tc>
          <w:tcPr>
            <w:tcW w:w="363" w:type="pct"/>
            <w:tcBorders>
              <w:top w:val="nil"/>
              <w:left w:val="nil"/>
              <w:bottom w:val="single" w:sz="4" w:space="0" w:color="000000"/>
              <w:right w:val="nil"/>
            </w:tcBorders>
            <w:shd w:val="clear" w:color="DCE6F2" w:fill="BFBFBF"/>
            <w:noWrap/>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w:t>
            </w:r>
          </w:p>
        </w:tc>
        <w:tc>
          <w:tcPr>
            <w:tcW w:w="919" w:type="pct"/>
            <w:tcBorders>
              <w:top w:val="nil"/>
              <w:left w:val="nil"/>
              <w:bottom w:val="single" w:sz="4" w:space="0" w:color="000000"/>
              <w:right w:val="nil"/>
            </w:tcBorders>
            <w:shd w:val="clear" w:color="DCE6F2" w:fill="BFBFBF"/>
            <w:noWrap/>
            <w:hideMark/>
          </w:tcPr>
          <w:p w:rsidR="00FC44ED" w:rsidRPr="00DE2D55" w:rsidRDefault="00FC44ED" w:rsidP="00D117E1">
            <w:pPr>
              <w:tabs>
                <w:tab w:val="left" w:pos="0"/>
              </w:tabs>
              <w:spacing w:line="240" w:lineRule="auto"/>
              <w:jc w:val="both"/>
              <w:rPr>
                <w:rFonts w:cs="Arial"/>
                <w:b/>
                <w:bCs/>
              </w:rPr>
            </w:pPr>
            <w:r w:rsidRPr="00DE2D55">
              <w:rPr>
                <w:rFonts w:cs="Arial"/>
                <w:b/>
                <w:bCs/>
              </w:rPr>
              <w:t> </w:t>
            </w:r>
          </w:p>
        </w:tc>
        <w:tc>
          <w:tcPr>
            <w:tcW w:w="1183" w:type="pct"/>
            <w:tcBorders>
              <w:top w:val="nil"/>
              <w:left w:val="single" w:sz="4" w:space="0" w:color="000000"/>
              <w:bottom w:val="single" w:sz="4" w:space="0" w:color="000000"/>
              <w:right w:val="single" w:sz="4" w:space="0" w:color="000000"/>
            </w:tcBorders>
            <w:shd w:val="clear" w:color="DCE6F2" w:fill="BFBFBF"/>
            <w:noWrap/>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 R$                2.800.000,00 </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DCE6F2" w:fill="BFBFBF"/>
            <w:noWrap/>
            <w:vAlign w:val="bottom"/>
            <w:hideMark/>
          </w:tcPr>
          <w:p w:rsidR="00FC44ED" w:rsidRPr="00DE2D55" w:rsidRDefault="00FC44ED" w:rsidP="00D117E1">
            <w:pPr>
              <w:tabs>
                <w:tab w:val="left" w:pos="0"/>
              </w:tabs>
              <w:spacing w:line="240" w:lineRule="auto"/>
              <w:jc w:val="both"/>
              <w:rPr>
                <w:rFonts w:cs="Arial"/>
                <w:b/>
                <w:bCs/>
              </w:rPr>
            </w:pPr>
            <w:r w:rsidRPr="00DE2D55">
              <w:rPr>
                <w:rFonts w:cs="Arial"/>
                <w:b/>
                <w:bCs/>
              </w:rPr>
              <w:t>SubP</w:t>
            </w:r>
          </w:p>
        </w:tc>
        <w:tc>
          <w:tcPr>
            <w:tcW w:w="2138" w:type="pct"/>
            <w:tcBorders>
              <w:top w:val="nil"/>
              <w:left w:val="nil"/>
              <w:bottom w:val="nil"/>
              <w:right w:val="nil"/>
            </w:tcBorders>
            <w:shd w:val="clear" w:color="DCE6F2" w:fill="BFBFBF"/>
            <w:noWrap/>
            <w:vAlign w:val="bottom"/>
            <w:hideMark/>
          </w:tcPr>
          <w:p w:rsidR="00FC44ED" w:rsidRPr="00DE2D55" w:rsidRDefault="00FC44ED" w:rsidP="00D117E1">
            <w:pPr>
              <w:tabs>
                <w:tab w:val="left" w:pos="0"/>
              </w:tabs>
              <w:spacing w:line="240" w:lineRule="auto"/>
              <w:jc w:val="both"/>
              <w:rPr>
                <w:rFonts w:cs="Arial"/>
                <w:b/>
                <w:bCs/>
              </w:rPr>
            </w:pPr>
            <w:r w:rsidRPr="00DE2D55">
              <w:rPr>
                <w:rFonts w:cs="Arial"/>
                <w:b/>
                <w:bCs/>
              </w:rPr>
              <w:t>ÁREA</w:t>
            </w:r>
          </w:p>
        </w:tc>
        <w:tc>
          <w:tcPr>
            <w:tcW w:w="363" w:type="pct"/>
            <w:tcBorders>
              <w:top w:val="nil"/>
              <w:left w:val="single" w:sz="4" w:space="0" w:color="000000"/>
              <w:bottom w:val="nil"/>
              <w:right w:val="single" w:sz="4" w:space="0" w:color="000000"/>
            </w:tcBorders>
            <w:shd w:val="clear" w:color="F2F2F2" w:fill="BFBFBF"/>
            <w:vAlign w:val="center"/>
            <w:hideMark/>
          </w:tcPr>
          <w:p w:rsidR="00FC44ED" w:rsidRPr="00DE2D55" w:rsidRDefault="00D117E1" w:rsidP="00D117E1">
            <w:pPr>
              <w:tabs>
                <w:tab w:val="left" w:pos="0"/>
              </w:tabs>
              <w:spacing w:line="240" w:lineRule="auto"/>
              <w:jc w:val="both"/>
              <w:rPr>
                <w:rFonts w:cs="Arial"/>
                <w:b/>
                <w:bCs/>
              </w:rPr>
            </w:pPr>
            <w:r>
              <w:rPr>
                <w:rFonts w:cs="Arial"/>
                <w:b/>
                <w:bCs/>
              </w:rPr>
              <w:t>QT</w:t>
            </w:r>
          </w:p>
        </w:tc>
        <w:tc>
          <w:tcPr>
            <w:tcW w:w="919" w:type="pct"/>
            <w:tcBorders>
              <w:top w:val="nil"/>
              <w:left w:val="nil"/>
              <w:bottom w:val="nil"/>
              <w:right w:val="nil"/>
            </w:tcBorders>
            <w:shd w:val="clear" w:color="DCE6F2" w:fill="BFBFBF"/>
            <w:hideMark/>
          </w:tcPr>
          <w:p w:rsidR="00FC44ED" w:rsidRPr="00DE2D55" w:rsidRDefault="00FC44ED" w:rsidP="00D117E1">
            <w:pPr>
              <w:tabs>
                <w:tab w:val="left" w:pos="0"/>
              </w:tabs>
              <w:spacing w:line="240" w:lineRule="auto"/>
              <w:jc w:val="both"/>
              <w:rPr>
                <w:rFonts w:cs="Arial"/>
                <w:b/>
                <w:bCs/>
              </w:rPr>
            </w:pPr>
            <w:r w:rsidRPr="00DE2D55">
              <w:rPr>
                <w:rFonts w:cs="Arial"/>
                <w:b/>
                <w:bCs/>
              </w:rPr>
              <w:t>VALOR UNIT. (R$)</w:t>
            </w:r>
          </w:p>
        </w:tc>
        <w:tc>
          <w:tcPr>
            <w:tcW w:w="1183" w:type="pct"/>
            <w:tcBorders>
              <w:top w:val="nil"/>
              <w:left w:val="single" w:sz="4" w:space="0" w:color="000000"/>
              <w:bottom w:val="single" w:sz="4" w:space="0" w:color="000000"/>
              <w:right w:val="single" w:sz="4" w:space="0" w:color="000000"/>
            </w:tcBorders>
            <w:shd w:val="clear" w:color="DCE6F2" w:fill="BFBFBF"/>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VALOR TOTAL (R$) </w:t>
            </w:r>
          </w:p>
        </w:tc>
      </w:tr>
      <w:tr w:rsidR="00FC44ED" w:rsidRPr="00DE2D55" w:rsidTr="00D117E1">
        <w:trPr>
          <w:trHeight w:val="540"/>
        </w:trPr>
        <w:tc>
          <w:tcPr>
            <w:tcW w:w="398" w:type="pct"/>
            <w:tcBorders>
              <w:top w:val="nil"/>
              <w:left w:val="single" w:sz="8" w:space="0" w:color="auto"/>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3.1.2</w:t>
            </w:r>
          </w:p>
        </w:tc>
        <w:tc>
          <w:tcPr>
            <w:tcW w:w="2138" w:type="pct"/>
            <w:tcBorders>
              <w:top w:val="single" w:sz="4" w:space="0" w:color="auto"/>
              <w:left w:val="nil"/>
              <w:bottom w:val="single" w:sz="4" w:space="0" w:color="auto"/>
              <w:right w:val="single" w:sz="4" w:space="0" w:color="auto"/>
            </w:tcBorders>
            <w:shd w:val="clear" w:color="auto" w:fill="auto"/>
            <w:vAlign w:val="center"/>
            <w:hideMark/>
          </w:tcPr>
          <w:p w:rsidR="00FC44ED" w:rsidRPr="00DE2D55" w:rsidRDefault="00FC44ED" w:rsidP="00D117E1">
            <w:pPr>
              <w:tabs>
                <w:tab w:val="left" w:pos="0"/>
              </w:tabs>
              <w:spacing w:line="240" w:lineRule="auto"/>
              <w:jc w:val="both"/>
              <w:rPr>
                <w:rFonts w:cs="Arial"/>
              </w:rPr>
            </w:pPr>
            <w:r w:rsidRPr="00DE2D55">
              <w:rPr>
                <w:rFonts w:cs="Arial"/>
              </w:rPr>
              <w:t xml:space="preserve">Modelo de Gestão de Investimento Público </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FC44ED" w:rsidRPr="00DE2D55" w:rsidRDefault="00FC44ED" w:rsidP="00D117E1">
            <w:pPr>
              <w:tabs>
                <w:tab w:val="left" w:pos="0"/>
              </w:tabs>
              <w:spacing w:line="240" w:lineRule="auto"/>
              <w:jc w:val="center"/>
              <w:rPr>
                <w:rFonts w:cs="Arial"/>
              </w:rPr>
            </w:pPr>
            <w:r w:rsidRPr="00DE2D55">
              <w:rPr>
                <w:rFonts w:cs="Arial"/>
              </w:rPr>
              <w:t>1</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rsidR="00FC44ED" w:rsidRPr="00DE2D55" w:rsidRDefault="00FC44ED" w:rsidP="00D117E1">
            <w:pPr>
              <w:tabs>
                <w:tab w:val="left" w:pos="0"/>
              </w:tabs>
              <w:spacing w:line="240" w:lineRule="auto"/>
              <w:jc w:val="right"/>
              <w:rPr>
                <w:rFonts w:cs="Arial"/>
              </w:rPr>
            </w:pPr>
            <w:r w:rsidRPr="00DE2D55">
              <w:rPr>
                <w:rFonts w:cs="Arial"/>
              </w:rPr>
              <w:t>R$ 1.200.000,00</w:t>
            </w:r>
          </w:p>
        </w:tc>
        <w:tc>
          <w:tcPr>
            <w:tcW w:w="1183" w:type="pct"/>
            <w:tcBorders>
              <w:top w:val="nil"/>
              <w:left w:val="nil"/>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right"/>
              <w:rPr>
                <w:rFonts w:cs="Arial"/>
              </w:rPr>
            </w:pPr>
            <w:r w:rsidRPr="00DE2D55">
              <w:rPr>
                <w:rFonts w:cs="Arial"/>
              </w:rPr>
              <w:t>R$ 1.200.000,00</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3.1.1</w:t>
            </w:r>
          </w:p>
        </w:tc>
        <w:tc>
          <w:tcPr>
            <w:tcW w:w="2138" w:type="pct"/>
            <w:tcBorders>
              <w:top w:val="nil"/>
              <w:left w:val="nil"/>
              <w:bottom w:val="single" w:sz="4" w:space="0" w:color="auto"/>
              <w:right w:val="single" w:sz="4" w:space="0" w:color="auto"/>
            </w:tcBorders>
            <w:shd w:val="clear" w:color="auto" w:fill="auto"/>
            <w:vAlign w:val="center"/>
            <w:hideMark/>
          </w:tcPr>
          <w:p w:rsidR="00FC44ED" w:rsidRPr="00DE2D55" w:rsidRDefault="00FC44ED" w:rsidP="00D117E1">
            <w:pPr>
              <w:tabs>
                <w:tab w:val="left" w:pos="0"/>
              </w:tabs>
              <w:spacing w:line="240" w:lineRule="auto"/>
              <w:jc w:val="both"/>
              <w:rPr>
                <w:rFonts w:cs="Arial"/>
              </w:rPr>
            </w:pPr>
            <w:r w:rsidRPr="00DE2D55">
              <w:rPr>
                <w:rFonts w:cs="Arial"/>
              </w:rPr>
              <w:t>Marco orçamentário de médio prazo</w:t>
            </w:r>
          </w:p>
        </w:tc>
        <w:tc>
          <w:tcPr>
            <w:tcW w:w="363" w:type="pct"/>
            <w:tcBorders>
              <w:top w:val="nil"/>
              <w:left w:val="nil"/>
              <w:bottom w:val="single" w:sz="4" w:space="0" w:color="auto"/>
              <w:right w:val="single" w:sz="4" w:space="0" w:color="auto"/>
            </w:tcBorders>
            <w:shd w:val="clear" w:color="auto" w:fill="auto"/>
            <w:noWrap/>
            <w:vAlign w:val="center"/>
            <w:hideMark/>
          </w:tcPr>
          <w:p w:rsidR="00FC44ED" w:rsidRPr="00DE2D55" w:rsidRDefault="00FC44ED" w:rsidP="00D117E1">
            <w:pPr>
              <w:tabs>
                <w:tab w:val="left" w:pos="0"/>
              </w:tabs>
              <w:spacing w:line="240" w:lineRule="auto"/>
              <w:jc w:val="center"/>
              <w:rPr>
                <w:rFonts w:cs="Arial"/>
              </w:rPr>
            </w:pPr>
            <w:r w:rsidRPr="00DE2D55">
              <w:rPr>
                <w:rFonts w:cs="Arial"/>
              </w:rPr>
              <w:t>1</w:t>
            </w:r>
          </w:p>
        </w:tc>
        <w:tc>
          <w:tcPr>
            <w:tcW w:w="919" w:type="pct"/>
            <w:tcBorders>
              <w:top w:val="nil"/>
              <w:left w:val="nil"/>
              <w:bottom w:val="single" w:sz="4" w:space="0" w:color="auto"/>
              <w:right w:val="single" w:sz="4" w:space="0" w:color="auto"/>
            </w:tcBorders>
            <w:shd w:val="clear" w:color="auto" w:fill="auto"/>
            <w:noWrap/>
            <w:vAlign w:val="center"/>
            <w:hideMark/>
          </w:tcPr>
          <w:p w:rsidR="00FC44ED" w:rsidRPr="00DE2D55" w:rsidRDefault="00FC44ED" w:rsidP="00D117E1">
            <w:pPr>
              <w:tabs>
                <w:tab w:val="left" w:pos="0"/>
              </w:tabs>
              <w:spacing w:line="240" w:lineRule="auto"/>
              <w:jc w:val="right"/>
              <w:rPr>
                <w:rFonts w:cs="Arial"/>
              </w:rPr>
            </w:pPr>
            <w:r w:rsidRPr="00DE2D55">
              <w:rPr>
                <w:rFonts w:cs="Arial"/>
              </w:rPr>
              <w:t>R$ 1.600.000,00</w:t>
            </w:r>
          </w:p>
        </w:tc>
        <w:tc>
          <w:tcPr>
            <w:tcW w:w="1183" w:type="pct"/>
            <w:tcBorders>
              <w:top w:val="nil"/>
              <w:left w:val="nil"/>
              <w:bottom w:val="single" w:sz="4" w:space="0" w:color="000000"/>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right"/>
              <w:rPr>
                <w:rFonts w:cs="Arial"/>
              </w:rPr>
            </w:pPr>
            <w:r w:rsidRPr="00DE2D55">
              <w:rPr>
                <w:rFonts w:cs="Arial"/>
              </w:rPr>
              <w:t>R$ 1.600.000,00</w:t>
            </w:r>
          </w:p>
        </w:tc>
      </w:tr>
      <w:tr w:rsidR="00D117E1" w:rsidRPr="00DE2D55" w:rsidTr="00D117E1">
        <w:trPr>
          <w:trHeight w:val="319"/>
        </w:trPr>
        <w:tc>
          <w:tcPr>
            <w:tcW w:w="398" w:type="pct"/>
            <w:tcBorders>
              <w:top w:val="nil"/>
              <w:left w:val="single" w:sz="8" w:space="0" w:color="auto"/>
              <w:bottom w:val="single" w:sz="4" w:space="0" w:color="000000"/>
              <w:right w:val="nil"/>
            </w:tcBorders>
            <w:shd w:val="clear" w:color="DCE6F2" w:fill="BFBFBF"/>
            <w:noWrap/>
            <w:vAlign w:val="bottom"/>
            <w:hideMark/>
          </w:tcPr>
          <w:p w:rsidR="00D117E1" w:rsidRPr="00DE2D55" w:rsidRDefault="00D117E1" w:rsidP="00D117E1">
            <w:pPr>
              <w:tabs>
                <w:tab w:val="left" w:pos="0"/>
              </w:tabs>
              <w:spacing w:line="240" w:lineRule="auto"/>
              <w:jc w:val="both"/>
              <w:rPr>
                <w:rFonts w:cs="Arial"/>
              </w:rPr>
            </w:pPr>
            <w:r w:rsidRPr="00DE2D55">
              <w:rPr>
                <w:rFonts w:cs="Arial"/>
              </w:rPr>
              <w:t> </w:t>
            </w:r>
          </w:p>
        </w:tc>
        <w:tc>
          <w:tcPr>
            <w:tcW w:w="3419" w:type="pct"/>
            <w:gridSpan w:val="3"/>
            <w:tcBorders>
              <w:top w:val="nil"/>
              <w:left w:val="nil"/>
              <w:bottom w:val="single" w:sz="4" w:space="0" w:color="000000"/>
              <w:right w:val="nil"/>
            </w:tcBorders>
            <w:shd w:val="clear" w:color="DCE6F2" w:fill="BFBFBF"/>
            <w:noWrap/>
            <w:hideMark/>
          </w:tcPr>
          <w:p w:rsidR="00D117E1" w:rsidRPr="00DE2D55" w:rsidRDefault="00D117E1" w:rsidP="00D117E1">
            <w:pPr>
              <w:tabs>
                <w:tab w:val="left" w:pos="0"/>
              </w:tabs>
              <w:spacing w:line="240" w:lineRule="auto"/>
              <w:jc w:val="both"/>
              <w:rPr>
                <w:rFonts w:cs="Arial"/>
                <w:b/>
                <w:bCs/>
              </w:rPr>
            </w:pPr>
            <w:r w:rsidRPr="00DE2D55">
              <w:rPr>
                <w:rFonts w:cs="Arial"/>
                <w:b/>
                <w:bCs/>
                <w:color w:val="0000FF"/>
              </w:rPr>
              <w:t>SERVIÇOS QUE NÃO SÃO DE CONSULTORIA</w:t>
            </w:r>
            <w:r w:rsidRPr="00DE2D55">
              <w:rPr>
                <w:rFonts w:cs="Arial"/>
                <w:b/>
                <w:bCs/>
              </w:rPr>
              <w:t> </w:t>
            </w:r>
          </w:p>
        </w:tc>
        <w:tc>
          <w:tcPr>
            <w:tcW w:w="1183" w:type="pct"/>
            <w:tcBorders>
              <w:top w:val="nil"/>
              <w:left w:val="single" w:sz="4" w:space="0" w:color="000000"/>
              <w:bottom w:val="single" w:sz="4" w:space="0" w:color="000000"/>
              <w:right w:val="single" w:sz="4" w:space="0" w:color="000000"/>
            </w:tcBorders>
            <w:shd w:val="clear" w:color="DCE6F2" w:fill="BFBFBF"/>
            <w:noWrap/>
            <w:hideMark/>
          </w:tcPr>
          <w:p w:rsidR="00D117E1" w:rsidRPr="00DE2D55" w:rsidRDefault="00D117E1" w:rsidP="00D117E1">
            <w:pPr>
              <w:tabs>
                <w:tab w:val="left" w:pos="0"/>
              </w:tabs>
              <w:spacing w:line="240" w:lineRule="auto"/>
              <w:jc w:val="both"/>
              <w:rPr>
                <w:rFonts w:cs="Arial"/>
                <w:b/>
                <w:bCs/>
              </w:rPr>
            </w:pPr>
            <w:r w:rsidRPr="00DE2D55">
              <w:rPr>
                <w:rFonts w:cs="Arial"/>
                <w:b/>
                <w:bCs/>
              </w:rPr>
              <w:t xml:space="preserve"> R$                1.000.000,00 </w:t>
            </w:r>
          </w:p>
        </w:tc>
      </w:tr>
      <w:tr w:rsidR="00FC44ED" w:rsidRPr="00DE2D55" w:rsidTr="00D117E1">
        <w:trPr>
          <w:trHeight w:val="255"/>
        </w:trPr>
        <w:tc>
          <w:tcPr>
            <w:tcW w:w="398" w:type="pct"/>
            <w:tcBorders>
              <w:top w:val="nil"/>
              <w:left w:val="single" w:sz="8" w:space="0" w:color="auto"/>
              <w:bottom w:val="single" w:sz="4" w:space="0" w:color="000000"/>
              <w:right w:val="single" w:sz="4" w:space="0" w:color="000000"/>
            </w:tcBorders>
            <w:shd w:val="clear" w:color="DCE6F2" w:fill="BFBFBF"/>
            <w:noWrap/>
            <w:vAlign w:val="bottom"/>
            <w:hideMark/>
          </w:tcPr>
          <w:p w:rsidR="00FC44ED" w:rsidRPr="00DE2D55" w:rsidRDefault="00FC44ED" w:rsidP="00D117E1">
            <w:pPr>
              <w:tabs>
                <w:tab w:val="left" w:pos="0"/>
              </w:tabs>
              <w:spacing w:line="240" w:lineRule="auto"/>
              <w:jc w:val="both"/>
              <w:rPr>
                <w:rFonts w:cs="Arial"/>
                <w:b/>
                <w:bCs/>
              </w:rPr>
            </w:pPr>
            <w:r w:rsidRPr="00DE2D55">
              <w:rPr>
                <w:rFonts w:cs="Arial"/>
                <w:b/>
                <w:bCs/>
              </w:rPr>
              <w:t>SubP</w:t>
            </w:r>
          </w:p>
        </w:tc>
        <w:tc>
          <w:tcPr>
            <w:tcW w:w="2138" w:type="pct"/>
            <w:tcBorders>
              <w:top w:val="nil"/>
              <w:left w:val="nil"/>
              <w:bottom w:val="nil"/>
              <w:right w:val="nil"/>
            </w:tcBorders>
            <w:shd w:val="clear" w:color="DCE6F2" w:fill="BFBFBF"/>
            <w:noWrap/>
            <w:vAlign w:val="bottom"/>
            <w:hideMark/>
          </w:tcPr>
          <w:p w:rsidR="00FC44ED" w:rsidRPr="00DE2D55" w:rsidRDefault="00FC44ED" w:rsidP="00D117E1">
            <w:pPr>
              <w:tabs>
                <w:tab w:val="left" w:pos="0"/>
              </w:tabs>
              <w:spacing w:line="240" w:lineRule="auto"/>
              <w:jc w:val="both"/>
              <w:rPr>
                <w:rFonts w:cs="Arial"/>
                <w:b/>
                <w:bCs/>
              </w:rPr>
            </w:pPr>
            <w:r w:rsidRPr="00DE2D55">
              <w:rPr>
                <w:rFonts w:cs="Arial"/>
                <w:b/>
                <w:bCs/>
              </w:rPr>
              <w:t>ÁREA</w:t>
            </w:r>
          </w:p>
        </w:tc>
        <w:tc>
          <w:tcPr>
            <w:tcW w:w="363" w:type="pct"/>
            <w:tcBorders>
              <w:top w:val="nil"/>
              <w:left w:val="single" w:sz="4" w:space="0" w:color="000000"/>
              <w:bottom w:val="nil"/>
              <w:right w:val="single" w:sz="4" w:space="0" w:color="000000"/>
            </w:tcBorders>
            <w:shd w:val="clear" w:color="F2F2F2" w:fill="BFBFBF"/>
            <w:vAlign w:val="center"/>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QT </w:t>
            </w:r>
          </w:p>
        </w:tc>
        <w:tc>
          <w:tcPr>
            <w:tcW w:w="919" w:type="pct"/>
            <w:tcBorders>
              <w:top w:val="nil"/>
              <w:left w:val="nil"/>
              <w:bottom w:val="nil"/>
              <w:right w:val="nil"/>
            </w:tcBorders>
            <w:shd w:val="clear" w:color="DCE6F2" w:fill="BFBFBF"/>
            <w:hideMark/>
          </w:tcPr>
          <w:p w:rsidR="00FC44ED" w:rsidRPr="00DE2D55" w:rsidRDefault="00FC44ED" w:rsidP="00D117E1">
            <w:pPr>
              <w:tabs>
                <w:tab w:val="left" w:pos="0"/>
              </w:tabs>
              <w:spacing w:line="240" w:lineRule="auto"/>
              <w:jc w:val="both"/>
              <w:rPr>
                <w:rFonts w:cs="Arial"/>
                <w:b/>
                <w:bCs/>
              </w:rPr>
            </w:pPr>
            <w:r w:rsidRPr="00DE2D55">
              <w:rPr>
                <w:rFonts w:cs="Arial"/>
                <w:b/>
                <w:bCs/>
              </w:rPr>
              <w:t>VALOR UNIT. (R$)</w:t>
            </w:r>
          </w:p>
        </w:tc>
        <w:tc>
          <w:tcPr>
            <w:tcW w:w="1183" w:type="pct"/>
            <w:tcBorders>
              <w:top w:val="nil"/>
              <w:left w:val="single" w:sz="4" w:space="0" w:color="000000"/>
              <w:bottom w:val="single" w:sz="4" w:space="0" w:color="000000"/>
              <w:right w:val="single" w:sz="4" w:space="0" w:color="000000"/>
            </w:tcBorders>
            <w:shd w:val="clear" w:color="DCE6F2" w:fill="BFBFBF"/>
            <w:hideMark/>
          </w:tcPr>
          <w:p w:rsidR="00FC44ED" w:rsidRPr="00DE2D55" w:rsidRDefault="00FC44ED" w:rsidP="00D117E1">
            <w:pPr>
              <w:tabs>
                <w:tab w:val="left" w:pos="0"/>
              </w:tabs>
              <w:spacing w:line="240" w:lineRule="auto"/>
              <w:jc w:val="both"/>
              <w:rPr>
                <w:rFonts w:cs="Arial"/>
                <w:b/>
                <w:bCs/>
              </w:rPr>
            </w:pPr>
            <w:r w:rsidRPr="00DE2D55">
              <w:rPr>
                <w:rFonts w:cs="Arial"/>
                <w:b/>
                <w:bCs/>
              </w:rPr>
              <w:t xml:space="preserve">VALOR TOTAL (R$) </w:t>
            </w:r>
          </w:p>
        </w:tc>
      </w:tr>
      <w:tr w:rsidR="00FC44ED" w:rsidRPr="00DE2D55" w:rsidTr="00D117E1">
        <w:trPr>
          <w:trHeight w:val="510"/>
        </w:trPr>
        <w:tc>
          <w:tcPr>
            <w:tcW w:w="398" w:type="pct"/>
            <w:tcBorders>
              <w:top w:val="nil"/>
              <w:left w:val="single" w:sz="8" w:space="0" w:color="auto"/>
              <w:bottom w:val="single" w:sz="4" w:space="0" w:color="auto"/>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both"/>
              <w:rPr>
                <w:rFonts w:cs="Arial"/>
              </w:rPr>
            </w:pPr>
            <w:r w:rsidRPr="00DE2D55">
              <w:rPr>
                <w:rFonts w:cs="Arial"/>
              </w:rPr>
              <w:t>3.1.1</w:t>
            </w:r>
          </w:p>
        </w:tc>
        <w:tc>
          <w:tcPr>
            <w:tcW w:w="2138" w:type="pct"/>
            <w:tcBorders>
              <w:top w:val="single" w:sz="4" w:space="0" w:color="000000"/>
              <w:left w:val="nil"/>
              <w:bottom w:val="single" w:sz="4" w:space="0" w:color="auto"/>
              <w:right w:val="single" w:sz="4" w:space="0" w:color="000000"/>
            </w:tcBorders>
            <w:shd w:val="clear" w:color="000000" w:fill="FFFFFF"/>
            <w:vAlign w:val="center"/>
            <w:hideMark/>
          </w:tcPr>
          <w:p w:rsidR="00FC44ED" w:rsidRPr="00DE2D55" w:rsidRDefault="00FC44ED" w:rsidP="00D117E1">
            <w:pPr>
              <w:tabs>
                <w:tab w:val="left" w:pos="0"/>
              </w:tabs>
              <w:spacing w:line="240" w:lineRule="auto"/>
              <w:jc w:val="both"/>
              <w:rPr>
                <w:rFonts w:cs="Arial"/>
              </w:rPr>
            </w:pPr>
            <w:r w:rsidRPr="00DE2D55">
              <w:rPr>
                <w:rFonts w:cs="Arial"/>
              </w:rPr>
              <w:t>Novas fucionalidades Sistema Integrado de Gestão das Finanças Públicas do ES-SIGEFES</w:t>
            </w:r>
          </w:p>
        </w:tc>
        <w:tc>
          <w:tcPr>
            <w:tcW w:w="363" w:type="pct"/>
            <w:tcBorders>
              <w:top w:val="single" w:sz="4" w:space="0" w:color="000000"/>
              <w:left w:val="nil"/>
              <w:bottom w:val="single" w:sz="4" w:space="0" w:color="auto"/>
              <w:right w:val="single" w:sz="4" w:space="0" w:color="000000"/>
            </w:tcBorders>
            <w:shd w:val="clear" w:color="auto" w:fill="auto"/>
            <w:noWrap/>
            <w:vAlign w:val="center"/>
            <w:hideMark/>
          </w:tcPr>
          <w:p w:rsidR="00FC44ED" w:rsidRPr="00DE2D55" w:rsidRDefault="00FC44ED" w:rsidP="00D117E1">
            <w:pPr>
              <w:tabs>
                <w:tab w:val="left" w:pos="0"/>
              </w:tabs>
              <w:spacing w:line="240" w:lineRule="auto"/>
              <w:jc w:val="center"/>
              <w:rPr>
                <w:rFonts w:cs="Arial"/>
              </w:rPr>
            </w:pPr>
            <w:r w:rsidRPr="00DE2D55">
              <w:rPr>
                <w:rFonts w:cs="Arial"/>
              </w:rPr>
              <w:t>1</w:t>
            </w:r>
          </w:p>
        </w:tc>
        <w:tc>
          <w:tcPr>
            <w:tcW w:w="919" w:type="pct"/>
            <w:tcBorders>
              <w:top w:val="single" w:sz="4" w:space="0" w:color="000000"/>
              <w:left w:val="nil"/>
              <w:bottom w:val="single" w:sz="4" w:space="0" w:color="auto"/>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p>
          <w:p w:rsidR="00FC44ED" w:rsidRPr="00DE2D55" w:rsidRDefault="00FC44ED" w:rsidP="00D117E1">
            <w:pPr>
              <w:tabs>
                <w:tab w:val="left" w:pos="0"/>
              </w:tabs>
              <w:spacing w:line="240" w:lineRule="auto"/>
              <w:jc w:val="right"/>
              <w:rPr>
                <w:rFonts w:cs="Arial"/>
              </w:rPr>
            </w:pPr>
            <w:r w:rsidRPr="00DE2D55">
              <w:rPr>
                <w:rFonts w:cs="Arial"/>
              </w:rPr>
              <w:t>R$ 1.600.000,00</w:t>
            </w:r>
          </w:p>
        </w:tc>
        <w:tc>
          <w:tcPr>
            <w:tcW w:w="1183" w:type="pct"/>
            <w:tcBorders>
              <w:top w:val="nil"/>
              <w:left w:val="nil"/>
              <w:bottom w:val="single" w:sz="4" w:space="0" w:color="auto"/>
              <w:right w:val="single" w:sz="4" w:space="0" w:color="000000"/>
            </w:tcBorders>
            <w:shd w:val="clear" w:color="auto" w:fill="auto"/>
            <w:noWrap/>
            <w:hideMark/>
          </w:tcPr>
          <w:p w:rsidR="00FC44ED" w:rsidRPr="00DE2D55" w:rsidRDefault="00FC44ED" w:rsidP="00D117E1">
            <w:pPr>
              <w:tabs>
                <w:tab w:val="left" w:pos="0"/>
              </w:tabs>
              <w:spacing w:line="240" w:lineRule="auto"/>
              <w:jc w:val="right"/>
              <w:rPr>
                <w:rFonts w:cs="Arial"/>
              </w:rPr>
            </w:pPr>
          </w:p>
          <w:p w:rsidR="00FC44ED" w:rsidRPr="00DE2D55" w:rsidRDefault="00FC44ED" w:rsidP="00D117E1">
            <w:pPr>
              <w:tabs>
                <w:tab w:val="left" w:pos="0"/>
              </w:tabs>
              <w:spacing w:line="240" w:lineRule="auto"/>
              <w:jc w:val="right"/>
              <w:rPr>
                <w:rFonts w:cs="Arial"/>
              </w:rPr>
            </w:pPr>
            <w:r w:rsidRPr="00DE2D55">
              <w:rPr>
                <w:rFonts w:cs="Arial"/>
              </w:rPr>
              <w:t>R$ 1.600.000,00</w:t>
            </w:r>
          </w:p>
        </w:tc>
      </w:tr>
      <w:tr w:rsidR="00FC44ED" w:rsidRPr="00DE2D55" w:rsidTr="00D117E1">
        <w:trPr>
          <w:trHeight w:val="293"/>
        </w:trPr>
        <w:tc>
          <w:tcPr>
            <w:tcW w:w="381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C44ED" w:rsidRPr="00DE2D55" w:rsidRDefault="00FC44ED" w:rsidP="00D117E1">
            <w:pPr>
              <w:tabs>
                <w:tab w:val="left" w:pos="0"/>
              </w:tabs>
              <w:spacing w:line="240" w:lineRule="auto"/>
              <w:jc w:val="both"/>
              <w:rPr>
                <w:rFonts w:cs="Arial"/>
                <w:b/>
              </w:rPr>
            </w:pPr>
            <w:r w:rsidRPr="00DE2D55">
              <w:rPr>
                <w:rFonts w:cs="Arial"/>
                <w:b/>
              </w:rPr>
              <w:t>Total do subproduto 3.1.1</w:t>
            </w:r>
          </w:p>
        </w:tc>
        <w:tc>
          <w:tcPr>
            <w:tcW w:w="1183" w:type="pct"/>
            <w:tcBorders>
              <w:top w:val="single" w:sz="4" w:space="0" w:color="auto"/>
              <w:left w:val="single" w:sz="4" w:space="0" w:color="auto"/>
              <w:bottom w:val="single" w:sz="4" w:space="0" w:color="auto"/>
              <w:right w:val="single" w:sz="4" w:space="0" w:color="auto"/>
            </w:tcBorders>
            <w:shd w:val="clear" w:color="auto" w:fill="auto"/>
            <w:noWrap/>
          </w:tcPr>
          <w:p w:rsidR="00FC44ED" w:rsidRPr="00DE2D55" w:rsidRDefault="00FC44ED" w:rsidP="00D117E1">
            <w:pPr>
              <w:tabs>
                <w:tab w:val="left" w:pos="0"/>
              </w:tabs>
              <w:spacing w:line="240" w:lineRule="auto"/>
              <w:jc w:val="right"/>
              <w:rPr>
                <w:rFonts w:cs="Arial"/>
                <w:b/>
              </w:rPr>
            </w:pPr>
            <w:r w:rsidRPr="00DE2D55">
              <w:rPr>
                <w:rFonts w:cs="Arial"/>
                <w:b/>
              </w:rPr>
              <w:t>2.900.000,00</w:t>
            </w:r>
          </w:p>
        </w:tc>
      </w:tr>
      <w:tr w:rsidR="00FC44ED" w:rsidRPr="00D117E1" w:rsidTr="00D117E1">
        <w:trPr>
          <w:trHeight w:val="284"/>
        </w:trPr>
        <w:tc>
          <w:tcPr>
            <w:tcW w:w="381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C44ED" w:rsidRPr="00DE2D55" w:rsidRDefault="00FC44ED" w:rsidP="00D117E1">
            <w:pPr>
              <w:tabs>
                <w:tab w:val="left" w:pos="0"/>
              </w:tabs>
              <w:spacing w:line="240" w:lineRule="auto"/>
              <w:jc w:val="both"/>
              <w:rPr>
                <w:rFonts w:cs="Arial"/>
                <w:b/>
              </w:rPr>
            </w:pPr>
            <w:r w:rsidRPr="00DE2D55">
              <w:rPr>
                <w:rFonts w:cs="Arial"/>
                <w:b/>
              </w:rPr>
              <w:t>Total do subproduto 3.1.1</w:t>
            </w:r>
          </w:p>
        </w:tc>
        <w:tc>
          <w:tcPr>
            <w:tcW w:w="1183" w:type="pct"/>
            <w:tcBorders>
              <w:top w:val="single" w:sz="4" w:space="0" w:color="auto"/>
              <w:left w:val="single" w:sz="4" w:space="0" w:color="auto"/>
              <w:bottom w:val="single" w:sz="4" w:space="0" w:color="auto"/>
              <w:right w:val="single" w:sz="4" w:space="0" w:color="auto"/>
            </w:tcBorders>
            <w:shd w:val="clear" w:color="auto" w:fill="auto"/>
            <w:noWrap/>
          </w:tcPr>
          <w:p w:rsidR="00FC44ED" w:rsidRPr="00DE2D55" w:rsidRDefault="00FC44ED" w:rsidP="00D117E1">
            <w:pPr>
              <w:tabs>
                <w:tab w:val="left" w:pos="0"/>
              </w:tabs>
              <w:spacing w:line="240" w:lineRule="auto"/>
              <w:jc w:val="right"/>
              <w:rPr>
                <w:rFonts w:cs="Arial"/>
                <w:b/>
              </w:rPr>
            </w:pPr>
            <w:r w:rsidRPr="00DE2D55">
              <w:rPr>
                <w:rFonts w:cs="Arial"/>
                <w:b/>
              </w:rPr>
              <w:t>1.200.000,00</w:t>
            </w:r>
          </w:p>
        </w:tc>
      </w:tr>
      <w:tr w:rsidR="00FC44ED" w:rsidRPr="00DE2D55" w:rsidTr="00D117E1">
        <w:trPr>
          <w:trHeight w:val="225"/>
        </w:trPr>
        <w:tc>
          <w:tcPr>
            <w:tcW w:w="381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C44ED" w:rsidRPr="00DE2D55" w:rsidRDefault="00FC44ED" w:rsidP="00D117E1">
            <w:pPr>
              <w:tabs>
                <w:tab w:val="left" w:pos="0"/>
              </w:tabs>
              <w:spacing w:line="240" w:lineRule="auto"/>
              <w:jc w:val="both"/>
              <w:rPr>
                <w:rFonts w:cs="Arial"/>
                <w:b/>
              </w:rPr>
            </w:pPr>
            <w:r w:rsidRPr="00DE2D55">
              <w:rPr>
                <w:rFonts w:cs="Arial"/>
                <w:b/>
              </w:rPr>
              <w:t>Valor total do projeto</w:t>
            </w:r>
          </w:p>
        </w:tc>
        <w:tc>
          <w:tcPr>
            <w:tcW w:w="1183" w:type="pct"/>
            <w:tcBorders>
              <w:top w:val="single" w:sz="4" w:space="0" w:color="auto"/>
              <w:left w:val="single" w:sz="4" w:space="0" w:color="auto"/>
              <w:bottom w:val="single" w:sz="4" w:space="0" w:color="auto"/>
              <w:right w:val="single" w:sz="4" w:space="0" w:color="auto"/>
            </w:tcBorders>
            <w:shd w:val="clear" w:color="auto" w:fill="auto"/>
            <w:noWrap/>
          </w:tcPr>
          <w:p w:rsidR="00FC44ED" w:rsidRPr="00DE2D55" w:rsidRDefault="00FC44ED" w:rsidP="00D117E1">
            <w:pPr>
              <w:tabs>
                <w:tab w:val="left" w:pos="0"/>
              </w:tabs>
              <w:spacing w:line="240" w:lineRule="auto"/>
              <w:jc w:val="right"/>
              <w:rPr>
                <w:rFonts w:cs="Arial"/>
                <w:b/>
              </w:rPr>
            </w:pPr>
            <w:r w:rsidRPr="00DE2D55">
              <w:rPr>
                <w:rFonts w:cs="Arial"/>
                <w:b/>
              </w:rPr>
              <w:t>R$ 4.100.000,00</w:t>
            </w:r>
          </w:p>
        </w:tc>
      </w:tr>
    </w:tbl>
    <w:p w:rsidR="00FC44ED" w:rsidRPr="00DE2D55" w:rsidRDefault="00FC44ED" w:rsidP="00A249C9">
      <w:pPr>
        <w:pStyle w:val="PargrafodaLista"/>
        <w:numPr>
          <w:ilvl w:val="1"/>
          <w:numId w:val="89"/>
        </w:numPr>
        <w:pBdr>
          <w:bottom w:val="single" w:sz="4" w:space="0" w:color="auto"/>
        </w:pBdr>
        <w:tabs>
          <w:tab w:val="left" w:pos="0"/>
          <w:tab w:val="left" w:pos="426"/>
        </w:tabs>
        <w:jc w:val="both"/>
        <w:outlineLvl w:val="2"/>
        <w:rPr>
          <w:rFonts w:cs="Calibri"/>
          <w:b/>
        </w:rPr>
      </w:pPr>
      <w:bookmarkStart w:id="129" w:name="_Toc517282145"/>
      <w:r w:rsidRPr="00DE2D55">
        <w:rPr>
          <w:rFonts w:cs="Calibri"/>
          <w:b/>
        </w:rPr>
        <w:t>CRONOGRAMA DE DESEMBOLSO PROPOSTO</w:t>
      </w:r>
      <w:bookmarkEnd w:id="129"/>
    </w:p>
    <w:p w:rsidR="00FC44ED" w:rsidRPr="00DE2D55" w:rsidRDefault="00FC44ED" w:rsidP="00FE560B">
      <w:pPr>
        <w:tabs>
          <w:tab w:val="left" w:pos="0"/>
        </w:tabs>
        <w:suppressAutoHyphens/>
        <w:ind w:right="284"/>
        <w:jc w:val="both"/>
        <w:rPr>
          <w:rFonts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850"/>
        <w:gridCol w:w="851"/>
        <w:gridCol w:w="850"/>
        <w:gridCol w:w="851"/>
        <w:gridCol w:w="850"/>
      </w:tblGrid>
      <w:tr w:rsidR="00FC44ED" w:rsidRPr="00DE2D55" w:rsidTr="00DE2D55">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Nº</w:t>
            </w:r>
          </w:p>
        </w:tc>
        <w:tc>
          <w:tcPr>
            <w:tcW w:w="4678"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Item de Custo</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2019</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2021</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2022</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FC44ED" w:rsidRPr="00DE2D55" w:rsidRDefault="00FC44ED" w:rsidP="00FE560B">
            <w:pPr>
              <w:tabs>
                <w:tab w:val="left" w:pos="0"/>
              </w:tabs>
              <w:spacing w:line="240" w:lineRule="auto"/>
              <w:jc w:val="both"/>
              <w:rPr>
                <w:rFonts w:cs="Calibri"/>
                <w:b/>
              </w:rPr>
            </w:pPr>
            <w:r w:rsidRPr="00DE2D55">
              <w:rPr>
                <w:rFonts w:cs="Calibri"/>
                <w:b/>
              </w:rPr>
              <w:t>2023</w:t>
            </w:r>
          </w:p>
        </w:tc>
      </w:tr>
      <w:tr w:rsidR="00FC44ED" w:rsidRPr="00DE2D55" w:rsidTr="00DE2D55">
        <w:tc>
          <w:tcPr>
            <w:tcW w:w="709"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3.1.1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ind w:left="37"/>
              <w:jc w:val="both"/>
              <w:rPr>
                <w:rFonts w:cs="Calibri"/>
              </w:rPr>
            </w:pPr>
            <w:r w:rsidRPr="00DE2D55">
              <w:rPr>
                <w:rFonts w:cs="Arial"/>
              </w:rPr>
              <w:t>Capacitação em planejamento público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r>
      <w:tr w:rsidR="00FC44ED" w:rsidRPr="00DE2D55" w:rsidTr="00DE2D55">
        <w:tc>
          <w:tcPr>
            <w:tcW w:w="709"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3.1.1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ind w:left="37"/>
              <w:jc w:val="both"/>
              <w:rPr>
                <w:rFonts w:cs="Calibri"/>
              </w:rPr>
            </w:pPr>
            <w:r w:rsidRPr="00DE2D55">
              <w:rPr>
                <w:rFonts w:cs="Arial"/>
              </w:rPr>
              <w:t>Capacitação em orçamento público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r>
      <w:tr w:rsidR="00FC44ED" w:rsidRPr="00DE2D55" w:rsidTr="00DE2D55">
        <w:tc>
          <w:tcPr>
            <w:tcW w:w="709"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3.1.2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ind w:left="37"/>
              <w:jc w:val="both"/>
              <w:rPr>
                <w:rFonts w:cs="Arial"/>
              </w:rPr>
            </w:pPr>
            <w:r w:rsidRPr="00DE2D55">
              <w:rPr>
                <w:rFonts w:cs="Arial"/>
              </w:rPr>
              <w:t>Modelo de Gestão de Investimento Público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r>
      <w:tr w:rsidR="00FC44ED" w:rsidRPr="00DE2D55" w:rsidTr="00DE2D55">
        <w:tc>
          <w:tcPr>
            <w:tcW w:w="709"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3.1.1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ind w:left="37"/>
              <w:jc w:val="both"/>
              <w:rPr>
                <w:rFonts w:cs="Arial"/>
              </w:rPr>
            </w:pPr>
            <w:r w:rsidRPr="00DE2D55">
              <w:rPr>
                <w:rFonts w:cs="Arial"/>
              </w:rPr>
              <w:t>Marco orçamentário de médio prazo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r>
      <w:tr w:rsidR="00FC44ED" w:rsidRPr="00DE2D55" w:rsidTr="00DE2D55">
        <w:tc>
          <w:tcPr>
            <w:tcW w:w="709"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3.1.1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ind w:left="37"/>
              <w:jc w:val="both"/>
              <w:rPr>
                <w:rFonts w:cs="Arial"/>
              </w:rPr>
            </w:pPr>
            <w:r w:rsidRPr="00DE2D55">
              <w:rPr>
                <w:rFonts w:cs="Arial"/>
              </w:rPr>
              <w:t>Novas fucionalidades Sistema Integrado de Gestão das Finanças Públicas do ES-SIGEFES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r w:rsidRPr="00DE2D55">
              <w:rPr>
                <w:rFonts w:cs="Calibri"/>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C44ED" w:rsidRPr="00DE2D55" w:rsidRDefault="00FC44ED" w:rsidP="00FE560B">
            <w:pPr>
              <w:tabs>
                <w:tab w:val="left" w:pos="0"/>
              </w:tabs>
              <w:spacing w:line="240" w:lineRule="auto"/>
              <w:jc w:val="both"/>
              <w:rPr>
                <w:rFonts w:cs="Calibri"/>
              </w:rPr>
            </w:pPr>
          </w:p>
        </w:tc>
      </w:tr>
    </w:tbl>
    <w:p w:rsidR="00FC44ED" w:rsidRPr="00DE2D55" w:rsidRDefault="00FC44ED" w:rsidP="00FE560B">
      <w:pPr>
        <w:tabs>
          <w:tab w:val="left" w:pos="0"/>
        </w:tabs>
        <w:jc w:val="both"/>
        <w:rPr>
          <w:rFonts w:cs="Calibri"/>
          <w:color w:val="FF0000"/>
        </w:rPr>
      </w:pPr>
    </w:p>
    <w:p w:rsidR="00BA2374" w:rsidRDefault="00BA2374" w:rsidP="00FE560B">
      <w:pPr>
        <w:tabs>
          <w:tab w:val="left" w:pos="0"/>
        </w:tabs>
        <w:jc w:val="both"/>
        <w:rPr>
          <w:rFonts w:eastAsia="Times New Roman" w:cs="Arial"/>
          <w:b/>
          <w:bCs/>
          <w:color w:val="4A66AC" w:themeColor="accent1"/>
          <w:lang w:eastAsia="pt-BR"/>
        </w:rPr>
      </w:pPr>
    </w:p>
    <w:p w:rsidR="00E64C5C" w:rsidRPr="00DE2D55" w:rsidRDefault="00E64C5C" w:rsidP="00FE560B">
      <w:pPr>
        <w:tabs>
          <w:tab w:val="left" w:pos="0"/>
        </w:tabs>
        <w:jc w:val="both"/>
        <w:rPr>
          <w:rFonts w:eastAsia="Times New Roman" w:cs="Arial"/>
          <w:b/>
          <w:bCs/>
          <w:color w:val="4A66AC" w:themeColor="accent1"/>
          <w:lang w:eastAsia="pt-BR"/>
        </w:rPr>
      </w:pPr>
    </w:p>
    <w:p w:rsidR="00D117E1" w:rsidRDefault="00D117E1">
      <w:pPr>
        <w:rPr>
          <w:rFonts w:eastAsia="Times New Roman" w:cs="Arial"/>
          <w:b/>
          <w:bCs/>
          <w:color w:val="4A66AC" w:themeColor="accent1"/>
          <w:lang w:eastAsia="pt-BR"/>
        </w:rPr>
      </w:pPr>
      <w:r>
        <w:rPr>
          <w:rFonts w:eastAsia="Times New Roman" w:cs="Arial"/>
          <w:lang w:eastAsia="pt-BR"/>
        </w:rPr>
        <w:br w:type="page"/>
      </w:r>
    </w:p>
    <w:p w:rsidR="001B4726" w:rsidRPr="00DE2D55" w:rsidRDefault="001B4726" w:rsidP="00FE560B">
      <w:pPr>
        <w:pStyle w:val="Ttulo2"/>
        <w:tabs>
          <w:tab w:val="left" w:pos="0"/>
        </w:tabs>
        <w:spacing w:before="0"/>
        <w:jc w:val="both"/>
        <w:rPr>
          <w:rFonts w:asciiTheme="minorHAnsi" w:eastAsia="Times New Roman" w:hAnsiTheme="minorHAnsi" w:cs="Arial"/>
          <w:sz w:val="22"/>
          <w:szCs w:val="22"/>
          <w:lang w:eastAsia="pt-BR"/>
        </w:rPr>
      </w:pPr>
      <w:bookmarkStart w:id="130" w:name="_Toc517282146"/>
      <w:r w:rsidRPr="00DE2D55">
        <w:rPr>
          <w:rFonts w:asciiTheme="minorHAnsi" w:eastAsia="Times New Roman" w:hAnsiTheme="minorHAnsi" w:cs="Arial"/>
          <w:sz w:val="22"/>
          <w:szCs w:val="22"/>
          <w:lang w:eastAsia="pt-BR"/>
        </w:rPr>
        <w:t>PRODUTO 2. MODELO DE PROGRAMAÇÃO E EXECUÇÃO FINANCEIRA IMPLANTADO</w:t>
      </w:r>
      <w:bookmarkEnd w:id="130"/>
    </w:p>
    <w:p w:rsidR="00BA2374" w:rsidRPr="00DE2D55" w:rsidRDefault="00BA2374" w:rsidP="00FE560B">
      <w:pPr>
        <w:tabs>
          <w:tab w:val="left" w:pos="0"/>
        </w:tabs>
        <w:jc w:val="both"/>
        <w:rPr>
          <w:lang w:eastAsia="pt-BR"/>
        </w:rPr>
      </w:pPr>
    </w:p>
    <w:p w:rsidR="00BA2374" w:rsidRPr="00DE2D55" w:rsidRDefault="00BA2374" w:rsidP="00FE560B">
      <w:pPr>
        <w:tabs>
          <w:tab w:val="left" w:pos="0"/>
        </w:tabs>
        <w:jc w:val="both"/>
        <w:rPr>
          <w:rFonts w:cs="Arial"/>
          <w:b/>
          <w:bCs/>
          <w:smallCap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A2374" w:rsidRPr="00DE2D55" w:rsidTr="00CA21C4">
        <w:tc>
          <w:tcPr>
            <w:tcW w:w="9639" w:type="dxa"/>
            <w:tcBorders>
              <w:top w:val="single" w:sz="4" w:space="0" w:color="auto"/>
              <w:left w:val="nil"/>
              <w:bottom w:val="single" w:sz="4" w:space="0" w:color="auto"/>
              <w:right w:val="nil"/>
            </w:tcBorders>
            <w:shd w:val="clear" w:color="auto" w:fill="D5DCE4"/>
          </w:tcPr>
          <w:tbl>
            <w:tblPr>
              <w:tblpPr w:leftFromText="141" w:rightFromText="141" w:vertAnchor="text" w:horzAnchor="margin" w:tblpXSpec="center" w:tblpY="826"/>
              <w:tblOverlap w:val="never"/>
              <w:tblW w:w="819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198"/>
            </w:tblGrid>
            <w:tr w:rsidR="00BA2374" w:rsidRPr="00DE2D55" w:rsidTr="00CA21C4">
              <w:trPr>
                <w:trHeight w:val="403"/>
              </w:trPr>
              <w:tc>
                <w:tcPr>
                  <w:tcW w:w="8198" w:type="dxa"/>
                  <w:vMerge w:val="restart"/>
                  <w:shd w:val="clear" w:color="95B3D7" w:fill="95B3D7"/>
                  <w:noWrap/>
                  <w:vAlign w:val="center"/>
                  <w:hideMark/>
                </w:tcPr>
                <w:p w:rsidR="00BA2374" w:rsidRPr="00DE2D55" w:rsidRDefault="00BA2374" w:rsidP="00FE560B">
                  <w:pPr>
                    <w:tabs>
                      <w:tab w:val="left" w:pos="0"/>
                    </w:tabs>
                    <w:jc w:val="both"/>
                    <w:rPr>
                      <w:rFonts w:cs="Arial"/>
                      <w:b/>
                      <w:bCs/>
                    </w:rPr>
                  </w:pPr>
                  <w:r w:rsidRPr="00DE2D55">
                    <w:rPr>
                      <w:rFonts w:cs="Arial"/>
                      <w:b/>
                      <w:bCs/>
                    </w:rPr>
                    <w:t>P.3.2- Modelo de Programação e Execução Financeira implantado</w:t>
                  </w:r>
                </w:p>
              </w:tc>
            </w:tr>
            <w:tr w:rsidR="00BA2374" w:rsidRPr="00DE2D55" w:rsidTr="00CA21C4">
              <w:trPr>
                <w:trHeight w:val="509"/>
              </w:trPr>
              <w:tc>
                <w:tcPr>
                  <w:tcW w:w="8198" w:type="dxa"/>
                  <w:vMerge/>
                  <w:vAlign w:val="center"/>
                  <w:hideMark/>
                </w:tcPr>
                <w:p w:rsidR="00BA2374" w:rsidRPr="00DE2D55" w:rsidRDefault="00BA2374" w:rsidP="00FE560B">
                  <w:pPr>
                    <w:tabs>
                      <w:tab w:val="left" w:pos="0"/>
                    </w:tabs>
                    <w:jc w:val="both"/>
                    <w:rPr>
                      <w:rFonts w:cs="Arial"/>
                      <w:b/>
                      <w:bCs/>
                    </w:rPr>
                  </w:pPr>
                </w:p>
              </w:tc>
            </w:tr>
            <w:tr w:rsidR="00BA2374" w:rsidRPr="00DE2D55" w:rsidTr="00CA21C4">
              <w:trPr>
                <w:trHeight w:val="509"/>
              </w:trPr>
              <w:tc>
                <w:tcPr>
                  <w:tcW w:w="8198" w:type="dxa"/>
                  <w:vMerge/>
                  <w:vAlign w:val="center"/>
                  <w:hideMark/>
                </w:tcPr>
                <w:p w:rsidR="00BA2374" w:rsidRPr="00DE2D55" w:rsidRDefault="00BA2374" w:rsidP="00FE560B">
                  <w:pPr>
                    <w:tabs>
                      <w:tab w:val="left" w:pos="0"/>
                    </w:tabs>
                    <w:jc w:val="both"/>
                    <w:rPr>
                      <w:rFonts w:cs="Arial"/>
                      <w:b/>
                      <w:bCs/>
                    </w:rPr>
                  </w:pPr>
                </w:p>
              </w:tc>
            </w:tr>
          </w:tbl>
          <w:p w:rsidR="00BA2374" w:rsidRPr="00DE2D55" w:rsidRDefault="00BA2374" w:rsidP="00FE560B">
            <w:pPr>
              <w:shd w:val="clear" w:color="auto" w:fill="D5DCE4"/>
              <w:tabs>
                <w:tab w:val="left" w:pos="0"/>
              </w:tabs>
              <w:jc w:val="both"/>
              <w:rPr>
                <w:rFonts w:cs="Arial"/>
                <w:b/>
                <w:bCs/>
                <w:color w:val="000000" w:themeColor="text1"/>
              </w:rPr>
            </w:pPr>
            <w:r w:rsidRPr="00DE2D55">
              <w:rPr>
                <w:rFonts w:cs="Arial"/>
                <w:b/>
                <w:bCs/>
                <w:color w:val="000000" w:themeColor="text1"/>
              </w:rPr>
              <w:t xml:space="preserve">NOTA TÉCNICA </w:t>
            </w:r>
          </w:p>
          <w:p w:rsidR="00BA2374" w:rsidRPr="00DE2D55" w:rsidRDefault="00BA2374" w:rsidP="00FE560B">
            <w:pPr>
              <w:shd w:val="clear" w:color="auto" w:fill="D5DCE4"/>
              <w:tabs>
                <w:tab w:val="left" w:pos="0"/>
              </w:tabs>
              <w:jc w:val="both"/>
              <w:rPr>
                <w:rFonts w:cs="Arial"/>
                <w:b/>
                <w:bCs/>
                <w:color w:val="00B050"/>
              </w:rPr>
            </w:pPr>
          </w:p>
          <w:p w:rsidR="00BA2374" w:rsidRPr="00DE2D55" w:rsidRDefault="00BA2374" w:rsidP="00FE560B">
            <w:pPr>
              <w:shd w:val="clear" w:color="auto" w:fill="D5DCE4"/>
              <w:tabs>
                <w:tab w:val="left" w:pos="0"/>
              </w:tabs>
              <w:jc w:val="both"/>
              <w:rPr>
                <w:rFonts w:cs="Arial"/>
                <w:b/>
                <w:bCs/>
                <w:color w:val="000000" w:themeColor="text1"/>
              </w:rPr>
            </w:pPr>
          </w:p>
          <w:p w:rsidR="00BA2374" w:rsidRPr="00DE2D55" w:rsidRDefault="00BA2374" w:rsidP="00FE560B">
            <w:pPr>
              <w:shd w:val="clear" w:color="auto" w:fill="D5DCE4"/>
              <w:tabs>
                <w:tab w:val="left" w:pos="0"/>
              </w:tabs>
              <w:jc w:val="both"/>
              <w:rPr>
                <w:rFonts w:cs="Arial"/>
                <w:b/>
                <w:bCs/>
                <w:color w:val="000000" w:themeColor="text1"/>
              </w:rPr>
            </w:pPr>
          </w:p>
          <w:p w:rsidR="00BA2374" w:rsidRPr="00DE2D55" w:rsidRDefault="00BA2374" w:rsidP="00FE560B">
            <w:pPr>
              <w:shd w:val="clear" w:color="auto" w:fill="D5DCE4"/>
              <w:tabs>
                <w:tab w:val="left" w:pos="0"/>
              </w:tabs>
              <w:jc w:val="both"/>
              <w:rPr>
                <w:rFonts w:cs="Arial"/>
                <w:b/>
                <w:bCs/>
                <w:color w:val="000000" w:themeColor="text1"/>
              </w:rPr>
            </w:pPr>
            <w:r w:rsidRPr="00DE2D55">
              <w:rPr>
                <w:rFonts w:cs="Arial"/>
                <w:b/>
                <w:bCs/>
                <w:color w:val="000000" w:themeColor="text1"/>
              </w:rPr>
              <w:t xml:space="preserve">        3.2.1 - </w:t>
            </w:r>
            <w:r w:rsidRPr="00DE2D55">
              <w:rPr>
                <w:rFonts w:cs="Arial"/>
                <w:b/>
                <w:bCs/>
              </w:rPr>
              <w:t>Revisão e ajuste da metodologia para elaboração de programação e execução financeira, incluindo o fortalecimento do comitê de gastos e ajustes no sistema informático de gestão de caixa</w:t>
            </w:r>
            <w:r w:rsidRPr="00DE2D55">
              <w:rPr>
                <w:rFonts w:cs="Arial"/>
                <w:b/>
                <w:bCs/>
              </w:rPr>
              <w:tab/>
            </w:r>
          </w:p>
          <w:p w:rsidR="00BA2374" w:rsidRPr="00DE2D55" w:rsidRDefault="00BA2374" w:rsidP="00FE560B">
            <w:pPr>
              <w:shd w:val="clear" w:color="auto" w:fill="D5DCE4"/>
              <w:tabs>
                <w:tab w:val="left" w:pos="0"/>
              </w:tabs>
              <w:jc w:val="both"/>
              <w:rPr>
                <w:rFonts w:cs="Arial"/>
                <w:b/>
                <w:bCs/>
              </w:rPr>
            </w:pPr>
            <w:r w:rsidRPr="00DE2D55">
              <w:rPr>
                <w:rFonts w:cs="Arial"/>
                <w:b/>
                <w:bCs/>
              </w:rPr>
              <w:t xml:space="preserve">        3.2.2 </w:t>
            </w:r>
            <w:r w:rsidRPr="00DE2D55">
              <w:rPr>
                <w:rFonts w:cs="Arial"/>
                <w:b/>
                <w:bCs/>
                <w:color w:val="000000" w:themeColor="text1"/>
              </w:rPr>
              <w:t>-</w:t>
            </w:r>
            <w:r w:rsidRPr="00DE2D55">
              <w:rPr>
                <w:rFonts w:cs="Arial"/>
                <w:b/>
                <w:bCs/>
              </w:rPr>
              <w:t xml:space="preserve"> Implantação de modelo de gestão de ativos do Estado com base em análise de riscos, incluindo a legislação, procedimentos e a política de investimentos</w:t>
            </w:r>
          </w:p>
        </w:tc>
      </w:tr>
    </w:tbl>
    <w:p w:rsidR="00BA2374" w:rsidRPr="00DE2D55" w:rsidRDefault="00BA2374" w:rsidP="00FE560B">
      <w:pPr>
        <w:tabs>
          <w:tab w:val="left" w:pos="0"/>
        </w:tabs>
        <w:jc w:val="both"/>
        <w:rPr>
          <w:rFonts w:cs="Arial"/>
        </w:rPr>
      </w:pPr>
    </w:p>
    <w:p w:rsidR="00BA2374" w:rsidRPr="00DE2D55" w:rsidRDefault="00BA2374" w:rsidP="00FE560B">
      <w:pPr>
        <w:tabs>
          <w:tab w:val="left" w:pos="0"/>
        </w:tabs>
        <w:ind w:left="360"/>
        <w:jc w:val="both"/>
        <w:rPr>
          <w:rFonts w:cs="Arial"/>
          <w:b/>
        </w:rPr>
      </w:pPr>
      <w:r w:rsidRPr="00DE2D55">
        <w:rPr>
          <w:rFonts w:cs="Arial"/>
          <w:b/>
        </w:rPr>
        <w:t xml:space="preserve">Autores: </w:t>
      </w:r>
    </w:p>
    <w:tbl>
      <w:tblPr>
        <w:tblW w:w="9781" w:type="dxa"/>
        <w:tblInd w:w="-34" w:type="dxa"/>
        <w:tblLayout w:type="fixed"/>
        <w:tblLook w:val="04A0" w:firstRow="1" w:lastRow="0" w:firstColumn="1" w:lastColumn="0" w:noHBand="0" w:noVBand="1"/>
      </w:tblPr>
      <w:tblGrid>
        <w:gridCol w:w="3006"/>
        <w:gridCol w:w="2410"/>
        <w:gridCol w:w="1559"/>
        <w:gridCol w:w="2806"/>
      </w:tblGrid>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hideMark/>
          </w:tcPr>
          <w:p w:rsidR="00BA2374" w:rsidRPr="00DE2D55" w:rsidRDefault="00BA2374" w:rsidP="00FE560B">
            <w:pPr>
              <w:tabs>
                <w:tab w:val="left" w:pos="0"/>
              </w:tabs>
              <w:ind w:left="37"/>
              <w:jc w:val="both"/>
              <w:rPr>
                <w:rFonts w:cs="Arial"/>
                <w:b/>
              </w:rPr>
            </w:pPr>
            <w:r w:rsidRPr="00DE2D55">
              <w:rPr>
                <w:rFonts w:cs="Arial"/>
                <w:b/>
              </w:rPr>
              <w:t>Nome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hideMark/>
          </w:tcPr>
          <w:p w:rsidR="00BA2374" w:rsidRPr="00DE2D55" w:rsidRDefault="00BA2374" w:rsidP="00FE560B">
            <w:pPr>
              <w:tabs>
                <w:tab w:val="left" w:pos="0"/>
              </w:tabs>
              <w:jc w:val="both"/>
              <w:rPr>
                <w:rFonts w:cs="Arial"/>
                <w:b/>
              </w:rPr>
            </w:pPr>
            <w:r w:rsidRPr="00DE2D55">
              <w:rPr>
                <w:rFonts w:cs="Arial"/>
                <w:b/>
              </w:rPr>
              <w:t>Cargo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hideMark/>
          </w:tcPr>
          <w:p w:rsidR="00BA2374" w:rsidRPr="00DE2D55" w:rsidRDefault="00BA2374" w:rsidP="00FE560B">
            <w:pPr>
              <w:tabs>
                <w:tab w:val="left" w:pos="0"/>
              </w:tabs>
              <w:jc w:val="both"/>
              <w:rPr>
                <w:rFonts w:cs="Arial"/>
                <w:b/>
              </w:rPr>
            </w:pPr>
            <w:r w:rsidRPr="00DE2D55">
              <w:rPr>
                <w:rFonts w:cs="Arial"/>
                <w:b/>
              </w:rPr>
              <w:t>Área</w:t>
            </w:r>
          </w:p>
        </w:tc>
        <w:tc>
          <w:tcPr>
            <w:tcW w:w="2806" w:type="dxa"/>
            <w:tcBorders>
              <w:top w:val="single" w:sz="4" w:space="0" w:color="00000A"/>
              <w:left w:val="single" w:sz="4" w:space="0" w:color="00000A"/>
              <w:bottom w:val="single" w:sz="4" w:space="0" w:color="00000A"/>
              <w:right w:val="single" w:sz="4" w:space="0" w:color="00000A"/>
            </w:tcBorders>
            <w:shd w:val="clear" w:color="auto" w:fill="FFFFFF"/>
            <w:hideMark/>
          </w:tcPr>
          <w:p w:rsidR="00BA2374" w:rsidRPr="00DE2D55" w:rsidRDefault="00BA2374" w:rsidP="00FE560B">
            <w:pPr>
              <w:tabs>
                <w:tab w:val="left" w:pos="0"/>
              </w:tabs>
              <w:jc w:val="both"/>
              <w:rPr>
                <w:rFonts w:eastAsia="Calibri" w:cs="Arial"/>
                <w:lang w:val="es-ES"/>
              </w:rPr>
            </w:pPr>
            <w:r w:rsidRPr="00DE2D55">
              <w:rPr>
                <w:rFonts w:cs="Arial"/>
                <w:b/>
              </w:rPr>
              <w:t>E-mail</w:t>
            </w:r>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André Luiz Fundão Maioli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Consultor do Tesouro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E04BB7" w:rsidP="00FE560B">
            <w:pPr>
              <w:tabs>
                <w:tab w:val="left" w:pos="0"/>
              </w:tabs>
              <w:jc w:val="both"/>
              <w:rPr>
                <w:rFonts w:cs="Arial"/>
              </w:rPr>
            </w:pPr>
            <w:hyperlink r:id="rId33" w:history="1">
              <w:r w:rsidR="00BA2374" w:rsidRPr="00DE2D55">
                <w:rPr>
                  <w:rFonts w:cs="Arial"/>
                </w:rPr>
                <w:t>amaioli@sefaz.es.gov.br</w:t>
              </w:r>
            </w:hyperlink>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Daniel Corrêa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Gerente</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E04BB7" w:rsidP="00FE560B">
            <w:pPr>
              <w:tabs>
                <w:tab w:val="left" w:pos="0"/>
              </w:tabs>
              <w:jc w:val="both"/>
              <w:rPr>
                <w:rFonts w:cs="Arial"/>
              </w:rPr>
            </w:pPr>
            <w:hyperlink r:id="rId34" w:history="1">
              <w:r w:rsidR="00BA2374" w:rsidRPr="00DE2D55">
                <w:rPr>
                  <w:rFonts w:cs="Arial"/>
                </w:rPr>
                <w:t>dcorrea@sefaz.es.gov.br</w:t>
              </w:r>
            </w:hyperlink>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Eliziane Bortolotti Lorenzon</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Consultor do Tesouro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E04BB7" w:rsidP="00FE560B">
            <w:pPr>
              <w:tabs>
                <w:tab w:val="left" w:pos="0"/>
              </w:tabs>
              <w:jc w:val="both"/>
              <w:rPr>
                <w:rFonts w:cs="Arial"/>
              </w:rPr>
            </w:pPr>
            <w:hyperlink r:id="rId35" w:history="1">
              <w:r w:rsidR="00BA2374" w:rsidRPr="00DE2D55">
                <w:rPr>
                  <w:rFonts w:cs="Arial"/>
                </w:rPr>
                <w:t>elorenzon@sefaz.es.gov.br</w:t>
              </w:r>
            </w:hyperlink>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Martinho de Freitas Salomão</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 xml:space="preserve">Subgerente </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E04BB7" w:rsidP="00FE560B">
            <w:pPr>
              <w:tabs>
                <w:tab w:val="left" w:pos="0"/>
              </w:tabs>
              <w:jc w:val="both"/>
              <w:rPr>
                <w:rFonts w:cs="Arial"/>
              </w:rPr>
            </w:pPr>
            <w:hyperlink r:id="rId36" w:history="1">
              <w:r w:rsidR="00BA2374" w:rsidRPr="00DE2D55">
                <w:rPr>
                  <w:rFonts w:cs="Arial"/>
                </w:rPr>
                <w:t>mfsalomao@sefaz.es.gov.br</w:t>
              </w:r>
            </w:hyperlink>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Miriam Borges dos Santos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Consultor do Tesouro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E04BB7" w:rsidP="00FE560B">
            <w:pPr>
              <w:tabs>
                <w:tab w:val="left" w:pos="0"/>
              </w:tabs>
              <w:jc w:val="both"/>
              <w:rPr>
                <w:rFonts w:cs="Arial"/>
              </w:rPr>
            </w:pPr>
            <w:hyperlink r:id="rId37" w:history="1">
              <w:r w:rsidR="00BA2374" w:rsidRPr="00DE2D55">
                <w:rPr>
                  <w:rFonts w:cs="Arial"/>
                </w:rPr>
                <w:t>mbsantos@sefaz.es.gov.br</w:t>
              </w:r>
            </w:hyperlink>
          </w:p>
        </w:tc>
      </w:tr>
      <w:tr w:rsidR="00BA2374" w:rsidRPr="00DE2D55" w:rsidTr="00CA21C4">
        <w:tc>
          <w:tcPr>
            <w:tcW w:w="30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pStyle w:val="Default"/>
              <w:tabs>
                <w:tab w:val="left" w:pos="0"/>
              </w:tabs>
              <w:spacing w:line="360" w:lineRule="auto"/>
              <w:jc w:val="both"/>
              <w:rPr>
                <w:rFonts w:asciiTheme="minorHAnsi" w:hAnsiTheme="minorHAnsi" w:cs="Arial"/>
                <w:sz w:val="22"/>
                <w:szCs w:val="22"/>
              </w:rPr>
            </w:pPr>
            <w:r w:rsidRPr="00DE2D55">
              <w:rPr>
                <w:rFonts w:asciiTheme="minorHAnsi" w:hAnsiTheme="minorHAnsi" w:cs="Arial"/>
                <w:sz w:val="22"/>
                <w:szCs w:val="22"/>
              </w:rPr>
              <w:t>Walter Luiz da Costa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Consultor do Tesouro</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GEFIN</w:t>
            </w:r>
          </w:p>
        </w:tc>
        <w:tc>
          <w:tcPr>
            <w:tcW w:w="2806" w:type="dxa"/>
            <w:tcBorders>
              <w:top w:val="single" w:sz="4" w:space="0" w:color="00000A"/>
              <w:left w:val="single" w:sz="4" w:space="0" w:color="00000A"/>
              <w:bottom w:val="single" w:sz="4" w:space="0" w:color="00000A"/>
              <w:right w:val="single" w:sz="4" w:space="0" w:color="00000A"/>
            </w:tcBorders>
            <w:shd w:val="clear" w:color="auto" w:fill="FFFFFF"/>
          </w:tcPr>
          <w:p w:rsidR="00BA2374" w:rsidRPr="00DE2D55" w:rsidRDefault="00BA2374" w:rsidP="00FE560B">
            <w:pPr>
              <w:tabs>
                <w:tab w:val="left" w:pos="0"/>
              </w:tabs>
              <w:jc w:val="both"/>
              <w:rPr>
                <w:rFonts w:cs="Arial"/>
              </w:rPr>
            </w:pPr>
            <w:r w:rsidRPr="00DE2D55">
              <w:rPr>
                <w:rFonts w:cs="Arial"/>
              </w:rPr>
              <w:t>wcosta@sefaz.es.gov.br</w:t>
            </w:r>
          </w:p>
        </w:tc>
      </w:tr>
    </w:tbl>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D117E1">
      <w:pPr>
        <w:tabs>
          <w:tab w:val="left" w:pos="0"/>
        </w:tabs>
        <w:jc w:val="center"/>
        <w:rPr>
          <w:rFonts w:cs="Arial"/>
          <w:b/>
        </w:rPr>
      </w:pPr>
      <w:r w:rsidRPr="00DE2D55">
        <w:rPr>
          <w:rFonts w:cs="Arial"/>
          <w:b/>
        </w:rPr>
        <w:t>VITÓRIA/ES</w:t>
      </w:r>
    </w:p>
    <w:p w:rsidR="00BA2374" w:rsidRPr="00DE2D55" w:rsidRDefault="00BA2374" w:rsidP="00FE560B">
      <w:pPr>
        <w:tabs>
          <w:tab w:val="left" w:pos="0"/>
        </w:tabs>
        <w:jc w:val="both"/>
        <w:rPr>
          <w:rFonts w:cs="Arial"/>
          <w:b/>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1" w:name="_Toc517282147"/>
      <w:r w:rsidRPr="00DE2D55">
        <w:rPr>
          <w:rFonts w:cs="Calibri"/>
          <w:b/>
        </w:rPr>
        <w:t>ANTECEDENTES DO PRODUTO</w:t>
      </w:r>
      <w:bookmarkEnd w:id="131"/>
    </w:p>
    <w:p w:rsidR="00BA2374" w:rsidRPr="00DE2D55" w:rsidRDefault="00BA2374" w:rsidP="00FE560B">
      <w:pPr>
        <w:tabs>
          <w:tab w:val="left" w:pos="0"/>
        </w:tabs>
        <w:ind w:left="142" w:hanging="142"/>
        <w:jc w:val="both"/>
        <w:rPr>
          <w:rFonts w:cs="Arial"/>
          <w:b/>
          <w:bCs/>
        </w:rPr>
      </w:pPr>
    </w:p>
    <w:p w:rsidR="00BA2374" w:rsidRPr="00DE2D55" w:rsidRDefault="00BA2374" w:rsidP="00FE560B">
      <w:pPr>
        <w:tabs>
          <w:tab w:val="left" w:pos="0"/>
        </w:tabs>
        <w:jc w:val="both"/>
        <w:rPr>
          <w:rFonts w:cs="Arial"/>
        </w:rPr>
      </w:pPr>
      <w:r w:rsidRPr="00DE2D55">
        <w:rPr>
          <w:rFonts w:cs="Arial"/>
        </w:rPr>
        <w:t>A área do Tesouro Estadual do Espírito Santo desde de 20/09/2010 tem experimentado grandes transformações que a elevaram a um patamar de destaque no cenário nacional. Nesses anos o Tesouro Estadual realizou dois concursos para recuperação da carreira de Consultor do Tesouro Estadual que, juntamente com os Auditores, representam as carreiras finalísticas da Secretaria da Fazenda. Nos anos seguintes, foi promulgada a lei dos consultores do tesouro e implantando o novo sistema financeiro SIGEFES que, juntos, possibilitaram uma evolução técnica sem precedentes neste setor. O SIGEFES, implantado pela equipe de consultores do tesouro, agregou em um único sistema, com plataforma tecnológica de última geração e extremamente amigável, os antigos sistemas de Plano Plurianual (SISPPA), o sistema de orçamento SIPLAN, o sistema financeiro SIAFEM, o sistema de BI EUREKA, além de um sistema financeiro utilizado de forma independente pelo poder judiciário, na medida que o SIGEFES passou a ser adotado de forma integrada por todos os poderes do estado. Esse sistema, implantado com recursos do PROFISCO I e customizado pela equipe de consultores do tesouro, já nasceu com o novo plano de contas estabelecido pela STN, em convergência com os padrões internacionais (IFRS), bem como, todos os demonstrativos contábeis e legais da Lei 4.320/64 e LRF 101/2000. O seu sistema nativo de BI (Flexvision) revolucionou a forma de gerar relatórios legais e gerenciais e disponibilizar informações real time para o portal de transparência do estado, fazendo com que este se tornasse um dos mais premiados no âmbito nacional. Do lado dos recursos humanos do tesouro, além da lei que definiu claramente as suas atribuições e responsabilidades, também foi utilizado recursos do PROFISCO I para custeio de bolsas de estudo de mestrado e especialização que muito contribuíram para elevar o nível cultural e de conhecimento dessa equipe, refletida na qualidade dos trabalhos desenvolvidos. Também, houve alteração na estrutura organizacional do Tesouro que criou a Gerência de Gestão da Dívida Pública, antes alocada na Gerência Financeira - GEFIN, agregando maior planejamento e controle em relação aos programas de endividamento e ajuste fiscal do estado.</w:t>
      </w:r>
    </w:p>
    <w:p w:rsidR="00BA2374" w:rsidRPr="00DE2D55" w:rsidRDefault="00BA2374" w:rsidP="00FE560B">
      <w:pPr>
        <w:tabs>
          <w:tab w:val="left" w:pos="0"/>
        </w:tabs>
        <w:jc w:val="both"/>
        <w:rPr>
          <w:rFonts w:cs="Arial"/>
          <w:bCs/>
        </w:rPr>
      </w:pPr>
    </w:p>
    <w:p w:rsidR="00BA2374" w:rsidRPr="00DE2D55" w:rsidRDefault="00BA2374" w:rsidP="00FE560B">
      <w:pPr>
        <w:tabs>
          <w:tab w:val="left" w:pos="0"/>
        </w:tabs>
        <w:jc w:val="both"/>
        <w:rPr>
          <w:rFonts w:cs="Arial"/>
        </w:rPr>
      </w:pPr>
      <w:r w:rsidRPr="00DE2D55">
        <w:rPr>
          <w:rFonts w:cs="Arial"/>
        </w:rPr>
        <w:t xml:space="preserve">Não obstante todos esses avanços há necessidade de se buscar melhorias em alguns temas que ainda não estão plenamente resolvidos e que são muito sensíveis para a melhoria da gestão financeira como um todo. A política de programação financeira ainda está muito vinculada à cultura orçamentária, dificultando a fixação de cotas financeiras e sua disseminação para as áreas gestoras. Há necessidade de uma maior integração das unidades executoras com os órgãos centrais no sentido de se compatibilizar metas e objetivos a serem estabelecidos por subitem de despesas e que atendam aos programas e prioridades de governo, com a definição de nova política de programação financeira que redefina o papel dos atores envolvidos e revisão de processos e rotinas.  Nesse sentido, essa nova política visaria a integração da execução financeira com um fluxo de caixa mais preciso e dinâmico, não só de curto, mas de médio e longo prazo, que precisariam ser perfeitamente integrados e automatizados em novos módulos do SIGEFES (Programação Financeira e Fluxo de Caixa). Também há necessidade de evolução do SIGEFES para contemplar módulo de Mensageria, que propiciaria a transferência de recursos real time entre contribuintes, instituições financeiras e áreas gestoras, trazendo maior agilidade e segurança para a gestão dos recursos financeiros. Ainda, há necessidade de automação de atividades relacionadas com os repasses federais, repasses constitucionais ao FUNDEB e Municípios, estes dois últimos sob controle do BANESTES e que precisam ser internalizados no SIGEFES. Por último, ainda relacionado com a evolução do SIGEFES, há necessidade de aperfeiçoamento dos atuais módulos de conciliação bancária e contábil, de forma a deixar automatizado todo esse processo de conformidade para fins de controle e de auditorias interna e externa. </w:t>
      </w: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r w:rsidRPr="00DE2D55">
        <w:rPr>
          <w:rFonts w:cs="Arial"/>
        </w:rPr>
        <w:t xml:space="preserve">Finalmente, objetivando agregar maior eficiência ao processo de planejamento financeiro, é mandatório que se busque estabelecer projeções de médio e longo prazo para gestão de ativos e investimentos, que possibilitem a alocação mais eficiente de recursos em cada exercício financeiro. Isto somente será possível com a contratação de softwares especialistas em estatísticas e matemática, juntamente com o treinamento da equipe de consultores, tanto no trato dessas ferramentas quanto no domínio de grande base de dados (BIG DATA) e inteligência artificial (IA). </w:t>
      </w: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r w:rsidRPr="00DE2D55">
        <w:rPr>
          <w:rFonts w:cs="Arial"/>
        </w:rPr>
        <w:t>A Programação e Execução Financeira do Estado do Espírito Santo são realizadas de forma centralizada pela Gerência Geral de Finanças (GEFIN), que faz parte da Subsecretaria do Tesouro Estadual (SUBSET), órgão que compõe a Secretaria de Estado da Fazenda (SEFAZ).</w:t>
      </w:r>
    </w:p>
    <w:p w:rsidR="00BA2374" w:rsidRPr="00DE2D55" w:rsidRDefault="00BA2374"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Nos últimos anos a GEFIN vem promovendo uma série de mudanças com o objetivo de agilizar, automatizar e maximizar a alocação de recursos financeiros. Nesse sentido, com a ajuda do Sistema Integrado de Gestão das Finanças Públicas do Espírito Santo (SIGEFES), implantado em 2013 com recursos do PROFISCO I, foi automatizado a contabilização do mapa de arrecadação diária das receitas, bem como as deduções constitucionais e distribuição da cota parte devida aos munícipios, o que contribuiu, sobremaneira, para melhorar a gestão do fluxo de caixa de todos os entes envolvidos.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Também, com uma nova política de gestão de recursos financeiros aprimorada com a ajuda do SIGEFES, foi negociado junto às instituições financeiras a aplicação automática de recursos disponíveis na Conta única (CTU), o que aumentou a rentabilidade destas disponibilidades.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Não obstante esses avanços, há necessidade do descolamento da cota financeira da orçamentária, com a implantação de um novo modelo de planejamento, controle, acompanhamento e revisão das cotas financeiras por unidades gestoras (UG).  Essa nova sistemática permitirá, além de subsidiar o atendimento das metas de Resultado Primário com base no regime de caixa, de acordo com as novas regras estabelecidas pela STN, o controle da qualidade do gasto público, tendo em vista que os objetivos serão estabelecidos e apurados a nível de subitem de despesas, devidamente negociados com cada um dos órgãos envolvidos.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Além disso, a GEFIN se recente de uma série de atividades que hoje são delegadas à instituição financeira do estado – BANESTES, e que precisariam ser internalizadas no SIGEFES, de forma a tornar a gestão dos recursos públicos menos dependente, mais segura e ágil sob o ponto de vista do órgão central responsável pela gestão dos recursos públicos do estado.</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Essa nova visão pressupõe o desenvolvimento de um novo módulo de Mensageria no SIGEFES, que permitirá a apuração das receitas e pagamento de despesas de forma on line e real time, que aliados a um forte mecanismo de assinaturas eletrônicas, trará maior segurança e eficiência a todo o processo da gestão pública dos recursos financeiros.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Para compatibilizar com este novo cenário há necessidade de evolução do SIGEFES no sentido de se desenvolver um módulo integrado de Programação Financeira, juntamente com módulo de Fluxo de Caixa, internalização do processo de folha de pagamento, automatização total da conciliação bancária e contábil, automatização da contabilização e repasses de recursos federais, bem como a revisão da política de centralização de pagamentos, tudo objetivando maior eficiência e controle dos recursos públicos.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 xml:space="preserve">Por fim, há necessidade de desenvolvimento de um modelo matemático e estatístico mais preciso, que se utilize tanto do ferramental econométrico, quando da inteligência artificial, para previsão de receitas e despesas, devidamente suportado por consultorias especializadas e treinamento de mão de obra compatível com novas tecnologias. </w:t>
      </w:r>
    </w:p>
    <w:p w:rsidR="00D117E1" w:rsidRPr="00DE2D55" w:rsidRDefault="00D117E1" w:rsidP="00FE560B">
      <w:pPr>
        <w:tabs>
          <w:tab w:val="left" w:pos="0"/>
        </w:tabs>
        <w:jc w:val="both"/>
        <w:rPr>
          <w:rFonts w:cs="Arial"/>
        </w:rPr>
      </w:pPr>
    </w:p>
    <w:p w:rsidR="00BA2374" w:rsidRPr="00DE2D55" w:rsidRDefault="00BA2374" w:rsidP="00FE560B">
      <w:pPr>
        <w:tabs>
          <w:tab w:val="left" w:pos="0"/>
        </w:tabs>
        <w:jc w:val="both"/>
        <w:rPr>
          <w:rFonts w:cs="Arial"/>
        </w:rPr>
      </w:pPr>
      <w:r w:rsidRPr="00DE2D55">
        <w:rPr>
          <w:rFonts w:cs="Arial"/>
        </w:rPr>
        <w:t xml:space="preserve">A Figura 1 ilustra o fluxo da proposta inicial que se pretende implantar no ES e automatizar via SIGEFES, objetivando o controle de cotas financeiras por Unidades Gestoras (UG), com racional por subitem e elemento de despesas de todos os grupos de despesas e fontes de recursos. </w:t>
      </w:r>
    </w:p>
    <w:p w:rsidR="00BA2374" w:rsidRPr="00DE2D55" w:rsidRDefault="00BA2374" w:rsidP="00FE560B">
      <w:pPr>
        <w:tabs>
          <w:tab w:val="left" w:pos="0"/>
        </w:tabs>
        <w:jc w:val="both"/>
        <w:rPr>
          <w:rFonts w:cs="Arial"/>
        </w:rPr>
      </w:pPr>
      <w:r w:rsidRPr="00DE2D55">
        <w:rPr>
          <w:rFonts w:cs="Arial"/>
          <w:noProof/>
          <w:lang w:eastAsia="pt-BR"/>
        </w:rPr>
        <w:drawing>
          <wp:inline distT="0" distB="0" distL="0" distR="0" wp14:anchorId="4D738A22" wp14:editId="64870A39">
            <wp:extent cx="6096635" cy="34296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BA2374" w:rsidRPr="00DE2D55" w:rsidRDefault="00BA2374" w:rsidP="00FE560B">
      <w:pPr>
        <w:tabs>
          <w:tab w:val="left" w:pos="0"/>
        </w:tabs>
        <w:jc w:val="both"/>
        <w:rPr>
          <w:rFonts w:cs="Arial"/>
          <w:highlight w:val="yellow"/>
        </w:rPr>
      </w:pPr>
    </w:p>
    <w:p w:rsidR="00BA2374" w:rsidRPr="00DE2D55" w:rsidRDefault="00BA2374" w:rsidP="00FE560B">
      <w:pPr>
        <w:tabs>
          <w:tab w:val="left" w:pos="0"/>
        </w:tabs>
        <w:jc w:val="both"/>
        <w:rPr>
          <w:rFonts w:cs="Arial"/>
        </w:rPr>
      </w:pPr>
      <w:r w:rsidRPr="00DE2D55">
        <w:rPr>
          <w:rFonts w:cs="Arial"/>
        </w:rPr>
        <w:t>O SIGEFES não permite a abertura da cota financeira mensal e nem o registro das metas de cada subitem de despesas, dificultando o estabelecimento de objetivos para cada uma das UG. A falta deste modulo, dificulta o acompanhamento da Programação Financeira e elaboração do Fluxo de Caixa, bem como a promoção de ajustes e alterações necessárias ao alinhamento com as disponibilidades de recursos e políticas do governo. Também não permite o controle da qualidade do gasto público, tendo em vista a necessidade de se estabelecer objetivos ao nível de cada subitem de despesas, devidamente negociados com cada um dos órgãos envolvidos.</w:t>
      </w:r>
    </w:p>
    <w:p w:rsidR="00BA2374" w:rsidRDefault="00BA2374" w:rsidP="00FE560B">
      <w:pPr>
        <w:tabs>
          <w:tab w:val="left" w:pos="0"/>
        </w:tabs>
        <w:jc w:val="both"/>
        <w:rPr>
          <w:rFonts w:cs="Arial"/>
        </w:rPr>
      </w:pPr>
      <w:r w:rsidRPr="00DE2D55">
        <w:rPr>
          <w:rFonts w:cs="Arial"/>
        </w:rPr>
        <w:t>Existe uma série de atividades executadas pelo BANESTES, tais como o repasse de recursos aos municípios e FUNDEB, que deveriam estar internalizadas no sistema e serem executadas diretamente pela GEFIN, sem a interferência ou dependência de qualquer instituição financeira, possibilitando maior controle e eficiência no uso desses recursos.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Há necessidade de adequar o SIGEFES ao novo modus operandi do mercado que já começa a utilizar o sistema de Mensageria para executar a arrecadação de receitas e pagamento de despesas de forma remota e real time, trazendo maior agilidade e segurança a todo este importante processo da gestão pública a cargo da GEFIN e unidades executoras.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A evolução do SIGEFES é imprescindível no sentido de se desenvolver um módulo integrado de Programação Financeira, juntamente com módulo de Fluxo de Caixa, internalização do processo de folha de pagamento, automatização total da conciliação bancária e contábil, automatização da contabilização e repasses de recursos federais, bem como a revisão da política de centralização de pagamentos, tudo objetivando maior eficiência e controle dos recursos públicos.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A Programação e Execução Financeira do Estado do Espírito Santo, realizada de forma tempestiva, sem estar respaldada em um planejamento de médio e longo prazo, apenas baseada na disponibilidade do fluxo de caixa, não permite uma alocação mais eficiente dos recursos disponíveis.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A falta de uma estimativa de receitas elaborada de forma mais técnica, fundamentada em metodologias, softwares especialistas de projeção e base de dados compatível, não permite estabelecer com segurança um portfólio de ativos para o médio e longo prazo, dificultando o aumento da rentabilidade destes recursos e a garantia de funding para as políticas de investimentos e captação de recursos previstos para períodos mais longos.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A receita prevista de forma mais precisa iria respaldar com mais segurança a fixação e revisão das cotas financeiras das UG, permitindo que os recursos fossem alocados de forma mais eficiente e, com isto, atender as políticas de governo estabelecidas.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 xml:space="preserve">A falta de capacitação técnica e ferramentas (softwares especialistas) para gestão de ativos financeiros de médio e longo prazo, considerando riscos e volatilidades envolvidos no processo, dificultam a otimização da rentabilidade destes recursos.  </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 xml:space="preserve">Outra questão estratégica que impacta na programação financeira refere-se à gestão da carteira de bens imóveis do estado. Nesse sentido, os bens públicos, que compõem essa carteira, dividem-se, conforme legislação vigente, em: </w:t>
      </w:r>
      <w:r w:rsidRPr="00DE2D55">
        <w:rPr>
          <w:rStyle w:val="Forte"/>
          <w:rFonts w:cs="Arial"/>
        </w:rPr>
        <w:t>Bens de uso comum</w:t>
      </w:r>
      <w:r w:rsidRPr="00DE2D55">
        <w:rPr>
          <w:rFonts w:cs="Arial"/>
        </w:rPr>
        <w:t xml:space="preserve"> do povo ou de Domínio Público, </w:t>
      </w:r>
      <w:r w:rsidRPr="00DE2D55">
        <w:rPr>
          <w:rStyle w:val="Forte"/>
          <w:rFonts w:cs="Arial"/>
        </w:rPr>
        <w:t>Bens de uso especial</w:t>
      </w:r>
      <w:r w:rsidRPr="00DE2D55">
        <w:rPr>
          <w:rFonts w:cs="Arial"/>
        </w:rPr>
        <w:t xml:space="preserve"> ou do Patrimônio Administrativo Indisponível e </w:t>
      </w:r>
      <w:r w:rsidRPr="00DE2D55">
        <w:rPr>
          <w:rStyle w:val="Forte"/>
          <w:rFonts w:cs="Arial"/>
        </w:rPr>
        <w:t>Bens dominicais</w:t>
      </w:r>
      <w:r w:rsidRPr="00DE2D55">
        <w:rPr>
          <w:rFonts w:cs="Arial"/>
        </w:rPr>
        <w:t xml:space="preserve"> ou do Patrimônio Disponível. Não obstante sua classificação, todos os bens públicos, à luz da melhor alternativa de uso para atender a sociedade, versus menor custo de manutenção e oportunidade, deverão se transformar em um portfólio, com atualização e revisão permanentes, que permita ao gestor público subsidiar suas decisões em relação ao seu uso ou destinação.</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Os bens de uso comum, por suas características e complexidade, como estradas e rodovias, mereceriam um estudo específico para avaliar a oportunidade e/ou conveniência de sua concessão para terceiros. Enquanto os bens de uso especial, aqueles utilizados pelo aparelho estatal, precisariam ser avaliados sobre vários aspectos, não só econômicos, mas em termos estratégicos e funcionais para o melhor funcionamento da administração pública e atendimento ao cidadão. Por último, os bens dominicais ou disponíveis, após estudo de vocação e avaliação mercadológica, poderiam ser ratificados ou não para efeito de disponibilidade para venda. A opção de venda, quando configurada, poderá reduzir custos de manutenção e aportar recursos no caixa do governo para serem alocados em outras atividades prioritárias.</w:t>
      </w:r>
    </w:p>
    <w:p w:rsidR="00D117E1" w:rsidRPr="00DE2D55" w:rsidRDefault="00D117E1" w:rsidP="00FE560B">
      <w:pPr>
        <w:tabs>
          <w:tab w:val="left" w:pos="0"/>
        </w:tabs>
        <w:jc w:val="both"/>
        <w:rPr>
          <w:rFonts w:cs="Arial"/>
        </w:rPr>
      </w:pPr>
    </w:p>
    <w:p w:rsidR="00BA2374" w:rsidRDefault="00BA2374" w:rsidP="00FE560B">
      <w:pPr>
        <w:tabs>
          <w:tab w:val="left" w:pos="0"/>
        </w:tabs>
        <w:jc w:val="both"/>
        <w:rPr>
          <w:rFonts w:cs="Arial"/>
        </w:rPr>
      </w:pPr>
      <w:r w:rsidRPr="00DE2D55">
        <w:rPr>
          <w:rFonts w:cs="Arial"/>
        </w:rPr>
        <w:t xml:space="preserve">Nesse sentido, após estudo detalhado e apurado, a ser elaborado por empresas/órgãos especializados do mercado de real estate, bens de uso especial poderiam ser direcionados para a carteira de bens dominicais ou vice-versa. Um amplo estudo de space planning, por sua vez, considerando a estrutura e necessidades da gestão pública, poderia ajudar na melhor alocação de cada ativo imobiliário do estado. Por exemplo, um grande terreno disponível poderia ser destinado à construção de presídio ou outro aparelho público necessário na região de sua localização. Assim como a realocação de unidades administrativas, entre os vários imóveis disponíveis, visando otimização de espaços ocupados, poderiam reduzir custos de manutenção/locação e/ou aumentar a carteira de bens disponíveis para desmobilização (venda). </w:t>
      </w:r>
    </w:p>
    <w:p w:rsidR="00D117E1" w:rsidRPr="00DE2D55" w:rsidRDefault="00D117E1" w:rsidP="00FE560B">
      <w:pPr>
        <w:tabs>
          <w:tab w:val="left" w:pos="0"/>
        </w:tabs>
        <w:jc w:val="both"/>
        <w:rPr>
          <w:rFonts w:cs="Arial"/>
        </w:rPr>
      </w:pPr>
    </w:p>
    <w:p w:rsidR="00BA2374" w:rsidRPr="00DE2D55" w:rsidRDefault="00BA2374" w:rsidP="00FE560B">
      <w:pPr>
        <w:tabs>
          <w:tab w:val="left" w:pos="0"/>
        </w:tabs>
        <w:jc w:val="both"/>
        <w:rPr>
          <w:rFonts w:cs="Arial"/>
        </w:rPr>
      </w:pPr>
      <w:r w:rsidRPr="00DE2D55">
        <w:rPr>
          <w:rFonts w:cs="Arial"/>
        </w:rPr>
        <w:t>Portanto, inventariar os imóveis, não somente sobre os valores econômicos, mas também sobres os demais aspectos relevantes para a melhoria do serviço público e visão estratégica, é preponderante para atender aos princípios de eficácia e eficiência na destinação e uso deste importante ativo gerido pelo estado.</w:t>
      </w:r>
    </w:p>
    <w:p w:rsidR="00BA2374" w:rsidRPr="00DE2D55" w:rsidRDefault="00BA2374" w:rsidP="00FE560B">
      <w:pPr>
        <w:pBdr>
          <w:bottom w:val="single" w:sz="12" w:space="1" w:color="auto"/>
        </w:pBdr>
        <w:tabs>
          <w:tab w:val="left" w:pos="0"/>
        </w:tabs>
        <w:jc w:val="both"/>
        <w:rPr>
          <w:rFonts w:cs="Arial"/>
          <w:b/>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2" w:name="_Toc517282148"/>
      <w:r w:rsidRPr="00DE2D55">
        <w:rPr>
          <w:rFonts w:cs="Calibri"/>
          <w:b/>
        </w:rPr>
        <w:t>DESCRIÇÃO DO PROBLEMA E SUAS EVIDÊNCIAS</w:t>
      </w:r>
      <w:bookmarkEnd w:id="132"/>
      <w:r w:rsidRPr="00DE2D55">
        <w:rPr>
          <w:rFonts w:cs="Calibri"/>
          <w:b/>
        </w:rPr>
        <w:t xml:space="preserve"> </w:t>
      </w:r>
    </w:p>
    <w:p w:rsidR="00BA2374" w:rsidRPr="00DE2D55" w:rsidRDefault="00BA2374" w:rsidP="00FE560B">
      <w:pPr>
        <w:tabs>
          <w:tab w:val="left" w:pos="0"/>
        </w:tabs>
        <w:ind w:left="357"/>
        <w:jc w:val="both"/>
        <w:rPr>
          <w:rFonts w:cs="Arial"/>
        </w:rPr>
      </w:pPr>
    </w:p>
    <w:p w:rsidR="00BA2374" w:rsidRPr="00DE2D55" w:rsidRDefault="00BA2374" w:rsidP="00FE560B">
      <w:pPr>
        <w:tabs>
          <w:tab w:val="left" w:pos="0"/>
        </w:tabs>
        <w:ind w:left="357"/>
        <w:jc w:val="both"/>
        <w:rPr>
          <w:rFonts w:cs="Arial"/>
        </w:rPr>
      </w:pPr>
      <w:r w:rsidRPr="00DE2D55">
        <w:rPr>
          <w:rFonts w:cs="Arial"/>
          <w:b/>
        </w:rPr>
        <w:t>Síntese do Problema:</w:t>
      </w:r>
      <w:r w:rsidRPr="00DE2D55">
        <w:rPr>
          <w:rFonts w:cs="Arial"/>
        </w:rPr>
        <w:t xml:space="preserve"> </w:t>
      </w:r>
    </w:p>
    <w:p w:rsidR="00BA2374" w:rsidRPr="00DE2D55" w:rsidRDefault="00BA2374" w:rsidP="00FE560B">
      <w:pPr>
        <w:tabs>
          <w:tab w:val="left" w:pos="0"/>
        </w:tabs>
        <w:ind w:left="357"/>
        <w:jc w:val="both"/>
        <w:rPr>
          <w:rFonts w:cs="Arial"/>
        </w:rPr>
      </w:pPr>
    </w:p>
    <w:p w:rsidR="00BA2374" w:rsidRPr="00DE2D55" w:rsidRDefault="00BA237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Arial"/>
          <w:i/>
          <w:noProof/>
        </w:rPr>
      </w:pPr>
    </w:p>
    <w:p w:rsidR="00BA2374" w:rsidRPr="00DE2D55" w:rsidRDefault="00BA237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Arial"/>
          <w:i/>
          <w:noProof/>
        </w:rPr>
      </w:pPr>
      <w:r w:rsidRPr="00DE2D55">
        <w:rPr>
          <w:rFonts w:cs="Arial"/>
        </w:rPr>
        <w:t>Ineficiência no uso dos recursos financeiros devido a Ineficácia nos processos de gestão orçamentária e financeira.</w:t>
      </w:r>
    </w:p>
    <w:p w:rsidR="00BA2374" w:rsidRPr="00DE2D55" w:rsidRDefault="00BA237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Arial"/>
          <w:i/>
          <w:noProof/>
        </w:rPr>
      </w:pPr>
    </w:p>
    <w:p w:rsidR="00BA2374" w:rsidRPr="00DE2D55" w:rsidRDefault="00BA2374" w:rsidP="00FE560B">
      <w:pPr>
        <w:pStyle w:val="PargrafodaLista"/>
        <w:tabs>
          <w:tab w:val="left" w:pos="0"/>
        </w:tabs>
        <w:ind w:left="225"/>
        <w:jc w:val="both"/>
        <w:rPr>
          <w:rFonts w:cs="Arial"/>
          <w:noProof/>
        </w:rPr>
      </w:pPr>
    </w:p>
    <w:p w:rsidR="00BA2374" w:rsidRPr="00DE2D55" w:rsidRDefault="00BA2374" w:rsidP="00FE560B">
      <w:pPr>
        <w:pStyle w:val="PargrafodaLista"/>
        <w:tabs>
          <w:tab w:val="left" w:pos="0"/>
        </w:tabs>
        <w:ind w:left="225"/>
        <w:jc w:val="both"/>
        <w:rPr>
          <w:rFonts w:cs="Arial"/>
          <w:noProof/>
        </w:rPr>
      </w:pPr>
    </w:p>
    <w:p w:rsidR="00BA2374" w:rsidRPr="00DE2D55" w:rsidRDefault="00BA2374" w:rsidP="00FE560B">
      <w:pPr>
        <w:tabs>
          <w:tab w:val="left" w:pos="0"/>
        </w:tabs>
        <w:ind w:left="357"/>
        <w:jc w:val="both"/>
        <w:rPr>
          <w:rFonts w:cs="Arial"/>
          <w:b/>
        </w:rPr>
      </w:pPr>
      <w:r w:rsidRPr="00DE2D55">
        <w:rPr>
          <w:rFonts w:cs="Arial"/>
          <w:b/>
        </w:rPr>
        <w:t>Principais causas:</w:t>
      </w:r>
    </w:p>
    <w:p w:rsidR="00BA2374" w:rsidRPr="00DE2D55" w:rsidRDefault="00BA2374" w:rsidP="00A249C9">
      <w:pPr>
        <w:pStyle w:val="PargrafodaLista"/>
        <w:numPr>
          <w:ilvl w:val="0"/>
          <w:numId w:val="68"/>
        </w:numPr>
        <w:tabs>
          <w:tab w:val="left" w:pos="0"/>
        </w:tabs>
        <w:jc w:val="both"/>
        <w:rPr>
          <w:rFonts w:cs="Arial"/>
        </w:rPr>
      </w:pPr>
      <w:r w:rsidRPr="00DE2D55">
        <w:rPr>
          <w:rFonts w:cs="Arial"/>
        </w:rPr>
        <w:t xml:space="preserve">Descompasso na alocação das cotas orçamentarias e financeiras com geração de restos a pagar (RAP). </w:t>
      </w:r>
    </w:p>
    <w:p w:rsidR="00BA2374" w:rsidRPr="00DE2D55" w:rsidRDefault="00BA2374" w:rsidP="00A249C9">
      <w:pPr>
        <w:pStyle w:val="PargrafodaLista"/>
        <w:numPr>
          <w:ilvl w:val="0"/>
          <w:numId w:val="68"/>
        </w:numPr>
        <w:tabs>
          <w:tab w:val="left" w:pos="0"/>
        </w:tabs>
        <w:jc w:val="both"/>
        <w:rPr>
          <w:rFonts w:cs="Arial"/>
        </w:rPr>
      </w:pPr>
      <w:r w:rsidRPr="00DE2D55">
        <w:rPr>
          <w:rFonts w:cs="Arial"/>
        </w:rPr>
        <w:t xml:space="preserve">O sistema SIGEFES não controla os empenhos a partir da cota financeira. </w:t>
      </w:r>
    </w:p>
    <w:p w:rsidR="00BA2374" w:rsidRPr="00DE2D55" w:rsidRDefault="00BA2374" w:rsidP="00A249C9">
      <w:pPr>
        <w:pStyle w:val="PargrafodaLista"/>
        <w:numPr>
          <w:ilvl w:val="0"/>
          <w:numId w:val="68"/>
        </w:numPr>
        <w:tabs>
          <w:tab w:val="left" w:pos="0"/>
        </w:tabs>
        <w:jc w:val="both"/>
        <w:rPr>
          <w:rFonts w:cs="Arial"/>
        </w:rPr>
      </w:pPr>
      <w:r w:rsidRPr="00DE2D55">
        <w:rPr>
          <w:rFonts w:cs="Arial"/>
        </w:rPr>
        <w:t>A programação financeira é realizada manualmente.</w:t>
      </w:r>
    </w:p>
    <w:p w:rsidR="00BA2374" w:rsidRPr="00DE2D55" w:rsidRDefault="00BA2374" w:rsidP="00A249C9">
      <w:pPr>
        <w:pStyle w:val="PargrafodaLista"/>
        <w:numPr>
          <w:ilvl w:val="0"/>
          <w:numId w:val="68"/>
        </w:numPr>
        <w:tabs>
          <w:tab w:val="left" w:pos="0"/>
        </w:tabs>
        <w:jc w:val="both"/>
        <w:rPr>
          <w:rFonts w:cs="Arial"/>
        </w:rPr>
      </w:pPr>
      <w:r w:rsidRPr="00DE2D55">
        <w:rPr>
          <w:rFonts w:cs="Arial"/>
        </w:rPr>
        <w:t xml:space="preserve">Os ativos financeiros não estão devidamente valorizados. </w:t>
      </w:r>
    </w:p>
    <w:p w:rsidR="00BA2374" w:rsidRPr="00DE2D55" w:rsidRDefault="00BA2374" w:rsidP="00A249C9">
      <w:pPr>
        <w:pStyle w:val="PargrafodaLista"/>
        <w:numPr>
          <w:ilvl w:val="0"/>
          <w:numId w:val="68"/>
        </w:numPr>
        <w:tabs>
          <w:tab w:val="left" w:pos="0"/>
        </w:tabs>
        <w:jc w:val="both"/>
        <w:rPr>
          <w:rFonts w:cs="Arial"/>
        </w:rPr>
      </w:pPr>
      <w:r w:rsidRPr="00DE2D55">
        <w:rPr>
          <w:rFonts w:cs="Arial"/>
        </w:rPr>
        <w:t>Inexistência de legislação nacional ou estaduais específica, assim como ausência de mecanismos para a reserva de contingência para investimentos e gastos estratégicos e institucionais.</w:t>
      </w:r>
    </w:p>
    <w:p w:rsidR="00BA2374" w:rsidRPr="00DE2D55" w:rsidRDefault="00BA2374" w:rsidP="00A249C9">
      <w:pPr>
        <w:pStyle w:val="PargrafodaLista"/>
        <w:numPr>
          <w:ilvl w:val="0"/>
          <w:numId w:val="68"/>
        </w:numPr>
        <w:tabs>
          <w:tab w:val="left" w:pos="0"/>
        </w:tabs>
        <w:jc w:val="both"/>
        <w:rPr>
          <w:rFonts w:cs="Arial"/>
          <w:noProof/>
        </w:rPr>
      </w:pPr>
      <w:r w:rsidRPr="00DE2D55">
        <w:rPr>
          <w:rFonts w:cs="Arial"/>
          <w:noProof/>
        </w:rPr>
        <w:t>Inexistência de efetivo controle de valores e vocação dos imóveis disponíveis para o governo, com visão de médio e longo prazo;</w:t>
      </w:r>
    </w:p>
    <w:p w:rsidR="00BA2374" w:rsidRPr="00DE2D55" w:rsidRDefault="00BA2374" w:rsidP="00A249C9">
      <w:pPr>
        <w:pStyle w:val="PargrafodaLista"/>
        <w:numPr>
          <w:ilvl w:val="0"/>
          <w:numId w:val="68"/>
        </w:numPr>
        <w:tabs>
          <w:tab w:val="left" w:pos="0"/>
        </w:tabs>
        <w:jc w:val="both"/>
        <w:rPr>
          <w:rFonts w:cs="Arial"/>
          <w:noProof/>
        </w:rPr>
      </w:pPr>
      <w:r w:rsidRPr="00DE2D55">
        <w:rPr>
          <w:rFonts w:cs="Arial"/>
          <w:noProof/>
        </w:rPr>
        <w:t>Falta estudo de space planning para definição da melhor alocação das estruturas de governo, o que poderia propiciar a definição das ações no sentido de ampliar/reduzir espaços existentes, disponibilizar imóveis para venda e/ou troca, com possibilidades de redução de custos e melhoria das condições de trabalho;</w:t>
      </w:r>
    </w:p>
    <w:p w:rsidR="00BA2374" w:rsidRPr="00DE2D55" w:rsidRDefault="00BA2374" w:rsidP="00FE560B">
      <w:pPr>
        <w:pStyle w:val="PargrafodaLista"/>
        <w:tabs>
          <w:tab w:val="left" w:pos="0"/>
        </w:tabs>
        <w:ind w:left="717"/>
        <w:jc w:val="both"/>
        <w:rPr>
          <w:rFonts w:cs="Arial"/>
        </w:rPr>
      </w:pPr>
    </w:p>
    <w:p w:rsidR="00BA2374" w:rsidRPr="00DE2D55" w:rsidRDefault="00BA2374" w:rsidP="00FE560B">
      <w:pPr>
        <w:tabs>
          <w:tab w:val="left" w:pos="0"/>
        </w:tabs>
        <w:ind w:left="357"/>
        <w:jc w:val="both"/>
        <w:rPr>
          <w:rFonts w:cs="Arial"/>
          <w:b/>
        </w:rPr>
      </w:pPr>
    </w:p>
    <w:p w:rsidR="00BA2374" w:rsidRPr="00DE2D55" w:rsidRDefault="00BA2374" w:rsidP="00FE560B">
      <w:pPr>
        <w:tabs>
          <w:tab w:val="left" w:pos="0"/>
        </w:tabs>
        <w:ind w:left="357"/>
        <w:jc w:val="both"/>
        <w:rPr>
          <w:rFonts w:cs="Arial"/>
          <w:b/>
        </w:rPr>
      </w:pPr>
      <w:r w:rsidRPr="00DE2D55">
        <w:rPr>
          <w:rFonts w:cs="Arial"/>
          <w:b/>
        </w:rPr>
        <w:t xml:space="preserve">Evidências: </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Em 2017 se gerou um RAP Não Processado (Empenhos (-) liquidação) no valor de BR$ 80,4 milhões (Tabela 1).</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Em março de 2018 foram necessárias 2,216 horas de trabalho manual para executar diversas atividades da gestão financeira (Tabela 2).</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Considerando a disponibilidade diária mínima de recursos de caixa, ou seja, o valor mínimo que poderia ser alocado a médio prazo, a cada ano, com uma margem adicional extremamente conservadora de apenas 10% acima da taxa de CDI, verifica-se que em 2017 o custo de oportunidade foi de aproximadamente R$ 3,0 milhões (Tabela 3).</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Os valores obtidos com a alienação de bens são pouco significativos e, na sua grande maioria, não provêm de bens imóveis, realidade que talvez possa ser alterada com o inventário efetivo da carteira de imóveis (Tabela 4).</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A composição dos bens imóveis no balanço geral do estado do ES que em dezembro de 2017 totalizavam R$ 7,1 bilhões, sendo, em termos brutos, sem considerar depreciação: R$ 3,0 bilhões de Uso Especial, R$ 619,5 milhões de Uso Dominical, R$ 4,0 milhões de Uso Comum do Povo, R$ 3,0 bilhões de imóveis em andamento, R$ 12,9 milhões de Instalações, R$ 18,5 milhões de Benfeitorias em Imóveis de Terceiros e R$ 470,2 milhões de Outros Imóveis. Nota-se que, independentemente da precisão de tais valores, os números são bastante expressivos, o que justificaria a necessidade de uma melhor avaliação e controle de cada um dos seus componentes, objetivando a maximização do uso ou alienação (Tabela 5).</w:t>
      </w:r>
    </w:p>
    <w:p w:rsidR="00BA2374" w:rsidRPr="00DE2D55" w:rsidRDefault="00BA2374" w:rsidP="00FE560B">
      <w:pPr>
        <w:pStyle w:val="PargrafodaLista"/>
        <w:numPr>
          <w:ilvl w:val="0"/>
          <w:numId w:val="62"/>
        </w:numPr>
        <w:tabs>
          <w:tab w:val="left" w:pos="0"/>
        </w:tabs>
        <w:jc w:val="both"/>
        <w:rPr>
          <w:rFonts w:cs="Arial"/>
        </w:rPr>
      </w:pPr>
      <w:r w:rsidRPr="00DE2D55">
        <w:rPr>
          <w:rFonts w:cs="Arial"/>
        </w:rPr>
        <w:t>Estima-se que em 2017 existem aproximadamente BR$ 980 milhões de ativos financeiros que não estão sendo devidamente otimizados (Tabela 6)</w:t>
      </w:r>
    </w:p>
    <w:p w:rsidR="00BA2374" w:rsidRPr="00DE2D55" w:rsidRDefault="00BA2374" w:rsidP="00FE560B">
      <w:pPr>
        <w:pStyle w:val="PargrafodaLista"/>
        <w:tabs>
          <w:tab w:val="left" w:pos="0"/>
        </w:tabs>
        <w:jc w:val="both"/>
        <w:rPr>
          <w:rFonts w:cs="Arial"/>
        </w:rPr>
      </w:pPr>
    </w:p>
    <w:p w:rsidR="00BA2374" w:rsidRPr="00DE2D55" w:rsidRDefault="00BA2374" w:rsidP="00FE560B">
      <w:pPr>
        <w:pStyle w:val="PargrafodaLista"/>
        <w:tabs>
          <w:tab w:val="left" w:pos="0"/>
        </w:tabs>
        <w:jc w:val="both"/>
        <w:rPr>
          <w:rFonts w:cs="Arial"/>
          <w:b/>
        </w:rPr>
      </w:pPr>
      <w:r w:rsidRPr="00DE2D55">
        <w:rPr>
          <w:rFonts w:cs="Arial"/>
          <w:b/>
        </w:rPr>
        <w:t>Tabela 1– Evolução das Cotas de Custeio Orçamentárias e Financeiras até o 6º BIMESTRE 2017</w:t>
      </w:r>
      <w:r w:rsidRPr="00DE2D55">
        <w:rPr>
          <w:rFonts w:cs="Arial"/>
          <w:noProof/>
          <w:lang w:eastAsia="pt-BR"/>
        </w:rPr>
        <w:drawing>
          <wp:inline distT="0" distB="0" distL="0" distR="0" wp14:anchorId="2BA01EAD" wp14:editId="38C590E4">
            <wp:extent cx="5676900" cy="46482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4648200"/>
                    </a:xfrm>
                    <a:prstGeom prst="rect">
                      <a:avLst/>
                    </a:prstGeom>
                    <a:noFill/>
                  </pic:spPr>
                </pic:pic>
              </a:graphicData>
            </a:graphic>
          </wp:inline>
        </w:drawing>
      </w:r>
    </w:p>
    <w:p w:rsidR="00BA2374" w:rsidRPr="00DE2D55" w:rsidRDefault="00BA2374" w:rsidP="00FE560B">
      <w:pPr>
        <w:pStyle w:val="PargrafodaLista"/>
        <w:tabs>
          <w:tab w:val="left" w:pos="0"/>
        </w:tabs>
        <w:jc w:val="both"/>
        <w:rPr>
          <w:rFonts w:cs="Arial"/>
        </w:rPr>
      </w:pPr>
      <w:r w:rsidRPr="00DE2D55">
        <w:rPr>
          <w:rFonts w:cs="Arial"/>
          <w:b/>
        </w:rPr>
        <w:t>Tabela 2– Atividades Manuais da GEFIN – março de 2018</w:t>
      </w:r>
    </w:p>
    <w:p w:rsidR="00BA2374" w:rsidRPr="00DE2D55" w:rsidRDefault="00BA2374" w:rsidP="00FE560B">
      <w:pPr>
        <w:tabs>
          <w:tab w:val="left" w:pos="0"/>
        </w:tabs>
        <w:ind w:left="357" w:firstLine="352"/>
        <w:jc w:val="both"/>
        <w:rPr>
          <w:rFonts w:cs="Arial"/>
          <w:b/>
        </w:rPr>
      </w:pPr>
      <w:r w:rsidRPr="00DE2D55">
        <w:rPr>
          <w:rFonts w:cs="Arial"/>
          <w:noProof/>
          <w:lang w:eastAsia="pt-BR"/>
        </w:rPr>
        <w:drawing>
          <wp:inline distT="0" distB="0" distL="0" distR="0" wp14:anchorId="0E543D98" wp14:editId="50CB9DA0">
            <wp:extent cx="5638800" cy="19437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9273" cy="1943898"/>
                    </a:xfrm>
                    <a:prstGeom prst="rect">
                      <a:avLst/>
                    </a:prstGeom>
                    <a:noFill/>
                    <a:ln>
                      <a:noFill/>
                    </a:ln>
                  </pic:spPr>
                </pic:pic>
              </a:graphicData>
            </a:graphic>
          </wp:inline>
        </w:drawing>
      </w:r>
    </w:p>
    <w:p w:rsidR="00BA2374" w:rsidRPr="00DE2D55" w:rsidRDefault="00BA2374" w:rsidP="00FE560B">
      <w:pPr>
        <w:tabs>
          <w:tab w:val="left" w:pos="0"/>
        </w:tabs>
        <w:ind w:left="357"/>
        <w:jc w:val="both"/>
        <w:rPr>
          <w:rFonts w:cs="Arial"/>
          <w:b/>
        </w:rPr>
      </w:pPr>
    </w:p>
    <w:p w:rsidR="00BA2374" w:rsidRPr="00DE2D55" w:rsidRDefault="00BA2374" w:rsidP="00FE560B">
      <w:pPr>
        <w:pStyle w:val="PargrafodaLista"/>
        <w:tabs>
          <w:tab w:val="left" w:pos="0"/>
        </w:tabs>
        <w:jc w:val="both"/>
        <w:rPr>
          <w:rFonts w:cs="Arial"/>
          <w:b/>
        </w:rPr>
      </w:pPr>
      <w:r w:rsidRPr="00DE2D55">
        <w:rPr>
          <w:rFonts w:cs="Arial"/>
          <w:b/>
          <w:noProof/>
          <w:lang w:eastAsia="pt-BR"/>
        </w:rPr>
        <w:drawing>
          <wp:inline distT="0" distB="0" distL="0" distR="0" wp14:anchorId="2E6ADFD0" wp14:editId="5518FC7D">
            <wp:extent cx="5741035" cy="19939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035" cy="199390"/>
                    </a:xfrm>
                    <a:prstGeom prst="rect">
                      <a:avLst/>
                    </a:prstGeom>
                    <a:noFill/>
                    <a:ln>
                      <a:noFill/>
                    </a:ln>
                  </pic:spPr>
                </pic:pic>
              </a:graphicData>
            </a:graphic>
          </wp:inline>
        </w:drawing>
      </w:r>
      <w:r w:rsidRPr="00DE2D55">
        <w:rPr>
          <w:rFonts w:cs="Arial"/>
          <w:noProof/>
          <w:lang w:eastAsia="pt-BR"/>
        </w:rPr>
        <w:drawing>
          <wp:inline distT="0" distB="0" distL="0" distR="0" wp14:anchorId="3A9B1DA7" wp14:editId="6BCD6C21">
            <wp:extent cx="5638800" cy="150749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1985" cy="1519035"/>
                    </a:xfrm>
                    <a:prstGeom prst="rect">
                      <a:avLst/>
                    </a:prstGeom>
                    <a:noFill/>
                    <a:ln>
                      <a:noFill/>
                    </a:ln>
                  </pic:spPr>
                </pic:pic>
              </a:graphicData>
            </a:graphic>
          </wp:inline>
        </w:drawing>
      </w:r>
      <w:r w:rsidRPr="00DE2D55">
        <w:rPr>
          <w:rFonts w:cs="Arial"/>
          <w:b/>
        </w:rPr>
        <w:t>Tabela 4 – Alenação de Bens de 2014 a 2017 – Previsto x Realizado - R$ mil</w:t>
      </w:r>
    </w:p>
    <w:p w:rsidR="00BA2374" w:rsidRPr="00DE2D55" w:rsidRDefault="00BA2374" w:rsidP="00FE560B">
      <w:pPr>
        <w:pStyle w:val="PargrafodaLista"/>
        <w:tabs>
          <w:tab w:val="left" w:pos="0"/>
        </w:tabs>
        <w:jc w:val="both"/>
        <w:rPr>
          <w:rFonts w:cs="Arial"/>
          <w:noProof/>
          <w:color w:val="000000" w:themeColor="text1"/>
        </w:rPr>
      </w:pPr>
      <w:r w:rsidRPr="00DE2D55">
        <w:rPr>
          <w:rFonts w:cs="Arial"/>
          <w:noProof/>
          <w:lang w:eastAsia="pt-BR"/>
        </w:rPr>
        <w:drawing>
          <wp:inline distT="0" distB="0" distL="0" distR="0" wp14:anchorId="42BA0D5F" wp14:editId="769FD830">
            <wp:extent cx="5638800" cy="50478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5451" cy="519704"/>
                    </a:xfrm>
                    <a:prstGeom prst="rect">
                      <a:avLst/>
                    </a:prstGeom>
                    <a:noFill/>
                    <a:ln>
                      <a:noFill/>
                    </a:ln>
                  </pic:spPr>
                </pic:pic>
              </a:graphicData>
            </a:graphic>
          </wp:inline>
        </w:drawing>
      </w:r>
    </w:p>
    <w:p w:rsidR="00BA2374" w:rsidRPr="00DE2D55" w:rsidRDefault="00BA2374" w:rsidP="00FE560B">
      <w:pPr>
        <w:pStyle w:val="PargrafodaLista"/>
        <w:tabs>
          <w:tab w:val="left" w:pos="0"/>
        </w:tabs>
        <w:jc w:val="both"/>
        <w:rPr>
          <w:rFonts w:cs="Arial"/>
          <w:noProof/>
          <w:color w:val="000000" w:themeColor="text1"/>
        </w:rPr>
      </w:pPr>
    </w:p>
    <w:p w:rsidR="00BA2374" w:rsidRPr="00DE2D55" w:rsidRDefault="00BA2374" w:rsidP="00FE560B">
      <w:pPr>
        <w:pStyle w:val="PargrafodaLista"/>
        <w:tabs>
          <w:tab w:val="left" w:pos="0"/>
        </w:tabs>
        <w:jc w:val="both"/>
        <w:rPr>
          <w:rFonts w:cs="Arial"/>
          <w:b/>
        </w:rPr>
      </w:pPr>
      <w:r w:rsidRPr="00DE2D55">
        <w:rPr>
          <w:rFonts w:cs="Arial"/>
          <w:b/>
        </w:rPr>
        <w:t>Tabela 5 – Bens Imóveis – Dezembro/2017 – R$</w:t>
      </w:r>
    </w:p>
    <w:p w:rsidR="00BA2374" w:rsidRPr="00DE2D55" w:rsidRDefault="00BA2374" w:rsidP="00FE560B">
      <w:pPr>
        <w:tabs>
          <w:tab w:val="left" w:pos="0"/>
        </w:tabs>
        <w:ind w:firstLine="278"/>
        <w:jc w:val="both"/>
        <w:rPr>
          <w:rFonts w:cs="Arial"/>
          <w:noProof/>
          <w:color w:val="000000" w:themeColor="text1"/>
        </w:rPr>
      </w:pPr>
      <w:r w:rsidRPr="00DE2D55">
        <w:rPr>
          <w:rFonts w:cs="Arial"/>
          <w:noProof/>
          <w:lang w:eastAsia="pt-BR"/>
        </w:rPr>
        <w:drawing>
          <wp:inline distT="0" distB="0" distL="0" distR="0" wp14:anchorId="6D35B21B" wp14:editId="3FFE9BA3">
            <wp:extent cx="5570220" cy="26574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2234" cy="2758624"/>
                    </a:xfrm>
                    <a:prstGeom prst="rect">
                      <a:avLst/>
                    </a:prstGeom>
                    <a:noFill/>
                    <a:ln>
                      <a:noFill/>
                    </a:ln>
                  </pic:spPr>
                </pic:pic>
              </a:graphicData>
            </a:graphic>
          </wp:inline>
        </w:drawing>
      </w: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D117E1" w:rsidRDefault="00D117E1" w:rsidP="00FE560B">
      <w:pPr>
        <w:tabs>
          <w:tab w:val="left" w:pos="0"/>
        </w:tabs>
        <w:jc w:val="both"/>
        <w:rPr>
          <w:rFonts w:cs="Arial"/>
          <w:b/>
        </w:rPr>
      </w:pPr>
    </w:p>
    <w:p w:rsidR="00BA2374" w:rsidRPr="00DE2D55" w:rsidRDefault="00BA2374" w:rsidP="00FE560B">
      <w:pPr>
        <w:tabs>
          <w:tab w:val="left" w:pos="0"/>
        </w:tabs>
        <w:jc w:val="both"/>
        <w:rPr>
          <w:rFonts w:cs="Arial"/>
          <w:b/>
        </w:rPr>
      </w:pPr>
      <w:r w:rsidRPr="00DE2D55">
        <w:rPr>
          <w:rFonts w:cs="Arial"/>
          <w:b/>
        </w:rPr>
        <w:t>Tabela 6– Disponibilidade financeiras mensal em 2017 (em R$)</w:t>
      </w:r>
    </w:p>
    <w:tbl>
      <w:tblPr>
        <w:tblW w:w="5000" w:type="pct"/>
        <w:tblCellMar>
          <w:left w:w="70" w:type="dxa"/>
          <w:right w:w="70" w:type="dxa"/>
        </w:tblCellMar>
        <w:tblLook w:val="04A0" w:firstRow="1" w:lastRow="0" w:firstColumn="1" w:lastColumn="0" w:noHBand="0" w:noVBand="1"/>
      </w:tblPr>
      <w:tblGrid>
        <w:gridCol w:w="1140"/>
        <w:gridCol w:w="1945"/>
        <w:gridCol w:w="1945"/>
        <w:gridCol w:w="1756"/>
        <w:gridCol w:w="1589"/>
        <w:gridCol w:w="1400"/>
      </w:tblGrid>
      <w:tr w:rsidR="00BA2374" w:rsidRPr="00DE2D55" w:rsidTr="00CA21C4">
        <w:trPr>
          <w:trHeight w:val="300"/>
        </w:trPr>
        <w:tc>
          <w:tcPr>
            <w:tcW w:w="583" w:type="pct"/>
            <w:tcBorders>
              <w:top w:val="nil"/>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995" w:type="pct"/>
            <w:tcBorders>
              <w:top w:val="nil"/>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995" w:type="pct"/>
            <w:tcBorders>
              <w:top w:val="single" w:sz="4" w:space="0" w:color="auto"/>
              <w:left w:val="single" w:sz="4" w:space="0" w:color="auto"/>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VALOR:</w:t>
            </w:r>
          </w:p>
        </w:tc>
        <w:tc>
          <w:tcPr>
            <w:tcW w:w="898" w:type="pct"/>
            <w:tcBorders>
              <w:top w:val="single" w:sz="4" w:space="0" w:color="auto"/>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243.442.661</w:t>
            </w:r>
          </w:p>
        </w:tc>
        <w:tc>
          <w:tcPr>
            <w:tcW w:w="813" w:type="pct"/>
            <w:tcBorders>
              <w:top w:val="single" w:sz="4" w:space="0" w:color="auto"/>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716" w:type="pct"/>
            <w:tcBorders>
              <w:top w:val="single" w:sz="4" w:space="0" w:color="auto"/>
              <w:left w:val="nil"/>
              <w:bottom w:val="nil"/>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r>
      <w:tr w:rsidR="00BA2374" w:rsidRPr="00DE2D55" w:rsidTr="00CA21C4">
        <w:trPr>
          <w:trHeight w:val="147"/>
        </w:trPr>
        <w:tc>
          <w:tcPr>
            <w:tcW w:w="583" w:type="pct"/>
            <w:tcBorders>
              <w:top w:val="nil"/>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995" w:type="pct"/>
            <w:tcBorders>
              <w:top w:val="nil"/>
              <w:left w:val="nil"/>
              <w:bottom w:val="nil"/>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995" w:type="pct"/>
            <w:tcBorders>
              <w:top w:val="nil"/>
              <w:left w:val="single" w:sz="4" w:space="0" w:color="auto"/>
              <w:bottom w:val="single" w:sz="4" w:space="0" w:color="auto"/>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w:t>
            </w:r>
          </w:p>
        </w:tc>
        <w:tc>
          <w:tcPr>
            <w:tcW w:w="898" w:type="pct"/>
            <w:tcBorders>
              <w:top w:val="nil"/>
              <w:left w:val="nil"/>
              <w:bottom w:val="single" w:sz="4" w:space="0" w:color="auto"/>
              <w:right w:val="nil"/>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25%</w:t>
            </w:r>
          </w:p>
        </w:tc>
        <w:tc>
          <w:tcPr>
            <w:tcW w:w="1529" w:type="pct"/>
            <w:gridSpan w:val="2"/>
            <w:tcBorders>
              <w:top w:val="nil"/>
              <w:left w:val="nil"/>
              <w:bottom w:val="single" w:sz="4" w:space="0" w:color="auto"/>
              <w:right w:val="single" w:sz="4" w:space="0" w:color="000000"/>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DISPONIBILIDADE BRUTA</w:t>
            </w:r>
          </w:p>
        </w:tc>
      </w:tr>
      <w:tr w:rsidR="00BA2374" w:rsidRPr="00DE2D55" w:rsidTr="00CA21C4">
        <w:trPr>
          <w:trHeight w:val="300"/>
        </w:trPr>
        <w:tc>
          <w:tcPr>
            <w:tcW w:w="58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c>
          <w:tcPr>
            <w:tcW w:w="995" w:type="pct"/>
            <w:tcBorders>
              <w:top w:val="single" w:sz="4" w:space="0" w:color="auto"/>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A</w:t>
            </w:r>
          </w:p>
        </w:tc>
        <w:tc>
          <w:tcPr>
            <w:tcW w:w="995" w:type="pct"/>
            <w:tcBorders>
              <w:top w:val="single" w:sz="4" w:space="0" w:color="auto"/>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B</w:t>
            </w:r>
          </w:p>
        </w:tc>
        <w:tc>
          <w:tcPr>
            <w:tcW w:w="898" w:type="pct"/>
            <w:tcBorders>
              <w:top w:val="single" w:sz="4" w:space="0" w:color="auto"/>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C</w:t>
            </w:r>
          </w:p>
        </w:tc>
        <w:tc>
          <w:tcPr>
            <w:tcW w:w="813" w:type="pct"/>
            <w:tcBorders>
              <w:top w:val="single" w:sz="4" w:space="0" w:color="auto"/>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 = B-C</w:t>
            </w:r>
          </w:p>
        </w:tc>
        <w:tc>
          <w:tcPr>
            <w:tcW w:w="716" w:type="pct"/>
            <w:tcBorders>
              <w:top w:val="single" w:sz="4" w:space="0" w:color="auto"/>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E = 50% D</w:t>
            </w:r>
          </w:p>
        </w:tc>
      </w:tr>
      <w:tr w:rsidR="00BA2374" w:rsidRPr="00DE2D55" w:rsidTr="00CA21C4">
        <w:trPr>
          <w:trHeight w:val="798"/>
        </w:trPr>
        <w:tc>
          <w:tcPr>
            <w:tcW w:w="583" w:type="pct"/>
            <w:tcBorders>
              <w:top w:val="nil"/>
              <w:left w:val="single" w:sz="4" w:space="0" w:color="auto"/>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MÊS</w:t>
            </w:r>
          </w:p>
        </w:tc>
        <w:tc>
          <w:tcPr>
            <w:tcW w:w="995" w:type="pct"/>
            <w:tcBorders>
              <w:top w:val="nil"/>
              <w:left w:val="nil"/>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Disponibilidade Bruta</w:t>
            </w:r>
          </w:p>
        </w:tc>
        <w:tc>
          <w:tcPr>
            <w:tcW w:w="995" w:type="pct"/>
            <w:tcBorders>
              <w:top w:val="nil"/>
              <w:left w:val="nil"/>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Disponibilidade Líquida (antes da inscrição de RP Não Processados)</w:t>
            </w:r>
          </w:p>
        </w:tc>
        <w:tc>
          <w:tcPr>
            <w:tcW w:w="898" w:type="pct"/>
            <w:tcBorders>
              <w:top w:val="nil"/>
              <w:left w:val="nil"/>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Crédito Empenhado em Liquidação</w:t>
            </w:r>
          </w:p>
        </w:tc>
        <w:tc>
          <w:tcPr>
            <w:tcW w:w="813" w:type="pct"/>
            <w:tcBorders>
              <w:top w:val="nil"/>
              <w:left w:val="nil"/>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LÍQUIDO</w:t>
            </w:r>
          </w:p>
        </w:tc>
        <w:tc>
          <w:tcPr>
            <w:tcW w:w="716" w:type="pct"/>
            <w:tcBorders>
              <w:top w:val="nil"/>
              <w:left w:val="nil"/>
              <w:bottom w:val="single" w:sz="4" w:space="0" w:color="auto"/>
              <w:right w:val="single" w:sz="4" w:space="0" w:color="auto"/>
            </w:tcBorders>
            <w:shd w:val="clear" w:color="000000" w:fill="FFFFFF"/>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50% LÍQUIDO</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JAN</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681.119.922</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440.325.178</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364.708.614</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75.616.564</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37.808.282</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FEV</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874.993.688</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663.058.443</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344.170.138</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318.888.306</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159.444.153</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MAR</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786.934.257</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573.079.200</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474.033.968</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99.045.232</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49.522.616</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ABR</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844.430.403</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595.043.916</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452.708.279</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142.335.637</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71.167.819</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MAI</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996.212.034</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790.751.272</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430.537.153</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360.214.119</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180.107.059</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JUN</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1.018.467.742</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827.893.907</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318.821.821</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509.072.086</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254.536.043</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JUL</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1.012.511.099</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821.531.864</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296.089.449</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525.442.415</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262.721.207</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AGO</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1.196.759.793</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1.005.372.485</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271.954.958</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733.417.527</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366.708.763</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SET</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1.122.738.892</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920.944.922</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163.208.004</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757.736.918</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378.868.459</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OUT</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1.105.160.298</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877.451.251</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140.110.816</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737.340.434</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368.670.217</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NOV</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1.175.224.713</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938.953.273</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86.510.834</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852.442.439</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426.221.220</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DEZ</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951.972.407</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739.166.931</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8.094.740</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731.072.191</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365.536.095</w:t>
            </w:r>
          </w:p>
        </w:tc>
      </w:tr>
      <w:tr w:rsidR="00BA2374" w:rsidRPr="00DE2D55" w:rsidTr="00CA21C4">
        <w:trPr>
          <w:trHeight w:val="227"/>
        </w:trPr>
        <w:tc>
          <w:tcPr>
            <w:tcW w:w="583" w:type="pct"/>
            <w:tcBorders>
              <w:top w:val="nil"/>
              <w:left w:val="single" w:sz="4" w:space="0" w:color="auto"/>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MÉDIA</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980.543.771</w:t>
            </w:r>
          </w:p>
        </w:tc>
        <w:tc>
          <w:tcPr>
            <w:tcW w:w="995"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766.131.053</w:t>
            </w:r>
          </w:p>
        </w:tc>
        <w:tc>
          <w:tcPr>
            <w:tcW w:w="898"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279.245.731</w:t>
            </w:r>
          </w:p>
        </w:tc>
        <w:tc>
          <w:tcPr>
            <w:tcW w:w="813"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486.885.322</w:t>
            </w:r>
          </w:p>
        </w:tc>
        <w:tc>
          <w:tcPr>
            <w:tcW w:w="716" w:type="pct"/>
            <w:tcBorders>
              <w:top w:val="nil"/>
              <w:left w:val="nil"/>
              <w:bottom w:val="single" w:sz="4" w:space="0" w:color="auto"/>
              <w:right w:val="single" w:sz="4" w:space="0" w:color="auto"/>
            </w:tcBorders>
            <w:shd w:val="clear" w:color="000000" w:fill="FFFFFF"/>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243.442.661</w:t>
            </w:r>
          </w:p>
        </w:tc>
      </w:tr>
    </w:tbl>
    <w:p w:rsidR="00BA2374" w:rsidRPr="00DE2D55" w:rsidRDefault="00BA2374" w:rsidP="00FE560B">
      <w:pPr>
        <w:tabs>
          <w:tab w:val="left" w:pos="0"/>
        </w:tabs>
        <w:jc w:val="both"/>
        <w:rPr>
          <w:rFonts w:cs="Arial"/>
        </w:rPr>
      </w:pPr>
    </w:p>
    <w:p w:rsidR="00D117E1" w:rsidRPr="00D117E1" w:rsidRDefault="00D117E1" w:rsidP="00D91A7C">
      <w:pPr>
        <w:rPr>
          <w:rFonts w:cs="Calibri"/>
          <w:b/>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3" w:name="_Toc517282149"/>
      <w:r w:rsidRPr="00DE2D55">
        <w:rPr>
          <w:rFonts w:cs="Calibri"/>
          <w:b/>
        </w:rPr>
        <w:t>DESCRIÇÃO DO RESULTADO ESPERADO COM A IMPLANTAÇÃO DOS SUBPRODUTOS E RESPECTIVA LINHA DE BASE</w:t>
      </w:r>
      <w:bookmarkEnd w:id="133"/>
      <w:r w:rsidRPr="00DE2D55">
        <w:rPr>
          <w:rFonts w:cs="Calibri"/>
          <w:b/>
        </w:rPr>
        <w:t xml:space="preserve"> </w:t>
      </w:r>
    </w:p>
    <w:p w:rsidR="00BA2374" w:rsidRPr="00DE2D55" w:rsidRDefault="00BA2374" w:rsidP="00FE560B">
      <w:pPr>
        <w:tabs>
          <w:tab w:val="left" w:pos="0"/>
        </w:tabs>
        <w:jc w:val="both"/>
        <w:rPr>
          <w:rFonts w:cs="Arial"/>
        </w:rPr>
      </w:pPr>
    </w:p>
    <w:p w:rsidR="00BA2374" w:rsidRPr="00DE2D55" w:rsidRDefault="00BA2374" w:rsidP="00FE560B">
      <w:pPr>
        <w:pStyle w:val="Corpodetexto3"/>
        <w:tabs>
          <w:tab w:val="left" w:pos="0"/>
        </w:tabs>
        <w:spacing w:before="0" w:after="0" w:line="360" w:lineRule="auto"/>
        <w:rPr>
          <w:rFonts w:asciiTheme="minorHAnsi" w:hAnsiTheme="minorHAnsi" w:cs="Arial"/>
          <w:b/>
          <w:sz w:val="22"/>
          <w:szCs w:val="22"/>
        </w:rPr>
      </w:pPr>
      <w:r w:rsidRPr="00DE2D55">
        <w:rPr>
          <w:rFonts w:asciiTheme="minorHAnsi" w:hAnsiTheme="minorHAnsi" w:cs="Arial"/>
          <w:b/>
          <w:sz w:val="22"/>
          <w:szCs w:val="22"/>
        </w:rPr>
        <w:t>1.3.1 Resultados quantificáveis</w:t>
      </w:r>
    </w:p>
    <w:p w:rsidR="00BA2374" w:rsidRPr="00DE2D55" w:rsidRDefault="00BA2374" w:rsidP="00FE560B">
      <w:pPr>
        <w:tabs>
          <w:tab w:val="left" w:pos="0"/>
        </w:tabs>
        <w:jc w:val="both"/>
        <w:rPr>
          <w:rFonts w:cs="Arial"/>
          <w:b/>
        </w:rPr>
      </w:pPr>
      <w:r w:rsidRPr="00DE2D55">
        <w:rPr>
          <w:rFonts w:cs="Arial"/>
          <w:b/>
        </w:rPr>
        <w:t>Meta e indicador de Produto:</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1"/>
        <w:gridCol w:w="1168"/>
      </w:tblGrid>
      <w:tr w:rsidR="00BA2374" w:rsidRPr="00DE2D55" w:rsidTr="00CA21C4">
        <w:trPr>
          <w:trHeight w:val="318"/>
        </w:trPr>
        <w:tc>
          <w:tcPr>
            <w:tcW w:w="8471" w:type="dxa"/>
            <w:shd w:val="clear" w:color="auto" w:fill="C5E0B3"/>
          </w:tcPr>
          <w:p w:rsidR="00BA2374" w:rsidRPr="00DE2D55" w:rsidRDefault="00BA2374" w:rsidP="00FE560B">
            <w:pPr>
              <w:tabs>
                <w:tab w:val="left" w:pos="0"/>
              </w:tabs>
              <w:jc w:val="both"/>
              <w:rPr>
                <w:rFonts w:cs="Arial"/>
                <w:b/>
                <w:bCs/>
              </w:rPr>
            </w:pPr>
            <w:r w:rsidRPr="00DE2D55">
              <w:rPr>
                <w:rFonts w:cs="Arial"/>
                <w:b/>
                <w:bCs/>
              </w:rPr>
              <w:t>Indicador do Subproduto</w:t>
            </w:r>
          </w:p>
        </w:tc>
        <w:tc>
          <w:tcPr>
            <w:tcW w:w="1168" w:type="dxa"/>
            <w:shd w:val="clear" w:color="auto" w:fill="C5E0B3"/>
          </w:tcPr>
          <w:p w:rsidR="00BA2374" w:rsidRPr="00DE2D55" w:rsidRDefault="00BA2374" w:rsidP="00FE560B">
            <w:pPr>
              <w:tabs>
                <w:tab w:val="left" w:pos="0"/>
              </w:tabs>
              <w:jc w:val="both"/>
              <w:rPr>
                <w:rFonts w:cs="Arial"/>
                <w:b/>
                <w:bCs/>
              </w:rPr>
            </w:pPr>
            <w:r w:rsidRPr="00DE2D55">
              <w:rPr>
                <w:rFonts w:cs="Arial"/>
                <w:b/>
                <w:bCs/>
              </w:rPr>
              <w:t>Meta</w:t>
            </w:r>
          </w:p>
        </w:tc>
      </w:tr>
      <w:tr w:rsidR="00BA2374" w:rsidRPr="00DE2D55" w:rsidTr="00CA21C4">
        <w:trPr>
          <w:trHeight w:val="318"/>
        </w:trPr>
        <w:tc>
          <w:tcPr>
            <w:tcW w:w="8471" w:type="dxa"/>
            <w:shd w:val="clear" w:color="auto" w:fill="auto"/>
          </w:tcPr>
          <w:p w:rsidR="00BA2374" w:rsidRPr="00DE2D55" w:rsidRDefault="00BA2374" w:rsidP="00FE560B">
            <w:pPr>
              <w:tabs>
                <w:tab w:val="left" w:pos="0"/>
              </w:tabs>
              <w:jc w:val="both"/>
              <w:rPr>
                <w:rFonts w:cs="Arial"/>
                <w:noProof/>
              </w:rPr>
            </w:pPr>
            <w:r w:rsidRPr="00DE2D55">
              <w:rPr>
                <w:rFonts w:cs="Arial"/>
                <w:noProof/>
              </w:rPr>
              <w:t>3.2.1 Metodologia para elaboração de programação e execução financeira</w:t>
            </w:r>
          </w:p>
        </w:tc>
        <w:tc>
          <w:tcPr>
            <w:tcW w:w="1168" w:type="dxa"/>
            <w:shd w:val="clear" w:color="auto" w:fill="auto"/>
          </w:tcPr>
          <w:p w:rsidR="00BA2374" w:rsidRPr="00DE2D55" w:rsidRDefault="00BA2374" w:rsidP="00FE560B">
            <w:pPr>
              <w:tabs>
                <w:tab w:val="left" w:pos="0"/>
              </w:tabs>
              <w:jc w:val="both"/>
              <w:rPr>
                <w:rFonts w:cs="Arial"/>
                <w:bCs/>
              </w:rPr>
            </w:pPr>
            <w:r w:rsidRPr="00DE2D55">
              <w:rPr>
                <w:rFonts w:cs="Arial"/>
                <w:bCs/>
              </w:rPr>
              <w:t>1</w:t>
            </w:r>
          </w:p>
        </w:tc>
      </w:tr>
      <w:tr w:rsidR="00BA2374" w:rsidRPr="00DE2D55" w:rsidTr="00CA21C4">
        <w:trPr>
          <w:trHeight w:val="318"/>
        </w:trPr>
        <w:tc>
          <w:tcPr>
            <w:tcW w:w="8471" w:type="dxa"/>
            <w:shd w:val="clear" w:color="auto" w:fill="auto"/>
          </w:tcPr>
          <w:p w:rsidR="00BA2374" w:rsidRPr="00DE2D55" w:rsidRDefault="00BA2374" w:rsidP="00FE560B">
            <w:pPr>
              <w:tabs>
                <w:tab w:val="left" w:pos="0"/>
              </w:tabs>
              <w:jc w:val="both"/>
              <w:rPr>
                <w:rFonts w:cs="Arial"/>
                <w:noProof/>
              </w:rPr>
            </w:pPr>
            <w:r w:rsidRPr="00DE2D55">
              <w:rPr>
                <w:rFonts w:cs="Arial"/>
                <w:noProof/>
              </w:rPr>
              <w:t>3.2.2 Modelo de gestão de ativos</w:t>
            </w:r>
          </w:p>
        </w:tc>
        <w:tc>
          <w:tcPr>
            <w:tcW w:w="1168" w:type="dxa"/>
            <w:shd w:val="clear" w:color="auto" w:fill="auto"/>
          </w:tcPr>
          <w:p w:rsidR="00BA2374" w:rsidRPr="00DE2D55" w:rsidRDefault="00BA2374" w:rsidP="00FE560B">
            <w:pPr>
              <w:tabs>
                <w:tab w:val="left" w:pos="0"/>
              </w:tabs>
              <w:jc w:val="both"/>
              <w:rPr>
                <w:rFonts w:cs="Arial"/>
                <w:bCs/>
              </w:rPr>
            </w:pPr>
            <w:r w:rsidRPr="00DE2D55">
              <w:rPr>
                <w:rFonts w:cs="Arial"/>
                <w:bCs/>
              </w:rPr>
              <w:t>1</w:t>
            </w:r>
          </w:p>
        </w:tc>
      </w:tr>
    </w:tbl>
    <w:p w:rsidR="00BA2374" w:rsidRPr="00DE2D55" w:rsidRDefault="00BA2374" w:rsidP="00FE560B">
      <w:pPr>
        <w:tabs>
          <w:tab w:val="left" w:pos="0"/>
        </w:tabs>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125"/>
        <w:gridCol w:w="1982"/>
        <w:gridCol w:w="3288"/>
      </w:tblGrid>
      <w:tr w:rsidR="00BA2374" w:rsidRPr="00DE2D55" w:rsidTr="00CA21C4">
        <w:tc>
          <w:tcPr>
            <w:tcW w:w="2376"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Resultado 1</w:t>
            </w:r>
          </w:p>
        </w:tc>
        <w:tc>
          <w:tcPr>
            <w:tcW w:w="7403" w:type="dxa"/>
            <w:gridSpan w:val="3"/>
            <w:vAlign w:val="center"/>
          </w:tcPr>
          <w:p w:rsidR="00BA2374" w:rsidRPr="00DE2D55" w:rsidRDefault="00BA2374" w:rsidP="00FE560B">
            <w:pPr>
              <w:tabs>
                <w:tab w:val="left" w:pos="0"/>
              </w:tabs>
              <w:jc w:val="both"/>
              <w:rPr>
                <w:rFonts w:cs="Arial"/>
                <w:b/>
              </w:rPr>
            </w:pPr>
            <w:r w:rsidRPr="00DE2D55">
              <w:rPr>
                <w:rFonts w:cs="Arial"/>
                <w:b/>
              </w:rPr>
              <w:t>Metodologia para elaboração de programação e execução financeira</w:t>
            </w:r>
          </w:p>
        </w:tc>
      </w:tr>
      <w:tr w:rsidR="00BA2374" w:rsidRPr="00DE2D55" w:rsidTr="00CA21C4">
        <w:tc>
          <w:tcPr>
            <w:tcW w:w="2376"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Fórmula de cálculo</w:t>
            </w:r>
          </w:p>
        </w:tc>
        <w:tc>
          <w:tcPr>
            <w:tcW w:w="7403" w:type="dxa"/>
            <w:gridSpan w:val="3"/>
            <w:vAlign w:val="center"/>
          </w:tcPr>
          <w:p w:rsidR="00BA2374" w:rsidRPr="00DE2D55" w:rsidRDefault="00BA2374" w:rsidP="00FE560B">
            <w:pPr>
              <w:tabs>
                <w:tab w:val="left" w:pos="0"/>
              </w:tabs>
              <w:jc w:val="both"/>
              <w:rPr>
                <w:rFonts w:cs="Arial"/>
                <w:b/>
              </w:rPr>
            </w:pPr>
            <w:r w:rsidRPr="00DE2D55">
              <w:rPr>
                <w:rFonts w:cs="Arial"/>
                <w:b/>
              </w:rPr>
              <w:t>Metodologia implantada</w:t>
            </w:r>
          </w:p>
        </w:tc>
      </w:tr>
      <w:tr w:rsidR="00BA2374" w:rsidRPr="00DE2D55" w:rsidTr="00CA21C4">
        <w:tc>
          <w:tcPr>
            <w:tcW w:w="2376"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Unidade de medida</w:t>
            </w:r>
          </w:p>
        </w:tc>
        <w:tc>
          <w:tcPr>
            <w:tcW w:w="2127"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Meta (fim do projeto)</w:t>
            </w:r>
          </w:p>
        </w:tc>
        <w:tc>
          <w:tcPr>
            <w:tcW w:w="1984"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Linha de Base (2017)</w:t>
            </w:r>
          </w:p>
        </w:tc>
        <w:tc>
          <w:tcPr>
            <w:tcW w:w="3292"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Fonte</w:t>
            </w:r>
          </w:p>
        </w:tc>
      </w:tr>
      <w:tr w:rsidR="00BA2374" w:rsidRPr="00DE2D55" w:rsidTr="00CA21C4">
        <w:tc>
          <w:tcPr>
            <w:tcW w:w="2376" w:type="dxa"/>
            <w:vAlign w:val="center"/>
          </w:tcPr>
          <w:p w:rsidR="00BA2374" w:rsidRPr="00DE2D55" w:rsidRDefault="00BA2374" w:rsidP="00FE560B">
            <w:pPr>
              <w:tabs>
                <w:tab w:val="left" w:pos="0"/>
              </w:tabs>
              <w:jc w:val="both"/>
              <w:rPr>
                <w:rFonts w:cs="Arial"/>
              </w:rPr>
            </w:pPr>
            <w:r w:rsidRPr="00DE2D55">
              <w:rPr>
                <w:rFonts w:cs="Arial"/>
              </w:rPr>
              <w:t>Normativo</w:t>
            </w:r>
          </w:p>
        </w:tc>
        <w:tc>
          <w:tcPr>
            <w:tcW w:w="2127" w:type="dxa"/>
            <w:vAlign w:val="center"/>
          </w:tcPr>
          <w:p w:rsidR="00BA2374" w:rsidRPr="00DE2D55" w:rsidRDefault="00BA2374" w:rsidP="00FE560B">
            <w:pPr>
              <w:tabs>
                <w:tab w:val="left" w:pos="0"/>
              </w:tabs>
              <w:jc w:val="both"/>
              <w:rPr>
                <w:rFonts w:cs="Arial"/>
              </w:rPr>
            </w:pPr>
            <w:r w:rsidRPr="00DE2D55">
              <w:rPr>
                <w:rFonts w:cs="Arial"/>
              </w:rPr>
              <w:t>1</w:t>
            </w:r>
          </w:p>
        </w:tc>
        <w:tc>
          <w:tcPr>
            <w:tcW w:w="1984" w:type="dxa"/>
            <w:vAlign w:val="center"/>
          </w:tcPr>
          <w:p w:rsidR="00BA2374" w:rsidRPr="00DE2D55" w:rsidRDefault="00BA2374" w:rsidP="00FE560B">
            <w:pPr>
              <w:tabs>
                <w:tab w:val="left" w:pos="0"/>
              </w:tabs>
              <w:jc w:val="both"/>
              <w:rPr>
                <w:rFonts w:cs="Arial"/>
              </w:rPr>
            </w:pPr>
            <w:r w:rsidRPr="00DE2D55">
              <w:rPr>
                <w:rFonts w:cs="Arial"/>
              </w:rPr>
              <w:t>0</w:t>
            </w:r>
          </w:p>
        </w:tc>
        <w:tc>
          <w:tcPr>
            <w:tcW w:w="3292" w:type="dxa"/>
            <w:vAlign w:val="center"/>
          </w:tcPr>
          <w:p w:rsidR="00BA2374" w:rsidRPr="00DE2D55" w:rsidRDefault="00BA2374" w:rsidP="00FE560B">
            <w:pPr>
              <w:tabs>
                <w:tab w:val="left" w:pos="0"/>
              </w:tabs>
              <w:jc w:val="both"/>
              <w:rPr>
                <w:rFonts w:cs="Arial"/>
              </w:rPr>
            </w:pPr>
            <w:r w:rsidRPr="00DE2D55">
              <w:rPr>
                <w:rFonts w:cs="Arial"/>
              </w:rPr>
              <w:t>DIO ES</w:t>
            </w:r>
          </w:p>
        </w:tc>
      </w:tr>
    </w:tbl>
    <w:p w:rsidR="00BA2374" w:rsidRDefault="00BA2374" w:rsidP="00FE560B">
      <w:pPr>
        <w:tabs>
          <w:tab w:val="left" w:pos="0"/>
        </w:tabs>
        <w:jc w:val="both"/>
        <w:rPr>
          <w:rFonts w:cs="Arial"/>
        </w:rPr>
      </w:pPr>
    </w:p>
    <w:p w:rsidR="00D117E1" w:rsidRDefault="00D117E1" w:rsidP="00FE560B">
      <w:pPr>
        <w:tabs>
          <w:tab w:val="left" w:pos="0"/>
        </w:tabs>
        <w:jc w:val="both"/>
        <w:rPr>
          <w:rFonts w:cs="Arial"/>
        </w:rPr>
      </w:pPr>
    </w:p>
    <w:p w:rsidR="00D117E1" w:rsidRPr="00DE2D55" w:rsidRDefault="00D117E1" w:rsidP="00FE560B">
      <w:pPr>
        <w:tabs>
          <w:tab w:val="left" w:pos="0"/>
        </w:tabs>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125"/>
        <w:gridCol w:w="1982"/>
        <w:gridCol w:w="3290"/>
      </w:tblGrid>
      <w:tr w:rsidR="00BA2374" w:rsidRPr="00DE2D55" w:rsidTr="00D117E1">
        <w:tc>
          <w:tcPr>
            <w:tcW w:w="2373"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Resultado 2</w:t>
            </w:r>
          </w:p>
        </w:tc>
        <w:tc>
          <w:tcPr>
            <w:tcW w:w="7397" w:type="dxa"/>
            <w:gridSpan w:val="3"/>
            <w:vAlign w:val="center"/>
          </w:tcPr>
          <w:p w:rsidR="00BA2374" w:rsidRPr="00DE2D55" w:rsidRDefault="00BA2374" w:rsidP="00FE560B">
            <w:pPr>
              <w:tabs>
                <w:tab w:val="left" w:pos="0"/>
              </w:tabs>
              <w:jc w:val="both"/>
              <w:rPr>
                <w:rFonts w:cs="Arial"/>
                <w:b/>
              </w:rPr>
            </w:pPr>
            <w:r w:rsidRPr="00DE2D55">
              <w:rPr>
                <w:rFonts w:cs="Arial"/>
              </w:rPr>
              <w:t>Modelo de gestão de ativos financeiros e imóveis</w:t>
            </w:r>
          </w:p>
        </w:tc>
      </w:tr>
      <w:tr w:rsidR="00BA2374" w:rsidRPr="00DE2D55" w:rsidTr="00D117E1">
        <w:tc>
          <w:tcPr>
            <w:tcW w:w="2373"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Fórmula de cálculo</w:t>
            </w:r>
          </w:p>
        </w:tc>
        <w:tc>
          <w:tcPr>
            <w:tcW w:w="7397" w:type="dxa"/>
            <w:gridSpan w:val="3"/>
            <w:vAlign w:val="center"/>
          </w:tcPr>
          <w:p w:rsidR="00BA2374" w:rsidRPr="00DE2D55" w:rsidRDefault="00BA2374" w:rsidP="00FE560B">
            <w:pPr>
              <w:tabs>
                <w:tab w:val="left" w:pos="0"/>
              </w:tabs>
              <w:jc w:val="both"/>
              <w:rPr>
                <w:rFonts w:cs="Arial"/>
                <w:b/>
              </w:rPr>
            </w:pPr>
            <w:r w:rsidRPr="00DE2D55">
              <w:rPr>
                <w:rFonts w:cs="Arial"/>
                <w:b/>
              </w:rPr>
              <w:t>Modelo implantado</w:t>
            </w:r>
          </w:p>
        </w:tc>
      </w:tr>
      <w:tr w:rsidR="00BA2374" w:rsidRPr="00DE2D55" w:rsidTr="00D117E1">
        <w:tc>
          <w:tcPr>
            <w:tcW w:w="2373"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Unidade de medida</w:t>
            </w:r>
          </w:p>
        </w:tc>
        <w:tc>
          <w:tcPr>
            <w:tcW w:w="2125"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Meta (fim do projeto)</w:t>
            </w:r>
          </w:p>
        </w:tc>
        <w:tc>
          <w:tcPr>
            <w:tcW w:w="1982"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Linha de Base (2017)</w:t>
            </w:r>
          </w:p>
        </w:tc>
        <w:tc>
          <w:tcPr>
            <w:tcW w:w="3290" w:type="dxa"/>
            <w:shd w:val="clear" w:color="auto" w:fill="C5E0B3"/>
            <w:vAlign w:val="center"/>
          </w:tcPr>
          <w:p w:rsidR="00BA2374" w:rsidRPr="00DE2D55" w:rsidRDefault="00BA2374" w:rsidP="00FE560B">
            <w:pPr>
              <w:tabs>
                <w:tab w:val="left" w:pos="0"/>
              </w:tabs>
              <w:jc w:val="both"/>
              <w:rPr>
                <w:rFonts w:cs="Arial"/>
                <w:b/>
              </w:rPr>
            </w:pPr>
            <w:r w:rsidRPr="00DE2D55">
              <w:rPr>
                <w:rFonts w:cs="Arial"/>
                <w:b/>
              </w:rPr>
              <w:t>Fonte</w:t>
            </w:r>
          </w:p>
        </w:tc>
      </w:tr>
      <w:tr w:rsidR="00BA2374" w:rsidRPr="00DE2D55" w:rsidTr="00D117E1">
        <w:tc>
          <w:tcPr>
            <w:tcW w:w="2373" w:type="dxa"/>
            <w:vAlign w:val="center"/>
          </w:tcPr>
          <w:p w:rsidR="00BA2374" w:rsidRPr="00DE2D55" w:rsidRDefault="00BA2374" w:rsidP="00FE560B">
            <w:pPr>
              <w:tabs>
                <w:tab w:val="left" w:pos="0"/>
              </w:tabs>
              <w:jc w:val="both"/>
              <w:rPr>
                <w:rFonts w:cs="Arial"/>
              </w:rPr>
            </w:pPr>
            <w:r w:rsidRPr="00DE2D55">
              <w:rPr>
                <w:rFonts w:cs="Arial"/>
              </w:rPr>
              <w:t xml:space="preserve">UG </w:t>
            </w:r>
          </w:p>
        </w:tc>
        <w:tc>
          <w:tcPr>
            <w:tcW w:w="2125" w:type="dxa"/>
            <w:vAlign w:val="center"/>
          </w:tcPr>
          <w:p w:rsidR="00BA2374" w:rsidRPr="00DE2D55" w:rsidRDefault="00BA2374" w:rsidP="00FE560B">
            <w:pPr>
              <w:tabs>
                <w:tab w:val="left" w:pos="0"/>
              </w:tabs>
              <w:jc w:val="both"/>
              <w:rPr>
                <w:rFonts w:cs="Arial"/>
              </w:rPr>
            </w:pPr>
            <w:r w:rsidRPr="00DE2D55">
              <w:rPr>
                <w:rFonts w:cs="Arial"/>
              </w:rPr>
              <w:t>1</w:t>
            </w:r>
          </w:p>
        </w:tc>
        <w:tc>
          <w:tcPr>
            <w:tcW w:w="1982" w:type="dxa"/>
            <w:vAlign w:val="center"/>
          </w:tcPr>
          <w:p w:rsidR="00BA2374" w:rsidRPr="00DE2D55" w:rsidRDefault="00BA2374" w:rsidP="00FE560B">
            <w:pPr>
              <w:tabs>
                <w:tab w:val="left" w:pos="0"/>
              </w:tabs>
              <w:jc w:val="both"/>
              <w:rPr>
                <w:rFonts w:cs="Arial"/>
              </w:rPr>
            </w:pPr>
            <w:r w:rsidRPr="00DE2D55">
              <w:rPr>
                <w:rFonts w:cs="Arial"/>
              </w:rPr>
              <w:t>0</w:t>
            </w:r>
          </w:p>
        </w:tc>
        <w:tc>
          <w:tcPr>
            <w:tcW w:w="3290" w:type="dxa"/>
            <w:vAlign w:val="center"/>
          </w:tcPr>
          <w:p w:rsidR="00BA2374" w:rsidRPr="00DE2D55" w:rsidRDefault="00BA2374" w:rsidP="00FE560B">
            <w:pPr>
              <w:tabs>
                <w:tab w:val="left" w:pos="0"/>
              </w:tabs>
              <w:jc w:val="both"/>
              <w:rPr>
                <w:rFonts w:cs="Arial"/>
              </w:rPr>
            </w:pPr>
            <w:r w:rsidRPr="00DE2D55">
              <w:rPr>
                <w:rFonts w:cs="Arial"/>
              </w:rPr>
              <w:t>DIO ES/SIGEFES/OUTROS</w:t>
            </w:r>
          </w:p>
        </w:tc>
      </w:tr>
    </w:tbl>
    <w:p w:rsidR="00BA2374" w:rsidRDefault="00BA2374" w:rsidP="00FE560B">
      <w:pPr>
        <w:tabs>
          <w:tab w:val="left" w:pos="0"/>
        </w:tabs>
        <w:jc w:val="both"/>
        <w:rPr>
          <w:rFonts w:cs="Arial"/>
        </w:rPr>
      </w:pPr>
    </w:p>
    <w:p w:rsidR="00D117E1" w:rsidRPr="00DE2D55" w:rsidRDefault="00D117E1" w:rsidP="00FE560B">
      <w:pPr>
        <w:tabs>
          <w:tab w:val="left" w:pos="0"/>
        </w:tabs>
        <w:jc w:val="both"/>
        <w:rPr>
          <w:rFonts w:cs="Arial"/>
        </w:rPr>
      </w:pPr>
    </w:p>
    <w:p w:rsidR="00BA2374" w:rsidRPr="00DE2D55" w:rsidRDefault="00BA2374" w:rsidP="00FE560B">
      <w:pPr>
        <w:pStyle w:val="Corpodetexto3"/>
        <w:tabs>
          <w:tab w:val="left" w:pos="0"/>
        </w:tabs>
        <w:spacing w:before="0" w:after="0" w:line="360" w:lineRule="auto"/>
        <w:rPr>
          <w:rFonts w:asciiTheme="minorHAnsi" w:hAnsiTheme="minorHAnsi" w:cs="Arial"/>
          <w:b/>
          <w:sz w:val="22"/>
          <w:szCs w:val="22"/>
        </w:rPr>
      </w:pPr>
      <w:r w:rsidRPr="00DE2D55">
        <w:rPr>
          <w:rFonts w:asciiTheme="minorHAnsi" w:hAnsiTheme="minorHAnsi" w:cs="Arial"/>
          <w:b/>
          <w:sz w:val="22"/>
          <w:szCs w:val="22"/>
        </w:rPr>
        <w:t xml:space="preserve">1.3.2 Outros possíveis resultados </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 xml:space="preserve">Controle quantitativo e qualitativo de gastos ao nível de subitem de despesas, permitindo uma alocação mais eficiente de recursos por áreas prioritárias do governo. </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Maior controle e transparência das finanças estaduais por parte da sociedade civil organizada e de todos os órgãos de governo.</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Redução dos custos com espaços não aproveitados e aumento da receita com alienação de imóveis disponíveis.</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Acréscimos adicionais de receitas de rendimentos de aplicações financeiras e redução das despesas com empréstimos/manutenção de imóveis, na medida que aumenta a disponibilidade de recursos próprios.</w:t>
      </w:r>
    </w:p>
    <w:p w:rsidR="00BA2374" w:rsidRPr="00DE2D55" w:rsidRDefault="00BA2374" w:rsidP="00FE560B">
      <w:pPr>
        <w:pStyle w:val="Corpodetexto3"/>
        <w:tabs>
          <w:tab w:val="left" w:pos="0"/>
        </w:tabs>
        <w:spacing w:before="0" w:after="0" w:line="360" w:lineRule="auto"/>
        <w:rPr>
          <w:rFonts w:asciiTheme="minorHAnsi" w:hAnsiTheme="minorHAnsi" w:cs="Arial"/>
          <w:sz w:val="22"/>
          <w:szCs w:val="22"/>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4" w:name="_Toc517282150"/>
      <w:r w:rsidRPr="00DE2D55">
        <w:rPr>
          <w:rFonts w:cs="Calibri"/>
          <w:b/>
        </w:rPr>
        <w:t>ASPECTO INOVADOR DO SUBPRODUTO</w:t>
      </w:r>
      <w:bookmarkEnd w:id="134"/>
    </w:p>
    <w:p w:rsidR="00BA2374" w:rsidRPr="00DE2D55" w:rsidRDefault="00BA2374" w:rsidP="00FE560B">
      <w:pPr>
        <w:pStyle w:val="PargrafodaLista"/>
        <w:tabs>
          <w:tab w:val="left" w:pos="0"/>
        </w:tabs>
        <w:jc w:val="both"/>
        <w:rPr>
          <w:rFonts w:cs="Arial"/>
        </w:rPr>
      </w:pP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 xml:space="preserve">Desvincular a programação financeira da programação orçamentária, porquanto esta última é rígida e nem sempre acompanha as alterações conjunturais que se apresentam ao longo do exercício, o que imprimiria maior eficácia na alocação de recursos. </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Imprimir alto grau tecnológico e de técnica à gestão dos recursos financeiros do estado.</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Visão de médio e longo prazo implantada na gestão de ativos financeiros e investimentos.</w:t>
      </w:r>
    </w:p>
    <w:p w:rsidR="00BA2374" w:rsidRPr="00DE2D55" w:rsidRDefault="00BA2374" w:rsidP="00A249C9">
      <w:pPr>
        <w:pStyle w:val="PargrafodaLista"/>
        <w:numPr>
          <w:ilvl w:val="0"/>
          <w:numId w:val="69"/>
        </w:numPr>
        <w:tabs>
          <w:tab w:val="left" w:pos="0"/>
        </w:tabs>
        <w:contextualSpacing w:val="0"/>
        <w:jc w:val="both"/>
        <w:rPr>
          <w:rFonts w:cs="Arial"/>
        </w:rPr>
      </w:pPr>
      <w:r w:rsidRPr="00DE2D55">
        <w:rPr>
          <w:rFonts w:cs="Arial"/>
        </w:rPr>
        <w:t>Visão estratégica na alocação e utilização do espaço físico disponível ao estado.</w:t>
      </w:r>
    </w:p>
    <w:p w:rsidR="00BA2374" w:rsidRPr="00DE2D55" w:rsidRDefault="00BA2374" w:rsidP="00FE560B">
      <w:pPr>
        <w:pStyle w:val="Corpodetexto3"/>
        <w:tabs>
          <w:tab w:val="left" w:pos="0"/>
        </w:tabs>
        <w:spacing w:before="0" w:after="0" w:line="360" w:lineRule="auto"/>
        <w:ind w:left="0" w:firstLine="0"/>
        <w:rPr>
          <w:rFonts w:asciiTheme="minorHAnsi" w:hAnsiTheme="minorHAnsi" w:cs="Arial"/>
          <w:sz w:val="22"/>
          <w:szCs w:val="22"/>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5" w:name="_Toc517282151"/>
      <w:r w:rsidRPr="00DE2D55">
        <w:rPr>
          <w:rFonts w:cs="Calibri"/>
          <w:b/>
        </w:rPr>
        <w:t>IMPACTOS POTENCIAIS DO SUBPRODUTO</w:t>
      </w:r>
      <w:bookmarkEnd w:id="135"/>
    </w:p>
    <w:p w:rsidR="00BA2374" w:rsidRPr="00DE2D55" w:rsidRDefault="00BA2374" w:rsidP="00FE560B">
      <w:pPr>
        <w:tabs>
          <w:tab w:val="left" w:pos="0"/>
        </w:tabs>
        <w:jc w:val="both"/>
        <w:rPr>
          <w:rFonts w:cs="Arial"/>
        </w:rPr>
      </w:pPr>
    </w:p>
    <w:p w:rsidR="00BA2374" w:rsidRPr="00DE2D55" w:rsidRDefault="00BA2374" w:rsidP="00FE560B">
      <w:pPr>
        <w:pStyle w:val="Corpodetexto3"/>
        <w:tabs>
          <w:tab w:val="left" w:pos="0"/>
        </w:tabs>
        <w:spacing w:before="0" w:after="0" w:line="360" w:lineRule="auto"/>
        <w:rPr>
          <w:rFonts w:asciiTheme="minorHAnsi" w:hAnsiTheme="minorHAnsi" w:cs="Arial"/>
          <w:b/>
          <w:sz w:val="22"/>
          <w:szCs w:val="22"/>
        </w:rPr>
      </w:pPr>
      <w:r w:rsidRPr="00DE2D55">
        <w:rPr>
          <w:rFonts w:asciiTheme="minorHAnsi" w:hAnsiTheme="minorHAnsi" w:cs="Arial"/>
          <w:b/>
          <w:sz w:val="22"/>
          <w:szCs w:val="22"/>
        </w:rPr>
        <w:t>4.5.1 Para o aumento da arrecadação:</w:t>
      </w:r>
    </w:p>
    <w:p w:rsidR="00BA2374" w:rsidRPr="00DE2D55" w:rsidRDefault="00BA2374" w:rsidP="00A249C9">
      <w:pPr>
        <w:pStyle w:val="PargrafodaLista"/>
        <w:numPr>
          <w:ilvl w:val="0"/>
          <w:numId w:val="71"/>
        </w:numPr>
        <w:tabs>
          <w:tab w:val="left" w:pos="0"/>
        </w:tabs>
        <w:contextualSpacing w:val="0"/>
        <w:jc w:val="both"/>
        <w:rPr>
          <w:rFonts w:cs="Arial"/>
        </w:rPr>
      </w:pPr>
      <w:r w:rsidRPr="00DE2D55">
        <w:rPr>
          <w:rFonts w:cs="Arial"/>
        </w:rPr>
        <w:t>Aumento da receita de alienação de imóveis e, consequentemente, das receitas com aplicações financeiras destes recursos. Também, redução de custos com manutenção e alocação dos imóveis vendidos.</w:t>
      </w:r>
    </w:p>
    <w:p w:rsidR="00BA2374" w:rsidRPr="00DE2D55" w:rsidRDefault="00BA2374" w:rsidP="00A249C9">
      <w:pPr>
        <w:pStyle w:val="PargrafodaLista"/>
        <w:numPr>
          <w:ilvl w:val="0"/>
          <w:numId w:val="71"/>
        </w:numPr>
        <w:tabs>
          <w:tab w:val="left" w:pos="0"/>
        </w:tabs>
        <w:contextualSpacing w:val="0"/>
        <w:jc w:val="both"/>
        <w:rPr>
          <w:rFonts w:cs="Arial"/>
        </w:rPr>
      </w:pPr>
      <w:r w:rsidRPr="00DE2D55">
        <w:rPr>
          <w:rFonts w:cs="Arial"/>
        </w:rPr>
        <w:t>Aumento da receita de aplicações financeiras e redução de custos com empréstimos para respaldar investimentos.</w:t>
      </w:r>
    </w:p>
    <w:p w:rsidR="00BA2374" w:rsidRPr="00DE2D55" w:rsidRDefault="00BA2374" w:rsidP="00FE560B">
      <w:pPr>
        <w:tabs>
          <w:tab w:val="left" w:pos="0"/>
        </w:tabs>
        <w:jc w:val="both"/>
        <w:rPr>
          <w:rFonts w:cs="Arial"/>
        </w:rPr>
      </w:pPr>
    </w:p>
    <w:p w:rsidR="00BA2374" w:rsidRPr="00DE2D55" w:rsidRDefault="00BA2374" w:rsidP="00FE560B">
      <w:pPr>
        <w:pStyle w:val="Corpodetexto3"/>
        <w:tabs>
          <w:tab w:val="left" w:pos="0"/>
        </w:tabs>
        <w:spacing w:before="0" w:after="0" w:line="360" w:lineRule="auto"/>
        <w:rPr>
          <w:rFonts w:asciiTheme="minorHAnsi" w:hAnsiTheme="minorHAnsi" w:cs="Arial"/>
          <w:b/>
          <w:sz w:val="22"/>
          <w:szCs w:val="22"/>
        </w:rPr>
      </w:pPr>
      <w:r w:rsidRPr="00DE2D55">
        <w:rPr>
          <w:rFonts w:asciiTheme="minorHAnsi" w:hAnsiTheme="minorHAnsi" w:cs="Arial"/>
          <w:b/>
          <w:sz w:val="22"/>
          <w:szCs w:val="22"/>
        </w:rPr>
        <w:t>1.5.1 Para redução ou aumento da eficiência dos gastos:</w:t>
      </w:r>
    </w:p>
    <w:p w:rsidR="00BA2374" w:rsidRPr="00DE2D55" w:rsidRDefault="00BA2374" w:rsidP="00A249C9">
      <w:pPr>
        <w:pStyle w:val="PargrafodaLista"/>
        <w:numPr>
          <w:ilvl w:val="0"/>
          <w:numId w:val="72"/>
        </w:numPr>
        <w:tabs>
          <w:tab w:val="left" w:pos="0"/>
        </w:tabs>
        <w:contextualSpacing w:val="0"/>
        <w:jc w:val="both"/>
        <w:rPr>
          <w:rFonts w:cs="Arial"/>
        </w:rPr>
      </w:pPr>
      <w:r w:rsidRPr="00DE2D55">
        <w:rPr>
          <w:rFonts w:cs="Arial"/>
        </w:rPr>
        <w:t xml:space="preserve">Controle mais efetivo dos subitens de despesas através de metas de cotas financeiras que reflitam políticas de ajustes fiscais e objetivos prioritários de governo. </w:t>
      </w:r>
    </w:p>
    <w:p w:rsidR="00BA2374" w:rsidRPr="00DE2D55" w:rsidRDefault="00BA2374" w:rsidP="00A249C9">
      <w:pPr>
        <w:pStyle w:val="PargrafodaLista"/>
        <w:numPr>
          <w:ilvl w:val="0"/>
          <w:numId w:val="72"/>
        </w:numPr>
        <w:tabs>
          <w:tab w:val="left" w:pos="0"/>
        </w:tabs>
        <w:contextualSpacing w:val="0"/>
        <w:jc w:val="both"/>
        <w:rPr>
          <w:rFonts w:cs="Arial"/>
        </w:rPr>
      </w:pPr>
      <w:r w:rsidRPr="00DE2D55">
        <w:rPr>
          <w:rFonts w:cs="Arial"/>
        </w:rPr>
        <w:t>Maior transparência e efetividade no controle e alocação dos recursos financeiros.</w:t>
      </w:r>
    </w:p>
    <w:p w:rsidR="00BA2374" w:rsidRPr="00DE2D55" w:rsidRDefault="00BA2374" w:rsidP="00FE560B">
      <w:pPr>
        <w:tabs>
          <w:tab w:val="left" w:pos="0"/>
        </w:tabs>
        <w:jc w:val="both"/>
        <w:rPr>
          <w:rFonts w:cs="Arial"/>
        </w:rPr>
      </w:pPr>
    </w:p>
    <w:p w:rsidR="00BA2374" w:rsidRPr="00DE2D55" w:rsidRDefault="00BA2374" w:rsidP="00FE560B">
      <w:pPr>
        <w:tabs>
          <w:tab w:val="left" w:pos="0"/>
        </w:tabs>
        <w:jc w:val="both"/>
        <w:rPr>
          <w:rFonts w:cs="Arial"/>
        </w:rPr>
      </w:pPr>
    </w:p>
    <w:p w:rsidR="00BA2374" w:rsidRPr="00DE2D55" w:rsidRDefault="00BA2374" w:rsidP="00A249C9">
      <w:pPr>
        <w:pStyle w:val="PargrafodaLista"/>
        <w:numPr>
          <w:ilvl w:val="1"/>
          <w:numId w:val="73"/>
        </w:numPr>
        <w:pBdr>
          <w:bottom w:val="single" w:sz="12" w:space="1" w:color="auto"/>
        </w:pBdr>
        <w:tabs>
          <w:tab w:val="left" w:pos="0"/>
        </w:tabs>
        <w:jc w:val="both"/>
        <w:outlineLvl w:val="2"/>
        <w:rPr>
          <w:rFonts w:cs="Calibri"/>
          <w:b/>
        </w:rPr>
      </w:pPr>
      <w:bookmarkStart w:id="136" w:name="_Toc517282152"/>
      <w:r w:rsidRPr="00DE2D55">
        <w:rPr>
          <w:rFonts w:cs="Calibri"/>
          <w:b/>
        </w:rPr>
        <w:t>RISCOS DE EXECUÇÃO DO SUBPRODUTO</w:t>
      </w:r>
      <w:bookmarkEnd w:id="136"/>
      <w:r w:rsidRPr="00DE2D55">
        <w:rPr>
          <w:rFonts w:cs="Calibri"/>
          <w:b/>
        </w:rPr>
        <w:t xml:space="preserve"> </w:t>
      </w:r>
    </w:p>
    <w:p w:rsidR="00BA2374" w:rsidRPr="00DE2D55" w:rsidRDefault="00BA2374" w:rsidP="00FE560B">
      <w:pPr>
        <w:tabs>
          <w:tab w:val="left" w:pos="0"/>
        </w:tabs>
        <w:jc w:val="both"/>
        <w:rPr>
          <w:rFonts w:cs="Arial"/>
        </w:rPr>
      </w:pPr>
    </w:p>
    <w:p w:rsidR="00BA2374" w:rsidRPr="00DE2D55" w:rsidRDefault="00BA2374" w:rsidP="00A249C9">
      <w:pPr>
        <w:pStyle w:val="PargrafodaLista"/>
        <w:numPr>
          <w:ilvl w:val="0"/>
          <w:numId w:val="70"/>
        </w:numPr>
        <w:tabs>
          <w:tab w:val="left" w:pos="0"/>
        </w:tabs>
        <w:contextualSpacing w:val="0"/>
        <w:jc w:val="both"/>
        <w:rPr>
          <w:rFonts w:cs="Arial"/>
        </w:rPr>
      </w:pPr>
      <w:r w:rsidRPr="00DE2D55">
        <w:rPr>
          <w:rFonts w:cs="Arial"/>
        </w:rPr>
        <w:t>Cultura orçamentária enraizada no processo de gestão pública dificultando o entendimento de que aquilo que está orçado não necessariamente dispõe de recursos para sua execução;</w:t>
      </w:r>
    </w:p>
    <w:p w:rsidR="00BA2374" w:rsidRPr="00DE2D55" w:rsidRDefault="00BA2374" w:rsidP="00A249C9">
      <w:pPr>
        <w:pStyle w:val="PargrafodaLista"/>
        <w:numPr>
          <w:ilvl w:val="0"/>
          <w:numId w:val="70"/>
        </w:numPr>
        <w:tabs>
          <w:tab w:val="left" w:pos="0"/>
        </w:tabs>
        <w:contextualSpacing w:val="0"/>
        <w:jc w:val="both"/>
        <w:rPr>
          <w:rFonts w:cs="Arial"/>
        </w:rPr>
      </w:pPr>
      <w:r w:rsidRPr="00DE2D55">
        <w:rPr>
          <w:rFonts w:cs="Arial"/>
        </w:rPr>
        <w:t>Dificuldade de conscientizar a necessidade permanente de revisão de contratos na busca de redução de custos e/ou melhoria da qualidade e quantidade dos produtos/serviços contratados, porquanto estes já se encontram empenhados com base na cota orçamentária;</w:t>
      </w:r>
    </w:p>
    <w:p w:rsidR="00BA2374" w:rsidRPr="00DE2D55" w:rsidRDefault="00BA2374" w:rsidP="00A249C9">
      <w:pPr>
        <w:pStyle w:val="PargrafodaLista"/>
        <w:numPr>
          <w:ilvl w:val="0"/>
          <w:numId w:val="70"/>
        </w:numPr>
        <w:tabs>
          <w:tab w:val="left" w:pos="0"/>
        </w:tabs>
        <w:contextualSpacing w:val="0"/>
        <w:jc w:val="both"/>
        <w:rPr>
          <w:rFonts w:cs="Arial"/>
        </w:rPr>
      </w:pPr>
      <w:r w:rsidRPr="00DE2D55">
        <w:rPr>
          <w:rFonts w:cs="Arial"/>
        </w:rPr>
        <w:t>Falta de cultura na fixação de objetivos por resultados quantitativos e/ou qualitativos para as atividades/projetos e programas desenvolvidos em cada UG;</w:t>
      </w:r>
    </w:p>
    <w:p w:rsidR="00BA2374" w:rsidRPr="00DE2D55" w:rsidRDefault="00BA2374" w:rsidP="00A249C9">
      <w:pPr>
        <w:pStyle w:val="PargrafodaLista"/>
        <w:numPr>
          <w:ilvl w:val="0"/>
          <w:numId w:val="70"/>
        </w:numPr>
        <w:tabs>
          <w:tab w:val="left" w:pos="0"/>
        </w:tabs>
        <w:contextualSpacing w:val="0"/>
        <w:jc w:val="both"/>
        <w:rPr>
          <w:rFonts w:cs="Arial"/>
        </w:rPr>
      </w:pPr>
      <w:r w:rsidRPr="00DE2D55">
        <w:rPr>
          <w:rFonts w:cs="Arial"/>
        </w:rPr>
        <w:t xml:space="preserve">Não contratação de consultoria para manutenção e evolução do SIGEFES. </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Falta de treinamento da equipe da GEFIN em gestão de portfólios de ativos financeiros.</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Falta de ferramentas especializadas para prevenção de riscos e projeção de receitas e resultados.</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 xml:space="preserve">Dificuldade de conscientizar gestores no uso dessas ferramentas. </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Falta de cultura na gestão de space planning;</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Falta de cultura na gestão da carteira de imóveis (Real Estate);</w:t>
      </w:r>
    </w:p>
    <w:p w:rsidR="00BA2374" w:rsidRPr="00DE2D55" w:rsidRDefault="00BA2374" w:rsidP="00FE560B">
      <w:pPr>
        <w:pStyle w:val="PargrafodaLista"/>
        <w:numPr>
          <w:ilvl w:val="0"/>
          <w:numId w:val="62"/>
        </w:numPr>
        <w:tabs>
          <w:tab w:val="left" w:pos="0"/>
        </w:tabs>
        <w:contextualSpacing w:val="0"/>
        <w:jc w:val="both"/>
        <w:rPr>
          <w:rFonts w:cs="Arial"/>
        </w:rPr>
      </w:pPr>
      <w:r w:rsidRPr="00DE2D55">
        <w:rPr>
          <w:rFonts w:cs="Arial"/>
        </w:rPr>
        <w:t>Não contratação de consultoria para manutenção e evolução do SIGEFES.</w:t>
      </w:r>
    </w:p>
    <w:p w:rsidR="003F5416" w:rsidRDefault="003F5416"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Default="00D117E1" w:rsidP="00FE560B">
      <w:pPr>
        <w:pStyle w:val="PargrafodaLista"/>
        <w:tabs>
          <w:tab w:val="left" w:pos="0"/>
        </w:tabs>
        <w:jc w:val="both"/>
        <w:rPr>
          <w:rFonts w:cs="Arial"/>
        </w:rPr>
      </w:pPr>
    </w:p>
    <w:p w:rsidR="00D117E1" w:rsidRPr="00DE2D55" w:rsidRDefault="00D117E1" w:rsidP="00FE560B">
      <w:pPr>
        <w:pStyle w:val="PargrafodaLista"/>
        <w:tabs>
          <w:tab w:val="left" w:pos="0"/>
        </w:tabs>
        <w:jc w:val="both"/>
        <w:rPr>
          <w:rFonts w:cs="Arial"/>
        </w:rPr>
      </w:pPr>
    </w:p>
    <w:p w:rsidR="00BA2374" w:rsidRPr="00DE2D55" w:rsidRDefault="00FC44ED" w:rsidP="00FE560B">
      <w:pPr>
        <w:pBdr>
          <w:bottom w:val="single" w:sz="12" w:space="1" w:color="auto"/>
        </w:pBdr>
        <w:tabs>
          <w:tab w:val="left" w:pos="0"/>
        </w:tabs>
        <w:jc w:val="both"/>
        <w:outlineLvl w:val="2"/>
        <w:rPr>
          <w:rFonts w:cs="Calibri"/>
          <w:b/>
        </w:rPr>
      </w:pPr>
      <w:bookmarkStart w:id="137" w:name="_Toc517282153"/>
      <w:r w:rsidRPr="00DE2D55">
        <w:rPr>
          <w:rFonts w:cs="Calibri"/>
          <w:b/>
        </w:rPr>
        <w:t>2</w:t>
      </w:r>
      <w:r w:rsidR="00BA2374" w:rsidRPr="00DE2D55">
        <w:rPr>
          <w:rFonts w:cs="Calibri"/>
          <w:b/>
        </w:rPr>
        <w:t>.7 QUADRO DE CUSTOS DO PRODUTO POR TIPO DE INVESTIMENTO</w:t>
      </w:r>
      <w:bookmarkEnd w:id="137"/>
    </w:p>
    <w:p w:rsidR="00BA2374" w:rsidRPr="00DE2D55" w:rsidRDefault="00BA2374" w:rsidP="00FE560B">
      <w:pPr>
        <w:tabs>
          <w:tab w:val="left" w:pos="0"/>
        </w:tabs>
        <w:suppressAutoHyphens/>
        <w:jc w:val="both"/>
        <w:rPr>
          <w:rFonts w:cs="Arial"/>
          <w:b/>
          <w:bCs/>
          <w:color w:val="000000" w:themeColor="text1"/>
        </w:rPr>
      </w:pPr>
    </w:p>
    <w:tbl>
      <w:tblPr>
        <w:tblW w:w="5000" w:type="pct"/>
        <w:tblLayout w:type="fixed"/>
        <w:tblCellMar>
          <w:left w:w="70" w:type="dxa"/>
          <w:right w:w="70" w:type="dxa"/>
        </w:tblCellMar>
        <w:tblLook w:val="04A0" w:firstRow="1" w:lastRow="0" w:firstColumn="1" w:lastColumn="0" w:noHBand="0" w:noVBand="1"/>
      </w:tblPr>
      <w:tblGrid>
        <w:gridCol w:w="699"/>
        <w:gridCol w:w="3461"/>
        <w:gridCol w:w="945"/>
        <w:gridCol w:w="697"/>
        <w:gridCol w:w="1134"/>
        <w:gridCol w:w="1134"/>
        <w:gridCol w:w="1690"/>
      </w:tblGrid>
      <w:tr w:rsidR="00BA2374" w:rsidRPr="00DE2D55" w:rsidTr="00CA21C4">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C5E0B3"/>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Capacitação</w:t>
            </w:r>
          </w:p>
        </w:tc>
      </w:tr>
      <w:tr w:rsidR="00BA2374" w:rsidRPr="00DE2D55" w:rsidTr="00D117E1">
        <w:trPr>
          <w:trHeight w:val="315"/>
        </w:trPr>
        <w:tc>
          <w:tcPr>
            <w:tcW w:w="358" w:type="pct"/>
            <w:tcBorders>
              <w:top w:val="nil"/>
              <w:left w:val="single" w:sz="8" w:space="0" w:color="auto"/>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SubP</w:t>
            </w:r>
          </w:p>
        </w:tc>
        <w:tc>
          <w:tcPr>
            <w:tcW w:w="1773"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Descrição detalhada</w:t>
            </w:r>
          </w:p>
        </w:tc>
        <w:tc>
          <w:tcPr>
            <w:tcW w:w="484"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Unidade</w:t>
            </w:r>
          </w:p>
        </w:tc>
        <w:tc>
          <w:tcPr>
            <w:tcW w:w="357"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Q</w:t>
            </w:r>
            <w:r w:rsidR="00D117E1">
              <w:rPr>
                <w:rFonts w:cs="Arial"/>
                <w:b/>
                <w:bCs/>
                <w:color w:val="000000"/>
              </w:rPr>
              <w:t>T</w:t>
            </w:r>
          </w:p>
        </w:tc>
        <w:tc>
          <w:tcPr>
            <w:tcW w:w="581"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Valor unit.</w:t>
            </w:r>
          </w:p>
        </w:tc>
        <w:tc>
          <w:tcPr>
            <w:tcW w:w="581"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Valor total</w:t>
            </w:r>
          </w:p>
        </w:tc>
        <w:tc>
          <w:tcPr>
            <w:tcW w:w="866"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Observação</w:t>
            </w:r>
          </w:p>
        </w:tc>
      </w:tr>
      <w:tr w:rsidR="00BA2374" w:rsidRPr="00DE2D55" w:rsidTr="00D117E1">
        <w:trPr>
          <w:trHeight w:val="569"/>
        </w:trPr>
        <w:tc>
          <w:tcPr>
            <w:tcW w:w="358" w:type="pct"/>
            <w:tcBorders>
              <w:top w:val="nil"/>
              <w:left w:val="single" w:sz="8" w:space="0" w:color="auto"/>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Visitas técnicas</w:t>
            </w:r>
          </w:p>
        </w:tc>
        <w:tc>
          <w:tcPr>
            <w:tcW w:w="484"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unidade</w:t>
            </w:r>
          </w:p>
        </w:tc>
        <w:tc>
          <w:tcPr>
            <w:tcW w:w="357"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w:t>
            </w:r>
          </w:p>
        </w:tc>
        <w:tc>
          <w:tcPr>
            <w:tcW w:w="581"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w:t>
            </w:r>
          </w:p>
        </w:tc>
        <w:tc>
          <w:tcPr>
            <w:tcW w:w="581"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20.000</w:t>
            </w:r>
          </w:p>
        </w:tc>
        <w:tc>
          <w:tcPr>
            <w:tcW w:w="866"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b/>
                <w:bCs/>
                <w:color w:val="000000"/>
              </w:rPr>
            </w:pPr>
          </w:p>
        </w:tc>
      </w:tr>
      <w:tr w:rsidR="00BA2374" w:rsidRPr="00DE2D55" w:rsidTr="00D117E1">
        <w:trPr>
          <w:trHeight w:val="569"/>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Capacitação¹.</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horas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90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180.000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 </w:t>
            </w:r>
          </w:p>
        </w:tc>
      </w:tr>
      <w:tr w:rsidR="00BA2374" w:rsidRPr="00DE2D55" w:rsidTr="00D117E1">
        <w:trPr>
          <w:trHeight w:val="315"/>
        </w:trPr>
        <w:tc>
          <w:tcPr>
            <w:tcW w:w="358" w:type="pct"/>
            <w:tcBorders>
              <w:top w:val="nil"/>
              <w:left w:val="single" w:sz="8" w:space="0" w:color="auto"/>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3.2.2</w:t>
            </w:r>
          </w:p>
        </w:tc>
        <w:tc>
          <w:tcPr>
            <w:tcW w:w="1773"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Certificação Profissional ANBIMA - Série 20</w:t>
            </w:r>
          </w:p>
        </w:tc>
        <w:tc>
          <w:tcPr>
            <w:tcW w:w="484"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Unitário</w:t>
            </w:r>
          </w:p>
        </w:tc>
        <w:tc>
          <w:tcPr>
            <w:tcW w:w="357"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w:t>
            </w:r>
          </w:p>
        </w:tc>
        <w:tc>
          <w:tcPr>
            <w:tcW w:w="581"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w:t>
            </w:r>
          </w:p>
        </w:tc>
        <w:tc>
          <w:tcPr>
            <w:tcW w:w="581"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w:t>
            </w:r>
          </w:p>
        </w:tc>
        <w:tc>
          <w:tcPr>
            <w:tcW w:w="866" w:type="pct"/>
            <w:tcBorders>
              <w:top w:val="nil"/>
              <w:left w:val="nil"/>
              <w:bottom w:val="nil"/>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 </w:t>
            </w:r>
          </w:p>
        </w:tc>
      </w:tr>
      <w:tr w:rsidR="00BA2374" w:rsidRPr="00DE2D55" w:rsidTr="00CA21C4">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C5E0B3"/>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Consultoria</w:t>
            </w:r>
          </w:p>
        </w:tc>
      </w:tr>
      <w:tr w:rsidR="00BA2374" w:rsidRPr="00DE2D55" w:rsidTr="00D117E1">
        <w:trPr>
          <w:trHeight w:val="315"/>
        </w:trPr>
        <w:tc>
          <w:tcPr>
            <w:tcW w:w="358" w:type="pct"/>
            <w:tcBorders>
              <w:top w:val="nil"/>
              <w:left w:val="single" w:sz="8" w:space="0" w:color="auto"/>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SubP</w:t>
            </w:r>
          </w:p>
        </w:tc>
        <w:tc>
          <w:tcPr>
            <w:tcW w:w="1773"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Descrição detalhada</w:t>
            </w:r>
          </w:p>
        </w:tc>
        <w:tc>
          <w:tcPr>
            <w:tcW w:w="484"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Unidade</w:t>
            </w:r>
          </w:p>
        </w:tc>
        <w:tc>
          <w:tcPr>
            <w:tcW w:w="357" w:type="pct"/>
            <w:tcBorders>
              <w:top w:val="nil"/>
              <w:left w:val="nil"/>
              <w:bottom w:val="single" w:sz="8" w:space="0" w:color="auto"/>
              <w:right w:val="single" w:sz="8" w:space="0" w:color="auto"/>
            </w:tcBorders>
            <w:shd w:val="clear" w:color="000000" w:fill="E2EFD9"/>
            <w:vAlign w:val="center"/>
            <w:hideMark/>
          </w:tcPr>
          <w:p w:rsidR="00BA2374" w:rsidRPr="00DE2D55" w:rsidRDefault="00D117E1" w:rsidP="00D117E1">
            <w:pPr>
              <w:tabs>
                <w:tab w:val="left" w:pos="0"/>
              </w:tabs>
              <w:spacing w:line="240" w:lineRule="auto"/>
              <w:jc w:val="both"/>
              <w:rPr>
                <w:rFonts w:cs="Arial"/>
                <w:b/>
                <w:bCs/>
                <w:color w:val="000000"/>
              </w:rPr>
            </w:pPr>
            <w:r w:rsidRPr="00DE2D55">
              <w:rPr>
                <w:rFonts w:cs="Arial"/>
                <w:b/>
                <w:bCs/>
                <w:color w:val="000000"/>
              </w:rPr>
              <w:t>Q</w:t>
            </w:r>
            <w:r>
              <w:rPr>
                <w:rFonts w:cs="Arial"/>
                <w:b/>
                <w:bCs/>
                <w:color w:val="000000"/>
              </w:rPr>
              <w:t>T</w:t>
            </w:r>
          </w:p>
        </w:tc>
        <w:tc>
          <w:tcPr>
            <w:tcW w:w="581"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Valor unit.</w:t>
            </w:r>
          </w:p>
        </w:tc>
        <w:tc>
          <w:tcPr>
            <w:tcW w:w="581"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Valor total</w:t>
            </w:r>
          </w:p>
        </w:tc>
        <w:tc>
          <w:tcPr>
            <w:tcW w:w="866" w:type="pct"/>
            <w:tcBorders>
              <w:top w:val="nil"/>
              <w:left w:val="nil"/>
              <w:bottom w:val="single" w:sz="8" w:space="0" w:color="auto"/>
              <w:right w:val="single" w:sz="8" w:space="0" w:color="auto"/>
            </w:tcBorders>
            <w:shd w:val="clear" w:color="000000" w:fill="E2EFD9"/>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Observação</w:t>
            </w:r>
          </w:p>
        </w:tc>
      </w:tr>
      <w:tr w:rsidR="00BA2374" w:rsidRPr="00DE2D55" w:rsidTr="00D117E1">
        <w:trPr>
          <w:trHeight w:val="894"/>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Modelo de gestão de Programação Financeira com Mensageria</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Modelo</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301.000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301.000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Consultoria com especialistas durante 6 meses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Desenvolver novo módulo de Programação Financeira no SIGEFES</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Módulo do SIGEFES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Contratar a empresa desenvolvedora do SIGEFES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Desenvolver novo módulo de Mensageria no SIGEFES</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Módulo do SIGEFES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Contratar a empresa desenvolvedora do SIGEFES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Desenvolver novo módulo de Fluxo de Caixa no SIGEFES</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Módulo do SIGEFES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Contratar a empresa desenvolvedora do SIGEFES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Evoluir o módulo de Conciliação Financeira e Contábil no SIGEFES</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Módulo do SIGEFES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500.000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Contratar a empresa desenvolvedora do SIGEFES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3.2.1</w:t>
            </w:r>
          </w:p>
        </w:tc>
        <w:tc>
          <w:tcPr>
            <w:tcW w:w="1773"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Desenvolver módulo para automação de repasses federais</w:t>
            </w:r>
          </w:p>
        </w:tc>
        <w:tc>
          <w:tcPr>
            <w:tcW w:w="484"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Módulo do SIGEFES</w:t>
            </w:r>
          </w:p>
        </w:tc>
        <w:tc>
          <w:tcPr>
            <w:tcW w:w="357"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500.000</w:t>
            </w:r>
          </w:p>
        </w:tc>
        <w:tc>
          <w:tcPr>
            <w:tcW w:w="581"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color w:val="000000"/>
              </w:rPr>
            </w:pPr>
            <w:r w:rsidRPr="00DE2D55">
              <w:rPr>
                <w:rFonts w:cs="Arial"/>
                <w:color w:val="000000"/>
              </w:rPr>
              <w:t>1.000.000</w:t>
            </w:r>
          </w:p>
        </w:tc>
        <w:tc>
          <w:tcPr>
            <w:tcW w:w="866" w:type="pct"/>
            <w:tcBorders>
              <w:top w:val="nil"/>
              <w:left w:val="nil"/>
              <w:bottom w:val="single" w:sz="8" w:space="0" w:color="auto"/>
              <w:right w:val="single" w:sz="8" w:space="0" w:color="auto"/>
            </w:tcBorders>
            <w:shd w:val="clear" w:color="auto" w:fill="auto"/>
            <w:vAlign w:val="center"/>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Contratar a empresa desenvolvedora do SIGEFES</w:t>
            </w:r>
          </w:p>
        </w:tc>
      </w:tr>
      <w:tr w:rsidR="00BA2374" w:rsidRPr="00DE2D55" w:rsidTr="00D117E1">
        <w:trPr>
          <w:trHeight w:val="780"/>
        </w:trPr>
        <w:tc>
          <w:tcPr>
            <w:tcW w:w="358" w:type="pct"/>
            <w:tcBorders>
              <w:top w:val="nil"/>
              <w:left w:val="single" w:sz="8" w:space="0" w:color="auto"/>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3.2.2</w:t>
            </w:r>
          </w:p>
        </w:tc>
        <w:tc>
          <w:tcPr>
            <w:tcW w:w="1773"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Modelo de gestão de Portfólio de Ativos Financeiros com space planning, avaliação de imóveis e sistema.</w:t>
            </w:r>
          </w:p>
        </w:tc>
        <w:tc>
          <w:tcPr>
            <w:tcW w:w="484"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horas</w:t>
            </w:r>
          </w:p>
        </w:tc>
        <w:tc>
          <w:tcPr>
            <w:tcW w:w="357"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1</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2.000.000</w:t>
            </w:r>
          </w:p>
        </w:tc>
        <w:tc>
          <w:tcPr>
            <w:tcW w:w="581"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2.000.000</w:t>
            </w:r>
          </w:p>
        </w:tc>
        <w:tc>
          <w:tcPr>
            <w:tcW w:w="866" w:type="pct"/>
            <w:tcBorders>
              <w:top w:val="nil"/>
              <w:left w:val="nil"/>
              <w:bottom w:val="single" w:sz="8" w:space="0" w:color="auto"/>
              <w:right w:val="single" w:sz="8" w:space="0" w:color="auto"/>
            </w:tcBorders>
            <w:shd w:val="clear" w:color="auto" w:fill="auto"/>
            <w:vAlign w:val="center"/>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Consultoria com especialistas durante 6 meses</w:t>
            </w:r>
          </w:p>
        </w:tc>
      </w:tr>
      <w:tr w:rsidR="00BA2374" w:rsidRPr="00DE2D55" w:rsidTr="00D117E1">
        <w:trPr>
          <w:trHeight w:val="315"/>
        </w:trPr>
        <w:tc>
          <w:tcPr>
            <w:tcW w:w="3553"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Total subproduto 3.2.1</w:t>
            </w:r>
          </w:p>
        </w:tc>
        <w:tc>
          <w:tcPr>
            <w:tcW w:w="581" w:type="pct"/>
            <w:tcBorders>
              <w:top w:val="nil"/>
              <w:left w:val="nil"/>
              <w:bottom w:val="nil"/>
              <w:right w:val="single" w:sz="8" w:space="0" w:color="auto"/>
            </w:tcBorders>
            <w:shd w:val="clear" w:color="auto" w:fill="auto"/>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6.501.000</w:t>
            </w:r>
          </w:p>
        </w:tc>
        <w:tc>
          <w:tcPr>
            <w:tcW w:w="86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 </w:t>
            </w:r>
          </w:p>
        </w:tc>
      </w:tr>
      <w:tr w:rsidR="00BA2374" w:rsidRPr="00DE2D55" w:rsidTr="00D117E1">
        <w:trPr>
          <w:trHeight w:val="315"/>
        </w:trPr>
        <w:tc>
          <w:tcPr>
            <w:tcW w:w="3553"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Total subproduto 3.2.2</w:t>
            </w:r>
          </w:p>
        </w:tc>
        <w:tc>
          <w:tcPr>
            <w:tcW w:w="581" w:type="pct"/>
            <w:tcBorders>
              <w:top w:val="single" w:sz="8" w:space="0" w:color="auto"/>
              <w:left w:val="nil"/>
              <w:bottom w:val="single" w:sz="8" w:space="0" w:color="auto"/>
              <w:right w:val="single" w:sz="8" w:space="0" w:color="auto"/>
            </w:tcBorders>
            <w:shd w:val="clear" w:color="auto" w:fill="auto"/>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2.010.000</w:t>
            </w:r>
          </w:p>
        </w:tc>
        <w:tc>
          <w:tcPr>
            <w:tcW w:w="866" w:type="pct"/>
            <w:vMerge/>
            <w:tcBorders>
              <w:top w:val="nil"/>
              <w:left w:val="single" w:sz="8" w:space="0" w:color="auto"/>
              <w:bottom w:val="single" w:sz="8" w:space="0" w:color="000000"/>
              <w:right w:val="single" w:sz="8" w:space="0" w:color="auto"/>
            </w:tcBorders>
            <w:vAlign w:val="center"/>
            <w:hideMark/>
          </w:tcPr>
          <w:p w:rsidR="00BA2374" w:rsidRPr="00DE2D55" w:rsidRDefault="00BA2374" w:rsidP="00D117E1">
            <w:pPr>
              <w:tabs>
                <w:tab w:val="left" w:pos="0"/>
              </w:tabs>
              <w:spacing w:line="240" w:lineRule="auto"/>
              <w:jc w:val="both"/>
              <w:rPr>
                <w:rFonts w:cs="Arial"/>
                <w:color w:val="000000"/>
              </w:rPr>
            </w:pPr>
          </w:p>
        </w:tc>
      </w:tr>
      <w:tr w:rsidR="00BA2374" w:rsidRPr="00DE2D55" w:rsidTr="00D117E1">
        <w:trPr>
          <w:trHeight w:val="315"/>
        </w:trPr>
        <w:tc>
          <w:tcPr>
            <w:tcW w:w="3553"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A2374" w:rsidRPr="00DE2D55" w:rsidRDefault="00BA2374" w:rsidP="00D117E1">
            <w:pPr>
              <w:tabs>
                <w:tab w:val="left" w:pos="0"/>
              </w:tabs>
              <w:spacing w:line="240" w:lineRule="auto"/>
              <w:jc w:val="both"/>
              <w:rPr>
                <w:rFonts w:cs="Arial"/>
                <w:color w:val="000000"/>
              </w:rPr>
            </w:pPr>
            <w:r w:rsidRPr="00DE2D55">
              <w:rPr>
                <w:rFonts w:cs="Arial"/>
                <w:color w:val="000000"/>
              </w:rPr>
              <w:t>Total do Produto 3.2</w:t>
            </w:r>
          </w:p>
        </w:tc>
        <w:tc>
          <w:tcPr>
            <w:tcW w:w="581" w:type="pct"/>
            <w:tcBorders>
              <w:top w:val="nil"/>
              <w:left w:val="nil"/>
              <w:bottom w:val="single" w:sz="8" w:space="0" w:color="auto"/>
              <w:right w:val="single" w:sz="8" w:space="0" w:color="auto"/>
            </w:tcBorders>
            <w:shd w:val="clear" w:color="auto" w:fill="auto"/>
            <w:noWrap/>
            <w:vAlign w:val="bottom"/>
            <w:hideMark/>
          </w:tcPr>
          <w:p w:rsidR="00BA2374" w:rsidRPr="00DE2D55" w:rsidRDefault="00BA2374" w:rsidP="00D117E1">
            <w:pPr>
              <w:tabs>
                <w:tab w:val="left" w:pos="0"/>
              </w:tabs>
              <w:spacing w:line="240" w:lineRule="auto"/>
              <w:jc w:val="both"/>
              <w:rPr>
                <w:rFonts w:cs="Arial"/>
                <w:b/>
                <w:bCs/>
                <w:color w:val="000000"/>
              </w:rPr>
            </w:pPr>
            <w:r w:rsidRPr="00DE2D55">
              <w:rPr>
                <w:rFonts w:cs="Arial"/>
                <w:b/>
                <w:bCs/>
                <w:color w:val="000000"/>
              </w:rPr>
              <w:t>8.511.000</w:t>
            </w:r>
          </w:p>
        </w:tc>
        <w:tc>
          <w:tcPr>
            <w:tcW w:w="866" w:type="pct"/>
            <w:vMerge/>
            <w:tcBorders>
              <w:top w:val="nil"/>
              <w:left w:val="single" w:sz="8" w:space="0" w:color="auto"/>
              <w:bottom w:val="single" w:sz="8" w:space="0" w:color="000000"/>
              <w:right w:val="single" w:sz="8" w:space="0" w:color="auto"/>
            </w:tcBorders>
            <w:vAlign w:val="center"/>
            <w:hideMark/>
          </w:tcPr>
          <w:p w:rsidR="00BA2374" w:rsidRPr="00DE2D55" w:rsidRDefault="00BA2374" w:rsidP="00D117E1">
            <w:pPr>
              <w:tabs>
                <w:tab w:val="left" w:pos="0"/>
              </w:tabs>
              <w:spacing w:line="240" w:lineRule="auto"/>
              <w:jc w:val="both"/>
              <w:rPr>
                <w:rFonts w:cs="Arial"/>
                <w:color w:val="000000"/>
              </w:rPr>
            </w:pPr>
          </w:p>
        </w:tc>
      </w:tr>
    </w:tbl>
    <w:p w:rsidR="00BA2374" w:rsidRPr="00D91A7C" w:rsidRDefault="00BA2374" w:rsidP="00D117E1">
      <w:pPr>
        <w:tabs>
          <w:tab w:val="left" w:pos="0"/>
        </w:tabs>
        <w:suppressAutoHyphens/>
        <w:spacing w:line="240" w:lineRule="auto"/>
        <w:jc w:val="both"/>
        <w:rPr>
          <w:rFonts w:cs="Arial"/>
          <w:b/>
          <w:bCs/>
          <w:color w:val="000000" w:themeColor="text1"/>
          <w:sz w:val="20"/>
          <w:szCs w:val="20"/>
        </w:rPr>
      </w:pPr>
      <w:r w:rsidRPr="00D91A7C">
        <w:rPr>
          <w:rFonts w:cs="Arial"/>
          <w:b/>
          <w:bCs/>
          <w:color w:val="000000" w:themeColor="text1"/>
          <w:sz w:val="20"/>
          <w:szCs w:val="20"/>
        </w:rPr>
        <w:t xml:space="preserve">¹ </w:t>
      </w:r>
      <w:r w:rsidRPr="00D91A7C">
        <w:rPr>
          <w:rFonts w:cs="Arial"/>
          <w:color w:val="000000"/>
          <w:sz w:val="20"/>
          <w:szCs w:val="20"/>
        </w:rPr>
        <w:t>Capacitação e disseminação da cultura de cotas financeiras, visando instrumentalizar servidores públicos para a utilização intensiva da gestão por cotas financeiras. Capacitação de Técnicos da GEFIN no uso de ferramentas de projeções de receitas e despesas com utilização de modelos matemáticos e no uso de ferramentas de gestão de portfólios de ativos financeiros e investimentos. Capacitação de Técnicos da SEGER/SEFAZ no uso de ferramentas de gestão de portfólios de ativos financeiros e investimentos. Outras capacitações que se fizerem necessárias</w:t>
      </w:r>
    </w:p>
    <w:p w:rsidR="00BA2374" w:rsidRPr="00DE2D55" w:rsidRDefault="00FC44ED" w:rsidP="00FE560B">
      <w:pPr>
        <w:pBdr>
          <w:bottom w:val="single" w:sz="12" w:space="1" w:color="auto"/>
        </w:pBdr>
        <w:tabs>
          <w:tab w:val="left" w:pos="0"/>
        </w:tabs>
        <w:jc w:val="both"/>
        <w:outlineLvl w:val="2"/>
        <w:rPr>
          <w:rFonts w:cs="Calibri"/>
          <w:b/>
        </w:rPr>
      </w:pPr>
      <w:bookmarkStart w:id="138" w:name="_Toc517282154"/>
      <w:r w:rsidRPr="00DE2D55">
        <w:rPr>
          <w:rFonts w:cs="Calibri"/>
          <w:b/>
        </w:rPr>
        <w:t>2</w:t>
      </w:r>
      <w:r w:rsidR="00BA2374" w:rsidRPr="00DE2D55">
        <w:rPr>
          <w:rFonts w:cs="Calibri"/>
          <w:b/>
        </w:rPr>
        <w:t>.8 CRONOGRAMA PROPOSTO DO SUBPRODUTO</w:t>
      </w:r>
      <w:bookmarkEnd w:id="138"/>
    </w:p>
    <w:p w:rsidR="00BA2374" w:rsidRDefault="00BA2374" w:rsidP="00FE560B">
      <w:pPr>
        <w:tabs>
          <w:tab w:val="left" w:pos="0"/>
        </w:tabs>
        <w:suppressAutoHyphens/>
        <w:jc w:val="both"/>
        <w:rPr>
          <w:rFonts w:cs="Arial"/>
        </w:rPr>
      </w:pPr>
    </w:p>
    <w:tbl>
      <w:tblPr>
        <w:tblW w:w="5000" w:type="pct"/>
        <w:tblCellMar>
          <w:left w:w="70" w:type="dxa"/>
          <w:right w:w="70" w:type="dxa"/>
        </w:tblCellMar>
        <w:tblLook w:val="04A0" w:firstRow="1" w:lastRow="0" w:firstColumn="1" w:lastColumn="0" w:noHBand="0" w:noVBand="1"/>
      </w:tblPr>
      <w:tblGrid>
        <w:gridCol w:w="840"/>
        <w:gridCol w:w="3621"/>
        <w:gridCol w:w="699"/>
        <w:gridCol w:w="351"/>
        <w:gridCol w:w="699"/>
        <w:gridCol w:w="351"/>
        <w:gridCol w:w="699"/>
        <w:gridCol w:w="351"/>
        <w:gridCol w:w="699"/>
        <w:gridCol w:w="351"/>
        <w:gridCol w:w="752"/>
        <w:gridCol w:w="347"/>
      </w:tblGrid>
      <w:tr w:rsidR="00D91A7C" w:rsidRPr="00D91A7C" w:rsidTr="00D91A7C">
        <w:trPr>
          <w:trHeight w:val="315"/>
        </w:trPr>
        <w:tc>
          <w:tcPr>
            <w:tcW w:w="430" w:type="pct"/>
            <w:tcBorders>
              <w:top w:val="single" w:sz="8" w:space="0" w:color="auto"/>
              <w:left w:val="single" w:sz="8" w:space="0" w:color="auto"/>
              <w:bottom w:val="nil"/>
              <w:right w:val="single" w:sz="8" w:space="0" w:color="auto"/>
            </w:tcBorders>
            <w:shd w:val="clear" w:color="000000" w:fill="D9D9D9"/>
            <w:vAlign w:val="center"/>
            <w:hideMark/>
          </w:tcPr>
          <w:p w:rsidR="00D91A7C" w:rsidRPr="00D91A7C" w:rsidRDefault="00D91A7C" w:rsidP="00D91A7C">
            <w:pPr>
              <w:spacing w:line="240" w:lineRule="auto"/>
              <w:jc w:val="both"/>
              <w:rPr>
                <w:rFonts w:ascii="Calibri" w:eastAsia="Times New Roman" w:hAnsi="Calibri" w:cs="Times New Roman"/>
                <w:b/>
                <w:bCs/>
                <w:color w:val="000000"/>
                <w:lang w:eastAsia="pt-BR"/>
              </w:rPr>
            </w:pPr>
            <w:r>
              <w:rPr>
                <w:rFonts w:ascii="Calibri" w:eastAsia="Times New Roman" w:hAnsi="Calibri" w:cs="Arial"/>
                <w:b/>
                <w:bCs/>
                <w:color w:val="000000"/>
                <w:lang w:eastAsia="pt-BR"/>
              </w:rPr>
              <w:t>Subp.</w:t>
            </w:r>
          </w:p>
        </w:tc>
        <w:tc>
          <w:tcPr>
            <w:tcW w:w="1855" w:type="pct"/>
            <w:tcBorders>
              <w:top w:val="single" w:sz="8" w:space="0" w:color="auto"/>
              <w:left w:val="nil"/>
              <w:bottom w:val="nil"/>
              <w:right w:val="single" w:sz="8" w:space="0" w:color="auto"/>
            </w:tcBorders>
            <w:shd w:val="clear" w:color="000000" w:fill="D9D9D9"/>
            <w:vAlign w:val="center"/>
            <w:hideMark/>
          </w:tcPr>
          <w:p w:rsidR="00D91A7C" w:rsidRPr="00D91A7C" w:rsidRDefault="00D91A7C" w:rsidP="00D91A7C">
            <w:pPr>
              <w:spacing w:line="240" w:lineRule="auto"/>
              <w:jc w:val="both"/>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Item de Custo</w:t>
            </w:r>
          </w:p>
        </w:tc>
        <w:tc>
          <w:tcPr>
            <w:tcW w:w="538" w:type="pct"/>
            <w:gridSpan w:val="2"/>
            <w:tcBorders>
              <w:top w:val="single" w:sz="8" w:space="0" w:color="auto"/>
              <w:left w:val="nil"/>
              <w:bottom w:val="nil"/>
              <w:right w:val="single" w:sz="8" w:space="0" w:color="000000"/>
            </w:tcBorders>
            <w:shd w:val="clear" w:color="000000" w:fill="D9D9D9"/>
            <w:vAlign w:val="center"/>
            <w:hideMark/>
          </w:tcPr>
          <w:p w:rsidR="00D91A7C" w:rsidRPr="00D91A7C" w:rsidRDefault="00D91A7C" w:rsidP="00D91A7C">
            <w:pPr>
              <w:spacing w:line="240" w:lineRule="auto"/>
              <w:jc w:val="center"/>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2019</w:t>
            </w:r>
          </w:p>
        </w:tc>
        <w:tc>
          <w:tcPr>
            <w:tcW w:w="538" w:type="pct"/>
            <w:gridSpan w:val="2"/>
            <w:tcBorders>
              <w:top w:val="single" w:sz="8" w:space="0" w:color="auto"/>
              <w:left w:val="nil"/>
              <w:bottom w:val="nil"/>
              <w:right w:val="single" w:sz="8" w:space="0" w:color="000000"/>
            </w:tcBorders>
            <w:shd w:val="clear" w:color="000000" w:fill="D9D9D9"/>
            <w:vAlign w:val="center"/>
            <w:hideMark/>
          </w:tcPr>
          <w:p w:rsidR="00D91A7C" w:rsidRPr="00D91A7C" w:rsidRDefault="00D91A7C" w:rsidP="00D91A7C">
            <w:pPr>
              <w:spacing w:line="240" w:lineRule="auto"/>
              <w:jc w:val="center"/>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2020</w:t>
            </w:r>
          </w:p>
        </w:tc>
        <w:tc>
          <w:tcPr>
            <w:tcW w:w="538" w:type="pct"/>
            <w:gridSpan w:val="2"/>
            <w:tcBorders>
              <w:top w:val="single" w:sz="8" w:space="0" w:color="auto"/>
              <w:left w:val="nil"/>
              <w:bottom w:val="nil"/>
              <w:right w:val="single" w:sz="8" w:space="0" w:color="000000"/>
            </w:tcBorders>
            <w:shd w:val="clear" w:color="000000" w:fill="D9D9D9"/>
            <w:vAlign w:val="center"/>
            <w:hideMark/>
          </w:tcPr>
          <w:p w:rsidR="00D91A7C" w:rsidRPr="00D91A7C" w:rsidRDefault="00D91A7C" w:rsidP="00D91A7C">
            <w:pPr>
              <w:spacing w:line="240" w:lineRule="auto"/>
              <w:jc w:val="center"/>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2021</w:t>
            </w:r>
          </w:p>
        </w:tc>
        <w:tc>
          <w:tcPr>
            <w:tcW w:w="538" w:type="pct"/>
            <w:gridSpan w:val="2"/>
            <w:tcBorders>
              <w:top w:val="single" w:sz="8" w:space="0" w:color="auto"/>
              <w:left w:val="nil"/>
              <w:bottom w:val="nil"/>
              <w:right w:val="single" w:sz="8" w:space="0" w:color="000000"/>
            </w:tcBorders>
            <w:shd w:val="clear" w:color="000000" w:fill="D9D9D9"/>
            <w:vAlign w:val="center"/>
            <w:hideMark/>
          </w:tcPr>
          <w:p w:rsidR="00D91A7C" w:rsidRPr="00D91A7C" w:rsidRDefault="00D91A7C" w:rsidP="00D91A7C">
            <w:pPr>
              <w:spacing w:line="240" w:lineRule="auto"/>
              <w:jc w:val="center"/>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2022</w:t>
            </w:r>
          </w:p>
        </w:tc>
        <w:tc>
          <w:tcPr>
            <w:tcW w:w="565" w:type="pct"/>
            <w:gridSpan w:val="2"/>
            <w:tcBorders>
              <w:top w:val="single" w:sz="8" w:space="0" w:color="auto"/>
              <w:left w:val="nil"/>
              <w:bottom w:val="nil"/>
              <w:right w:val="single" w:sz="8" w:space="0" w:color="000000"/>
            </w:tcBorders>
            <w:shd w:val="clear" w:color="000000" w:fill="D9D9D9"/>
            <w:vAlign w:val="center"/>
            <w:hideMark/>
          </w:tcPr>
          <w:p w:rsidR="00D91A7C" w:rsidRPr="00D91A7C" w:rsidRDefault="00D91A7C" w:rsidP="00D91A7C">
            <w:pPr>
              <w:spacing w:line="240" w:lineRule="auto"/>
              <w:jc w:val="center"/>
              <w:rPr>
                <w:rFonts w:ascii="Calibri" w:eastAsia="Times New Roman" w:hAnsi="Calibri" w:cs="Times New Roman"/>
                <w:b/>
                <w:bCs/>
                <w:color w:val="000000"/>
                <w:lang w:eastAsia="pt-BR"/>
              </w:rPr>
            </w:pPr>
            <w:r w:rsidRPr="00D91A7C">
              <w:rPr>
                <w:rFonts w:ascii="Calibri" w:eastAsia="Times New Roman" w:hAnsi="Calibri" w:cs="Arial"/>
                <w:b/>
                <w:bCs/>
                <w:color w:val="000000"/>
                <w:lang w:eastAsia="pt-BR"/>
              </w:rPr>
              <w:t>2023</w:t>
            </w:r>
          </w:p>
        </w:tc>
      </w:tr>
      <w:tr w:rsidR="00D91A7C" w:rsidRPr="00D91A7C" w:rsidTr="00D91A7C">
        <w:trPr>
          <w:trHeight w:val="300"/>
        </w:trPr>
        <w:tc>
          <w:tcPr>
            <w:tcW w:w="43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Visitas técnicas</w:t>
            </w:r>
          </w:p>
        </w:tc>
        <w:tc>
          <w:tcPr>
            <w:tcW w:w="358"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58"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358"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179"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358"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179"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385" w:type="pct"/>
            <w:tcBorders>
              <w:top w:val="single" w:sz="8" w:space="0" w:color="auto"/>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179" w:type="pct"/>
            <w:tcBorders>
              <w:top w:val="single" w:sz="8" w:space="0" w:color="auto"/>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3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Capacitação¹.</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3.2.2</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Certificação Profissional ANBIMA - Série 20</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Times New Roman"/>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Modelo de gestão de Programação Financeira com Mensageria</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Desenvolver novo módulo de Programação Financeira no SIGEFES</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Desenvolver novo módulo de Mensageria no SIGEFES</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Desenvolver novo módulo de Fluxo de Caixa no SIGEFES</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Evoluir o módulo de Conciliação Financeira e Contábil no SIGEFES</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r>
      <w:tr w:rsidR="00D91A7C" w:rsidRPr="00D91A7C" w:rsidTr="00D91A7C">
        <w:trPr>
          <w:trHeight w:val="600"/>
        </w:trPr>
        <w:tc>
          <w:tcPr>
            <w:tcW w:w="430" w:type="pct"/>
            <w:tcBorders>
              <w:top w:val="nil"/>
              <w:left w:val="single" w:sz="8" w:space="0" w:color="auto"/>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3.2.1</w:t>
            </w:r>
          </w:p>
        </w:tc>
        <w:tc>
          <w:tcPr>
            <w:tcW w:w="185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Desenvolver módulo para automação de repasses federais</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85" w:type="pct"/>
            <w:tcBorders>
              <w:top w:val="nil"/>
              <w:left w:val="nil"/>
              <w:bottom w:val="single" w:sz="4"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4"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r>
      <w:tr w:rsidR="00D91A7C" w:rsidRPr="00D91A7C" w:rsidTr="00D91A7C">
        <w:trPr>
          <w:trHeight w:val="915"/>
        </w:trPr>
        <w:tc>
          <w:tcPr>
            <w:tcW w:w="430" w:type="pct"/>
            <w:tcBorders>
              <w:top w:val="nil"/>
              <w:left w:val="single" w:sz="8" w:space="0" w:color="auto"/>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3.2.2</w:t>
            </w:r>
          </w:p>
        </w:tc>
        <w:tc>
          <w:tcPr>
            <w:tcW w:w="1855"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Arial"/>
                <w:color w:val="000000"/>
                <w:lang w:eastAsia="pt-BR"/>
              </w:rPr>
              <w:t>Modelo de gestão de Portfólio de Ativos Financeiros com space planning, avaliação de imóveis e sistema.</w:t>
            </w:r>
          </w:p>
        </w:tc>
        <w:tc>
          <w:tcPr>
            <w:tcW w:w="358"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c>
          <w:tcPr>
            <w:tcW w:w="179"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358"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p>
        </w:tc>
        <w:tc>
          <w:tcPr>
            <w:tcW w:w="179"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58"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385" w:type="pct"/>
            <w:tcBorders>
              <w:top w:val="nil"/>
              <w:left w:val="nil"/>
              <w:bottom w:val="single" w:sz="8" w:space="0" w:color="auto"/>
              <w:right w:val="single" w:sz="4" w:space="0" w:color="auto"/>
            </w:tcBorders>
            <w:shd w:val="clear" w:color="auto" w:fill="auto"/>
            <w:vAlign w:val="center"/>
            <w:hideMark/>
          </w:tcPr>
          <w:p w:rsidR="00D91A7C" w:rsidRPr="00D91A7C" w:rsidRDefault="00D91A7C" w:rsidP="00D91A7C">
            <w:pPr>
              <w:spacing w:line="240" w:lineRule="auto"/>
              <w:jc w:val="center"/>
              <w:rPr>
                <w:rFonts w:ascii="Calibri" w:eastAsia="Times New Roman" w:hAnsi="Calibri" w:cs="Arial"/>
                <w:color w:val="000000"/>
                <w:lang w:eastAsia="pt-BR"/>
              </w:rPr>
            </w:pPr>
            <w:r w:rsidRPr="00D91A7C">
              <w:rPr>
                <w:rFonts w:ascii="Calibri" w:eastAsia="Times New Roman" w:hAnsi="Calibri" w:cs="Arial"/>
                <w:color w:val="000000"/>
                <w:lang w:eastAsia="pt-BR"/>
              </w:rPr>
              <w:t>X</w:t>
            </w:r>
          </w:p>
        </w:tc>
        <w:tc>
          <w:tcPr>
            <w:tcW w:w="179" w:type="pct"/>
            <w:tcBorders>
              <w:top w:val="nil"/>
              <w:left w:val="nil"/>
              <w:bottom w:val="single" w:sz="8" w:space="0" w:color="auto"/>
              <w:right w:val="single" w:sz="8" w:space="0" w:color="auto"/>
            </w:tcBorders>
            <w:shd w:val="clear" w:color="auto" w:fill="auto"/>
            <w:vAlign w:val="center"/>
            <w:hideMark/>
          </w:tcPr>
          <w:p w:rsidR="00D91A7C" w:rsidRPr="00D91A7C" w:rsidRDefault="00D91A7C" w:rsidP="00D91A7C">
            <w:pPr>
              <w:spacing w:line="240" w:lineRule="auto"/>
              <w:jc w:val="both"/>
              <w:rPr>
                <w:rFonts w:ascii="Calibri" w:eastAsia="Times New Roman" w:hAnsi="Calibri" w:cs="Times New Roman"/>
                <w:color w:val="000000"/>
                <w:lang w:eastAsia="pt-BR"/>
              </w:rPr>
            </w:pPr>
            <w:r w:rsidRPr="00D91A7C">
              <w:rPr>
                <w:rFonts w:ascii="Calibri" w:eastAsia="Times New Roman" w:hAnsi="Calibri" w:cs="Times New Roman"/>
                <w:color w:val="000000"/>
                <w:lang w:eastAsia="pt-BR"/>
              </w:rPr>
              <w:t> </w:t>
            </w:r>
          </w:p>
        </w:tc>
      </w:tr>
    </w:tbl>
    <w:p w:rsidR="003F5416" w:rsidRPr="00DE2D55" w:rsidRDefault="003F5416" w:rsidP="00FE560B">
      <w:pPr>
        <w:tabs>
          <w:tab w:val="left" w:pos="0"/>
        </w:tabs>
        <w:jc w:val="both"/>
        <w:rPr>
          <w:rFonts w:eastAsia="Times New Roman" w:cs="Arial"/>
          <w:b/>
          <w:bCs/>
          <w:color w:val="4A66AC" w:themeColor="accent1"/>
          <w:lang w:eastAsia="pt-BR"/>
        </w:rPr>
      </w:pPr>
      <w:r w:rsidRPr="00DE2D55">
        <w:rPr>
          <w:rFonts w:eastAsia="Times New Roman" w:cs="Arial"/>
          <w:lang w:eastAsia="pt-BR"/>
        </w:rPr>
        <w:br w:type="page"/>
      </w:r>
    </w:p>
    <w:p w:rsidR="001B4726" w:rsidRPr="00DE2D55" w:rsidRDefault="001B4726" w:rsidP="00FE560B">
      <w:pPr>
        <w:pStyle w:val="Ttulo2"/>
        <w:tabs>
          <w:tab w:val="left" w:pos="0"/>
        </w:tabs>
        <w:spacing w:before="0"/>
        <w:jc w:val="both"/>
        <w:rPr>
          <w:rFonts w:asciiTheme="minorHAnsi" w:eastAsia="Times New Roman" w:hAnsiTheme="minorHAnsi" w:cs="Arial"/>
          <w:sz w:val="22"/>
          <w:szCs w:val="22"/>
          <w:lang w:eastAsia="pt-BR"/>
        </w:rPr>
      </w:pPr>
      <w:bookmarkStart w:id="139" w:name="_Toc517282155"/>
      <w:r w:rsidRPr="00DE2D55">
        <w:rPr>
          <w:rFonts w:asciiTheme="minorHAnsi" w:eastAsia="Times New Roman" w:hAnsiTheme="minorHAnsi" w:cs="Arial"/>
          <w:sz w:val="22"/>
          <w:szCs w:val="22"/>
          <w:lang w:eastAsia="pt-BR"/>
        </w:rPr>
        <w:t>PRODUTO 3. NOVO MODELO DE GESTÃO DE COMPRAS DO ESTADO IMPLANTADO</w:t>
      </w:r>
      <w:bookmarkEnd w:id="139"/>
    </w:p>
    <w:p w:rsidR="00CA21C4" w:rsidRPr="00DE2D55" w:rsidRDefault="00CA21C4" w:rsidP="00FE560B">
      <w:pPr>
        <w:tabs>
          <w:tab w:val="left" w:pos="0"/>
        </w:tabs>
        <w:jc w:val="both"/>
        <w:rPr>
          <w:lang w:eastAsia="pt-BR"/>
        </w:rPr>
      </w:pPr>
    </w:p>
    <w:p w:rsidR="00CA21C4" w:rsidRPr="00DE2D55" w:rsidRDefault="00CA21C4" w:rsidP="00FE560B">
      <w:pPr>
        <w:tabs>
          <w:tab w:val="left" w:pos="0"/>
        </w:tabs>
        <w:jc w:val="both"/>
        <w:rPr>
          <w:rFonts w:cs="Calibri"/>
          <w:b/>
          <w:bCs/>
          <w:smallCaps/>
          <w:color w:val="0070C0"/>
        </w:rPr>
      </w:pPr>
    </w:p>
    <w:tbl>
      <w:tblPr>
        <w:tblW w:w="0" w:type="auto"/>
        <w:tblBorders>
          <w:top w:val="single" w:sz="8" w:space="0" w:color="4BACC6"/>
          <w:bottom w:val="single" w:sz="8" w:space="0" w:color="4BACC6"/>
        </w:tblBorders>
        <w:tblLook w:val="04A0" w:firstRow="1" w:lastRow="0" w:firstColumn="1" w:lastColumn="0" w:noHBand="0" w:noVBand="1"/>
      </w:tblPr>
      <w:tblGrid>
        <w:gridCol w:w="9779"/>
      </w:tblGrid>
      <w:tr w:rsidR="00CA21C4" w:rsidRPr="00DE2D55" w:rsidTr="00CA21C4">
        <w:tc>
          <w:tcPr>
            <w:tcW w:w="9779" w:type="dxa"/>
            <w:tcBorders>
              <w:top w:val="single" w:sz="8" w:space="0" w:color="4BACC6"/>
              <w:bottom w:val="single" w:sz="8" w:space="0" w:color="4BACC6"/>
            </w:tcBorders>
            <w:shd w:val="clear" w:color="auto" w:fill="auto"/>
          </w:tcPr>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P 3.3  Novo Modelo de Gestão de Compras do Estado Implantado</w:t>
            </w:r>
          </w:p>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ab/>
              <w:t>3.3.1 Revisão e ajuste do modelo de gestão de compras apoiado por uma política de compras públicas e planejamento anual;</w:t>
            </w:r>
          </w:p>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 xml:space="preserve">         3.3.2 Implantação de uma metodologia para o uso do preço de referência e planejamento anual das compras.</w:t>
            </w:r>
          </w:p>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 xml:space="preserve">         3.3.3 Implantação de uma metodologia de elaboração e atualização do catálogo de compras e de fornecedores.</w:t>
            </w:r>
          </w:p>
          <w:p w:rsidR="00CA21C4" w:rsidRPr="00DE2D55" w:rsidRDefault="00CA21C4" w:rsidP="00FE560B">
            <w:pPr>
              <w:shd w:val="clear" w:color="auto" w:fill="D5DCE4"/>
              <w:tabs>
                <w:tab w:val="left" w:pos="0"/>
              </w:tabs>
              <w:jc w:val="both"/>
              <w:rPr>
                <w:rFonts w:cs="Calibri"/>
                <w:b/>
                <w:bCs/>
                <w:color w:val="0070C0"/>
              </w:rPr>
            </w:pPr>
            <w:r w:rsidRPr="00DE2D55">
              <w:rPr>
                <w:rFonts w:cs="Calibri"/>
                <w:b/>
                <w:bCs/>
                <w:color w:val="0070C0"/>
              </w:rPr>
              <w:t xml:space="preserve">         3.3.4 Atualização da funcionalidade e integração do SIGA aos demais sistemas do Estado.</w:t>
            </w:r>
          </w:p>
        </w:tc>
      </w:tr>
    </w:tbl>
    <w:p w:rsidR="00CA21C4" w:rsidRPr="00DE2D55" w:rsidRDefault="00CA21C4" w:rsidP="00FE560B">
      <w:pPr>
        <w:tabs>
          <w:tab w:val="left" w:pos="0"/>
        </w:tabs>
        <w:jc w:val="both"/>
        <w:rPr>
          <w:rFonts w:cs="Calibri"/>
        </w:rPr>
      </w:pPr>
    </w:p>
    <w:p w:rsidR="00CA21C4" w:rsidRPr="00DE2D55" w:rsidRDefault="00CA21C4" w:rsidP="00FE560B">
      <w:pPr>
        <w:tabs>
          <w:tab w:val="left" w:pos="0"/>
        </w:tabs>
        <w:ind w:left="360"/>
        <w:jc w:val="both"/>
        <w:rPr>
          <w:rFonts w:cs="Calibri"/>
        </w:rPr>
      </w:pPr>
      <w:r w:rsidRPr="00DE2D55">
        <w:rPr>
          <w:rFonts w:cs="Calibri"/>
        </w:rPr>
        <w:t xml:space="preserve">Autor(es): </w:t>
      </w:r>
    </w:p>
    <w:tbl>
      <w:tblPr>
        <w:tblW w:w="5000" w:type="pct"/>
        <w:tblLook w:val="0000" w:firstRow="0" w:lastRow="0" w:firstColumn="0" w:lastColumn="0" w:noHBand="0" w:noVBand="0"/>
      </w:tblPr>
      <w:tblGrid>
        <w:gridCol w:w="1866"/>
        <w:gridCol w:w="2343"/>
        <w:gridCol w:w="2398"/>
        <w:gridCol w:w="3163"/>
      </w:tblGrid>
      <w:tr w:rsidR="00CA21C4" w:rsidRPr="00DE2D55" w:rsidTr="00CA21C4">
        <w:trPr>
          <w:trHeight w:val="253"/>
        </w:trPr>
        <w:tc>
          <w:tcPr>
            <w:tcW w:w="1032"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rPr>
                <w:b/>
              </w:rPr>
            </w:pPr>
            <w:r w:rsidRPr="00DE2D55">
              <w:rPr>
                <w:b/>
              </w:rPr>
              <w:t>Nomes</w:t>
            </w:r>
          </w:p>
        </w:tc>
        <w:tc>
          <w:tcPr>
            <w:tcW w:w="1276"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rPr>
                <w:b/>
              </w:rPr>
            </w:pPr>
            <w:r w:rsidRPr="00DE2D55">
              <w:rPr>
                <w:b/>
              </w:rPr>
              <w:t>Cargos</w:t>
            </w:r>
          </w:p>
        </w:tc>
        <w:tc>
          <w:tcPr>
            <w:tcW w:w="1304"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rPr>
                <w:b/>
              </w:rPr>
            </w:pPr>
            <w:r w:rsidRPr="00DE2D55">
              <w:rPr>
                <w:rFonts w:cs="Calibri"/>
                <w:b/>
              </w:rPr>
              <w:t>Área</w:t>
            </w:r>
          </w:p>
        </w:tc>
        <w:tc>
          <w:tcPr>
            <w:tcW w:w="1388"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pPr>
            <w:r w:rsidRPr="00DE2D55">
              <w:rPr>
                <w:b/>
              </w:rPr>
              <w:t>E-mail</w:t>
            </w:r>
          </w:p>
        </w:tc>
      </w:tr>
      <w:tr w:rsidR="00CA21C4" w:rsidRPr="00DE2D55" w:rsidTr="00CA21C4">
        <w:trPr>
          <w:trHeight w:val="70"/>
        </w:trPr>
        <w:tc>
          <w:tcPr>
            <w:tcW w:w="10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Gabriel de Araújo Borges</w:t>
            </w:r>
          </w:p>
        </w:tc>
        <w:tc>
          <w:tcPr>
            <w:tcW w:w="12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Analista do Executivo</w:t>
            </w:r>
          </w:p>
        </w:tc>
        <w:tc>
          <w:tcPr>
            <w:tcW w:w="130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GERAC/SUGEC</w:t>
            </w:r>
          </w:p>
        </w:tc>
        <w:tc>
          <w:tcPr>
            <w:tcW w:w="1388"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pPr>
            <w:r w:rsidRPr="00DE2D55">
              <w:t>gabriel.borges@sefaz.es.gov.br</w:t>
            </w:r>
          </w:p>
        </w:tc>
      </w:tr>
      <w:tr w:rsidR="00CA21C4" w:rsidRPr="00DE2D55" w:rsidTr="00CA21C4">
        <w:trPr>
          <w:trHeight w:val="70"/>
        </w:trPr>
        <w:tc>
          <w:tcPr>
            <w:tcW w:w="10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Julierme Gomes Tosta</w:t>
            </w:r>
          </w:p>
        </w:tc>
        <w:tc>
          <w:tcPr>
            <w:tcW w:w="12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rPr>
                <w:bCs/>
              </w:rPr>
              <w:t>Subgerente de Avaliação e Controle do Gasto</w:t>
            </w:r>
          </w:p>
        </w:tc>
        <w:tc>
          <w:tcPr>
            <w:tcW w:w="130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rPr>
                <w:bCs/>
              </w:rPr>
              <w:t>Subgerência de Avaliação e Controle do Gasto - SUCOG</w:t>
            </w:r>
          </w:p>
        </w:tc>
        <w:tc>
          <w:tcPr>
            <w:tcW w:w="1388"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pPr>
            <w:r w:rsidRPr="00DE2D55">
              <w:t>jtosta@sefaz.es.gov.br</w:t>
            </w:r>
          </w:p>
        </w:tc>
      </w:tr>
      <w:tr w:rsidR="00CA21C4" w:rsidRPr="00DE2D55" w:rsidTr="00CA21C4">
        <w:trPr>
          <w:trHeight w:val="70"/>
        </w:trPr>
        <w:tc>
          <w:tcPr>
            <w:tcW w:w="1032"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Jean Carlos de Oliveira</w:t>
            </w:r>
          </w:p>
        </w:tc>
        <w:tc>
          <w:tcPr>
            <w:tcW w:w="1276"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pPr>
            <w:r w:rsidRPr="00DE2D55">
              <w:t>Gerente da GESIS</w:t>
            </w:r>
          </w:p>
          <w:p w:rsidR="00CA21C4" w:rsidRPr="00DE2D55" w:rsidRDefault="00CA21C4" w:rsidP="00FE560B">
            <w:pPr>
              <w:tabs>
                <w:tab w:val="left" w:pos="0"/>
              </w:tabs>
              <w:jc w:val="both"/>
            </w:pPr>
            <w:r w:rsidRPr="00DE2D55">
              <w:t>Especialista em Políticas Públicas e Gestão Governamental</w:t>
            </w:r>
          </w:p>
        </w:tc>
        <w:tc>
          <w:tcPr>
            <w:tcW w:w="130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Gerência de Sistemas Integrados</w:t>
            </w:r>
          </w:p>
          <w:p w:rsidR="00CA21C4" w:rsidRPr="00DE2D55" w:rsidRDefault="00CA21C4" w:rsidP="00FE560B">
            <w:pPr>
              <w:tabs>
                <w:tab w:val="left" w:pos="0"/>
              </w:tabs>
              <w:jc w:val="both"/>
            </w:pPr>
            <w:r w:rsidRPr="00DE2D55">
              <w:t>GESIS/ SUBAD/SEGER</w:t>
            </w:r>
          </w:p>
        </w:tc>
        <w:tc>
          <w:tcPr>
            <w:tcW w:w="138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jean.oliveira@seger.es.gov.br</w:t>
            </w:r>
          </w:p>
        </w:tc>
      </w:tr>
      <w:tr w:rsidR="00CA21C4" w:rsidRPr="00DE2D55" w:rsidTr="00CA21C4">
        <w:trPr>
          <w:trHeight w:val="70"/>
        </w:trPr>
        <w:tc>
          <w:tcPr>
            <w:tcW w:w="1032" w:type="pct"/>
            <w:tcBorders>
              <w:top w:val="single" w:sz="4" w:space="0" w:color="00000A"/>
              <w:left w:val="single" w:sz="4" w:space="0" w:color="00000A"/>
              <w:bottom w:val="single" w:sz="4" w:space="0" w:color="00000A"/>
              <w:right w:val="single" w:sz="4" w:space="0" w:color="00000A"/>
            </w:tcBorders>
            <w:shd w:val="clear" w:color="auto" w:fill="FFFFFF"/>
          </w:tcPr>
          <w:p w:rsidR="00CA21C4" w:rsidRPr="00DE2D55" w:rsidRDefault="00CA21C4" w:rsidP="00FE560B">
            <w:pPr>
              <w:tabs>
                <w:tab w:val="left" w:pos="0"/>
              </w:tabs>
              <w:jc w:val="both"/>
            </w:pPr>
            <w:r w:rsidRPr="00DE2D55">
              <w:t>Renato Machado Albert</w:t>
            </w:r>
          </w:p>
        </w:tc>
        <w:tc>
          <w:tcPr>
            <w:tcW w:w="127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Gerente de Sistemas de Informação</w:t>
            </w:r>
          </w:p>
          <w:p w:rsidR="00CA21C4" w:rsidRPr="00DE2D55" w:rsidRDefault="00CA21C4" w:rsidP="00FE560B">
            <w:pPr>
              <w:tabs>
                <w:tab w:val="left" w:pos="0"/>
              </w:tabs>
              <w:jc w:val="both"/>
            </w:pPr>
            <w:r w:rsidRPr="00DE2D55">
              <w:t>Especialista em Políticas Públicas e Gestão Governamental</w:t>
            </w:r>
          </w:p>
        </w:tc>
        <w:tc>
          <w:tcPr>
            <w:tcW w:w="130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Gerência de Sistemas de Informação – GESIN/PRODEST</w:t>
            </w:r>
          </w:p>
        </w:tc>
        <w:tc>
          <w:tcPr>
            <w:tcW w:w="138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CA21C4" w:rsidRPr="00DE2D55" w:rsidRDefault="00CA21C4" w:rsidP="00FE560B">
            <w:pPr>
              <w:tabs>
                <w:tab w:val="left" w:pos="0"/>
              </w:tabs>
              <w:jc w:val="both"/>
            </w:pPr>
            <w:r w:rsidRPr="00DE2D55">
              <w:t>renato.albert@prodest.es.gov.br</w:t>
            </w:r>
          </w:p>
        </w:tc>
      </w:tr>
    </w:tbl>
    <w:p w:rsidR="00CA21C4" w:rsidRPr="00DE2D55" w:rsidRDefault="00CA21C4" w:rsidP="00FE560B">
      <w:pPr>
        <w:tabs>
          <w:tab w:val="left" w:pos="0"/>
        </w:tabs>
        <w:jc w:val="both"/>
        <w:rPr>
          <w:rFonts w:cs="Calibri"/>
        </w:rPr>
      </w:pPr>
    </w:p>
    <w:p w:rsidR="00CA21C4" w:rsidRPr="00DE2D55" w:rsidRDefault="00CA21C4" w:rsidP="00FE560B">
      <w:pPr>
        <w:tabs>
          <w:tab w:val="left" w:pos="0"/>
        </w:tabs>
        <w:jc w:val="both"/>
        <w:rPr>
          <w:rFonts w:cs="Calibri"/>
        </w:rPr>
      </w:pPr>
    </w:p>
    <w:p w:rsidR="00CA21C4" w:rsidRDefault="00CA21C4" w:rsidP="00D91A7C">
      <w:pPr>
        <w:tabs>
          <w:tab w:val="left" w:pos="0"/>
        </w:tabs>
        <w:jc w:val="center"/>
        <w:rPr>
          <w:rFonts w:cs="Calibri"/>
          <w:b/>
        </w:rPr>
      </w:pPr>
      <w:r w:rsidRPr="00DE2D55">
        <w:rPr>
          <w:rFonts w:cs="Calibri"/>
          <w:b/>
        </w:rPr>
        <w:t>Vitória/ES - junho de 2018</w:t>
      </w:r>
    </w:p>
    <w:p w:rsidR="00D91A7C" w:rsidRDefault="00D91A7C" w:rsidP="00D91A7C">
      <w:pPr>
        <w:tabs>
          <w:tab w:val="left" w:pos="0"/>
        </w:tabs>
        <w:jc w:val="center"/>
        <w:rPr>
          <w:rFonts w:cs="Calibri"/>
          <w:b/>
        </w:rPr>
      </w:pPr>
    </w:p>
    <w:p w:rsidR="00D91A7C" w:rsidRPr="00DE2D55" w:rsidRDefault="00D91A7C" w:rsidP="00D91A7C">
      <w:pPr>
        <w:tabs>
          <w:tab w:val="left" w:pos="0"/>
        </w:tabs>
        <w:jc w:val="center"/>
        <w:rPr>
          <w:rFonts w:cs="Calibri"/>
          <w:b/>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0" w:name="_Toc517282156"/>
      <w:r w:rsidRPr="00DE2D55">
        <w:rPr>
          <w:rFonts w:cs="Calibri"/>
          <w:b/>
        </w:rPr>
        <w:t>ANTECEDENTES DO PRODUTO</w:t>
      </w:r>
      <w:bookmarkEnd w:id="140"/>
    </w:p>
    <w:p w:rsidR="00CA21C4" w:rsidRDefault="00CA21C4" w:rsidP="00FE560B">
      <w:pPr>
        <w:tabs>
          <w:tab w:val="left" w:pos="0"/>
        </w:tabs>
        <w:jc w:val="both"/>
        <w:rPr>
          <w:rFonts w:cs="Calibri"/>
        </w:rPr>
      </w:pPr>
      <w:r w:rsidRPr="00DE2D55">
        <w:rPr>
          <w:rFonts w:cs="Calibri"/>
        </w:rPr>
        <w:t xml:space="preserve">O crescente apelo social por serviços públicos e infratestrutura básica, manifestados principalmente pelos meios de comunicação, tem exigido dos governantes e gestores públicos uma administração financeira responsável, de maneira que os tributos arrecadados retornem sob a forma de contrapartida social equivalente. </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A coisa pública passou a ser cada vez mais fiscalizada, para que os gastos governamentais assumam um padrão de excelência em termos de eficácia e eficiência. A trajetória aponta para um maior rigor da gestão pública, o que implica crescente responsabilidade dos gestores em aprimorar processos e construir novos instrumentos e ferramentas para uma gestão mais eficaz e eficiente dos recursos.</w:t>
      </w:r>
    </w:p>
    <w:p w:rsidR="00D91A7C" w:rsidRPr="00DE2D55" w:rsidRDefault="00D91A7C"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 xml:space="preserve">Neste contexto, as compras públicas são um passo crítico na provisão de serviços públicos para a população, pois a falta de estratégias para se realizar as melhores compras pode gerar enormes prejuízos ao ente público. </w:t>
      </w:r>
    </w:p>
    <w:p w:rsidR="00CA21C4" w:rsidRDefault="00CA21C4" w:rsidP="00FE560B">
      <w:pPr>
        <w:tabs>
          <w:tab w:val="left" w:pos="0"/>
        </w:tabs>
        <w:jc w:val="both"/>
        <w:rPr>
          <w:rFonts w:cs="Calibri"/>
        </w:rPr>
      </w:pPr>
      <w:r w:rsidRPr="00DE2D55">
        <w:rPr>
          <w:rFonts w:cs="Calibri"/>
        </w:rPr>
        <w:t xml:space="preserve">Considerando a legislação vigente acerca de compras públicas, é possível estabelecer planos e estratégias durante a fase de compras para efetuá-las mais eficientemente, a saber, economias de escala, mais competição e diversificação entre ofertantes, minimização de sazonalidades nos preços, etc.. Ademais, é preciso efetuar um melhor gerenciamento da demanda, para reduzir desperdícios, substituir materiais e serviços, e, principalmente, padronizar produtos de baixa complexidade. </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Toda compra pública está submetida a regras de licitação, destinada a selecionar a proposta mais vantajosa. Na maioria das vezes, isso significa a proposta com o menor preço. É a pesquisa de preços que fundamenta o julgamento da licitação, definindo o preço de referência. O preço de referência tem diversas finalidades: suporte ao processo orçamentário da despesa; definir a modalidade de licitação conforme a Lei 8.666/93; fundamentar critérios de aceitabilidade de propostas; fundamentar a economicidade da compra ou contratação ou prorrogação contratual; justificar a compra no sistema de registro de preços.</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A terceirização de serviços de TI tem sido utilizada por grande parte dos órgãos da Administração Pública para atender adequadamente à crescente demanda por sistemas e soluções originadas pelas áreas meio e fim.</w:t>
      </w:r>
    </w:p>
    <w:p w:rsidR="00D91A7C" w:rsidRPr="00DE2D55" w:rsidRDefault="00D91A7C"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Instituído pelo Decreto 2340-R de 26 de agosto de 2009 como sistema de utilização obrigatória pela Administração Direta, Autárquica e Fundacional, o sistema SIGA tem como objetivo fortalecer a gestão administrativa por meio de uma ferramenta única, com abrangência total no Poder Executivo Estadual, além das Prefeituras Municipais por meio do módulo de Convênios.</w:t>
      </w:r>
    </w:p>
    <w:p w:rsidR="00CA21C4" w:rsidRDefault="00CA21C4" w:rsidP="00FE560B">
      <w:pPr>
        <w:tabs>
          <w:tab w:val="left" w:pos="0"/>
        </w:tabs>
        <w:jc w:val="both"/>
        <w:rPr>
          <w:rFonts w:cs="Calibri"/>
        </w:rPr>
      </w:pPr>
      <w:r w:rsidRPr="00DE2D55">
        <w:rPr>
          <w:rFonts w:cs="Calibri"/>
        </w:rPr>
        <w:t>Em 2015, ocorreu a criação da Gerência de Sistemas Integrados – GESIS (Decreto nº 3762-R, DE 15/01/2015), sendo formalizada a coordenação das atividades relacionadas ao desenvolvimento, homologação e testes do Sistema, assim como a gestão da utilização dos módulos e a sua expansão nos demais Órgãos e Entidades do Governo do Estado, municípios e a utilização pelos fornecedores. Também é atribuição da GESIS a coordenação da execução dos treinamentos, atendimento aos usuários (suporte) e toda a governança do sistema, atividades essas em sua maioria em parceria com o Instituto de Tecnologia da Informação e Comunicação do Estado do Espírito Santo – PRODEST.</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Composto por oito módulos (Catálogo de Materiais e Serviços, Cadastro de Fornecedores, Compras, Contratos, Convênios, Almoxarifado, Patrimônio Mobiliário e Patrimônio Imobiliário), o SIGA busca padronizar e conciliar eletronicamente os processos de gestão administrativa do Estado, bem como centralizar as informações, subsidiando gestores públicos com o conhecimento necessário para o aprimoramento contínuo da gestão.</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O sistema SIGA possui aproximadamente 9.000 (nove mil) usuários ativos (servidores estaduais e municipais), mais de 23.000 (vinte e três mil) fornecedores cadastrados, e aproximadamente 86.000 (oitenta e seis mil) itens cadastrados no catálogo de materiais e serviços. Somente no ano de 2017, foram finalizados mais de 8.500 (oito mil e quinhentos) chamados de suporte técnico, muitos desses decorrentes da necessidade de manutenções evolutivas no sistema.</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 xml:space="preserve">Os processos, serviços e atividades desenvolvidas no SIGA são essenciais para a execução das atividades institucionais, de tal forma que sua indisponibilidade ou descontinuidade produziria impacto direto ao desempenho do Governo do Estado. </w:t>
      </w:r>
    </w:p>
    <w:p w:rsidR="00D91A7C" w:rsidRPr="00DE2D55" w:rsidRDefault="00D91A7C" w:rsidP="00FE560B">
      <w:pPr>
        <w:tabs>
          <w:tab w:val="left" w:pos="0"/>
        </w:tabs>
        <w:jc w:val="both"/>
        <w:rPr>
          <w:rFonts w:cs="Calibri"/>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1" w:name="_Toc517282157"/>
      <w:r w:rsidRPr="00DE2D55">
        <w:rPr>
          <w:rFonts w:cs="Calibri"/>
          <w:b/>
        </w:rPr>
        <w:t>DESCRIÇÃO DO PROBLEMA E SUAS EVIDÊNCIAS</w:t>
      </w:r>
      <w:bookmarkEnd w:id="141"/>
      <w:r w:rsidRPr="00DE2D55">
        <w:rPr>
          <w:rFonts w:cs="Calibri"/>
          <w:b/>
        </w:rPr>
        <w:t xml:space="preserve"> </w:t>
      </w:r>
    </w:p>
    <w:p w:rsidR="00CA21C4" w:rsidRDefault="00CA21C4" w:rsidP="00FE560B">
      <w:pPr>
        <w:tabs>
          <w:tab w:val="left" w:pos="0"/>
        </w:tabs>
        <w:jc w:val="both"/>
        <w:rPr>
          <w:rFonts w:cs="Calibri"/>
        </w:rPr>
      </w:pPr>
      <w:r w:rsidRPr="00DE2D55">
        <w:rPr>
          <w:rFonts w:cs="Calibri"/>
        </w:rPr>
        <w:t xml:space="preserve">Atualmente o Estado do Espírito Santo efetua compras mediante pregão eletrônico no Portal de Compras/SEGER. Embora o processo de compras possa ser realizado adequadamente de acordo com o sistema informatizado, há problemas relacionados à utilização de preços de referências nas compras realizadas pelo sistema. </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 xml:space="preserve">A pesquisa de preços precisa estar permanentemente atualizada e em sincronia com os preços de bens e serviços praticado no mercado, do contrário, compras públicas podem causar prejuízos ao erário. Atualmente, utiliza-se a “ata de registro de preços”, na qual as empresas assumem o compromisso de fornecimento a preços e prazos registrados previamente. Entretanto, esse instrumento, que deveria ser um balizador dos preços praticados do produto ou serviço no mercado, tem assumido aspecto meramente formal, constituindo apenas uma etapa do processo de compra. </w:t>
      </w:r>
    </w:p>
    <w:p w:rsidR="00D91A7C" w:rsidRPr="00DE2D55" w:rsidRDefault="00D91A7C"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Outro problema é a falta de integração efetiva entre os sistemas informatizados do Estado,  como o SIGA(Sistema Integrado de Administração de Recursos Humanos do Espírito Santo ), SIGEFES (Sistema Integrado de Gestão das Finanças Públicas do Espírito Santo), SEP (Sistema Eletrônico de Protocolo), Sistema de Informações Tributárias (SIT) entre outros.</w:t>
      </w:r>
    </w:p>
    <w:p w:rsidR="00D91A7C" w:rsidRPr="00DE2D55" w:rsidRDefault="00D91A7C"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Destaca-sem os seguintes problemas que atingem diretamente os assuntos estratégicos que interferem negativamente na gestão pública: a dificuldade de centralização das compras e contratações públicas; problemas relacionados à obtenção de relatórios capazes de auxiliar na tomada de decisão;  a deficiência no planejamento das compras públicas e a indisponibilidade de informações para controle e tomada de decisão.</w:t>
      </w:r>
    </w:p>
    <w:p w:rsidR="00CA21C4" w:rsidRDefault="00CA21C4" w:rsidP="00FE560B">
      <w:pPr>
        <w:tabs>
          <w:tab w:val="left" w:pos="0"/>
        </w:tabs>
        <w:jc w:val="both"/>
        <w:rPr>
          <w:rFonts w:cs="Calibri"/>
        </w:rPr>
      </w:pPr>
      <w:r w:rsidRPr="00DE2D55">
        <w:rPr>
          <w:rFonts w:cs="Calibri"/>
        </w:rPr>
        <w:t>A fim de sanar os problemas encontrados, o Estado almeja a adoção das melhores e modernas práticas de gestão, a fim de se apropriar das potenciais economias de escala nas compras públicas, disciplinar essas compras, maximizar a eficiência e eficácia das compras, evitando o desperdício e ainda, otimizar a utilização dos recursos financeiros a fim de facilitar o equilíbrio fiscal do Estado.</w:t>
      </w:r>
    </w:p>
    <w:p w:rsidR="00D91A7C" w:rsidRPr="00DE2D55" w:rsidRDefault="00D91A7C"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 xml:space="preserve">Destaca-se os seguintes problemas que atingem diretamente os assuntos estratégicos: </w:t>
      </w:r>
    </w:p>
    <w:p w:rsidR="00CA21C4" w:rsidRPr="00DE2D55" w:rsidRDefault="00CA21C4" w:rsidP="00A249C9">
      <w:pPr>
        <w:numPr>
          <w:ilvl w:val="0"/>
          <w:numId w:val="76"/>
        </w:numPr>
        <w:tabs>
          <w:tab w:val="left" w:pos="0"/>
        </w:tabs>
        <w:jc w:val="both"/>
        <w:rPr>
          <w:rFonts w:cs="Calibri"/>
        </w:rPr>
      </w:pPr>
      <w:r w:rsidRPr="00DE2D55">
        <w:rPr>
          <w:rFonts w:cs="Calibri"/>
        </w:rPr>
        <w:t xml:space="preserve">dificuldade na gestão centralizada das compras e contratações; </w:t>
      </w:r>
    </w:p>
    <w:p w:rsidR="00CA21C4" w:rsidRPr="00DE2D55" w:rsidRDefault="00CA21C4" w:rsidP="00A249C9">
      <w:pPr>
        <w:numPr>
          <w:ilvl w:val="0"/>
          <w:numId w:val="76"/>
        </w:numPr>
        <w:tabs>
          <w:tab w:val="left" w:pos="0"/>
        </w:tabs>
        <w:jc w:val="both"/>
        <w:rPr>
          <w:rFonts w:cs="Calibri"/>
        </w:rPr>
      </w:pPr>
      <w:r w:rsidRPr="00DE2D55">
        <w:rPr>
          <w:rFonts w:cs="Calibri"/>
        </w:rPr>
        <w:t xml:space="preserve">dificuldade na obtenção de relatórios capazes de auxiliar na tomada de decisão;  </w:t>
      </w:r>
    </w:p>
    <w:p w:rsidR="00CA21C4" w:rsidRPr="00DE2D55" w:rsidRDefault="00CA21C4" w:rsidP="00A249C9">
      <w:pPr>
        <w:numPr>
          <w:ilvl w:val="0"/>
          <w:numId w:val="76"/>
        </w:numPr>
        <w:tabs>
          <w:tab w:val="left" w:pos="0"/>
        </w:tabs>
        <w:jc w:val="both"/>
        <w:rPr>
          <w:rFonts w:cs="Calibri"/>
        </w:rPr>
      </w:pPr>
      <w:r w:rsidRPr="00DE2D55">
        <w:rPr>
          <w:rFonts w:cs="Calibri"/>
        </w:rPr>
        <w:t>deficiência no planejamento das compras públicas;</w:t>
      </w:r>
    </w:p>
    <w:p w:rsidR="00CA21C4" w:rsidRDefault="00CA21C4" w:rsidP="00A249C9">
      <w:pPr>
        <w:numPr>
          <w:ilvl w:val="0"/>
          <w:numId w:val="76"/>
        </w:numPr>
        <w:tabs>
          <w:tab w:val="left" w:pos="0"/>
        </w:tabs>
        <w:jc w:val="both"/>
        <w:rPr>
          <w:rFonts w:cs="Calibri"/>
        </w:rPr>
      </w:pPr>
      <w:r w:rsidRPr="00DE2D55">
        <w:rPr>
          <w:rFonts w:cs="Calibri"/>
        </w:rPr>
        <w:t>e a indisponibilidade de algumas informações para controle e tomada de decisão.</w:t>
      </w:r>
    </w:p>
    <w:p w:rsidR="00B01A15" w:rsidRPr="00DE2D55" w:rsidRDefault="00B01A15" w:rsidP="00B01A15">
      <w:pPr>
        <w:tabs>
          <w:tab w:val="left" w:pos="0"/>
        </w:tabs>
        <w:ind w:left="720"/>
        <w:jc w:val="both"/>
        <w:rPr>
          <w:rFonts w:cs="Calibri"/>
        </w:rPr>
      </w:pPr>
    </w:p>
    <w:p w:rsidR="00CA21C4" w:rsidRDefault="00CA21C4" w:rsidP="00FE560B">
      <w:pPr>
        <w:tabs>
          <w:tab w:val="left" w:pos="0"/>
        </w:tabs>
        <w:jc w:val="both"/>
        <w:rPr>
          <w:rFonts w:cs="Calibri"/>
        </w:rPr>
      </w:pPr>
      <w:r w:rsidRPr="00DE2D55">
        <w:rPr>
          <w:rFonts w:cs="Calibri"/>
        </w:rPr>
        <w:t>A fim de sanar os problemas encontrados, o Estado almeja a adoção de melhores práticas em gestão a fim de aproveitar as potenciais economias nas compras públicas, evitar o desperdício e otimizar a utilização dos recursos financeiros a fim de facilitar o equilíbrio fiscal do Estado.</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Com a crescente utilização do sistema, a interação entre o SIGA e os demais sistemas corporativos estaduais torna-se cada vez mais intensa, de modo que o desenvolvimento de integrações poderá permitir uma maior eficácia e eficiência devido a eliminação de retrabalhos manuais, gerando consequentemente maior economia e segurança nas atividades executadas.</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Para manter e melhorar os serviços fornecidos pelo sistema SIGA, faz-se necessário mantê-lo atualizado com a legislação vigente e permitir a implantação de novas melhorias e integrações com outros sistemas de informação do Governo do Estado. A ausência de manutenções corretivas, preventivas, adaptativas e evolutivas do sistema SIGA pode vir a comprometer e inviabilizar a sua utilização.</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O SIGA foi adquirido pelo Governo do Estado do Espírito Santo por meio da Concorrência Pública nº 001/2007, com a contratação da empresa AZ Informática Ltda. A sua implantação teve início em 2009, sob a gestão da Secretaria de Estado de Gestão e Recursos Humanos – SEGER, com aceite definitivo do sistema em 12/11/2014 e com término da garantia em 12/11/2015. Durante o período de implantação, o foco dado foi na adesão dos Órgãos/Entidades e, consequentemente, na importação dos dados necessários à sua utilização, capacitação e suporte.</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A ausência de uma Gerência específica do Sistema SIGA, os poucos recursos humanos da área de tecnologia e da área de negócio disponibilizados na gestão do projeto, aliado à complexidade de implantação de um sistema do porte e complexidade do SIGA nos diversos Órgãos e Entidades do Poder Executivo Estadual, elevaram o tempo de sua implantação e inviabilizaram importantes manutenções evolutivas no sistema pela empresa contratada durante esse período. Tal fato decorreu da dificuldade de realizar a implantação do sistema e, ao mesmo tempo, de acompanhar as necessidades de manutenção e adaptação a cada Órgão/Entidade.</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Visando à modernização e evolução do SIGA, iniciou-se em 2016 a elaboração do termo de referência para a implementação das manutenções evolutivas, corretivas e adaptativas. No entanto, esse processo foi descontinuado no ano de 2017 após o Instituto de Tecnologia da Informação e Comunicação do Estado do Espírito Santo – PRODEST assumir a responsabilidade pela manutenção técnica do sistema.</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No entanto, mesmo diante dos esforços despendidos pela GESIS e pelo PRODEST, existe ainda uma alta demanda represada de manutenções e integrações necessárias ao sistema acumuladas até o primeiro semestre de 2017, cuja resolução evitaria retrabalhos, diminuição de custos e melhoria da gestão administrativa.</w:t>
      </w:r>
    </w:p>
    <w:p w:rsidR="00B01A15" w:rsidRPr="00DE2D55" w:rsidRDefault="00B01A15" w:rsidP="00FE560B">
      <w:pPr>
        <w:tabs>
          <w:tab w:val="left" w:pos="0"/>
        </w:tabs>
        <w:jc w:val="both"/>
        <w:rPr>
          <w:rFonts w:cs="Calibri"/>
        </w:rPr>
      </w:pPr>
    </w:p>
    <w:p w:rsidR="00CA21C4" w:rsidRDefault="00CA21C4" w:rsidP="00FE560B">
      <w:pPr>
        <w:tabs>
          <w:tab w:val="left" w:pos="0"/>
        </w:tabs>
        <w:jc w:val="both"/>
        <w:rPr>
          <w:rFonts w:cs="Calibri"/>
        </w:rPr>
      </w:pPr>
      <w:r w:rsidRPr="00DE2D55">
        <w:rPr>
          <w:rFonts w:cs="Calibri"/>
        </w:rPr>
        <w:t xml:space="preserve">Em meados de Janeiro/2015, o PRODEST realizou um cálculo estimado da demanda até então conhecida, em aproximadamente 4.800 (quatro mil e oitocentos) Pontos de Função para as manutenções do tipo evolutiva e adaptativa para os módulos do SIGA. </w:t>
      </w:r>
    </w:p>
    <w:p w:rsidR="00B01A15" w:rsidRPr="00DE2D55" w:rsidRDefault="00B01A15"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Considerando esse quantitativo, prudente salientar que novas demandas foram registradas após esse cálculo, além de não ter sido estimada a quantidade de pontos de função para a manutenção corretiva.</w:t>
      </w:r>
    </w:p>
    <w:p w:rsidR="00CA21C4" w:rsidRPr="00DE2D55" w:rsidRDefault="00CA21C4" w:rsidP="00FE560B">
      <w:pPr>
        <w:tabs>
          <w:tab w:val="left" w:pos="0"/>
        </w:tabs>
        <w:jc w:val="both"/>
        <w:rPr>
          <w:rFonts w:cs="Calibri"/>
        </w:rPr>
      </w:pPr>
      <w:r w:rsidRPr="00DE2D55">
        <w:rPr>
          <w:rFonts w:cs="Calibri"/>
          <w:noProof/>
          <w:lang w:eastAsia="pt-BR"/>
        </w:rPr>
        <w:drawing>
          <wp:anchor distT="0" distB="0" distL="114300" distR="114300" simplePos="0" relativeHeight="251700224" behindDoc="0" locked="0" layoutInCell="1" allowOverlap="1" wp14:anchorId="35819F6B" wp14:editId="6BD3CBF1">
            <wp:simplePos x="0" y="0"/>
            <wp:positionH relativeFrom="margin">
              <wp:posOffset>3186430</wp:posOffset>
            </wp:positionH>
            <wp:positionV relativeFrom="paragraph">
              <wp:posOffset>170815</wp:posOffset>
            </wp:positionV>
            <wp:extent cx="2933700" cy="2887980"/>
            <wp:effectExtent l="1270" t="0" r="0" b="635"/>
            <wp:wrapSquare wrapText="bothSides"/>
            <wp:docPr id="40" name="Gráfic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DE2D55">
        <w:rPr>
          <w:rFonts w:cs="Calibri"/>
        </w:rPr>
        <w:t>Além das demandas gerais e comuns a grande maioria dos Órgãos/Entidades usuários do sistema, novos órgãos com características específicas iniciaram a utilização do sistema SIGA no ano de 2017, como a Secretaria de Educação e a Secretaria da Saúde, gerando demandas de manutenção evolutiva e adaptativa de modo a atender as suas especificidades.</w:t>
      </w:r>
    </w:p>
    <w:p w:rsidR="00CA21C4" w:rsidRDefault="00CA21C4" w:rsidP="00FE560B">
      <w:pPr>
        <w:tabs>
          <w:tab w:val="left" w:pos="0"/>
        </w:tabs>
        <w:jc w:val="both"/>
        <w:rPr>
          <w:rFonts w:cs="Calibri"/>
        </w:rPr>
      </w:pPr>
      <w:r w:rsidRPr="00DE2D55">
        <w:rPr>
          <w:rFonts w:cs="Calibri"/>
        </w:rPr>
        <w:t xml:space="preserve">De acordo com Pfleeger </w:t>
      </w:r>
      <w:r w:rsidRPr="00DE2D55">
        <w:rPr>
          <w:rFonts w:cs="Calibri"/>
        </w:rPr>
        <w:footnoteReference w:id="9"/>
      </w:r>
      <w:r w:rsidRPr="00DE2D55">
        <w:rPr>
          <w:rFonts w:cs="Calibri"/>
        </w:rPr>
        <w:t>(2001), autor da disciplina de Engenharia de Software, estima os seguintes percentuais para as manutenções de sistemas: 50% corretiva; 25% adaptativa; 21% evolutiva; 04% preventiva.</w:t>
      </w:r>
    </w:p>
    <w:p w:rsidR="00B01A15" w:rsidRPr="00DE2D55" w:rsidRDefault="00B01A15"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O quantitativo de 4.800 Pontos de Função estimado, mesmo que ainda não atualizado, representaria então aproximadamente 75% das manutenções necessárias, sendo 50% referente à manutenção evolutiva e 25% referente à manutenção adaptativa.</w:t>
      </w:r>
    </w:p>
    <w:p w:rsidR="00CA21C4" w:rsidRDefault="00CA21C4" w:rsidP="00FE560B">
      <w:pPr>
        <w:tabs>
          <w:tab w:val="left" w:pos="0"/>
        </w:tabs>
        <w:jc w:val="both"/>
        <w:rPr>
          <w:rFonts w:cs="Calibri"/>
        </w:rPr>
      </w:pPr>
      <w:r w:rsidRPr="00DE2D55">
        <w:rPr>
          <w:rFonts w:cs="Calibri"/>
        </w:rPr>
        <w:t>A esse quantitativo, há que considerar o percentual de 21% (vinte e um por cento) estimado para a manutenção corretiva, representando um adicional de 1.344 Pontos de Função. Outro adicional, seria o quantitativo referente ao percentual de 4% (quatro por cento) relativo à manutenção preventiva, representando um adicional de 256 Pontos de Função. Destarte, somando-se o quantitativo apurado em Janeiro/2015 com as estimativas expostas, têm-se o total de 6.400 Pontos de Função.</w:t>
      </w:r>
    </w:p>
    <w:p w:rsidR="00B01A15" w:rsidRPr="00DE2D55" w:rsidRDefault="00B01A15"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rPr>
        <w:t>O processo licitatório que visava a contratação de empresa terceirizada para manutenção do sistema no ano de 2016, já citado anteriormente, estimava o quantitativo de 7.000 (sete mil) Pontos de Função, considerando uma margem aproximada de 10% (dez por cento) devido aos fatores expostos nos itens anteriores, como o tempo da realização da última contagem, demandas registradas posteriormente e não consideradas na contagem inicial, e especificidades solicitadas pelos novos órgãos que começaram a utilizar o SIGA, devido à complexidade e especificidades de suas atividades.</w:t>
      </w:r>
    </w:p>
    <w:p w:rsidR="00CA21C4" w:rsidRPr="00DE2D55" w:rsidRDefault="00CA21C4" w:rsidP="00FE560B">
      <w:pPr>
        <w:tabs>
          <w:tab w:val="left" w:pos="0"/>
        </w:tabs>
        <w:jc w:val="both"/>
        <w:rPr>
          <w:rFonts w:cs="Calibri"/>
        </w:rPr>
      </w:pPr>
    </w:p>
    <w:p w:rsidR="00CA21C4" w:rsidRPr="00DE2D55" w:rsidRDefault="00CA21C4" w:rsidP="00FE560B">
      <w:pPr>
        <w:tabs>
          <w:tab w:val="left" w:pos="0"/>
        </w:tabs>
        <w:jc w:val="both"/>
        <w:rPr>
          <w:rFonts w:cs="Calibri"/>
        </w:rPr>
      </w:pPr>
      <w:r w:rsidRPr="00DE2D55">
        <w:rPr>
          <w:rFonts w:cs="Calibri"/>
          <w:b/>
        </w:rPr>
        <w:t>2.1- Síntese do Problema:</w:t>
      </w:r>
      <w:r w:rsidRPr="00DE2D55">
        <w:rPr>
          <w:rFonts w:cs="Calibri"/>
        </w:rPr>
        <w:t xml:space="preserve"> </w:t>
      </w:r>
    </w:p>
    <w:p w:rsidR="00CA21C4" w:rsidRPr="00DE2D55" w:rsidRDefault="00CA21C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i/>
          <w:noProof/>
        </w:rPr>
      </w:pPr>
    </w:p>
    <w:p w:rsidR="00CA21C4" w:rsidRPr="00DE2D55" w:rsidRDefault="00CA21C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i/>
          <w:noProof/>
        </w:rPr>
      </w:pPr>
      <w:r w:rsidRPr="00DE2D55">
        <w:rPr>
          <w:rFonts w:cs="Calibri"/>
          <w:i/>
          <w:noProof/>
        </w:rPr>
        <w:t>Baixo aproveitamento de potenciais economias e perda de recursos financeiros decorrentes da dificuldade na gestão das compras públicas do Estado.</w:t>
      </w:r>
    </w:p>
    <w:p w:rsidR="00CA21C4" w:rsidRPr="00DE2D55" w:rsidRDefault="00CA21C4"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i/>
          <w:noProof/>
        </w:rPr>
      </w:pPr>
    </w:p>
    <w:p w:rsidR="00CA21C4" w:rsidRPr="00DE2D55" w:rsidRDefault="00CA21C4" w:rsidP="00FE560B">
      <w:pPr>
        <w:tabs>
          <w:tab w:val="left" w:pos="0"/>
        </w:tabs>
        <w:jc w:val="both"/>
        <w:rPr>
          <w:rFonts w:cs="Calibri"/>
          <w:b/>
        </w:rPr>
      </w:pPr>
      <w:r w:rsidRPr="00DE2D55">
        <w:rPr>
          <w:rFonts w:cs="Calibri"/>
          <w:b/>
        </w:rPr>
        <w:t>2.2- Principais causas:</w:t>
      </w:r>
    </w:p>
    <w:p w:rsidR="00CA21C4" w:rsidRPr="00DE2D55" w:rsidRDefault="00CA21C4" w:rsidP="00A249C9">
      <w:pPr>
        <w:numPr>
          <w:ilvl w:val="0"/>
          <w:numId w:val="74"/>
        </w:numPr>
        <w:tabs>
          <w:tab w:val="left" w:pos="0"/>
        </w:tabs>
        <w:jc w:val="both"/>
        <w:rPr>
          <w:rFonts w:cs="Calibri"/>
        </w:rPr>
      </w:pPr>
      <w:r w:rsidRPr="00DE2D55">
        <w:rPr>
          <w:rFonts w:cs="Calibri"/>
        </w:rPr>
        <w:t xml:space="preserve">O modelo atual de compras é descentralizado, a etapa de planejamento não é estratégica, assim como não aproveita em sua totalidade os preços praticados pelo setor privado; </w:t>
      </w:r>
    </w:p>
    <w:p w:rsidR="00CA21C4" w:rsidRPr="00DE2D55" w:rsidRDefault="00CA21C4" w:rsidP="00A249C9">
      <w:pPr>
        <w:numPr>
          <w:ilvl w:val="0"/>
          <w:numId w:val="74"/>
        </w:numPr>
        <w:tabs>
          <w:tab w:val="left" w:pos="0"/>
        </w:tabs>
        <w:jc w:val="both"/>
        <w:rPr>
          <w:rFonts w:cs="Calibri"/>
        </w:rPr>
      </w:pPr>
      <w:r w:rsidRPr="00DE2D55">
        <w:rPr>
          <w:rFonts w:cs="Calibri"/>
        </w:rPr>
        <w:t>As metodologias de cálculo utilizadas para definição de preço de referência demandam demasiado tempo e podem não refletir o preço de mercado.</w:t>
      </w:r>
    </w:p>
    <w:p w:rsidR="00CA21C4" w:rsidRPr="00DE2D55" w:rsidRDefault="00CA21C4" w:rsidP="00A249C9">
      <w:pPr>
        <w:numPr>
          <w:ilvl w:val="0"/>
          <w:numId w:val="74"/>
        </w:numPr>
        <w:tabs>
          <w:tab w:val="left" w:pos="0"/>
        </w:tabs>
        <w:jc w:val="both"/>
        <w:rPr>
          <w:rFonts w:cs="Calibri"/>
        </w:rPr>
      </w:pPr>
      <w:r w:rsidRPr="00DE2D55">
        <w:rPr>
          <w:rFonts w:cs="Calibri"/>
        </w:rPr>
        <w:t>Os catálogos de produtos e fornecedores estão desintegrados gerando baixa padronização de produtos adquiridos de uso comum às secretarias e órgãos.</w:t>
      </w:r>
    </w:p>
    <w:p w:rsidR="00CA21C4" w:rsidRPr="00DE2D55" w:rsidRDefault="00CA21C4" w:rsidP="00A249C9">
      <w:pPr>
        <w:numPr>
          <w:ilvl w:val="0"/>
          <w:numId w:val="74"/>
        </w:numPr>
        <w:tabs>
          <w:tab w:val="left" w:pos="0"/>
        </w:tabs>
        <w:jc w:val="both"/>
        <w:rPr>
          <w:rFonts w:cs="Calibri"/>
        </w:rPr>
      </w:pPr>
      <w:r w:rsidRPr="00DE2D55">
        <w:rPr>
          <w:rFonts w:cs="Calibri"/>
        </w:rPr>
        <w:t>O sistema SIGA (Sistema Integrado de Gestão Administrativa) não conta com todas as funcionalidades requeridas, não está integrado com os sistemas de gestão do estado e carece de relatórios gerenciais para apoiar o planejamento e a gestão das aquisições.</w:t>
      </w:r>
    </w:p>
    <w:p w:rsidR="00CA21C4" w:rsidRPr="00DE2D55" w:rsidRDefault="00CA21C4" w:rsidP="00A249C9">
      <w:pPr>
        <w:numPr>
          <w:ilvl w:val="0"/>
          <w:numId w:val="74"/>
        </w:numPr>
        <w:tabs>
          <w:tab w:val="left" w:pos="0"/>
        </w:tabs>
        <w:jc w:val="both"/>
        <w:rPr>
          <w:rFonts w:cs="Calibri"/>
        </w:rPr>
      </w:pPr>
      <w:r w:rsidRPr="00DE2D55">
        <w:rPr>
          <w:rFonts w:cs="Calibri"/>
        </w:rPr>
        <w:t>O atual modelo de compras públicas do Estado está mais voltado para as atividades operacionais do que para a gestão (o planejamento não é estratégico, prejudicando a prática de economia de escala e aquisições e contratações mais eficientes).</w:t>
      </w:r>
    </w:p>
    <w:p w:rsidR="00CA21C4" w:rsidRPr="00DE2D55" w:rsidRDefault="00CA21C4" w:rsidP="00A249C9">
      <w:pPr>
        <w:numPr>
          <w:ilvl w:val="0"/>
          <w:numId w:val="74"/>
        </w:numPr>
        <w:tabs>
          <w:tab w:val="left" w:pos="0"/>
        </w:tabs>
        <w:jc w:val="both"/>
        <w:rPr>
          <w:rFonts w:cs="Calibri"/>
        </w:rPr>
      </w:pPr>
      <w:r w:rsidRPr="00DE2D55">
        <w:rPr>
          <w:rFonts w:cs="Calibri"/>
        </w:rPr>
        <w:t>Ineficácia na definição do preço de referência nas compras públicas, gerando pouco aproveitamento  do potencial de economia do Estado (incerteza quanto a metodologia de cálculo utilizada para a definição de preço de referência nas licitações, o mesmo produto pode ter diferentes preços de referência nos diversos órgãos do Estado).</w:t>
      </w:r>
    </w:p>
    <w:p w:rsidR="00CA21C4" w:rsidRPr="00DE2D55" w:rsidRDefault="00CA21C4" w:rsidP="00A249C9">
      <w:pPr>
        <w:numPr>
          <w:ilvl w:val="0"/>
          <w:numId w:val="74"/>
        </w:numPr>
        <w:tabs>
          <w:tab w:val="left" w:pos="0"/>
        </w:tabs>
        <w:jc w:val="both"/>
        <w:rPr>
          <w:rFonts w:cs="Calibri"/>
        </w:rPr>
      </w:pPr>
      <w:r w:rsidRPr="00DE2D55">
        <w:rPr>
          <w:rFonts w:cs="Calibri"/>
        </w:rPr>
        <w:t>Dificuldade de se obter informações gerenciais estratégicas que auxiliem a tomada de decisão por parte do gestor.</w:t>
      </w:r>
    </w:p>
    <w:p w:rsidR="00CA21C4" w:rsidRPr="00DE2D55" w:rsidRDefault="00CA21C4" w:rsidP="00A249C9">
      <w:pPr>
        <w:numPr>
          <w:ilvl w:val="0"/>
          <w:numId w:val="74"/>
        </w:numPr>
        <w:tabs>
          <w:tab w:val="left" w:pos="0"/>
        </w:tabs>
        <w:jc w:val="both"/>
        <w:rPr>
          <w:rFonts w:cs="Calibri"/>
        </w:rPr>
      </w:pPr>
      <w:r w:rsidRPr="00DE2D55">
        <w:rPr>
          <w:rFonts w:cs="Calibri"/>
        </w:rPr>
        <w:t>Baixa padronização de produtos adquiridos de uso comum às secretarias e órgãos.</w:t>
      </w:r>
    </w:p>
    <w:p w:rsidR="00CA21C4" w:rsidRPr="00DE2D55" w:rsidRDefault="00CA21C4" w:rsidP="00A249C9">
      <w:pPr>
        <w:numPr>
          <w:ilvl w:val="0"/>
          <w:numId w:val="74"/>
        </w:numPr>
        <w:tabs>
          <w:tab w:val="left" w:pos="0"/>
        </w:tabs>
        <w:jc w:val="both"/>
        <w:rPr>
          <w:rFonts w:cs="Calibri"/>
        </w:rPr>
      </w:pPr>
      <w:r w:rsidRPr="00DE2D55">
        <w:rPr>
          <w:rFonts w:cs="Calibri"/>
        </w:rPr>
        <w:t>Inexistência de um sistema de compras integrado, que una informações de preços atualizadas de bens e serviços praticados no mercado com a fase operacional das compras.</w:t>
      </w:r>
    </w:p>
    <w:p w:rsidR="00CA21C4" w:rsidRPr="00DE2D55" w:rsidRDefault="00CA21C4" w:rsidP="00FE560B">
      <w:pPr>
        <w:tabs>
          <w:tab w:val="left" w:pos="0"/>
        </w:tabs>
        <w:jc w:val="both"/>
        <w:rPr>
          <w:rFonts w:cs="Calibri"/>
          <w:highlight w:val="yellow"/>
        </w:rPr>
      </w:pPr>
    </w:p>
    <w:p w:rsidR="00CA21C4" w:rsidRPr="00DE2D55" w:rsidRDefault="00CA21C4" w:rsidP="00FE560B">
      <w:pPr>
        <w:tabs>
          <w:tab w:val="left" w:pos="0"/>
        </w:tabs>
        <w:jc w:val="both"/>
        <w:rPr>
          <w:rFonts w:cs="Calibri"/>
          <w:b/>
        </w:rPr>
      </w:pPr>
      <w:r w:rsidRPr="00DE2D55">
        <w:rPr>
          <w:rFonts w:cs="Calibri"/>
          <w:b/>
        </w:rPr>
        <w:t xml:space="preserve">2.3- Evidências: </w:t>
      </w:r>
    </w:p>
    <w:p w:rsidR="00CA21C4" w:rsidRPr="00DE2D55" w:rsidRDefault="00CA21C4" w:rsidP="00A249C9">
      <w:pPr>
        <w:numPr>
          <w:ilvl w:val="0"/>
          <w:numId w:val="75"/>
        </w:numPr>
        <w:tabs>
          <w:tab w:val="left" w:pos="0"/>
        </w:tabs>
        <w:jc w:val="both"/>
        <w:rPr>
          <w:rFonts w:cs="Calibri"/>
        </w:rPr>
      </w:pPr>
      <w:r w:rsidRPr="00DE2D55">
        <w:rPr>
          <w:rFonts w:cs="Calibri"/>
        </w:rPr>
        <w:t>Os dez últimos processos licitatórios levaram em média 513 dias do início até a homologação pelo Secretário da SEFAZ. Pregão 82 dias, concorrência 93 dias e dispensa 20 dias;</w:t>
      </w:r>
    </w:p>
    <w:p w:rsidR="00CA21C4" w:rsidRPr="00DE2D55" w:rsidRDefault="00CA21C4" w:rsidP="00A249C9">
      <w:pPr>
        <w:numPr>
          <w:ilvl w:val="0"/>
          <w:numId w:val="75"/>
        </w:numPr>
        <w:tabs>
          <w:tab w:val="left" w:pos="0"/>
        </w:tabs>
        <w:jc w:val="both"/>
        <w:rPr>
          <w:rFonts w:cs="Calibri"/>
        </w:rPr>
      </w:pPr>
      <w:r w:rsidRPr="00DE2D55">
        <w:rPr>
          <w:rFonts w:cs="Calibri"/>
        </w:rPr>
        <w:t>Os preços de referência são utilizados para determinados serviços que representam 10% do valor total de compras. 40% do tempo do processo de compras é dispendido no processo de pesquisa de preço;</w:t>
      </w:r>
    </w:p>
    <w:p w:rsidR="00CA21C4" w:rsidRPr="00DE2D55" w:rsidRDefault="00CA21C4" w:rsidP="00A249C9">
      <w:pPr>
        <w:numPr>
          <w:ilvl w:val="0"/>
          <w:numId w:val="75"/>
        </w:numPr>
        <w:tabs>
          <w:tab w:val="left" w:pos="0"/>
        </w:tabs>
        <w:jc w:val="both"/>
        <w:rPr>
          <w:rFonts w:cs="Calibri"/>
        </w:rPr>
      </w:pPr>
      <w:r w:rsidRPr="00DE2D55">
        <w:rPr>
          <w:rFonts w:cs="Calibri"/>
        </w:rPr>
        <w:t>75% dos produtos de compra apresentam multiplicidade de códigos;</w:t>
      </w:r>
    </w:p>
    <w:p w:rsidR="00CA21C4" w:rsidRPr="00DE2D55" w:rsidRDefault="00CA21C4" w:rsidP="00A249C9">
      <w:pPr>
        <w:numPr>
          <w:ilvl w:val="0"/>
          <w:numId w:val="75"/>
        </w:numPr>
        <w:tabs>
          <w:tab w:val="left" w:pos="0"/>
        </w:tabs>
        <w:jc w:val="both"/>
        <w:rPr>
          <w:rFonts w:cs="Calibri"/>
        </w:rPr>
      </w:pPr>
      <w:r w:rsidRPr="00DE2D55">
        <w:rPr>
          <w:rFonts w:cs="Calibri"/>
        </w:rPr>
        <w:t>Para atualizar o sistema, será necessário acrescentar 4,800 pontos de função aos 14,000 existentes (40%);</w:t>
      </w:r>
    </w:p>
    <w:p w:rsidR="00CA21C4" w:rsidRPr="00DE2D55" w:rsidRDefault="00CA21C4" w:rsidP="00A249C9">
      <w:pPr>
        <w:numPr>
          <w:ilvl w:val="0"/>
          <w:numId w:val="75"/>
        </w:numPr>
        <w:tabs>
          <w:tab w:val="left" w:pos="0"/>
        </w:tabs>
        <w:jc w:val="both"/>
        <w:rPr>
          <w:rFonts w:cs="Calibri"/>
        </w:rPr>
      </w:pPr>
      <w:r w:rsidRPr="00DE2D55">
        <w:rPr>
          <w:rFonts w:cs="Calibri"/>
        </w:rPr>
        <w:t>Inexistência de planejamento das compras públicas;</w:t>
      </w:r>
    </w:p>
    <w:p w:rsidR="00CA21C4" w:rsidRPr="00DE2D55" w:rsidRDefault="00CA21C4" w:rsidP="00A249C9">
      <w:pPr>
        <w:numPr>
          <w:ilvl w:val="0"/>
          <w:numId w:val="75"/>
        </w:numPr>
        <w:tabs>
          <w:tab w:val="left" w:pos="0"/>
        </w:tabs>
        <w:jc w:val="both"/>
        <w:rPr>
          <w:rFonts w:cs="Calibri"/>
        </w:rPr>
      </w:pPr>
      <w:r w:rsidRPr="00DE2D55">
        <w:rPr>
          <w:rFonts w:cs="Calibri"/>
        </w:rPr>
        <w:t>Ausência de informações relativas às últimas compras públicas;</w:t>
      </w:r>
    </w:p>
    <w:p w:rsidR="00CA21C4" w:rsidRPr="00DE2D55" w:rsidRDefault="00CA21C4" w:rsidP="00A249C9">
      <w:pPr>
        <w:numPr>
          <w:ilvl w:val="0"/>
          <w:numId w:val="75"/>
        </w:numPr>
        <w:tabs>
          <w:tab w:val="left" w:pos="0"/>
        </w:tabs>
        <w:jc w:val="both"/>
        <w:rPr>
          <w:rFonts w:cs="Calibri"/>
        </w:rPr>
      </w:pPr>
      <w:r w:rsidRPr="00DE2D55">
        <w:rPr>
          <w:rFonts w:cs="Calibri"/>
        </w:rPr>
        <w:t>Descentralização do processo de compras públicas;</w:t>
      </w:r>
    </w:p>
    <w:p w:rsidR="00CA21C4" w:rsidRPr="00DE2D55" w:rsidRDefault="00CA21C4" w:rsidP="00A249C9">
      <w:pPr>
        <w:numPr>
          <w:ilvl w:val="0"/>
          <w:numId w:val="75"/>
        </w:numPr>
        <w:tabs>
          <w:tab w:val="left" w:pos="0"/>
        </w:tabs>
        <w:jc w:val="both"/>
        <w:rPr>
          <w:rFonts w:cs="Calibri"/>
        </w:rPr>
      </w:pPr>
      <w:r w:rsidRPr="00DE2D55">
        <w:rPr>
          <w:rFonts w:cs="Calibri"/>
        </w:rPr>
        <w:t>Gama considerável de produtos catalogados para as compras públicas, leia-se, ausência de padronização dos produtos de uso comum a secretarias e órgãos; e</w:t>
      </w:r>
    </w:p>
    <w:p w:rsidR="00CA21C4" w:rsidRDefault="00CA21C4" w:rsidP="00A249C9">
      <w:pPr>
        <w:numPr>
          <w:ilvl w:val="0"/>
          <w:numId w:val="75"/>
        </w:numPr>
        <w:tabs>
          <w:tab w:val="left" w:pos="0"/>
        </w:tabs>
        <w:jc w:val="both"/>
        <w:rPr>
          <w:rFonts w:cs="Calibri"/>
        </w:rPr>
      </w:pPr>
      <w:r w:rsidRPr="00DE2D55">
        <w:rPr>
          <w:rFonts w:cs="Calibri"/>
        </w:rPr>
        <w:t>Variabilidade de preços de referência nos diversos órgãos do Estado para o mesmo material.</w:t>
      </w:r>
    </w:p>
    <w:p w:rsidR="00B01A15" w:rsidRPr="00DE2D55" w:rsidRDefault="00B01A15" w:rsidP="00B01A15">
      <w:pPr>
        <w:tabs>
          <w:tab w:val="left" w:pos="0"/>
        </w:tabs>
        <w:ind w:left="720"/>
        <w:jc w:val="both"/>
        <w:rPr>
          <w:rFonts w:cs="Calibri"/>
        </w:rPr>
      </w:pPr>
    </w:p>
    <w:p w:rsidR="00CA21C4" w:rsidRPr="00DE2D55" w:rsidRDefault="00737E57"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2" w:name="_Toc517282158"/>
      <w:r>
        <w:rPr>
          <w:rFonts w:cs="Calibri"/>
          <w:b/>
        </w:rPr>
        <w:t>DESCRIÇÃO DO PRODUTO</w:t>
      </w:r>
      <w:r w:rsidR="00CA21C4" w:rsidRPr="00DE2D55">
        <w:rPr>
          <w:rFonts w:cs="Calibri"/>
          <w:b/>
        </w:rPr>
        <w:t xml:space="preserve"> E SUA META QUANTITATIVA</w:t>
      </w:r>
      <w:bookmarkEnd w:id="142"/>
    </w:p>
    <w:p w:rsidR="00B01A15" w:rsidRDefault="00B01A15" w:rsidP="00FE560B">
      <w:pPr>
        <w:tabs>
          <w:tab w:val="left" w:pos="0"/>
        </w:tabs>
        <w:jc w:val="both"/>
        <w:rPr>
          <w:rFonts w:cs="Calibri"/>
          <w:b/>
        </w:rPr>
      </w:pPr>
    </w:p>
    <w:p w:rsidR="00CA21C4" w:rsidRPr="00DE2D55" w:rsidRDefault="00CA21C4" w:rsidP="00FE560B">
      <w:pPr>
        <w:tabs>
          <w:tab w:val="left" w:pos="0"/>
        </w:tabs>
        <w:jc w:val="both"/>
        <w:rPr>
          <w:rFonts w:cs="Calibri"/>
          <w:b/>
        </w:rPr>
      </w:pPr>
      <w:r w:rsidRPr="00DE2D55">
        <w:rPr>
          <w:rFonts w:cs="Calibri"/>
          <w:b/>
        </w:rPr>
        <w:t>3.</w:t>
      </w:r>
      <w:r w:rsidR="00737E57">
        <w:rPr>
          <w:rFonts w:cs="Calibri"/>
          <w:b/>
        </w:rPr>
        <w:t>3.</w:t>
      </w:r>
      <w:r w:rsidRPr="00DE2D55">
        <w:rPr>
          <w:rFonts w:cs="Calibri"/>
          <w:b/>
        </w:rPr>
        <w:t>1 – Produto Principal:</w:t>
      </w:r>
    </w:p>
    <w:p w:rsidR="00CA21C4" w:rsidRPr="00DE2D55" w:rsidRDefault="00CA21C4" w:rsidP="00FE560B">
      <w:pPr>
        <w:pStyle w:val="PargrafodaLista"/>
        <w:tabs>
          <w:tab w:val="left" w:pos="0"/>
        </w:tabs>
        <w:ind w:left="360"/>
        <w:jc w:val="both"/>
        <w:rPr>
          <w:rFonts w:cs="Calibri"/>
          <w:bCs/>
        </w:rPr>
      </w:pPr>
      <w:r w:rsidRPr="00DE2D55">
        <w:rPr>
          <w:rFonts w:cs="Calibri"/>
          <w:bCs/>
        </w:rPr>
        <w:t>Novo Modelo de Gestão de Compras do Estado implantado</w:t>
      </w:r>
    </w:p>
    <w:p w:rsidR="00CA21C4" w:rsidRPr="00DE2D55" w:rsidRDefault="00CA21C4" w:rsidP="00FE560B">
      <w:pPr>
        <w:pStyle w:val="PargrafodaLista"/>
        <w:tabs>
          <w:tab w:val="left" w:pos="0"/>
        </w:tabs>
        <w:ind w:left="360"/>
        <w:jc w:val="both"/>
        <w:rPr>
          <w:rFonts w:cs="Calibri"/>
          <w:bCs/>
        </w:rPr>
      </w:pPr>
    </w:p>
    <w:p w:rsidR="00CA21C4" w:rsidRPr="00DE2D55" w:rsidRDefault="00CA21C4" w:rsidP="00FE560B">
      <w:pPr>
        <w:tabs>
          <w:tab w:val="left" w:pos="0"/>
        </w:tabs>
        <w:jc w:val="both"/>
        <w:rPr>
          <w:rFonts w:cs="Calibri"/>
          <w:b/>
        </w:rPr>
      </w:pPr>
      <w:r w:rsidRPr="00DE2D55">
        <w:rPr>
          <w:rFonts w:cs="Calibri"/>
          <w:b/>
        </w:rPr>
        <w:t>3.</w:t>
      </w:r>
      <w:r w:rsidR="00737E57">
        <w:rPr>
          <w:rFonts w:cs="Calibri"/>
          <w:b/>
        </w:rPr>
        <w:t>3.</w:t>
      </w:r>
      <w:r w:rsidRPr="00DE2D55">
        <w:rPr>
          <w:rFonts w:cs="Calibri"/>
          <w:b/>
        </w:rPr>
        <w:t>2- Descrição do Produto/Subproduto</w:t>
      </w:r>
    </w:p>
    <w:p w:rsidR="00CA21C4" w:rsidRPr="00DE2D55" w:rsidRDefault="00CA21C4" w:rsidP="00FE560B">
      <w:pPr>
        <w:tabs>
          <w:tab w:val="left" w:pos="0"/>
        </w:tabs>
        <w:jc w:val="both"/>
        <w:rPr>
          <w:rFonts w:cs="Calibri"/>
          <w:b/>
          <w:noProof/>
        </w:rPr>
      </w:pPr>
      <w:r w:rsidRPr="00DE2D55">
        <w:rPr>
          <w:rFonts w:cs="Calibri"/>
          <w:b/>
          <w:noProof/>
        </w:rPr>
        <w:t>3.</w:t>
      </w:r>
      <w:r w:rsidR="00737E57">
        <w:rPr>
          <w:rFonts w:cs="Calibri"/>
          <w:b/>
          <w:noProof/>
        </w:rPr>
        <w:t>3.</w:t>
      </w:r>
      <w:r w:rsidRPr="00DE2D55">
        <w:rPr>
          <w:rFonts w:cs="Calibri"/>
          <w:b/>
          <w:noProof/>
        </w:rPr>
        <w:t>2.1 Revisão e ajuste do modelo de gestão de compras apoiado por uma política de compras públicas e planejamento anual</w:t>
      </w:r>
    </w:p>
    <w:p w:rsidR="00CA21C4" w:rsidRPr="00DE2D55" w:rsidRDefault="00CA21C4" w:rsidP="00A249C9">
      <w:pPr>
        <w:numPr>
          <w:ilvl w:val="0"/>
          <w:numId w:val="75"/>
        </w:numPr>
        <w:tabs>
          <w:tab w:val="left" w:pos="0"/>
        </w:tabs>
        <w:jc w:val="both"/>
        <w:rPr>
          <w:rFonts w:cs="Calibri"/>
          <w:noProof/>
        </w:rPr>
      </w:pPr>
      <w:r w:rsidRPr="00DE2D55">
        <w:rPr>
          <w:rFonts w:cs="Calibri"/>
          <w:noProof/>
        </w:rPr>
        <w:t>Planejamento, identificação de gargalos e implementação de melhores práticas de gestão de compras.</w:t>
      </w:r>
    </w:p>
    <w:p w:rsidR="00CA21C4" w:rsidRPr="00DE2D55" w:rsidRDefault="00CA21C4" w:rsidP="00A249C9">
      <w:pPr>
        <w:numPr>
          <w:ilvl w:val="0"/>
          <w:numId w:val="75"/>
        </w:numPr>
        <w:tabs>
          <w:tab w:val="left" w:pos="0"/>
        </w:tabs>
        <w:jc w:val="both"/>
        <w:rPr>
          <w:rFonts w:cs="Calibri"/>
          <w:noProof/>
        </w:rPr>
      </w:pPr>
      <w:r w:rsidRPr="00DE2D55">
        <w:rPr>
          <w:rFonts w:cs="Calibri"/>
          <w:noProof/>
        </w:rPr>
        <w:t>Capacitação e disseminação.</w:t>
      </w:r>
    </w:p>
    <w:p w:rsidR="00CA21C4" w:rsidRPr="00DE2D55" w:rsidRDefault="00CA21C4" w:rsidP="00FE560B">
      <w:pPr>
        <w:tabs>
          <w:tab w:val="left" w:pos="0"/>
        </w:tabs>
        <w:jc w:val="both"/>
        <w:rPr>
          <w:rFonts w:cs="Calibri"/>
          <w:b/>
          <w:noProof/>
        </w:rPr>
      </w:pPr>
      <w:r w:rsidRPr="00DE2D55">
        <w:rPr>
          <w:rFonts w:cs="Calibri"/>
          <w:b/>
          <w:noProof/>
        </w:rPr>
        <w:t>3.</w:t>
      </w:r>
      <w:r w:rsidR="00737E57">
        <w:rPr>
          <w:rFonts w:cs="Calibri"/>
          <w:b/>
          <w:noProof/>
        </w:rPr>
        <w:t>3.</w:t>
      </w:r>
      <w:r w:rsidRPr="00DE2D55">
        <w:rPr>
          <w:rFonts w:cs="Calibri"/>
          <w:b/>
          <w:noProof/>
        </w:rPr>
        <w:t>2.2 Implantação de uma metodologia para o uso do preço de referência e planejamento anual das compras.</w:t>
      </w:r>
    </w:p>
    <w:p w:rsidR="00CA21C4" w:rsidRPr="00DE2D55" w:rsidRDefault="00CA21C4" w:rsidP="00A249C9">
      <w:pPr>
        <w:numPr>
          <w:ilvl w:val="0"/>
          <w:numId w:val="75"/>
        </w:numPr>
        <w:tabs>
          <w:tab w:val="left" w:pos="0"/>
        </w:tabs>
        <w:jc w:val="both"/>
        <w:rPr>
          <w:rFonts w:cs="Calibri"/>
        </w:rPr>
      </w:pPr>
      <w:r w:rsidRPr="00DE2D55">
        <w:rPr>
          <w:rFonts w:cs="Calibri"/>
        </w:rPr>
        <w:t>Implantação de sistema integrado de compras públicas;</w:t>
      </w:r>
    </w:p>
    <w:p w:rsidR="00CA21C4" w:rsidRPr="00DE2D55" w:rsidRDefault="00CA21C4" w:rsidP="00A249C9">
      <w:pPr>
        <w:numPr>
          <w:ilvl w:val="0"/>
          <w:numId w:val="75"/>
        </w:numPr>
        <w:tabs>
          <w:tab w:val="left" w:pos="0"/>
        </w:tabs>
        <w:jc w:val="both"/>
        <w:rPr>
          <w:rFonts w:cs="Calibri"/>
        </w:rPr>
      </w:pPr>
      <w:r w:rsidRPr="00DE2D55">
        <w:rPr>
          <w:rFonts w:cs="Calibri"/>
        </w:rPr>
        <w:t>Implantação de nova metodologia de definição de preço de refe</w:t>
      </w:r>
      <w:r w:rsidR="00737E57">
        <w:rPr>
          <w:rFonts w:cs="Calibri"/>
        </w:rPr>
        <w:t>rência para as compras públicas;</w:t>
      </w:r>
    </w:p>
    <w:p w:rsidR="00CA21C4" w:rsidRPr="00DE2D55" w:rsidRDefault="00CA21C4" w:rsidP="00A249C9">
      <w:pPr>
        <w:numPr>
          <w:ilvl w:val="0"/>
          <w:numId w:val="75"/>
        </w:numPr>
        <w:tabs>
          <w:tab w:val="left" w:pos="0"/>
        </w:tabs>
        <w:jc w:val="both"/>
        <w:rPr>
          <w:rFonts w:cs="Calibri"/>
        </w:rPr>
      </w:pPr>
      <w:r w:rsidRPr="00DE2D55">
        <w:rPr>
          <w:rFonts w:cs="Calibri"/>
        </w:rPr>
        <w:t>Implantação de ferramenta d</w:t>
      </w:r>
      <w:r w:rsidR="00737E57">
        <w:rPr>
          <w:rFonts w:cs="Calibri"/>
        </w:rPr>
        <w:t>e busca de preços de referência;</w:t>
      </w:r>
    </w:p>
    <w:p w:rsidR="00CA21C4" w:rsidRPr="00DE2D55" w:rsidRDefault="00CA21C4" w:rsidP="00A249C9">
      <w:pPr>
        <w:numPr>
          <w:ilvl w:val="0"/>
          <w:numId w:val="75"/>
        </w:numPr>
        <w:tabs>
          <w:tab w:val="left" w:pos="0"/>
        </w:tabs>
        <w:jc w:val="both"/>
        <w:rPr>
          <w:rFonts w:cs="Calibri"/>
        </w:rPr>
      </w:pPr>
      <w:r w:rsidRPr="00DE2D55">
        <w:rPr>
          <w:rFonts w:cs="Calibri"/>
        </w:rPr>
        <w:t>Integração entre os sistemas de</w:t>
      </w:r>
      <w:r w:rsidR="00737E57">
        <w:rPr>
          <w:rFonts w:cs="Calibri"/>
        </w:rPr>
        <w:t xml:space="preserve"> compras e tributário do Estado;</w:t>
      </w:r>
    </w:p>
    <w:p w:rsidR="00CA21C4" w:rsidRPr="00DE2D55" w:rsidRDefault="00CA21C4" w:rsidP="00A249C9">
      <w:pPr>
        <w:numPr>
          <w:ilvl w:val="0"/>
          <w:numId w:val="75"/>
        </w:numPr>
        <w:tabs>
          <w:tab w:val="left" w:pos="0"/>
        </w:tabs>
        <w:jc w:val="both"/>
        <w:rPr>
          <w:rFonts w:cs="Calibri"/>
        </w:rPr>
      </w:pPr>
      <w:r w:rsidRPr="00DE2D55">
        <w:rPr>
          <w:rFonts w:cs="Calibri"/>
        </w:rPr>
        <w:t>Criação d</w:t>
      </w:r>
      <w:r w:rsidR="00737E57">
        <w:rPr>
          <w:rFonts w:cs="Calibri"/>
        </w:rPr>
        <w:t>e um banco de preços atualizado;</w:t>
      </w:r>
    </w:p>
    <w:p w:rsidR="00CA21C4" w:rsidRPr="00DE2D55" w:rsidRDefault="00CA21C4" w:rsidP="00A249C9">
      <w:pPr>
        <w:numPr>
          <w:ilvl w:val="0"/>
          <w:numId w:val="75"/>
        </w:numPr>
        <w:tabs>
          <w:tab w:val="left" w:pos="0"/>
        </w:tabs>
        <w:jc w:val="both"/>
        <w:rPr>
          <w:rFonts w:cs="Calibri"/>
          <w:noProof/>
        </w:rPr>
      </w:pPr>
      <w:r w:rsidRPr="00DE2D55">
        <w:rPr>
          <w:rFonts w:cs="Calibri"/>
          <w:noProof/>
        </w:rPr>
        <w:t>Capacitação e disseminação.</w:t>
      </w:r>
    </w:p>
    <w:p w:rsidR="00CA21C4" w:rsidRPr="00DE2D55" w:rsidRDefault="00CA21C4" w:rsidP="00FE560B">
      <w:pPr>
        <w:tabs>
          <w:tab w:val="left" w:pos="0"/>
        </w:tabs>
        <w:jc w:val="both"/>
        <w:rPr>
          <w:rFonts w:cs="Calibri"/>
          <w:b/>
          <w:noProof/>
        </w:rPr>
      </w:pPr>
      <w:r w:rsidRPr="00DE2D55">
        <w:rPr>
          <w:rFonts w:cs="Calibri"/>
          <w:b/>
          <w:noProof/>
        </w:rPr>
        <w:t>3.</w:t>
      </w:r>
      <w:r w:rsidR="00737E57">
        <w:rPr>
          <w:rFonts w:cs="Calibri"/>
          <w:b/>
          <w:noProof/>
        </w:rPr>
        <w:t>3.</w:t>
      </w:r>
      <w:r w:rsidRPr="00DE2D55">
        <w:rPr>
          <w:rFonts w:cs="Calibri"/>
          <w:b/>
          <w:noProof/>
        </w:rPr>
        <w:t>2.3 Implantação de uma metodologia de elaboração e atualização do catálogo de compras e de fornecedores.</w:t>
      </w:r>
    </w:p>
    <w:p w:rsidR="00CA21C4" w:rsidRPr="00DE2D55" w:rsidRDefault="00CA21C4" w:rsidP="00A249C9">
      <w:pPr>
        <w:numPr>
          <w:ilvl w:val="0"/>
          <w:numId w:val="75"/>
        </w:numPr>
        <w:tabs>
          <w:tab w:val="left" w:pos="0"/>
        </w:tabs>
        <w:jc w:val="both"/>
        <w:rPr>
          <w:rFonts w:cs="Calibri"/>
        </w:rPr>
      </w:pPr>
      <w:r w:rsidRPr="00DE2D55">
        <w:rPr>
          <w:rFonts w:cs="Calibri"/>
        </w:rPr>
        <w:t>Metodologia de elaboração  e atualização do catálogo de compras e de fornecedores;</w:t>
      </w:r>
    </w:p>
    <w:p w:rsidR="00CA21C4" w:rsidRPr="00DE2D55" w:rsidRDefault="00CA21C4" w:rsidP="00A249C9">
      <w:pPr>
        <w:numPr>
          <w:ilvl w:val="0"/>
          <w:numId w:val="75"/>
        </w:numPr>
        <w:tabs>
          <w:tab w:val="left" w:pos="0"/>
        </w:tabs>
        <w:jc w:val="both"/>
        <w:rPr>
          <w:rFonts w:cs="Calibri"/>
        </w:rPr>
      </w:pPr>
      <w:r w:rsidRPr="00DE2D55">
        <w:rPr>
          <w:rFonts w:cs="Calibri"/>
        </w:rPr>
        <w:t>Criação do catálogo de compras e de fornecedores atualizados.</w:t>
      </w:r>
    </w:p>
    <w:p w:rsidR="00CA21C4" w:rsidRPr="00DE2D55" w:rsidRDefault="00CA21C4" w:rsidP="00FE560B">
      <w:pPr>
        <w:pStyle w:val="PargrafodaLista"/>
        <w:tabs>
          <w:tab w:val="left" w:pos="0"/>
        </w:tabs>
        <w:ind w:left="1292"/>
        <w:jc w:val="both"/>
        <w:rPr>
          <w:rFonts w:cs="Calibri"/>
          <w:b/>
          <w:noProof/>
        </w:rPr>
      </w:pPr>
    </w:p>
    <w:p w:rsidR="00CA21C4" w:rsidRPr="00DE2D55" w:rsidRDefault="00CA21C4" w:rsidP="00FE560B">
      <w:pPr>
        <w:pStyle w:val="PargrafodaLista"/>
        <w:tabs>
          <w:tab w:val="left" w:pos="0"/>
        </w:tabs>
        <w:ind w:left="0"/>
        <w:jc w:val="both"/>
        <w:rPr>
          <w:rFonts w:cs="Calibri"/>
          <w:b/>
          <w:noProof/>
        </w:rPr>
      </w:pPr>
      <w:r w:rsidRPr="00DE2D55">
        <w:rPr>
          <w:rFonts w:cs="Calibri"/>
          <w:b/>
          <w:noProof/>
        </w:rPr>
        <w:t>3.</w:t>
      </w:r>
      <w:r w:rsidR="00737E57">
        <w:rPr>
          <w:rFonts w:cs="Calibri"/>
          <w:b/>
          <w:noProof/>
        </w:rPr>
        <w:t>3.</w:t>
      </w:r>
      <w:r w:rsidRPr="00DE2D55">
        <w:rPr>
          <w:rFonts w:cs="Calibri"/>
          <w:b/>
          <w:noProof/>
        </w:rPr>
        <w:t>2.4 Atualização da funcionalidade e integração do SIGA aos demais sistemas do Estado.</w:t>
      </w:r>
    </w:p>
    <w:p w:rsidR="00CA21C4" w:rsidRPr="00DE2D55" w:rsidRDefault="00CA21C4" w:rsidP="00A249C9">
      <w:pPr>
        <w:numPr>
          <w:ilvl w:val="0"/>
          <w:numId w:val="75"/>
        </w:numPr>
        <w:tabs>
          <w:tab w:val="left" w:pos="0"/>
        </w:tabs>
        <w:jc w:val="both"/>
        <w:rPr>
          <w:rFonts w:cs="Calibri"/>
          <w:noProof/>
        </w:rPr>
      </w:pPr>
      <w:r w:rsidRPr="00DE2D55">
        <w:rPr>
          <w:rFonts w:cs="Calibri"/>
          <w:noProof/>
        </w:rPr>
        <w:t>Aprimoramento do atual sistema de compras do Estado.</w:t>
      </w:r>
    </w:p>
    <w:p w:rsidR="00CA21C4" w:rsidRDefault="00CA21C4" w:rsidP="00FE560B">
      <w:pPr>
        <w:tabs>
          <w:tab w:val="left" w:pos="0"/>
        </w:tabs>
        <w:jc w:val="both"/>
        <w:rPr>
          <w:rFonts w:cs="Calibri"/>
          <w:b/>
          <w:noProof/>
        </w:rPr>
      </w:pPr>
    </w:p>
    <w:p w:rsidR="00B01A15" w:rsidRDefault="00B01A15" w:rsidP="00FE560B">
      <w:pPr>
        <w:tabs>
          <w:tab w:val="left" w:pos="0"/>
        </w:tabs>
        <w:jc w:val="both"/>
        <w:rPr>
          <w:rFonts w:cs="Calibri"/>
          <w:b/>
          <w:noProof/>
        </w:rPr>
      </w:pPr>
    </w:p>
    <w:p w:rsidR="00B01A15" w:rsidRDefault="00B01A15" w:rsidP="00FE560B">
      <w:pPr>
        <w:tabs>
          <w:tab w:val="left" w:pos="0"/>
        </w:tabs>
        <w:jc w:val="both"/>
        <w:rPr>
          <w:rFonts w:cs="Calibri"/>
          <w:b/>
          <w:noProof/>
        </w:rPr>
      </w:pPr>
    </w:p>
    <w:p w:rsidR="00B01A15" w:rsidRDefault="00B01A15" w:rsidP="00FE560B">
      <w:pPr>
        <w:tabs>
          <w:tab w:val="left" w:pos="0"/>
        </w:tabs>
        <w:jc w:val="both"/>
        <w:rPr>
          <w:rFonts w:cs="Calibri"/>
          <w:b/>
          <w:noProof/>
        </w:rPr>
      </w:pPr>
    </w:p>
    <w:p w:rsidR="00B01A15" w:rsidRDefault="00B01A15" w:rsidP="00FE560B">
      <w:pPr>
        <w:tabs>
          <w:tab w:val="left" w:pos="0"/>
        </w:tabs>
        <w:jc w:val="both"/>
        <w:rPr>
          <w:rFonts w:cs="Calibri"/>
          <w:b/>
          <w:noProof/>
        </w:rPr>
      </w:pPr>
    </w:p>
    <w:p w:rsidR="00B01A15" w:rsidRPr="00DE2D55" w:rsidRDefault="00B01A15" w:rsidP="00FE560B">
      <w:pPr>
        <w:tabs>
          <w:tab w:val="left" w:pos="0"/>
        </w:tabs>
        <w:jc w:val="both"/>
        <w:rPr>
          <w:rFonts w:cs="Calibri"/>
          <w:b/>
          <w:noProof/>
        </w:rPr>
      </w:pPr>
    </w:p>
    <w:p w:rsidR="00CA21C4" w:rsidRPr="00DE2D55" w:rsidRDefault="00CA21C4" w:rsidP="00FE560B">
      <w:pPr>
        <w:tabs>
          <w:tab w:val="left" w:pos="0"/>
        </w:tabs>
        <w:jc w:val="both"/>
        <w:rPr>
          <w:rFonts w:cs="Calibri"/>
          <w:b/>
        </w:rPr>
      </w:pPr>
      <w:r w:rsidRPr="00DE2D55">
        <w:rPr>
          <w:rFonts w:cs="Calibri"/>
          <w:b/>
        </w:rPr>
        <w:t>3.</w:t>
      </w:r>
      <w:r w:rsidR="00737E57">
        <w:rPr>
          <w:rFonts w:cs="Calibri"/>
          <w:b/>
        </w:rPr>
        <w:t>3.3</w:t>
      </w:r>
      <w:r w:rsidRPr="00DE2D55">
        <w:rPr>
          <w:rFonts w:cs="Calibri"/>
          <w:b/>
        </w:rPr>
        <w:t>- Meta e indicador de SubProduto: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7"/>
        <w:gridCol w:w="2126"/>
      </w:tblGrid>
      <w:tr w:rsidR="00CA21C4" w:rsidRPr="00DE2D55" w:rsidTr="00CA21C4">
        <w:tc>
          <w:tcPr>
            <w:tcW w:w="7087"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CA21C4" w:rsidRPr="00DE2D55" w:rsidRDefault="00CA21C4" w:rsidP="00FE560B">
            <w:pPr>
              <w:tabs>
                <w:tab w:val="left" w:pos="0"/>
              </w:tabs>
              <w:spacing w:line="240" w:lineRule="auto"/>
              <w:jc w:val="both"/>
              <w:rPr>
                <w:rFonts w:cs="Calibri"/>
                <w:b/>
                <w:bCs/>
              </w:rPr>
            </w:pPr>
          </w:p>
        </w:tc>
      </w:tr>
      <w:tr w:rsidR="00CA21C4" w:rsidRPr="00DE2D55" w:rsidTr="00CA21C4">
        <w:tc>
          <w:tcPr>
            <w:tcW w:w="7087"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3.2.1-Revisão e ajuste do modelo de gestão de compras apoiado por uma política de compras públicas e planejamento anual</w:t>
            </w:r>
          </w:p>
        </w:tc>
        <w:tc>
          <w:tcPr>
            <w:tcW w:w="2126"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Meta</w:t>
            </w:r>
          </w:p>
        </w:tc>
      </w:tr>
      <w:tr w:rsidR="00CA21C4" w:rsidRPr="00DE2D55" w:rsidTr="00CA21C4">
        <w:tc>
          <w:tcPr>
            <w:tcW w:w="7087" w:type="dxa"/>
            <w:shd w:val="clear" w:color="auto" w:fill="auto"/>
          </w:tcPr>
          <w:p w:rsidR="00CA21C4" w:rsidRPr="00DE2D55" w:rsidRDefault="00CA21C4" w:rsidP="00FE560B">
            <w:pPr>
              <w:pStyle w:val="PargrafodaLista"/>
              <w:tabs>
                <w:tab w:val="left" w:pos="0"/>
              </w:tabs>
              <w:spacing w:line="240" w:lineRule="auto"/>
              <w:ind w:left="390"/>
              <w:jc w:val="both"/>
              <w:rPr>
                <w:rFonts w:cs="Arial"/>
                <w:b/>
              </w:rPr>
            </w:pPr>
            <w:r w:rsidRPr="00DE2D55">
              <w:rPr>
                <w:rFonts w:cs="Calibri"/>
                <w:bCs/>
              </w:rPr>
              <w:t xml:space="preserve">Modelo de gestão de compras revisado </w:t>
            </w:r>
          </w:p>
        </w:tc>
        <w:tc>
          <w:tcPr>
            <w:tcW w:w="2126" w:type="dxa"/>
            <w:shd w:val="clear" w:color="auto" w:fill="auto"/>
          </w:tcPr>
          <w:p w:rsidR="00CA21C4" w:rsidRPr="00DE2D55" w:rsidRDefault="00CA21C4" w:rsidP="00FE560B">
            <w:pPr>
              <w:tabs>
                <w:tab w:val="left" w:pos="0"/>
              </w:tabs>
              <w:spacing w:line="240" w:lineRule="auto"/>
              <w:jc w:val="both"/>
              <w:rPr>
                <w:rFonts w:cs="Calibri"/>
                <w:bCs/>
              </w:rPr>
            </w:pPr>
            <w:r w:rsidRPr="00DE2D55">
              <w:rPr>
                <w:rFonts w:cs="Calibri"/>
                <w:bCs/>
              </w:rPr>
              <w:t>2020</w:t>
            </w:r>
          </w:p>
        </w:tc>
      </w:tr>
      <w:tr w:rsidR="00CA21C4" w:rsidRPr="00DE2D55" w:rsidTr="00CA21C4">
        <w:tc>
          <w:tcPr>
            <w:tcW w:w="7087"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D6E3BC"/>
          </w:tcPr>
          <w:p w:rsidR="00CA21C4" w:rsidRPr="00DE2D55" w:rsidRDefault="00CA21C4" w:rsidP="00FE560B">
            <w:pPr>
              <w:tabs>
                <w:tab w:val="left" w:pos="0"/>
              </w:tabs>
              <w:spacing w:line="240" w:lineRule="auto"/>
              <w:jc w:val="both"/>
              <w:rPr>
                <w:rFonts w:cs="Calibri"/>
                <w:b/>
                <w:bCs/>
              </w:rPr>
            </w:pPr>
          </w:p>
        </w:tc>
      </w:tr>
      <w:tr w:rsidR="00CA21C4" w:rsidRPr="00DE2D55" w:rsidTr="00CA21C4">
        <w:tc>
          <w:tcPr>
            <w:tcW w:w="7087"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3.2.2- Implantação de uma metodologia para o uso do preço de referência e planejamento anual das compras.</w:t>
            </w:r>
          </w:p>
        </w:tc>
        <w:tc>
          <w:tcPr>
            <w:tcW w:w="2126" w:type="dxa"/>
            <w:shd w:val="clear" w:color="auto" w:fill="D6E3BC"/>
          </w:tcPr>
          <w:p w:rsidR="00CA21C4" w:rsidRPr="00DE2D55" w:rsidRDefault="00CA21C4" w:rsidP="00FE560B">
            <w:pPr>
              <w:tabs>
                <w:tab w:val="left" w:pos="0"/>
              </w:tabs>
              <w:spacing w:line="240" w:lineRule="auto"/>
              <w:jc w:val="both"/>
              <w:rPr>
                <w:rFonts w:cs="Calibri"/>
                <w:b/>
                <w:bCs/>
              </w:rPr>
            </w:pPr>
            <w:r w:rsidRPr="00DE2D55">
              <w:rPr>
                <w:rFonts w:cs="Calibri"/>
                <w:b/>
                <w:bCs/>
              </w:rPr>
              <w:t>Meta</w:t>
            </w:r>
          </w:p>
        </w:tc>
      </w:tr>
      <w:tr w:rsidR="00CA21C4" w:rsidRPr="00DE2D55" w:rsidTr="00CA21C4">
        <w:tc>
          <w:tcPr>
            <w:tcW w:w="7087" w:type="dxa"/>
            <w:shd w:val="clear" w:color="auto" w:fill="auto"/>
          </w:tcPr>
          <w:p w:rsidR="00CA21C4" w:rsidRPr="00DE2D55" w:rsidRDefault="00CA21C4" w:rsidP="00FE560B">
            <w:pPr>
              <w:pStyle w:val="PargrafodaLista"/>
              <w:tabs>
                <w:tab w:val="left" w:pos="0"/>
              </w:tabs>
              <w:spacing w:line="240" w:lineRule="auto"/>
              <w:ind w:left="390"/>
              <w:jc w:val="both"/>
              <w:rPr>
                <w:rFonts w:cs="Calibri"/>
                <w:bCs/>
              </w:rPr>
            </w:pPr>
            <w:r w:rsidRPr="00DE2D55">
              <w:rPr>
                <w:rFonts w:cs="Calibri"/>
                <w:bCs/>
              </w:rPr>
              <w:t xml:space="preserve">Preço de referência implantado </w:t>
            </w:r>
          </w:p>
        </w:tc>
        <w:tc>
          <w:tcPr>
            <w:tcW w:w="2126" w:type="dxa"/>
            <w:shd w:val="clear" w:color="auto" w:fill="auto"/>
          </w:tcPr>
          <w:p w:rsidR="00CA21C4" w:rsidRPr="00DE2D55" w:rsidRDefault="00CA21C4" w:rsidP="00FE560B">
            <w:pPr>
              <w:tabs>
                <w:tab w:val="left" w:pos="0"/>
              </w:tabs>
              <w:spacing w:line="240" w:lineRule="auto"/>
              <w:jc w:val="both"/>
              <w:rPr>
                <w:rFonts w:cs="Calibri"/>
                <w:bCs/>
              </w:rPr>
            </w:pPr>
            <w:r w:rsidRPr="00DE2D55">
              <w:rPr>
                <w:rFonts w:cs="Calibri"/>
                <w:bCs/>
              </w:rPr>
              <w:t>2021</w:t>
            </w:r>
          </w:p>
        </w:tc>
      </w:tr>
      <w:tr w:rsidR="00CA21C4" w:rsidRPr="00DE2D55" w:rsidTr="00CA21C4">
        <w:tc>
          <w:tcPr>
            <w:tcW w:w="7087"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C5E0B3"/>
          </w:tcPr>
          <w:p w:rsidR="00CA21C4" w:rsidRPr="00DE2D55" w:rsidRDefault="00CA21C4" w:rsidP="00FE560B">
            <w:pPr>
              <w:tabs>
                <w:tab w:val="left" w:pos="0"/>
              </w:tabs>
              <w:spacing w:line="240" w:lineRule="auto"/>
              <w:jc w:val="both"/>
              <w:rPr>
                <w:rFonts w:cs="Calibri"/>
                <w:b/>
                <w:bCs/>
              </w:rPr>
            </w:pPr>
          </w:p>
        </w:tc>
      </w:tr>
      <w:tr w:rsidR="00CA21C4" w:rsidRPr="00DE2D55" w:rsidTr="00CA21C4">
        <w:tc>
          <w:tcPr>
            <w:tcW w:w="7087"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3.2.3-Implantação de uma metodologia de elaboração e atualização do catálogo de compras e de fornecedores.</w:t>
            </w:r>
          </w:p>
        </w:tc>
        <w:tc>
          <w:tcPr>
            <w:tcW w:w="2126"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Meta</w:t>
            </w:r>
          </w:p>
        </w:tc>
      </w:tr>
      <w:tr w:rsidR="00CA21C4" w:rsidRPr="00DE2D55" w:rsidTr="00CA21C4">
        <w:tc>
          <w:tcPr>
            <w:tcW w:w="7087" w:type="dxa"/>
            <w:shd w:val="clear" w:color="auto" w:fill="auto"/>
          </w:tcPr>
          <w:p w:rsidR="00CA21C4" w:rsidRPr="00DE2D55" w:rsidRDefault="00CA21C4" w:rsidP="00FE560B">
            <w:pPr>
              <w:pStyle w:val="PargrafodaLista"/>
              <w:tabs>
                <w:tab w:val="left" w:pos="0"/>
              </w:tabs>
              <w:spacing w:line="240" w:lineRule="auto"/>
              <w:ind w:left="390"/>
              <w:jc w:val="both"/>
              <w:rPr>
                <w:rFonts w:cs="Calibri"/>
                <w:bCs/>
              </w:rPr>
            </w:pPr>
            <w:r w:rsidRPr="00DE2D55">
              <w:rPr>
                <w:rFonts w:cs="Calibri"/>
                <w:bCs/>
              </w:rPr>
              <w:t>Catálogo de compras e de fornecedores elaborado</w:t>
            </w:r>
          </w:p>
        </w:tc>
        <w:tc>
          <w:tcPr>
            <w:tcW w:w="2126" w:type="dxa"/>
            <w:shd w:val="clear" w:color="auto" w:fill="auto"/>
          </w:tcPr>
          <w:p w:rsidR="00CA21C4" w:rsidRPr="00DE2D55" w:rsidRDefault="00CA21C4" w:rsidP="00FE560B">
            <w:pPr>
              <w:tabs>
                <w:tab w:val="left" w:pos="0"/>
              </w:tabs>
              <w:spacing w:line="240" w:lineRule="auto"/>
              <w:jc w:val="both"/>
              <w:rPr>
                <w:rFonts w:cs="Calibri"/>
                <w:bCs/>
              </w:rPr>
            </w:pPr>
            <w:r w:rsidRPr="00DE2D55">
              <w:rPr>
                <w:rFonts w:cs="Calibri"/>
                <w:bCs/>
              </w:rPr>
              <w:t>2022</w:t>
            </w:r>
          </w:p>
        </w:tc>
      </w:tr>
      <w:tr w:rsidR="00CA21C4" w:rsidRPr="00DE2D55" w:rsidTr="00CA21C4">
        <w:tc>
          <w:tcPr>
            <w:tcW w:w="7087"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SubProduto/Indicador de SubProduto</w:t>
            </w:r>
          </w:p>
        </w:tc>
        <w:tc>
          <w:tcPr>
            <w:tcW w:w="2126" w:type="dxa"/>
            <w:shd w:val="clear" w:color="auto" w:fill="C5E0B3"/>
          </w:tcPr>
          <w:p w:rsidR="00CA21C4" w:rsidRPr="00DE2D55" w:rsidRDefault="00CA21C4" w:rsidP="00FE560B">
            <w:pPr>
              <w:tabs>
                <w:tab w:val="left" w:pos="0"/>
              </w:tabs>
              <w:spacing w:line="240" w:lineRule="auto"/>
              <w:jc w:val="both"/>
              <w:rPr>
                <w:rFonts w:cs="Calibri"/>
                <w:b/>
                <w:bCs/>
              </w:rPr>
            </w:pPr>
          </w:p>
        </w:tc>
      </w:tr>
      <w:tr w:rsidR="00CA21C4" w:rsidRPr="00DE2D55" w:rsidTr="00CA21C4">
        <w:tc>
          <w:tcPr>
            <w:tcW w:w="7087"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3.2.4-Atualização da funcionalidade e integração do SIGA aos demais sistemas do Estado.</w:t>
            </w:r>
          </w:p>
        </w:tc>
        <w:tc>
          <w:tcPr>
            <w:tcW w:w="2126" w:type="dxa"/>
            <w:shd w:val="clear" w:color="auto" w:fill="C5E0B3"/>
          </w:tcPr>
          <w:p w:rsidR="00CA21C4" w:rsidRPr="00DE2D55" w:rsidRDefault="00CA21C4" w:rsidP="00FE560B">
            <w:pPr>
              <w:tabs>
                <w:tab w:val="left" w:pos="0"/>
              </w:tabs>
              <w:spacing w:line="240" w:lineRule="auto"/>
              <w:jc w:val="both"/>
              <w:rPr>
                <w:rFonts w:cs="Calibri"/>
                <w:b/>
                <w:bCs/>
              </w:rPr>
            </w:pPr>
            <w:r w:rsidRPr="00DE2D55">
              <w:rPr>
                <w:rFonts w:cs="Calibri"/>
                <w:b/>
                <w:bCs/>
              </w:rPr>
              <w:t>Meta</w:t>
            </w:r>
          </w:p>
        </w:tc>
      </w:tr>
      <w:tr w:rsidR="00CA21C4" w:rsidRPr="00DE2D55" w:rsidTr="00CA21C4">
        <w:tc>
          <w:tcPr>
            <w:tcW w:w="7087" w:type="dxa"/>
            <w:shd w:val="clear" w:color="auto" w:fill="auto"/>
          </w:tcPr>
          <w:p w:rsidR="00CA21C4" w:rsidRPr="00DE2D55" w:rsidRDefault="00CA21C4" w:rsidP="00FE560B">
            <w:pPr>
              <w:pStyle w:val="PargrafodaLista"/>
              <w:tabs>
                <w:tab w:val="left" w:pos="0"/>
              </w:tabs>
              <w:spacing w:line="240" w:lineRule="auto"/>
              <w:ind w:left="390"/>
              <w:jc w:val="both"/>
              <w:rPr>
                <w:rFonts w:cs="Calibri"/>
                <w:bCs/>
              </w:rPr>
            </w:pPr>
            <w:r w:rsidRPr="00DE2D55">
              <w:rPr>
                <w:rFonts w:cs="Calibri"/>
                <w:bCs/>
              </w:rPr>
              <w:t xml:space="preserve">Sistema SIGA integrado a 5 sistemas </w:t>
            </w:r>
          </w:p>
        </w:tc>
        <w:tc>
          <w:tcPr>
            <w:tcW w:w="2126" w:type="dxa"/>
            <w:shd w:val="clear" w:color="auto" w:fill="auto"/>
          </w:tcPr>
          <w:p w:rsidR="00CA21C4" w:rsidRPr="00DE2D55" w:rsidRDefault="00CA21C4" w:rsidP="00FE560B">
            <w:pPr>
              <w:tabs>
                <w:tab w:val="left" w:pos="0"/>
              </w:tabs>
              <w:spacing w:line="240" w:lineRule="auto"/>
              <w:jc w:val="both"/>
              <w:rPr>
                <w:rFonts w:cs="Calibri"/>
                <w:bCs/>
              </w:rPr>
            </w:pPr>
            <w:r w:rsidRPr="00DE2D55">
              <w:rPr>
                <w:rFonts w:cs="Calibri"/>
                <w:bCs/>
              </w:rPr>
              <w:t>2023</w:t>
            </w:r>
          </w:p>
        </w:tc>
      </w:tr>
    </w:tbl>
    <w:p w:rsidR="00B01A15" w:rsidRDefault="00B01A15" w:rsidP="00B01A15">
      <w:pPr>
        <w:tabs>
          <w:tab w:val="left" w:pos="0"/>
        </w:tabs>
        <w:ind w:left="720"/>
        <w:jc w:val="both"/>
        <w:rPr>
          <w:rFonts w:cs="Calibri"/>
        </w:rPr>
      </w:pPr>
    </w:p>
    <w:p w:rsidR="00B01A15" w:rsidRPr="00B01A15" w:rsidRDefault="00B01A15" w:rsidP="00B01A15">
      <w:pPr>
        <w:tabs>
          <w:tab w:val="left" w:pos="0"/>
        </w:tabs>
        <w:ind w:left="720"/>
        <w:jc w:val="both"/>
        <w:rPr>
          <w:rFonts w:cs="Calibri"/>
        </w:rPr>
      </w:pPr>
    </w:p>
    <w:p w:rsidR="00B01A15" w:rsidRPr="00B01A1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3" w:name="_Toc517282159"/>
      <w:r w:rsidRPr="00B01A15">
        <w:rPr>
          <w:rFonts w:cs="Calibri"/>
          <w:b/>
        </w:rPr>
        <w:t>DESCRIÇÃO DO RESULTADO ESPERADO COM A IMPLANTAÇÃO DO</w:t>
      </w:r>
      <w:r w:rsidR="00737E57" w:rsidRPr="00B01A15">
        <w:rPr>
          <w:rFonts w:cs="Calibri"/>
          <w:b/>
        </w:rPr>
        <w:t>S</w:t>
      </w:r>
      <w:r w:rsidRPr="00B01A15">
        <w:rPr>
          <w:rFonts w:cs="Calibri"/>
          <w:b/>
        </w:rPr>
        <w:t xml:space="preserve"> SUBPRODUTO E RESPECTIVA LINHA DE BASE</w:t>
      </w:r>
      <w:bookmarkEnd w:id="143"/>
    </w:p>
    <w:p w:rsidR="00B01A15" w:rsidRDefault="00B01A15" w:rsidP="00B01A15">
      <w:pPr>
        <w:tabs>
          <w:tab w:val="left" w:pos="0"/>
        </w:tabs>
        <w:jc w:val="both"/>
        <w:rPr>
          <w:rFonts w:cs="Calibri"/>
          <w:b/>
        </w:rPr>
      </w:pPr>
    </w:p>
    <w:p w:rsidR="00CA21C4" w:rsidRPr="00B01A15" w:rsidRDefault="00737E57" w:rsidP="00B01A15">
      <w:pPr>
        <w:tabs>
          <w:tab w:val="left" w:pos="0"/>
        </w:tabs>
        <w:jc w:val="both"/>
        <w:rPr>
          <w:rFonts w:cs="Calibri"/>
          <w:b/>
        </w:rPr>
      </w:pPr>
      <w:r w:rsidRPr="00B01A15">
        <w:rPr>
          <w:rFonts w:cs="Calibri"/>
          <w:b/>
        </w:rPr>
        <w:t>3.</w:t>
      </w:r>
      <w:r w:rsidR="00CA21C4" w:rsidRPr="00B01A15">
        <w:rPr>
          <w:rFonts w:cs="Calibri"/>
          <w:b/>
        </w:rPr>
        <w:t>4.1- Resultados quantificáveis: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Resultado 1</w:t>
            </w:r>
          </w:p>
        </w:tc>
        <w:tc>
          <w:tcPr>
            <w:tcW w:w="7403" w:type="dxa"/>
            <w:gridSpan w:val="3"/>
            <w:shd w:val="clear" w:color="auto" w:fill="auto"/>
          </w:tcPr>
          <w:p w:rsidR="00CA21C4" w:rsidRPr="00DE2D55" w:rsidRDefault="00CA21C4" w:rsidP="00FE560B">
            <w:pPr>
              <w:tabs>
                <w:tab w:val="left" w:pos="0"/>
              </w:tabs>
              <w:spacing w:line="240" w:lineRule="auto"/>
              <w:jc w:val="both"/>
              <w:rPr>
                <w:rFonts w:cs="Calibri"/>
                <w:b/>
                <w:noProof/>
              </w:rPr>
            </w:pPr>
            <w:r w:rsidRPr="00DE2D55">
              <w:rPr>
                <w:rFonts w:cs="Calibri"/>
                <w:b/>
                <w:noProof/>
              </w:rPr>
              <w:t xml:space="preserve">Aumento do % do planejamento das compras </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CA21C4" w:rsidRPr="00DE2D55" w:rsidRDefault="00CA21C4" w:rsidP="00FE560B">
            <w:pPr>
              <w:tabs>
                <w:tab w:val="left" w:pos="0"/>
              </w:tabs>
              <w:spacing w:line="240" w:lineRule="auto"/>
              <w:jc w:val="both"/>
              <w:rPr>
                <w:rFonts w:cs="Calibri"/>
                <w:b/>
              </w:rPr>
            </w:pPr>
            <w:r w:rsidRPr="00DE2D55">
              <w:rPr>
                <w:rFonts w:cs="Calibri"/>
                <w:b/>
              </w:rPr>
              <w:t>Volume de aquisições oriundas de planejamento / Total de aquisições x 100</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Linha de Base (2016)</w:t>
            </w:r>
          </w:p>
        </w:tc>
        <w:tc>
          <w:tcPr>
            <w:tcW w:w="329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Fonte</w:t>
            </w:r>
          </w:p>
        </w:tc>
      </w:tr>
      <w:tr w:rsidR="00CA21C4" w:rsidRPr="00DE2D55" w:rsidTr="00CA21C4">
        <w:tc>
          <w:tcPr>
            <w:tcW w:w="1842"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75%</w:t>
            </w:r>
          </w:p>
        </w:tc>
        <w:tc>
          <w:tcPr>
            <w:tcW w:w="1984" w:type="dxa"/>
            <w:shd w:val="clear" w:color="auto" w:fill="auto"/>
            <w:vAlign w:val="center"/>
          </w:tcPr>
          <w:p w:rsidR="00CA21C4" w:rsidRPr="00DE2D55" w:rsidRDefault="00CA21C4" w:rsidP="00FE560B">
            <w:pPr>
              <w:tabs>
                <w:tab w:val="left" w:pos="0"/>
              </w:tabs>
              <w:spacing w:line="240" w:lineRule="auto"/>
              <w:jc w:val="both"/>
              <w:rPr>
                <w:rFonts w:cs="Calibri"/>
                <w:highlight w:val="yellow"/>
              </w:rPr>
            </w:pPr>
            <w:r w:rsidRPr="00DE2D55">
              <w:rPr>
                <w:rFonts w:cs="Calibri"/>
              </w:rPr>
              <w:t>0,95%</w:t>
            </w:r>
          </w:p>
        </w:tc>
        <w:tc>
          <w:tcPr>
            <w:tcW w:w="3292"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DGMS/SEA</w:t>
            </w:r>
          </w:p>
        </w:tc>
      </w:tr>
    </w:tbl>
    <w:p w:rsidR="00CA21C4" w:rsidRPr="00DE2D55" w:rsidRDefault="00CA21C4" w:rsidP="00FE560B">
      <w:pPr>
        <w:tabs>
          <w:tab w:val="left" w:pos="0"/>
        </w:tabs>
        <w:spacing w:line="240" w:lineRule="auto"/>
        <w:jc w:val="both"/>
        <w:rPr>
          <w:rFonts w:cs="Calibri"/>
          <w:b/>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Resultado 2</w:t>
            </w:r>
          </w:p>
        </w:tc>
        <w:tc>
          <w:tcPr>
            <w:tcW w:w="7403" w:type="dxa"/>
            <w:gridSpan w:val="3"/>
            <w:shd w:val="clear" w:color="auto" w:fill="auto"/>
          </w:tcPr>
          <w:p w:rsidR="00CA21C4" w:rsidRPr="00DE2D55" w:rsidRDefault="00CA21C4" w:rsidP="00FE560B">
            <w:pPr>
              <w:tabs>
                <w:tab w:val="left" w:pos="0"/>
              </w:tabs>
              <w:spacing w:line="240" w:lineRule="auto"/>
              <w:jc w:val="both"/>
              <w:rPr>
                <w:rFonts w:cs="Calibri"/>
                <w:noProof/>
              </w:rPr>
            </w:pPr>
            <w:r w:rsidRPr="00DE2D55">
              <w:rPr>
                <w:rFonts w:cs="Calibri"/>
                <w:noProof/>
              </w:rPr>
              <w:t xml:space="preserve">Redução da divergência entre os preços de referência de um mesmo  material  nos diversos órgãos do Estado </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 xml:space="preserve"> (Menor preço  de referência do  material / maior preço de referência do material) x 100</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CA21C4" w:rsidRPr="00DE2D55" w:rsidRDefault="00CA21C4" w:rsidP="00FE560B">
            <w:pPr>
              <w:tabs>
                <w:tab w:val="left" w:pos="0"/>
              </w:tabs>
              <w:spacing w:line="240" w:lineRule="auto"/>
              <w:jc w:val="both"/>
              <w:rPr>
                <w:rFonts w:cs="Calibri"/>
                <w:b/>
              </w:rPr>
            </w:pPr>
            <w:r w:rsidRPr="00DE2D55">
              <w:rPr>
                <w:rFonts w:cs="Calibri"/>
                <w:b/>
              </w:rPr>
              <w:t>Fonte</w:t>
            </w:r>
          </w:p>
        </w:tc>
      </w:tr>
      <w:tr w:rsidR="00CA21C4" w:rsidRPr="00DE2D55" w:rsidTr="00CA21C4">
        <w:tc>
          <w:tcPr>
            <w:tcW w:w="1842"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w:t>
            </w:r>
          </w:p>
        </w:tc>
        <w:tc>
          <w:tcPr>
            <w:tcW w:w="2127"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0%</w:t>
            </w:r>
          </w:p>
        </w:tc>
        <w:tc>
          <w:tcPr>
            <w:tcW w:w="1984"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24%</w:t>
            </w:r>
          </w:p>
        </w:tc>
        <w:tc>
          <w:tcPr>
            <w:tcW w:w="3292" w:type="dxa"/>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SEA/SEF</w:t>
            </w:r>
          </w:p>
        </w:tc>
      </w:tr>
    </w:tbl>
    <w:p w:rsidR="00CA21C4" w:rsidRPr="00DE2D55" w:rsidRDefault="00CA21C4"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Resultado 3</w:t>
            </w:r>
          </w:p>
        </w:tc>
        <w:tc>
          <w:tcPr>
            <w:tcW w:w="7403" w:type="dxa"/>
            <w:gridSpan w:val="3"/>
            <w:shd w:val="clear" w:color="auto" w:fill="auto"/>
          </w:tcPr>
          <w:p w:rsidR="00CA21C4" w:rsidRPr="00DE2D55" w:rsidRDefault="00CA21C4" w:rsidP="00FE560B">
            <w:pPr>
              <w:tabs>
                <w:tab w:val="left" w:pos="0"/>
              </w:tabs>
              <w:spacing w:line="240" w:lineRule="auto"/>
              <w:jc w:val="both"/>
              <w:rPr>
                <w:rFonts w:cs="Arial"/>
                <w:noProof/>
              </w:rPr>
            </w:pPr>
            <w:r w:rsidRPr="00DE2D55">
              <w:rPr>
                <w:rFonts w:cs="Arial"/>
                <w:noProof/>
              </w:rPr>
              <w:t>Integração com o sistema de contabilidade SIGEFES</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Fórmula de Cálculo</w:t>
            </w:r>
          </w:p>
        </w:tc>
        <w:tc>
          <w:tcPr>
            <w:tcW w:w="7403" w:type="dxa"/>
            <w:gridSpan w:val="3"/>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(Total de movimentações do SIGA que geram lançamentos contábeis / Total de lançamentos no SIGEFES oriundos de movimentações no SIGA) * 100</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Unidade de medida</w:t>
            </w:r>
          </w:p>
        </w:tc>
        <w:tc>
          <w:tcPr>
            <w:tcW w:w="2127"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Meta (fim do projeto)</w:t>
            </w:r>
          </w:p>
        </w:tc>
        <w:tc>
          <w:tcPr>
            <w:tcW w:w="1984"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Linha de Base (2017)</w:t>
            </w:r>
          </w:p>
        </w:tc>
        <w:tc>
          <w:tcPr>
            <w:tcW w:w="329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Fonte</w:t>
            </w:r>
          </w:p>
        </w:tc>
      </w:tr>
      <w:tr w:rsidR="00CA21C4" w:rsidRPr="00DE2D55" w:rsidTr="00CA21C4">
        <w:tc>
          <w:tcPr>
            <w:tcW w:w="1842" w:type="dxa"/>
            <w:shd w:val="clear" w:color="auto" w:fill="auto"/>
            <w:vAlign w:val="center"/>
          </w:tcPr>
          <w:p w:rsidR="00CA21C4" w:rsidRPr="00DE2D55" w:rsidRDefault="00CA21C4" w:rsidP="00FE560B">
            <w:pPr>
              <w:tabs>
                <w:tab w:val="left" w:pos="0"/>
              </w:tabs>
              <w:spacing w:line="240" w:lineRule="auto"/>
              <w:jc w:val="both"/>
              <w:rPr>
                <w:rFonts w:cs="Arial"/>
                <w:highlight w:val="yellow"/>
              </w:rPr>
            </w:pPr>
          </w:p>
        </w:tc>
        <w:tc>
          <w:tcPr>
            <w:tcW w:w="2127" w:type="dxa"/>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80%</w:t>
            </w:r>
          </w:p>
        </w:tc>
        <w:tc>
          <w:tcPr>
            <w:tcW w:w="1984" w:type="dxa"/>
            <w:shd w:val="clear" w:color="auto" w:fill="auto"/>
            <w:vAlign w:val="center"/>
          </w:tcPr>
          <w:p w:rsidR="00CA21C4" w:rsidRPr="00DE2D55" w:rsidRDefault="00CA21C4" w:rsidP="00FE560B">
            <w:pPr>
              <w:tabs>
                <w:tab w:val="left" w:pos="0"/>
                <w:tab w:val="left" w:pos="795"/>
              </w:tabs>
              <w:spacing w:line="240" w:lineRule="auto"/>
              <w:ind w:left="33" w:hanging="33"/>
              <w:jc w:val="both"/>
              <w:rPr>
                <w:rFonts w:cs="Arial"/>
              </w:rPr>
            </w:pPr>
            <w:r w:rsidRPr="00DE2D55">
              <w:rPr>
                <w:rFonts w:cs="Arial"/>
              </w:rPr>
              <w:t>0%</w:t>
            </w:r>
          </w:p>
        </w:tc>
        <w:tc>
          <w:tcPr>
            <w:tcW w:w="3292" w:type="dxa"/>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GESIS</w:t>
            </w:r>
          </w:p>
        </w:tc>
      </w:tr>
    </w:tbl>
    <w:p w:rsidR="00CA21C4" w:rsidRPr="00DE2D55" w:rsidRDefault="00CA21C4" w:rsidP="00FE560B">
      <w:pPr>
        <w:tabs>
          <w:tab w:val="left" w:pos="0"/>
        </w:tabs>
        <w:spacing w:line="240" w:lineRule="auto"/>
        <w:jc w:val="both"/>
        <w:rPr>
          <w:rFonts w:cs="Calibri"/>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Resultado 4</w:t>
            </w:r>
          </w:p>
        </w:tc>
        <w:tc>
          <w:tcPr>
            <w:tcW w:w="7403" w:type="dxa"/>
            <w:gridSpan w:val="3"/>
            <w:shd w:val="clear" w:color="auto" w:fill="auto"/>
          </w:tcPr>
          <w:p w:rsidR="00CA21C4" w:rsidRPr="00DE2D55" w:rsidRDefault="00CA21C4" w:rsidP="00FE560B">
            <w:pPr>
              <w:tabs>
                <w:tab w:val="left" w:pos="0"/>
              </w:tabs>
              <w:spacing w:line="240" w:lineRule="auto"/>
              <w:jc w:val="both"/>
              <w:rPr>
                <w:rFonts w:cs="Arial"/>
                <w:noProof/>
              </w:rPr>
            </w:pPr>
            <w:r w:rsidRPr="00DE2D55">
              <w:rPr>
                <w:rFonts w:cs="Arial"/>
                <w:noProof/>
              </w:rPr>
              <w:t>Interação de fornecedores para cadastro e alterações de forma eletrônica por meio de assinatura digital</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Fórmula de Cálculo</w:t>
            </w:r>
          </w:p>
        </w:tc>
        <w:tc>
          <w:tcPr>
            <w:tcW w:w="7403" w:type="dxa"/>
            <w:gridSpan w:val="3"/>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Quantitativo de lançamentos contábeis realizados automaticamente após movimentações no SIGA</w:t>
            </w:r>
          </w:p>
        </w:tc>
      </w:tr>
      <w:tr w:rsidR="00CA21C4" w:rsidRPr="00DE2D55" w:rsidTr="00CA21C4">
        <w:tc>
          <w:tcPr>
            <w:tcW w:w="184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Unidade de medida</w:t>
            </w:r>
          </w:p>
        </w:tc>
        <w:tc>
          <w:tcPr>
            <w:tcW w:w="2127"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Meta (fim do projeto)</w:t>
            </w:r>
          </w:p>
        </w:tc>
        <w:tc>
          <w:tcPr>
            <w:tcW w:w="1984"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Linha de Base (2017)</w:t>
            </w:r>
          </w:p>
        </w:tc>
        <w:tc>
          <w:tcPr>
            <w:tcW w:w="3292" w:type="dxa"/>
            <w:shd w:val="clear" w:color="auto" w:fill="C5E0B3"/>
            <w:vAlign w:val="center"/>
          </w:tcPr>
          <w:p w:rsidR="00CA21C4" w:rsidRPr="00DE2D55" w:rsidRDefault="00CA21C4" w:rsidP="00FE560B">
            <w:pPr>
              <w:tabs>
                <w:tab w:val="left" w:pos="0"/>
              </w:tabs>
              <w:spacing w:line="240" w:lineRule="auto"/>
              <w:jc w:val="both"/>
              <w:rPr>
                <w:rFonts w:cs="Arial"/>
                <w:b/>
              </w:rPr>
            </w:pPr>
            <w:r w:rsidRPr="00DE2D55">
              <w:rPr>
                <w:rFonts w:cs="Arial"/>
                <w:b/>
              </w:rPr>
              <w:t>Fonte</w:t>
            </w:r>
          </w:p>
        </w:tc>
      </w:tr>
      <w:tr w:rsidR="00CA21C4" w:rsidRPr="00DE2D55" w:rsidTr="00CA21C4">
        <w:tc>
          <w:tcPr>
            <w:tcW w:w="1842" w:type="dxa"/>
            <w:shd w:val="clear" w:color="auto" w:fill="auto"/>
            <w:vAlign w:val="center"/>
          </w:tcPr>
          <w:p w:rsidR="00CA21C4" w:rsidRPr="00DE2D55" w:rsidRDefault="00CA21C4" w:rsidP="00FE560B">
            <w:pPr>
              <w:tabs>
                <w:tab w:val="left" w:pos="0"/>
              </w:tabs>
              <w:spacing w:line="240" w:lineRule="auto"/>
              <w:jc w:val="both"/>
              <w:rPr>
                <w:rFonts w:cs="Arial"/>
                <w:highlight w:val="yellow"/>
              </w:rPr>
            </w:pPr>
          </w:p>
        </w:tc>
        <w:tc>
          <w:tcPr>
            <w:tcW w:w="2127" w:type="dxa"/>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100%</w:t>
            </w:r>
          </w:p>
        </w:tc>
        <w:tc>
          <w:tcPr>
            <w:tcW w:w="1984" w:type="dxa"/>
            <w:shd w:val="clear" w:color="auto" w:fill="auto"/>
            <w:vAlign w:val="center"/>
          </w:tcPr>
          <w:p w:rsidR="00CA21C4" w:rsidRPr="00DE2D55" w:rsidRDefault="00CA21C4" w:rsidP="00FE560B">
            <w:pPr>
              <w:tabs>
                <w:tab w:val="left" w:pos="0"/>
                <w:tab w:val="left" w:pos="795"/>
              </w:tabs>
              <w:spacing w:line="240" w:lineRule="auto"/>
              <w:ind w:left="33" w:hanging="33"/>
              <w:jc w:val="both"/>
              <w:rPr>
                <w:rFonts w:cs="Arial"/>
              </w:rPr>
            </w:pPr>
            <w:r w:rsidRPr="00DE2D55">
              <w:rPr>
                <w:rFonts w:cs="Arial"/>
              </w:rPr>
              <w:t>0%</w:t>
            </w:r>
          </w:p>
        </w:tc>
        <w:tc>
          <w:tcPr>
            <w:tcW w:w="3292" w:type="dxa"/>
            <w:shd w:val="clear" w:color="auto" w:fill="auto"/>
            <w:vAlign w:val="center"/>
          </w:tcPr>
          <w:p w:rsidR="00CA21C4" w:rsidRPr="00DE2D55" w:rsidRDefault="00CA21C4" w:rsidP="00FE560B">
            <w:pPr>
              <w:tabs>
                <w:tab w:val="left" w:pos="0"/>
              </w:tabs>
              <w:spacing w:line="240" w:lineRule="auto"/>
              <w:jc w:val="both"/>
              <w:rPr>
                <w:rFonts w:cs="Arial"/>
              </w:rPr>
            </w:pPr>
            <w:r w:rsidRPr="00DE2D55">
              <w:rPr>
                <w:rFonts w:cs="Arial"/>
              </w:rPr>
              <w:t>GESIS</w:t>
            </w:r>
          </w:p>
        </w:tc>
      </w:tr>
    </w:tbl>
    <w:p w:rsidR="00CA21C4" w:rsidRPr="00DE2D55" w:rsidRDefault="00CA21C4" w:rsidP="00FE560B">
      <w:pPr>
        <w:tabs>
          <w:tab w:val="left" w:pos="0"/>
        </w:tabs>
        <w:spacing w:line="240" w:lineRule="auto"/>
        <w:jc w:val="both"/>
        <w:rPr>
          <w:rFonts w:cs="Calibri"/>
          <w:b/>
        </w:rPr>
      </w:pPr>
    </w:p>
    <w:p w:rsidR="00CA21C4" w:rsidRPr="00DE2D55" w:rsidRDefault="00737E57" w:rsidP="00FE560B">
      <w:pPr>
        <w:tabs>
          <w:tab w:val="left" w:pos="0"/>
        </w:tabs>
        <w:jc w:val="both"/>
        <w:rPr>
          <w:rFonts w:cs="Calibri"/>
          <w:b/>
        </w:rPr>
      </w:pPr>
      <w:r>
        <w:rPr>
          <w:rFonts w:cs="Calibri"/>
          <w:b/>
        </w:rPr>
        <w:t>3.</w:t>
      </w:r>
      <w:r w:rsidR="00CA21C4" w:rsidRPr="00DE2D55">
        <w:rPr>
          <w:rFonts w:cs="Calibri"/>
          <w:b/>
        </w:rPr>
        <w:t xml:space="preserve">4.2- Outros possíveis resultados: </w:t>
      </w:r>
    </w:p>
    <w:p w:rsidR="00CA21C4" w:rsidRPr="00DE2D55" w:rsidRDefault="00CA21C4" w:rsidP="00A249C9">
      <w:pPr>
        <w:numPr>
          <w:ilvl w:val="0"/>
          <w:numId w:val="77"/>
        </w:numPr>
        <w:tabs>
          <w:tab w:val="left" w:pos="0"/>
        </w:tabs>
        <w:jc w:val="both"/>
        <w:rPr>
          <w:rFonts w:cs="Calibri"/>
        </w:rPr>
      </w:pPr>
      <w:r w:rsidRPr="00DE2D55">
        <w:rPr>
          <w:rFonts w:cs="Calibri"/>
        </w:rPr>
        <w:t>Relatórios confiáveis que auxiliarão na tomada de decisão;</w:t>
      </w:r>
    </w:p>
    <w:p w:rsidR="00CA21C4" w:rsidRPr="00DE2D55" w:rsidRDefault="00CA21C4" w:rsidP="00A249C9">
      <w:pPr>
        <w:numPr>
          <w:ilvl w:val="0"/>
          <w:numId w:val="77"/>
        </w:numPr>
        <w:tabs>
          <w:tab w:val="left" w:pos="0"/>
        </w:tabs>
        <w:jc w:val="both"/>
        <w:rPr>
          <w:rFonts w:cs="Calibri"/>
        </w:rPr>
      </w:pPr>
      <w:r w:rsidRPr="00DE2D55">
        <w:rPr>
          <w:rFonts w:cs="Calibri"/>
        </w:rPr>
        <w:t>Informações mais consistentes que poderão ser disponibilizadas no Portal de Compras e no Portal da Transparência;</w:t>
      </w:r>
    </w:p>
    <w:p w:rsidR="00CA21C4" w:rsidRPr="00DE2D55" w:rsidRDefault="00CA21C4" w:rsidP="00A249C9">
      <w:pPr>
        <w:numPr>
          <w:ilvl w:val="0"/>
          <w:numId w:val="77"/>
        </w:numPr>
        <w:tabs>
          <w:tab w:val="left" w:pos="0"/>
        </w:tabs>
        <w:jc w:val="both"/>
        <w:rPr>
          <w:rFonts w:cs="Calibri"/>
        </w:rPr>
      </w:pPr>
      <w:r w:rsidRPr="00DE2D55">
        <w:rPr>
          <w:rFonts w:cs="Calibri"/>
        </w:rPr>
        <w:t>Maior controle dos procedimentos operacionais e de gestão.</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Aumento do grau de satisfação dos usuários com a utilização do SIGA em decorrência de manutenções que propiciem uma melhor eficácia e eficiência nas atividades diárias;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Atendimento à legislação vigente e a efetiva gestão dos processos administrativos, evitando-se o retrabalho de atividades, bem como evoluir nos aspectos de transparência e do controle dos processos;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Otimização do uso de recursos humanos, materiais e financeiros;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Melhoria da produtividade dos processos administrativos dos órgãos e entidades do Governo do Estado e das Prefeituras Municipais (Convênios);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Como ferramenta de gestão corporativa, disponibilizar maior qualidade das informações gerenciais que subsidiarão a tomada de decisões e aumentarão o nível de atendimento aos órgãos de controle e de fiscalização;</w:t>
      </w:r>
    </w:p>
    <w:p w:rsidR="00CA21C4"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Integração com outros sistemas de informação do Governo do Estado, diminuindo a ocorrência de erros manuais, propiciando maior agilidade e confiança nas atividades diárias.</w:t>
      </w:r>
    </w:p>
    <w:p w:rsidR="00B01A15" w:rsidRPr="00DE2D55" w:rsidRDefault="00B01A15" w:rsidP="00B01A15">
      <w:pPr>
        <w:pStyle w:val="Profisco"/>
        <w:tabs>
          <w:tab w:val="left" w:pos="0"/>
        </w:tabs>
        <w:spacing w:after="0"/>
        <w:ind w:left="720"/>
        <w:rPr>
          <w:rFonts w:asciiTheme="minorHAnsi" w:hAnsiTheme="minorHAnsi" w:cs="Arial"/>
          <w:sz w:val="22"/>
          <w:szCs w:val="22"/>
        </w:rPr>
      </w:pPr>
    </w:p>
    <w:p w:rsidR="00CA21C4" w:rsidRPr="00DE2D55" w:rsidRDefault="00737E57"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4" w:name="_Toc517282160"/>
      <w:r>
        <w:rPr>
          <w:rFonts w:cs="Calibri"/>
          <w:b/>
        </w:rPr>
        <w:t>ASPECTOS INOVADOR</w:t>
      </w:r>
      <w:r w:rsidR="00CA21C4" w:rsidRPr="00DE2D55">
        <w:rPr>
          <w:rFonts w:cs="Calibri"/>
          <w:b/>
        </w:rPr>
        <w:t>ES DO PRODUTO</w:t>
      </w:r>
      <w:bookmarkEnd w:id="144"/>
    </w:p>
    <w:p w:rsidR="00CA21C4" w:rsidRPr="00DE2D55" w:rsidRDefault="00CA21C4" w:rsidP="00A249C9">
      <w:pPr>
        <w:numPr>
          <w:ilvl w:val="0"/>
          <w:numId w:val="77"/>
        </w:numPr>
        <w:tabs>
          <w:tab w:val="left" w:pos="0"/>
        </w:tabs>
        <w:jc w:val="both"/>
        <w:rPr>
          <w:rFonts w:cs="Calibri"/>
        </w:rPr>
      </w:pPr>
      <w:r w:rsidRPr="00DE2D55">
        <w:rPr>
          <w:rFonts w:cs="Calibri"/>
        </w:rPr>
        <w:t>Integração efetiva entre os sistemas informatizados do Estado;</w:t>
      </w:r>
    </w:p>
    <w:p w:rsidR="00CA21C4" w:rsidRPr="00DE2D55" w:rsidRDefault="00CA21C4" w:rsidP="00A249C9">
      <w:pPr>
        <w:numPr>
          <w:ilvl w:val="0"/>
          <w:numId w:val="77"/>
        </w:numPr>
        <w:tabs>
          <w:tab w:val="left" w:pos="0"/>
        </w:tabs>
        <w:jc w:val="both"/>
        <w:rPr>
          <w:rFonts w:cs="Calibri"/>
        </w:rPr>
      </w:pPr>
      <w:r w:rsidRPr="00DE2D55">
        <w:rPr>
          <w:rFonts w:cs="Calibri"/>
        </w:rPr>
        <w:t>Maior automação no fluxo de trabalho;</w:t>
      </w:r>
    </w:p>
    <w:p w:rsidR="00CA21C4" w:rsidRPr="00DE2D55" w:rsidRDefault="00CA21C4" w:rsidP="00A249C9">
      <w:pPr>
        <w:numPr>
          <w:ilvl w:val="0"/>
          <w:numId w:val="77"/>
        </w:numPr>
        <w:tabs>
          <w:tab w:val="left" w:pos="0"/>
        </w:tabs>
        <w:jc w:val="both"/>
        <w:rPr>
          <w:rFonts w:cs="Calibri"/>
        </w:rPr>
      </w:pPr>
      <w:r w:rsidRPr="00DE2D55">
        <w:rPr>
          <w:rFonts w:cs="Calibri"/>
        </w:rPr>
        <w:t>Otimização da gestão das compras públicas;</w:t>
      </w:r>
    </w:p>
    <w:p w:rsidR="00CA21C4" w:rsidRPr="00DE2D55" w:rsidRDefault="00CA21C4" w:rsidP="00A249C9">
      <w:pPr>
        <w:numPr>
          <w:ilvl w:val="0"/>
          <w:numId w:val="77"/>
        </w:numPr>
        <w:tabs>
          <w:tab w:val="left" w:pos="0"/>
        </w:tabs>
        <w:jc w:val="both"/>
        <w:rPr>
          <w:rFonts w:cs="Calibri"/>
        </w:rPr>
      </w:pPr>
      <w:r w:rsidRPr="00DE2D55">
        <w:rPr>
          <w:rFonts w:cs="Calibri"/>
        </w:rPr>
        <w:t xml:space="preserve"> Metodologia para definição de preço de referência com base nas notas fiscais eletrônicas.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Maior disponibilidade e estabilidade do sistema;</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Otimização das funcionalidades e fluxos;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Melhoria da usabilidade;</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Melhoria da experiência do usuário;</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Integração efetiva entre os sistemas de informação do Estado;</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Utilização de padrão de descrição para materiais e serviços;</w:t>
      </w:r>
    </w:p>
    <w:p w:rsidR="00CA21C4" w:rsidRPr="00DE2D55"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Utilização de código de barras otimizando o controle de estoques e patrimônio;</w:t>
      </w:r>
    </w:p>
    <w:p w:rsidR="00CA21C4" w:rsidRDefault="00CA21C4" w:rsidP="00A249C9">
      <w:pPr>
        <w:pStyle w:val="Profisco"/>
        <w:numPr>
          <w:ilvl w:val="0"/>
          <w:numId w:val="77"/>
        </w:numPr>
        <w:tabs>
          <w:tab w:val="left" w:pos="0"/>
        </w:tabs>
        <w:spacing w:after="0"/>
        <w:rPr>
          <w:rFonts w:asciiTheme="minorHAnsi" w:hAnsiTheme="minorHAnsi" w:cs="Arial"/>
          <w:sz w:val="22"/>
          <w:szCs w:val="22"/>
        </w:rPr>
      </w:pPr>
      <w:r w:rsidRPr="00DE2D55">
        <w:rPr>
          <w:rFonts w:asciiTheme="minorHAnsi" w:hAnsiTheme="minorHAnsi" w:cs="Arial"/>
          <w:sz w:val="22"/>
          <w:szCs w:val="22"/>
        </w:rPr>
        <w:t>Implantação de BI proporcionando a extração de dados de acordo com as necessidades específicas dos órgãos;</w:t>
      </w:r>
    </w:p>
    <w:p w:rsidR="00B01A15" w:rsidRPr="00DE2D55" w:rsidRDefault="00B01A15" w:rsidP="00B01A15">
      <w:pPr>
        <w:pStyle w:val="Profisco"/>
        <w:tabs>
          <w:tab w:val="left" w:pos="0"/>
        </w:tabs>
        <w:spacing w:after="0"/>
        <w:ind w:left="720"/>
        <w:rPr>
          <w:rFonts w:asciiTheme="minorHAnsi" w:hAnsiTheme="minorHAnsi" w:cs="Arial"/>
          <w:sz w:val="22"/>
          <w:szCs w:val="22"/>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5" w:name="_Toc517282161"/>
      <w:r w:rsidRPr="00DE2D55">
        <w:rPr>
          <w:rFonts w:cs="Calibri"/>
          <w:b/>
        </w:rPr>
        <w:t>IMPACTOS POTENCIAIS</w:t>
      </w:r>
      <w:bookmarkEnd w:id="145"/>
    </w:p>
    <w:p w:rsidR="00CA21C4" w:rsidRPr="00DE2D55" w:rsidRDefault="00CA21C4" w:rsidP="00A249C9">
      <w:pPr>
        <w:numPr>
          <w:ilvl w:val="0"/>
          <w:numId w:val="77"/>
        </w:numPr>
        <w:tabs>
          <w:tab w:val="left" w:pos="0"/>
        </w:tabs>
        <w:jc w:val="both"/>
        <w:rPr>
          <w:rFonts w:cs="Calibri"/>
        </w:rPr>
      </w:pPr>
      <w:r w:rsidRPr="00DE2D55">
        <w:rPr>
          <w:rFonts w:cs="Calibri"/>
        </w:rPr>
        <w:t>Melhoria na gestão das compras públicas do Estado de Santa Catarina promovendo um maior aproveitamento de potenciais economias nas compras públicas, maior facilidade na tomada de decisão, controles mais efetivos, maior transparência e melhor utilização dos recursos financeiros.</w:t>
      </w:r>
    </w:p>
    <w:p w:rsidR="00CA21C4" w:rsidRPr="00DE2D55" w:rsidRDefault="00CA21C4" w:rsidP="00A249C9">
      <w:pPr>
        <w:numPr>
          <w:ilvl w:val="0"/>
          <w:numId w:val="77"/>
        </w:numPr>
        <w:tabs>
          <w:tab w:val="left" w:pos="0"/>
        </w:tabs>
        <w:jc w:val="both"/>
        <w:rPr>
          <w:rFonts w:cs="Calibri"/>
        </w:rPr>
      </w:pPr>
      <w:r w:rsidRPr="00DE2D55">
        <w:rPr>
          <w:rFonts w:cs="Calibri"/>
        </w:rPr>
        <w:t xml:space="preserve">Melhoria na gestão das compras públicas do Estado do Espírito Santo, possibilitando maior aproveitamento de potenciais economias nas compras públicas, maior facilidade na tomada de decisão, controles mais efetivos, maior transparência e melhor utilização dos recursos financeiros. </w:t>
      </w:r>
    </w:p>
    <w:p w:rsidR="00CA21C4" w:rsidRPr="00DE2D55" w:rsidRDefault="00CA21C4" w:rsidP="00A249C9">
      <w:pPr>
        <w:numPr>
          <w:ilvl w:val="0"/>
          <w:numId w:val="77"/>
        </w:numPr>
        <w:tabs>
          <w:tab w:val="left" w:pos="0"/>
        </w:tabs>
        <w:jc w:val="both"/>
        <w:rPr>
          <w:rFonts w:cs="Calibri"/>
        </w:rPr>
      </w:pPr>
      <w:r w:rsidRPr="00DE2D55">
        <w:rPr>
          <w:rFonts w:cs="Calibri"/>
        </w:rPr>
        <w:t>Melhoria na gestão dos bens materiais e serviços, patrimônio mobiliário e imobiliário, promovendo maior facilidade na tomada de decisão, controles mais efetivos, maior transparência e melhor utilização dos recursos financeiros.</w:t>
      </w:r>
    </w:p>
    <w:p w:rsidR="00CA21C4" w:rsidRPr="00DE2D55" w:rsidRDefault="00CA21C4" w:rsidP="00A249C9">
      <w:pPr>
        <w:numPr>
          <w:ilvl w:val="0"/>
          <w:numId w:val="77"/>
        </w:numPr>
        <w:tabs>
          <w:tab w:val="left" w:pos="0"/>
        </w:tabs>
        <w:jc w:val="both"/>
        <w:rPr>
          <w:rFonts w:cs="Calibri"/>
        </w:rPr>
      </w:pPr>
      <w:r w:rsidRPr="00DE2D55">
        <w:rPr>
          <w:rFonts w:cs="Calibri"/>
        </w:rPr>
        <w:t>Melhoria na gestão dos contratos firmados com a Administração Pública Estadual, promovendo maior transparência e melhor gestão dos recursos aplicados.</w:t>
      </w:r>
    </w:p>
    <w:p w:rsidR="00CA21C4" w:rsidRPr="00DE2D55" w:rsidRDefault="00CA21C4" w:rsidP="00A249C9">
      <w:pPr>
        <w:numPr>
          <w:ilvl w:val="0"/>
          <w:numId w:val="77"/>
        </w:numPr>
        <w:tabs>
          <w:tab w:val="left" w:pos="0"/>
        </w:tabs>
        <w:jc w:val="both"/>
        <w:rPr>
          <w:rFonts w:cs="Calibri"/>
        </w:rPr>
      </w:pPr>
      <w:r w:rsidRPr="00DE2D55">
        <w:rPr>
          <w:rFonts w:cs="Calibri"/>
        </w:rPr>
        <w:t>Melhoria na gestão de convênios firmados, possibilitando um maior controle e transparência dos recursos estaduais aplicados.</w:t>
      </w:r>
    </w:p>
    <w:p w:rsidR="00CA21C4" w:rsidRDefault="00CA21C4" w:rsidP="00A249C9">
      <w:pPr>
        <w:numPr>
          <w:ilvl w:val="0"/>
          <w:numId w:val="77"/>
        </w:numPr>
        <w:tabs>
          <w:tab w:val="left" w:pos="0"/>
        </w:tabs>
        <w:jc w:val="both"/>
        <w:rPr>
          <w:rFonts w:cs="Calibri"/>
        </w:rPr>
      </w:pPr>
      <w:r w:rsidRPr="00DE2D55">
        <w:rPr>
          <w:rFonts w:cs="Calibri"/>
        </w:rPr>
        <w:t>Melhoria na interação do Estado com os fornecedores participantes em licitações, possibilitando uma interação totalmente eletrônica que promoverá maior transparência e celeridade nos trâmites, além de economia com a eliminação de atividades manuais.</w:t>
      </w:r>
    </w:p>
    <w:p w:rsidR="00B01A15" w:rsidRPr="00DE2D55" w:rsidRDefault="00B01A15" w:rsidP="00B01A15">
      <w:pPr>
        <w:tabs>
          <w:tab w:val="left" w:pos="0"/>
        </w:tabs>
        <w:ind w:left="720"/>
        <w:jc w:val="both"/>
        <w:rPr>
          <w:rFonts w:cs="Calibri"/>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6" w:name="_Toc517282162"/>
      <w:r w:rsidRPr="00DE2D55">
        <w:rPr>
          <w:rFonts w:cs="Calibri"/>
          <w:b/>
        </w:rPr>
        <w:t>RISCOS DE EXECUÇÃO DO PRODUTO</w:t>
      </w:r>
      <w:bookmarkEnd w:id="146"/>
      <w:r w:rsidRPr="00DE2D55">
        <w:rPr>
          <w:rFonts w:cs="Calibri"/>
          <w:b/>
        </w:rPr>
        <w:t xml:space="preserve"> </w:t>
      </w:r>
    </w:p>
    <w:p w:rsidR="00CA21C4" w:rsidRPr="00DE2D55" w:rsidRDefault="00CA21C4" w:rsidP="00A249C9">
      <w:pPr>
        <w:numPr>
          <w:ilvl w:val="0"/>
          <w:numId w:val="79"/>
        </w:numPr>
        <w:tabs>
          <w:tab w:val="left" w:pos="0"/>
        </w:tabs>
        <w:jc w:val="both"/>
        <w:rPr>
          <w:rFonts w:cs="Calibri"/>
        </w:rPr>
      </w:pPr>
      <w:r w:rsidRPr="00DE2D55">
        <w:rPr>
          <w:rFonts w:cs="Calibri"/>
        </w:rPr>
        <w:t>Resistência a mudanças por parte dos usuários: os servidores acostumados a fazer sempre do mesmo jeito e que não possuem conscienti</w:t>
      </w:r>
      <w:r w:rsidR="00737E57">
        <w:rPr>
          <w:rFonts w:cs="Calibri"/>
        </w:rPr>
        <w:t xml:space="preserve">zação do seu trabalho no todo, </w:t>
      </w:r>
      <w:r w:rsidRPr="00DE2D55">
        <w:rPr>
          <w:rFonts w:cs="Calibri"/>
        </w:rPr>
        <w:t>podem ser mais resistentes a mudanças. Medida mitigadora: plano de ampliação da visão do processo de compra como um todo aos servidores envolvidos;</w:t>
      </w:r>
    </w:p>
    <w:p w:rsidR="00CA21C4" w:rsidRPr="00DE2D55" w:rsidRDefault="00CA21C4" w:rsidP="00A249C9">
      <w:pPr>
        <w:numPr>
          <w:ilvl w:val="0"/>
          <w:numId w:val="78"/>
        </w:numPr>
        <w:tabs>
          <w:tab w:val="left" w:pos="0"/>
        </w:tabs>
        <w:jc w:val="both"/>
        <w:rPr>
          <w:rFonts w:cs="Calibri"/>
        </w:rPr>
      </w:pPr>
      <w:r w:rsidRPr="00DE2D55">
        <w:rPr>
          <w:rFonts w:cs="Calibri"/>
        </w:rPr>
        <w:t>Falha na comunicação entre os órgãos: os ruídos na comunicação sobre o projeto que podem prejudicar a implementação da solução. Medida mitigadora: incluir os servidores de diferentes secretarias e posições hierárquicas no plano de comunicação;</w:t>
      </w:r>
    </w:p>
    <w:p w:rsidR="00CA21C4" w:rsidRPr="00DE2D55" w:rsidRDefault="00CA21C4" w:rsidP="00A249C9">
      <w:pPr>
        <w:numPr>
          <w:ilvl w:val="0"/>
          <w:numId w:val="78"/>
        </w:numPr>
        <w:tabs>
          <w:tab w:val="left" w:pos="0"/>
        </w:tabs>
        <w:jc w:val="both"/>
        <w:rPr>
          <w:rFonts w:cs="Calibri"/>
        </w:rPr>
      </w:pPr>
      <w:r w:rsidRPr="00DE2D55">
        <w:rPr>
          <w:rFonts w:cs="Calibri"/>
        </w:rPr>
        <w:t>Capacitação insuficiente para o desenvolvimento das atividades: poucas horas contratadas de capacitação podem gerar dificuldades de executar as atividades no novo sistema. Medida mitigadora: definição de equipe para suporte e desenvolver plano de capacitação que preveja um reforço contínuo;</w:t>
      </w:r>
    </w:p>
    <w:p w:rsidR="00CA21C4" w:rsidRPr="00DE2D55" w:rsidRDefault="00CA21C4" w:rsidP="00A249C9">
      <w:pPr>
        <w:numPr>
          <w:ilvl w:val="0"/>
          <w:numId w:val="78"/>
        </w:numPr>
        <w:tabs>
          <w:tab w:val="left" w:pos="0"/>
        </w:tabs>
        <w:jc w:val="both"/>
        <w:rPr>
          <w:rFonts w:cs="Calibri"/>
        </w:rPr>
      </w:pPr>
      <w:r w:rsidRPr="00DE2D55">
        <w:rPr>
          <w:rFonts w:cs="Calibri"/>
        </w:rPr>
        <w:t>Indisponibilidade do recurso financeiro suficiente: a demora na implementação do produto pode tornar o recurso financeiro destinado ao projeto insuficiente por não ter acompanhado as variações econômicas que interferem nos custos envolvidos. Medida mitigadora: plano financeiro de médio e longo prazo que preveja investimentos futuros e reservas para as intempestividades econômicas.</w:t>
      </w:r>
    </w:p>
    <w:p w:rsidR="00CA21C4" w:rsidRPr="00DE2D55" w:rsidRDefault="00CA21C4" w:rsidP="00A249C9">
      <w:pPr>
        <w:numPr>
          <w:ilvl w:val="0"/>
          <w:numId w:val="78"/>
        </w:numPr>
        <w:tabs>
          <w:tab w:val="left" w:pos="0"/>
        </w:tabs>
        <w:jc w:val="both"/>
        <w:rPr>
          <w:rFonts w:cs="Calibri"/>
        </w:rPr>
      </w:pPr>
      <w:r w:rsidRPr="00DE2D55">
        <w:rPr>
          <w:rFonts w:cs="Calibri"/>
        </w:rPr>
        <w:t>Equipe insuficiente de tecnologia alocada na GESIS/SEGER para possibilitar o acompanhamento das melhorias dos sistemas.</w:t>
      </w:r>
    </w:p>
    <w:p w:rsidR="00CA21C4" w:rsidRPr="00DE2D55" w:rsidRDefault="00CA21C4" w:rsidP="00A249C9">
      <w:pPr>
        <w:numPr>
          <w:ilvl w:val="0"/>
          <w:numId w:val="78"/>
        </w:numPr>
        <w:tabs>
          <w:tab w:val="left" w:pos="0"/>
        </w:tabs>
        <w:jc w:val="both"/>
        <w:rPr>
          <w:rFonts w:cs="Calibri"/>
        </w:rPr>
      </w:pPr>
      <w:r w:rsidRPr="00DE2D55">
        <w:rPr>
          <w:rFonts w:cs="Calibri"/>
        </w:rPr>
        <w:t>Coordenadores dos módulos não conseguirem dar vazão as necessidades de levantamento de requisitos, especificações e homologações.</w:t>
      </w:r>
    </w:p>
    <w:p w:rsidR="00CA21C4" w:rsidRPr="00DE2D55" w:rsidRDefault="00CA21C4" w:rsidP="00A249C9">
      <w:pPr>
        <w:numPr>
          <w:ilvl w:val="0"/>
          <w:numId w:val="78"/>
        </w:numPr>
        <w:tabs>
          <w:tab w:val="left" w:pos="0"/>
        </w:tabs>
        <w:jc w:val="both"/>
        <w:rPr>
          <w:rFonts w:cs="Calibri"/>
        </w:rPr>
      </w:pPr>
      <w:r w:rsidRPr="00DE2D55">
        <w:rPr>
          <w:rFonts w:cs="Calibri"/>
        </w:rPr>
        <w:t>Ausência de participação nas regras de negócio dos demais Órgãos/Entidades do Poder Executivo.</w:t>
      </w:r>
    </w:p>
    <w:p w:rsidR="00CA21C4" w:rsidRDefault="00CA21C4" w:rsidP="00A249C9">
      <w:pPr>
        <w:numPr>
          <w:ilvl w:val="0"/>
          <w:numId w:val="78"/>
        </w:numPr>
        <w:tabs>
          <w:tab w:val="left" w:pos="0"/>
        </w:tabs>
        <w:jc w:val="both"/>
        <w:rPr>
          <w:rFonts w:cs="Calibri"/>
        </w:rPr>
      </w:pPr>
      <w:r w:rsidRPr="00DE2D55">
        <w:rPr>
          <w:rFonts w:cs="Calibri"/>
        </w:rPr>
        <w:t>Equipe insuficiente de tecnologia alocada PRODEST como responsável técnico pela manutenção do sistema.</w:t>
      </w:r>
    </w:p>
    <w:p w:rsidR="00B01A15" w:rsidRPr="00DE2D55" w:rsidRDefault="00B01A15" w:rsidP="00B01A15">
      <w:pPr>
        <w:tabs>
          <w:tab w:val="left" w:pos="0"/>
        </w:tabs>
        <w:ind w:left="720"/>
        <w:jc w:val="both"/>
        <w:rPr>
          <w:rFonts w:cs="Calibri"/>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7" w:name="_Toc517282163"/>
      <w:r w:rsidRPr="00DE2D55">
        <w:rPr>
          <w:rFonts w:cs="Calibri"/>
          <w:b/>
        </w:rPr>
        <w:t>QUADRO DE CUSTOS DO PRODUTO POR TIPO DE INVESTIMENTO</w:t>
      </w:r>
      <w:bookmarkEnd w:id="147"/>
    </w:p>
    <w:p w:rsidR="00CA21C4" w:rsidRPr="00DE2D55" w:rsidRDefault="00CA21C4" w:rsidP="00FE560B">
      <w:pPr>
        <w:tabs>
          <w:tab w:val="left" w:pos="0"/>
        </w:tabs>
        <w:suppressAutoHyphens/>
        <w:ind w:right="283"/>
        <w:jc w:val="both"/>
        <w:rPr>
          <w:rFonts w:cs="Calibri"/>
        </w:rPr>
      </w:pPr>
      <w:r w:rsidRPr="00DE2D55">
        <w:rPr>
          <w:rFonts w:cs="Calibri"/>
        </w:rPr>
        <w:t>Valores em R$</w:t>
      </w:r>
    </w:p>
    <w:tbl>
      <w:tblPr>
        <w:tblW w:w="11198" w:type="dxa"/>
        <w:tblInd w:w="-214" w:type="dxa"/>
        <w:tblLayout w:type="fixed"/>
        <w:tblCellMar>
          <w:left w:w="70" w:type="dxa"/>
          <w:right w:w="70" w:type="dxa"/>
        </w:tblCellMar>
        <w:tblLook w:val="04A0" w:firstRow="1" w:lastRow="0" w:firstColumn="1" w:lastColumn="0" w:noHBand="0" w:noVBand="1"/>
      </w:tblPr>
      <w:tblGrid>
        <w:gridCol w:w="630"/>
        <w:gridCol w:w="4961"/>
        <w:gridCol w:w="992"/>
        <w:gridCol w:w="567"/>
        <w:gridCol w:w="1356"/>
        <w:gridCol w:w="1417"/>
        <w:gridCol w:w="1115"/>
        <w:gridCol w:w="160"/>
      </w:tblGrid>
      <w:tr w:rsidR="00CA21C4" w:rsidRPr="00DE2D55" w:rsidTr="00737E57">
        <w:trPr>
          <w:trHeight w:val="257"/>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b/>
              </w:rPr>
            </w:pPr>
            <w:r w:rsidRPr="00DE2D55">
              <w:rPr>
                <w:rFonts w:cs="Calibri"/>
                <w:b/>
              </w:rPr>
              <w:t>SubP</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b/>
              </w:rPr>
            </w:pPr>
            <w:r w:rsidRPr="00DE2D55">
              <w:rPr>
                <w:rFonts w:cs="Calibri"/>
                <w:b/>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b/>
              </w:rPr>
              <w:t>Unidade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b/>
              </w:rPr>
            </w:pPr>
            <w:r w:rsidRPr="00DE2D55">
              <w:rPr>
                <w:rFonts w:cs="Calibri"/>
                <w:b/>
              </w:rPr>
              <w:t>Qtd</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b/>
              </w:rPr>
            </w:pPr>
            <w:r w:rsidRPr="00DE2D55">
              <w:rPr>
                <w:rFonts w:cs="Calibri"/>
                <w:b/>
              </w:rPr>
              <w:t>VALOR UNIT. (R$)</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b/>
              </w:rPr>
            </w:pPr>
            <w:r w:rsidRPr="00DE2D55">
              <w:rPr>
                <w:rFonts w:cs="Calibri"/>
                <w:b/>
              </w:rPr>
              <w:t>VALOR TOTAL (R$)</w:t>
            </w:r>
          </w:p>
        </w:tc>
        <w:tc>
          <w:tcPr>
            <w:tcW w:w="1115" w:type="dxa"/>
            <w:vAlign w:val="center"/>
          </w:tcPr>
          <w:p w:rsidR="00CA21C4" w:rsidRPr="00DE2D55" w:rsidRDefault="00CA21C4" w:rsidP="00FE560B">
            <w:pPr>
              <w:tabs>
                <w:tab w:val="left" w:pos="0"/>
              </w:tabs>
              <w:spacing w:line="240" w:lineRule="auto"/>
              <w:jc w:val="both"/>
              <w:rPr>
                <w:rFonts w:cs="Calibri"/>
                <w:b/>
              </w:rPr>
            </w:pPr>
          </w:p>
        </w:tc>
        <w:tc>
          <w:tcPr>
            <w:tcW w:w="160" w:type="dxa"/>
            <w:vAlign w:val="center"/>
          </w:tcPr>
          <w:p w:rsidR="00CA21C4" w:rsidRPr="00DE2D55" w:rsidRDefault="00CA21C4" w:rsidP="00FE560B">
            <w:pPr>
              <w:tabs>
                <w:tab w:val="left" w:pos="0"/>
              </w:tabs>
              <w:spacing w:line="240" w:lineRule="auto"/>
              <w:jc w:val="both"/>
              <w:rPr>
                <w:rFonts w:cs="Calibri"/>
                <w:b/>
              </w:rPr>
            </w:pPr>
          </w:p>
        </w:tc>
      </w:tr>
      <w:tr w:rsidR="00CA21C4" w:rsidRPr="00DE2D55" w:rsidTr="00CA21C4">
        <w:trPr>
          <w:gridAfter w:val="2"/>
          <w:wAfter w:w="1275" w:type="dxa"/>
          <w:trHeight w:val="255"/>
        </w:trPr>
        <w:tc>
          <w:tcPr>
            <w:tcW w:w="9923" w:type="dxa"/>
            <w:gridSpan w:val="6"/>
            <w:tcBorders>
              <w:top w:val="single" w:sz="4" w:space="0" w:color="000000"/>
              <w:left w:val="single" w:sz="8" w:space="0" w:color="auto"/>
              <w:bottom w:val="single" w:sz="4" w:space="0" w:color="000000"/>
              <w:right w:val="single" w:sz="4" w:space="0" w:color="000000"/>
            </w:tcBorders>
            <w:shd w:val="clear" w:color="auto" w:fill="C5E0B3"/>
            <w:noWrap/>
            <w:vAlign w:val="center"/>
          </w:tcPr>
          <w:p w:rsidR="00CA21C4" w:rsidRPr="00DE2D55" w:rsidRDefault="00CA21C4" w:rsidP="00FE560B">
            <w:pPr>
              <w:tabs>
                <w:tab w:val="left" w:pos="0"/>
              </w:tabs>
              <w:spacing w:line="240" w:lineRule="auto"/>
              <w:jc w:val="both"/>
              <w:rPr>
                <w:rFonts w:cs="Calibri"/>
                <w:b/>
              </w:rPr>
            </w:pPr>
            <w:r w:rsidRPr="00DE2D55">
              <w:rPr>
                <w:rFonts w:cs="Calibri"/>
                <w:b/>
              </w:rPr>
              <w:t>Consultoria</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3.2.1</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t xml:space="preserve"> </w:t>
            </w:r>
            <w:r w:rsidRPr="00DE2D55">
              <w:rPr>
                <w:rFonts w:cs="Calibri"/>
              </w:rPr>
              <w:t>Revisão e ajuste do modelo de compras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h/d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600</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360,00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216.000,00</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3.2.2</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Revisão e ajuste da metodologia de preço de referencia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h/d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200</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360,00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72.000,00</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3.2.4</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Aprimoramento do sistema informatizado de compras (SIGA) com funcionalidade para preço de referência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h/d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1</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4.000.000,00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4.000.000,00</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3.2.3</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Elaboração e atualização do catálogo de compras e de fornecedores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rPr>
            </w:pPr>
            <w:r w:rsidRPr="00DE2D55">
              <w:rPr>
                <w:rFonts w:cs="Calibri"/>
              </w:rPr>
              <w:t>h/d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1</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500.000,00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500.000,00</w:t>
            </w:r>
          </w:p>
        </w:tc>
      </w:tr>
      <w:tr w:rsidR="00CA21C4" w:rsidRPr="00DE2D55" w:rsidTr="00CA21C4">
        <w:trPr>
          <w:gridAfter w:val="2"/>
          <w:wAfter w:w="1275" w:type="dxa"/>
          <w:trHeight w:val="255"/>
        </w:trPr>
        <w:tc>
          <w:tcPr>
            <w:tcW w:w="9923" w:type="dxa"/>
            <w:gridSpan w:val="6"/>
            <w:tcBorders>
              <w:top w:val="single" w:sz="4" w:space="0" w:color="000000"/>
              <w:left w:val="single" w:sz="8" w:space="0" w:color="auto"/>
              <w:bottom w:val="single" w:sz="4" w:space="0" w:color="000000"/>
              <w:right w:val="single" w:sz="4" w:space="0" w:color="000000"/>
            </w:tcBorders>
            <w:shd w:val="clear" w:color="auto" w:fill="C2D69B"/>
            <w:noWrap/>
            <w:vAlign w:val="center"/>
          </w:tcPr>
          <w:p w:rsidR="00CA21C4" w:rsidRPr="00DE2D55" w:rsidRDefault="00CA21C4" w:rsidP="00FE560B">
            <w:pPr>
              <w:tabs>
                <w:tab w:val="left" w:pos="0"/>
              </w:tabs>
              <w:spacing w:line="240" w:lineRule="auto"/>
              <w:rPr>
                <w:rFonts w:cs="Calibri"/>
                <w:b/>
              </w:rPr>
            </w:pPr>
            <w:r w:rsidRPr="00DE2D55">
              <w:rPr>
                <w:rFonts w:cs="Calibri"/>
                <w:b/>
              </w:rPr>
              <w:t>Capacitação</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highlight w:val="yellow"/>
              </w:rPr>
            </w:pPr>
            <w:r w:rsidRPr="00DE2D55">
              <w:rPr>
                <w:rFonts w:cs="Calibri"/>
              </w:rPr>
              <w:t>3.2.2</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highlight w:val="yellow"/>
              </w:rPr>
            </w:pPr>
            <w:r w:rsidRPr="00DE2D55">
              <w:rPr>
                <w:rFonts w:cs="Calibri"/>
              </w:rPr>
              <w:t>Visita técnica para utilização das Nfes como preço de referência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10</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3000,00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30.000,00</w:t>
            </w:r>
          </w:p>
        </w:tc>
      </w:tr>
      <w:tr w:rsidR="00CA21C4" w:rsidRPr="00DE2D55" w:rsidTr="00737E57">
        <w:trPr>
          <w:gridAfter w:val="2"/>
          <w:wAfter w:w="1275" w:type="dxa"/>
          <w:trHeight w:val="255"/>
        </w:trPr>
        <w:tc>
          <w:tcPr>
            <w:tcW w:w="63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both"/>
              <w:rPr>
                <w:rFonts w:cs="Calibri"/>
                <w:highlight w:val="yellow"/>
              </w:rPr>
            </w:pPr>
            <w:r w:rsidRPr="00DE2D55">
              <w:rPr>
                <w:rFonts w:cs="Calibri"/>
              </w:rPr>
              <w:t>3.2.1</w:t>
            </w:r>
          </w:p>
        </w:tc>
        <w:tc>
          <w:tcPr>
            <w:tcW w:w="4961" w:type="dxa"/>
            <w:tcBorders>
              <w:top w:val="single" w:sz="4" w:space="0" w:color="000000"/>
              <w:left w:val="nil"/>
              <w:bottom w:val="single" w:sz="4" w:space="0" w:color="000000"/>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highlight w:val="yellow"/>
              </w:rPr>
            </w:pPr>
            <w:r w:rsidRPr="00DE2D55">
              <w:rPr>
                <w:rFonts w:cs="Calibri"/>
              </w:rPr>
              <w:t>Capacitação dos servidores do setor de compras de todos órgãos estaduais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1C4" w:rsidRPr="00DE2D55" w:rsidRDefault="00CA21C4" w:rsidP="00FE560B">
            <w:pPr>
              <w:tabs>
                <w:tab w:val="left" w:pos="0"/>
              </w:tabs>
              <w:spacing w:line="240" w:lineRule="auto"/>
              <w:jc w:val="both"/>
              <w:rPr>
                <w:rFonts w:cs="Calibri"/>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21C4" w:rsidRPr="00DE2D55" w:rsidRDefault="00CA21C4" w:rsidP="00FE560B">
            <w:pPr>
              <w:tabs>
                <w:tab w:val="left" w:pos="0"/>
              </w:tabs>
              <w:spacing w:line="240" w:lineRule="auto"/>
              <w:jc w:val="both"/>
              <w:rPr>
                <w:rFonts w:cs="Calibri"/>
              </w:rPr>
            </w:pPr>
            <w:r w:rsidRPr="00DE2D55">
              <w:rPr>
                <w:rFonts w:cs="Calibri"/>
              </w:rPr>
              <w:t>300</w:t>
            </w:r>
          </w:p>
        </w:tc>
        <w:tc>
          <w:tcPr>
            <w:tcW w:w="135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150,00</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CA21C4" w:rsidRPr="00DE2D55" w:rsidRDefault="00CA21C4" w:rsidP="00FE560B">
            <w:pPr>
              <w:tabs>
                <w:tab w:val="left" w:pos="0"/>
              </w:tabs>
              <w:spacing w:line="240" w:lineRule="auto"/>
              <w:jc w:val="right"/>
              <w:rPr>
                <w:rFonts w:cs="Calibri"/>
              </w:rPr>
            </w:pPr>
            <w:r w:rsidRPr="00DE2D55">
              <w:rPr>
                <w:rFonts w:cs="Calibri"/>
              </w:rPr>
              <w:t>45.000,00</w:t>
            </w:r>
          </w:p>
        </w:tc>
      </w:tr>
      <w:tr w:rsidR="00CA21C4" w:rsidRPr="00DE2D55" w:rsidTr="00CA21C4">
        <w:trPr>
          <w:gridAfter w:val="2"/>
          <w:wAfter w:w="1275" w:type="dxa"/>
          <w:trHeight w:val="265"/>
        </w:trPr>
        <w:tc>
          <w:tcPr>
            <w:tcW w:w="8506" w:type="dxa"/>
            <w:gridSpan w:val="5"/>
            <w:tcBorders>
              <w:top w:val="single" w:sz="4" w:space="0" w:color="auto"/>
              <w:left w:val="single" w:sz="8" w:space="0" w:color="auto"/>
              <w:bottom w:val="single" w:sz="4" w:space="0" w:color="auto"/>
              <w:right w:val="single" w:sz="4" w:space="0" w:color="000000"/>
            </w:tcBorders>
            <w:shd w:val="clear" w:color="auto" w:fill="C2D69B"/>
            <w:noWrap/>
            <w:vAlign w:val="center"/>
            <w:hideMark/>
          </w:tcPr>
          <w:p w:rsidR="00CA21C4" w:rsidRPr="00DE2D55" w:rsidRDefault="00CA21C4" w:rsidP="00FE560B">
            <w:pPr>
              <w:tabs>
                <w:tab w:val="left" w:pos="0"/>
              </w:tabs>
              <w:spacing w:line="240" w:lineRule="auto"/>
              <w:jc w:val="both"/>
              <w:rPr>
                <w:rFonts w:cs="Calibri"/>
                <w:b/>
              </w:rPr>
            </w:pPr>
            <w:r w:rsidRPr="00DE2D55">
              <w:rPr>
                <w:b/>
              </w:rPr>
              <w:t>Total geral R$</w:t>
            </w:r>
          </w:p>
        </w:tc>
        <w:tc>
          <w:tcPr>
            <w:tcW w:w="1417" w:type="dxa"/>
            <w:tcBorders>
              <w:top w:val="single" w:sz="4" w:space="0" w:color="auto"/>
              <w:left w:val="single" w:sz="8" w:space="0" w:color="auto"/>
              <w:bottom w:val="single" w:sz="4" w:space="0" w:color="auto"/>
              <w:right w:val="single" w:sz="4" w:space="0" w:color="000000"/>
            </w:tcBorders>
            <w:shd w:val="clear" w:color="auto" w:fill="C2D69B"/>
            <w:vAlign w:val="center"/>
          </w:tcPr>
          <w:p w:rsidR="00CA21C4" w:rsidRPr="00DE2D55" w:rsidRDefault="00CA21C4" w:rsidP="00FE560B">
            <w:pPr>
              <w:tabs>
                <w:tab w:val="left" w:pos="0"/>
              </w:tabs>
              <w:spacing w:line="240" w:lineRule="auto"/>
              <w:jc w:val="both"/>
              <w:rPr>
                <w:rFonts w:cs="Calibri"/>
                <w:b/>
              </w:rPr>
            </w:pPr>
            <w:r w:rsidRPr="00DE2D55">
              <w:rPr>
                <w:rFonts w:cs="Calibri"/>
                <w:b/>
              </w:rPr>
              <w:t>4.863.000,00</w:t>
            </w:r>
          </w:p>
        </w:tc>
      </w:tr>
      <w:tr w:rsidR="00CA21C4" w:rsidRPr="00DE2D55" w:rsidTr="00CA21C4">
        <w:trPr>
          <w:gridAfter w:val="2"/>
          <w:wAfter w:w="1275" w:type="dxa"/>
          <w:trHeight w:val="265"/>
        </w:trPr>
        <w:tc>
          <w:tcPr>
            <w:tcW w:w="8506" w:type="dxa"/>
            <w:gridSpan w:val="5"/>
            <w:tcBorders>
              <w:top w:val="single" w:sz="4" w:space="0" w:color="auto"/>
              <w:left w:val="single" w:sz="8" w:space="0" w:color="auto"/>
              <w:bottom w:val="single" w:sz="4" w:space="0" w:color="000000"/>
              <w:right w:val="single" w:sz="4" w:space="0" w:color="000000"/>
            </w:tcBorders>
            <w:shd w:val="clear" w:color="auto" w:fill="C2D69B"/>
            <w:noWrap/>
            <w:vAlign w:val="center"/>
          </w:tcPr>
          <w:p w:rsidR="00CA21C4" w:rsidRPr="00DE2D55" w:rsidRDefault="00CA21C4" w:rsidP="00FE560B">
            <w:pPr>
              <w:tabs>
                <w:tab w:val="left" w:pos="0"/>
              </w:tabs>
              <w:spacing w:line="240" w:lineRule="auto"/>
              <w:jc w:val="both"/>
              <w:rPr>
                <w:rFonts w:cs="Calibri"/>
                <w:b/>
              </w:rPr>
            </w:pPr>
            <w:r w:rsidRPr="00DE2D55">
              <w:rPr>
                <w:b/>
              </w:rPr>
              <w:t>Total geral US$</w:t>
            </w:r>
          </w:p>
        </w:tc>
        <w:tc>
          <w:tcPr>
            <w:tcW w:w="1417" w:type="dxa"/>
            <w:tcBorders>
              <w:top w:val="single" w:sz="4" w:space="0" w:color="auto"/>
              <w:left w:val="single" w:sz="8" w:space="0" w:color="auto"/>
              <w:bottom w:val="single" w:sz="4" w:space="0" w:color="000000"/>
              <w:right w:val="single" w:sz="4" w:space="0" w:color="000000"/>
            </w:tcBorders>
            <w:shd w:val="clear" w:color="auto" w:fill="C2D69B"/>
            <w:vAlign w:val="center"/>
          </w:tcPr>
          <w:p w:rsidR="00CA21C4" w:rsidRPr="00DE2D55" w:rsidRDefault="00CA21C4" w:rsidP="00FE560B">
            <w:pPr>
              <w:tabs>
                <w:tab w:val="left" w:pos="0"/>
              </w:tabs>
              <w:spacing w:line="240" w:lineRule="auto"/>
              <w:jc w:val="both"/>
              <w:rPr>
                <w:rFonts w:cs="Calibri"/>
                <w:b/>
              </w:rPr>
            </w:pPr>
            <w:r w:rsidRPr="00DE2D55">
              <w:rPr>
                <w:rFonts w:cs="Calibri"/>
                <w:b/>
              </w:rPr>
              <w:t xml:space="preserve">  1.389.428,50</w:t>
            </w:r>
          </w:p>
        </w:tc>
      </w:tr>
    </w:tbl>
    <w:p w:rsidR="00CA21C4" w:rsidRPr="00DE2D55" w:rsidRDefault="00CA21C4" w:rsidP="00FE560B">
      <w:pPr>
        <w:tabs>
          <w:tab w:val="left" w:pos="0"/>
        </w:tabs>
        <w:suppressAutoHyphens/>
        <w:ind w:left="-284" w:right="283"/>
        <w:jc w:val="both"/>
        <w:rPr>
          <w:i/>
        </w:rPr>
      </w:pPr>
      <w:r w:rsidRPr="00DE2D55">
        <w:rPr>
          <w:i/>
        </w:rPr>
        <w:t>*Taxa de Câmbio R$ 3,50</w:t>
      </w:r>
    </w:p>
    <w:p w:rsidR="00CA21C4" w:rsidRDefault="00CA21C4" w:rsidP="00FE560B">
      <w:pPr>
        <w:tabs>
          <w:tab w:val="left" w:pos="0"/>
        </w:tabs>
        <w:suppressAutoHyphens/>
        <w:ind w:left="-284" w:right="283"/>
        <w:jc w:val="both"/>
        <w:rPr>
          <w:i/>
        </w:rPr>
      </w:pPr>
    </w:p>
    <w:p w:rsidR="00737E57" w:rsidRDefault="00737E57" w:rsidP="00FE560B">
      <w:pPr>
        <w:tabs>
          <w:tab w:val="left" w:pos="0"/>
        </w:tabs>
        <w:suppressAutoHyphens/>
        <w:ind w:left="-284" w:right="283"/>
        <w:jc w:val="both"/>
        <w:rPr>
          <w:i/>
        </w:rPr>
      </w:pPr>
    </w:p>
    <w:p w:rsidR="00B01A15" w:rsidRDefault="00B01A15" w:rsidP="00FE560B">
      <w:pPr>
        <w:tabs>
          <w:tab w:val="left" w:pos="0"/>
        </w:tabs>
        <w:suppressAutoHyphens/>
        <w:ind w:left="-284" w:right="283"/>
        <w:jc w:val="both"/>
        <w:rPr>
          <w:i/>
        </w:rPr>
      </w:pPr>
    </w:p>
    <w:p w:rsidR="00B01A15" w:rsidRDefault="00B01A15" w:rsidP="00FE560B">
      <w:pPr>
        <w:tabs>
          <w:tab w:val="left" w:pos="0"/>
        </w:tabs>
        <w:suppressAutoHyphens/>
        <w:ind w:left="-284" w:right="283"/>
        <w:jc w:val="both"/>
        <w:rPr>
          <w:i/>
        </w:rPr>
      </w:pPr>
    </w:p>
    <w:p w:rsidR="00737E57" w:rsidRPr="00DE2D55" w:rsidRDefault="00737E57" w:rsidP="00FE560B">
      <w:pPr>
        <w:tabs>
          <w:tab w:val="left" w:pos="0"/>
        </w:tabs>
        <w:suppressAutoHyphens/>
        <w:ind w:left="-284" w:right="283"/>
        <w:jc w:val="both"/>
        <w:rPr>
          <w:i/>
        </w:rPr>
      </w:pPr>
    </w:p>
    <w:p w:rsidR="00CA21C4" w:rsidRPr="00DE2D55" w:rsidRDefault="00CA21C4" w:rsidP="00A249C9">
      <w:pPr>
        <w:pStyle w:val="PargrafodaLista"/>
        <w:numPr>
          <w:ilvl w:val="1"/>
          <w:numId w:val="80"/>
        </w:numPr>
        <w:pBdr>
          <w:bottom w:val="single" w:sz="12" w:space="1" w:color="auto"/>
        </w:pBdr>
        <w:tabs>
          <w:tab w:val="left" w:pos="0"/>
          <w:tab w:val="left" w:pos="426"/>
        </w:tabs>
        <w:jc w:val="both"/>
        <w:outlineLvl w:val="2"/>
        <w:rPr>
          <w:rFonts w:cs="Calibri"/>
          <w:b/>
        </w:rPr>
      </w:pPr>
      <w:bookmarkStart w:id="148" w:name="_Toc517282164"/>
      <w:r w:rsidRPr="00DE2D55">
        <w:rPr>
          <w:rFonts w:cs="Calibri"/>
          <w:b/>
        </w:rPr>
        <w:t>CRONOGRAMA PROPOSTO</w:t>
      </w:r>
      <w:bookmarkEnd w:id="1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07"/>
        <w:gridCol w:w="850"/>
        <w:gridCol w:w="851"/>
        <w:gridCol w:w="850"/>
        <w:gridCol w:w="851"/>
        <w:gridCol w:w="850"/>
      </w:tblGrid>
      <w:tr w:rsidR="00CA21C4" w:rsidRPr="00DE2D55" w:rsidTr="00B01A15">
        <w:trPr>
          <w:trHeight w:val="305"/>
        </w:trPr>
        <w:tc>
          <w:tcPr>
            <w:tcW w:w="880"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B01A15" w:rsidP="00B01A15">
            <w:pPr>
              <w:tabs>
                <w:tab w:val="left" w:pos="0"/>
              </w:tabs>
              <w:spacing w:line="240" w:lineRule="auto"/>
              <w:jc w:val="both"/>
              <w:rPr>
                <w:rFonts w:cs="Calibri"/>
                <w:b/>
              </w:rPr>
            </w:pPr>
            <w:r>
              <w:rPr>
                <w:rFonts w:cs="Calibri"/>
                <w:b/>
              </w:rPr>
              <w:t>Subp.</w:t>
            </w:r>
          </w:p>
        </w:tc>
        <w:tc>
          <w:tcPr>
            <w:tcW w:w="4507"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Item de Custo</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2019</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2021</w:t>
            </w:r>
          </w:p>
        </w:tc>
        <w:tc>
          <w:tcPr>
            <w:tcW w:w="851"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2022</w:t>
            </w:r>
          </w:p>
        </w:tc>
        <w:tc>
          <w:tcPr>
            <w:tcW w:w="850" w:type="dxa"/>
            <w:tcBorders>
              <w:top w:val="single" w:sz="4" w:space="0" w:color="auto"/>
              <w:left w:val="single" w:sz="4" w:space="0" w:color="auto"/>
              <w:bottom w:val="single" w:sz="4" w:space="0" w:color="auto"/>
              <w:right w:val="single" w:sz="4" w:space="0" w:color="auto"/>
            </w:tcBorders>
            <w:shd w:val="clear" w:color="auto" w:fill="D6E3BC"/>
            <w:hideMark/>
          </w:tcPr>
          <w:p w:rsidR="00CA21C4" w:rsidRPr="00DE2D55" w:rsidRDefault="00CA21C4" w:rsidP="00B01A15">
            <w:pPr>
              <w:tabs>
                <w:tab w:val="left" w:pos="0"/>
              </w:tabs>
              <w:spacing w:line="240" w:lineRule="auto"/>
              <w:jc w:val="both"/>
              <w:rPr>
                <w:rFonts w:cs="Calibri"/>
                <w:b/>
              </w:rPr>
            </w:pPr>
            <w:r w:rsidRPr="00DE2D55">
              <w:rPr>
                <w:rFonts w:cs="Calibri"/>
                <w:b/>
              </w:rPr>
              <w:t>2023</w:t>
            </w:r>
          </w:p>
        </w:tc>
      </w:tr>
      <w:tr w:rsidR="00CA21C4" w:rsidRPr="00DE2D55" w:rsidTr="00B01A15">
        <w:tc>
          <w:tcPr>
            <w:tcW w:w="88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3.2.1</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ind w:left="37"/>
              <w:jc w:val="both"/>
              <w:rPr>
                <w:rFonts w:cs="Calibri"/>
              </w:rPr>
            </w:pPr>
            <w:r w:rsidRPr="00DE2D55">
              <w:rPr>
                <w:rFonts w:cs="Calibri"/>
                <w:bCs/>
              </w:rPr>
              <w:t>Revisão e ajuste do modelo de gestão de compras apoiado por uma política de compras públicas e planejamento anual.</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r>
      <w:tr w:rsidR="00CA21C4" w:rsidRPr="00DE2D55" w:rsidTr="00B01A15">
        <w:tc>
          <w:tcPr>
            <w:tcW w:w="88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3.2.2</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ind w:left="37"/>
              <w:jc w:val="both"/>
              <w:rPr>
                <w:rFonts w:cs="Calibri"/>
              </w:rPr>
            </w:pPr>
            <w:r w:rsidRPr="00DE2D55">
              <w:rPr>
                <w:rFonts w:cs="Calibri"/>
                <w:bCs/>
              </w:rPr>
              <w:t>Implantação de uma metodologia para o uso do preço de referência e planejamento anual das compras.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r>
      <w:tr w:rsidR="00CA21C4" w:rsidRPr="00DE2D55" w:rsidTr="00B01A15">
        <w:tc>
          <w:tcPr>
            <w:tcW w:w="88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3.2.3</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ind w:left="37"/>
              <w:jc w:val="both"/>
              <w:rPr>
                <w:rFonts w:cs="Calibri"/>
              </w:rPr>
            </w:pPr>
            <w:r w:rsidRPr="00DE2D55">
              <w:rPr>
                <w:rFonts w:cs="Calibri"/>
                <w:bCs/>
              </w:rPr>
              <w:t>Implantação de uma metodologia de elaboração e atualização do catálogo de compras e de fornecedores.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r>
      <w:tr w:rsidR="00CA21C4" w:rsidRPr="00DE2D55" w:rsidTr="00B01A15">
        <w:tc>
          <w:tcPr>
            <w:tcW w:w="88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3.2.4</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ind w:left="37"/>
              <w:jc w:val="both"/>
              <w:rPr>
                <w:rFonts w:cs="Calibri"/>
                <w:bCs/>
              </w:rPr>
            </w:pPr>
            <w:r w:rsidRPr="00DE2D55">
              <w:rPr>
                <w:rFonts w:cs="Calibri"/>
                <w:bCs/>
              </w:rPr>
              <w:t>Atualização da funcionalidade e integração do SIGA aos demais sistemas do Estado.</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21C4" w:rsidRPr="00DE2D55" w:rsidRDefault="00CA21C4" w:rsidP="00B01A15">
            <w:pPr>
              <w:tabs>
                <w:tab w:val="left" w:pos="0"/>
              </w:tabs>
              <w:spacing w:line="240" w:lineRule="auto"/>
              <w:jc w:val="both"/>
              <w:rPr>
                <w:rFonts w:cs="Calibri"/>
              </w:rPr>
            </w:pPr>
            <w:r w:rsidRPr="00DE2D55">
              <w:rPr>
                <w:rFonts w:cs="Calibri"/>
              </w:rPr>
              <w:t>100%</w:t>
            </w:r>
          </w:p>
        </w:tc>
      </w:tr>
    </w:tbl>
    <w:p w:rsidR="00B01A15" w:rsidRDefault="00B01A15" w:rsidP="00B01A15">
      <w:pPr>
        <w:pBdr>
          <w:bottom w:val="single" w:sz="12" w:space="1" w:color="auto"/>
        </w:pBdr>
        <w:tabs>
          <w:tab w:val="left" w:pos="0"/>
          <w:tab w:val="left" w:pos="426"/>
        </w:tabs>
        <w:ind w:left="360"/>
        <w:jc w:val="both"/>
        <w:rPr>
          <w:rFonts w:cs="Calibri"/>
          <w:b/>
        </w:rPr>
      </w:pPr>
    </w:p>
    <w:p w:rsidR="00B01A15" w:rsidRDefault="00B01A15" w:rsidP="00B01A15">
      <w:pPr>
        <w:pBdr>
          <w:bottom w:val="single" w:sz="12" w:space="1" w:color="auto"/>
        </w:pBdr>
        <w:tabs>
          <w:tab w:val="left" w:pos="0"/>
          <w:tab w:val="left" w:pos="426"/>
        </w:tabs>
        <w:ind w:left="360"/>
        <w:jc w:val="both"/>
        <w:rPr>
          <w:rFonts w:cs="Calibri"/>
          <w:b/>
        </w:rPr>
      </w:pPr>
    </w:p>
    <w:p w:rsidR="00CA21C4" w:rsidRPr="00DE2D55" w:rsidRDefault="00CA21C4" w:rsidP="00A249C9">
      <w:pPr>
        <w:numPr>
          <w:ilvl w:val="0"/>
          <w:numId w:val="75"/>
        </w:numPr>
        <w:pBdr>
          <w:bottom w:val="single" w:sz="12" w:space="1" w:color="auto"/>
        </w:pBdr>
        <w:tabs>
          <w:tab w:val="left" w:pos="0"/>
          <w:tab w:val="left" w:pos="426"/>
        </w:tabs>
        <w:jc w:val="both"/>
        <w:rPr>
          <w:rFonts w:cs="Calibri"/>
          <w:b/>
        </w:rPr>
      </w:pPr>
      <w:r w:rsidRPr="00DE2D55">
        <w:rPr>
          <w:rFonts w:cs="Calibri"/>
          <w:b/>
        </w:rPr>
        <w:t>RELAÇÃO DE ANEXOS E LINKS ELETRÔNICOS</w:t>
      </w:r>
    </w:p>
    <w:p w:rsidR="00CA21C4" w:rsidRPr="00DE2D55" w:rsidRDefault="00CA21C4" w:rsidP="00FE560B">
      <w:pPr>
        <w:tabs>
          <w:tab w:val="left" w:pos="0"/>
        </w:tabs>
        <w:jc w:val="both"/>
      </w:pPr>
      <w:r w:rsidRPr="00DE2D55">
        <w:rPr>
          <w:bCs/>
        </w:rPr>
        <w:t>LEI COMPLEMENTAR N</w:t>
      </w:r>
      <w:r w:rsidRPr="00DE2D55">
        <w:rPr>
          <w:bCs/>
          <w:strike/>
        </w:rPr>
        <w:t>º</w:t>
      </w:r>
      <w:r w:rsidRPr="00DE2D55">
        <w:rPr>
          <w:bCs/>
        </w:rPr>
        <w:t xml:space="preserve"> 381, de 07 de maio de 2007. </w:t>
      </w:r>
      <w:r w:rsidRPr="00DE2D55">
        <w:t>Dispõe sobre o modelo de gestão e a estrutura organizacional da Administração Pública Estadual.</w:t>
      </w:r>
    </w:p>
    <w:p w:rsidR="00CA21C4" w:rsidRPr="00DE2D55" w:rsidRDefault="00E04BB7" w:rsidP="00FE560B">
      <w:pPr>
        <w:tabs>
          <w:tab w:val="left" w:pos="0"/>
        </w:tabs>
        <w:jc w:val="both"/>
        <w:rPr>
          <w:rFonts w:cs="Calibri"/>
        </w:rPr>
      </w:pPr>
      <w:hyperlink r:id="rId46" w:history="1">
        <w:r w:rsidR="00CA21C4" w:rsidRPr="00DE2D55">
          <w:rPr>
            <w:rStyle w:val="Hyperlink"/>
            <w:rFonts w:cs="Calibri"/>
          </w:rPr>
          <w:t>http://server03.pge.sc.gov.br/LegislacaoEstadual/2007/000381-010-0-2007-001.htm</w:t>
        </w:r>
      </w:hyperlink>
    </w:p>
    <w:p w:rsidR="00CA21C4" w:rsidRPr="00DE2D55" w:rsidRDefault="00CA21C4" w:rsidP="00FE560B">
      <w:pPr>
        <w:tabs>
          <w:tab w:val="left" w:pos="0"/>
        </w:tabs>
        <w:jc w:val="both"/>
        <w:rPr>
          <w:rFonts w:cs="Calibri"/>
        </w:rPr>
      </w:pPr>
    </w:p>
    <w:p w:rsidR="00CA21C4" w:rsidRPr="00DE2D55" w:rsidRDefault="00CA21C4" w:rsidP="00FE560B">
      <w:pPr>
        <w:tabs>
          <w:tab w:val="left" w:pos="0"/>
        </w:tabs>
        <w:jc w:val="both"/>
        <w:rPr>
          <w:rFonts w:cs="Arial"/>
          <w:b/>
        </w:rPr>
      </w:pPr>
    </w:p>
    <w:p w:rsidR="00CA21C4" w:rsidRPr="00DE2D55" w:rsidRDefault="00CA21C4" w:rsidP="00FE560B">
      <w:pPr>
        <w:tabs>
          <w:tab w:val="left" w:pos="0"/>
        </w:tabs>
        <w:jc w:val="both"/>
        <w:rPr>
          <w:lang w:eastAsia="pt-BR"/>
        </w:rPr>
      </w:pPr>
    </w:p>
    <w:p w:rsidR="00CA21C4" w:rsidRPr="00DE2D55" w:rsidRDefault="00CA21C4" w:rsidP="00FE560B">
      <w:pPr>
        <w:tabs>
          <w:tab w:val="left" w:pos="0"/>
        </w:tabs>
        <w:jc w:val="both"/>
        <w:rPr>
          <w:lang w:eastAsia="pt-BR"/>
        </w:rPr>
      </w:pPr>
    </w:p>
    <w:p w:rsidR="00D33AD7" w:rsidRPr="00DE2D55" w:rsidRDefault="00D33AD7" w:rsidP="00FE560B">
      <w:pPr>
        <w:tabs>
          <w:tab w:val="left" w:pos="0"/>
        </w:tabs>
        <w:jc w:val="both"/>
        <w:rPr>
          <w:rFonts w:eastAsia="Times New Roman" w:cs="Arial"/>
          <w:b/>
          <w:bCs/>
          <w:color w:val="4A66AC" w:themeColor="accent1"/>
          <w:lang w:eastAsia="pt-BR"/>
        </w:rPr>
      </w:pPr>
      <w:r w:rsidRPr="00DE2D55">
        <w:rPr>
          <w:rFonts w:eastAsia="Times New Roman" w:cs="Arial"/>
          <w:lang w:eastAsia="pt-BR"/>
        </w:rPr>
        <w:br w:type="page"/>
      </w:r>
    </w:p>
    <w:p w:rsidR="00D33AD7" w:rsidRPr="00DE2D55" w:rsidRDefault="001B4726" w:rsidP="00FE560B">
      <w:pPr>
        <w:pStyle w:val="Ttulo2"/>
        <w:tabs>
          <w:tab w:val="left" w:pos="0"/>
        </w:tabs>
        <w:spacing w:before="0"/>
        <w:jc w:val="both"/>
        <w:rPr>
          <w:rFonts w:asciiTheme="minorHAnsi" w:eastAsia="Times New Roman" w:hAnsiTheme="minorHAnsi" w:cs="Arial"/>
          <w:sz w:val="22"/>
          <w:szCs w:val="22"/>
          <w:lang w:eastAsia="pt-BR"/>
        </w:rPr>
      </w:pPr>
      <w:bookmarkStart w:id="149" w:name="_Toc517282165"/>
      <w:r w:rsidRPr="00DE2D55">
        <w:rPr>
          <w:rFonts w:asciiTheme="minorHAnsi" w:eastAsia="Times New Roman" w:hAnsiTheme="minorHAnsi" w:cs="Arial"/>
          <w:sz w:val="22"/>
          <w:szCs w:val="22"/>
          <w:lang w:eastAsia="pt-BR"/>
        </w:rPr>
        <w:t>PRODUTO 4. NORMAS DE CONTABILIDADE APLICADAS AO SETOR PÚBLICO IMPLANTADAS</w:t>
      </w:r>
      <w:bookmarkEnd w:id="149"/>
    </w:p>
    <w:p w:rsidR="00D33AD7" w:rsidRPr="00DE2D55" w:rsidRDefault="00D33AD7" w:rsidP="00FE560B">
      <w:pPr>
        <w:tabs>
          <w:tab w:val="left" w:pos="0"/>
        </w:tabs>
        <w:jc w:val="both"/>
        <w:rPr>
          <w:rFonts w:eastAsia="Times New Roman" w:cs="Arial"/>
          <w:lang w:eastAsia="pt-BR"/>
        </w:rPr>
      </w:pPr>
    </w:p>
    <w:p w:rsidR="00060ED0" w:rsidRPr="00DE2D55" w:rsidRDefault="00060ED0" w:rsidP="00FE560B">
      <w:pPr>
        <w:tabs>
          <w:tab w:val="left" w:pos="0"/>
        </w:tabs>
        <w:jc w:val="both"/>
        <w:rPr>
          <w:rFonts w:cs="Calibri"/>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60ED0" w:rsidRPr="00DE2D55" w:rsidTr="00D15E3B">
        <w:tc>
          <w:tcPr>
            <w:tcW w:w="9779" w:type="dxa"/>
            <w:tcBorders>
              <w:top w:val="single" w:sz="4" w:space="0" w:color="auto"/>
              <w:left w:val="nil"/>
              <w:bottom w:val="single" w:sz="4" w:space="0" w:color="auto"/>
              <w:right w:val="nil"/>
            </w:tcBorders>
            <w:shd w:val="clear" w:color="auto" w:fill="D5DCE4"/>
          </w:tcPr>
          <w:p w:rsidR="00060ED0" w:rsidRPr="00DE2D55" w:rsidRDefault="00060ED0" w:rsidP="00FE560B">
            <w:pPr>
              <w:shd w:val="clear" w:color="auto" w:fill="D5DCE4"/>
              <w:tabs>
                <w:tab w:val="left" w:pos="0"/>
              </w:tabs>
              <w:jc w:val="both"/>
              <w:rPr>
                <w:rFonts w:cs="Calibri"/>
                <w:b/>
                <w:bCs/>
                <w:color w:val="0070C0"/>
              </w:rPr>
            </w:pPr>
            <w:r w:rsidRPr="00DE2D55">
              <w:rPr>
                <w:rFonts w:cs="Calibri"/>
                <w:b/>
                <w:bCs/>
                <w:color w:val="0070C0"/>
              </w:rPr>
              <w:t xml:space="preserve">NOTA TÉCNICA </w:t>
            </w:r>
          </w:p>
          <w:p w:rsidR="00060ED0" w:rsidRPr="00DE2D55" w:rsidRDefault="00060ED0" w:rsidP="00FE560B">
            <w:pPr>
              <w:shd w:val="clear" w:color="auto" w:fill="D5DCE4"/>
              <w:tabs>
                <w:tab w:val="left" w:pos="0"/>
              </w:tabs>
              <w:jc w:val="both"/>
              <w:rPr>
                <w:rFonts w:cs="Calibri"/>
                <w:b/>
                <w:noProof/>
                <w:color w:val="0070C0"/>
              </w:rPr>
            </w:pPr>
            <w:r w:rsidRPr="00DE2D55">
              <w:rPr>
                <w:rFonts w:cs="Calibri"/>
                <w:b/>
                <w:bCs/>
                <w:color w:val="0070C0"/>
              </w:rPr>
              <w:t>P</w:t>
            </w:r>
            <w:r w:rsidRPr="00DE2D55">
              <w:rPr>
                <w:b/>
              </w:rPr>
              <w:t xml:space="preserve"> </w:t>
            </w:r>
            <w:r w:rsidRPr="00DE2D55">
              <w:rPr>
                <w:rFonts w:cs="Calibri"/>
                <w:b/>
                <w:noProof/>
                <w:color w:val="0070C0"/>
              </w:rPr>
              <w:t>3.4 NORMAS DE CONTABILIDADE APLICADAS AO SETOR PÚBLICO IMPLANTADAS</w:t>
            </w:r>
          </w:p>
          <w:p w:rsidR="00060ED0" w:rsidRPr="00DE2D55" w:rsidRDefault="00060ED0" w:rsidP="00FE560B">
            <w:pPr>
              <w:pStyle w:val="Rodap"/>
              <w:tabs>
                <w:tab w:val="clear" w:pos="4252"/>
                <w:tab w:val="clear" w:pos="8504"/>
                <w:tab w:val="left" w:pos="0"/>
                <w:tab w:val="center" w:pos="4419"/>
                <w:tab w:val="right" w:pos="8838"/>
              </w:tabs>
              <w:spacing w:line="360" w:lineRule="auto"/>
              <w:ind w:right="112"/>
              <w:jc w:val="both"/>
              <w:rPr>
                <w:rFonts w:cs="Calibri"/>
                <w:b/>
                <w:noProof/>
                <w:color w:val="0070C0"/>
                <w:lang w:eastAsia="pt-BR"/>
              </w:rPr>
            </w:pPr>
            <w:r w:rsidRPr="00DE2D55">
              <w:rPr>
                <w:rFonts w:cs="Calibri"/>
                <w:b/>
                <w:noProof/>
                <w:color w:val="0070C0"/>
              </w:rPr>
              <w:t xml:space="preserve">3.4.1 </w:t>
            </w:r>
            <w:r w:rsidRPr="00DE2D55">
              <w:rPr>
                <w:rFonts w:cs="Calibri"/>
                <w:b/>
                <w:noProof/>
                <w:color w:val="0070C0"/>
                <w:lang w:eastAsia="pt-BR"/>
              </w:rPr>
              <w:t>Definição de regras e políticas contábeis para: (i) contabilização de provisões; (ii) bens de infraestrutura; (iii) ativos decorrentes de transferências Intergovernamentais/receber; e (iv) Ajustes para perdas de créditos tributários e dívida ativa.</w:t>
            </w:r>
          </w:p>
          <w:p w:rsidR="00060ED0" w:rsidRPr="00DE2D55" w:rsidRDefault="00060ED0" w:rsidP="00FE560B">
            <w:pPr>
              <w:tabs>
                <w:tab w:val="left" w:pos="0"/>
              </w:tabs>
              <w:jc w:val="both"/>
              <w:rPr>
                <w:rFonts w:cs="Calibri"/>
                <w:b/>
                <w:noProof/>
                <w:color w:val="0070C0"/>
              </w:rPr>
            </w:pPr>
            <w:r w:rsidRPr="00DE2D55">
              <w:rPr>
                <w:rFonts w:cs="Calibri"/>
                <w:b/>
                <w:noProof/>
                <w:color w:val="0070C0"/>
              </w:rPr>
              <w:t xml:space="preserve">3.4.2 Customização contábil dos sistemas Tributário (SIT), Administração (SIGA) e Recursos Humanos (SIARHES) e integração com o SIGEFES. </w:t>
            </w:r>
          </w:p>
          <w:p w:rsidR="00060ED0" w:rsidRPr="00DE2D55" w:rsidRDefault="00060ED0" w:rsidP="00FE560B">
            <w:pPr>
              <w:tabs>
                <w:tab w:val="left" w:pos="0"/>
              </w:tabs>
              <w:jc w:val="both"/>
              <w:rPr>
                <w:rFonts w:cs="Calibri"/>
                <w:b/>
                <w:noProof/>
                <w:color w:val="0070C0"/>
              </w:rPr>
            </w:pPr>
          </w:p>
        </w:tc>
      </w:tr>
    </w:tbl>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ind w:left="360"/>
        <w:jc w:val="both"/>
        <w:rPr>
          <w:rFonts w:cs="Calibri"/>
        </w:rPr>
      </w:pPr>
      <w:r w:rsidRPr="00DE2D55">
        <w:rPr>
          <w:rFonts w:cs="Calibri"/>
        </w:rPr>
        <w:t xml:space="preserve">Autor(es): </w:t>
      </w:r>
    </w:p>
    <w:tbl>
      <w:tblPr>
        <w:tblW w:w="9781" w:type="dxa"/>
        <w:tblInd w:w="-34" w:type="dxa"/>
        <w:tblLayout w:type="fixed"/>
        <w:tblLook w:val="0000" w:firstRow="0" w:lastRow="0" w:firstColumn="0" w:lastColumn="0" w:noHBand="0" w:noVBand="0"/>
      </w:tblPr>
      <w:tblGrid>
        <w:gridCol w:w="2018"/>
        <w:gridCol w:w="2497"/>
        <w:gridCol w:w="2551"/>
        <w:gridCol w:w="2715"/>
      </w:tblGrid>
      <w:tr w:rsidR="00060ED0" w:rsidRPr="00DE2D55" w:rsidTr="00D15E3B">
        <w:trPr>
          <w:trHeight w:val="253"/>
        </w:trPr>
        <w:tc>
          <w:tcPr>
            <w:tcW w:w="2018" w:type="dxa"/>
            <w:tcBorders>
              <w:top w:val="single" w:sz="4" w:space="0" w:color="00000A"/>
              <w:left w:val="single" w:sz="4" w:space="0" w:color="00000A"/>
              <w:bottom w:val="single" w:sz="4" w:space="0" w:color="00000A"/>
              <w:right w:val="single" w:sz="4" w:space="0" w:color="00000A"/>
            </w:tcBorders>
            <w:shd w:val="clear" w:color="auto" w:fill="FFFFFF"/>
          </w:tcPr>
          <w:p w:rsidR="00060ED0" w:rsidRPr="00DE2D55" w:rsidRDefault="00060ED0" w:rsidP="00FE560B">
            <w:pPr>
              <w:tabs>
                <w:tab w:val="left" w:pos="0"/>
              </w:tabs>
              <w:jc w:val="both"/>
              <w:rPr>
                <w:b/>
              </w:rPr>
            </w:pPr>
            <w:r w:rsidRPr="00DE2D55">
              <w:rPr>
                <w:b/>
              </w:rPr>
              <w:t>Nomes</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Pr>
          <w:p w:rsidR="00060ED0" w:rsidRPr="00DE2D55" w:rsidRDefault="00060ED0" w:rsidP="00FE560B">
            <w:pPr>
              <w:tabs>
                <w:tab w:val="left" w:pos="0"/>
              </w:tabs>
              <w:jc w:val="both"/>
              <w:rPr>
                <w:b/>
              </w:rPr>
            </w:pPr>
            <w:r w:rsidRPr="00DE2D55">
              <w:rPr>
                <w:b/>
              </w:rPr>
              <w:t>Cargos</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060ED0" w:rsidRPr="00DE2D55" w:rsidRDefault="00060ED0" w:rsidP="00FE560B">
            <w:pPr>
              <w:tabs>
                <w:tab w:val="left" w:pos="0"/>
              </w:tabs>
              <w:jc w:val="both"/>
              <w:rPr>
                <w:b/>
              </w:rPr>
            </w:pPr>
            <w:r w:rsidRPr="00DE2D55">
              <w:rPr>
                <w:rFonts w:cs="Calibri"/>
                <w:b/>
              </w:rPr>
              <w:t>Área</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060ED0" w:rsidRPr="00DE2D55" w:rsidRDefault="00060ED0" w:rsidP="00FE560B">
            <w:pPr>
              <w:tabs>
                <w:tab w:val="left" w:pos="0"/>
              </w:tabs>
              <w:jc w:val="both"/>
            </w:pPr>
            <w:r w:rsidRPr="00DE2D55">
              <w:rPr>
                <w:b/>
              </w:rPr>
              <w:t>E-mail</w:t>
            </w:r>
          </w:p>
        </w:tc>
      </w:tr>
      <w:tr w:rsidR="00060ED0" w:rsidRPr="00DE2D55" w:rsidTr="00D15E3B">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0ED0" w:rsidRPr="00DE2D55" w:rsidRDefault="00060ED0" w:rsidP="00FE560B">
            <w:pPr>
              <w:tabs>
                <w:tab w:val="left" w:pos="0"/>
              </w:tabs>
              <w:jc w:val="both"/>
            </w:pPr>
            <w:r w:rsidRPr="00DE2D55">
              <w:t>Bruno Pires Dias</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0ED0" w:rsidRPr="00DE2D55" w:rsidRDefault="00060ED0" w:rsidP="00FE560B">
            <w:pPr>
              <w:tabs>
                <w:tab w:val="left" w:pos="0"/>
              </w:tabs>
              <w:jc w:val="both"/>
            </w:pPr>
            <w:r w:rsidRPr="00DE2D55">
              <w:t>Gerente de Contabilidade Geral do Estado</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0ED0" w:rsidRPr="00DE2D55" w:rsidRDefault="00060ED0" w:rsidP="00FE560B">
            <w:pPr>
              <w:tabs>
                <w:tab w:val="left" w:pos="0"/>
              </w:tabs>
              <w:ind w:left="21" w:hanging="21"/>
              <w:jc w:val="both"/>
            </w:pPr>
            <w:r w:rsidRPr="00DE2D55">
              <w:t>Gerência de Contabilidade Geral do Estado</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060ED0" w:rsidRPr="00DE2D55" w:rsidRDefault="00060ED0" w:rsidP="00FE560B">
            <w:pPr>
              <w:tabs>
                <w:tab w:val="left" w:pos="0"/>
              </w:tabs>
              <w:jc w:val="both"/>
            </w:pPr>
            <w:r w:rsidRPr="00DE2D55">
              <w:t>bpdias@sefaz.es.gov.br</w:t>
            </w:r>
          </w:p>
        </w:tc>
      </w:tr>
    </w:tbl>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p>
    <w:p w:rsidR="00060ED0" w:rsidRPr="00DE2D55" w:rsidRDefault="00060ED0" w:rsidP="00B01A15">
      <w:pPr>
        <w:tabs>
          <w:tab w:val="left" w:pos="0"/>
        </w:tabs>
        <w:jc w:val="center"/>
        <w:rPr>
          <w:rFonts w:cs="Calibri"/>
          <w:b/>
        </w:rPr>
      </w:pPr>
      <w:r w:rsidRPr="00DE2D55">
        <w:rPr>
          <w:rFonts w:cs="Calibri"/>
          <w:b/>
        </w:rPr>
        <w:t>Vitória/ES - Junho de 2018</w:t>
      </w:r>
    </w:p>
    <w:p w:rsidR="00060ED0" w:rsidRPr="00DE2D55" w:rsidRDefault="00060ED0" w:rsidP="00FE560B">
      <w:pPr>
        <w:tabs>
          <w:tab w:val="left" w:pos="0"/>
        </w:tabs>
        <w:jc w:val="both"/>
        <w:rPr>
          <w:rFonts w:cs="Calibri"/>
          <w:b/>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0" w:name="_Toc517282166"/>
      <w:r w:rsidRPr="00DE2D55">
        <w:rPr>
          <w:rFonts w:cs="Calibri"/>
          <w:b/>
        </w:rPr>
        <w:t>ANTECEDENTES DO PRODUTO</w:t>
      </w:r>
      <w:bookmarkEnd w:id="150"/>
    </w:p>
    <w:p w:rsidR="00060ED0" w:rsidRDefault="00060ED0" w:rsidP="00FE560B">
      <w:pPr>
        <w:tabs>
          <w:tab w:val="left" w:pos="0"/>
        </w:tabs>
        <w:jc w:val="both"/>
        <w:rPr>
          <w:rFonts w:cs="Calibri"/>
        </w:rPr>
      </w:pPr>
      <w:r w:rsidRPr="00DE2D55">
        <w:rPr>
          <w:rFonts w:cs="Calibri"/>
        </w:rPr>
        <w:t>A contabilidade aplicada ao setor público no Brasil, durante mais de 40 anos teve como principal foco o controle dos recursos orçamentários. A Lei Federal nº 4.320, de 17 de março de 1964, até hoje vigente, devido à redação do seu artigo 35, incisos I e II, consagrou o regime misto para o reconhecimento contábil, qual seja: o de caixa para receita e de competência modificado para a despesa (base de empenho).</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Diante desse cenário, procedimentos importantes de reconhecimento, mensuração e evidenciação do patrimônio público não eram usualmente praticados pelos órgãos e entidades do setor público. Destaca-se o reconhecimento dos valores a receber de créditos tributários e não tributários, mensuração financeira de ativos não circulantes (investimentos, imobilizado, intangível), reconhecimento de provisões, ativos e passivos contingentes, benefícios a empregados, entre outros.</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O processo de mudança desse cenário iniciou em 2008, com a Portaria Ministerial da Fazenda nº 184, de 25 de agosto. A Portaria atribuiu à Secretaria do Tesouro Nacional (STN/MF) o desenvolvimento de ações para a promoção da convergência da contabilidade pública brasileira às normas internacionais do setor. Ainda em 2008, o Conselho Federal de Contabilidade (CFC) editou as primeiras Normas Brasileiras de Contabilidade do Setor Público, que já trouxeram um alinhamento às normas internacionais, reforçando o patrimônio como objeto de estudo da contabilidade do setor público.</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A STN/MF, no desenvolvimento de suas ações, focou primeiramente na padronização dos procedimentos contábeis orçamentários (PCOs) e em alguns procedimentos específicos (PCEs) para a Federação. Logo em seguida, as ações foram no sentido de implantação do novo Plano de Contas do Setor Público (PCASP), que é obrigatório a todos os entes Federativos desde 01/01/2015. As demonstrações contábeis aplicadas ao setor público (DCASPs) também foram reformuladas e inseridas novas, tais como a demonstração dos fluxos de caixa (DFC) e das mutações do patrimônio líquido (DMPL).</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Após os procedimentos acima citados, a STN/MF adotou, com a edição da Portaria nº 548/2015, um plano de implantação para os procedimentos contábeis patrimoniais (PIPCP). Esse plano instituiu que os Estados precisarão implantar tais procedimentos de forma completa até 2022.</w:t>
      </w:r>
    </w:p>
    <w:p w:rsidR="00B01A15" w:rsidRPr="00DE2D55" w:rsidRDefault="00B01A15"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rPr>
        <w:t>O CFC, dentro das suas competências legais, vem editando desde o final de 2016 as novas Normas Brasileiras de Contabilidade Aplicadas ao Setor Público, a partir desse momento convergidas às IPSAS. Em 2016, foram editadas pelo CFC, a NBC TSP Estrutura Conceitual e mais cinco normas convergidas, conforme se pode observar na tabela a seguir:</w:t>
      </w: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rPr>
        <w:t>Tabela 1: Normas Brasileiras Convergidas em 2016</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060ED0" w:rsidRPr="00DE2D55" w:rsidTr="00D15E3B">
        <w:trPr>
          <w:trHeight w:val="389"/>
        </w:trPr>
        <w:tc>
          <w:tcPr>
            <w:tcW w:w="4889" w:type="dxa"/>
            <w:shd w:val="clear" w:color="auto" w:fill="auto"/>
          </w:tcPr>
          <w:p w:rsidR="00060ED0" w:rsidRPr="00DE2D55" w:rsidRDefault="00060ED0" w:rsidP="00FE560B">
            <w:pPr>
              <w:tabs>
                <w:tab w:val="left" w:pos="0"/>
              </w:tabs>
              <w:jc w:val="both"/>
              <w:rPr>
                <w:rFonts w:cs="Calibri"/>
                <w:b/>
              </w:rPr>
            </w:pPr>
            <w:r w:rsidRPr="00DE2D55">
              <w:rPr>
                <w:rFonts w:cs="Calibri"/>
                <w:b/>
              </w:rPr>
              <w:t>Norma Brasileira – CFC</w:t>
            </w:r>
          </w:p>
        </w:tc>
        <w:tc>
          <w:tcPr>
            <w:tcW w:w="4890" w:type="dxa"/>
            <w:shd w:val="clear" w:color="auto" w:fill="auto"/>
          </w:tcPr>
          <w:p w:rsidR="00060ED0" w:rsidRPr="00DE2D55" w:rsidRDefault="00060ED0" w:rsidP="00FE560B">
            <w:pPr>
              <w:tabs>
                <w:tab w:val="left" w:pos="0"/>
              </w:tabs>
              <w:jc w:val="both"/>
              <w:rPr>
                <w:rFonts w:cs="Calibri"/>
                <w:b/>
                <w:lang w:val="en-US"/>
              </w:rPr>
            </w:pPr>
            <w:r w:rsidRPr="00DE2D55">
              <w:rPr>
                <w:rFonts w:cs="Calibri"/>
                <w:b/>
                <w:lang w:val="en-US"/>
              </w:rPr>
              <w:t xml:space="preserve">Norma Internacional – </w:t>
            </w:r>
            <w:r w:rsidRPr="00DE2D55">
              <w:rPr>
                <w:rFonts w:cs="Calibri"/>
                <w:b/>
                <w:i/>
                <w:lang w:val="en-US"/>
              </w:rPr>
              <w:t>International Federation of Accountants</w:t>
            </w:r>
            <w:r w:rsidRPr="00DE2D55">
              <w:rPr>
                <w:rFonts w:cs="Calibri"/>
                <w:b/>
                <w:lang w:val="en-US"/>
              </w:rPr>
              <w:t xml:space="preserve"> (IFAC)</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 Estrutura Conceitual</w:t>
            </w:r>
          </w:p>
        </w:tc>
        <w:tc>
          <w:tcPr>
            <w:tcW w:w="4890" w:type="dxa"/>
            <w:shd w:val="clear" w:color="auto" w:fill="auto"/>
          </w:tcPr>
          <w:p w:rsidR="00060ED0" w:rsidRPr="00DE2D55" w:rsidRDefault="00060ED0" w:rsidP="00FE560B">
            <w:pPr>
              <w:tabs>
                <w:tab w:val="left" w:pos="0"/>
              </w:tabs>
              <w:jc w:val="both"/>
              <w:rPr>
                <w:rFonts w:cs="Calibri"/>
                <w:i/>
                <w:lang w:val="en-US"/>
              </w:rPr>
            </w:pPr>
            <w:r w:rsidRPr="00DE2D55">
              <w:rPr>
                <w:rFonts w:cs="Calibri"/>
                <w:i/>
                <w:lang w:val="en-US"/>
              </w:rPr>
              <w:t>The Conceptual Framework for General Purpose Financial Reporting by Public Sector Entities</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01 – Receita de Transação sem Contraprestação</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23 - </w:t>
            </w:r>
            <w:r w:rsidRPr="00DE2D55">
              <w:rPr>
                <w:rFonts w:cs="Calibri"/>
                <w:i/>
                <w:lang w:val="en-US"/>
              </w:rPr>
              <w:t>Revenue from Exchance Transaction</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02 – Receita de Transação com contraprestação</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09 - </w:t>
            </w:r>
            <w:r w:rsidRPr="00DE2D55">
              <w:rPr>
                <w:rFonts w:cs="Calibri"/>
                <w:i/>
                <w:lang w:val="en-US"/>
              </w:rPr>
              <w:t>Revenue from Exchance Transaction</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03 – Provisões, Ativos e Passivos Contingentes</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19 - </w:t>
            </w:r>
            <w:r w:rsidRPr="00DE2D55">
              <w:rPr>
                <w:rFonts w:cs="Calibri"/>
                <w:i/>
                <w:lang w:val="en-US"/>
              </w:rPr>
              <w:t>Provisions, Contingent Liabilities and Contingent Assets</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04 – Estoques</w:t>
            </w:r>
          </w:p>
        </w:tc>
        <w:tc>
          <w:tcPr>
            <w:tcW w:w="4890" w:type="dxa"/>
            <w:shd w:val="clear" w:color="auto" w:fill="auto"/>
          </w:tcPr>
          <w:p w:rsidR="00060ED0" w:rsidRPr="00DE2D55" w:rsidRDefault="00060ED0" w:rsidP="00FE560B">
            <w:pPr>
              <w:tabs>
                <w:tab w:val="left" w:pos="0"/>
              </w:tabs>
              <w:jc w:val="both"/>
              <w:rPr>
                <w:rFonts w:cs="Calibri"/>
              </w:rPr>
            </w:pPr>
            <w:r w:rsidRPr="00DE2D55">
              <w:rPr>
                <w:rFonts w:cs="Calibri"/>
              </w:rPr>
              <w:t xml:space="preserve">IPSAS 12 - </w:t>
            </w:r>
            <w:r w:rsidRPr="00DE2D55">
              <w:rPr>
                <w:rFonts w:cs="Calibri"/>
                <w:i/>
              </w:rPr>
              <w:t>Inventories</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05 – Contratos de Concessão de Serviços Públicos: Concedente</w:t>
            </w:r>
          </w:p>
        </w:tc>
        <w:tc>
          <w:tcPr>
            <w:tcW w:w="4890" w:type="dxa"/>
            <w:shd w:val="clear" w:color="auto" w:fill="auto"/>
          </w:tcPr>
          <w:p w:rsidR="00060ED0" w:rsidRPr="00DE2D55" w:rsidRDefault="00060ED0" w:rsidP="00FE560B">
            <w:pPr>
              <w:tabs>
                <w:tab w:val="left" w:pos="0"/>
              </w:tabs>
              <w:jc w:val="both"/>
              <w:rPr>
                <w:rFonts w:cs="Calibri"/>
              </w:rPr>
            </w:pPr>
            <w:r w:rsidRPr="00DE2D55">
              <w:rPr>
                <w:rFonts w:cs="Calibri"/>
              </w:rPr>
              <w:t xml:space="preserve">IPSAS 32 - </w:t>
            </w:r>
            <w:r w:rsidRPr="00DE2D55">
              <w:rPr>
                <w:rFonts w:cs="Calibri"/>
                <w:i/>
              </w:rPr>
              <w:t>Service Concession Arrangements: Grantor</w:t>
            </w:r>
          </w:p>
        </w:tc>
      </w:tr>
    </w:tbl>
    <w:p w:rsidR="00B01A15" w:rsidRDefault="00B01A15"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rPr>
        <w:t>Em 2017, foram convergidas mais cinco normas brasileiras, conforme pode ser observado na tabela 2:</w:t>
      </w:r>
    </w:p>
    <w:p w:rsidR="00060ED0" w:rsidRDefault="00060ED0" w:rsidP="00FE560B">
      <w:pPr>
        <w:tabs>
          <w:tab w:val="left" w:pos="0"/>
        </w:tabs>
        <w:jc w:val="both"/>
        <w:rPr>
          <w:rFonts w:cs="Calibri"/>
        </w:rPr>
      </w:pPr>
      <w:r w:rsidRPr="00DE2D55">
        <w:rPr>
          <w:rFonts w:cs="Calibri"/>
        </w:rPr>
        <w:t>Tabela 2: Normas Brasileiras Convergidas em 2017</w:t>
      </w:r>
    </w:p>
    <w:p w:rsidR="00B01A15" w:rsidRPr="00DE2D55" w:rsidRDefault="00B01A15" w:rsidP="00FE560B">
      <w:pPr>
        <w:tabs>
          <w:tab w:val="left" w:pos="0"/>
        </w:tabs>
        <w:jc w:val="both"/>
        <w:rPr>
          <w:rFonts w:cs="Calibr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060ED0" w:rsidRPr="00DE2D55" w:rsidTr="00D15E3B">
        <w:trPr>
          <w:trHeight w:val="389"/>
        </w:trPr>
        <w:tc>
          <w:tcPr>
            <w:tcW w:w="4889" w:type="dxa"/>
            <w:shd w:val="clear" w:color="auto" w:fill="auto"/>
          </w:tcPr>
          <w:p w:rsidR="00060ED0" w:rsidRPr="00DE2D55" w:rsidRDefault="00060ED0" w:rsidP="00FE560B">
            <w:pPr>
              <w:tabs>
                <w:tab w:val="left" w:pos="0"/>
              </w:tabs>
              <w:jc w:val="both"/>
              <w:rPr>
                <w:rFonts w:cs="Calibri"/>
                <w:b/>
              </w:rPr>
            </w:pPr>
            <w:r w:rsidRPr="00DE2D55">
              <w:rPr>
                <w:rFonts w:cs="Calibri"/>
                <w:b/>
              </w:rPr>
              <w:t>Norma Brasileira – CFC</w:t>
            </w:r>
          </w:p>
        </w:tc>
        <w:tc>
          <w:tcPr>
            <w:tcW w:w="4890" w:type="dxa"/>
            <w:shd w:val="clear" w:color="auto" w:fill="auto"/>
          </w:tcPr>
          <w:p w:rsidR="00060ED0" w:rsidRPr="00DE2D55" w:rsidRDefault="00060ED0" w:rsidP="00FE560B">
            <w:pPr>
              <w:tabs>
                <w:tab w:val="left" w:pos="0"/>
              </w:tabs>
              <w:jc w:val="both"/>
              <w:rPr>
                <w:rFonts w:cs="Calibri"/>
                <w:b/>
                <w:lang w:val="en-US"/>
              </w:rPr>
            </w:pPr>
            <w:r w:rsidRPr="00DE2D55">
              <w:rPr>
                <w:rFonts w:cs="Calibri"/>
                <w:b/>
                <w:lang w:val="en-US"/>
              </w:rPr>
              <w:t xml:space="preserve">Norma Internacional – </w:t>
            </w:r>
            <w:r w:rsidRPr="00DE2D55">
              <w:rPr>
                <w:rFonts w:cs="Calibri"/>
                <w:b/>
                <w:i/>
                <w:lang w:val="en-US"/>
              </w:rPr>
              <w:t>International Federation of Accountants</w:t>
            </w:r>
            <w:r w:rsidRPr="00DE2D55">
              <w:rPr>
                <w:rFonts w:cs="Calibri"/>
                <w:b/>
                <w:lang w:val="en-US"/>
              </w:rPr>
              <w:t xml:space="preserve"> (IFAC)</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06 – Propriedade para Investimento</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16 - </w:t>
            </w:r>
            <w:r w:rsidRPr="00DE2D55">
              <w:rPr>
                <w:rFonts w:cs="Calibri"/>
                <w:i/>
              </w:rPr>
              <w:t>Investment Property</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07 – Ativo Imobilizado</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17 - </w:t>
            </w:r>
            <w:r w:rsidRPr="00DE2D55">
              <w:rPr>
                <w:rFonts w:cs="Calibri"/>
                <w:i/>
                <w:lang w:val="en-US"/>
              </w:rPr>
              <w:t>Property, Plant, and Equipment</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08 – Ativo Intangível</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31 -</w:t>
            </w:r>
            <w:r w:rsidRPr="00DE2D55">
              <w:rPr>
                <w:i/>
                <w:color w:val="000000"/>
                <w:lang w:val="en-US"/>
              </w:rPr>
              <w:t xml:space="preserve"> </w:t>
            </w:r>
            <w:r w:rsidRPr="00DE2D55">
              <w:rPr>
                <w:rFonts w:cs="Calibri"/>
                <w:i/>
              </w:rPr>
              <w:t>Intangible Assets</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09 – Redução ao Valor Recuperável de Ativo Não Gerador de Caixa</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21 - </w:t>
            </w:r>
            <w:r w:rsidRPr="00DE2D55">
              <w:rPr>
                <w:rFonts w:cs="Calibri"/>
                <w:i/>
                <w:lang w:val="en-US"/>
              </w:rPr>
              <w:t>Impairment of Non-Cash-Generating Assets</w:t>
            </w:r>
          </w:p>
        </w:tc>
      </w:tr>
      <w:tr w:rsidR="00060ED0" w:rsidRPr="00DE2D55" w:rsidTr="00D15E3B">
        <w:tc>
          <w:tcPr>
            <w:tcW w:w="4889" w:type="dxa"/>
            <w:shd w:val="clear" w:color="auto" w:fill="auto"/>
          </w:tcPr>
          <w:p w:rsidR="00060ED0" w:rsidRPr="00DE2D55" w:rsidRDefault="00060ED0" w:rsidP="00FE560B">
            <w:pPr>
              <w:tabs>
                <w:tab w:val="left" w:pos="0"/>
              </w:tabs>
              <w:jc w:val="both"/>
              <w:rPr>
                <w:rFonts w:cs="Calibri"/>
              </w:rPr>
            </w:pPr>
            <w:r w:rsidRPr="00DE2D55">
              <w:rPr>
                <w:rFonts w:cs="Calibri"/>
              </w:rPr>
              <w:t>NBC TSP 10 - Redução ao Valor Recuperável de Ativo Gerador de Caixa</w:t>
            </w:r>
          </w:p>
        </w:tc>
        <w:tc>
          <w:tcPr>
            <w:tcW w:w="489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 xml:space="preserve">IPSAS 26 - </w:t>
            </w:r>
            <w:r w:rsidRPr="00DE2D55">
              <w:rPr>
                <w:rFonts w:cs="Calibri"/>
                <w:i/>
                <w:lang w:val="en-US"/>
              </w:rPr>
              <w:t>Impairment of Cash-Generating Assets</w:t>
            </w:r>
          </w:p>
        </w:tc>
      </w:tr>
    </w:tbl>
    <w:p w:rsidR="00060ED0" w:rsidRPr="00DE2D55" w:rsidRDefault="00060ED0"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Além da Estrutura Conceitual e das normas já convergidas, o CFC planeja convergir mais 24 normas internacionais até 2021. Dessa forma, no momento,</w:t>
      </w:r>
      <w:r w:rsidRPr="00DE2D55" w:rsidDel="00F53022">
        <w:rPr>
          <w:rFonts w:cs="Calibri"/>
        </w:rPr>
        <w:t xml:space="preserve"> </w:t>
      </w:r>
      <w:r w:rsidRPr="00DE2D55">
        <w:rPr>
          <w:rFonts w:cs="Calibri"/>
        </w:rPr>
        <w:t xml:space="preserve">todos os esforços do Estado do Espírito Santo são no intuito de atender não somente às normas de consolidação emanadas pela STN/MF, mas principalmente às NBC TSPs convergidas às IPSAS. Assim, pretende-se que o Estado tenha um padrão internacional de reconhecimento, mensuração e evidenciação do seu patrimônio, contribuindo no processo de </w:t>
      </w:r>
      <w:r w:rsidRPr="00DE2D55">
        <w:rPr>
          <w:rFonts w:cs="Calibri"/>
          <w:i/>
        </w:rPr>
        <w:t xml:space="preserve">accountability </w:t>
      </w:r>
      <w:r w:rsidRPr="00DE2D55">
        <w:rPr>
          <w:rFonts w:cs="Calibri"/>
        </w:rPr>
        <w:t>e tomada de decisão do gestor público.</w:t>
      </w:r>
    </w:p>
    <w:p w:rsidR="00B01A15" w:rsidRPr="00DE2D55" w:rsidRDefault="00B01A15"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rPr>
        <w:t>A tabela a seguir apresenta as IPSAS que serão convergidas pelo CFC.</w:t>
      </w:r>
    </w:p>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rPr>
        <w:t>Tabela 3 – Normas internacionais a serem convergidas até 2021</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80"/>
      </w:tblGrid>
      <w:tr w:rsidR="00060ED0" w:rsidRPr="00DE2D55" w:rsidTr="00D15E3B">
        <w:trPr>
          <w:trHeight w:val="389"/>
        </w:trPr>
        <w:tc>
          <w:tcPr>
            <w:tcW w:w="9180" w:type="dxa"/>
            <w:shd w:val="clear" w:color="auto" w:fill="auto"/>
          </w:tcPr>
          <w:p w:rsidR="00060ED0" w:rsidRPr="00DE2D55" w:rsidRDefault="00060ED0" w:rsidP="00FE560B">
            <w:pPr>
              <w:tabs>
                <w:tab w:val="left" w:pos="0"/>
              </w:tabs>
              <w:jc w:val="both"/>
              <w:rPr>
                <w:rFonts w:cs="Calibri"/>
                <w:b/>
                <w:lang w:val="en-US"/>
              </w:rPr>
            </w:pPr>
            <w:r w:rsidRPr="00DE2D55">
              <w:rPr>
                <w:rFonts w:cs="Calibri"/>
                <w:b/>
                <w:lang w:val="en-US"/>
              </w:rPr>
              <w:t>IPSAS</w:t>
            </w:r>
          </w:p>
          <w:p w:rsidR="00060ED0" w:rsidRPr="00DE2D55" w:rsidRDefault="00060ED0" w:rsidP="00FE560B">
            <w:pPr>
              <w:tabs>
                <w:tab w:val="left" w:pos="0"/>
              </w:tabs>
              <w:jc w:val="both"/>
              <w:rPr>
                <w:rFonts w:cs="Calibri"/>
                <w:b/>
                <w:lang w:val="en-US"/>
              </w:rPr>
            </w:pPr>
            <w:r w:rsidRPr="00DE2D55">
              <w:rPr>
                <w:rFonts w:cs="Calibri"/>
                <w:b/>
                <w:i/>
                <w:lang w:val="en-US"/>
              </w:rPr>
              <w:t>International Federation of Accountants</w:t>
            </w:r>
            <w:r w:rsidRPr="00DE2D55">
              <w:rPr>
                <w:rFonts w:cs="Calibri"/>
                <w:b/>
                <w:lang w:val="en-US"/>
              </w:rPr>
              <w:t xml:space="preserve"> (IFAC)</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1 – Presentation of Financial Statements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 – Cash Flow Statements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24 - Presentation of Budget Information in Financial Statements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5- Borrowing Costs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39 – Employee Benefits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34 - Separate Financial Statements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35 - Consolidated Financial Statements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36 - Investments in Associates and Joint Ventures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37 - Joint Arrangements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38 - Disclosure of Interests in Other Entities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40 – Public Sector Combinations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3 - Accounting Policies, Changes in Accounting Estimates and Errors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4 - The Effects of Changes in Foreign Exchange Rates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14 -  Events after the Reporting Date</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11 – Construction Contracts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13 – Leases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27 – Agriculture</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28 - Financial Instruments: Presentation</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29 - Financial Instruments: Recognition and Measurement</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30 - Financial Instruments: Disclosures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22 - Disclosure of Financial Information about the GGS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18 - Segment Reporting</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20 - Related Party Disclosures</w:t>
            </w:r>
          </w:p>
        </w:tc>
      </w:tr>
      <w:tr w:rsidR="00060ED0" w:rsidRPr="00DE2D55" w:rsidTr="00D15E3B">
        <w:tc>
          <w:tcPr>
            <w:tcW w:w="9180" w:type="dxa"/>
            <w:shd w:val="clear" w:color="auto" w:fill="auto"/>
          </w:tcPr>
          <w:p w:rsidR="00060ED0" w:rsidRPr="00DE2D55" w:rsidRDefault="00060ED0" w:rsidP="00FE560B">
            <w:pPr>
              <w:tabs>
                <w:tab w:val="left" w:pos="0"/>
              </w:tabs>
              <w:jc w:val="both"/>
              <w:rPr>
                <w:rFonts w:cs="Calibri"/>
                <w:lang w:val="en-US"/>
              </w:rPr>
            </w:pPr>
            <w:r w:rsidRPr="00DE2D55">
              <w:rPr>
                <w:rFonts w:cs="Calibri"/>
                <w:lang w:val="en-US"/>
              </w:rPr>
              <w:t>IPSAS 33 - First-time Adoption of Accrual Basis IPSAS</w:t>
            </w:r>
          </w:p>
        </w:tc>
      </w:tr>
    </w:tbl>
    <w:p w:rsidR="00060ED0" w:rsidRPr="00DE2D55" w:rsidRDefault="00060ED0"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O Estado do Espírito Santo conseguiu avanços significativos na modernização de sua gestão contábil, sendo um dos pilares desses avanços a modernização de seu Sistema de Administração Financeira (SIAFI). O SIAFI do Espírito Santo, denominado de Sistema Integrado de Gestão das Finanças Públicas do Espírito Santo (SIGEFES), recebeu recursos do Profisco I e se tornou um dos mais modernos SIAFIs do Brasil, conforme avaliação de consultoria contratada pelo BID.</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Após a implantação do SIGEFES, existe a necessidade de instituição de processos que visem à convergência e à integração com outros sistemas estruturantes do Estado para permitir a implantação de todas as normas brasileiras de contabilidade.</w:t>
      </w:r>
    </w:p>
    <w:p w:rsidR="00B01A15" w:rsidRPr="00DE2D55" w:rsidRDefault="00B01A15" w:rsidP="00FE560B">
      <w:pPr>
        <w:tabs>
          <w:tab w:val="left" w:pos="0"/>
        </w:tabs>
        <w:jc w:val="both"/>
        <w:rPr>
          <w:rFonts w:cs="Calibri"/>
        </w:rPr>
      </w:pPr>
    </w:p>
    <w:p w:rsidR="00060ED0" w:rsidRDefault="00060ED0" w:rsidP="00FE560B">
      <w:pPr>
        <w:tabs>
          <w:tab w:val="left" w:pos="0"/>
        </w:tabs>
        <w:jc w:val="both"/>
        <w:rPr>
          <w:rFonts w:cs="Calibri"/>
        </w:rPr>
      </w:pPr>
      <w:r w:rsidRPr="00DE2D55">
        <w:rPr>
          <w:rFonts w:cs="Calibri"/>
        </w:rPr>
        <w:t>Diante desse cenário, apresenta-se como desafio para o aperfeiçoamento da gestão contábil do Estado a implementação das normas brasileiras de contabilidade convergidas às normas internacionais nos prazos previstos pela STN e CFC.</w:t>
      </w:r>
    </w:p>
    <w:p w:rsidR="00B01A15" w:rsidRPr="00DE2D55" w:rsidRDefault="00B01A15" w:rsidP="00FE560B">
      <w:pPr>
        <w:tabs>
          <w:tab w:val="left" w:pos="0"/>
        </w:tabs>
        <w:jc w:val="both"/>
        <w:rPr>
          <w:rFonts w:cs="Calibri"/>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1" w:name="_Toc517282167"/>
      <w:r w:rsidRPr="00DE2D55">
        <w:rPr>
          <w:rFonts w:cs="Calibri"/>
          <w:b/>
        </w:rPr>
        <w:t>DESCRIÇÃO DO PROBLEMA E SUAS EVIDÊNCIAS</w:t>
      </w:r>
      <w:bookmarkEnd w:id="151"/>
      <w:r w:rsidRPr="00DE2D55">
        <w:rPr>
          <w:rFonts w:cs="Calibri"/>
          <w:b/>
        </w:rPr>
        <w:t xml:space="preserve"> </w:t>
      </w:r>
    </w:p>
    <w:p w:rsidR="00060ED0" w:rsidRDefault="00060ED0" w:rsidP="00FE560B">
      <w:pPr>
        <w:tabs>
          <w:tab w:val="left" w:pos="0"/>
        </w:tabs>
        <w:jc w:val="both"/>
        <w:rPr>
          <w:rFonts w:cs="Calibri"/>
        </w:rPr>
      </w:pPr>
      <w:r w:rsidRPr="00DE2D55">
        <w:rPr>
          <w:rFonts w:cs="Calibri"/>
        </w:rPr>
        <w:t>O processo de convergência às normas internacionais tem como uma de suas principais finalidades melhorar a qualidade da informação contábil dos entes públicos. Atualmente, a informação gerada pela contabilidade ainda carece de características qualitativas que garantam a correta tomada de decisão do gestor público e o processo de responsabilização e transparência (</w:t>
      </w:r>
      <w:r w:rsidRPr="00DE2D55">
        <w:rPr>
          <w:rFonts w:cs="Calibri"/>
          <w:i/>
        </w:rPr>
        <w:t>accountability</w:t>
      </w:r>
      <w:r w:rsidRPr="00DE2D55">
        <w:rPr>
          <w:rFonts w:cs="Calibri"/>
        </w:rPr>
        <w:t>). Apesar dos significativos avanços conquistados pela contabilidade do Estado do Espírito Santo, a informação contábil que é produzida ainda não atende, em sua plenitude, algumas características que lhe são inerentes, principalmente no tocante à representação fidedigna, à tempestividade e à verificabilidade.</w:t>
      </w:r>
    </w:p>
    <w:p w:rsidR="00B01A15" w:rsidRPr="00DE2D55" w:rsidRDefault="00B01A15" w:rsidP="00FE560B">
      <w:pPr>
        <w:tabs>
          <w:tab w:val="left" w:pos="0"/>
        </w:tabs>
        <w:jc w:val="both"/>
        <w:rPr>
          <w:rFonts w:cs="Calibri"/>
        </w:rPr>
      </w:pPr>
    </w:p>
    <w:p w:rsidR="00060ED0" w:rsidRPr="00DE2D55" w:rsidRDefault="00060ED0" w:rsidP="00FE560B">
      <w:pPr>
        <w:tabs>
          <w:tab w:val="left" w:pos="0"/>
        </w:tabs>
        <w:jc w:val="both"/>
        <w:rPr>
          <w:rFonts w:cs="Calibri"/>
        </w:rPr>
      </w:pPr>
      <w:r w:rsidRPr="00DE2D55">
        <w:rPr>
          <w:rFonts w:cs="Calibri"/>
          <w:b/>
        </w:rPr>
        <w:t>2.1- Síntese do Problema:</w:t>
      </w:r>
      <w:r w:rsidRPr="00DE2D55">
        <w:rPr>
          <w:rFonts w:cs="Calibri"/>
        </w:rPr>
        <w:t xml:space="preserve"> </w:t>
      </w:r>
    </w:p>
    <w:p w:rsidR="00060ED0" w:rsidRPr="00DE2D55" w:rsidRDefault="00060ED0" w:rsidP="00FE560B">
      <w:pPr>
        <w:pBdr>
          <w:top w:val="dotted" w:sz="4" w:space="1" w:color="auto"/>
          <w:left w:val="dotted" w:sz="4" w:space="4" w:color="auto"/>
          <w:bottom w:val="dotted" w:sz="4" w:space="1" w:color="auto"/>
          <w:right w:val="dotted" w:sz="4" w:space="4" w:color="auto"/>
        </w:pBdr>
        <w:shd w:val="clear" w:color="auto" w:fill="C5E0B3"/>
        <w:tabs>
          <w:tab w:val="left" w:pos="0"/>
        </w:tabs>
        <w:jc w:val="both"/>
        <w:rPr>
          <w:rFonts w:cs="Calibri"/>
          <w:i/>
          <w:noProof/>
        </w:rPr>
      </w:pPr>
      <w:r w:rsidRPr="00DE2D55">
        <w:rPr>
          <w:i/>
        </w:rPr>
        <w:t>Deficiência na qualidade da informação gerada pela contabilidade para tomada de decisão e prestação de contas.</w:t>
      </w:r>
    </w:p>
    <w:p w:rsidR="00060ED0" w:rsidRPr="00DE2D55" w:rsidRDefault="00060ED0" w:rsidP="00FE560B">
      <w:pPr>
        <w:pStyle w:val="PargrafodaLista"/>
        <w:tabs>
          <w:tab w:val="left" w:pos="0"/>
        </w:tabs>
        <w:ind w:left="225"/>
        <w:jc w:val="both"/>
        <w:rPr>
          <w:noProof/>
        </w:rPr>
      </w:pPr>
    </w:p>
    <w:p w:rsidR="00060ED0" w:rsidRPr="00DE2D55" w:rsidRDefault="00060ED0" w:rsidP="00FE560B">
      <w:pPr>
        <w:tabs>
          <w:tab w:val="left" w:pos="0"/>
        </w:tabs>
        <w:jc w:val="both"/>
        <w:rPr>
          <w:rFonts w:cs="Calibri"/>
          <w:b/>
        </w:rPr>
      </w:pPr>
      <w:r w:rsidRPr="00DE2D55">
        <w:rPr>
          <w:rFonts w:cs="Calibri"/>
          <w:b/>
        </w:rPr>
        <w:t>2.2- Principais causas:</w:t>
      </w:r>
    </w:p>
    <w:p w:rsidR="00060ED0" w:rsidRPr="00DE2D55" w:rsidRDefault="00060ED0" w:rsidP="00A249C9">
      <w:pPr>
        <w:numPr>
          <w:ilvl w:val="0"/>
          <w:numId w:val="82"/>
        </w:numPr>
        <w:tabs>
          <w:tab w:val="left" w:pos="0"/>
        </w:tabs>
        <w:jc w:val="both"/>
        <w:rPr>
          <w:rFonts w:cs="Calibri"/>
        </w:rPr>
      </w:pPr>
      <w:r w:rsidRPr="00DE2D55">
        <w:rPr>
          <w:rFonts w:cs="Calibri"/>
        </w:rPr>
        <w:t xml:space="preserve"> Elevado número de transações manuais para realizar a contabilidade de diversos procedimentos patrimoniais, acarretando demoras e riscos de erros. Atualmente 62% da norma contábeis exigidas pela STN estão implementadas;</w:t>
      </w:r>
    </w:p>
    <w:p w:rsidR="00060ED0" w:rsidRPr="00DE2D55" w:rsidRDefault="00060ED0" w:rsidP="00A249C9">
      <w:pPr>
        <w:numPr>
          <w:ilvl w:val="0"/>
          <w:numId w:val="82"/>
        </w:numPr>
        <w:tabs>
          <w:tab w:val="left" w:pos="0"/>
        </w:tabs>
        <w:jc w:val="both"/>
        <w:rPr>
          <w:rFonts w:cs="Calibri"/>
        </w:rPr>
      </w:pPr>
      <w:r w:rsidRPr="00DE2D55">
        <w:rPr>
          <w:rFonts w:cs="Calibri"/>
        </w:rPr>
        <w:t xml:space="preserve"> Deficiência na parametrização e integração da informação dos sistemas Tributário (SIT), Administração (SIGA) e Recursos Humanos (SIARHES) com o SIGEFES;</w:t>
      </w:r>
    </w:p>
    <w:p w:rsidR="00060ED0" w:rsidRPr="00DE2D55" w:rsidRDefault="00060ED0" w:rsidP="00A249C9">
      <w:pPr>
        <w:numPr>
          <w:ilvl w:val="0"/>
          <w:numId w:val="82"/>
        </w:numPr>
        <w:tabs>
          <w:tab w:val="left" w:pos="0"/>
        </w:tabs>
        <w:jc w:val="both"/>
        <w:rPr>
          <w:rFonts w:cs="Calibri"/>
        </w:rPr>
      </w:pPr>
      <w:r w:rsidRPr="00DE2D55">
        <w:rPr>
          <w:rFonts w:cs="Calibri"/>
        </w:rPr>
        <w:t xml:space="preserve"> Elevado número de registros contábeis realizados de forma não automatizada, em virtude da ausência de integração dos sistemas de apoio, como os de créditos a receber, de gestão patrimonial e de gestão de recursos humanos, com o SIGEFES, o que pode ocasionar erros na escrituração contábil e distorções nos demonstrativos contábeis;</w:t>
      </w:r>
    </w:p>
    <w:p w:rsidR="00060ED0" w:rsidRPr="00DE2D55" w:rsidRDefault="00060ED0" w:rsidP="00A249C9">
      <w:pPr>
        <w:numPr>
          <w:ilvl w:val="0"/>
          <w:numId w:val="82"/>
        </w:numPr>
        <w:tabs>
          <w:tab w:val="left" w:pos="0"/>
        </w:tabs>
        <w:jc w:val="both"/>
        <w:rPr>
          <w:rFonts w:cs="Calibri"/>
        </w:rPr>
      </w:pPr>
      <w:r w:rsidRPr="00DE2D55">
        <w:rPr>
          <w:rFonts w:cs="Calibri"/>
        </w:rPr>
        <w:t xml:space="preserve"> Deficiência na customização dos sistemas em conformidade com os procedimentos contábeis patrimoniais editados pela STN com base nas IPSAS; e</w:t>
      </w:r>
    </w:p>
    <w:p w:rsidR="00060ED0" w:rsidRPr="00DE2D55" w:rsidRDefault="00060ED0" w:rsidP="00A249C9">
      <w:pPr>
        <w:numPr>
          <w:ilvl w:val="0"/>
          <w:numId w:val="82"/>
        </w:numPr>
        <w:tabs>
          <w:tab w:val="left" w:pos="0"/>
        </w:tabs>
        <w:jc w:val="both"/>
        <w:rPr>
          <w:rFonts w:cs="Calibri"/>
        </w:rPr>
      </w:pPr>
      <w:r w:rsidRPr="00DE2D55">
        <w:rPr>
          <w:rFonts w:cs="Calibri"/>
        </w:rPr>
        <w:t>Indefinição de critérios e procedimentos em relação a determinadas normas brasileiras de contabilidade aplicadas ao setor público.</w:t>
      </w:r>
    </w:p>
    <w:p w:rsidR="00060ED0" w:rsidRPr="00DE2D55" w:rsidRDefault="00060ED0" w:rsidP="00FE560B">
      <w:pPr>
        <w:tabs>
          <w:tab w:val="left" w:pos="0"/>
        </w:tabs>
        <w:ind w:left="774"/>
        <w:jc w:val="both"/>
        <w:rPr>
          <w:rFonts w:cs="Calibri"/>
        </w:rPr>
      </w:pPr>
    </w:p>
    <w:p w:rsidR="00060ED0" w:rsidRPr="00DE2D55" w:rsidRDefault="00060ED0" w:rsidP="00FE560B">
      <w:pPr>
        <w:tabs>
          <w:tab w:val="left" w:pos="0"/>
        </w:tabs>
        <w:jc w:val="both"/>
        <w:rPr>
          <w:rFonts w:cs="Calibri"/>
          <w:b/>
        </w:rPr>
      </w:pPr>
      <w:r w:rsidRPr="00DE2D55">
        <w:rPr>
          <w:rFonts w:cs="Calibri"/>
          <w:b/>
        </w:rPr>
        <w:t xml:space="preserve">2.3- Evidências: </w:t>
      </w:r>
    </w:p>
    <w:p w:rsidR="00060ED0" w:rsidRPr="00DE2D55" w:rsidRDefault="00060ED0" w:rsidP="00FE560B">
      <w:pPr>
        <w:tabs>
          <w:tab w:val="left" w:pos="0"/>
        </w:tabs>
        <w:jc w:val="both"/>
        <w:rPr>
          <w:rFonts w:cs="Calibri"/>
        </w:rPr>
      </w:pPr>
      <w:r w:rsidRPr="00DE2D55">
        <w:rPr>
          <w:rFonts w:cs="Calibri"/>
        </w:rPr>
        <w:t>Muitas evidências podem ser elencadas, mas destacam-se as seguintes:</w:t>
      </w:r>
    </w:p>
    <w:p w:rsidR="00060ED0" w:rsidRPr="00DE2D55" w:rsidRDefault="00060ED0" w:rsidP="00A249C9">
      <w:pPr>
        <w:numPr>
          <w:ilvl w:val="0"/>
          <w:numId w:val="81"/>
        </w:numPr>
        <w:tabs>
          <w:tab w:val="left" w:pos="0"/>
        </w:tabs>
        <w:jc w:val="both"/>
        <w:rPr>
          <w:rFonts w:cs="Calibri"/>
        </w:rPr>
      </w:pPr>
      <w:r w:rsidRPr="00DE2D55">
        <w:rPr>
          <w:rFonts w:cs="Calibri"/>
        </w:rPr>
        <w:t xml:space="preserve">A rotina de depreciação leva em média 1 dia para ser realizada para cada um dos 46 órgãos, quando deveria ser feita em tempo real. </w:t>
      </w:r>
    </w:p>
    <w:p w:rsidR="00060ED0" w:rsidRPr="00DE2D55" w:rsidRDefault="00060ED0" w:rsidP="00A249C9">
      <w:pPr>
        <w:numPr>
          <w:ilvl w:val="0"/>
          <w:numId w:val="81"/>
        </w:numPr>
        <w:tabs>
          <w:tab w:val="left" w:pos="0"/>
        </w:tabs>
        <w:jc w:val="both"/>
        <w:rPr>
          <w:rFonts w:cs="Calibri"/>
        </w:rPr>
      </w:pPr>
      <w:r w:rsidRPr="00DE2D55">
        <w:rPr>
          <w:rFonts w:cs="Calibri"/>
        </w:rPr>
        <w:t>A contabilização da folha de pagamento leva cerca de 3 dias para ser realizada por cada um dos 46 órgãos, quando poderia ser feita em tempo real.</w:t>
      </w:r>
    </w:p>
    <w:p w:rsidR="00060ED0" w:rsidRPr="00DE2D55" w:rsidRDefault="00060ED0" w:rsidP="00A249C9">
      <w:pPr>
        <w:numPr>
          <w:ilvl w:val="0"/>
          <w:numId w:val="81"/>
        </w:numPr>
        <w:tabs>
          <w:tab w:val="left" w:pos="0"/>
        </w:tabs>
        <w:jc w:val="both"/>
        <w:rPr>
          <w:rFonts w:cs="Calibri"/>
        </w:rPr>
      </w:pPr>
      <w:r w:rsidRPr="00DE2D55">
        <w:rPr>
          <w:rFonts w:cs="Calibri"/>
        </w:rPr>
        <w:t>A rotina de depreciação do patrimônio mobiliário realizada por cada Unidade Gestora é contabilizada de forma manual, com base em relatórios gerados pelo sistema de gestão patrimonial; e</w:t>
      </w:r>
    </w:p>
    <w:p w:rsidR="00060ED0" w:rsidRPr="00DE2D55" w:rsidRDefault="00060ED0" w:rsidP="00A249C9">
      <w:pPr>
        <w:numPr>
          <w:ilvl w:val="0"/>
          <w:numId w:val="81"/>
        </w:numPr>
        <w:tabs>
          <w:tab w:val="left" w:pos="0"/>
        </w:tabs>
        <w:jc w:val="both"/>
        <w:rPr>
          <w:rFonts w:cs="Calibri"/>
        </w:rPr>
      </w:pPr>
      <w:r w:rsidRPr="00DE2D55">
        <w:rPr>
          <w:rFonts w:cs="Calibri"/>
        </w:rPr>
        <w:t>A contabilização dos créditos tributários é realizada de forma manual, com base em relatórios gerados pelo sistema tributário, os quais não dispõem de todas as informações necessárias para o pleno cumprimento do referido procedimento contábil patrimonial, no tocante ao Plano de Contas Aplicado ao Setor Público.</w:t>
      </w:r>
    </w:p>
    <w:p w:rsidR="00060ED0" w:rsidRPr="00DE2D55" w:rsidRDefault="00060ED0" w:rsidP="00FE560B">
      <w:pPr>
        <w:tabs>
          <w:tab w:val="left" w:pos="0"/>
        </w:tabs>
        <w:ind w:left="720"/>
        <w:jc w:val="both"/>
        <w:rPr>
          <w:rFonts w:cs="Calibri"/>
        </w:rPr>
      </w:pPr>
    </w:p>
    <w:p w:rsidR="00060ED0" w:rsidRPr="00DE2D55" w:rsidRDefault="00737E57"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2" w:name="_Toc517282168"/>
      <w:r>
        <w:rPr>
          <w:rFonts w:cs="Calibri"/>
          <w:b/>
        </w:rPr>
        <w:t>DESCRIÇÃO DO PRODUTO</w:t>
      </w:r>
      <w:r w:rsidR="00060ED0" w:rsidRPr="00DE2D55">
        <w:rPr>
          <w:rFonts w:cs="Calibri"/>
          <w:b/>
        </w:rPr>
        <w:t xml:space="preserve"> E SUA META QUANTITATIVA</w:t>
      </w:r>
      <w:bookmarkEnd w:id="152"/>
    </w:p>
    <w:p w:rsidR="00060ED0" w:rsidRPr="00DE2D55" w:rsidRDefault="00060ED0" w:rsidP="00FE560B">
      <w:pPr>
        <w:tabs>
          <w:tab w:val="left" w:pos="0"/>
        </w:tabs>
        <w:jc w:val="both"/>
        <w:rPr>
          <w:rFonts w:cs="Calibri"/>
          <w:b/>
        </w:rPr>
      </w:pPr>
      <w:r w:rsidRPr="00DE2D55">
        <w:rPr>
          <w:rFonts w:cs="Calibri"/>
          <w:b/>
        </w:rPr>
        <w:t xml:space="preserve">3.1 – Produto Principal:  </w:t>
      </w:r>
      <w:r w:rsidRPr="00DE2D55">
        <w:rPr>
          <w:rFonts w:cs="Calibri"/>
          <w:bCs/>
        </w:rPr>
        <w:t>Normas de contabilidade aplicadas ao setor público implantadas.</w:t>
      </w:r>
    </w:p>
    <w:p w:rsidR="00060ED0" w:rsidRPr="00DE2D55" w:rsidRDefault="00060ED0" w:rsidP="00FE560B">
      <w:pPr>
        <w:pStyle w:val="PargrafodaLista"/>
        <w:tabs>
          <w:tab w:val="left" w:pos="0"/>
        </w:tabs>
        <w:ind w:left="277"/>
        <w:jc w:val="both"/>
      </w:pPr>
      <w:r w:rsidRPr="00DE2D55">
        <w:t>Para alcançar o produto é necessário observar as ações e as metas indicadas na subseção a seguir.</w:t>
      </w:r>
    </w:p>
    <w:p w:rsidR="00060ED0" w:rsidRPr="00DE2D55" w:rsidRDefault="00060ED0" w:rsidP="00FE560B">
      <w:pPr>
        <w:pStyle w:val="PargrafodaLista"/>
        <w:tabs>
          <w:tab w:val="left" w:pos="0"/>
        </w:tabs>
        <w:ind w:left="277"/>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04"/>
        <w:gridCol w:w="992"/>
      </w:tblGrid>
      <w:tr w:rsidR="00060ED0" w:rsidRPr="00DE2D55" w:rsidTr="00D15E3B">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60ED0" w:rsidRPr="00DE2D55" w:rsidRDefault="00060ED0" w:rsidP="00FE560B">
            <w:pPr>
              <w:tabs>
                <w:tab w:val="left" w:pos="0"/>
              </w:tabs>
              <w:spacing w:line="240" w:lineRule="auto"/>
              <w:jc w:val="both"/>
              <w:rPr>
                <w:rFonts w:cs="Calibri"/>
              </w:rPr>
            </w:pPr>
            <w:r w:rsidRPr="00DE2D55">
              <w:rPr>
                <w:b/>
                <w:noProof/>
              </w:rPr>
              <w:t>P3.4</w:t>
            </w:r>
          </w:p>
        </w:tc>
        <w:tc>
          <w:tcPr>
            <w:tcW w:w="7796" w:type="dxa"/>
            <w:gridSpan w:val="2"/>
            <w:tcBorders>
              <w:top w:val="single" w:sz="4" w:space="0" w:color="auto"/>
              <w:left w:val="single" w:sz="4" w:space="0" w:color="auto"/>
              <w:bottom w:val="single" w:sz="4" w:space="0" w:color="auto"/>
              <w:right w:val="single" w:sz="4" w:space="0" w:color="auto"/>
            </w:tcBorders>
            <w:vAlign w:val="center"/>
          </w:tcPr>
          <w:p w:rsidR="00060ED0" w:rsidRPr="00DE2D55" w:rsidRDefault="00060ED0" w:rsidP="00FE560B">
            <w:pPr>
              <w:pStyle w:val="PargrafodaLista"/>
              <w:tabs>
                <w:tab w:val="left" w:pos="0"/>
              </w:tabs>
              <w:spacing w:line="240" w:lineRule="auto"/>
              <w:ind w:left="0"/>
              <w:jc w:val="both"/>
              <w:rPr>
                <w:rFonts w:cs="Calibri"/>
                <w:b/>
                <w:bCs/>
              </w:rPr>
            </w:pPr>
            <w:r w:rsidRPr="00DE2D55">
              <w:rPr>
                <w:rFonts w:cs="Calibri"/>
                <w:b/>
                <w:bCs/>
              </w:rPr>
              <w:t>Normas de contabilidade aplicadas ao setor público implantadas.</w:t>
            </w:r>
          </w:p>
        </w:tc>
      </w:tr>
      <w:tr w:rsidR="00060ED0" w:rsidRPr="00DE2D55" w:rsidTr="00D15E3B">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60ED0" w:rsidRPr="00DE2D55" w:rsidRDefault="00060ED0" w:rsidP="00FE560B">
            <w:pPr>
              <w:tabs>
                <w:tab w:val="left" w:pos="0"/>
              </w:tabs>
              <w:spacing w:line="240" w:lineRule="auto"/>
              <w:jc w:val="both"/>
              <w:rPr>
                <w:rFonts w:cs="Calibri"/>
              </w:rPr>
            </w:pPr>
            <w:r w:rsidRPr="00DE2D55">
              <w:rPr>
                <w:rFonts w:cs="Calibri"/>
              </w:rPr>
              <w:t>Unidade de medida</w:t>
            </w:r>
          </w:p>
        </w:tc>
        <w:tc>
          <w:tcPr>
            <w:tcW w:w="680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60ED0" w:rsidRPr="00DE2D55" w:rsidRDefault="00060ED0" w:rsidP="00FE560B">
            <w:pPr>
              <w:tabs>
                <w:tab w:val="left" w:pos="0"/>
              </w:tabs>
              <w:spacing w:line="240" w:lineRule="auto"/>
              <w:jc w:val="both"/>
              <w:rPr>
                <w:rFonts w:cs="Calibri"/>
              </w:rPr>
            </w:pPr>
            <w:r w:rsidRPr="00DE2D55">
              <w:rPr>
                <w:rFonts w:cs="Calibri"/>
              </w:rPr>
              <w:t>Indicador do produto</w:t>
            </w:r>
          </w:p>
        </w:tc>
        <w:tc>
          <w:tcPr>
            <w:tcW w:w="992"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60ED0" w:rsidRPr="00DE2D55" w:rsidRDefault="00060ED0" w:rsidP="00FE560B">
            <w:pPr>
              <w:tabs>
                <w:tab w:val="left" w:pos="0"/>
              </w:tabs>
              <w:spacing w:line="240" w:lineRule="auto"/>
              <w:jc w:val="both"/>
              <w:rPr>
                <w:rFonts w:cs="Calibri"/>
              </w:rPr>
            </w:pPr>
            <w:r w:rsidRPr="00DE2D55">
              <w:rPr>
                <w:rFonts w:cs="Calibri"/>
              </w:rPr>
              <w:t>Meta</w:t>
            </w:r>
          </w:p>
        </w:tc>
      </w:tr>
      <w:tr w:rsidR="00737E57" w:rsidRPr="00DE2D55" w:rsidTr="00D15E3B">
        <w:tc>
          <w:tcPr>
            <w:tcW w:w="1417" w:type="dxa"/>
            <w:tcBorders>
              <w:top w:val="single" w:sz="4" w:space="0" w:color="auto"/>
              <w:left w:val="single" w:sz="4" w:space="0" w:color="auto"/>
              <w:bottom w:val="single" w:sz="4" w:space="0" w:color="auto"/>
              <w:right w:val="single" w:sz="4" w:space="0" w:color="auto"/>
            </w:tcBorders>
            <w:vAlign w:val="center"/>
          </w:tcPr>
          <w:p w:rsidR="00737E57" w:rsidRPr="00DE2D55" w:rsidRDefault="00737E57" w:rsidP="00FE560B">
            <w:pPr>
              <w:tabs>
                <w:tab w:val="left" w:pos="0"/>
              </w:tabs>
              <w:spacing w:line="240" w:lineRule="auto"/>
              <w:jc w:val="both"/>
              <w:rPr>
                <w:rFonts w:cs="Calibri"/>
              </w:rPr>
            </w:pPr>
            <w:r w:rsidRPr="00DE2D55">
              <w:rPr>
                <w:rFonts w:cs="Calibri"/>
              </w:rPr>
              <w:t>Regras e Sistemas</w:t>
            </w:r>
          </w:p>
        </w:tc>
        <w:tc>
          <w:tcPr>
            <w:tcW w:w="6804" w:type="dxa"/>
            <w:tcBorders>
              <w:top w:val="single" w:sz="4" w:space="0" w:color="auto"/>
              <w:left w:val="single" w:sz="4" w:space="0" w:color="auto"/>
              <w:bottom w:val="single" w:sz="4" w:space="0" w:color="auto"/>
              <w:right w:val="single" w:sz="4" w:space="0" w:color="auto"/>
            </w:tcBorders>
            <w:vAlign w:val="center"/>
          </w:tcPr>
          <w:p w:rsidR="00737E57" w:rsidRPr="00DE2D55" w:rsidRDefault="00737E57" w:rsidP="00FE560B">
            <w:pPr>
              <w:pStyle w:val="PargrafodaLista"/>
              <w:tabs>
                <w:tab w:val="left" w:pos="0"/>
              </w:tabs>
              <w:spacing w:line="240" w:lineRule="auto"/>
              <w:ind w:left="41"/>
              <w:jc w:val="both"/>
              <w:rPr>
                <w:rFonts w:cs="Calibri"/>
              </w:rPr>
            </w:pPr>
            <w:r w:rsidRPr="00DE2D55">
              <w:rPr>
                <w:rFonts w:cs="Calibri"/>
              </w:rPr>
              <w:t>Regras implantadas (2022) e Sistemas customizados/integrados (2023).</w:t>
            </w:r>
          </w:p>
        </w:tc>
        <w:tc>
          <w:tcPr>
            <w:tcW w:w="992" w:type="dxa"/>
            <w:tcBorders>
              <w:top w:val="single" w:sz="4" w:space="0" w:color="auto"/>
              <w:left w:val="single" w:sz="4" w:space="0" w:color="auto"/>
              <w:bottom w:val="single" w:sz="4" w:space="0" w:color="auto"/>
              <w:right w:val="single" w:sz="4" w:space="0" w:color="auto"/>
            </w:tcBorders>
            <w:vAlign w:val="center"/>
          </w:tcPr>
          <w:p w:rsidR="00737E57" w:rsidRPr="00DE2D55" w:rsidRDefault="00737E57" w:rsidP="00FE560B">
            <w:pPr>
              <w:tabs>
                <w:tab w:val="left" w:pos="0"/>
              </w:tabs>
              <w:spacing w:line="240" w:lineRule="auto"/>
              <w:jc w:val="center"/>
              <w:rPr>
                <w:rFonts w:cs="Calibri"/>
              </w:rPr>
            </w:pPr>
            <w:r w:rsidRPr="00DE2D55">
              <w:rPr>
                <w:rFonts w:cs="Calibri"/>
              </w:rPr>
              <w:t>1</w:t>
            </w:r>
          </w:p>
        </w:tc>
      </w:tr>
    </w:tbl>
    <w:p w:rsidR="00060ED0" w:rsidRDefault="00060ED0" w:rsidP="00FE560B">
      <w:pPr>
        <w:pStyle w:val="PargrafodaLista"/>
        <w:tabs>
          <w:tab w:val="left" w:pos="0"/>
        </w:tabs>
        <w:ind w:left="277"/>
        <w:jc w:val="both"/>
      </w:pPr>
    </w:p>
    <w:p w:rsidR="00B01A15" w:rsidRDefault="00B01A15" w:rsidP="00FE560B">
      <w:pPr>
        <w:pStyle w:val="PargrafodaLista"/>
        <w:tabs>
          <w:tab w:val="left" w:pos="0"/>
        </w:tabs>
        <w:ind w:left="277"/>
        <w:jc w:val="both"/>
      </w:pPr>
    </w:p>
    <w:p w:rsidR="00B01A15" w:rsidRDefault="00B01A15" w:rsidP="00FE560B">
      <w:pPr>
        <w:pStyle w:val="PargrafodaLista"/>
        <w:tabs>
          <w:tab w:val="left" w:pos="0"/>
        </w:tabs>
        <w:ind w:left="277"/>
        <w:jc w:val="both"/>
      </w:pPr>
    </w:p>
    <w:p w:rsidR="00B01A15" w:rsidRDefault="00B01A15" w:rsidP="00FE560B">
      <w:pPr>
        <w:pStyle w:val="PargrafodaLista"/>
        <w:tabs>
          <w:tab w:val="left" w:pos="0"/>
        </w:tabs>
        <w:ind w:left="277"/>
        <w:jc w:val="both"/>
      </w:pPr>
    </w:p>
    <w:p w:rsidR="00B01A15" w:rsidRPr="00DE2D55" w:rsidRDefault="00B01A15" w:rsidP="00FE560B">
      <w:pPr>
        <w:pStyle w:val="PargrafodaLista"/>
        <w:tabs>
          <w:tab w:val="left" w:pos="0"/>
        </w:tabs>
        <w:ind w:left="277"/>
        <w:jc w:val="both"/>
      </w:pPr>
    </w:p>
    <w:p w:rsidR="00060ED0" w:rsidRPr="00DE2D55" w:rsidRDefault="00060ED0" w:rsidP="00FE560B">
      <w:pPr>
        <w:pStyle w:val="PargrafodaLista"/>
        <w:tabs>
          <w:tab w:val="left" w:pos="0"/>
        </w:tabs>
        <w:ind w:left="0"/>
        <w:jc w:val="both"/>
        <w:rPr>
          <w:rFonts w:cs="Calibri"/>
          <w:b/>
        </w:rPr>
      </w:pPr>
      <w:r w:rsidRPr="00DE2D55">
        <w:rPr>
          <w:rFonts w:cs="Calibri"/>
          <w:b/>
          <w:bCs/>
        </w:rPr>
        <w:t xml:space="preserve">3.2 – </w:t>
      </w:r>
      <w:r w:rsidRPr="00DE2D55">
        <w:rPr>
          <w:rFonts w:cs="Calibri"/>
          <w:b/>
        </w:rPr>
        <w:t xml:space="preserve">Meta e Indicador de SubProduto </w:t>
      </w:r>
    </w:p>
    <w:p w:rsidR="00060ED0" w:rsidRPr="00DE2D55" w:rsidRDefault="00060ED0" w:rsidP="00FE560B">
      <w:pPr>
        <w:pStyle w:val="PargrafodaLista"/>
        <w:tabs>
          <w:tab w:val="left" w:pos="0"/>
        </w:tabs>
        <w:ind w:left="0"/>
        <w:jc w:val="both"/>
        <w:rPr>
          <w:rFonts w:cs="Calibri"/>
          <w:b/>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0"/>
      </w:tblGrid>
      <w:tr w:rsidR="00060ED0" w:rsidRPr="00DE2D55" w:rsidTr="00D15E3B">
        <w:tc>
          <w:tcPr>
            <w:tcW w:w="8505" w:type="dxa"/>
            <w:shd w:val="clear" w:color="auto" w:fill="C5E0B3"/>
          </w:tcPr>
          <w:p w:rsidR="00060ED0" w:rsidRPr="00DE2D55" w:rsidRDefault="00060ED0" w:rsidP="00FE560B">
            <w:pPr>
              <w:tabs>
                <w:tab w:val="left" w:pos="0"/>
              </w:tabs>
              <w:spacing w:line="240" w:lineRule="auto"/>
              <w:jc w:val="both"/>
              <w:rPr>
                <w:rFonts w:cs="Calibri"/>
                <w:b/>
                <w:bCs/>
              </w:rPr>
            </w:pPr>
            <w:r w:rsidRPr="00DE2D55">
              <w:rPr>
                <w:rFonts w:cs="Calibri"/>
                <w:b/>
                <w:bCs/>
              </w:rPr>
              <w:t>Indicador do Subproduto</w:t>
            </w:r>
          </w:p>
        </w:tc>
        <w:tc>
          <w:tcPr>
            <w:tcW w:w="850" w:type="dxa"/>
            <w:shd w:val="clear" w:color="auto" w:fill="C5E0B3"/>
          </w:tcPr>
          <w:p w:rsidR="00060ED0" w:rsidRPr="00DE2D55" w:rsidRDefault="00060ED0" w:rsidP="00FE560B">
            <w:pPr>
              <w:tabs>
                <w:tab w:val="left" w:pos="0"/>
              </w:tabs>
              <w:spacing w:line="240" w:lineRule="auto"/>
              <w:jc w:val="both"/>
              <w:rPr>
                <w:rFonts w:cs="Calibri"/>
                <w:b/>
                <w:bCs/>
              </w:rPr>
            </w:pPr>
            <w:r w:rsidRPr="00DE2D55">
              <w:rPr>
                <w:rFonts w:cs="Calibri"/>
                <w:b/>
                <w:bCs/>
              </w:rPr>
              <w:t>Meta</w:t>
            </w:r>
          </w:p>
        </w:tc>
      </w:tr>
      <w:tr w:rsidR="00060ED0" w:rsidRPr="00DE2D55" w:rsidTr="00D15E3B">
        <w:tc>
          <w:tcPr>
            <w:tcW w:w="8505" w:type="dxa"/>
            <w:shd w:val="clear" w:color="auto" w:fill="auto"/>
          </w:tcPr>
          <w:p w:rsidR="00060ED0" w:rsidRPr="00DE2D55" w:rsidRDefault="00060ED0" w:rsidP="00FE560B">
            <w:pPr>
              <w:pStyle w:val="Rodap"/>
              <w:tabs>
                <w:tab w:val="clear" w:pos="4252"/>
                <w:tab w:val="clear" w:pos="8504"/>
                <w:tab w:val="left" w:pos="0"/>
                <w:tab w:val="center" w:pos="4419"/>
                <w:tab w:val="right" w:pos="8838"/>
              </w:tabs>
              <w:ind w:right="112"/>
              <w:jc w:val="both"/>
              <w:rPr>
                <w:rFonts w:cs="Calibri"/>
                <w:noProof/>
                <w:lang w:eastAsia="pt-BR"/>
              </w:rPr>
            </w:pPr>
            <w:r w:rsidRPr="00DE2D55">
              <w:rPr>
                <w:rFonts w:cs="Calibri"/>
                <w:b/>
                <w:noProof/>
              </w:rPr>
              <w:t>3.4.1</w:t>
            </w:r>
            <w:r w:rsidRPr="00DE2D55">
              <w:rPr>
                <w:rFonts w:cs="Calibri"/>
                <w:noProof/>
              </w:rPr>
              <w:t xml:space="preserve"> </w:t>
            </w:r>
            <w:r w:rsidRPr="00DE2D55">
              <w:rPr>
                <w:rFonts w:cs="Calibri"/>
                <w:noProof/>
                <w:lang w:eastAsia="pt-BR"/>
              </w:rPr>
              <w:t>Definição de regras e políticas contábeis com implementação do conjunto das normas internacionais de contabilidade a serem convergidas.</w:t>
            </w:r>
          </w:p>
        </w:tc>
        <w:tc>
          <w:tcPr>
            <w:tcW w:w="850" w:type="dxa"/>
            <w:shd w:val="clear" w:color="auto" w:fill="auto"/>
          </w:tcPr>
          <w:p w:rsidR="00060ED0" w:rsidRPr="00DE2D55" w:rsidRDefault="00060ED0" w:rsidP="00FE560B">
            <w:pPr>
              <w:tabs>
                <w:tab w:val="left" w:pos="0"/>
              </w:tabs>
              <w:spacing w:line="240" w:lineRule="auto"/>
              <w:jc w:val="center"/>
              <w:rPr>
                <w:rFonts w:cs="Calibri"/>
                <w:bCs/>
              </w:rPr>
            </w:pPr>
            <w:r w:rsidRPr="00DE2D55">
              <w:rPr>
                <w:rFonts w:cs="Calibri"/>
                <w:bCs/>
              </w:rPr>
              <w:t>1</w:t>
            </w:r>
          </w:p>
        </w:tc>
      </w:tr>
      <w:tr w:rsidR="00060ED0" w:rsidRPr="00DE2D55" w:rsidTr="00D15E3B">
        <w:tc>
          <w:tcPr>
            <w:tcW w:w="8505" w:type="dxa"/>
            <w:shd w:val="clear" w:color="auto" w:fill="auto"/>
          </w:tcPr>
          <w:p w:rsidR="00060ED0" w:rsidRPr="00DE2D55" w:rsidRDefault="00060ED0" w:rsidP="00FE560B">
            <w:pPr>
              <w:pStyle w:val="Rodap"/>
              <w:tabs>
                <w:tab w:val="clear" w:pos="4252"/>
                <w:tab w:val="clear" w:pos="8504"/>
                <w:tab w:val="left" w:pos="0"/>
                <w:tab w:val="center" w:pos="4419"/>
                <w:tab w:val="right" w:pos="8838"/>
              </w:tabs>
              <w:ind w:right="112"/>
              <w:jc w:val="both"/>
              <w:rPr>
                <w:rFonts w:cs="Calibri"/>
                <w:b/>
                <w:noProof/>
              </w:rPr>
            </w:pPr>
            <w:r w:rsidRPr="00DE2D55">
              <w:rPr>
                <w:rFonts w:cs="Calibri"/>
                <w:b/>
                <w:noProof/>
              </w:rPr>
              <w:t>a)</w:t>
            </w:r>
            <w:r w:rsidRPr="00DE2D55">
              <w:t xml:space="preserve"> </w:t>
            </w:r>
            <w:r w:rsidRPr="00DE2D55">
              <w:rPr>
                <w:rFonts w:cs="Calibri"/>
                <w:noProof/>
              </w:rPr>
              <w:t>Regras implantadas</w:t>
            </w:r>
          </w:p>
        </w:tc>
        <w:tc>
          <w:tcPr>
            <w:tcW w:w="850" w:type="dxa"/>
            <w:shd w:val="clear" w:color="auto" w:fill="auto"/>
          </w:tcPr>
          <w:p w:rsidR="00060ED0" w:rsidRPr="00DE2D55" w:rsidRDefault="00060ED0" w:rsidP="00FE560B">
            <w:pPr>
              <w:tabs>
                <w:tab w:val="left" w:pos="0"/>
              </w:tabs>
              <w:spacing w:line="240" w:lineRule="auto"/>
              <w:jc w:val="both"/>
              <w:rPr>
                <w:rFonts w:cs="Calibri"/>
                <w:bCs/>
              </w:rPr>
            </w:pPr>
            <w:r w:rsidRPr="00DE2D55">
              <w:rPr>
                <w:rFonts w:cs="Calibri"/>
                <w:bCs/>
              </w:rPr>
              <w:t>2022</w:t>
            </w:r>
          </w:p>
        </w:tc>
      </w:tr>
    </w:tbl>
    <w:p w:rsidR="00060ED0" w:rsidRPr="00DE2D55" w:rsidRDefault="00060ED0" w:rsidP="00FE560B">
      <w:pPr>
        <w:tabs>
          <w:tab w:val="left" w:pos="0"/>
        </w:tabs>
        <w:jc w:val="both"/>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0"/>
      </w:tblGrid>
      <w:tr w:rsidR="00060ED0" w:rsidRPr="00DE2D55" w:rsidTr="00D15E3B">
        <w:tc>
          <w:tcPr>
            <w:tcW w:w="8505" w:type="dxa"/>
            <w:shd w:val="clear" w:color="auto" w:fill="C5E0B3"/>
          </w:tcPr>
          <w:p w:rsidR="00060ED0" w:rsidRPr="00DE2D55" w:rsidRDefault="00060ED0" w:rsidP="00FE560B">
            <w:pPr>
              <w:tabs>
                <w:tab w:val="left" w:pos="0"/>
              </w:tabs>
              <w:spacing w:line="240" w:lineRule="auto"/>
              <w:jc w:val="both"/>
              <w:rPr>
                <w:rFonts w:cs="Calibri"/>
                <w:b/>
                <w:bCs/>
              </w:rPr>
            </w:pPr>
            <w:r w:rsidRPr="00DE2D55">
              <w:rPr>
                <w:rFonts w:cs="Calibri"/>
                <w:b/>
                <w:bCs/>
              </w:rPr>
              <w:t>Indicador do Subproduto</w:t>
            </w:r>
          </w:p>
        </w:tc>
        <w:tc>
          <w:tcPr>
            <w:tcW w:w="850" w:type="dxa"/>
            <w:shd w:val="clear" w:color="auto" w:fill="C5E0B3"/>
          </w:tcPr>
          <w:p w:rsidR="00060ED0" w:rsidRPr="00DE2D55" w:rsidRDefault="00060ED0" w:rsidP="00FE560B">
            <w:pPr>
              <w:tabs>
                <w:tab w:val="left" w:pos="0"/>
              </w:tabs>
              <w:spacing w:line="240" w:lineRule="auto"/>
              <w:jc w:val="both"/>
              <w:rPr>
                <w:rFonts w:cs="Calibri"/>
                <w:b/>
                <w:bCs/>
              </w:rPr>
            </w:pPr>
            <w:r w:rsidRPr="00DE2D55">
              <w:rPr>
                <w:rFonts w:cs="Calibri"/>
                <w:b/>
                <w:bCs/>
              </w:rPr>
              <w:t>Meta</w:t>
            </w:r>
          </w:p>
        </w:tc>
      </w:tr>
      <w:tr w:rsidR="00060ED0" w:rsidRPr="00DE2D55" w:rsidTr="00D15E3B">
        <w:tc>
          <w:tcPr>
            <w:tcW w:w="8505" w:type="dxa"/>
            <w:shd w:val="clear" w:color="auto" w:fill="auto"/>
          </w:tcPr>
          <w:p w:rsidR="00060ED0" w:rsidRPr="00DE2D55" w:rsidRDefault="00060ED0" w:rsidP="00FE560B">
            <w:pPr>
              <w:pStyle w:val="Rodap"/>
              <w:tabs>
                <w:tab w:val="clear" w:pos="4252"/>
                <w:tab w:val="clear" w:pos="8504"/>
                <w:tab w:val="left" w:pos="0"/>
                <w:tab w:val="center" w:pos="4419"/>
                <w:tab w:val="right" w:pos="8838"/>
              </w:tabs>
              <w:ind w:right="112"/>
              <w:jc w:val="both"/>
              <w:rPr>
                <w:rFonts w:cs="Calibri"/>
                <w:noProof/>
                <w:lang w:eastAsia="pt-BR"/>
              </w:rPr>
            </w:pPr>
            <w:r w:rsidRPr="00DE2D55">
              <w:rPr>
                <w:rFonts w:cs="Calibri"/>
                <w:b/>
                <w:noProof/>
              </w:rPr>
              <w:t xml:space="preserve">3.4.2 </w:t>
            </w:r>
            <w:r w:rsidRPr="00DE2D55">
              <w:rPr>
                <w:rFonts w:cs="Calibri"/>
                <w:noProof/>
                <w:lang w:eastAsia="pt-BR"/>
              </w:rPr>
              <w:t>Customização contábil dos sistemas Tributário (SIT), Administração (SIGA) e Recursos Humanos (SIARHES) e integração com o SIGEFES.</w:t>
            </w:r>
          </w:p>
        </w:tc>
        <w:tc>
          <w:tcPr>
            <w:tcW w:w="850" w:type="dxa"/>
            <w:shd w:val="clear" w:color="auto" w:fill="auto"/>
          </w:tcPr>
          <w:p w:rsidR="00060ED0" w:rsidRPr="00DE2D55" w:rsidRDefault="00060ED0" w:rsidP="00FE560B">
            <w:pPr>
              <w:tabs>
                <w:tab w:val="left" w:pos="0"/>
              </w:tabs>
              <w:spacing w:line="240" w:lineRule="auto"/>
              <w:jc w:val="center"/>
              <w:rPr>
                <w:rFonts w:cs="Calibri"/>
                <w:bCs/>
              </w:rPr>
            </w:pPr>
            <w:r w:rsidRPr="00DE2D55">
              <w:rPr>
                <w:rFonts w:cs="Calibri"/>
                <w:bCs/>
              </w:rPr>
              <w:t>1</w:t>
            </w:r>
          </w:p>
        </w:tc>
      </w:tr>
      <w:tr w:rsidR="00060ED0" w:rsidRPr="00DE2D55" w:rsidTr="00D15E3B">
        <w:tc>
          <w:tcPr>
            <w:tcW w:w="8505" w:type="dxa"/>
            <w:shd w:val="clear" w:color="auto" w:fill="auto"/>
          </w:tcPr>
          <w:p w:rsidR="00060ED0" w:rsidRPr="00DE2D55" w:rsidRDefault="00060ED0" w:rsidP="00FE560B">
            <w:pPr>
              <w:pStyle w:val="Rodap"/>
              <w:tabs>
                <w:tab w:val="clear" w:pos="4252"/>
                <w:tab w:val="clear" w:pos="8504"/>
                <w:tab w:val="left" w:pos="0"/>
                <w:tab w:val="center" w:pos="4419"/>
                <w:tab w:val="right" w:pos="8838"/>
              </w:tabs>
              <w:ind w:right="112"/>
              <w:jc w:val="both"/>
              <w:rPr>
                <w:rFonts w:cs="Calibri"/>
                <w:b/>
                <w:noProof/>
              </w:rPr>
            </w:pPr>
            <w:r w:rsidRPr="00DE2D55">
              <w:rPr>
                <w:rFonts w:cs="Calibri"/>
                <w:b/>
                <w:noProof/>
              </w:rPr>
              <w:t>b)</w:t>
            </w:r>
            <w:r w:rsidRPr="00DE2D55">
              <w:t xml:space="preserve"> </w:t>
            </w:r>
            <w:r w:rsidRPr="00DE2D55">
              <w:rPr>
                <w:rFonts w:cs="Calibri"/>
                <w:noProof/>
              </w:rPr>
              <w:t>Sistemas customizados</w:t>
            </w:r>
          </w:p>
        </w:tc>
        <w:tc>
          <w:tcPr>
            <w:tcW w:w="850" w:type="dxa"/>
            <w:shd w:val="clear" w:color="auto" w:fill="auto"/>
          </w:tcPr>
          <w:p w:rsidR="00060ED0" w:rsidRPr="00DE2D55" w:rsidRDefault="00060ED0" w:rsidP="00FE560B">
            <w:pPr>
              <w:tabs>
                <w:tab w:val="left" w:pos="0"/>
              </w:tabs>
              <w:spacing w:line="240" w:lineRule="auto"/>
              <w:jc w:val="both"/>
              <w:rPr>
                <w:rFonts w:cs="Calibri"/>
                <w:bCs/>
              </w:rPr>
            </w:pPr>
            <w:r w:rsidRPr="00DE2D55">
              <w:rPr>
                <w:rFonts w:cs="Calibri"/>
                <w:bCs/>
              </w:rPr>
              <w:t>2023</w:t>
            </w:r>
          </w:p>
        </w:tc>
      </w:tr>
    </w:tbl>
    <w:p w:rsidR="00060ED0" w:rsidRDefault="00060ED0" w:rsidP="00FE560B">
      <w:pPr>
        <w:rPr>
          <w:rFonts w:cs="Calibri"/>
          <w:b/>
        </w:rPr>
      </w:pPr>
    </w:p>
    <w:p w:rsidR="00737E57" w:rsidRDefault="00737E57" w:rsidP="00FE560B">
      <w:pPr>
        <w:rPr>
          <w:rFonts w:cs="Calibri"/>
          <w:b/>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3" w:name="_Toc517282169"/>
      <w:r w:rsidRPr="00DE2D55">
        <w:rPr>
          <w:rFonts w:cs="Calibri"/>
          <w:b/>
        </w:rPr>
        <w:t>DESCRIÇÃO DO RESULTADO ESPERADO COM A IMPLANTAÇÃO DO</w:t>
      </w:r>
      <w:r w:rsidR="00737E57">
        <w:rPr>
          <w:rFonts w:cs="Calibri"/>
          <w:b/>
        </w:rPr>
        <w:t xml:space="preserve">S </w:t>
      </w:r>
      <w:r w:rsidRPr="00DE2D55">
        <w:rPr>
          <w:rFonts w:cs="Calibri"/>
          <w:b/>
        </w:rPr>
        <w:t>SUBPRODUTO E RESPECTIVA LINHA DE BASE</w:t>
      </w:r>
      <w:bookmarkEnd w:id="153"/>
    </w:p>
    <w:p w:rsidR="00060ED0" w:rsidRPr="00DE2D55" w:rsidRDefault="00060ED0" w:rsidP="00FE560B">
      <w:pPr>
        <w:pStyle w:val="PargrafodaLista"/>
        <w:tabs>
          <w:tab w:val="left" w:pos="0"/>
        </w:tabs>
        <w:ind w:left="360"/>
        <w:jc w:val="both"/>
      </w:pPr>
    </w:p>
    <w:p w:rsidR="00060ED0" w:rsidRPr="00DE2D55" w:rsidRDefault="00060ED0" w:rsidP="00FE560B">
      <w:pPr>
        <w:tabs>
          <w:tab w:val="left" w:pos="0"/>
        </w:tabs>
        <w:spacing w:line="240" w:lineRule="auto"/>
        <w:jc w:val="both"/>
        <w:rPr>
          <w:rFonts w:cs="Calibri"/>
          <w:b/>
        </w:rPr>
      </w:pPr>
      <w:r w:rsidRPr="00DE2D55">
        <w:rPr>
          <w:rFonts w:cs="Calibri"/>
          <w:b/>
        </w:rPr>
        <w:t>4.1- Resultados quantificáveis: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1</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noProof/>
              </w:rPr>
              <w:t>Receitas e ativos de transações sem contraprestação por competência registrados de forma automatizada.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situações em que a contabilidade reconhece a receita tributária e ativos correspondentes pelo seu fato gerador.</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4"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060ED0" w:rsidRPr="00DE2D55" w:rsidRDefault="00060ED0" w:rsidP="00FE560B">
            <w:pPr>
              <w:tabs>
                <w:tab w:val="left" w:pos="0"/>
              </w:tabs>
              <w:spacing w:line="240" w:lineRule="auto"/>
              <w:ind w:left="34"/>
              <w:jc w:val="both"/>
              <w:rPr>
                <w:rFonts w:cs="Calibri"/>
              </w:rPr>
            </w:pPr>
            <w:r w:rsidRPr="00DE2D55">
              <w:rPr>
                <w:rFonts w:cs="Calibri"/>
              </w:rPr>
              <w:t>Não há o reconhecimento dos ativos de transações sem contraprestação por competência.</w:t>
            </w:r>
          </w:p>
        </w:tc>
      </w:tr>
    </w:tbl>
    <w:p w:rsidR="00060ED0" w:rsidRPr="00DE2D55" w:rsidRDefault="00060ED0" w:rsidP="00FE560B">
      <w:pPr>
        <w:tabs>
          <w:tab w:val="left" w:pos="0"/>
        </w:tabs>
        <w:spacing w:line="240" w:lineRule="auto"/>
        <w:jc w:val="both"/>
        <w:rPr>
          <w:rFonts w:cs="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737E57">
        <w:tc>
          <w:tcPr>
            <w:tcW w:w="1840"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2</w:t>
            </w:r>
          </w:p>
        </w:tc>
        <w:tc>
          <w:tcPr>
            <w:tcW w:w="7396"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noProof/>
              </w:rPr>
              <w:t>Receitas e ativos dos demais créditos a receber por competência registrados .</w:t>
            </w:r>
          </w:p>
        </w:tc>
      </w:tr>
      <w:tr w:rsidR="00060ED0" w:rsidRPr="00DE2D55" w:rsidTr="00737E57">
        <w:tc>
          <w:tcPr>
            <w:tcW w:w="1840"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396"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situações em que a contabilidade reconhece os demais créditos a receber pelo seu fato gerador.</w:t>
            </w:r>
          </w:p>
        </w:tc>
      </w:tr>
      <w:tr w:rsidR="00060ED0" w:rsidRPr="00DE2D55" w:rsidTr="00737E57">
        <w:tc>
          <w:tcPr>
            <w:tcW w:w="1840"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5"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89"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737E57">
        <w:tc>
          <w:tcPr>
            <w:tcW w:w="1840" w:type="dxa"/>
            <w:shd w:val="clear" w:color="auto" w:fill="auto"/>
            <w:vAlign w:val="center"/>
          </w:tcPr>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p>
        </w:tc>
        <w:tc>
          <w:tcPr>
            <w:tcW w:w="2125"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2"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20%</w:t>
            </w:r>
          </w:p>
        </w:tc>
        <w:tc>
          <w:tcPr>
            <w:tcW w:w="3289"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Há o reconhecimento manual e de forma não sistêmica de receitas referentes aos demais créditos a receber</w:t>
            </w:r>
          </w:p>
        </w:tc>
      </w:tr>
    </w:tbl>
    <w:p w:rsidR="00060ED0" w:rsidRPr="00DE2D55" w:rsidRDefault="00060ED0" w:rsidP="00FE560B">
      <w:pPr>
        <w:tabs>
          <w:tab w:val="left" w:pos="0"/>
        </w:tabs>
        <w:spacing w:line="240" w:lineRule="auto"/>
        <w:jc w:val="both"/>
        <w:rPr>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3</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noProof/>
              </w:rPr>
              <w:t>Provisões registradas por competência.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situações em que a contabilidade reconhece as provisões por competência.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4" w:type="dxa"/>
            <w:shd w:val="clear" w:color="auto" w:fill="FFFFFF"/>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10%</w:t>
            </w:r>
          </w:p>
        </w:tc>
        <w:tc>
          <w:tcPr>
            <w:tcW w:w="329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Há o reconhecimento de algumas provisões por competência.</w:t>
            </w:r>
          </w:p>
        </w:tc>
      </w:tr>
    </w:tbl>
    <w:p w:rsidR="00060ED0" w:rsidRPr="00DE2D55" w:rsidRDefault="00060ED0" w:rsidP="00FE560B">
      <w:pPr>
        <w:tabs>
          <w:tab w:val="left" w:pos="0"/>
        </w:tabs>
        <w:spacing w:line="240" w:lineRule="auto"/>
        <w:jc w:val="both"/>
        <w:rPr>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4</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rPr>
              <w:t>Critérios e procedimentos devidamente definidos para fins de reconhecimento, mensuração e evidenciação dos bens de infraestrutura, e respectiva depreciação, amortização ou exaustão, reavaliação e redução ao valor recuperável.</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regras possíveis para atender às NBC TSP.</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p>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4"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10%</w:t>
            </w:r>
          </w:p>
        </w:tc>
        <w:tc>
          <w:tcPr>
            <w:tcW w:w="329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Há o reconhecimento de bens de infraestrutura adquiridos por meio de aquisição por compra.</w:t>
            </w:r>
          </w:p>
        </w:tc>
      </w:tr>
    </w:tbl>
    <w:p w:rsidR="00060ED0" w:rsidRDefault="00060ED0" w:rsidP="00FE560B">
      <w:pPr>
        <w:tabs>
          <w:tab w:val="left" w:pos="0"/>
        </w:tabs>
        <w:spacing w:line="240" w:lineRule="auto"/>
        <w:jc w:val="both"/>
        <w:rPr>
          <w:noProof/>
        </w:rPr>
      </w:pPr>
    </w:p>
    <w:p w:rsidR="00737E57" w:rsidRPr="00DE2D55" w:rsidRDefault="00737E57" w:rsidP="00FE560B">
      <w:pPr>
        <w:tabs>
          <w:tab w:val="left" w:pos="0"/>
        </w:tabs>
        <w:spacing w:line="240" w:lineRule="auto"/>
        <w:jc w:val="both"/>
        <w:rPr>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5</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noProof/>
              </w:rPr>
              <w:t>Bens móveis e imóveis, e respectiva depreciação, reavaliação e redução ao valor recuperável (exceto bens do patrimônio cultural e de infraestrutura), contabilizados de forma automatizada.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 xml:space="preserve">Número de situações em que a contabilidade registra os bens móveis e imóveis, e respetiva depreciação, reavaliação e redução ao valor recuperável </w:t>
            </w:r>
            <w:r w:rsidRPr="00DE2D55">
              <w:rPr>
                <w:rFonts w:cs="Calibri"/>
                <w:noProof/>
              </w:rPr>
              <w:t>(exceto bens do patrimônio cultural e de infraestrutura)</w:t>
            </w:r>
            <w:r w:rsidRPr="00DE2D55">
              <w:rPr>
                <w:rFonts w:cs="Calibri"/>
              </w:rPr>
              <w:t>, de forma automatizada.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4"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Há contabilização manual dos bens móveis e imóveis.</w:t>
            </w:r>
          </w:p>
        </w:tc>
      </w:tr>
    </w:tbl>
    <w:p w:rsidR="00060ED0" w:rsidRPr="00DE2D55" w:rsidRDefault="00060ED0" w:rsidP="00FE560B">
      <w:pPr>
        <w:tabs>
          <w:tab w:val="left" w:pos="0"/>
        </w:tabs>
        <w:spacing w:line="240" w:lineRule="auto"/>
        <w:jc w:val="both"/>
        <w:rPr>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125"/>
        <w:gridCol w:w="1982"/>
        <w:gridCol w:w="3289"/>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6</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noProof/>
              </w:rPr>
            </w:pPr>
            <w:r w:rsidRPr="00DE2D55">
              <w:rPr>
                <w:rFonts w:cs="Calibri"/>
                <w:noProof/>
              </w:rPr>
              <w:t>Registros referentes à folha de pagamento contabilizados de forma automatizada.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situações em que a contabilidade registra os procedimentos de folha de pagamento de forma automatizada.</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100%</w:t>
            </w:r>
          </w:p>
        </w:tc>
        <w:tc>
          <w:tcPr>
            <w:tcW w:w="1984"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Há a contabilização manual da folha de pagamento.</w:t>
            </w:r>
          </w:p>
        </w:tc>
      </w:tr>
    </w:tbl>
    <w:p w:rsidR="00060ED0" w:rsidRPr="00DE2D55" w:rsidRDefault="00060ED0" w:rsidP="00FE560B">
      <w:pPr>
        <w:tabs>
          <w:tab w:val="left" w:pos="0"/>
        </w:tabs>
        <w:spacing w:line="240" w:lineRule="auto"/>
        <w:jc w:val="both"/>
        <w:rPr>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125"/>
        <w:gridCol w:w="1982"/>
        <w:gridCol w:w="3288"/>
      </w:tblGrid>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Resultado 7</w:t>
            </w:r>
          </w:p>
        </w:tc>
        <w:tc>
          <w:tcPr>
            <w:tcW w:w="7403" w:type="dxa"/>
            <w:gridSpan w:val="3"/>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Implementação do conjunto das demais normas internacionais de contabilidade a serem convergidas.</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Fórmula de cálculo</w:t>
            </w:r>
          </w:p>
        </w:tc>
        <w:tc>
          <w:tcPr>
            <w:tcW w:w="7403" w:type="dxa"/>
            <w:gridSpan w:val="3"/>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Número de normas internacionais a serem convergidas.</w:t>
            </w:r>
          </w:p>
        </w:tc>
      </w:tr>
      <w:tr w:rsidR="00060ED0" w:rsidRPr="00DE2D55" w:rsidTr="00D15E3B">
        <w:tc>
          <w:tcPr>
            <w:tcW w:w="184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Unidade de medida</w:t>
            </w:r>
          </w:p>
        </w:tc>
        <w:tc>
          <w:tcPr>
            <w:tcW w:w="2127"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Meta (fim do projeto)</w:t>
            </w:r>
          </w:p>
        </w:tc>
        <w:tc>
          <w:tcPr>
            <w:tcW w:w="1984"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Linha de Base (2017)</w:t>
            </w:r>
          </w:p>
        </w:tc>
        <w:tc>
          <w:tcPr>
            <w:tcW w:w="3292" w:type="dxa"/>
            <w:shd w:val="clear" w:color="auto" w:fill="C5E0B3"/>
            <w:vAlign w:val="center"/>
          </w:tcPr>
          <w:p w:rsidR="00060ED0" w:rsidRPr="00DE2D55" w:rsidRDefault="00060ED0" w:rsidP="00FE560B">
            <w:pPr>
              <w:tabs>
                <w:tab w:val="left" w:pos="0"/>
              </w:tabs>
              <w:spacing w:line="240" w:lineRule="auto"/>
              <w:jc w:val="both"/>
              <w:rPr>
                <w:rFonts w:cs="Calibri"/>
                <w:b/>
              </w:rPr>
            </w:pPr>
            <w:r w:rsidRPr="00DE2D55">
              <w:rPr>
                <w:rFonts w:cs="Calibri"/>
                <w:b/>
              </w:rPr>
              <w:t>Fonte</w:t>
            </w:r>
          </w:p>
        </w:tc>
      </w:tr>
      <w:tr w:rsidR="00060ED0" w:rsidRPr="00DE2D55" w:rsidTr="00D15E3B">
        <w:tc>
          <w:tcPr>
            <w:tcW w:w="184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Percentual</w:t>
            </w:r>
          </w:p>
          <w:p w:rsidR="00060ED0" w:rsidRPr="00DE2D55" w:rsidRDefault="00060ED0" w:rsidP="00FE560B">
            <w:pPr>
              <w:tabs>
                <w:tab w:val="left" w:pos="0"/>
              </w:tabs>
              <w:spacing w:line="240" w:lineRule="auto"/>
              <w:jc w:val="both"/>
              <w:rPr>
                <w:rFonts w:cs="Calibri"/>
              </w:rPr>
            </w:pPr>
          </w:p>
        </w:tc>
        <w:tc>
          <w:tcPr>
            <w:tcW w:w="2127"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90%</w:t>
            </w:r>
          </w:p>
        </w:tc>
        <w:tc>
          <w:tcPr>
            <w:tcW w:w="1984" w:type="dxa"/>
            <w:shd w:val="clear" w:color="auto" w:fill="auto"/>
            <w:vAlign w:val="center"/>
          </w:tcPr>
          <w:p w:rsidR="00060ED0" w:rsidRPr="00DE2D55" w:rsidRDefault="00060ED0" w:rsidP="00FE560B">
            <w:pPr>
              <w:tabs>
                <w:tab w:val="left" w:pos="0"/>
                <w:tab w:val="left" w:pos="795"/>
              </w:tabs>
              <w:spacing w:line="240" w:lineRule="auto"/>
              <w:ind w:left="33" w:hanging="33"/>
              <w:jc w:val="both"/>
              <w:rPr>
                <w:rFonts w:cs="Calibri"/>
                <w:highlight w:val="yellow"/>
              </w:rPr>
            </w:pPr>
            <w:r w:rsidRPr="00DE2D55">
              <w:rPr>
                <w:rFonts w:cs="Calibri"/>
              </w:rPr>
              <w:t>0%</w:t>
            </w:r>
          </w:p>
        </w:tc>
        <w:tc>
          <w:tcPr>
            <w:tcW w:w="3292" w:type="dxa"/>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w:t>
            </w:r>
          </w:p>
        </w:tc>
      </w:tr>
    </w:tbl>
    <w:p w:rsidR="00060ED0" w:rsidRPr="00DE2D55" w:rsidRDefault="00060ED0" w:rsidP="00FE560B">
      <w:pPr>
        <w:tabs>
          <w:tab w:val="left" w:pos="0"/>
        </w:tabs>
        <w:spacing w:line="240" w:lineRule="auto"/>
        <w:jc w:val="both"/>
        <w:rPr>
          <w:rFonts w:cs="Calibri"/>
          <w:b/>
        </w:rPr>
      </w:pPr>
    </w:p>
    <w:p w:rsidR="00060ED0" w:rsidRPr="00DE2D55" w:rsidRDefault="00060ED0" w:rsidP="00FE560B">
      <w:pPr>
        <w:tabs>
          <w:tab w:val="left" w:pos="0"/>
        </w:tabs>
        <w:jc w:val="both"/>
        <w:rPr>
          <w:rFonts w:cs="Calibri"/>
          <w:b/>
        </w:rPr>
      </w:pPr>
    </w:p>
    <w:p w:rsidR="00060ED0" w:rsidRPr="00DE2D55" w:rsidRDefault="00060ED0" w:rsidP="00FE560B">
      <w:pPr>
        <w:tabs>
          <w:tab w:val="left" w:pos="0"/>
        </w:tabs>
        <w:jc w:val="both"/>
        <w:rPr>
          <w:rFonts w:cs="Calibri"/>
          <w:b/>
        </w:rPr>
      </w:pPr>
      <w:r w:rsidRPr="00DE2D55">
        <w:rPr>
          <w:rFonts w:cs="Calibri"/>
          <w:b/>
        </w:rPr>
        <w:t xml:space="preserve">4.2- Outros possíveis resultados: </w:t>
      </w:r>
    </w:p>
    <w:p w:rsidR="00060ED0" w:rsidRPr="00DE2D55" w:rsidRDefault="00060ED0" w:rsidP="00FE560B">
      <w:pPr>
        <w:tabs>
          <w:tab w:val="left" w:pos="0"/>
        </w:tabs>
        <w:jc w:val="both"/>
        <w:rPr>
          <w:rFonts w:cs="Calibri"/>
        </w:rPr>
      </w:pPr>
      <w:r w:rsidRPr="00DE2D55">
        <w:rPr>
          <w:rFonts w:cs="Calibri"/>
        </w:rPr>
        <w:t>Com a gestão contábil do Estado aperfeiçoada e a consequente melhoria da qualidade da informação gerada será possível aperfeiçoar o controle da despesa pública, aumentar a arrecadação com a melhoria da cobrança dos recebíveis do Estado, bem como da exploração do patrimônio público.</w:t>
      </w:r>
    </w:p>
    <w:p w:rsidR="00060ED0" w:rsidRPr="00DE2D55" w:rsidRDefault="00737E57"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4" w:name="_Toc517282170"/>
      <w:r>
        <w:rPr>
          <w:rFonts w:cs="Calibri"/>
          <w:b/>
        </w:rPr>
        <w:t>ASPECTO INOVADOR</w:t>
      </w:r>
      <w:r w:rsidR="00060ED0" w:rsidRPr="00DE2D55">
        <w:rPr>
          <w:rFonts w:cs="Calibri"/>
          <w:b/>
        </w:rPr>
        <w:t xml:space="preserve"> DO PRODUTO</w:t>
      </w:r>
      <w:bookmarkEnd w:id="154"/>
    </w:p>
    <w:p w:rsidR="00060ED0" w:rsidRDefault="00060ED0" w:rsidP="00FE560B">
      <w:pPr>
        <w:tabs>
          <w:tab w:val="left" w:pos="0"/>
          <w:tab w:val="left" w:pos="426"/>
        </w:tabs>
        <w:jc w:val="both"/>
        <w:rPr>
          <w:rFonts w:cs="Calibri"/>
        </w:rPr>
      </w:pPr>
      <w:r w:rsidRPr="00DE2D55">
        <w:rPr>
          <w:rFonts w:cs="Calibri"/>
        </w:rPr>
        <w:t>Uma gestão contábil que contemple as melhores práticas internacionais de contabilidade.</w:t>
      </w:r>
    </w:p>
    <w:p w:rsidR="00737E57" w:rsidRPr="00DE2D55" w:rsidRDefault="00737E57" w:rsidP="00FE560B">
      <w:pPr>
        <w:tabs>
          <w:tab w:val="left" w:pos="0"/>
          <w:tab w:val="left" w:pos="426"/>
        </w:tabs>
        <w:jc w:val="both"/>
        <w:rPr>
          <w:rFonts w:cs="Calibri"/>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5" w:name="_Toc517282171"/>
      <w:r w:rsidRPr="00DE2D55">
        <w:rPr>
          <w:rFonts w:cs="Calibri"/>
          <w:b/>
        </w:rPr>
        <w:t>IMPACTOS POTENCIAIS</w:t>
      </w:r>
      <w:bookmarkEnd w:id="155"/>
    </w:p>
    <w:p w:rsidR="00060ED0" w:rsidRDefault="00060ED0" w:rsidP="00FE560B">
      <w:pPr>
        <w:tabs>
          <w:tab w:val="left" w:pos="0"/>
          <w:tab w:val="left" w:pos="426"/>
        </w:tabs>
        <w:jc w:val="both"/>
        <w:rPr>
          <w:rFonts w:cs="Calibri"/>
        </w:rPr>
      </w:pPr>
      <w:r w:rsidRPr="00DE2D55">
        <w:rPr>
          <w:rFonts w:cs="Calibri"/>
        </w:rPr>
        <w:t>Melhoria da gestão pública tanto no tocante da receita como da despesa pública. Melhoria na captação dos recursos decorrentes da transparência e qualidade da informação contábil. Melhoria da utilização dos recursos disponíveis do Estado.</w:t>
      </w:r>
    </w:p>
    <w:p w:rsidR="00B01A15" w:rsidRPr="00DE2D55" w:rsidRDefault="00B01A15" w:rsidP="00FE560B">
      <w:pPr>
        <w:tabs>
          <w:tab w:val="left" w:pos="0"/>
          <w:tab w:val="left" w:pos="426"/>
        </w:tabs>
        <w:jc w:val="both"/>
        <w:rPr>
          <w:rFonts w:cs="Calibri"/>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6" w:name="_Toc517282172"/>
      <w:r w:rsidRPr="00DE2D55">
        <w:rPr>
          <w:rFonts w:cs="Calibri"/>
          <w:b/>
        </w:rPr>
        <w:t>RISCOS DE EXECUÇÃO DO PRODUTO</w:t>
      </w:r>
      <w:bookmarkEnd w:id="156"/>
      <w:r w:rsidRPr="00DE2D55">
        <w:rPr>
          <w:rFonts w:cs="Calibri"/>
          <w:b/>
        </w:rPr>
        <w:t xml:space="preserve"> </w:t>
      </w:r>
    </w:p>
    <w:p w:rsidR="00060ED0" w:rsidRDefault="00060ED0" w:rsidP="00FE560B">
      <w:pPr>
        <w:tabs>
          <w:tab w:val="left" w:pos="0"/>
        </w:tabs>
        <w:jc w:val="both"/>
        <w:rPr>
          <w:rFonts w:cs="Calibri"/>
        </w:rPr>
      </w:pPr>
      <w:r w:rsidRPr="00DE2D55">
        <w:rPr>
          <w:rFonts w:cs="Calibri"/>
        </w:rPr>
        <w:t>Para a execução do projeto, apresenta-se como risco a falta de pessoal capacitado em determinadas áreas do governo. A resistência à mudança por servidores com mais tempo de serviço público. A falta de apoio institucional para implementação de novos processos.</w:t>
      </w:r>
    </w:p>
    <w:p w:rsidR="00B01A15" w:rsidRPr="00DE2D55" w:rsidRDefault="00B01A15" w:rsidP="00FE560B">
      <w:pPr>
        <w:tabs>
          <w:tab w:val="left" w:pos="0"/>
        </w:tabs>
        <w:jc w:val="both"/>
        <w:rPr>
          <w:rFonts w:cs="Calibri"/>
        </w:rPr>
      </w:pPr>
    </w:p>
    <w:p w:rsidR="00060ED0" w:rsidRPr="00DE2D55" w:rsidRDefault="00CC0377"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7" w:name="_Toc517282173"/>
      <w:r>
        <w:rPr>
          <w:rFonts w:cs="Calibri"/>
          <w:b/>
        </w:rPr>
        <w:t>QUADRO DE CUSTOS DO PRODUTO</w:t>
      </w:r>
      <w:r w:rsidR="00060ED0" w:rsidRPr="00DE2D55">
        <w:rPr>
          <w:rFonts w:cs="Calibri"/>
          <w:b/>
        </w:rPr>
        <w:t xml:space="preserve"> POR TIPO DE INVESTIMENTO</w:t>
      </w:r>
      <w:bookmarkEnd w:id="157"/>
    </w:p>
    <w:tbl>
      <w:tblPr>
        <w:tblW w:w="10517" w:type="dxa"/>
        <w:tblInd w:w="-214" w:type="dxa"/>
        <w:tblLayout w:type="fixed"/>
        <w:tblCellMar>
          <w:left w:w="70" w:type="dxa"/>
          <w:right w:w="70" w:type="dxa"/>
        </w:tblCellMar>
        <w:tblLook w:val="04A0" w:firstRow="1" w:lastRow="0" w:firstColumn="1" w:lastColumn="0" w:noHBand="0" w:noVBand="1"/>
      </w:tblPr>
      <w:tblGrid>
        <w:gridCol w:w="850"/>
        <w:gridCol w:w="4266"/>
        <w:gridCol w:w="1547"/>
        <w:gridCol w:w="1578"/>
        <w:gridCol w:w="1956"/>
        <w:gridCol w:w="160"/>
        <w:gridCol w:w="160"/>
      </w:tblGrid>
      <w:tr w:rsidR="00060ED0" w:rsidRPr="00DE2D55" w:rsidTr="00D15E3B">
        <w:trPr>
          <w:gridAfter w:val="2"/>
          <w:wAfter w:w="320" w:type="dxa"/>
          <w:trHeight w:val="255"/>
        </w:trPr>
        <w:tc>
          <w:tcPr>
            <w:tcW w:w="10197" w:type="dxa"/>
            <w:gridSpan w:val="5"/>
            <w:tcBorders>
              <w:top w:val="single" w:sz="4" w:space="0" w:color="000000"/>
              <w:left w:val="single" w:sz="8" w:space="0" w:color="auto"/>
              <w:bottom w:val="single" w:sz="4" w:space="0" w:color="000000"/>
              <w:right w:val="single" w:sz="4" w:space="0" w:color="000000"/>
            </w:tcBorders>
            <w:shd w:val="clear" w:color="auto" w:fill="D6E3BC"/>
            <w:noWrap/>
            <w:vAlign w:val="center"/>
          </w:tcPr>
          <w:p w:rsidR="00060ED0" w:rsidRPr="00DE2D55" w:rsidRDefault="00060ED0" w:rsidP="00FE560B">
            <w:pPr>
              <w:tabs>
                <w:tab w:val="left" w:pos="0"/>
              </w:tabs>
              <w:spacing w:line="240" w:lineRule="auto"/>
              <w:jc w:val="both"/>
              <w:rPr>
                <w:rFonts w:cs="Calibri"/>
              </w:rPr>
            </w:pPr>
            <w:r w:rsidRPr="00DE2D55">
              <w:rPr>
                <w:rFonts w:cs="Calibri"/>
              </w:rPr>
              <w:t>Consultoria / Sistemas</w:t>
            </w:r>
          </w:p>
        </w:tc>
      </w:tr>
      <w:tr w:rsidR="00060ED0" w:rsidRPr="00DE2D55" w:rsidTr="00D15E3B">
        <w:trPr>
          <w:trHeight w:val="257"/>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SubP</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b/>
              </w:rPr>
            </w:pPr>
            <w:r w:rsidRPr="00DE2D55">
              <w:rPr>
                <w:rFonts w:cs="Calibri"/>
                <w:b/>
              </w:rPr>
              <w:t>DESCRIÇÃO</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QT horas</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VALOR UNIT. (R$)</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VALOR TOTAL (R$)</w:t>
            </w:r>
          </w:p>
        </w:tc>
        <w:tc>
          <w:tcPr>
            <w:tcW w:w="160" w:type="dxa"/>
            <w:vAlign w:val="center"/>
          </w:tcPr>
          <w:p w:rsidR="00060ED0" w:rsidRPr="00DE2D55" w:rsidRDefault="00060ED0" w:rsidP="00FE560B">
            <w:pPr>
              <w:tabs>
                <w:tab w:val="left" w:pos="0"/>
              </w:tabs>
              <w:spacing w:line="240" w:lineRule="auto"/>
              <w:jc w:val="both"/>
              <w:rPr>
                <w:rFonts w:cs="Calibri"/>
                <w:b/>
              </w:rPr>
            </w:pPr>
          </w:p>
        </w:tc>
        <w:tc>
          <w:tcPr>
            <w:tcW w:w="160" w:type="dxa"/>
            <w:vAlign w:val="center"/>
          </w:tcPr>
          <w:p w:rsidR="00060ED0" w:rsidRPr="00DE2D55" w:rsidRDefault="00060ED0" w:rsidP="00FE560B">
            <w:pPr>
              <w:tabs>
                <w:tab w:val="left" w:pos="0"/>
              </w:tabs>
              <w:spacing w:line="240" w:lineRule="auto"/>
              <w:jc w:val="both"/>
              <w:rPr>
                <w:rFonts w:cs="Calibri"/>
                <w:b/>
              </w:rPr>
            </w:pPr>
          </w:p>
        </w:tc>
      </w:tr>
      <w:tr w:rsidR="00060ED0" w:rsidRPr="00DE2D55" w:rsidTr="00D15E3B">
        <w:trPr>
          <w:gridAfter w:val="2"/>
          <w:wAfter w:w="320" w:type="dxa"/>
          <w:trHeight w:val="25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3.4.2</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Integração e desenvolvimento de relatórios de sistemas para aplicação das Normas</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3000</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450.000,00</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3.4.1</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Serviços de consultoria para implementação de testes de impairment dos ativos do Estado</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1000</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150.000,00</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3.4.1</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Serviços de consultoria para implementação das NBC TSP nos sistemas estruturantes de patrimônio</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1000</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150.000,00</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3.4.2</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Serviços de consultoria para desenvolvimento de sistemas e ou módulos que permitam a inserção de regras contábeis que atendam às normas internacionais</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10.000</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1.500.000,00</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3.4.2</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Modernização do SIGEFES</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27.100</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150,00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4.065.000,00</w:t>
            </w:r>
          </w:p>
        </w:tc>
      </w:tr>
      <w:tr w:rsidR="00060ED0" w:rsidRPr="00DE2D55" w:rsidTr="00D15E3B">
        <w:trPr>
          <w:gridAfter w:val="2"/>
          <w:wAfter w:w="320" w:type="dxa"/>
          <w:trHeight w:val="265"/>
        </w:trPr>
        <w:tc>
          <w:tcPr>
            <w:tcW w:w="10197" w:type="dxa"/>
            <w:gridSpan w:val="5"/>
            <w:tcBorders>
              <w:top w:val="single" w:sz="4" w:space="0" w:color="000000"/>
              <w:left w:val="single" w:sz="8" w:space="0" w:color="auto"/>
              <w:bottom w:val="single" w:sz="4" w:space="0" w:color="000000"/>
              <w:right w:val="single" w:sz="4" w:space="0" w:color="000000"/>
            </w:tcBorders>
            <w:shd w:val="clear" w:color="auto" w:fill="D6E3BC"/>
            <w:noWrap/>
            <w:vAlign w:val="center"/>
          </w:tcPr>
          <w:p w:rsidR="00060ED0" w:rsidRPr="00DE2D55" w:rsidRDefault="00060ED0" w:rsidP="00FE560B">
            <w:pPr>
              <w:tabs>
                <w:tab w:val="left" w:pos="0"/>
              </w:tabs>
              <w:spacing w:line="240" w:lineRule="auto"/>
              <w:jc w:val="both"/>
              <w:rPr>
                <w:rFonts w:cs="Calibri"/>
              </w:rPr>
            </w:pPr>
            <w:r w:rsidRPr="00DE2D55">
              <w:rPr>
                <w:rFonts w:cs="Calibri"/>
              </w:rPr>
              <w:t>Capacitação</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SubP</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b/>
              </w:rPr>
            </w:pPr>
            <w:r w:rsidRPr="00DE2D55">
              <w:rPr>
                <w:rFonts w:cs="Calibri"/>
                <w:b/>
              </w:rPr>
              <w:t>DESCRIÇÃO</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Qt. Viagens</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b/>
              </w:rPr>
            </w:pPr>
            <w:r w:rsidRPr="00DE2D55">
              <w:rPr>
                <w:rFonts w:cs="Calibri"/>
                <w:b/>
              </w:rPr>
              <w:t>VALOR UNIT. (R$)</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VALOR TOTAL (R$)</w:t>
            </w:r>
          </w:p>
        </w:tc>
      </w:tr>
      <w:tr w:rsidR="00060ED0" w:rsidRPr="00DE2D55" w:rsidTr="00D15E3B">
        <w:trPr>
          <w:gridAfter w:val="2"/>
          <w:wAfter w:w="320" w:type="dxa"/>
          <w:trHeight w:val="265"/>
        </w:trPr>
        <w:tc>
          <w:tcPr>
            <w:tcW w:w="850" w:type="dxa"/>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3.4.1</w:t>
            </w:r>
          </w:p>
        </w:tc>
        <w:tc>
          <w:tcPr>
            <w:tcW w:w="4266" w:type="dxa"/>
            <w:tcBorders>
              <w:top w:val="single" w:sz="4" w:space="0" w:color="000000"/>
              <w:left w:val="nil"/>
              <w:bottom w:val="single" w:sz="4" w:space="0" w:color="000000"/>
              <w:right w:val="single" w:sz="4" w:space="0" w:color="000000"/>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Viagens técnicas para conhecer outros modelos</w:t>
            </w:r>
          </w:p>
        </w:tc>
        <w:tc>
          <w:tcPr>
            <w:tcW w:w="1547"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12</w:t>
            </w:r>
          </w:p>
        </w:tc>
        <w:tc>
          <w:tcPr>
            <w:tcW w:w="1578"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2.000,00</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24.000,00</w:t>
            </w:r>
          </w:p>
        </w:tc>
      </w:tr>
      <w:tr w:rsidR="00060ED0" w:rsidRPr="00DE2D55" w:rsidTr="00D15E3B">
        <w:trPr>
          <w:gridAfter w:val="2"/>
          <w:wAfter w:w="320" w:type="dxa"/>
          <w:trHeight w:val="265"/>
        </w:trPr>
        <w:tc>
          <w:tcPr>
            <w:tcW w:w="8241" w:type="dxa"/>
            <w:gridSpan w:val="4"/>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TOTAL GERAL</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6.339.000,00</w:t>
            </w:r>
          </w:p>
        </w:tc>
      </w:tr>
      <w:tr w:rsidR="00060ED0" w:rsidRPr="00DE2D55" w:rsidTr="00D15E3B">
        <w:trPr>
          <w:gridAfter w:val="2"/>
          <w:wAfter w:w="320" w:type="dxa"/>
          <w:trHeight w:val="265"/>
        </w:trPr>
        <w:tc>
          <w:tcPr>
            <w:tcW w:w="8241" w:type="dxa"/>
            <w:gridSpan w:val="4"/>
            <w:tcBorders>
              <w:top w:val="single" w:sz="4" w:space="0" w:color="000000"/>
              <w:left w:val="single" w:sz="8" w:space="0" w:color="auto"/>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TOTAL USD</w:t>
            </w:r>
          </w:p>
        </w:tc>
        <w:tc>
          <w:tcPr>
            <w:tcW w:w="1956" w:type="dxa"/>
            <w:tcBorders>
              <w:top w:val="single" w:sz="4" w:space="0" w:color="000000"/>
              <w:left w:val="nil"/>
              <w:bottom w:val="single" w:sz="4" w:space="0" w:color="000000"/>
              <w:right w:val="single" w:sz="4" w:space="0" w:color="000000"/>
            </w:tcBorders>
            <w:shd w:val="clear" w:color="auto" w:fill="auto"/>
            <w:noWrap/>
            <w:vAlign w:val="center"/>
          </w:tcPr>
          <w:p w:rsidR="00060ED0" w:rsidRPr="00DE2D55" w:rsidRDefault="00060ED0" w:rsidP="00FE560B">
            <w:pPr>
              <w:tabs>
                <w:tab w:val="left" w:pos="0"/>
              </w:tabs>
              <w:spacing w:line="240" w:lineRule="auto"/>
              <w:jc w:val="both"/>
              <w:rPr>
                <w:rFonts w:cs="Calibri"/>
              </w:rPr>
            </w:pPr>
            <w:r w:rsidRPr="00DE2D55">
              <w:rPr>
                <w:rFonts w:cs="Calibri"/>
              </w:rPr>
              <w:t>1.811.142,85</w:t>
            </w:r>
          </w:p>
        </w:tc>
      </w:tr>
    </w:tbl>
    <w:p w:rsidR="00060ED0" w:rsidRDefault="00060ED0" w:rsidP="00FE560B">
      <w:pPr>
        <w:tabs>
          <w:tab w:val="left" w:pos="0"/>
        </w:tabs>
        <w:suppressAutoHyphens/>
        <w:ind w:right="283"/>
        <w:jc w:val="both"/>
        <w:rPr>
          <w:i/>
        </w:rPr>
      </w:pPr>
    </w:p>
    <w:p w:rsidR="00CC0377" w:rsidRDefault="00CC0377" w:rsidP="00FE560B">
      <w:pPr>
        <w:tabs>
          <w:tab w:val="left" w:pos="0"/>
        </w:tabs>
        <w:suppressAutoHyphens/>
        <w:ind w:right="283"/>
        <w:jc w:val="both"/>
        <w:rPr>
          <w:i/>
        </w:rPr>
      </w:pPr>
    </w:p>
    <w:p w:rsidR="00CC0377" w:rsidRDefault="00CC0377" w:rsidP="00FE560B">
      <w:pPr>
        <w:tabs>
          <w:tab w:val="left" w:pos="0"/>
        </w:tabs>
        <w:suppressAutoHyphens/>
        <w:ind w:right="283"/>
        <w:jc w:val="both"/>
        <w:rPr>
          <w:i/>
        </w:rPr>
      </w:pPr>
    </w:p>
    <w:p w:rsidR="00B01A15" w:rsidRDefault="00B01A15" w:rsidP="00FE560B">
      <w:pPr>
        <w:tabs>
          <w:tab w:val="left" w:pos="0"/>
        </w:tabs>
        <w:suppressAutoHyphens/>
        <w:ind w:right="283"/>
        <w:jc w:val="both"/>
        <w:rPr>
          <w:i/>
        </w:rPr>
      </w:pPr>
    </w:p>
    <w:p w:rsidR="00CC0377" w:rsidRDefault="00CC0377" w:rsidP="00FE560B">
      <w:pPr>
        <w:tabs>
          <w:tab w:val="left" w:pos="0"/>
        </w:tabs>
        <w:suppressAutoHyphens/>
        <w:ind w:right="283"/>
        <w:jc w:val="both"/>
        <w:rPr>
          <w:i/>
        </w:rPr>
      </w:pPr>
    </w:p>
    <w:p w:rsidR="00CC0377" w:rsidRDefault="00CC0377" w:rsidP="00FE560B">
      <w:pPr>
        <w:tabs>
          <w:tab w:val="left" w:pos="0"/>
        </w:tabs>
        <w:suppressAutoHyphens/>
        <w:ind w:right="283"/>
        <w:jc w:val="both"/>
        <w:rPr>
          <w:i/>
        </w:rPr>
      </w:pPr>
    </w:p>
    <w:p w:rsidR="00060ED0" w:rsidRPr="00DE2D55" w:rsidRDefault="00060ED0" w:rsidP="00A249C9">
      <w:pPr>
        <w:pStyle w:val="PargrafodaLista"/>
        <w:numPr>
          <w:ilvl w:val="1"/>
          <w:numId w:val="83"/>
        </w:numPr>
        <w:pBdr>
          <w:bottom w:val="single" w:sz="12" w:space="1" w:color="auto"/>
        </w:pBdr>
        <w:tabs>
          <w:tab w:val="left" w:pos="0"/>
          <w:tab w:val="left" w:pos="426"/>
        </w:tabs>
        <w:jc w:val="both"/>
        <w:outlineLvl w:val="2"/>
        <w:rPr>
          <w:rFonts w:cs="Calibri"/>
          <w:b/>
        </w:rPr>
      </w:pPr>
      <w:bookmarkStart w:id="158" w:name="_Toc517282174"/>
      <w:r w:rsidRPr="00DE2D55">
        <w:rPr>
          <w:rFonts w:cs="Calibri"/>
          <w:b/>
        </w:rPr>
        <w:t>CRONOGRAMA PROPOSTO</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390"/>
        <w:gridCol w:w="387"/>
        <w:gridCol w:w="324"/>
        <w:gridCol w:w="408"/>
        <w:gridCol w:w="330"/>
        <w:gridCol w:w="330"/>
        <w:gridCol w:w="332"/>
        <w:gridCol w:w="434"/>
        <w:gridCol w:w="238"/>
        <w:gridCol w:w="92"/>
        <w:gridCol w:w="330"/>
        <w:gridCol w:w="328"/>
      </w:tblGrid>
      <w:tr w:rsidR="00060ED0" w:rsidRPr="00DE2D55" w:rsidTr="00B01A15">
        <w:trPr>
          <w:trHeight w:val="305"/>
        </w:trPr>
        <w:tc>
          <w:tcPr>
            <w:tcW w:w="433" w:type="pct"/>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B01A15" w:rsidP="00FE560B">
            <w:pPr>
              <w:tabs>
                <w:tab w:val="left" w:pos="0"/>
              </w:tabs>
              <w:spacing w:line="240" w:lineRule="auto"/>
              <w:jc w:val="both"/>
              <w:rPr>
                <w:rFonts w:cs="Calibri"/>
                <w:b/>
              </w:rPr>
            </w:pPr>
            <w:r>
              <w:rPr>
                <w:rFonts w:cs="Calibri"/>
                <w:b/>
              </w:rPr>
              <w:t>SubP.</w:t>
            </w:r>
          </w:p>
        </w:tc>
        <w:tc>
          <w:tcPr>
            <w:tcW w:w="2758" w:type="pct"/>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Item de Custo</w:t>
            </w:r>
          </w:p>
        </w:tc>
        <w:tc>
          <w:tcPr>
            <w:tcW w:w="364" w:type="pct"/>
            <w:gridSpan w:val="2"/>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2018</w:t>
            </w:r>
          </w:p>
        </w:tc>
        <w:tc>
          <w:tcPr>
            <w:tcW w:w="378" w:type="pct"/>
            <w:gridSpan w:val="2"/>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2019</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2020</w:t>
            </w:r>
          </w:p>
        </w:tc>
        <w:tc>
          <w:tcPr>
            <w:tcW w:w="344" w:type="pct"/>
            <w:gridSpan w:val="2"/>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2021</w:t>
            </w:r>
          </w:p>
        </w:tc>
        <w:tc>
          <w:tcPr>
            <w:tcW w:w="384" w:type="pct"/>
            <w:gridSpan w:val="3"/>
            <w:tcBorders>
              <w:top w:val="single" w:sz="4" w:space="0" w:color="auto"/>
              <w:left w:val="single" w:sz="4" w:space="0" w:color="auto"/>
              <w:bottom w:val="single" w:sz="4" w:space="0" w:color="auto"/>
              <w:right w:val="single" w:sz="4" w:space="0" w:color="auto"/>
            </w:tcBorders>
            <w:shd w:val="clear" w:color="auto" w:fill="C5E0B3"/>
            <w:hideMark/>
          </w:tcPr>
          <w:p w:rsidR="00060ED0" w:rsidRPr="00DE2D55" w:rsidRDefault="00060ED0" w:rsidP="00FE560B">
            <w:pPr>
              <w:tabs>
                <w:tab w:val="left" w:pos="0"/>
              </w:tabs>
              <w:spacing w:line="240" w:lineRule="auto"/>
              <w:jc w:val="both"/>
              <w:rPr>
                <w:rFonts w:cs="Calibri"/>
                <w:b/>
              </w:rPr>
            </w:pPr>
            <w:r w:rsidRPr="00DE2D55">
              <w:rPr>
                <w:rFonts w:cs="Calibri"/>
                <w:b/>
              </w:rPr>
              <w:t>2022</w:t>
            </w: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3.4.2</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Integração e desenvolvimento de relatórios de sistemas para</w:t>
            </w:r>
          </w:p>
          <w:p w:rsidR="00060ED0" w:rsidRPr="00DE2D55" w:rsidRDefault="00060ED0" w:rsidP="00FE560B">
            <w:pPr>
              <w:tabs>
                <w:tab w:val="left" w:pos="0"/>
              </w:tabs>
              <w:spacing w:line="240" w:lineRule="auto"/>
              <w:jc w:val="both"/>
              <w:rPr>
                <w:rFonts w:cs="Calibri"/>
              </w:rPr>
            </w:pPr>
            <w:r w:rsidRPr="00DE2D55">
              <w:rPr>
                <w:rFonts w:cs="Calibri"/>
              </w:rPr>
              <w:t>aplicação da Normas.</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3.4.1</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ind w:left="34" w:hanging="34"/>
              <w:jc w:val="both"/>
              <w:rPr>
                <w:rFonts w:cs="Calibri"/>
              </w:rPr>
            </w:pPr>
            <w:r w:rsidRPr="00DE2D55">
              <w:rPr>
                <w:rFonts w:cs="Calibri"/>
              </w:rPr>
              <w:t>Serviços de consultoria para implementação de testes de impairment dos ativos.</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3.4.1</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Serviços de consultoria para implementação das NBC TSP nos</w:t>
            </w:r>
          </w:p>
          <w:p w:rsidR="00060ED0" w:rsidRPr="00DE2D55" w:rsidRDefault="00060ED0" w:rsidP="00FE560B">
            <w:pPr>
              <w:tabs>
                <w:tab w:val="left" w:pos="0"/>
              </w:tabs>
              <w:spacing w:line="240" w:lineRule="auto"/>
              <w:jc w:val="both"/>
              <w:rPr>
                <w:rFonts w:cs="Calibri"/>
              </w:rPr>
            </w:pPr>
            <w:r w:rsidRPr="00DE2D55">
              <w:rPr>
                <w:rFonts w:cs="Calibri"/>
              </w:rPr>
              <w:t>sistemas estruturantes de patrimônio.</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3.4.2</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Serviços de consultoria para desenvolvimento de sistemas e ou</w:t>
            </w:r>
          </w:p>
          <w:p w:rsidR="00060ED0" w:rsidRPr="00DE2D55" w:rsidRDefault="00060ED0" w:rsidP="00FE560B">
            <w:pPr>
              <w:tabs>
                <w:tab w:val="left" w:pos="0"/>
              </w:tabs>
              <w:spacing w:line="240" w:lineRule="auto"/>
              <w:jc w:val="both"/>
              <w:rPr>
                <w:rFonts w:cs="Calibri"/>
              </w:rPr>
            </w:pPr>
            <w:r w:rsidRPr="00DE2D55">
              <w:rPr>
                <w:rFonts w:cs="Calibri"/>
              </w:rPr>
              <w:t>módulos que permitam a inserção de regras contábeis que atendam</w:t>
            </w:r>
            <w:r w:rsidR="006B0C33">
              <w:rPr>
                <w:rFonts w:cs="Calibri"/>
              </w:rPr>
              <w:t xml:space="preserve"> </w:t>
            </w:r>
            <w:r w:rsidRPr="00DE2D55">
              <w:rPr>
                <w:rFonts w:cs="Calibri"/>
              </w:rPr>
              <w:t>às normas internacionais.</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3.4.1</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Viagens técnicas para conhecer outros modelos</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r>
      <w:tr w:rsidR="00B01A15" w:rsidRPr="00DE2D55" w:rsidTr="00B01A15">
        <w:tc>
          <w:tcPr>
            <w:tcW w:w="433"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3.4.2</w:t>
            </w:r>
          </w:p>
        </w:tc>
        <w:tc>
          <w:tcPr>
            <w:tcW w:w="2758" w:type="pct"/>
            <w:tcBorders>
              <w:top w:val="single" w:sz="4" w:space="0" w:color="auto"/>
              <w:left w:val="single" w:sz="4" w:space="0" w:color="auto"/>
              <w:bottom w:val="single" w:sz="4" w:space="0" w:color="auto"/>
              <w:right w:val="single" w:sz="4" w:space="0" w:color="auto"/>
            </w:tcBorders>
            <w:shd w:val="clear" w:color="auto" w:fill="auto"/>
          </w:tcPr>
          <w:p w:rsidR="00060ED0" w:rsidRPr="00DE2D55" w:rsidRDefault="00060ED0" w:rsidP="00FE560B">
            <w:pPr>
              <w:tabs>
                <w:tab w:val="left" w:pos="0"/>
              </w:tabs>
              <w:spacing w:line="240" w:lineRule="auto"/>
              <w:jc w:val="both"/>
              <w:rPr>
                <w:rFonts w:cs="Calibri"/>
              </w:rPr>
            </w:pPr>
            <w:r w:rsidRPr="00DE2D55">
              <w:rPr>
                <w:rFonts w:cs="Calibri"/>
              </w:rPr>
              <w:t>Modernização do SIGEFES</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60ED0" w:rsidRPr="00DE2D55" w:rsidRDefault="00060ED0" w:rsidP="00FE560B">
            <w:pPr>
              <w:tabs>
                <w:tab w:val="left" w:pos="0"/>
              </w:tabs>
              <w:spacing w:line="240" w:lineRule="auto"/>
              <w:jc w:val="both"/>
              <w:rPr>
                <w:rFonts w:cs="Calibri"/>
              </w:rPr>
            </w:pPr>
            <w:r w:rsidRPr="00DE2D55">
              <w:rPr>
                <w:rFonts w:cs="Calibri"/>
              </w:rPr>
              <w:t>X</w:t>
            </w:r>
          </w:p>
        </w:tc>
      </w:tr>
    </w:tbl>
    <w:p w:rsidR="00060ED0" w:rsidRPr="00DE2D55" w:rsidRDefault="00060ED0" w:rsidP="00FE560B">
      <w:pPr>
        <w:tabs>
          <w:tab w:val="left" w:pos="0"/>
        </w:tabs>
        <w:jc w:val="both"/>
        <w:rPr>
          <w:rFonts w:cs="Calibri"/>
        </w:rPr>
      </w:pPr>
    </w:p>
    <w:p w:rsidR="00060ED0" w:rsidRPr="00DE2D55" w:rsidRDefault="00060ED0" w:rsidP="00FE560B">
      <w:pPr>
        <w:tabs>
          <w:tab w:val="left" w:pos="0"/>
        </w:tabs>
        <w:jc w:val="both"/>
        <w:rPr>
          <w:rFonts w:eastAsia="Times New Roman" w:cs="Arial"/>
          <w:b/>
          <w:bCs/>
          <w:color w:val="4A66AC" w:themeColor="accent1"/>
          <w:lang w:eastAsia="pt-BR"/>
        </w:rPr>
      </w:pPr>
    </w:p>
    <w:p w:rsidR="00DD3AC2" w:rsidRDefault="00DD3AC2" w:rsidP="00FE560B">
      <w:pPr>
        <w:rPr>
          <w:rFonts w:eastAsia="Times New Roman" w:cs="Arial"/>
          <w:lang w:eastAsia="pt-BR"/>
        </w:rPr>
      </w:pPr>
    </w:p>
    <w:p w:rsidR="00C32541" w:rsidRDefault="00C32541" w:rsidP="00FE560B">
      <w:pPr>
        <w:rPr>
          <w:rFonts w:eastAsia="Times New Roman" w:cs="Arial"/>
          <w:b/>
          <w:bCs/>
          <w:color w:val="4A66AC" w:themeColor="accent1"/>
          <w:lang w:eastAsia="pt-BR"/>
        </w:rPr>
      </w:pPr>
      <w:r>
        <w:rPr>
          <w:rFonts w:eastAsia="Times New Roman" w:cs="Arial"/>
          <w:lang w:eastAsia="pt-BR"/>
        </w:rPr>
        <w:br w:type="page"/>
      </w:r>
    </w:p>
    <w:p w:rsidR="00C32541" w:rsidRDefault="001B4726" w:rsidP="00B01A15">
      <w:pPr>
        <w:pStyle w:val="Ttulo2"/>
        <w:tabs>
          <w:tab w:val="left" w:pos="0"/>
        </w:tabs>
        <w:spacing w:before="0"/>
        <w:jc w:val="both"/>
        <w:rPr>
          <w:rFonts w:asciiTheme="minorHAnsi" w:eastAsia="Times New Roman" w:hAnsiTheme="minorHAnsi" w:cs="Arial"/>
          <w:sz w:val="22"/>
          <w:szCs w:val="22"/>
          <w:lang w:eastAsia="pt-BR"/>
        </w:rPr>
      </w:pPr>
      <w:bookmarkStart w:id="159" w:name="_Toc517282175"/>
      <w:r w:rsidRPr="00DE2D55">
        <w:rPr>
          <w:rFonts w:asciiTheme="minorHAnsi" w:eastAsia="Times New Roman" w:hAnsiTheme="minorHAnsi" w:cs="Arial"/>
          <w:sz w:val="22"/>
          <w:szCs w:val="22"/>
          <w:lang w:eastAsia="pt-BR"/>
        </w:rPr>
        <w:t>PRODUTO 5. MODELO DE GESTÃO DE CUSTOS PÚBLICOS IMPLANTADO</w:t>
      </w:r>
      <w:bookmarkEnd w:id="159"/>
    </w:p>
    <w:p w:rsidR="00E04BB7" w:rsidRDefault="00E04BB7" w:rsidP="00E04BB7">
      <w:pPr>
        <w:rPr>
          <w:lang w:eastAsia="pt-BR"/>
        </w:rPr>
      </w:pPr>
    </w:p>
    <w:p w:rsidR="00E04BB7" w:rsidRDefault="00E04BB7" w:rsidP="00E04BB7">
      <w:pPr>
        <w:rPr>
          <w:lang w:eastAsia="pt-BR"/>
        </w:rPr>
      </w:pPr>
    </w:p>
    <w:p w:rsidR="00E04BB7" w:rsidRPr="00231414" w:rsidRDefault="00E04BB7" w:rsidP="00E04BB7">
      <w:pPr>
        <w:jc w:val="center"/>
        <w:rPr>
          <w:rFonts w:cs="Calibri"/>
        </w:rPr>
      </w:pPr>
    </w:p>
    <w:p w:rsidR="00E04BB7" w:rsidRPr="00231414" w:rsidRDefault="00E04BB7" w:rsidP="00E04BB7">
      <w:pPr>
        <w:shd w:val="clear" w:color="auto" w:fill="F2F2F2"/>
        <w:jc w:val="center"/>
        <w:rPr>
          <w:rFonts w:cs="Calibri"/>
          <w:b/>
          <w:bCs/>
        </w:rPr>
      </w:pPr>
    </w:p>
    <w:p w:rsidR="00E04BB7" w:rsidRPr="00231414" w:rsidRDefault="00E04BB7" w:rsidP="00E04BB7">
      <w:pPr>
        <w:shd w:val="clear" w:color="auto" w:fill="F2F2F2"/>
        <w:jc w:val="center"/>
        <w:rPr>
          <w:rFonts w:cs="Calibri"/>
          <w:b/>
          <w:bCs/>
        </w:rPr>
      </w:pPr>
      <w:r w:rsidRPr="00231414">
        <w:rPr>
          <w:rFonts w:cs="Calibri"/>
          <w:b/>
          <w:bCs/>
        </w:rPr>
        <w:t xml:space="preserve">PROJETO DE MODERNIZAÇÃO DA GESTÃO FISCAL DO ESTADO DO ESPÍRITO SANTO </w:t>
      </w:r>
    </w:p>
    <w:p w:rsidR="00E04BB7" w:rsidRPr="00231414" w:rsidRDefault="00E04BB7" w:rsidP="00E04BB7">
      <w:pPr>
        <w:shd w:val="clear" w:color="auto" w:fill="F2F2F2"/>
        <w:jc w:val="center"/>
        <w:rPr>
          <w:rFonts w:cs="Calibri"/>
          <w:b/>
          <w:bCs/>
        </w:rPr>
      </w:pPr>
    </w:p>
    <w:p w:rsidR="00E04BB7" w:rsidRPr="00231414" w:rsidRDefault="00E04BB7" w:rsidP="00E04BB7">
      <w:pPr>
        <w:shd w:val="clear" w:color="auto" w:fill="F2F2F2"/>
        <w:jc w:val="center"/>
        <w:rPr>
          <w:rFonts w:cs="Calibri"/>
          <w:b/>
        </w:rPr>
      </w:pPr>
      <w:r w:rsidRPr="00231414">
        <w:rPr>
          <w:rFonts w:cs="Calibri"/>
          <w:b/>
        </w:rPr>
        <w:t>PROFISCO II ES</w:t>
      </w:r>
    </w:p>
    <w:p w:rsidR="00E04BB7" w:rsidRPr="00231414" w:rsidRDefault="00E04BB7" w:rsidP="00E04BB7">
      <w:pPr>
        <w:pStyle w:val="WW-Primeirorecuodecorpodetexto"/>
        <w:shd w:val="clear" w:color="auto" w:fill="F2F2F2"/>
        <w:tabs>
          <w:tab w:val="center" w:pos="1560"/>
        </w:tabs>
        <w:snapToGrid w:val="0"/>
        <w:spacing w:after="0"/>
        <w:rPr>
          <w:rFonts w:asciiTheme="minorHAnsi" w:hAnsiTheme="minorHAnsi" w:cs="Calibri"/>
          <w:b/>
          <w:sz w:val="22"/>
          <w:szCs w:val="22"/>
        </w:rPr>
      </w:pPr>
    </w:p>
    <w:p w:rsidR="00E04BB7" w:rsidRPr="00231414" w:rsidRDefault="00E04BB7" w:rsidP="00E04BB7">
      <w:pPr>
        <w:pStyle w:val="WW-Primeirorecuodecorpodetexto"/>
        <w:tabs>
          <w:tab w:val="center" w:pos="1560"/>
        </w:tabs>
        <w:snapToGrid w:val="0"/>
        <w:spacing w:after="0"/>
        <w:rPr>
          <w:rFonts w:asciiTheme="minorHAnsi" w:hAnsiTheme="minorHAnsi" w:cs="Calibri"/>
          <w:b/>
          <w:sz w:val="22"/>
          <w:szCs w:val="22"/>
        </w:rPr>
      </w:pPr>
    </w:p>
    <w:p w:rsidR="00E04BB7" w:rsidRPr="00231414" w:rsidRDefault="00E04BB7" w:rsidP="00E04BB7">
      <w:pPr>
        <w:pStyle w:val="WW-Primeirorecuodecorpodetexto"/>
        <w:tabs>
          <w:tab w:val="center" w:pos="1560"/>
        </w:tabs>
        <w:snapToGrid w:val="0"/>
        <w:spacing w:after="0"/>
        <w:rPr>
          <w:rFonts w:asciiTheme="minorHAnsi" w:hAnsiTheme="minorHAnsi" w:cs="Calibri"/>
          <w:b/>
          <w:sz w:val="22"/>
          <w:szCs w:val="22"/>
        </w:rPr>
      </w:pPr>
    </w:p>
    <w:p w:rsidR="00E04BB7" w:rsidRPr="00231414" w:rsidRDefault="00E04BB7" w:rsidP="00E04BB7">
      <w:pPr>
        <w:jc w:val="center"/>
        <w:rPr>
          <w:rFonts w:cs="Calibri"/>
          <w:b/>
          <w:bCs/>
          <w:smallCaps/>
          <w:color w:val="0070C0"/>
        </w:rPr>
      </w:pPr>
      <w:r w:rsidRPr="00231414">
        <w:rPr>
          <w:rFonts w:cs="Calibri"/>
          <w:b/>
          <w:bCs/>
          <w:smallCaps/>
          <w:color w:val="0070C0"/>
        </w:rPr>
        <w:t>COMPONENTE 3. ADMINISTRAÇÃO FINANCEIRA E GASTO PÚBLICO</w:t>
      </w:r>
    </w:p>
    <w:p w:rsidR="00E04BB7" w:rsidRPr="00231414" w:rsidRDefault="00E04BB7" w:rsidP="00E04BB7">
      <w:pPr>
        <w:rPr>
          <w:rFonts w:cs="Calibri"/>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04BB7" w:rsidRPr="00231414" w:rsidTr="00E04BB7">
        <w:tc>
          <w:tcPr>
            <w:tcW w:w="9779" w:type="dxa"/>
            <w:tcBorders>
              <w:top w:val="single" w:sz="4" w:space="0" w:color="auto"/>
              <w:left w:val="nil"/>
              <w:bottom w:val="single" w:sz="4" w:space="0" w:color="auto"/>
              <w:right w:val="nil"/>
            </w:tcBorders>
            <w:shd w:val="clear" w:color="auto" w:fill="D5DCE4"/>
          </w:tcPr>
          <w:p w:rsidR="00E04BB7" w:rsidRPr="00231414" w:rsidRDefault="00E04BB7" w:rsidP="00E04BB7">
            <w:pPr>
              <w:shd w:val="clear" w:color="auto" w:fill="D5DCE4"/>
              <w:jc w:val="center"/>
              <w:rPr>
                <w:rFonts w:cs="Calibri"/>
                <w:b/>
                <w:bCs/>
                <w:color w:val="0070C0"/>
              </w:rPr>
            </w:pPr>
            <w:r w:rsidRPr="00231414">
              <w:rPr>
                <w:rFonts w:cs="Calibri"/>
                <w:b/>
                <w:bCs/>
                <w:color w:val="0070C0"/>
              </w:rPr>
              <w:t xml:space="preserve">NOTA TÉCNICA </w:t>
            </w:r>
          </w:p>
          <w:p w:rsidR="00E04BB7" w:rsidRPr="00231414" w:rsidRDefault="00E04BB7" w:rsidP="00E04BB7">
            <w:pPr>
              <w:shd w:val="clear" w:color="auto" w:fill="D5DCE4"/>
              <w:rPr>
                <w:rFonts w:cs="Calibri"/>
                <w:b/>
                <w:noProof/>
                <w:color w:val="0070C0"/>
              </w:rPr>
            </w:pPr>
            <w:r w:rsidRPr="00231414">
              <w:rPr>
                <w:rFonts w:cs="Calibri"/>
                <w:b/>
                <w:bCs/>
                <w:color w:val="0070C0"/>
              </w:rPr>
              <w:t>P</w:t>
            </w:r>
            <w:r w:rsidRPr="00231414">
              <w:rPr>
                <w:b/>
              </w:rPr>
              <w:t xml:space="preserve"> </w:t>
            </w:r>
            <w:r w:rsidRPr="00231414">
              <w:rPr>
                <w:rFonts w:cs="Calibri"/>
                <w:b/>
                <w:noProof/>
                <w:color w:val="0070C0"/>
              </w:rPr>
              <w:t>3.6 GESTÃO DE CUSTOS E MONITORAMENTO DE GASTOS PÚBLICOS</w:t>
            </w:r>
          </w:p>
          <w:p w:rsidR="00E04BB7" w:rsidRPr="00231414" w:rsidRDefault="00E04BB7" w:rsidP="00E04BB7">
            <w:pPr>
              <w:rPr>
                <w:rFonts w:cs="Calibri"/>
                <w:b/>
                <w:noProof/>
                <w:color w:val="0070C0"/>
              </w:rPr>
            </w:pPr>
            <w:r w:rsidRPr="00231414">
              <w:rPr>
                <w:rFonts w:cs="Calibri"/>
                <w:b/>
                <w:noProof/>
                <w:color w:val="0070C0"/>
              </w:rPr>
              <w:t xml:space="preserve">      3.6.1 Modelo de gestão de custos implantado.</w:t>
            </w:r>
          </w:p>
          <w:p w:rsidR="00E04BB7" w:rsidRPr="00231414" w:rsidRDefault="00E04BB7" w:rsidP="00E04BB7">
            <w:pPr>
              <w:rPr>
                <w:rFonts w:cs="Calibri"/>
                <w:b/>
                <w:noProof/>
                <w:color w:val="0070C0"/>
              </w:rPr>
            </w:pPr>
            <w:r w:rsidRPr="00231414">
              <w:rPr>
                <w:rFonts w:cs="Calibri"/>
                <w:b/>
                <w:noProof/>
                <w:color w:val="0070C0"/>
              </w:rPr>
              <w:t xml:space="preserve">      3.6.2 Modelo de monitoramento dos gastos públicos implantado</w:t>
            </w:r>
          </w:p>
          <w:p w:rsidR="00E04BB7" w:rsidRPr="00231414" w:rsidRDefault="00E04BB7" w:rsidP="00E04BB7">
            <w:pPr>
              <w:rPr>
                <w:rFonts w:cs="Calibri"/>
                <w:b/>
                <w:noProof/>
                <w:color w:val="0070C0"/>
              </w:rPr>
            </w:pPr>
          </w:p>
        </w:tc>
      </w:tr>
    </w:tbl>
    <w:p w:rsidR="00E04BB7" w:rsidRPr="00231414" w:rsidRDefault="00E04BB7" w:rsidP="00E04BB7">
      <w:pPr>
        <w:rPr>
          <w:rFonts w:cs="Calibri"/>
        </w:rPr>
      </w:pPr>
    </w:p>
    <w:p w:rsidR="00E04BB7" w:rsidRPr="00231414" w:rsidRDefault="00E04BB7" w:rsidP="00E04BB7">
      <w:pPr>
        <w:rPr>
          <w:rFonts w:cs="Calibri"/>
        </w:rPr>
      </w:pPr>
    </w:p>
    <w:p w:rsidR="00E04BB7" w:rsidRPr="00231414" w:rsidRDefault="00E04BB7" w:rsidP="00E04BB7">
      <w:pPr>
        <w:rPr>
          <w:rFonts w:cs="Calibri"/>
        </w:rPr>
      </w:pPr>
    </w:p>
    <w:p w:rsidR="00E04BB7" w:rsidRPr="00231414" w:rsidRDefault="00E04BB7" w:rsidP="00E04BB7">
      <w:pPr>
        <w:rPr>
          <w:rFonts w:cs="Calibri"/>
        </w:rPr>
      </w:pPr>
    </w:p>
    <w:p w:rsidR="00E04BB7" w:rsidRPr="00231414" w:rsidRDefault="00E04BB7" w:rsidP="00E04BB7">
      <w:pPr>
        <w:rPr>
          <w:rFonts w:cs="Calibri"/>
        </w:rPr>
      </w:pPr>
      <w:r w:rsidRPr="00231414">
        <w:rPr>
          <w:rFonts w:cs="Calibri"/>
        </w:rPr>
        <w:t xml:space="preserve">Autor(es): </w:t>
      </w:r>
    </w:p>
    <w:tbl>
      <w:tblPr>
        <w:tblW w:w="9781" w:type="dxa"/>
        <w:tblInd w:w="-34" w:type="dxa"/>
        <w:tblLayout w:type="fixed"/>
        <w:tblLook w:val="0000" w:firstRow="0" w:lastRow="0" w:firstColumn="0" w:lastColumn="0" w:noHBand="0" w:noVBand="0"/>
      </w:tblPr>
      <w:tblGrid>
        <w:gridCol w:w="2018"/>
        <w:gridCol w:w="2497"/>
        <w:gridCol w:w="2551"/>
        <w:gridCol w:w="2715"/>
      </w:tblGrid>
      <w:tr w:rsidR="00E04BB7" w:rsidRPr="00231414" w:rsidTr="00E04BB7">
        <w:trPr>
          <w:trHeight w:val="253"/>
        </w:trPr>
        <w:tc>
          <w:tcPr>
            <w:tcW w:w="2018"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pPr>
              <w:jc w:val="center"/>
              <w:rPr>
                <w:b/>
              </w:rPr>
            </w:pPr>
            <w:r w:rsidRPr="00231414">
              <w:rPr>
                <w:b/>
              </w:rPr>
              <w:t>Nomes</w:t>
            </w:r>
          </w:p>
        </w:tc>
        <w:tc>
          <w:tcPr>
            <w:tcW w:w="2497"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pPr>
              <w:jc w:val="center"/>
              <w:rPr>
                <w:b/>
              </w:rPr>
            </w:pPr>
            <w:r w:rsidRPr="00231414">
              <w:rPr>
                <w:b/>
              </w:rPr>
              <w:t>Cargos</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pPr>
              <w:jc w:val="center"/>
              <w:rPr>
                <w:b/>
              </w:rPr>
            </w:pPr>
            <w:r w:rsidRPr="00231414">
              <w:rPr>
                <w:rFonts w:cs="Calibri"/>
                <w:b/>
              </w:rPr>
              <w:t>Área</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pPr>
              <w:jc w:val="center"/>
            </w:pPr>
            <w:r w:rsidRPr="00231414">
              <w:rPr>
                <w:b/>
              </w:rPr>
              <w:t>E-mail</w:t>
            </w:r>
          </w:p>
        </w:tc>
      </w:tr>
      <w:tr w:rsidR="00E04BB7" w:rsidRPr="00231414" w:rsidTr="00E04BB7">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r w:rsidRPr="00231414">
              <w:t>Bruno Pires Dias</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r w:rsidRPr="00231414">
              <w:t>Gerente de Contabilidade Geral do Estado</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pPr>
              <w:ind w:hanging="21"/>
            </w:pPr>
            <w:r w:rsidRPr="00231414">
              <w:t>Gerência de Contabilidade Geral do Estado</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r w:rsidRPr="00231414">
              <w:t>bpdias@sefaz.es.gov.br</w:t>
            </w:r>
          </w:p>
        </w:tc>
      </w:tr>
      <w:tr w:rsidR="00E04BB7" w:rsidRPr="00231414" w:rsidTr="00E04BB7">
        <w:trPr>
          <w:trHeight w:val="70"/>
        </w:trPr>
        <w:tc>
          <w:tcPr>
            <w:tcW w:w="201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r w:rsidRPr="00231414">
              <w:t>Julierme Gomes Tosta</w:t>
            </w:r>
          </w:p>
        </w:tc>
        <w:tc>
          <w:tcPr>
            <w:tcW w:w="24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r w:rsidRPr="00231414">
              <w:t>Subgerente de Avaliação e Controle do Gasto</w:t>
            </w:r>
          </w:p>
        </w:tc>
        <w:tc>
          <w:tcPr>
            <w:tcW w:w="255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E04BB7" w:rsidRPr="00231414" w:rsidRDefault="00E04BB7" w:rsidP="00E04BB7">
            <w:pPr>
              <w:ind w:hanging="21"/>
            </w:pPr>
            <w:r w:rsidRPr="00231414">
              <w:t>Sucog/Gefin</w:t>
            </w:r>
          </w:p>
        </w:tc>
        <w:tc>
          <w:tcPr>
            <w:tcW w:w="2715" w:type="dxa"/>
            <w:tcBorders>
              <w:top w:val="single" w:sz="4" w:space="0" w:color="00000A"/>
              <w:left w:val="single" w:sz="4" w:space="0" w:color="00000A"/>
              <w:bottom w:val="single" w:sz="4" w:space="0" w:color="00000A"/>
              <w:right w:val="single" w:sz="4" w:space="0" w:color="00000A"/>
            </w:tcBorders>
            <w:shd w:val="clear" w:color="auto" w:fill="FFFFFF"/>
          </w:tcPr>
          <w:p w:rsidR="00E04BB7" w:rsidRPr="00231414" w:rsidRDefault="00E04BB7" w:rsidP="00E04BB7">
            <w:r w:rsidRPr="00231414">
              <w:t>jtosta@sefaz.es.gov.br</w:t>
            </w:r>
          </w:p>
        </w:tc>
      </w:tr>
    </w:tbl>
    <w:p w:rsidR="00E04BB7" w:rsidRPr="00231414" w:rsidRDefault="00E04BB7" w:rsidP="00E04BB7">
      <w:pPr>
        <w:jc w:val="center"/>
        <w:rPr>
          <w:rFonts w:cs="Calibri"/>
        </w:rPr>
      </w:pPr>
    </w:p>
    <w:p w:rsidR="00E04BB7" w:rsidRPr="00231414" w:rsidRDefault="00E04BB7" w:rsidP="00E04BB7">
      <w:pPr>
        <w:jc w:val="center"/>
        <w:rPr>
          <w:rFonts w:cs="Calibri"/>
        </w:rPr>
      </w:pPr>
    </w:p>
    <w:p w:rsidR="00E04BB7" w:rsidRPr="00231414" w:rsidRDefault="00E04BB7" w:rsidP="00E04BB7">
      <w:pPr>
        <w:jc w:val="center"/>
        <w:rPr>
          <w:rFonts w:cs="Calibri"/>
        </w:rPr>
      </w:pPr>
    </w:p>
    <w:p w:rsidR="00E04BB7" w:rsidRPr="00231414" w:rsidRDefault="00E04BB7" w:rsidP="00E04BB7">
      <w:pPr>
        <w:jc w:val="center"/>
        <w:rPr>
          <w:rFonts w:cs="Calibri"/>
        </w:rPr>
      </w:pPr>
    </w:p>
    <w:p w:rsidR="00E04BB7" w:rsidRPr="00231414" w:rsidRDefault="00E04BB7" w:rsidP="00E04BB7">
      <w:pPr>
        <w:jc w:val="center"/>
        <w:rPr>
          <w:rFonts w:cs="Calibri"/>
          <w:b/>
        </w:rPr>
      </w:pPr>
      <w:r w:rsidRPr="00231414">
        <w:rPr>
          <w:rFonts w:cs="Calibri"/>
          <w:b/>
        </w:rPr>
        <w:t>Vitória/ES - Junho de 2018</w:t>
      </w:r>
    </w:p>
    <w:p w:rsidR="00E04BB7" w:rsidRPr="00231414" w:rsidRDefault="00E04BB7" w:rsidP="00E04BB7">
      <w:pPr>
        <w:jc w:val="center"/>
        <w:rPr>
          <w:rFonts w:cs="Calibri"/>
          <w:b/>
        </w:rPr>
      </w:pPr>
    </w:p>
    <w:p w:rsidR="00E04BB7"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0" w:name="_Toc517282176"/>
      <w:r w:rsidRPr="00E04BB7">
        <w:rPr>
          <w:rFonts w:cs="Calibri"/>
          <w:b/>
        </w:rPr>
        <w:t>ANTECEDENTES DO PRODUTO</w:t>
      </w:r>
      <w:bookmarkEnd w:id="160"/>
    </w:p>
    <w:p w:rsidR="00E04BB7" w:rsidRDefault="00E04BB7" w:rsidP="00E04BB7">
      <w:pPr>
        <w:jc w:val="both"/>
        <w:rPr>
          <w:rFonts w:cs="Calibri"/>
          <w:b/>
        </w:rPr>
      </w:pPr>
    </w:p>
    <w:p w:rsidR="00E04BB7" w:rsidRPr="00E04BB7" w:rsidRDefault="00E04BB7" w:rsidP="00A249C9">
      <w:pPr>
        <w:pStyle w:val="PargrafodaLista"/>
        <w:numPr>
          <w:ilvl w:val="2"/>
          <w:numId w:val="178"/>
        </w:numPr>
        <w:jc w:val="both"/>
        <w:rPr>
          <w:rFonts w:cs="Calibri"/>
          <w:b/>
        </w:rPr>
      </w:pPr>
      <w:r w:rsidRPr="00E04BB7">
        <w:rPr>
          <w:rFonts w:cs="Calibri"/>
          <w:b/>
        </w:rPr>
        <w:t>Modelo de monitoramento de gastos públicos</w:t>
      </w:r>
    </w:p>
    <w:p w:rsidR="00E04BB7" w:rsidRPr="00E04BB7" w:rsidRDefault="00E04BB7" w:rsidP="00E04BB7">
      <w:pPr>
        <w:pStyle w:val="PargrafodaLista"/>
        <w:jc w:val="both"/>
        <w:rPr>
          <w:rFonts w:cs="Calibri"/>
          <w:b/>
        </w:rPr>
      </w:pPr>
    </w:p>
    <w:p w:rsidR="00E04BB7" w:rsidRDefault="00E04BB7" w:rsidP="00E04BB7">
      <w:pPr>
        <w:jc w:val="both"/>
        <w:rPr>
          <w:rFonts w:cs="Calibri"/>
        </w:rPr>
      </w:pPr>
      <w:r w:rsidRPr="00231414">
        <w:rPr>
          <w:rFonts w:cs="Calibri"/>
        </w:rPr>
        <w:t>Para melhor compreensão do problema, faz-se necessário primeiramente definir os conceitos. No setor privado, o termo gasto possui caráter genérico e abrangente. Em geral pode ser compreendido como um dispêndio qualquer, sem uma classificação objetiva, podendo se tratar de custo, despesa ou investimento. Todos os bens e serviços adquiridos por uma empresa são considerados como “gastos” em algum momento de sua existência. Sendo assim, existem gastos com a compra de matérias-primas, mão de obra, insumos, que no decorrer do processo se transformarão em custos, despesas ou investimentos. Para o setor público, procuraremos estender essa compreensão, na medida do possível.</w:t>
      </w:r>
    </w:p>
    <w:p w:rsidR="00E04BB7" w:rsidRPr="00231414" w:rsidRDefault="00E04BB7" w:rsidP="00E04BB7">
      <w:pPr>
        <w:jc w:val="both"/>
        <w:rPr>
          <w:rFonts w:cs="Calibri"/>
        </w:rPr>
      </w:pPr>
    </w:p>
    <w:p w:rsidR="00E04BB7" w:rsidRDefault="00E04BB7" w:rsidP="00E04BB7">
      <w:pPr>
        <w:jc w:val="both"/>
        <w:rPr>
          <w:rFonts w:cs="Calibri"/>
        </w:rPr>
      </w:pPr>
      <w:r w:rsidRPr="00231414">
        <w:rPr>
          <w:rFonts w:cs="Calibri"/>
        </w:rPr>
        <w:t xml:space="preserve">Enquanto no setor privado os custos estão inerentemente associados ao processo produtivo, como por exemplo, dispêndios com mão de obra, matéria prima, energia elétrica ou depreciação de máquinas e equipamentos, no setor público, o termo custo não é evidente, já que para definí-lo correta e metodologicamente, haveria uma distinção entre as áreas fins, ou seja, que diretamente produzem produtos e serviços públicos à sociedade (ex: escolas, hospitais), e áreas “meio”, que prestam serviços administrativos e indiretamente contribuem para consecução dos serviços. </w:t>
      </w:r>
    </w:p>
    <w:p w:rsidR="00E04BB7" w:rsidRPr="00231414" w:rsidRDefault="00E04BB7" w:rsidP="00E04BB7">
      <w:pPr>
        <w:jc w:val="both"/>
        <w:rPr>
          <w:rFonts w:cs="Calibri"/>
        </w:rPr>
      </w:pPr>
    </w:p>
    <w:p w:rsidR="00E04BB7" w:rsidRDefault="00E04BB7" w:rsidP="00E04BB7">
      <w:pPr>
        <w:spacing w:line="276" w:lineRule="auto"/>
        <w:jc w:val="both"/>
        <w:rPr>
          <w:rFonts w:cs="Calibri"/>
        </w:rPr>
      </w:pPr>
      <w:r w:rsidRPr="00231414">
        <w:rPr>
          <w:rFonts w:cs="Calibri"/>
        </w:rPr>
        <w:t xml:space="preserve">Tornar o gasto público mais eficiente é um grande desafio para os gestores públicos. A Administração Pública no Brasil está em fase de amadurecimento desse novo modelo de gestão que incorpora conceitos como eficiência, avaliação de desempenho, gestão por resultado, controle do gasto publico, transparência, entre outros. </w:t>
      </w:r>
    </w:p>
    <w:p w:rsidR="00E04BB7" w:rsidRPr="00231414" w:rsidRDefault="00E04BB7" w:rsidP="00E04BB7">
      <w:pPr>
        <w:spacing w:line="276" w:lineRule="auto"/>
        <w:jc w:val="both"/>
        <w:rPr>
          <w:rFonts w:cs="Calibri"/>
        </w:rPr>
      </w:pPr>
    </w:p>
    <w:p w:rsidR="00E04BB7" w:rsidRDefault="00E04BB7" w:rsidP="00E04BB7">
      <w:pPr>
        <w:spacing w:line="276" w:lineRule="auto"/>
        <w:jc w:val="both"/>
        <w:rPr>
          <w:rFonts w:cs="Calibri"/>
        </w:rPr>
      </w:pPr>
      <w:r w:rsidRPr="00231414">
        <w:rPr>
          <w:rFonts w:cs="Calibri"/>
        </w:rPr>
        <w:t xml:space="preserve">A busca pela eficiência e produtividade do gasto desafia a Administração Pública experimentar um processo de modernização da gestão voltada para a qualidade dos serviços prestados. O cidadão torna-se o foco para o desempenho da atividade publica. </w:t>
      </w:r>
    </w:p>
    <w:p w:rsidR="00E04BB7" w:rsidRPr="00231414" w:rsidRDefault="00E04BB7" w:rsidP="00E04BB7">
      <w:pPr>
        <w:spacing w:line="276" w:lineRule="auto"/>
        <w:jc w:val="both"/>
        <w:rPr>
          <w:rFonts w:cs="Calibri"/>
        </w:rPr>
      </w:pPr>
    </w:p>
    <w:p w:rsidR="00E04BB7" w:rsidRDefault="00E04BB7" w:rsidP="00E04BB7">
      <w:pPr>
        <w:spacing w:line="276" w:lineRule="auto"/>
        <w:jc w:val="both"/>
        <w:rPr>
          <w:rFonts w:cs="Calibri"/>
        </w:rPr>
      </w:pPr>
      <w:r w:rsidRPr="00231414">
        <w:rPr>
          <w:rFonts w:cs="Calibri"/>
        </w:rPr>
        <w:t xml:space="preserve">Quanto é gasto com uma criança na escola? Quanto é gasto com um leito no hospital? Quanto gasta uma Secretaria da Fazenda para arrecadar um milhão de reais? Qual o custo-benefício? Tais perguntas expressam a importância que o conhecimento dos gastos trouxe para a esfera da administração. Pode acontecer gastar-se muito e não se ter a medida do que é necessário e suficiente, e de quanto poderia custar menos. </w:t>
      </w:r>
    </w:p>
    <w:p w:rsidR="00E04BB7" w:rsidRPr="00231414" w:rsidRDefault="00E04BB7" w:rsidP="00E04BB7">
      <w:pPr>
        <w:spacing w:line="276" w:lineRule="auto"/>
        <w:jc w:val="both"/>
        <w:rPr>
          <w:rFonts w:cs="Calibri"/>
        </w:rPr>
      </w:pPr>
    </w:p>
    <w:p w:rsidR="00E04BB7" w:rsidRPr="00231414" w:rsidRDefault="00E04BB7" w:rsidP="00E04BB7">
      <w:pPr>
        <w:jc w:val="both"/>
        <w:rPr>
          <w:rFonts w:cs="Calibri"/>
          <w:b/>
        </w:rPr>
      </w:pPr>
      <w:r w:rsidRPr="00231414">
        <w:rPr>
          <w:rFonts w:cs="Calibri"/>
        </w:rPr>
        <w:t>Deste modo é dever dos gestores públicos alcançar os objetivos e as metas programadas com o mínimo de recursos e tempo, conseguindo desta forma sua otimização, zelar pela melhor alocação e execução do gasto, dado que os recursos além de públicos, são escassos, eliminar os desperdícios gerados pela ineficiência e buscar a melhoria contínua dos processos.</w:t>
      </w:r>
    </w:p>
    <w:p w:rsidR="00E04BB7" w:rsidRPr="00E04BB7" w:rsidRDefault="00E04BB7" w:rsidP="00E04BB7">
      <w:pPr>
        <w:jc w:val="both"/>
        <w:rPr>
          <w:rFonts w:cs="Calibri"/>
          <w:b/>
        </w:rPr>
      </w:pPr>
    </w:p>
    <w:p w:rsidR="00E04BB7" w:rsidRPr="00231414" w:rsidRDefault="00E04BB7" w:rsidP="00A249C9">
      <w:pPr>
        <w:pStyle w:val="PargrafodaLista"/>
        <w:numPr>
          <w:ilvl w:val="2"/>
          <w:numId w:val="178"/>
        </w:numPr>
        <w:jc w:val="both"/>
        <w:rPr>
          <w:rFonts w:cs="Calibri"/>
          <w:b/>
        </w:rPr>
      </w:pPr>
      <w:r>
        <w:rPr>
          <w:rFonts w:cs="Calibri"/>
          <w:b/>
        </w:rPr>
        <w:t>P</w:t>
      </w:r>
      <w:r w:rsidRPr="00231414">
        <w:rPr>
          <w:rFonts w:cs="Calibri"/>
          <w:b/>
        </w:rPr>
        <w:t>erspectivas</w:t>
      </w:r>
    </w:p>
    <w:p w:rsidR="00E04BB7" w:rsidRDefault="00E04BB7" w:rsidP="00E04BB7">
      <w:pPr>
        <w:jc w:val="both"/>
        <w:rPr>
          <w:rFonts w:cs="Calibri"/>
        </w:rPr>
      </w:pPr>
      <w:r w:rsidRPr="00231414">
        <w:rPr>
          <w:rFonts w:cs="Calibri"/>
        </w:rPr>
        <w:t>A preocupação da contabilidade de custos na administração pública teve como marco inicial a Lei nº 4.320, de 17 de março de 1964, entretanto, esta restringia o seu uso à área industrial da Administração Pública, conforme seus arts. 85 e 99:</w:t>
      </w:r>
    </w:p>
    <w:p w:rsidR="00E04BB7" w:rsidRPr="00231414" w:rsidRDefault="00E04BB7" w:rsidP="00E04BB7">
      <w:pPr>
        <w:jc w:val="both"/>
        <w:rPr>
          <w:rFonts w:cs="Calibri"/>
        </w:rPr>
      </w:pPr>
    </w:p>
    <w:p w:rsidR="00E04BB7" w:rsidRPr="00231414" w:rsidRDefault="00E04BB7" w:rsidP="00E04BB7">
      <w:pPr>
        <w:jc w:val="both"/>
        <w:rPr>
          <w:rFonts w:cs="Calibri"/>
          <w:i/>
        </w:rPr>
      </w:pPr>
      <w:r w:rsidRPr="00231414">
        <w:rPr>
          <w:rFonts w:cs="Calibri"/>
          <w:i/>
        </w:rPr>
        <w:t>Art. 85. - Os serviços de contabilidade serão organizados de forma a permitirem o acompanhamento da execução orçamentária, o conhecimento da composição patrimonial, a determinação dos custos dos serviços industriais, o levantamento dos balanços gerais, a análise e a interpretação dos resultados econômicos e financeiros.</w:t>
      </w:r>
    </w:p>
    <w:p w:rsidR="00E04BB7" w:rsidRDefault="00E04BB7" w:rsidP="00E04BB7">
      <w:pPr>
        <w:jc w:val="both"/>
        <w:rPr>
          <w:rFonts w:cs="Calibri"/>
          <w:i/>
        </w:rPr>
      </w:pPr>
      <w:r w:rsidRPr="00231414">
        <w:rPr>
          <w:rFonts w:cs="Calibri"/>
          <w:i/>
        </w:rPr>
        <w:t>[...]</w:t>
      </w:r>
    </w:p>
    <w:p w:rsidR="00E04BB7" w:rsidRPr="00231414" w:rsidRDefault="00E04BB7" w:rsidP="00E04BB7">
      <w:pPr>
        <w:jc w:val="both"/>
        <w:rPr>
          <w:rFonts w:cs="Calibri"/>
          <w:i/>
        </w:rPr>
      </w:pPr>
    </w:p>
    <w:p w:rsidR="00E04BB7" w:rsidRDefault="00E04BB7" w:rsidP="00E04BB7">
      <w:pPr>
        <w:jc w:val="both"/>
        <w:rPr>
          <w:rFonts w:cs="Calibri"/>
          <w:i/>
        </w:rPr>
      </w:pPr>
      <w:r w:rsidRPr="00231414">
        <w:rPr>
          <w:rFonts w:cs="Calibri"/>
          <w:i/>
        </w:rPr>
        <w:t>Art. 99. - Os serviços públicos industriais, ainda que não organizados como empresa pública ou autárquica, manterão contabilidade especial para determinação dos custos, ingressos e resultados, sem prejuízo da escrituração patrimonial e financeiro comum. (grifos acrescentados).</w:t>
      </w:r>
    </w:p>
    <w:p w:rsidR="00E04BB7" w:rsidRPr="00231414" w:rsidRDefault="00E04BB7" w:rsidP="00E04BB7">
      <w:pPr>
        <w:jc w:val="both"/>
        <w:rPr>
          <w:rFonts w:cs="Calibri"/>
          <w:i/>
        </w:rPr>
      </w:pPr>
    </w:p>
    <w:p w:rsidR="00E04BB7" w:rsidRDefault="00E04BB7" w:rsidP="00E04BB7">
      <w:pPr>
        <w:jc w:val="both"/>
        <w:rPr>
          <w:rFonts w:cs="Calibri"/>
          <w:i/>
        </w:rPr>
      </w:pPr>
      <w:r w:rsidRPr="00231414">
        <w:rPr>
          <w:rFonts w:cs="Calibri"/>
          <w:i/>
        </w:rPr>
        <w:t>Posteriormente, o Decreto-Lei nº 200, de 25 de fevereiro de 1967, que estabeleceu diretrizes para a Reforma Administrativa, dispôs a respeito de custos, conforme seu art. 79:</w:t>
      </w:r>
    </w:p>
    <w:p w:rsidR="00E04BB7" w:rsidRPr="00231414" w:rsidRDefault="00E04BB7" w:rsidP="00E04BB7">
      <w:pPr>
        <w:jc w:val="both"/>
        <w:rPr>
          <w:rFonts w:cs="Calibri"/>
          <w:i/>
        </w:rPr>
      </w:pPr>
    </w:p>
    <w:p w:rsidR="00E04BB7" w:rsidRDefault="00E04BB7" w:rsidP="00E04BB7">
      <w:pPr>
        <w:jc w:val="both"/>
        <w:rPr>
          <w:rFonts w:cs="Calibri"/>
          <w:i/>
        </w:rPr>
      </w:pPr>
      <w:r w:rsidRPr="00231414">
        <w:rPr>
          <w:rFonts w:cs="Calibri"/>
          <w:i/>
        </w:rPr>
        <w:t>Art. 79. - A contabilidade deverá apurar os custos dos serviços de forma a evidenciar os resultados da gestão. (grifo acrescentado)</w:t>
      </w:r>
    </w:p>
    <w:p w:rsidR="00E04BB7" w:rsidRPr="00231414" w:rsidRDefault="00E04BB7" w:rsidP="00E04BB7">
      <w:pPr>
        <w:jc w:val="both"/>
        <w:rPr>
          <w:rFonts w:cs="Calibri"/>
          <w:i/>
        </w:rPr>
      </w:pPr>
    </w:p>
    <w:p w:rsidR="00E04BB7" w:rsidRDefault="00E04BB7" w:rsidP="00E04BB7">
      <w:pPr>
        <w:jc w:val="both"/>
        <w:rPr>
          <w:rFonts w:cs="Calibri"/>
        </w:rPr>
      </w:pPr>
      <w:r w:rsidRPr="00231414">
        <w:rPr>
          <w:rFonts w:cs="Calibri"/>
        </w:rPr>
        <w:t>No ano de 2000, a Lei Complementar nº 101, Lei de Responsabilidade Fiscal-LRF, que estabelece normas de finanças públicas voltadas para a responsabilidade na gestão fiscal, impõe a necessidade de um sistema de custos, conforme seu art. 50, §3º:</w:t>
      </w:r>
    </w:p>
    <w:p w:rsidR="00E04BB7" w:rsidRPr="00231414" w:rsidRDefault="00E04BB7" w:rsidP="00E04BB7">
      <w:pPr>
        <w:jc w:val="both"/>
        <w:rPr>
          <w:rFonts w:cs="Calibri"/>
        </w:rPr>
      </w:pPr>
    </w:p>
    <w:p w:rsidR="00E04BB7" w:rsidRDefault="00E04BB7" w:rsidP="00E04BB7">
      <w:pPr>
        <w:jc w:val="both"/>
        <w:rPr>
          <w:rFonts w:cs="Calibri"/>
          <w:i/>
        </w:rPr>
      </w:pPr>
      <w:r w:rsidRPr="00231414">
        <w:rPr>
          <w:rFonts w:cs="Calibri"/>
          <w:i/>
        </w:rPr>
        <w:t>§ 3º - A Administração Pública manterá sistema de custos que permita a avaliação e o acompanhamento da gestão orçamentária, financeira e patrimonial. (grifo acrescentado)</w:t>
      </w:r>
    </w:p>
    <w:p w:rsidR="00E04BB7" w:rsidRPr="00231414" w:rsidRDefault="00E04BB7" w:rsidP="00E04BB7">
      <w:pPr>
        <w:jc w:val="both"/>
        <w:rPr>
          <w:rFonts w:cs="Calibri"/>
          <w:i/>
        </w:rPr>
      </w:pPr>
    </w:p>
    <w:p w:rsidR="00E04BB7" w:rsidRDefault="00E04BB7" w:rsidP="00E04BB7">
      <w:pPr>
        <w:jc w:val="both"/>
        <w:rPr>
          <w:rFonts w:cs="Calibri"/>
        </w:rPr>
      </w:pPr>
      <w:r w:rsidRPr="00231414">
        <w:rPr>
          <w:rFonts w:cs="Calibri"/>
        </w:rPr>
        <w:t>Visando prover de eficácia à implementação do Sistema de Contabilidade de Custos, o Governo do Estado do Espírito Santo, estabeleceu as atribuições inerentes à necessidade de se controlar os custos, especialmente, por meio do Decreto nº 3.306-R, de 09 de maio de 2013, que dispõe sobre alterações na estrutura organizacional básica da Secretaria de Estado da Fazenda – SEFAZ, conforme seu art. 4º:</w:t>
      </w:r>
    </w:p>
    <w:p w:rsidR="00E04BB7" w:rsidRPr="00231414" w:rsidRDefault="00E04BB7" w:rsidP="00E04BB7">
      <w:pPr>
        <w:jc w:val="both"/>
        <w:rPr>
          <w:rFonts w:cs="Calibri"/>
        </w:rPr>
      </w:pPr>
    </w:p>
    <w:p w:rsidR="00E04BB7" w:rsidRPr="00231414" w:rsidRDefault="00E04BB7" w:rsidP="00E04BB7">
      <w:pPr>
        <w:jc w:val="both"/>
        <w:rPr>
          <w:rFonts w:cs="Calibri"/>
          <w:i/>
        </w:rPr>
      </w:pPr>
      <w:r w:rsidRPr="00231414">
        <w:rPr>
          <w:rFonts w:cs="Calibri"/>
          <w:i/>
        </w:rPr>
        <w:t>Art. 4º. - À Subgerência de Informações Fiscais e de Contabilidade de Custos - SUFIC compete (...) a instituição e manutenção de sistemas e mecanismos, que possibilitem o conhecimento da posição patrimonial e a determinação dos custos dos bens e serviços produzidos e ofertados à sociedade com o objetivo de atender os preceitos legais e infralegais; a supervisão, a manutenção, a orientação e o apoio técnico aos órgãos setoriais na utilização do Sistema de Custos e de Contabilidade; e outras atividades correlatas. (grifo acrescentado)</w:t>
      </w:r>
    </w:p>
    <w:p w:rsidR="00E04BB7" w:rsidRDefault="00E04BB7" w:rsidP="00E04BB7">
      <w:pPr>
        <w:jc w:val="both"/>
        <w:rPr>
          <w:rFonts w:cs="Calibri"/>
          <w:i/>
        </w:rPr>
      </w:pPr>
      <w:r w:rsidRPr="00231414">
        <w:rPr>
          <w:rFonts w:cs="Calibri"/>
          <w:i/>
        </w:rPr>
        <w:t xml:space="preserve"> [...]</w:t>
      </w:r>
    </w:p>
    <w:p w:rsidR="00E04BB7" w:rsidRPr="00231414" w:rsidRDefault="00E04BB7" w:rsidP="00E04BB7">
      <w:pPr>
        <w:jc w:val="both"/>
        <w:rPr>
          <w:rFonts w:cs="Calibri"/>
          <w:i/>
        </w:rPr>
      </w:pPr>
    </w:p>
    <w:p w:rsidR="00E04BB7" w:rsidRDefault="00E04BB7" w:rsidP="00E04BB7">
      <w:pPr>
        <w:jc w:val="both"/>
        <w:rPr>
          <w:rFonts w:cs="Calibri"/>
          <w:i/>
        </w:rPr>
      </w:pPr>
      <w:r w:rsidRPr="00231414">
        <w:rPr>
          <w:rFonts w:cs="Calibri"/>
          <w:i/>
        </w:rPr>
        <w:t>VI - os trabalhos desenvolvidos com relação à contabilidade de custos e às avaliações da produtividade dos serviços públicos, bem como os resultados alcançados. (grifo acrescentado)</w:t>
      </w:r>
    </w:p>
    <w:p w:rsidR="00E04BB7" w:rsidRPr="00231414" w:rsidRDefault="00E04BB7" w:rsidP="00E04BB7">
      <w:pPr>
        <w:jc w:val="both"/>
        <w:rPr>
          <w:rFonts w:cs="Calibri"/>
          <w:i/>
        </w:rPr>
      </w:pPr>
    </w:p>
    <w:p w:rsidR="00E04BB7" w:rsidRDefault="00E04BB7" w:rsidP="00E04BB7">
      <w:pPr>
        <w:jc w:val="both"/>
        <w:rPr>
          <w:rFonts w:cs="Calibri"/>
        </w:rPr>
      </w:pPr>
      <w:r w:rsidRPr="00231414">
        <w:rPr>
          <w:rFonts w:cs="Calibri"/>
        </w:rPr>
        <w:t xml:space="preserve">Desta forma, em consonância  com a Resolução CFC nº 1.366/2011, que aprovou a NBC T 16.11 – Sistema de Informação de Custos no Setor Públicos, o Estado do Espírito Santo, visa a implementação do sistema de contabilidade de custos, a partir da premissa que a contabilidade de custos é, objetivamente, um </w:t>
      </w:r>
      <w:hyperlink r:id="rId47" w:history="1">
        <w:r w:rsidRPr="00231414">
          <w:rPr>
            <w:rFonts w:cs="Calibri"/>
          </w:rPr>
          <w:t>sistema de informação</w:t>
        </w:r>
      </w:hyperlink>
      <w:r w:rsidRPr="00231414">
        <w:rPr>
          <w:rFonts w:cs="Calibri"/>
        </w:rPr>
        <w:t xml:space="preserve"> e avaliação que se destina a fornecer aos usuários informações sobre os resultados alcançados e os aspectos de natureza orçamentária, econômica, financeira e física do patrimônio da entidade do setor público e suas mutações, em apoio ao processo de tomada de decisão; a adequada prestação de contas; e o necessário suporte para a instrumentalização do controle social.</w:t>
      </w:r>
    </w:p>
    <w:p w:rsidR="00E04BB7" w:rsidRPr="00231414" w:rsidRDefault="00E04BB7" w:rsidP="00E04BB7">
      <w:pPr>
        <w:jc w:val="both"/>
        <w:rPr>
          <w:rFonts w:cs="Calibri"/>
        </w:rPr>
      </w:pPr>
    </w:p>
    <w:p w:rsidR="00E04BB7" w:rsidRPr="00231414" w:rsidRDefault="00E04BB7" w:rsidP="00E04BB7">
      <w:pPr>
        <w:jc w:val="both"/>
        <w:rPr>
          <w:rFonts w:cs="Calibri"/>
        </w:rPr>
      </w:pPr>
      <w:r w:rsidRPr="00231414">
        <w:rPr>
          <w:rFonts w:cs="Calibri"/>
        </w:rPr>
        <w:t>Tal perspectiva tem por escopo, conforme se verifica na NBC T 16.11, aprovada pela Resolução CFC nº 1.366/2011, o seguinte:</w:t>
      </w:r>
    </w:p>
    <w:p w:rsidR="00E04BB7" w:rsidRPr="00231414" w:rsidRDefault="00E04BB7" w:rsidP="00E04BB7">
      <w:pPr>
        <w:ind w:firstLine="708"/>
        <w:jc w:val="both"/>
        <w:rPr>
          <w:rFonts w:cs="Calibri"/>
          <w:i/>
        </w:rPr>
      </w:pPr>
      <w:r w:rsidRPr="00231414">
        <w:rPr>
          <w:rFonts w:cs="Calibri"/>
          <w:i/>
        </w:rPr>
        <w:t>O SICSP de bens e serviços e outros objetos de custos públicos tem por objetivo:</w:t>
      </w:r>
    </w:p>
    <w:p w:rsidR="00E04BB7" w:rsidRPr="00231414" w:rsidRDefault="00E04BB7" w:rsidP="00A249C9">
      <w:pPr>
        <w:numPr>
          <w:ilvl w:val="0"/>
          <w:numId w:val="172"/>
        </w:numPr>
        <w:spacing w:line="240" w:lineRule="auto"/>
        <w:ind w:left="0" w:firstLine="0"/>
        <w:jc w:val="both"/>
        <w:rPr>
          <w:rFonts w:cs="Calibri"/>
          <w:i/>
        </w:rPr>
      </w:pPr>
      <w:r w:rsidRPr="00231414">
        <w:rPr>
          <w:rFonts w:cs="Calibri"/>
          <w:i/>
        </w:rPr>
        <w:t>mensurar, registrar e evidenciar os custos dos produtos, serviços, programas, projetos, atividades, ações, órgãos e outros objetos de custos da entidade;</w:t>
      </w:r>
    </w:p>
    <w:p w:rsidR="00E04BB7" w:rsidRPr="00231414" w:rsidRDefault="00E04BB7" w:rsidP="00A249C9">
      <w:pPr>
        <w:numPr>
          <w:ilvl w:val="0"/>
          <w:numId w:val="172"/>
        </w:numPr>
        <w:spacing w:line="240" w:lineRule="auto"/>
        <w:ind w:left="0" w:firstLine="0"/>
        <w:jc w:val="both"/>
        <w:rPr>
          <w:rFonts w:cs="Calibri"/>
          <w:i/>
        </w:rPr>
      </w:pPr>
      <w:r w:rsidRPr="00231414">
        <w:rPr>
          <w:rFonts w:cs="Calibri"/>
          <w:i/>
        </w:rPr>
        <w:t>apoiar a avaliação de resultados e desempenhos, permitindo a comparação entre os custos da entidade com os custos de outras entidades públicas, estimulando a melhoria do desempenho dessas entidades;</w:t>
      </w:r>
    </w:p>
    <w:p w:rsidR="00E04BB7" w:rsidRPr="00231414" w:rsidRDefault="00E04BB7" w:rsidP="00A249C9">
      <w:pPr>
        <w:numPr>
          <w:ilvl w:val="0"/>
          <w:numId w:val="172"/>
        </w:numPr>
        <w:spacing w:line="240" w:lineRule="auto"/>
        <w:ind w:left="0" w:firstLine="0"/>
        <w:jc w:val="both"/>
        <w:rPr>
          <w:rFonts w:cs="Calibri"/>
          <w:i/>
        </w:rPr>
      </w:pPr>
      <w:r w:rsidRPr="00231414">
        <w:rPr>
          <w:rFonts w:cs="Calibri"/>
          <w:i/>
        </w:rPr>
        <w:t>apoiar a tomada de decisão em processos, tais como comprar ou alugar, produzir internamente ou terceirizar determinado bem ou serviço;</w:t>
      </w:r>
    </w:p>
    <w:p w:rsidR="00E04BB7" w:rsidRPr="00231414" w:rsidRDefault="00E04BB7" w:rsidP="00A249C9">
      <w:pPr>
        <w:numPr>
          <w:ilvl w:val="0"/>
          <w:numId w:val="172"/>
        </w:numPr>
        <w:spacing w:line="240" w:lineRule="auto"/>
        <w:ind w:left="0" w:firstLine="0"/>
        <w:jc w:val="both"/>
        <w:rPr>
          <w:rFonts w:cs="Calibri"/>
          <w:i/>
        </w:rPr>
      </w:pPr>
      <w:r w:rsidRPr="00231414">
        <w:rPr>
          <w:rFonts w:cs="Calibri"/>
          <w:i/>
        </w:rPr>
        <w:t xml:space="preserve">apoiar as funções de planejamento e orçamento, fornecendo informações que permitam projeções mais aderentes à realidade com base em custos incorridos e projetados; </w:t>
      </w:r>
    </w:p>
    <w:p w:rsidR="00E04BB7" w:rsidRPr="00231414" w:rsidRDefault="00E04BB7" w:rsidP="00A249C9">
      <w:pPr>
        <w:numPr>
          <w:ilvl w:val="0"/>
          <w:numId w:val="172"/>
        </w:numPr>
        <w:spacing w:line="240" w:lineRule="auto"/>
        <w:ind w:left="0" w:firstLine="0"/>
        <w:jc w:val="both"/>
        <w:rPr>
          <w:rFonts w:cs="Calibri"/>
          <w:i/>
        </w:rPr>
      </w:pPr>
      <w:r w:rsidRPr="00231414">
        <w:rPr>
          <w:rFonts w:cs="Calibri"/>
          <w:i/>
        </w:rPr>
        <w:t>apoiar programas de redução de custos e de melhoria da qualidade do gasto.</w:t>
      </w:r>
    </w:p>
    <w:p w:rsidR="00E04BB7" w:rsidRPr="00231414" w:rsidRDefault="00E04BB7" w:rsidP="00E04BB7">
      <w:pPr>
        <w:jc w:val="both"/>
        <w:rPr>
          <w:rFonts w:cs="Calibri"/>
        </w:rPr>
      </w:pPr>
      <w:r w:rsidRPr="00231414">
        <w:rPr>
          <w:rFonts w:cs="Calibri"/>
        </w:rPr>
        <w:t>Com isso pode-se verificar que a adoção de sistema de contabilidade de custos, pelo Governo do Estado do Espírito Santo, resultará na confecção de informações de natureza gerencial úteis ao processo de tomada de decisão de modo a prover de eficácia os dispêndios realizados com recursos públicos.</w:t>
      </w:r>
    </w:p>
    <w:p w:rsidR="00E04BB7" w:rsidRPr="00231414" w:rsidRDefault="00E04BB7" w:rsidP="00E04BB7">
      <w:pPr>
        <w:jc w:val="both"/>
        <w:rPr>
          <w:rFonts w:cs="Calibri"/>
        </w:rPr>
      </w:pPr>
      <w:r w:rsidRPr="00231414">
        <w:rPr>
          <w:rFonts w:cs="Calibri"/>
        </w:rPr>
        <w:t>O processo de implantação do Sistema de Contabilidade de Custos deve ser sistemático e gradual e levar em consideração os objetivos organizacionais pretendidos, os processos decisórios que usarão as informações de custos segmentados por seus diferentes grupos de usuários, bem como os critérios de transparência e controle social.</w:t>
      </w:r>
    </w:p>
    <w:p w:rsidR="00E04BB7" w:rsidRPr="00231414" w:rsidRDefault="00E04BB7" w:rsidP="00A249C9">
      <w:pPr>
        <w:pStyle w:val="PargrafodaLista"/>
        <w:numPr>
          <w:ilvl w:val="2"/>
          <w:numId w:val="178"/>
        </w:numPr>
        <w:jc w:val="both"/>
        <w:rPr>
          <w:rFonts w:cs="Calibri"/>
          <w:b/>
        </w:rPr>
      </w:pPr>
      <w:r>
        <w:rPr>
          <w:rFonts w:cs="Calibri"/>
          <w:b/>
        </w:rPr>
        <w:t>E</w:t>
      </w:r>
      <w:r w:rsidRPr="00231414">
        <w:rPr>
          <w:rFonts w:cs="Calibri"/>
          <w:b/>
        </w:rPr>
        <w:t>stágio atual</w:t>
      </w:r>
    </w:p>
    <w:p w:rsidR="00E04BB7" w:rsidRDefault="00E04BB7" w:rsidP="00E04BB7">
      <w:pPr>
        <w:jc w:val="both"/>
        <w:rPr>
          <w:rFonts w:cs="Calibri"/>
        </w:rPr>
      </w:pPr>
      <w:r w:rsidRPr="00231414">
        <w:rPr>
          <w:rFonts w:cs="Calibri"/>
        </w:rPr>
        <w:t>Atualmente, a equipe técnica da Gerência de Contabilidade Geral do Estado (GECOG) da Secretaria de Estado da Fazenda (SEFAZ) está desenvolvendo estudos iniciais no campo teórico e análises comparativas entre os Sistemas de Contabilidade de Custos já implantados ou em fase de desenvolvimento nos demais entes da federação.</w:t>
      </w:r>
    </w:p>
    <w:p w:rsidR="00E04BB7" w:rsidRPr="00231414" w:rsidRDefault="00E04BB7" w:rsidP="00E04BB7">
      <w:pPr>
        <w:jc w:val="both"/>
        <w:rPr>
          <w:rFonts w:cs="Calibri"/>
        </w:rPr>
      </w:pPr>
    </w:p>
    <w:p w:rsidR="00E04BB7" w:rsidRDefault="00E04BB7" w:rsidP="00E04BB7">
      <w:pPr>
        <w:jc w:val="both"/>
        <w:rPr>
          <w:rFonts w:cs="Calibri"/>
        </w:rPr>
      </w:pPr>
      <w:r w:rsidRPr="00231414">
        <w:rPr>
          <w:rFonts w:cs="Calibri"/>
        </w:rPr>
        <w:t>Os seguintes termos contábeis, inerentes à elaboração e utilização do Sistema de Contabilidade de Custos, já foram identificados pela equipe técnica:</w:t>
      </w:r>
    </w:p>
    <w:p w:rsidR="00E04BB7" w:rsidRPr="00231414" w:rsidRDefault="00E04BB7" w:rsidP="00E04BB7">
      <w:pPr>
        <w:jc w:val="both"/>
        <w:rPr>
          <w:rFonts w:cs="Calibri"/>
        </w:rPr>
      </w:pPr>
    </w:p>
    <w:p w:rsidR="00E04BB7" w:rsidRPr="00231414" w:rsidRDefault="00E04BB7" w:rsidP="00E04BB7">
      <w:pPr>
        <w:jc w:val="both"/>
        <w:rPr>
          <w:rFonts w:cs="Calibri"/>
          <w:i/>
        </w:rPr>
      </w:pPr>
      <w:r w:rsidRPr="00231414">
        <w:rPr>
          <w:rFonts w:cs="Calibri"/>
          <w:b/>
          <w:i/>
        </w:rPr>
        <w:t>Unidade Piloto</w:t>
      </w:r>
      <w:r w:rsidRPr="00231414">
        <w:rPr>
          <w:rFonts w:cs="Calibri"/>
          <w:i/>
        </w:rPr>
        <w:t>: será realizada na Secretaria de Estado da Educação (SEDU)</w:t>
      </w:r>
    </w:p>
    <w:p w:rsidR="00E04BB7" w:rsidRPr="00231414" w:rsidRDefault="00E04BB7" w:rsidP="00E04BB7">
      <w:pPr>
        <w:jc w:val="both"/>
        <w:rPr>
          <w:rFonts w:cs="Calibri"/>
          <w:i/>
        </w:rPr>
      </w:pPr>
      <w:r w:rsidRPr="00231414">
        <w:rPr>
          <w:rFonts w:cs="Calibri"/>
          <w:b/>
          <w:i/>
        </w:rPr>
        <w:t>Barramento</w:t>
      </w:r>
      <w:r w:rsidRPr="00231414">
        <w:rPr>
          <w:rFonts w:cs="Calibri"/>
          <w:i/>
        </w:rPr>
        <w:t xml:space="preserve">: Solução de TI necessária para a integração dos demais sistemas corporativos do Estado com o sistema de custos. </w:t>
      </w:r>
    </w:p>
    <w:p w:rsidR="00E04BB7" w:rsidRPr="00231414" w:rsidRDefault="00E04BB7" w:rsidP="00E04BB7">
      <w:pPr>
        <w:jc w:val="both"/>
        <w:rPr>
          <w:rFonts w:cs="Calibri"/>
          <w:i/>
        </w:rPr>
      </w:pPr>
      <w:r w:rsidRPr="00231414">
        <w:rPr>
          <w:rFonts w:cs="Calibri"/>
          <w:b/>
          <w:i/>
        </w:rPr>
        <w:t>Objeto de custo</w:t>
      </w:r>
      <w:r w:rsidRPr="00231414">
        <w:rPr>
          <w:rFonts w:cs="Calibri"/>
          <w:i/>
        </w:rPr>
        <w:t xml:space="preserve"> é a unidade que se deseja mensurar e avaliar os custos. Os principais objetos de custos são identificados a partir de informações dos subsistemas orçamentário e patrimonial.</w:t>
      </w:r>
    </w:p>
    <w:p w:rsidR="00E04BB7" w:rsidRPr="00231414" w:rsidRDefault="00E04BB7" w:rsidP="00E04BB7">
      <w:pPr>
        <w:jc w:val="both"/>
        <w:rPr>
          <w:rFonts w:cs="Calibri"/>
          <w:i/>
        </w:rPr>
      </w:pPr>
      <w:r w:rsidRPr="00231414">
        <w:rPr>
          <w:rFonts w:cs="Calibri"/>
          <w:b/>
          <w:i/>
        </w:rPr>
        <w:t>Apropriação do custo</w:t>
      </w:r>
      <w:r w:rsidRPr="00231414">
        <w:rPr>
          <w:rFonts w:cs="Calibri"/>
          <w:i/>
        </w:rPr>
        <w:t xml:space="preserve"> é o reconhecimento do gasto de determinado objeto de custo previamente definido.</w:t>
      </w:r>
    </w:p>
    <w:p w:rsidR="00E04BB7" w:rsidRPr="00231414" w:rsidRDefault="00E04BB7" w:rsidP="00E04BB7">
      <w:pPr>
        <w:jc w:val="both"/>
        <w:rPr>
          <w:rFonts w:cs="Calibri"/>
          <w:i/>
        </w:rPr>
      </w:pPr>
      <w:r w:rsidRPr="00231414">
        <w:rPr>
          <w:rFonts w:cs="Calibri"/>
          <w:b/>
          <w:i/>
        </w:rPr>
        <w:t>Custos</w:t>
      </w:r>
      <w:r w:rsidRPr="00231414">
        <w:rPr>
          <w:rFonts w:cs="Calibri"/>
          <w:i/>
        </w:rPr>
        <w:t xml:space="preserve"> são gastos com bens ou serviços utilizados para a produção de outros bens ou serviços.</w:t>
      </w:r>
    </w:p>
    <w:p w:rsidR="00E04BB7" w:rsidRPr="00231414" w:rsidRDefault="00E04BB7" w:rsidP="00E04BB7">
      <w:pPr>
        <w:jc w:val="both"/>
        <w:rPr>
          <w:rFonts w:cs="Calibri"/>
          <w:i/>
        </w:rPr>
      </w:pPr>
      <w:r w:rsidRPr="00231414">
        <w:rPr>
          <w:rFonts w:cs="Calibri"/>
          <w:b/>
          <w:i/>
        </w:rPr>
        <w:t>Custo direto</w:t>
      </w:r>
      <w:r w:rsidRPr="00231414">
        <w:rPr>
          <w:rFonts w:cs="Calibri"/>
          <w:i/>
        </w:rPr>
        <w:t xml:space="preserve"> é todo o custo que é identificado ou associado diretamente ao objeto do custo.</w:t>
      </w:r>
    </w:p>
    <w:p w:rsidR="00E04BB7" w:rsidRPr="00231414" w:rsidRDefault="00E04BB7" w:rsidP="00E04BB7">
      <w:pPr>
        <w:jc w:val="both"/>
        <w:rPr>
          <w:rFonts w:cs="Calibri"/>
          <w:i/>
        </w:rPr>
      </w:pPr>
      <w:r w:rsidRPr="00231414">
        <w:rPr>
          <w:rFonts w:cs="Calibri"/>
          <w:b/>
          <w:i/>
        </w:rPr>
        <w:t>Custo indireto</w:t>
      </w:r>
      <w:r w:rsidRPr="00231414">
        <w:rPr>
          <w:rFonts w:cs="Calibri"/>
          <w:i/>
        </w:rPr>
        <w:t xml:space="preserve"> é o custo que não pode ser identificado diretamente ao objeto do custo, devendo sua apropriação ocorrer por meio da utilização de bases de rateio ou direcionadores de custos.</w:t>
      </w:r>
    </w:p>
    <w:p w:rsidR="00E04BB7" w:rsidRPr="00231414" w:rsidRDefault="00E04BB7" w:rsidP="00E04BB7">
      <w:pPr>
        <w:jc w:val="both"/>
        <w:rPr>
          <w:rFonts w:cs="Calibri"/>
          <w:i/>
        </w:rPr>
      </w:pPr>
      <w:r w:rsidRPr="00231414">
        <w:rPr>
          <w:rFonts w:cs="Calibri"/>
          <w:b/>
          <w:i/>
        </w:rPr>
        <w:t>Custo fixo</w:t>
      </w:r>
      <w:r w:rsidRPr="00231414">
        <w:rPr>
          <w:rFonts w:cs="Calibri"/>
          <w:i/>
        </w:rPr>
        <w:t xml:space="preserve"> é o que não é influenciado pelas atividades desenvolvidas, mantendo seu valor constante em intervalo relevante das atividades desenvolvidas pela entidade.</w:t>
      </w:r>
    </w:p>
    <w:p w:rsidR="00E04BB7" w:rsidRPr="00231414" w:rsidRDefault="00E04BB7" w:rsidP="00E04BB7">
      <w:pPr>
        <w:jc w:val="both"/>
        <w:rPr>
          <w:rFonts w:cs="Calibri"/>
          <w:i/>
        </w:rPr>
      </w:pPr>
      <w:r w:rsidRPr="00231414">
        <w:rPr>
          <w:rFonts w:cs="Calibri"/>
          <w:b/>
          <w:i/>
        </w:rPr>
        <w:t>Custo variável</w:t>
      </w:r>
      <w:r w:rsidRPr="00231414">
        <w:rPr>
          <w:rFonts w:cs="Calibri"/>
          <w:i/>
        </w:rPr>
        <w:t xml:space="preserve"> é o que tem seu valor determinado e diretamente relacionado com a oscilação de um fator de custos estabelecido na produção e execução dos serviços.</w:t>
      </w:r>
    </w:p>
    <w:p w:rsidR="00E04BB7" w:rsidRPr="00231414" w:rsidRDefault="00E04BB7" w:rsidP="00E04BB7">
      <w:pPr>
        <w:jc w:val="both"/>
        <w:rPr>
          <w:rFonts w:cs="Calibri"/>
          <w:i/>
        </w:rPr>
      </w:pPr>
      <w:r w:rsidRPr="00231414">
        <w:rPr>
          <w:rFonts w:cs="Calibri"/>
          <w:b/>
          <w:i/>
        </w:rPr>
        <w:t>Custeio direto</w:t>
      </w:r>
      <w:r w:rsidRPr="00231414">
        <w:rPr>
          <w:rFonts w:cs="Calibri"/>
          <w:i/>
        </w:rPr>
        <w:t xml:space="preserve"> é o custeio que aloca todos os custos – fixos e variáveis – diretamente a todos os objetos de custo sem qualquer tipo de rateio ou apropriação.</w:t>
      </w:r>
    </w:p>
    <w:p w:rsidR="00E04BB7" w:rsidRPr="00231414" w:rsidRDefault="00E04BB7" w:rsidP="00E04BB7">
      <w:pPr>
        <w:jc w:val="both"/>
        <w:rPr>
          <w:rFonts w:cs="Calibri"/>
          <w:i/>
        </w:rPr>
      </w:pPr>
      <w:r w:rsidRPr="00231414">
        <w:rPr>
          <w:rFonts w:cs="Calibri"/>
          <w:b/>
          <w:i/>
        </w:rPr>
        <w:t>Custeio variável</w:t>
      </w:r>
      <w:r w:rsidRPr="00231414">
        <w:rPr>
          <w:rFonts w:cs="Calibri"/>
          <w:i/>
        </w:rPr>
        <w:t xml:space="preserve"> que apropria aos produtos ou serviços apenas os custos variáveis e considera os custos fixos como despesas do período.</w:t>
      </w:r>
    </w:p>
    <w:p w:rsidR="00E04BB7" w:rsidRPr="00231414" w:rsidRDefault="00E04BB7" w:rsidP="00E04BB7">
      <w:pPr>
        <w:jc w:val="both"/>
        <w:rPr>
          <w:rFonts w:cs="Calibri"/>
          <w:i/>
        </w:rPr>
      </w:pPr>
      <w:r w:rsidRPr="00231414">
        <w:rPr>
          <w:rFonts w:cs="Calibri"/>
          <w:b/>
          <w:i/>
        </w:rPr>
        <w:t>Custeio por absorção</w:t>
      </w:r>
      <w:r w:rsidRPr="00231414">
        <w:rPr>
          <w:rFonts w:cs="Calibri"/>
          <w:i/>
        </w:rPr>
        <w:t xml:space="preserve"> que consiste na apropriação de todos os custos de produção aos produtos e serviços. </w:t>
      </w:r>
    </w:p>
    <w:p w:rsidR="00E04BB7" w:rsidRPr="00231414" w:rsidRDefault="00E04BB7" w:rsidP="00E04BB7">
      <w:pPr>
        <w:jc w:val="both"/>
        <w:rPr>
          <w:rFonts w:cs="Calibri"/>
          <w:i/>
        </w:rPr>
      </w:pPr>
      <w:r w:rsidRPr="00231414">
        <w:rPr>
          <w:rFonts w:cs="Calibri"/>
          <w:b/>
          <w:i/>
        </w:rPr>
        <w:t>Custeio por atividade</w:t>
      </w:r>
      <w:r w:rsidRPr="00231414">
        <w:rPr>
          <w:rFonts w:cs="Calibri"/>
          <w:i/>
        </w:rPr>
        <w:t xml:space="preserve"> que considera que todas as atividades desenvolvidas pelas entidades são geradoras de custos e consomem recursos. Procura estabelecer a relação entre atividades e os objetos de custo por meio de direcionadores de custos que determinam quanto de cada atividade é consumida por eles.</w:t>
      </w:r>
    </w:p>
    <w:p w:rsidR="00E04BB7" w:rsidRPr="00231414" w:rsidRDefault="00E04BB7" w:rsidP="00E04BB7">
      <w:pPr>
        <w:jc w:val="both"/>
        <w:rPr>
          <w:rFonts w:cs="Calibri"/>
          <w:i/>
        </w:rPr>
      </w:pPr>
      <w:r w:rsidRPr="00231414">
        <w:rPr>
          <w:rFonts w:cs="Calibri"/>
          <w:b/>
          <w:i/>
        </w:rPr>
        <w:t>Gasto</w:t>
      </w:r>
      <w:r w:rsidRPr="00231414">
        <w:rPr>
          <w:rFonts w:cs="Calibri"/>
          <w:i/>
        </w:rPr>
        <w:t xml:space="preserve"> é o dispêndio de um ativo ou criação de um passivo para obtenção de um produto ou serviço.</w:t>
      </w:r>
    </w:p>
    <w:p w:rsidR="00E04BB7" w:rsidRPr="00231414" w:rsidRDefault="00E04BB7" w:rsidP="00E04BB7">
      <w:pPr>
        <w:jc w:val="both"/>
        <w:rPr>
          <w:rFonts w:cs="Calibri"/>
          <w:i/>
        </w:rPr>
      </w:pPr>
      <w:r w:rsidRPr="00231414">
        <w:rPr>
          <w:rFonts w:cs="Calibri"/>
          <w:b/>
          <w:i/>
        </w:rPr>
        <w:t>Despesa</w:t>
      </w:r>
      <w:r w:rsidRPr="00231414">
        <w:rPr>
          <w:rFonts w:cs="Calibri"/>
          <w:i/>
        </w:rPr>
        <w:t xml:space="preserve"> é o </w:t>
      </w:r>
      <w:hyperlink r:id="rId48" w:tooltip="Gasto" w:history="1">
        <w:r w:rsidRPr="00231414">
          <w:rPr>
            <w:rFonts w:cs="Calibri"/>
            <w:i/>
          </w:rPr>
          <w:t>gasto</w:t>
        </w:r>
      </w:hyperlink>
      <w:r w:rsidRPr="00231414">
        <w:rPr>
          <w:rFonts w:cs="Calibri"/>
          <w:i/>
        </w:rPr>
        <w:t xml:space="preserve"> necessário para a obtenção de </w:t>
      </w:r>
      <w:hyperlink r:id="rId49" w:tooltip="Receita (economia)" w:history="1">
        <w:r w:rsidRPr="00231414">
          <w:rPr>
            <w:rFonts w:cs="Calibri"/>
            <w:i/>
          </w:rPr>
          <w:t>receita</w:t>
        </w:r>
      </w:hyperlink>
      <w:r w:rsidRPr="00231414">
        <w:rPr>
          <w:rFonts w:cs="Calibri"/>
          <w:i/>
        </w:rPr>
        <w:t>.</w:t>
      </w:r>
    </w:p>
    <w:p w:rsidR="00E04BB7" w:rsidRPr="00231414" w:rsidRDefault="00E04BB7" w:rsidP="00E04BB7">
      <w:pPr>
        <w:jc w:val="both"/>
        <w:rPr>
          <w:rFonts w:cs="Calibri"/>
          <w:i/>
        </w:rPr>
      </w:pPr>
      <w:r w:rsidRPr="00231414">
        <w:rPr>
          <w:rFonts w:cs="Calibri"/>
          <w:b/>
          <w:i/>
        </w:rPr>
        <w:t>Desembolso</w:t>
      </w:r>
      <w:r w:rsidRPr="00231414">
        <w:rPr>
          <w:rFonts w:cs="Calibri"/>
          <w:i/>
        </w:rPr>
        <w:t xml:space="preserve"> é o pagamento resultante da aquisição do bem ou serviço.</w:t>
      </w:r>
    </w:p>
    <w:p w:rsidR="00E04BB7" w:rsidRPr="00231414" w:rsidRDefault="00E04BB7" w:rsidP="00E04BB7">
      <w:pPr>
        <w:jc w:val="both"/>
        <w:rPr>
          <w:rFonts w:cs="Calibri"/>
          <w:i/>
        </w:rPr>
      </w:pPr>
      <w:r w:rsidRPr="00231414">
        <w:rPr>
          <w:rFonts w:cs="Calibri"/>
          <w:b/>
          <w:i/>
        </w:rPr>
        <w:t>Investimento</w:t>
      </w:r>
      <w:r w:rsidRPr="00231414">
        <w:rPr>
          <w:rFonts w:cs="Calibri"/>
          <w:i/>
        </w:rPr>
        <w:t xml:space="preserve"> corresponde ao gasto levado para o Ativo em função de sua vida útil. São todos os bens e direitos adquiridos e registrados no ativo.</w:t>
      </w:r>
    </w:p>
    <w:p w:rsidR="00E04BB7" w:rsidRPr="00231414" w:rsidRDefault="00E04BB7" w:rsidP="00E04BB7">
      <w:pPr>
        <w:jc w:val="both"/>
        <w:rPr>
          <w:rFonts w:cs="Calibri"/>
          <w:i/>
        </w:rPr>
      </w:pPr>
      <w:r w:rsidRPr="00231414">
        <w:rPr>
          <w:rFonts w:cs="Calibri"/>
          <w:b/>
          <w:i/>
        </w:rPr>
        <w:t>Perdas</w:t>
      </w:r>
      <w:r w:rsidRPr="00231414">
        <w:rPr>
          <w:rFonts w:cs="Calibri"/>
          <w:i/>
        </w:rPr>
        <w:t xml:space="preserve"> correspondem a reduções do patrimônio que não estão associadas a qualquer recebimento compensatório ou geração de produtos ou serviços.</w:t>
      </w:r>
    </w:p>
    <w:p w:rsidR="00E04BB7" w:rsidRDefault="00E04BB7" w:rsidP="00E04BB7">
      <w:pPr>
        <w:jc w:val="both"/>
        <w:rPr>
          <w:rFonts w:cs="Calibri"/>
          <w:i/>
        </w:rPr>
      </w:pPr>
      <w:r w:rsidRPr="00231414">
        <w:rPr>
          <w:rFonts w:cs="Calibri"/>
          <w:b/>
          <w:i/>
        </w:rPr>
        <w:t>Custos da prestação de serviços</w:t>
      </w:r>
      <w:r w:rsidRPr="00231414">
        <w:rPr>
          <w:rFonts w:cs="Calibri"/>
          <w:i/>
        </w:rPr>
        <w:t xml:space="preserve"> são os custos incorridos no processo de obtenção de bens e serviços e outros objetos de custos e que correspondem ao somatório dos elementos de custo, ligados à prestação daquele serviço.</w:t>
      </w:r>
    </w:p>
    <w:p w:rsidR="00E04BB7" w:rsidRPr="00231414" w:rsidRDefault="00E04BB7" w:rsidP="00E04BB7">
      <w:pPr>
        <w:jc w:val="both"/>
        <w:rPr>
          <w:rFonts w:cs="Calibri"/>
          <w:i/>
        </w:rPr>
      </w:pPr>
    </w:p>
    <w:p w:rsidR="00E04BB7" w:rsidRPr="00231414" w:rsidRDefault="00E04BB7" w:rsidP="00E04BB7">
      <w:pPr>
        <w:jc w:val="both"/>
        <w:rPr>
          <w:rFonts w:cs="Calibri"/>
        </w:rPr>
      </w:pPr>
      <w:r w:rsidRPr="00231414">
        <w:rPr>
          <w:rFonts w:cs="Calibri"/>
        </w:rPr>
        <w:t>Também foram mapeados, pela equipe técnica, os seguintes pressupostos para implantação do Sistema de Contabilidade de Custos no Governo do Estado do Espírito Santo (SICES):</w:t>
      </w:r>
    </w:p>
    <w:p w:rsidR="00E04BB7" w:rsidRPr="00231414" w:rsidRDefault="00E04BB7" w:rsidP="00A249C9">
      <w:pPr>
        <w:numPr>
          <w:ilvl w:val="0"/>
          <w:numId w:val="173"/>
        </w:numPr>
        <w:spacing w:line="240" w:lineRule="auto"/>
        <w:ind w:left="0" w:firstLine="0"/>
        <w:jc w:val="both"/>
        <w:rPr>
          <w:rFonts w:cs="Calibri"/>
        </w:rPr>
      </w:pPr>
      <w:r w:rsidRPr="00231414">
        <w:rPr>
          <w:rFonts w:cs="Calibri"/>
        </w:rPr>
        <w:t>A escolha do método de custeio deve estar apoiada na disponibilidade de informações e no volume de recursos necessários para obtenção das informações ou dados. As entidades podem adotar mais de uma metodologia de custeamento, dependendo das características dos objetos de custeio.</w:t>
      </w:r>
    </w:p>
    <w:p w:rsidR="00E04BB7" w:rsidRPr="00231414" w:rsidRDefault="00E04BB7" w:rsidP="00A249C9">
      <w:pPr>
        <w:numPr>
          <w:ilvl w:val="0"/>
          <w:numId w:val="173"/>
        </w:numPr>
        <w:spacing w:line="240" w:lineRule="auto"/>
        <w:ind w:left="0" w:firstLine="0"/>
        <w:jc w:val="both"/>
        <w:rPr>
          <w:rFonts w:cs="Calibri"/>
        </w:rPr>
      </w:pPr>
      <w:r w:rsidRPr="00231414">
        <w:rPr>
          <w:rFonts w:cs="Calibri"/>
        </w:rPr>
        <w:t>Os serviços públicos devem ser identificados, medidos e relatados em sistema projetado para gerenciamento de custos dos serviços públicos.</w:t>
      </w:r>
    </w:p>
    <w:p w:rsidR="00E04BB7" w:rsidRPr="00231414" w:rsidRDefault="00E04BB7" w:rsidP="00A249C9">
      <w:pPr>
        <w:numPr>
          <w:ilvl w:val="0"/>
          <w:numId w:val="173"/>
        </w:numPr>
        <w:spacing w:line="240" w:lineRule="auto"/>
        <w:ind w:left="0" w:firstLine="0"/>
        <w:jc w:val="both"/>
        <w:rPr>
          <w:rFonts w:cs="Calibri"/>
        </w:rPr>
      </w:pPr>
      <w:r w:rsidRPr="00231414">
        <w:rPr>
          <w:rFonts w:cs="Calibri"/>
        </w:rPr>
        <w:t xml:space="preserve">Os serviços públicos possuem características peculiares tais como: universalidade e obrigação de fornecimento, sendo caracterizado como direito social e em muitas situações tem apenas o Estado como fornecedor do serviço (monopólio do Estado). </w:t>
      </w:r>
    </w:p>
    <w:p w:rsidR="00E04BB7" w:rsidRPr="00231414" w:rsidRDefault="00E04BB7" w:rsidP="00A249C9">
      <w:pPr>
        <w:numPr>
          <w:ilvl w:val="0"/>
          <w:numId w:val="173"/>
        </w:numPr>
        <w:spacing w:line="240" w:lineRule="auto"/>
        <w:ind w:left="0" w:firstLine="0"/>
        <w:jc w:val="both"/>
        <w:rPr>
          <w:rFonts w:cs="Calibri"/>
        </w:rPr>
      </w:pPr>
      <w:r w:rsidRPr="00231414">
        <w:rPr>
          <w:rFonts w:cs="Calibri"/>
        </w:rPr>
        <w:t>O SICES deverá capturar informações dos demais sistemas de informações das entidades do setor público.</w:t>
      </w:r>
    </w:p>
    <w:p w:rsidR="00E04BB7" w:rsidRDefault="00E04BB7" w:rsidP="00A249C9">
      <w:pPr>
        <w:numPr>
          <w:ilvl w:val="0"/>
          <w:numId w:val="173"/>
        </w:numPr>
        <w:spacing w:line="240" w:lineRule="auto"/>
        <w:ind w:left="0" w:firstLine="0"/>
        <w:jc w:val="both"/>
        <w:rPr>
          <w:rFonts w:cs="Calibri"/>
        </w:rPr>
      </w:pPr>
      <w:r w:rsidRPr="00231414">
        <w:rPr>
          <w:rFonts w:cs="Calibri"/>
        </w:rPr>
        <w:t>O SICES deverá estar integrado com o processo de planejamento e orçamento, devendo utilizar a mesma base conceitual quando se referirem aos mesmos objetos de custos, permitindo assim o controle entre o orçado e o executado.</w:t>
      </w:r>
    </w:p>
    <w:p w:rsidR="00E04BB7" w:rsidRPr="00231414" w:rsidRDefault="00E04BB7" w:rsidP="00E04BB7">
      <w:pPr>
        <w:spacing w:line="240" w:lineRule="auto"/>
        <w:jc w:val="both"/>
        <w:rPr>
          <w:rFonts w:cs="Calibri"/>
        </w:rPr>
      </w:pPr>
    </w:p>
    <w:p w:rsidR="00E04BB7" w:rsidRPr="00231414" w:rsidRDefault="00E04BB7" w:rsidP="00E04BB7">
      <w:pPr>
        <w:jc w:val="both"/>
        <w:rPr>
          <w:rFonts w:cs="Calibri"/>
        </w:rPr>
      </w:pPr>
      <w:r w:rsidRPr="00231414">
        <w:rPr>
          <w:rFonts w:cs="Calibri"/>
        </w:rPr>
        <w:t>Em relação aos atributos das informações de custos, estudos realizados pela equipe da GECON/SUFIC identificaram os seguintes:</w:t>
      </w:r>
    </w:p>
    <w:p w:rsidR="00E04BB7" w:rsidRPr="00231414" w:rsidRDefault="00E04BB7" w:rsidP="00E04BB7">
      <w:pPr>
        <w:jc w:val="both"/>
        <w:rPr>
          <w:rFonts w:cs="Calibri"/>
        </w:rPr>
      </w:pPr>
      <w:r w:rsidRPr="00231414">
        <w:rPr>
          <w:rFonts w:cs="Calibri"/>
        </w:rPr>
        <w:t>(a)</w:t>
      </w:r>
      <w:r w:rsidRPr="00231414">
        <w:rPr>
          <w:rFonts w:cs="Calibri"/>
        </w:rPr>
        <w:tab/>
      </w:r>
      <w:r w:rsidRPr="00231414">
        <w:rPr>
          <w:rFonts w:cs="Calibri"/>
          <w:b/>
        </w:rPr>
        <w:t>relevância</w:t>
      </w:r>
      <w:r w:rsidRPr="00231414">
        <w:rPr>
          <w:rFonts w:cs="Calibri"/>
        </w:rPr>
        <w:t xml:space="preserve"> – entendida como a qualidade que a informação tem de influenciar as decisões de seus usuários auxiliando na avaliação de eventos passados, presentes e futuros;</w:t>
      </w:r>
    </w:p>
    <w:p w:rsidR="00E04BB7" w:rsidRPr="00231414" w:rsidRDefault="00E04BB7" w:rsidP="00E04BB7">
      <w:pPr>
        <w:jc w:val="both"/>
        <w:rPr>
          <w:rFonts w:cs="Calibri"/>
        </w:rPr>
      </w:pPr>
      <w:r w:rsidRPr="00231414">
        <w:rPr>
          <w:rFonts w:cs="Calibri"/>
        </w:rPr>
        <w:t>(b)</w:t>
      </w:r>
      <w:r w:rsidRPr="00231414">
        <w:rPr>
          <w:rFonts w:cs="Calibri"/>
        </w:rPr>
        <w:tab/>
      </w:r>
      <w:r w:rsidRPr="00231414">
        <w:rPr>
          <w:rFonts w:cs="Calibri"/>
          <w:b/>
        </w:rPr>
        <w:t>utilidade</w:t>
      </w:r>
      <w:r w:rsidRPr="00231414">
        <w:rPr>
          <w:rFonts w:cs="Calibri"/>
        </w:rPr>
        <w:t xml:space="preserve"> – deve ser útil à gestão tendo a sua relação custo benefício sempre positiva;</w:t>
      </w:r>
    </w:p>
    <w:p w:rsidR="00E04BB7" w:rsidRPr="00231414" w:rsidRDefault="00E04BB7" w:rsidP="00E04BB7">
      <w:pPr>
        <w:jc w:val="both"/>
        <w:rPr>
          <w:rFonts w:cs="Calibri"/>
        </w:rPr>
      </w:pPr>
      <w:r w:rsidRPr="00231414">
        <w:rPr>
          <w:rFonts w:cs="Calibri"/>
        </w:rPr>
        <w:t>(c)</w:t>
      </w:r>
      <w:r w:rsidRPr="00231414">
        <w:rPr>
          <w:rFonts w:cs="Calibri"/>
        </w:rPr>
        <w:tab/>
      </w:r>
      <w:r w:rsidRPr="00231414">
        <w:rPr>
          <w:rFonts w:cs="Calibri"/>
          <w:b/>
        </w:rPr>
        <w:t>oportunidade</w:t>
      </w:r>
      <w:r w:rsidRPr="00231414">
        <w:rPr>
          <w:rFonts w:cs="Calibri"/>
        </w:rPr>
        <w:t xml:space="preserve"> – qualidade de a informação estar disponível no momento adequado à tomada de decisão;</w:t>
      </w:r>
    </w:p>
    <w:p w:rsidR="00E04BB7" w:rsidRPr="00231414" w:rsidRDefault="00E04BB7" w:rsidP="00E04BB7">
      <w:pPr>
        <w:jc w:val="both"/>
        <w:rPr>
          <w:rFonts w:cs="Calibri"/>
        </w:rPr>
      </w:pPr>
      <w:r w:rsidRPr="00231414">
        <w:rPr>
          <w:rFonts w:cs="Calibri"/>
        </w:rPr>
        <w:t>(d)</w:t>
      </w:r>
      <w:r w:rsidRPr="00231414">
        <w:rPr>
          <w:rFonts w:cs="Calibri"/>
        </w:rPr>
        <w:tab/>
      </w:r>
      <w:r w:rsidRPr="00231414">
        <w:rPr>
          <w:rFonts w:cs="Calibri"/>
          <w:b/>
        </w:rPr>
        <w:t>valor social</w:t>
      </w:r>
      <w:r w:rsidRPr="00231414">
        <w:rPr>
          <w:rFonts w:cs="Calibri"/>
        </w:rPr>
        <w:t xml:space="preserve"> – deve proporcionar maior transparência e evidenciação do uso dos recursos públicos;</w:t>
      </w:r>
    </w:p>
    <w:p w:rsidR="00E04BB7" w:rsidRPr="00231414" w:rsidRDefault="00E04BB7" w:rsidP="00E04BB7">
      <w:pPr>
        <w:jc w:val="both"/>
        <w:rPr>
          <w:rFonts w:cs="Calibri"/>
        </w:rPr>
      </w:pPr>
      <w:r w:rsidRPr="00231414">
        <w:rPr>
          <w:rFonts w:cs="Calibri"/>
        </w:rPr>
        <w:t>(e)</w:t>
      </w:r>
      <w:r w:rsidRPr="00231414">
        <w:rPr>
          <w:rFonts w:cs="Calibri"/>
        </w:rPr>
        <w:tab/>
      </w:r>
      <w:r w:rsidRPr="00231414">
        <w:rPr>
          <w:rFonts w:cs="Calibri"/>
          <w:b/>
        </w:rPr>
        <w:t>fidedignidade</w:t>
      </w:r>
      <w:r w:rsidRPr="00231414">
        <w:rPr>
          <w:rFonts w:cs="Calibri"/>
        </w:rPr>
        <w:t xml:space="preserve"> – referente à qualidade que a informação tem de estar livre de erros materiais e de juízos prévios, devendo, para esse efeito, apresentar as operações e acontecimentos de acordo com sua substância e realidade econômica e, não, meramente com a sua forma legal;</w:t>
      </w:r>
    </w:p>
    <w:p w:rsidR="00E04BB7" w:rsidRPr="00231414" w:rsidRDefault="00E04BB7" w:rsidP="00E04BB7">
      <w:pPr>
        <w:jc w:val="both"/>
        <w:rPr>
          <w:rFonts w:cs="Calibri"/>
        </w:rPr>
      </w:pPr>
      <w:r w:rsidRPr="00231414">
        <w:rPr>
          <w:rFonts w:cs="Calibri"/>
        </w:rPr>
        <w:t>(f)</w:t>
      </w:r>
      <w:r w:rsidRPr="00231414">
        <w:rPr>
          <w:rFonts w:cs="Calibri"/>
        </w:rPr>
        <w:tab/>
      </w:r>
      <w:r w:rsidRPr="00231414">
        <w:rPr>
          <w:rFonts w:cs="Calibri"/>
          <w:b/>
        </w:rPr>
        <w:t>especificidade</w:t>
      </w:r>
      <w:r w:rsidRPr="00231414">
        <w:rPr>
          <w:rFonts w:cs="Calibri"/>
        </w:rPr>
        <w:t xml:space="preserve"> – informações de custos devem ser elaboradas de acordo com a finalidade específica pretendida pelos usuários;</w:t>
      </w:r>
    </w:p>
    <w:p w:rsidR="00E04BB7" w:rsidRPr="00231414" w:rsidRDefault="00E04BB7" w:rsidP="00E04BB7">
      <w:pPr>
        <w:jc w:val="both"/>
        <w:rPr>
          <w:rFonts w:cs="Calibri"/>
        </w:rPr>
      </w:pPr>
      <w:r w:rsidRPr="00231414">
        <w:rPr>
          <w:rFonts w:cs="Calibri"/>
        </w:rPr>
        <w:t>(g)</w:t>
      </w:r>
      <w:r w:rsidRPr="00231414">
        <w:rPr>
          <w:rFonts w:cs="Calibri"/>
        </w:rPr>
        <w:tab/>
      </w:r>
      <w:r w:rsidRPr="00231414">
        <w:rPr>
          <w:rFonts w:cs="Calibri"/>
          <w:b/>
        </w:rPr>
        <w:t>comparabilidade</w:t>
      </w:r>
      <w:r w:rsidRPr="00231414">
        <w:rPr>
          <w:rFonts w:cs="Calibri"/>
        </w:rPr>
        <w:t xml:space="preserve"> – entende-se a qualidade que a informação deve ter de registrar as operações e acontecimentos de forma consistente e uniforme, a fim de conseguir comparabilidade entre as distintas instituições com características similares. É fundamental que o custo seja mensurado pelo mesmo critério no tempo e, quando for mudada, esta informação deve constar em nota explicativa;</w:t>
      </w:r>
    </w:p>
    <w:p w:rsidR="00E04BB7" w:rsidRPr="00231414" w:rsidRDefault="00E04BB7" w:rsidP="00E04BB7">
      <w:pPr>
        <w:jc w:val="both"/>
        <w:rPr>
          <w:rFonts w:cs="Calibri"/>
        </w:rPr>
      </w:pPr>
      <w:r w:rsidRPr="00231414">
        <w:rPr>
          <w:rFonts w:cs="Calibri"/>
        </w:rPr>
        <w:t>(h)</w:t>
      </w:r>
      <w:r w:rsidRPr="00231414">
        <w:rPr>
          <w:rFonts w:cs="Calibri"/>
        </w:rPr>
        <w:tab/>
      </w:r>
      <w:r w:rsidRPr="00231414">
        <w:rPr>
          <w:rFonts w:cs="Calibri"/>
          <w:b/>
        </w:rPr>
        <w:t>adaptabilidade</w:t>
      </w:r>
      <w:r w:rsidRPr="00231414">
        <w:rPr>
          <w:rFonts w:cs="Calibri"/>
        </w:rPr>
        <w:t xml:space="preserve"> – deve permitir o detalhamento das informações em razão das diferentes expectativas e necessidades informacionais das diversas unidades organizacionais e seus respectivos usuários;</w:t>
      </w:r>
    </w:p>
    <w:p w:rsidR="00E04BB7" w:rsidRPr="00231414" w:rsidRDefault="00E04BB7" w:rsidP="00E04BB7">
      <w:pPr>
        <w:jc w:val="both"/>
        <w:rPr>
          <w:rFonts w:cs="Calibri"/>
        </w:rPr>
      </w:pPr>
      <w:r w:rsidRPr="00231414">
        <w:rPr>
          <w:rFonts w:cs="Calibri"/>
        </w:rPr>
        <w:t>(i)</w:t>
      </w:r>
      <w:r w:rsidRPr="00231414">
        <w:rPr>
          <w:rFonts w:cs="Calibri"/>
        </w:rPr>
        <w:tab/>
      </w:r>
      <w:r w:rsidRPr="00231414">
        <w:rPr>
          <w:rFonts w:cs="Calibri"/>
          <w:b/>
        </w:rPr>
        <w:t>granularidade</w:t>
      </w:r>
      <w:r w:rsidRPr="00231414">
        <w:rPr>
          <w:rFonts w:cs="Calibri"/>
        </w:rPr>
        <w:t xml:space="preserve"> – sistema que deve ser capaz de produzir informações em diferentes níveis de detalhamento, mediante a geração de diferentes relatórios, sem perder o atributo da comparabilidade.</w:t>
      </w:r>
    </w:p>
    <w:p w:rsidR="00E04BB7" w:rsidRPr="00231414" w:rsidRDefault="00E04BB7" w:rsidP="00E04BB7">
      <w:pPr>
        <w:jc w:val="both"/>
        <w:rPr>
          <w:rFonts w:cs="Calibr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1" w:name="_Toc517282177"/>
      <w:r w:rsidRPr="00231414">
        <w:rPr>
          <w:rFonts w:cs="Calibri"/>
          <w:b/>
        </w:rPr>
        <w:t>DESCRIÇÃO DO PROBLEMA E SUAS EVIDÊNCIAS</w:t>
      </w:r>
      <w:bookmarkEnd w:id="161"/>
      <w:r w:rsidRPr="00231414">
        <w:rPr>
          <w:rFonts w:cs="Calibri"/>
          <w:b/>
        </w:rPr>
        <w:t xml:space="preserve"> </w:t>
      </w:r>
    </w:p>
    <w:p w:rsidR="00E04BB7" w:rsidRDefault="00E04BB7" w:rsidP="00E04BB7">
      <w:pPr>
        <w:jc w:val="both"/>
        <w:rPr>
          <w:rFonts w:cs="Calibri"/>
        </w:rPr>
      </w:pPr>
      <w:r w:rsidRPr="00231414">
        <w:rPr>
          <w:rFonts w:cs="Calibri"/>
        </w:rPr>
        <w:t>A partir da promulgação da Lei de Responsabilidade Fiscal brasileira, em 2000, observou-se movimento dos governos para implementar sistemas de custos públicos. Na iniciativa privada, especialmente na indústria, essa é uma prática essencial para a sobrevivência dos negócios. Por isso, há esforço contínuo no desenvolvimento de mecanismos de controle e apuração de custos. Não por acaso, a eficiência dos servicos e das entidades do setor privado é rotineiramente aferida em busca de aprimoramento. Essa cultura ainda é incipiente no setor público, essencialmente aplicada em iniciativas isoladas e, muitas vezes, descoordenadas. Sistemas de custos são ferramentas próprias do controle. Prestam-se a fornecer informações para tomada de decisão. Sem informações de custos, os gestores públicos tendem à execução de suas ações públicas baseados unicamente em orçamento e disponibilidade financeira, sem uma avaliação apurada da viabilidade na alocação de recursos.</w:t>
      </w:r>
    </w:p>
    <w:p w:rsidR="00E04BB7" w:rsidRPr="00231414" w:rsidRDefault="00E04BB7" w:rsidP="00E04BB7">
      <w:pPr>
        <w:jc w:val="both"/>
        <w:rPr>
          <w:rFonts w:cs="Calibri"/>
        </w:rPr>
      </w:pPr>
    </w:p>
    <w:p w:rsidR="00E04BB7" w:rsidRPr="00E04BB7" w:rsidRDefault="00E04BB7" w:rsidP="00A249C9">
      <w:pPr>
        <w:numPr>
          <w:ilvl w:val="0"/>
          <w:numId w:val="175"/>
        </w:numPr>
        <w:spacing w:line="240" w:lineRule="auto"/>
        <w:ind w:left="0" w:firstLine="0"/>
        <w:jc w:val="both"/>
        <w:rPr>
          <w:rFonts w:cs="Calibri"/>
        </w:rPr>
      </w:pPr>
      <w:r w:rsidRPr="00E04BB7">
        <w:rPr>
          <w:rFonts w:cs="Calibri"/>
        </w:rPr>
        <w:t>Desconhecimento do custo das entidades que prestam serviços públicos no Estado (somente o setor de saúde conta com algum tipo de estimação de custos).</w:t>
      </w:r>
    </w:p>
    <w:p w:rsidR="00E04BB7" w:rsidRPr="00E04BB7" w:rsidRDefault="00E04BB7" w:rsidP="00A249C9">
      <w:pPr>
        <w:numPr>
          <w:ilvl w:val="0"/>
          <w:numId w:val="175"/>
        </w:numPr>
        <w:spacing w:line="240" w:lineRule="auto"/>
        <w:ind w:left="0" w:firstLine="0"/>
        <w:jc w:val="both"/>
        <w:rPr>
          <w:rFonts w:cs="Calibri"/>
        </w:rPr>
      </w:pPr>
      <w:r w:rsidRPr="00E04BB7">
        <w:rPr>
          <w:rFonts w:cs="Calibri"/>
        </w:rPr>
        <w:t>Impossibilidade de comparação entre custos estimados e custos realizados, o que afronta os princípios do gerenciamento e do controle.</w:t>
      </w:r>
    </w:p>
    <w:p w:rsidR="00E04BB7" w:rsidRPr="00E04BB7" w:rsidRDefault="00E04BB7" w:rsidP="00A249C9">
      <w:pPr>
        <w:numPr>
          <w:ilvl w:val="0"/>
          <w:numId w:val="175"/>
        </w:numPr>
        <w:spacing w:line="240" w:lineRule="auto"/>
        <w:ind w:left="0" w:firstLine="0"/>
        <w:jc w:val="both"/>
        <w:rPr>
          <w:rFonts w:cs="Calibri"/>
        </w:rPr>
      </w:pPr>
      <w:r w:rsidRPr="00E04BB7">
        <w:rPr>
          <w:rFonts w:cs="Calibri"/>
        </w:rPr>
        <w:t xml:space="preserve">Não há informação de custos para subsidiar decisões rotineiras. Por exemplo: viabilidade de se prestar diretamente um serviço ou terceirizá-lo; viabilidade de se construir e ativar um bem ou optar por contrato de aluguel. </w:t>
      </w:r>
    </w:p>
    <w:p w:rsidR="00E04BB7" w:rsidRPr="00231414" w:rsidRDefault="00E04BB7" w:rsidP="00E04BB7">
      <w:pPr>
        <w:jc w:val="both"/>
        <w:rPr>
          <w:rFonts w:cs="Calibri"/>
        </w:rPr>
      </w:pPr>
    </w:p>
    <w:p w:rsidR="00E04BB7" w:rsidRDefault="00E04BB7" w:rsidP="00E04BB7">
      <w:pPr>
        <w:jc w:val="both"/>
        <w:rPr>
          <w:rFonts w:cs="Calibri"/>
        </w:rPr>
      </w:pPr>
      <w:r w:rsidRPr="00231414">
        <w:rPr>
          <w:rFonts w:cs="Calibri"/>
        </w:rPr>
        <w:t xml:space="preserve">Sem uma visão geral dos gastos e o difícil acesso à informação detalhada, o processo de fiscalização se torna, nessas condições, ineficiente, custoso e dependente de especialistas humanos. Da forma como as informações são apresentadas é extremamente difícil que um gestor tenha condições de analisar, avaliar e agir diante dos gastos públicos. Geralmente as informações são apresentadas de acordo com a lógica orçamentária-financeira (Empenhado, Liquidado e Pago, podendo ser detalhadas até certo nível como de Natureza e Subitem de Despesa. </w:t>
      </w:r>
    </w:p>
    <w:p w:rsidR="00E04BB7" w:rsidRDefault="00E04BB7" w:rsidP="00E04BB7">
      <w:pPr>
        <w:jc w:val="both"/>
        <w:rPr>
          <w:rFonts w:cs="Calibri"/>
        </w:rPr>
      </w:pPr>
    </w:p>
    <w:p w:rsidR="00E04BB7" w:rsidRDefault="00E04BB7" w:rsidP="00E04BB7">
      <w:pPr>
        <w:jc w:val="both"/>
        <w:rPr>
          <w:rFonts w:cs="Calibri"/>
        </w:rPr>
      </w:pPr>
    </w:p>
    <w:p w:rsidR="00E04BB7" w:rsidRDefault="00E04BB7" w:rsidP="00E04BB7">
      <w:pPr>
        <w:jc w:val="both"/>
        <w:rPr>
          <w:rFonts w:cs="Calibri"/>
        </w:rPr>
      </w:pPr>
    </w:p>
    <w:p w:rsidR="00E04BB7" w:rsidRDefault="00E04BB7" w:rsidP="00E04BB7">
      <w:pPr>
        <w:jc w:val="both"/>
        <w:rPr>
          <w:rFonts w:cs="Calibri"/>
        </w:rPr>
      </w:pPr>
    </w:p>
    <w:p w:rsidR="00E04BB7" w:rsidRPr="00231414" w:rsidRDefault="00E04BB7" w:rsidP="00E04BB7">
      <w:pPr>
        <w:jc w:val="both"/>
        <w:rPr>
          <w:rFonts w:cs="Calibri"/>
        </w:rPr>
      </w:pPr>
    </w:p>
    <w:p w:rsidR="00E04BB7" w:rsidRPr="00231414" w:rsidRDefault="00E04BB7" w:rsidP="00E04BB7">
      <w:pPr>
        <w:jc w:val="both"/>
        <w:rPr>
          <w:rFonts w:cs="Calibri"/>
          <w:b/>
        </w:rPr>
      </w:pPr>
      <w:r w:rsidRPr="00231414">
        <w:rPr>
          <w:rFonts w:cs="Calibri"/>
          <w:b/>
        </w:rPr>
        <w:t>Figura 1 – Relatório de Execução Orçamentária e Financeira</w:t>
      </w:r>
    </w:p>
    <w:p w:rsidR="00E04BB7" w:rsidRPr="00231414" w:rsidRDefault="00E04BB7" w:rsidP="00E04BB7">
      <w:pPr>
        <w:jc w:val="both"/>
        <w:rPr>
          <w:noProof/>
        </w:rPr>
      </w:pPr>
      <w:r w:rsidRPr="00231414">
        <w:rPr>
          <w:noProof/>
          <w:lang w:eastAsia="pt-BR"/>
        </w:rPr>
        <w:drawing>
          <wp:inline distT="0" distB="0" distL="0" distR="0" wp14:anchorId="67F42319" wp14:editId="42702EA4">
            <wp:extent cx="6124575" cy="24669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4575" cy="2466975"/>
                    </a:xfrm>
                    <a:prstGeom prst="rect">
                      <a:avLst/>
                    </a:prstGeom>
                    <a:noFill/>
                    <a:ln>
                      <a:noFill/>
                    </a:ln>
                  </pic:spPr>
                </pic:pic>
              </a:graphicData>
            </a:graphic>
          </wp:inline>
        </w:drawing>
      </w:r>
    </w:p>
    <w:p w:rsidR="00E04BB7" w:rsidRDefault="00E04BB7" w:rsidP="00E04BB7">
      <w:pPr>
        <w:jc w:val="both"/>
        <w:rPr>
          <w:noProof/>
        </w:rPr>
      </w:pPr>
      <w:r w:rsidRPr="00231414">
        <w:rPr>
          <w:b/>
          <w:noProof/>
        </w:rPr>
        <w:t>Fonte:</w:t>
      </w:r>
      <w:r w:rsidRPr="00231414">
        <w:rPr>
          <w:noProof/>
        </w:rPr>
        <w:t xml:space="preserve"> SIGEFES</w:t>
      </w:r>
    </w:p>
    <w:p w:rsidR="00E04BB7" w:rsidRPr="00231414" w:rsidRDefault="00E04BB7" w:rsidP="00E04BB7">
      <w:pPr>
        <w:jc w:val="both"/>
        <w:rPr>
          <w:noProof/>
        </w:rPr>
      </w:pPr>
    </w:p>
    <w:p w:rsidR="00E04BB7" w:rsidRDefault="00E04BB7" w:rsidP="00E04BB7">
      <w:pPr>
        <w:jc w:val="both"/>
        <w:rPr>
          <w:rFonts w:cs="Calibri"/>
        </w:rPr>
      </w:pPr>
      <w:r w:rsidRPr="00231414">
        <w:rPr>
          <w:rFonts w:cs="Calibri"/>
        </w:rPr>
        <w:t xml:space="preserve">Entretanto, faltam parâmetros e indicadores para compreender a razão de ser do gasto, os produtos e serviços produzidos a partir daquele desembolso. Efetivamente não há cruzamento de informações de diferentes bancos de dados e Unidades Gestoras para validá-lo de acordo com uma análise de custo-benefício ou custo-efetividade.  </w:t>
      </w:r>
    </w:p>
    <w:p w:rsidR="00E04BB7" w:rsidRPr="00231414" w:rsidRDefault="00E04BB7" w:rsidP="00E04BB7">
      <w:pPr>
        <w:jc w:val="both"/>
        <w:rPr>
          <w:rFonts w:cs="Calibri"/>
        </w:rPr>
      </w:pPr>
    </w:p>
    <w:p w:rsidR="00E04BB7" w:rsidRDefault="00E04BB7" w:rsidP="00E04BB7">
      <w:pPr>
        <w:jc w:val="both"/>
        <w:rPr>
          <w:rFonts w:cs="Calibri"/>
        </w:rPr>
      </w:pPr>
      <w:r w:rsidRPr="00231414">
        <w:rPr>
          <w:rFonts w:cs="Calibri"/>
        </w:rPr>
        <w:t>Contudo, em qualquer uma das alternativas atualmente a tarefa depende de um grande e oneroso trabalho manual que embora necessário, ainda mais em tarefas complexas, como detecção de fraudes, poderia ser realizado mediante softwares conhecidos como Sistemas de Apoio à Decisão (SAD). A partir de um grande número de variáveis o SAD pode dar um posicionamento para uma determinada questão. Atualmente existem SADs em diversas áreas, tais como: agricultura, petróleo e gás, comércio, finanças, dentre outros.</w:t>
      </w:r>
    </w:p>
    <w:p w:rsidR="00E04BB7" w:rsidRPr="00231414" w:rsidRDefault="00E04BB7" w:rsidP="00E04BB7">
      <w:pPr>
        <w:jc w:val="both"/>
        <w:rPr>
          <w:rFonts w:cs="Calibri"/>
        </w:rPr>
      </w:pPr>
    </w:p>
    <w:p w:rsidR="00E04BB7" w:rsidRPr="00231414" w:rsidRDefault="00E04BB7" w:rsidP="00E04BB7">
      <w:pPr>
        <w:jc w:val="both"/>
        <w:rPr>
          <w:rFonts w:cs="Calibri"/>
        </w:rPr>
      </w:pPr>
      <w:r w:rsidRPr="00231414">
        <w:rPr>
          <w:rFonts w:cs="Calibri"/>
        </w:rPr>
        <w:t>A partir desses instrumentos tecnológicos o controle das contas públicas pode ser, de fato, algo efetivo.</w:t>
      </w:r>
    </w:p>
    <w:p w:rsidR="00E04BB7" w:rsidRPr="00231414" w:rsidRDefault="00E04BB7" w:rsidP="00E04BB7">
      <w:pPr>
        <w:jc w:val="both"/>
        <w:rPr>
          <w:rFonts w:cs="Calibri"/>
        </w:rPr>
      </w:pPr>
    </w:p>
    <w:p w:rsidR="00E04BB7" w:rsidRPr="00231414" w:rsidRDefault="00E04BB7" w:rsidP="00E04BB7">
      <w:pPr>
        <w:spacing w:line="276" w:lineRule="auto"/>
        <w:jc w:val="both"/>
        <w:rPr>
          <w:rFonts w:cs="Calibri"/>
        </w:rPr>
      </w:pPr>
      <w:r w:rsidRPr="00231414">
        <w:rPr>
          <w:rFonts w:cs="Calibri"/>
          <w:b/>
        </w:rPr>
        <w:t>2.1 - Síntese do Problema:</w:t>
      </w:r>
      <w:r w:rsidRPr="00231414">
        <w:rPr>
          <w:rFonts w:cs="Calibri"/>
        </w:rPr>
        <w:t xml:space="preserve"> </w:t>
      </w:r>
    </w:p>
    <w:p w:rsidR="00E04BB7" w:rsidRPr="00231414" w:rsidRDefault="00E04BB7" w:rsidP="00E04BB7">
      <w:pPr>
        <w:pStyle w:val="PargrafodaLista"/>
        <w:ind w:left="0"/>
        <w:jc w:val="both"/>
        <w:rPr>
          <w:noProof/>
        </w:rPr>
      </w:pPr>
    </w:p>
    <w:p w:rsidR="00E04BB7" w:rsidRPr="00231414" w:rsidRDefault="00E04BB7" w:rsidP="00E04BB7">
      <w:pPr>
        <w:pBdr>
          <w:top w:val="dotted" w:sz="4" w:space="1" w:color="auto"/>
          <w:left w:val="dotted" w:sz="4" w:space="4" w:color="auto"/>
          <w:bottom w:val="dotted" w:sz="4" w:space="1" w:color="auto"/>
          <w:right w:val="dotted" w:sz="4" w:space="4" w:color="auto"/>
        </w:pBdr>
        <w:shd w:val="clear" w:color="auto" w:fill="C5E0B3"/>
        <w:jc w:val="both"/>
        <w:rPr>
          <w:rFonts w:cs="Calibri"/>
          <w:i/>
          <w:noProof/>
        </w:rPr>
      </w:pPr>
    </w:p>
    <w:p w:rsidR="00E04BB7" w:rsidRPr="00231414" w:rsidRDefault="00E04BB7" w:rsidP="00E04BB7">
      <w:pPr>
        <w:pBdr>
          <w:top w:val="dotted" w:sz="4" w:space="1" w:color="auto"/>
          <w:left w:val="dotted" w:sz="4" w:space="4" w:color="auto"/>
          <w:bottom w:val="dotted" w:sz="4" w:space="1" w:color="auto"/>
          <w:right w:val="dotted" w:sz="4" w:space="4" w:color="auto"/>
        </w:pBdr>
        <w:shd w:val="clear" w:color="auto" w:fill="C5E0B3"/>
        <w:jc w:val="both"/>
        <w:rPr>
          <w:rFonts w:cs="Calibri"/>
          <w:i/>
          <w:noProof/>
        </w:rPr>
      </w:pPr>
      <w:r w:rsidRPr="00231414">
        <w:rPr>
          <w:rFonts w:cs="Calibri"/>
          <w:i/>
          <w:noProof/>
        </w:rPr>
        <w:t xml:space="preserve">Imeficiência na gestão dos gastos com desperdício de recursos financeiros. </w:t>
      </w:r>
    </w:p>
    <w:p w:rsidR="00E04BB7" w:rsidRPr="00231414" w:rsidRDefault="00E04BB7" w:rsidP="00E04BB7">
      <w:pPr>
        <w:pBdr>
          <w:top w:val="dotted" w:sz="4" w:space="1" w:color="auto"/>
          <w:left w:val="dotted" w:sz="4" w:space="4" w:color="auto"/>
          <w:bottom w:val="dotted" w:sz="4" w:space="1" w:color="auto"/>
          <w:right w:val="dotted" w:sz="4" w:space="4" w:color="auto"/>
        </w:pBdr>
        <w:shd w:val="clear" w:color="auto" w:fill="C5E0B3"/>
        <w:jc w:val="both"/>
        <w:rPr>
          <w:rFonts w:cs="Calibri"/>
          <w:i/>
          <w:noProof/>
        </w:rPr>
      </w:pPr>
    </w:p>
    <w:p w:rsidR="00E04BB7" w:rsidRPr="00231414" w:rsidRDefault="00E04BB7" w:rsidP="00E04BB7">
      <w:pPr>
        <w:pStyle w:val="PargrafodaLista"/>
        <w:ind w:left="0"/>
        <w:jc w:val="both"/>
        <w:rPr>
          <w:noProof/>
        </w:rPr>
      </w:pPr>
    </w:p>
    <w:p w:rsidR="00E04BB7" w:rsidRDefault="00E04BB7" w:rsidP="00E04BB7">
      <w:pPr>
        <w:jc w:val="both"/>
        <w:rPr>
          <w:rFonts w:cs="Calibri"/>
          <w:b/>
        </w:rPr>
      </w:pPr>
    </w:p>
    <w:p w:rsidR="00A249C9" w:rsidRDefault="00A249C9" w:rsidP="00E04BB7">
      <w:pPr>
        <w:jc w:val="both"/>
        <w:rPr>
          <w:rFonts w:cs="Calibri"/>
          <w:b/>
        </w:rPr>
      </w:pPr>
    </w:p>
    <w:p w:rsidR="00A249C9" w:rsidRPr="00231414" w:rsidRDefault="00A249C9" w:rsidP="00E04BB7">
      <w:pPr>
        <w:jc w:val="both"/>
        <w:rPr>
          <w:rFonts w:cs="Calibri"/>
          <w:b/>
        </w:rPr>
      </w:pPr>
    </w:p>
    <w:p w:rsidR="00E04BB7" w:rsidRPr="00231414" w:rsidRDefault="00E04BB7" w:rsidP="00E04BB7">
      <w:pPr>
        <w:jc w:val="both"/>
        <w:rPr>
          <w:rFonts w:cs="Calibri"/>
          <w:b/>
        </w:rPr>
      </w:pPr>
      <w:r w:rsidRPr="00231414">
        <w:rPr>
          <w:rFonts w:cs="Calibri"/>
          <w:b/>
        </w:rPr>
        <w:t>2.2 - Principais causas:</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O modelo atual se baseia principalmente nos aspectos quantitativos da execução orçamentária e financeira. Se realizam poucas avaliações sobre a efetividade e a qualidade do gasto. Não se conta com indicadores comuns para a medição dos gastos públicos entre as diferentes Unidades Gestoras.</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Dificuldade para coletar, processar e gerar relatórios sobre a informação básica para realizar a gestão da qualidade dos gastos.</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Desconhecimento do custo das entidades que prestam serviços públicos no Estado (somente o setor de saúde conta com algum tipo de estimação de custos).</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A maioria dos sistemas de gestão do Estado não possuem informações complementares importantes para aferição dos custos, e quando possui a funcionalidade não é preenchida corretamente, ex. o SIGEFES possui informações de valores, mas não de quantidade, apesar de ser possível preencher o número da nota fiscal no Sigefes não é possível obter informações gerencias referentes as NT.</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Falta de integração entre os sistemas;</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 xml:space="preserve">O atual modelo de fluxo de informações acerca dos gastos públicos está mais voltado para um caráter de execução orçamentária e financeira para atender formal e legalmente órgãos de controle, não sendo adequadas em uma visão gerencial. </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 xml:space="preserve">Dificuldade de se obter informações gerenciais estratégicas que auxiliem a tomada de decisão por parte do gestor, como de parêmetros e indicadores; </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 xml:space="preserve">Desperdício de recursos públicos em razão da ineficiência na gestão dos gastos. </w:t>
      </w:r>
    </w:p>
    <w:p w:rsidR="00E04BB7" w:rsidRPr="00231414" w:rsidRDefault="00E04BB7" w:rsidP="00A249C9">
      <w:pPr>
        <w:numPr>
          <w:ilvl w:val="0"/>
          <w:numId w:val="174"/>
        </w:numPr>
        <w:spacing w:line="240" w:lineRule="auto"/>
        <w:ind w:left="0" w:firstLine="0"/>
        <w:jc w:val="both"/>
        <w:rPr>
          <w:rFonts w:cs="Calibri"/>
        </w:rPr>
      </w:pPr>
      <w:r w:rsidRPr="00231414">
        <w:rPr>
          <w:rFonts w:cs="Calibri"/>
        </w:rPr>
        <w:t>Inexistência de sistemas informatizados de análise e controle dos gastos públicos.</w:t>
      </w:r>
    </w:p>
    <w:p w:rsidR="00E04BB7" w:rsidRPr="00231414" w:rsidRDefault="00E04BB7" w:rsidP="00E04BB7">
      <w:pPr>
        <w:jc w:val="both"/>
        <w:rPr>
          <w:rFonts w:cs="Calibri"/>
        </w:rPr>
      </w:pPr>
    </w:p>
    <w:p w:rsidR="00E04BB7" w:rsidRPr="00231414" w:rsidRDefault="00E04BB7" w:rsidP="00E04BB7">
      <w:pPr>
        <w:jc w:val="both"/>
        <w:rPr>
          <w:rFonts w:cs="Calibri"/>
          <w:b/>
        </w:rPr>
      </w:pPr>
      <w:r w:rsidRPr="00231414">
        <w:rPr>
          <w:rFonts w:cs="Calibri"/>
          <w:b/>
        </w:rPr>
        <w:t xml:space="preserve">2.3 - Evidências: </w:t>
      </w:r>
    </w:p>
    <w:p w:rsidR="00E04BB7" w:rsidRPr="00231414" w:rsidRDefault="00E04BB7" w:rsidP="00A249C9">
      <w:pPr>
        <w:numPr>
          <w:ilvl w:val="0"/>
          <w:numId w:val="176"/>
        </w:numPr>
        <w:spacing w:line="240" w:lineRule="auto"/>
        <w:ind w:left="0" w:firstLine="0"/>
        <w:jc w:val="both"/>
        <w:rPr>
          <w:rFonts w:cs="Calibri"/>
        </w:rPr>
      </w:pPr>
      <w:r w:rsidRPr="00231414">
        <w:rPr>
          <w:rFonts w:cs="Calibri"/>
        </w:rPr>
        <w:t>Gasto médio diário de transporte por aluno no ES = R$16,21. No Município de Conceição de Castelo é 197% maior do que o Gasto médio diário do estado.</w:t>
      </w:r>
    </w:p>
    <w:p w:rsidR="00E04BB7" w:rsidRPr="00231414" w:rsidRDefault="00E04BB7" w:rsidP="00A249C9">
      <w:pPr>
        <w:numPr>
          <w:ilvl w:val="0"/>
          <w:numId w:val="176"/>
        </w:numPr>
        <w:spacing w:line="240" w:lineRule="auto"/>
        <w:ind w:left="0" w:firstLine="0"/>
        <w:jc w:val="both"/>
        <w:rPr>
          <w:rFonts w:cs="Calibri"/>
        </w:rPr>
      </w:pPr>
      <w:r w:rsidRPr="00231414">
        <w:rPr>
          <w:rFonts w:cs="Calibri"/>
        </w:rPr>
        <w:t>Os 05 sistemas corporativos do estado (SIGEFES, SEGES, SIGA, SIGHOSP, SIARHES) no contam com interfaces para prover a informação necessária para a gestão de custos públicos.</w:t>
      </w:r>
    </w:p>
    <w:p w:rsidR="00E04BB7" w:rsidRPr="00231414" w:rsidRDefault="00E04BB7" w:rsidP="00A249C9">
      <w:pPr>
        <w:numPr>
          <w:ilvl w:val="0"/>
          <w:numId w:val="176"/>
        </w:numPr>
        <w:spacing w:line="240" w:lineRule="auto"/>
        <w:ind w:left="0" w:firstLine="0"/>
        <w:jc w:val="both"/>
        <w:rPr>
          <w:rFonts w:cs="Calibri"/>
        </w:rPr>
      </w:pPr>
      <w:r w:rsidRPr="00231414">
        <w:rPr>
          <w:rFonts w:cs="Calibri"/>
        </w:rPr>
        <w:t>O planejamento orçamentário não se utiliza do cálculo de custos para subsidiar seu trabalho, eis que a apuração de custos não existe.</w:t>
      </w:r>
    </w:p>
    <w:p w:rsidR="00E04BB7" w:rsidRPr="00231414" w:rsidRDefault="00E04BB7" w:rsidP="00A249C9">
      <w:pPr>
        <w:numPr>
          <w:ilvl w:val="0"/>
          <w:numId w:val="74"/>
        </w:numPr>
        <w:spacing w:line="240" w:lineRule="auto"/>
        <w:ind w:left="0" w:firstLine="0"/>
        <w:jc w:val="both"/>
        <w:rPr>
          <w:rFonts w:cs="Calibri"/>
        </w:rPr>
      </w:pPr>
      <w:r w:rsidRPr="00231414">
        <w:rPr>
          <w:rFonts w:cs="Calibri"/>
        </w:rPr>
        <w:t xml:space="preserve">O atual modelo de fluxo de informações acerca dos gastos públicos está mais voltado para um caráter de execução orçamentária e financeira para atender formal e legalmente órgãos de controle, não sendo adequadas em uma visão gerencial. </w:t>
      </w:r>
    </w:p>
    <w:p w:rsidR="00E04BB7" w:rsidRPr="00231414" w:rsidRDefault="00E04BB7" w:rsidP="00A249C9">
      <w:pPr>
        <w:numPr>
          <w:ilvl w:val="0"/>
          <w:numId w:val="74"/>
        </w:numPr>
        <w:spacing w:line="240" w:lineRule="auto"/>
        <w:ind w:left="0" w:firstLine="0"/>
        <w:jc w:val="both"/>
        <w:rPr>
          <w:rFonts w:cs="Calibri"/>
        </w:rPr>
      </w:pPr>
      <w:r w:rsidRPr="00231414">
        <w:rPr>
          <w:rFonts w:cs="Calibri"/>
        </w:rPr>
        <w:t xml:space="preserve">Dificuldade de se obter informações gerenciais estratégicas que auxiliem a tomada de decisão por parte do gestor, como de parêmetros e indicadores; </w:t>
      </w:r>
    </w:p>
    <w:p w:rsidR="00E04BB7" w:rsidRPr="00231414" w:rsidRDefault="00E04BB7" w:rsidP="00A249C9">
      <w:pPr>
        <w:numPr>
          <w:ilvl w:val="0"/>
          <w:numId w:val="74"/>
        </w:numPr>
        <w:spacing w:line="240" w:lineRule="auto"/>
        <w:ind w:left="0" w:firstLine="0"/>
        <w:jc w:val="both"/>
        <w:rPr>
          <w:rFonts w:cs="Calibri"/>
        </w:rPr>
      </w:pPr>
      <w:r w:rsidRPr="00231414">
        <w:rPr>
          <w:rFonts w:cs="Calibri"/>
        </w:rPr>
        <w:t xml:space="preserve">Desperdício de recursos públicos em razão da ineficiência na gestão dos gastos. </w:t>
      </w:r>
    </w:p>
    <w:p w:rsidR="00E04BB7" w:rsidRPr="00231414" w:rsidRDefault="00E04BB7" w:rsidP="00A249C9">
      <w:pPr>
        <w:numPr>
          <w:ilvl w:val="0"/>
          <w:numId w:val="74"/>
        </w:numPr>
        <w:spacing w:line="240" w:lineRule="auto"/>
        <w:ind w:left="0" w:firstLine="0"/>
        <w:jc w:val="both"/>
        <w:rPr>
          <w:rFonts w:cs="Calibri"/>
        </w:rPr>
      </w:pPr>
      <w:r w:rsidRPr="00231414">
        <w:rPr>
          <w:rFonts w:cs="Calibri"/>
        </w:rPr>
        <w:t>Inexistência de sistemas informatizados de análise e controle dos gastos públicos.</w:t>
      </w:r>
    </w:p>
    <w:p w:rsidR="00E04BB7" w:rsidRPr="00231414" w:rsidRDefault="00E04BB7" w:rsidP="00E04BB7">
      <w:pPr>
        <w:jc w:val="both"/>
        <w:rPr>
          <w:rFonts w:cs="Calibr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2" w:name="_Toc517282178"/>
      <w:r w:rsidRPr="00231414">
        <w:rPr>
          <w:rFonts w:cs="Calibri"/>
          <w:b/>
        </w:rPr>
        <w:t>DESCRIÇÃO DO PRODUTO/SUBPRODUTO E SUA META QUANTITATIVA</w:t>
      </w:r>
      <w:bookmarkEnd w:id="162"/>
    </w:p>
    <w:p w:rsidR="00A249C9" w:rsidRDefault="00A249C9" w:rsidP="00E04BB7">
      <w:pPr>
        <w:jc w:val="both"/>
        <w:rPr>
          <w:b/>
        </w:rPr>
      </w:pPr>
    </w:p>
    <w:p w:rsidR="00E04BB7" w:rsidRPr="00231414" w:rsidRDefault="00A249C9" w:rsidP="00E04BB7">
      <w:pPr>
        <w:jc w:val="both"/>
        <w:rPr>
          <w:b/>
        </w:rPr>
      </w:pPr>
      <w:r>
        <w:rPr>
          <w:b/>
        </w:rPr>
        <w:t>5.</w:t>
      </w:r>
      <w:r w:rsidR="00E04BB7" w:rsidRPr="00231414">
        <w:rPr>
          <w:b/>
        </w:rPr>
        <w:t>3.1 Modelo de gestão de custos e monitoramento do gasto público, incluindo:</w:t>
      </w:r>
    </w:p>
    <w:p w:rsidR="00E04BB7" w:rsidRPr="00231414" w:rsidRDefault="00E04BB7" w:rsidP="00E04BB7">
      <w:pPr>
        <w:jc w:val="both"/>
        <w:rPr>
          <w:b/>
        </w:rPr>
      </w:pPr>
    </w:p>
    <w:p w:rsidR="00E04BB7" w:rsidRPr="00231414" w:rsidRDefault="00E04BB7" w:rsidP="00A249C9">
      <w:pPr>
        <w:pStyle w:val="PargrafodaLista"/>
        <w:numPr>
          <w:ilvl w:val="0"/>
          <w:numId w:val="171"/>
        </w:numPr>
        <w:spacing w:line="240" w:lineRule="auto"/>
        <w:ind w:left="0" w:firstLine="0"/>
        <w:jc w:val="both"/>
      </w:pPr>
      <w:r w:rsidRPr="00231414">
        <w:t xml:space="preserve">Assistência técnica para o modelo, que inclui definição de estrutura de custos adequada para o Estado do Espírito Santo; </w:t>
      </w:r>
    </w:p>
    <w:p w:rsidR="00E04BB7" w:rsidRPr="00231414" w:rsidRDefault="00E04BB7" w:rsidP="00A249C9">
      <w:pPr>
        <w:pStyle w:val="PargrafodaLista"/>
        <w:numPr>
          <w:ilvl w:val="0"/>
          <w:numId w:val="171"/>
        </w:numPr>
        <w:spacing w:line="240" w:lineRule="auto"/>
        <w:ind w:left="0" w:firstLine="0"/>
        <w:jc w:val="both"/>
      </w:pPr>
      <w:r w:rsidRPr="00231414">
        <w:t>Desenvolvimento e implantação do sistema de custos e de inteligência do gasto, integração dos sistemas corporativos do Estado em base única, incluindo parametrização de ferramenta de BI para utilização pela COSIC e pelos contadores que atuam nas unidades gestoras do Poder Executivo;</w:t>
      </w:r>
    </w:p>
    <w:p w:rsidR="00E04BB7" w:rsidRPr="00231414" w:rsidRDefault="00E04BB7" w:rsidP="00A249C9">
      <w:pPr>
        <w:pStyle w:val="PargrafodaLista"/>
        <w:ind w:left="0"/>
        <w:jc w:val="both"/>
      </w:pPr>
    </w:p>
    <w:p w:rsidR="00E04BB7" w:rsidRPr="00231414" w:rsidRDefault="00E04BB7" w:rsidP="00A249C9">
      <w:pPr>
        <w:pStyle w:val="PargrafodaLista"/>
        <w:numPr>
          <w:ilvl w:val="0"/>
          <w:numId w:val="171"/>
        </w:numPr>
        <w:spacing w:line="240" w:lineRule="auto"/>
        <w:ind w:left="0" w:firstLine="0"/>
        <w:jc w:val="both"/>
      </w:pPr>
      <w:r w:rsidRPr="00231414">
        <w:t xml:space="preserve">Capacitação e disseminação, tanto para a equipe da COSIC quanto para contadores que irão atuar no suporte à gestão de custos das unidades gestoras. </w:t>
      </w:r>
    </w:p>
    <w:p w:rsidR="00E04BB7" w:rsidRPr="00231414" w:rsidRDefault="00E04BB7" w:rsidP="00A249C9">
      <w:pPr>
        <w:numPr>
          <w:ilvl w:val="0"/>
          <w:numId w:val="171"/>
        </w:numPr>
        <w:spacing w:line="240" w:lineRule="auto"/>
        <w:ind w:left="0" w:firstLine="0"/>
        <w:jc w:val="both"/>
        <w:rPr>
          <w:rFonts w:cs="Calibri"/>
        </w:rPr>
      </w:pPr>
      <w:r w:rsidRPr="00231414">
        <w:rPr>
          <w:rFonts w:cs="Calibri"/>
        </w:rPr>
        <w:t>Implantação de sistema de Inteligência do Gasto;</w:t>
      </w:r>
    </w:p>
    <w:p w:rsidR="00E04BB7" w:rsidRPr="00231414" w:rsidRDefault="00E04BB7" w:rsidP="00A249C9">
      <w:pPr>
        <w:numPr>
          <w:ilvl w:val="0"/>
          <w:numId w:val="171"/>
        </w:numPr>
        <w:spacing w:line="240" w:lineRule="auto"/>
        <w:ind w:left="0" w:firstLine="0"/>
        <w:jc w:val="both"/>
        <w:rPr>
          <w:rFonts w:cs="Calibri"/>
        </w:rPr>
      </w:pPr>
      <w:r w:rsidRPr="00231414">
        <w:rPr>
          <w:rFonts w:cs="Calibri"/>
        </w:rPr>
        <w:t>Implantação de ferramenta tecnológica de análise de dados e construção de indicadores.</w:t>
      </w:r>
    </w:p>
    <w:p w:rsidR="00E04BB7" w:rsidRPr="00231414" w:rsidRDefault="00E04BB7" w:rsidP="00A249C9">
      <w:pPr>
        <w:numPr>
          <w:ilvl w:val="0"/>
          <w:numId w:val="171"/>
        </w:numPr>
        <w:spacing w:line="240" w:lineRule="auto"/>
        <w:ind w:left="0" w:firstLine="0"/>
        <w:jc w:val="both"/>
        <w:rPr>
          <w:rFonts w:cs="Calibri"/>
        </w:rPr>
      </w:pPr>
      <w:r w:rsidRPr="00231414">
        <w:rPr>
          <w:rFonts w:cs="Calibri"/>
        </w:rPr>
        <w:t>Criação de um banco de dados integrado e atualizado em tempo real.</w:t>
      </w:r>
    </w:p>
    <w:p w:rsidR="00E04BB7" w:rsidRPr="00231414" w:rsidRDefault="00E04BB7" w:rsidP="00A249C9">
      <w:pPr>
        <w:numPr>
          <w:ilvl w:val="0"/>
          <w:numId w:val="171"/>
        </w:numPr>
        <w:spacing w:line="240" w:lineRule="auto"/>
        <w:ind w:left="0" w:firstLine="0"/>
        <w:jc w:val="both"/>
        <w:rPr>
          <w:rFonts w:cs="Calibri"/>
          <w:noProof/>
        </w:rPr>
      </w:pPr>
      <w:r w:rsidRPr="00231414">
        <w:rPr>
          <w:rFonts w:cs="Calibri"/>
          <w:noProof/>
        </w:rPr>
        <w:t>Capacitação e disseminação.</w:t>
      </w:r>
    </w:p>
    <w:p w:rsidR="00E04BB7" w:rsidRPr="00231414" w:rsidRDefault="00E04BB7" w:rsidP="00E04BB7">
      <w:pPr>
        <w:pStyle w:val="PargrafodaLista"/>
        <w:ind w:left="0"/>
        <w:jc w:val="both"/>
      </w:pPr>
    </w:p>
    <w:p w:rsidR="00E04BB7" w:rsidRPr="00231414" w:rsidRDefault="00E04BB7" w:rsidP="00E04BB7">
      <w:pPr>
        <w:jc w:val="both"/>
        <w:rPr>
          <w:rFonts w:cs="Calibri"/>
          <w:b/>
        </w:rPr>
      </w:pPr>
      <w:r w:rsidRPr="00231414">
        <w:rPr>
          <w:rFonts w:cs="Calibri"/>
          <w:b/>
        </w:rPr>
        <w:t>Meta e indicador de Produto:</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0"/>
      </w:tblGrid>
      <w:tr w:rsidR="00E04BB7" w:rsidRPr="00231414" w:rsidTr="00E04BB7">
        <w:tc>
          <w:tcPr>
            <w:tcW w:w="8505" w:type="dxa"/>
            <w:shd w:val="clear" w:color="auto" w:fill="C5E0B3"/>
          </w:tcPr>
          <w:p w:rsidR="00E04BB7" w:rsidRPr="00231414" w:rsidRDefault="00E04BB7" w:rsidP="00E04BB7">
            <w:pPr>
              <w:jc w:val="both"/>
              <w:rPr>
                <w:rFonts w:cs="Calibri"/>
                <w:b/>
                <w:bCs/>
              </w:rPr>
            </w:pPr>
            <w:r w:rsidRPr="00231414">
              <w:rPr>
                <w:rFonts w:cs="Calibri"/>
                <w:b/>
                <w:bCs/>
              </w:rPr>
              <w:t>Indicador do Subproduto</w:t>
            </w:r>
          </w:p>
        </w:tc>
        <w:tc>
          <w:tcPr>
            <w:tcW w:w="850" w:type="dxa"/>
            <w:shd w:val="clear" w:color="auto" w:fill="C5E0B3"/>
          </w:tcPr>
          <w:p w:rsidR="00E04BB7" w:rsidRPr="00231414" w:rsidRDefault="00E04BB7" w:rsidP="00E04BB7">
            <w:pPr>
              <w:jc w:val="both"/>
              <w:rPr>
                <w:rFonts w:cs="Calibri"/>
                <w:b/>
                <w:bCs/>
              </w:rPr>
            </w:pPr>
            <w:r w:rsidRPr="00231414">
              <w:rPr>
                <w:rFonts w:cs="Calibri"/>
                <w:b/>
                <w:bCs/>
              </w:rPr>
              <w:t>Meta</w:t>
            </w:r>
          </w:p>
        </w:tc>
      </w:tr>
      <w:tr w:rsidR="00E04BB7" w:rsidRPr="00231414" w:rsidTr="00E04BB7">
        <w:tc>
          <w:tcPr>
            <w:tcW w:w="8505" w:type="dxa"/>
            <w:shd w:val="clear" w:color="auto" w:fill="auto"/>
          </w:tcPr>
          <w:p w:rsidR="00E04BB7" w:rsidRPr="00231414" w:rsidRDefault="00E04BB7" w:rsidP="00E04BB7">
            <w:pPr>
              <w:jc w:val="both"/>
              <w:rPr>
                <w:rFonts w:cs="Calibri"/>
                <w:noProof/>
              </w:rPr>
            </w:pPr>
            <w:r w:rsidRPr="00231414">
              <w:rPr>
                <w:rFonts w:cs="Arial"/>
              </w:rPr>
              <w:t>Procedimentos para apuração, monitoramento e avaliação dos gastos definidos</w:t>
            </w:r>
          </w:p>
        </w:tc>
        <w:tc>
          <w:tcPr>
            <w:tcW w:w="850" w:type="dxa"/>
            <w:shd w:val="clear" w:color="auto" w:fill="auto"/>
            <w:vAlign w:val="center"/>
          </w:tcPr>
          <w:p w:rsidR="00E04BB7" w:rsidRPr="00231414" w:rsidRDefault="00E04BB7" w:rsidP="00E04BB7">
            <w:pPr>
              <w:jc w:val="both"/>
              <w:rPr>
                <w:rFonts w:cs="Calibri"/>
                <w:bCs/>
              </w:rPr>
            </w:pPr>
            <w:r w:rsidRPr="00231414">
              <w:rPr>
                <w:rFonts w:cs="Calibri"/>
                <w:bCs/>
              </w:rPr>
              <w:t>1</w:t>
            </w:r>
          </w:p>
        </w:tc>
      </w:tr>
      <w:tr w:rsidR="00E04BB7" w:rsidRPr="00231414" w:rsidTr="00E04BB7">
        <w:tc>
          <w:tcPr>
            <w:tcW w:w="8505" w:type="dxa"/>
            <w:shd w:val="clear" w:color="auto" w:fill="auto"/>
          </w:tcPr>
          <w:p w:rsidR="00E04BB7" w:rsidRPr="00231414" w:rsidRDefault="00E04BB7" w:rsidP="00E04BB7">
            <w:pPr>
              <w:jc w:val="both"/>
              <w:rPr>
                <w:rFonts w:cs="Arial"/>
              </w:rPr>
            </w:pPr>
            <w:r w:rsidRPr="00231414">
              <w:rPr>
                <w:rFonts w:cs="Arial"/>
              </w:rPr>
              <w:t>Metodologia de medição de gastos</w:t>
            </w:r>
          </w:p>
        </w:tc>
        <w:tc>
          <w:tcPr>
            <w:tcW w:w="850" w:type="dxa"/>
            <w:shd w:val="clear" w:color="auto" w:fill="auto"/>
            <w:vAlign w:val="center"/>
          </w:tcPr>
          <w:p w:rsidR="00E04BB7" w:rsidRPr="00231414" w:rsidRDefault="00E04BB7" w:rsidP="00E04BB7">
            <w:pPr>
              <w:jc w:val="both"/>
              <w:rPr>
                <w:rFonts w:cs="Calibri"/>
                <w:bCs/>
              </w:rPr>
            </w:pPr>
            <w:r w:rsidRPr="00231414">
              <w:rPr>
                <w:rFonts w:cs="Calibri"/>
                <w:bCs/>
              </w:rPr>
              <w:t>1</w:t>
            </w:r>
          </w:p>
        </w:tc>
      </w:tr>
      <w:tr w:rsidR="00E04BB7" w:rsidRPr="00231414" w:rsidTr="00E04BB7">
        <w:tc>
          <w:tcPr>
            <w:tcW w:w="8505" w:type="dxa"/>
            <w:shd w:val="clear" w:color="auto" w:fill="auto"/>
          </w:tcPr>
          <w:p w:rsidR="00E04BB7" w:rsidRPr="00231414" w:rsidRDefault="00E04BB7" w:rsidP="00E04BB7">
            <w:pPr>
              <w:jc w:val="both"/>
              <w:rPr>
                <w:rFonts w:cs="Arial"/>
              </w:rPr>
            </w:pPr>
            <w:r w:rsidRPr="00231414">
              <w:rPr>
                <w:rFonts w:cs="Arial"/>
              </w:rPr>
              <w:t>Sistema integrado de Inteligência do Gasto implantado</w:t>
            </w:r>
          </w:p>
        </w:tc>
        <w:tc>
          <w:tcPr>
            <w:tcW w:w="850" w:type="dxa"/>
            <w:shd w:val="clear" w:color="auto" w:fill="auto"/>
            <w:vAlign w:val="center"/>
          </w:tcPr>
          <w:p w:rsidR="00E04BB7" w:rsidRPr="00231414" w:rsidRDefault="00E04BB7" w:rsidP="00E04BB7">
            <w:pPr>
              <w:jc w:val="both"/>
              <w:rPr>
                <w:rFonts w:cs="Calibri"/>
                <w:bCs/>
              </w:rPr>
            </w:pPr>
            <w:r w:rsidRPr="00231414">
              <w:rPr>
                <w:rFonts w:cs="Calibri"/>
                <w:bCs/>
              </w:rPr>
              <w:t>1</w:t>
            </w:r>
          </w:p>
        </w:tc>
      </w:tr>
    </w:tbl>
    <w:p w:rsidR="00E04BB7" w:rsidRPr="00231414" w:rsidRDefault="00E04BB7" w:rsidP="00E04BB7">
      <w:pPr>
        <w:jc w:val="both"/>
        <w:rPr>
          <w:rFonts w:cs="Arial"/>
        </w:rPr>
      </w:pPr>
    </w:p>
    <w:p w:rsidR="00E04BB7" w:rsidRPr="00231414" w:rsidRDefault="00E04BB7" w:rsidP="00E04BB7">
      <w:pPr>
        <w:jc w:val="both"/>
        <w:rPr>
          <w:rFonts w:cs="Calibri"/>
        </w:rPr>
      </w:pPr>
      <w:r w:rsidRPr="00231414">
        <w:rPr>
          <w:rFonts w:cs="Calibri"/>
        </w:rPr>
        <w:t>Espera-se que com essas iniciativas pelo menos 3 funções de governo estejam cobertas pela gestão de custos proposta no modelo desenvolvido segundo este projeto.</w:t>
      </w:r>
    </w:p>
    <w:p w:rsidR="00E04BB7" w:rsidRPr="00231414" w:rsidRDefault="00E04BB7" w:rsidP="00E04BB7">
      <w:pPr>
        <w:jc w:val="both"/>
        <w:rPr>
          <w:b/>
        </w:rPr>
      </w:pPr>
      <w:r w:rsidRPr="00231414">
        <w:rPr>
          <w:b/>
        </w:rPr>
        <w:t>3.2 Modelo de gestão de custos</w:t>
      </w:r>
    </w:p>
    <w:p w:rsidR="00E04BB7" w:rsidRPr="00231414" w:rsidRDefault="00E04BB7" w:rsidP="00A249C9">
      <w:pPr>
        <w:spacing w:line="240" w:lineRule="auto"/>
        <w:jc w:val="both"/>
        <w:rPr>
          <w:rFonts w:cs="Calibri"/>
          <w:b/>
        </w:rPr>
      </w:pPr>
      <w:r w:rsidRPr="00231414">
        <w:rPr>
          <w:rFonts w:cs="Calibri"/>
          <w:b/>
        </w:rPr>
        <w:t>Resultados quantificáveis: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088"/>
        <w:gridCol w:w="1945"/>
        <w:gridCol w:w="3208"/>
      </w:tblGrid>
      <w:tr w:rsidR="00E04BB7" w:rsidRPr="00231414" w:rsidTr="00E04BB7">
        <w:trPr>
          <w:trHeight w:val="266"/>
        </w:trPr>
        <w:tc>
          <w:tcPr>
            <w:tcW w:w="2335" w:type="dxa"/>
            <w:shd w:val="clear" w:color="auto" w:fill="C5E0B3"/>
            <w:vAlign w:val="center"/>
          </w:tcPr>
          <w:p w:rsidR="00E04BB7" w:rsidRPr="00231414" w:rsidRDefault="00E04BB7" w:rsidP="00A249C9">
            <w:pPr>
              <w:spacing w:line="240" w:lineRule="auto"/>
              <w:jc w:val="both"/>
            </w:pPr>
            <w:r w:rsidRPr="00231414">
              <w:t>Resultado 1</w:t>
            </w:r>
          </w:p>
        </w:tc>
        <w:tc>
          <w:tcPr>
            <w:tcW w:w="7241" w:type="dxa"/>
            <w:gridSpan w:val="3"/>
            <w:vAlign w:val="center"/>
          </w:tcPr>
          <w:p w:rsidR="00E04BB7" w:rsidRPr="00231414" w:rsidRDefault="00E04BB7" w:rsidP="00A249C9">
            <w:pPr>
              <w:spacing w:line="240" w:lineRule="auto"/>
              <w:jc w:val="both"/>
            </w:pPr>
            <w:r w:rsidRPr="00231414">
              <w:rPr>
                <w:bCs/>
                <w:iCs/>
                <w:color w:val="000000"/>
              </w:rPr>
              <w:t>Modelo de gestão de custos implantado no Estado</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Fórmula de cálculo</w:t>
            </w:r>
          </w:p>
        </w:tc>
        <w:tc>
          <w:tcPr>
            <w:tcW w:w="7241" w:type="dxa"/>
            <w:gridSpan w:val="3"/>
            <w:vAlign w:val="center"/>
          </w:tcPr>
          <w:p w:rsidR="00E04BB7" w:rsidRPr="00231414" w:rsidRDefault="00E04BB7" w:rsidP="00A249C9">
            <w:pPr>
              <w:spacing w:line="240" w:lineRule="auto"/>
              <w:jc w:val="both"/>
            </w:pPr>
            <w:r w:rsidRPr="00231414">
              <w:t>Quantidade de órgãos com apuração de custos/quantidade total de órgãos</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Unidade de medida</w:t>
            </w:r>
          </w:p>
        </w:tc>
        <w:tc>
          <w:tcPr>
            <w:tcW w:w="2088" w:type="dxa"/>
            <w:shd w:val="clear" w:color="auto" w:fill="C5E0B3"/>
            <w:vAlign w:val="center"/>
          </w:tcPr>
          <w:p w:rsidR="00E04BB7" w:rsidRPr="00231414" w:rsidRDefault="00E04BB7" w:rsidP="00A249C9">
            <w:pPr>
              <w:spacing w:line="240" w:lineRule="auto"/>
              <w:jc w:val="both"/>
            </w:pPr>
            <w:r w:rsidRPr="00231414">
              <w:t>Meta (fim do projeto)</w:t>
            </w:r>
          </w:p>
        </w:tc>
        <w:tc>
          <w:tcPr>
            <w:tcW w:w="1945" w:type="dxa"/>
            <w:shd w:val="clear" w:color="auto" w:fill="C5E0B3"/>
            <w:vAlign w:val="center"/>
          </w:tcPr>
          <w:p w:rsidR="00E04BB7" w:rsidRPr="00231414" w:rsidRDefault="00E04BB7" w:rsidP="00A249C9">
            <w:pPr>
              <w:spacing w:line="240" w:lineRule="auto"/>
              <w:jc w:val="both"/>
            </w:pPr>
            <w:r w:rsidRPr="00231414">
              <w:t>Linha de Base (2017)</w:t>
            </w:r>
          </w:p>
        </w:tc>
        <w:tc>
          <w:tcPr>
            <w:tcW w:w="3208" w:type="dxa"/>
            <w:shd w:val="clear" w:color="auto" w:fill="C5E0B3"/>
            <w:vAlign w:val="center"/>
          </w:tcPr>
          <w:p w:rsidR="00E04BB7" w:rsidRPr="00231414" w:rsidRDefault="00E04BB7" w:rsidP="00A249C9">
            <w:pPr>
              <w:spacing w:line="240" w:lineRule="auto"/>
              <w:jc w:val="both"/>
            </w:pPr>
            <w:r w:rsidRPr="00231414">
              <w:t>Fonte</w:t>
            </w:r>
          </w:p>
        </w:tc>
      </w:tr>
      <w:tr w:rsidR="00E04BB7" w:rsidRPr="00231414" w:rsidTr="00E04BB7">
        <w:tc>
          <w:tcPr>
            <w:tcW w:w="2335" w:type="dxa"/>
            <w:vAlign w:val="center"/>
          </w:tcPr>
          <w:p w:rsidR="00E04BB7" w:rsidRPr="00231414" w:rsidRDefault="00E04BB7" w:rsidP="00A249C9">
            <w:pPr>
              <w:spacing w:line="240" w:lineRule="auto"/>
              <w:jc w:val="both"/>
            </w:pPr>
            <w:r w:rsidRPr="00231414">
              <w:t>Percentual</w:t>
            </w:r>
          </w:p>
        </w:tc>
        <w:tc>
          <w:tcPr>
            <w:tcW w:w="2088" w:type="dxa"/>
            <w:vAlign w:val="center"/>
          </w:tcPr>
          <w:p w:rsidR="00E04BB7" w:rsidRPr="00231414" w:rsidRDefault="00E04BB7" w:rsidP="00A249C9">
            <w:pPr>
              <w:spacing w:line="240" w:lineRule="auto"/>
              <w:jc w:val="both"/>
            </w:pPr>
            <w:r w:rsidRPr="00231414">
              <w:t>10%</w:t>
            </w:r>
          </w:p>
        </w:tc>
        <w:tc>
          <w:tcPr>
            <w:tcW w:w="1945" w:type="dxa"/>
            <w:vAlign w:val="center"/>
          </w:tcPr>
          <w:p w:rsidR="00E04BB7" w:rsidRPr="00231414" w:rsidRDefault="00E04BB7" w:rsidP="00A249C9">
            <w:pPr>
              <w:spacing w:line="240" w:lineRule="auto"/>
              <w:jc w:val="both"/>
            </w:pPr>
            <w:r w:rsidRPr="00231414">
              <w:t>0%</w:t>
            </w:r>
          </w:p>
        </w:tc>
        <w:tc>
          <w:tcPr>
            <w:tcW w:w="3208" w:type="dxa"/>
            <w:vAlign w:val="center"/>
          </w:tcPr>
          <w:p w:rsidR="00E04BB7" w:rsidRPr="00231414" w:rsidRDefault="00E04BB7" w:rsidP="00A249C9">
            <w:pPr>
              <w:spacing w:line="240" w:lineRule="auto"/>
              <w:jc w:val="both"/>
            </w:pPr>
            <w:r w:rsidRPr="00231414">
              <w:t>GECOG/SEFAZ</w:t>
            </w:r>
          </w:p>
        </w:tc>
      </w:tr>
    </w:tbl>
    <w:p w:rsidR="00E04BB7" w:rsidRPr="00231414" w:rsidRDefault="00E04BB7" w:rsidP="00A249C9">
      <w:pPr>
        <w:spacing w:line="240" w:lineRule="auto"/>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088"/>
        <w:gridCol w:w="1945"/>
        <w:gridCol w:w="3208"/>
      </w:tblGrid>
      <w:tr w:rsidR="00E04BB7" w:rsidRPr="00231414" w:rsidTr="00E04BB7">
        <w:trPr>
          <w:trHeight w:val="200"/>
        </w:trPr>
        <w:tc>
          <w:tcPr>
            <w:tcW w:w="2335" w:type="dxa"/>
            <w:shd w:val="clear" w:color="auto" w:fill="C5E0B3"/>
            <w:vAlign w:val="center"/>
          </w:tcPr>
          <w:p w:rsidR="00E04BB7" w:rsidRPr="00231414" w:rsidRDefault="00E04BB7" w:rsidP="00A249C9">
            <w:pPr>
              <w:spacing w:line="240" w:lineRule="auto"/>
              <w:jc w:val="both"/>
            </w:pPr>
            <w:r w:rsidRPr="00231414">
              <w:t>Resultado 2</w:t>
            </w:r>
          </w:p>
        </w:tc>
        <w:tc>
          <w:tcPr>
            <w:tcW w:w="7241" w:type="dxa"/>
            <w:gridSpan w:val="3"/>
            <w:vAlign w:val="center"/>
          </w:tcPr>
          <w:p w:rsidR="00E04BB7" w:rsidRPr="00231414" w:rsidRDefault="00E04BB7" w:rsidP="00A249C9">
            <w:pPr>
              <w:spacing w:line="240" w:lineRule="auto"/>
              <w:ind w:firstLine="17"/>
              <w:jc w:val="both"/>
            </w:pPr>
            <w:r w:rsidRPr="00231414">
              <w:rPr>
                <w:bCs/>
                <w:iCs/>
                <w:color w:val="000000"/>
              </w:rPr>
              <w:t>Sistema de custos implantado</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Fórmula de cálculo</w:t>
            </w:r>
          </w:p>
        </w:tc>
        <w:tc>
          <w:tcPr>
            <w:tcW w:w="7241" w:type="dxa"/>
            <w:gridSpan w:val="3"/>
            <w:vAlign w:val="center"/>
          </w:tcPr>
          <w:p w:rsidR="00E04BB7" w:rsidRPr="00231414" w:rsidRDefault="00E04BB7" w:rsidP="00A249C9">
            <w:pPr>
              <w:spacing w:line="240" w:lineRule="auto"/>
              <w:jc w:val="both"/>
            </w:pPr>
            <w:r w:rsidRPr="00231414">
              <w:rPr>
                <w:bCs/>
                <w:iCs/>
                <w:color w:val="000000"/>
              </w:rPr>
              <w:t>Controle do Projeto</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Unidade de medida</w:t>
            </w:r>
          </w:p>
        </w:tc>
        <w:tc>
          <w:tcPr>
            <w:tcW w:w="2088" w:type="dxa"/>
            <w:shd w:val="clear" w:color="auto" w:fill="C5E0B3"/>
            <w:vAlign w:val="center"/>
          </w:tcPr>
          <w:p w:rsidR="00E04BB7" w:rsidRPr="00231414" w:rsidRDefault="00E04BB7" w:rsidP="00A249C9">
            <w:pPr>
              <w:spacing w:line="240" w:lineRule="auto"/>
              <w:jc w:val="both"/>
            </w:pPr>
            <w:r w:rsidRPr="00231414">
              <w:t>Meta (fim do projeto)</w:t>
            </w:r>
          </w:p>
        </w:tc>
        <w:tc>
          <w:tcPr>
            <w:tcW w:w="1945" w:type="dxa"/>
            <w:shd w:val="clear" w:color="auto" w:fill="C5E0B3"/>
            <w:vAlign w:val="center"/>
          </w:tcPr>
          <w:p w:rsidR="00E04BB7" w:rsidRPr="00231414" w:rsidRDefault="00E04BB7" w:rsidP="00A249C9">
            <w:pPr>
              <w:spacing w:line="240" w:lineRule="auto"/>
              <w:jc w:val="both"/>
            </w:pPr>
            <w:r w:rsidRPr="00231414">
              <w:t>Linha de Base (2017)</w:t>
            </w:r>
          </w:p>
        </w:tc>
        <w:tc>
          <w:tcPr>
            <w:tcW w:w="3208" w:type="dxa"/>
            <w:shd w:val="clear" w:color="auto" w:fill="C5E0B3"/>
            <w:vAlign w:val="center"/>
          </w:tcPr>
          <w:p w:rsidR="00E04BB7" w:rsidRPr="00231414" w:rsidRDefault="00E04BB7" w:rsidP="00A249C9">
            <w:pPr>
              <w:spacing w:line="240" w:lineRule="auto"/>
              <w:jc w:val="both"/>
            </w:pPr>
            <w:r w:rsidRPr="00231414">
              <w:t>Fonte</w:t>
            </w:r>
          </w:p>
        </w:tc>
      </w:tr>
      <w:tr w:rsidR="00E04BB7" w:rsidRPr="00231414" w:rsidTr="00E04BB7">
        <w:tc>
          <w:tcPr>
            <w:tcW w:w="2335" w:type="dxa"/>
            <w:vAlign w:val="center"/>
          </w:tcPr>
          <w:p w:rsidR="00E04BB7" w:rsidRPr="00231414" w:rsidRDefault="00E04BB7" w:rsidP="00A249C9">
            <w:pPr>
              <w:spacing w:line="240" w:lineRule="auto"/>
              <w:jc w:val="both"/>
            </w:pPr>
            <w:r w:rsidRPr="00231414">
              <w:t>Horas para desenvolvimento do sistema de custos</w:t>
            </w:r>
          </w:p>
        </w:tc>
        <w:tc>
          <w:tcPr>
            <w:tcW w:w="2088" w:type="dxa"/>
            <w:vAlign w:val="center"/>
          </w:tcPr>
          <w:p w:rsidR="00E04BB7" w:rsidRPr="00231414" w:rsidRDefault="00E04BB7" w:rsidP="00A249C9">
            <w:pPr>
              <w:spacing w:line="240" w:lineRule="auto"/>
              <w:jc w:val="both"/>
            </w:pPr>
            <w:r w:rsidRPr="00231414">
              <w:t>100%</w:t>
            </w:r>
          </w:p>
        </w:tc>
        <w:tc>
          <w:tcPr>
            <w:tcW w:w="1945" w:type="dxa"/>
            <w:vAlign w:val="center"/>
          </w:tcPr>
          <w:p w:rsidR="00E04BB7" w:rsidRPr="00231414" w:rsidRDefault="00E04BB7" w:rsidP="00A249C9">
            <w:pPr>
              <w:spacing w:line="240" w:lineRule="auto"/>
              <w:jc w:val="both"/>
            </w:pPr>
            <w:r w:rsidRPr="00231414">
              <w:t>0%</w:t>
            </w:r>
          </w:p>
        </w:tc>
        <w:tc>
          <w:tcPr>
            <w:tcW w:w="3208" w:type="dxa"/>
            <w:vAlign w:val="center"/>
          </w:tcPr>
          <w:p w:rsidR="00E04BB7" w:rsidRPr="00231414" w:rsidRDefault="00E04BB7" w:rsidP="00A249C9">
            <w:pPr>
              <w:spacing w:line="240" w:lineRule="auto"/>
              <w:jc w:val="both"/>
            </w:pPr>
            <w:r w:rsidRPr="00231414">
              <w:t>GECOG/SEFAZ</w:t>
            </w:r>
          </w:p>
        </w:tc>
      </w:tr>
    </w:tbl>
    <w:p w:rsidR="00E04BB7" w:rsidRPr="00231414" w:rsidRDefault="00E04BB7" w:rsidP="00A249C9">
      <w:pPr>
        <w:spacing w:line="240" w:lineRule="auto"/>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088"/>
        <w:gridCol w:w="1945"/>
        <w:gridCol w:w="3208"/>
      </w:tblGrid>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Resultado 3</w:t>
            </w:r>
          </w:p>
        </w:tc>
        <w:tc>
          <w:tcPr>
            <w:tcW w:w="7241" w:type="dxa"/>
            <w:gridSpan w:val="3"/>
            <w:vAlign w:val="center"/>
          </w:tcPr>
          <w:p w:rsidR="00E04BB7" w:rsidRPr="00231414" w:rsidRDefault="00E04BB7" w:rsidP="00A249C9">
            <w:pPr>
              <w:spacing w:line="240" w:lineRule="auto"/>
              <w:ind w:firstLine="17"/>
              <w:jc w:val="both"/>
            </w:pPr>
            <w:r w:rsidRPr="00231414">
              <w:rPr>
                <w:bCs/>
                <w:iCs/>
                <w:color w:val="000000"/>
              </w:rPr>
              <w:t>Funções de governo custeados segundo a metodologia proposta</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Fórmula de cálculo</w:t>
            </w:r>
          </w:p>
        </w:tc>
        <w:tc>
          <w:tcPr>
            <w:tcW w:w="7241" w:type="dxa"/>
            <w:gridSpan w:val="3"/>
            <w:vAlign w:val="center"/>
          </w:tcPr>
          <w:p w:rsidR="00E04BB7" w:rsidRPr="00231414" w:rsidRDefault="00E04BB7" w:rsidP="00A249C9">
            <w:pPr>
              <w:spacing w:line="240" w:lineRule="auto"/>
              <w:jc w:val="both"/>
            </w:pPr>
            <w:r w:rsidRPr="00231414">
              <w:rPr>
                <w:bCs/>
                <w:iCs/>
                <w:color w:val="000000"/>
              </w:rPr>
              <w:t>Funções de governo custeadas/3</w:t>
            </w:r>
          </w:p>
        </w:tc>
      </w:tr>
      <w:tr w:rsidR="00E04BB7" w:rsidRPr="00231414" w:rsidTr="00E04BB7">
        <w:tc>
          <w:tcPr>
            <w:tcW w:w="2335" w:type="dxa"/>
            <w:shd w:val="clear" w:color="auto" w:fill="C5E0B3"/>
            <w:vAlign w:val="center"/>
          </w:tcPr>
          <w:p w:rsidR="00E04BB7" w:rsidRPr="00231414" w:rsidRDefault="00E04BB7" w:rsidP="00A249C9">
            <w:pPr>
              <w:spacing w:line="240" w:lineRule="auto"/>
              <w:jc w:val="both"/>
            </w:pPr>
            <w:r w:rsidRPr="00231414">
              <w:t>Unidade de medida</w:t>
            </w:r>
          </w:p>
        </w:tc>
        <w:tc>
          <w:tcPr>
            <w:tcW w:w="2088" w:type="dxa"/>
            <w:shd w:val="clear" w:color="auto" w:fill="C5E0B3"/>
            <w:vAlign w:val="center"/>
          </w:tcPr>
          <w:p w:rsidR="00E04BB7" w:rsidRPr="00231414" w:rsidRDefault="00E04BB7" w:rsidP="00A249C9">
            <w:pPr>
              <w:spacing w:line="240" w:lineRule="auto"/>
              <w:jc w:val="both"/>
            </w:pPr>
            <w:r w:rsidRPr="00231414">
              <w:t>Meta (fim do projeto)</w:t>
            </w:r>
          </w:p>
        </w:tc>
        <w:tc>
          <w:tcPr>
            <w:tcW w:w="1945" w:type="dxa"/>
            <w:shd w:val="clear" w:color="auto" w:fill="C5E0B3"/>
            <w:vAlign w:val="center"/>
          </w:tcPr>
          <w:p w:rsidR="00E04BB7" w:rsidRPr="00231414" w:rsidRDefault="00E04BB7" w:rsidP="00A249C9">
            <w:pPr>
              <w:spacing w:line="240" w:lineRule="auto"/>
              <w:jc w:val="both"/>
            </w:pPr>
            <w:r w:rsidRPr="00231414">
              <w:t>Linha de Base (2017)</w:t>
            </w:r>
          </w:p>
        </w:tc>
        <w:tc>
          <w:tcPr>
            <w:tcW w:w="3208" w:type="dxa"/>
            <w:shd w:val="clear" w:color="auto" w:fill="C5E0B3"/>
            <w:vAlign w:val="center"/>
          </w:tcPr>
          <w:p w:rsidR="00E04BB7" w:rsidRPr="00231414" w:rsidRDefault="00E04BB7" w:rsidP="00A249C9">
            <w:pPr>
              <w:spacing w:line="240" w:lineRule="auto"/>
              <w:jc w:val="both"/>
            </w:pPr>
            <w:r w:rsidRPr="00231414">
              <w:t>Fonte</w:t>
            </w:r>
          </w:p>
        </w:tc>
      </w:tr>
      <w:tr w:rsidR="00E04BB7" w:rsidRPr="00231414" w:rsidTr="00E04BB7">
        <w:tc>
          <w:tcPr>
            <w:tcW w:w="2335" w:type="dxa"/>
            <w:vAlign w:val="center"/>
          </w:tcPr>
          <w:p w:rsidR="00E04BB7" w:rsidRPr="00231414" w:rsidRDefault="00E04BB7" w:rsidP="00A249C9">
            <w:pPr>
              <w:spacing w:line="240" w:lineRule="auto"/>
              <w:jc w:val="both"/>
            </w:pPr>
            <w:r w:rsidRPr="00231414">
              <w:t>Função de governo</w:t>
            </w:r>
          </w:p>
        </w:tc>
        <w:tc>
          <w:tcPr>
            <w:tcW w:w="2088" w:type="dxa"/>
            <w:vAlign w:val="center"/>
          </w:tcPr>
          <w:p w:rsidR="00E04BB7" w:rsidRPr="00231414" w:rsidRDefault="00E04BB7" w:rsidP="00A249C9">
            <w:pPr>
              <w:spacing w:line="240" w:lineRule="auto"/>
              <w:jc w:val="both"/>
            </w:pPr>
            <w:r w:rsidRPr="00231414">
              <w:t>3</w:t>
            </w:r>
          </w:p>
        </w:tc>
        <w:tc>
          <w:tcPr>
            <w:tcW w:w="1945" w:type="dxa"/>
            <w:vAlign w:val="center"/>
          </w:tcPr>
          <w:p w:rsidR="00E04BB7" w:rsidRPr="00231414" w:rsidRDefault="00E04BB7" w:rsidP="00A249C9">
            <w:pPr>
              <w:spacing w:line="240" w:lineRule="auto"/>
              <w:jc w:val="both"/>
            </w:pPr>
            <w:r w:rsidRPr="00231414">
              <w:t>0</w:t>
            </w:r>
          </w:p>
        </w:tc>
        <w:tc>
          <w:tcPr>
            <w:tcW w:w="3208" w:type="dxa"/>
            <w:vAlign w:val="center"/>
          </w:tcPr>
          <w:p w:rsidR="00E04BB7" w:rsidRPr="00231414" w:rsidRDefault="00E04BB7" w:rsidP="00A249C9">
            <w:pPr>
              <w:spacing w:line="240" w:lineRule="auto"/>
              <w:jc w:val="both"/>
            </w:pPr>
            <w:r w:rsidRPr="00231414">
              <w:t>GECOG/SEFAZ</w:t>
            </w:r>
          </w:p>
        </w:tc>
      </w:tr>
    </w:tbl>
    <w:p w:rsidR="00E04BB7" w:rsidRPr="00231414" w:rsidRDefault="00E04BB7" w:rsidP="00A249C9">
      <w:pPr>
        <w:spacing w:line="240" w:lineRule="auto"/>
        <w:jc w:val="both"/>
        <w:rPr>
          <w:rFonts w:cs="Calibri"/>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3119"/>
      </w:tblGrid>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Resultado 4</w:t>
            </w:r>
          </w:p>
        </w:tc>
        <w:tc>
          <w:tcPr>
            <w:tcW w:w="7230" w:type="dxa"/>
            <w:gridSpan w:val="3"/>
            <w:shd w:val="clear" w:color="auto" w:fill="auto"/>
          </w:tcPr>
          <w:p w:rsidR="00E04BB7" w:rsidRPr="00231414" w:rsidRDefault="00E04BB7" w:rsidP="00A249C9">
            <w:pPr>
              <w:spacing w:line="240" w:lineRule="auto"/>
              <w:jc w:val="both"/>
              <w:rPr>
                <w:rFonts w:cs="Calibri"/>
                <w:noProof/>
              </w:rPr>
            </w:pPr>
            <w:r w:rsidRPr="00231414">
              <w:rPr>
                <w:rFonts w:cs="Calibri"/>
                <w:noProof/>
              </w:rPr>
              <w:t>Redução de 20% nos gastos administrativos (Custeio) em todas as fontes</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Fórmula de cálculo</w:t>
            </w:r>
          </w:p>
        </w:tc>
        <w:tc>
          <w:tcPr>
            <w:tcW w:w="7230" w:type="dxa"/>
            <w:gridSpan w:val="3"/>
            <w:shd w:val="clear" w:color="auto" w:fill="auto"/>
            <w:vAlign w:val="center"/>
          </w:tcPr>
          <w:p w:rsidR="00E04BB7" w:rsidRPr="00231414" w:rsidRDefault="00E04BB7" w:rsidP="00A249C9">
            <w:pPr>
              <w:spacing w:line="240" w:lineRule="auto"/>
              <w:jc w:val="both"/>
              <w:rPr>
                <w:rFonts w:cs="Calibri"/>
              </w:rPr>
            </w:pPr>
            <w:r w:rsidRPr="00231414">
              <w:rPr>
                <w:rFonts w:cs="Calibri"/>
              </w:rPr>
              <w:t>Economia gerada nos gastos administrativos / Total da despesa x 100</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Unidade de medida</w:t>
            </w:r>
          </w:p>
        </w:tc>
        <w:tc>
          <w:tcPr>
            <w:tcW w:w="2127"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Meta (fim do projeto)</w:t>
            </w:r>
          </w:p>
        </w:tc>
        <w:tc>
          <w:tcPr>
            <w:tcW w:w="1984"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Linha de Base (2017)</w:t>
            </w:r>
          </w:p>
        </w:tc>
        <w:tc>
          <w:tcPr>
            <w:tcW w:w="3119"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Fonte</w:t>
            </w:r>
          </w:p>
        </w:tc>
      </w:tr>
      <w:tr w:rsidR="00E04BB7" w:rsidRPr="00231414" w:rsidTr="00E04BB7">
        <w:tc>
          <w:tcPr>
            <w:tcW w:w="2410" w:type="dxa"/>
            <w:shd w:val="clear" w:color="auto" w:fill="auto"/>
            <w:vAlign w:val="center"/>
          </w:tcPr>
          <w:p w:rsidR="00E04BB7" w:rsidRPr="00231414" w:rsidRDefault="00E04BB7" w:rsidP="00A249C9">
            <w:pPr>
              <w:spacing w:line="240" w:lineRule="auto"/>
              <w:jc w:val="both"/>
              <w:rPr>
                <w:rFonts w:cs="Calibri"/>
              </w:rPr>
            </w:pPr>
            <w:r w:rsidRPr="00231414">
              <w:rPr>
                <w:rFonts w:cs="Calibri"/>
              </w:rPr>
              <w:t>%</w:t>
            </w:r>
          </w:p>
        </w:tc>
        <w:tc>
          <w:tcPr>
            <w:tcW w:w="2127" w:type="dxa"/>
            <w:shd w:val="clear" w:color="auto" w:fill="auto"/>
            <w:vAlign w:val="center"/>
          </w:tcPr>
          <w:p w:rsidR="00E04BB7" w:rsidRPr="00231414" w:rsidRDefault="00E04BB7" w:rsidP="00A249C9">
            <w:pPr>
              <w:spacing w:line="240" w:lineRule="auto"/>
              <w:jc w:val="both"/>
              <w:rPr>
                <w:rFonts w:cs="Calibri"/>
              </w:rPr>
            </w:pPr>
            <w:r w:rsidRPr="00231414">
              <w:rPr>
                <w:rFonts w:cs="Calibri"/>
              </w:rPr>
              <w:t>-10%</w:t>
            </w:r>
          </w:p>
        </w:tc>
        <w:tc>
          <w:tcPr>
            <w:tcW w:w="1984" w:type="dxa"/>
            <w:shd w:val="clear" w:color="auto" w:fill="auto"/>
            <w:vAlign w:val="center"/>
          </w:tcPr>
          <w:p w:rsidR="00E04BB7" w:rsidRPr="00231414" w:rsidRDefault="00E04BB7" w:rsidP="00A249C9">
            <w:pPr>
              <w:spacing w:line="240" w:lineRule="auto"/>
              <w:jc w:val="both"/>
              <w:rPr>
                <w:rFonts w:cs="Calibri"/>
                <w:highlight w:val="yellow"/>
              </w:rPr>
            </w:pPr>
            <w:r w:rsidRPr="00231414">
              <w:rPr>
                <w:rFonts w:cs="Calibri"/>
              </w:rPr>
              <w:t>0%</w:t>
            </w:r>
          </w:p>
        </w:tc>
        <w:tc>
          <w:tcPr>
            <w:tcW w:w="3119" w:type="dxa"/>
            <w:shd w:val="clear" w:color="auto" w:fill="auto"/>
            <w:vAlign w:val="center"/>
          </w:tcPr>
          <w:p w:rsidR="00E04BB7" w:rsidRPr="00231414" w:rsidRDefault="00E04BB7" w:rsidP="00A249C9">
            <w:pPr>
              <w:spacing w:line="240" w:lineRule="auto"/>
              <w:jc w:val="both"/>
              <w:rPr>
                <w:rFonts w:cs="Calibri"/>
              </w:rPr>
            </w:pPr>
            <w:r w:rsidRPr="00231414">
              <w:rPr>
                <w:rFonts w:cs="Calibri"/>
              </w:rPr>
              <w:t>GEFIN/SEFAZ</w:t>
            </w:r>
          </w:p>
        </w:tc>
      </w:tr>
    </w:tbl>
    <w:p w:rsidR="00E04BB7" w:rsidRPr="00231414" w:rsidRDefault="00E04BB7" w:rsidP="00A249C9">
      <w:pPr>
        <w:spacing w:line="240" w:lineRule="auto"/>
        <w:jc w:val="both"/>
        <w:rPr>
          <w:rFonts w:cs="Calibri"/>
          <w:b/>
          <w:color w:val="FF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3119"/>
      </w:tblGrid>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Resultado 5</w:t>
            </w:r>
          </w:p>
        </w:tc>
        <w:tc>
          <w:tcPr>
            <w:tcW w:w="7230" w:type="dxa"/>
            <w:gridSpan w:val="3"/>
            <w:shd w:val="clear" w:color="auto" w:fill="auto"/>
          </w:tcPr>
          <w:p w:rsidR="00E04BB7" w:rsidRPr="00231414" w:rsidRDefault="00E04BB7" w:rsidP="00A249C9">
            <w:pPr>
              <w:spacing w:line="240" w:lineRule="auto"/>
              <w:jc w:val="both"/>
              <w:rPr>
                <w:rFonts w:cs="Calibri"/>
                <w:noProof/>
              </w:rPr>
            </w:pPr>
            <w:r w:rsidRPr="00231414">
              <w:rPr>
                <w:rFonts w:cs="Calibri"/>
                <w:noProof/>
              </w:rPr>
              <w:t>Redução de 25% nos gastos com energia elétrica</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Fórmula de cálculo</w:t>
            </w:r>
          </w:p>
        </w:tc>
        <w:tc>
          <w:tcPr>
            <w:tcW w:w="7230" w:type="dxa"/>
            <w:gridSpan w:val="3"/>
            <w:shd w:val="clear" w:color="auto" w:fill="auto"/>
            <w:vAlign w:val="center"/>
          </w:tcPr>
          <w:p w:rsidR="00E04BB7" w:rsidRPr="00231414" w:rsidRDefault="00E04BB7" w:rsidP="00A249C9">
            <w:pPr>
              <w:spacing w:line="240" w:lineRule="auto"/>
              <w:jc w:val="both"/>
              <w:rPr>
                <w:rFonts w:cs="Calibri"/>
              </w:rPr>
            </w:pPr>
            <w:r w:rsidRPr="00231414">
              <w:rPr>
                <w:rFonts w:cs="Calibri"/>
              </w:rPr>
              <w:t>Economia gerada nos com energia Elétrica / Total da despesa x 100</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Unidade de medida</w:t>
            </w:r>
          </w:p>
        </w:tc>
        <w:tc>
          <w:tcPr>
            <w:tcW w:w="2127"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Meta (fim do projeto)</w:t>
            </w:r>
          </w:p>
        </w:tc>
        <w:tc>
          <w:tcPr>
            <w:tcW w:w="1984"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Linha de Base (2017)</w:t>
            </w:r>
          </w:p>
        </w:tc>
        <w:tc>
          <w:tcPr>
            <w:tcW w:w="3119"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Fonte</w:t>
            </w:r>
          </w:p>
        </w:tc>
      </w:tr>
      <w:tr w:rsidR="00E04BB7" w:rsidRPr="00231414" w:rsidTr="00E04BB7">
        <w:tc>
          <w:tcPr>
            <w:tcW w:w="2410" w:type="dxa"/>
            <w:shd w:val="clear" w:color="auto" w:fill="auto"/>
            <w:vAlign w:val="center"/>
          </w:tcPr>
          <w:p w:rsidR="00E04BB7" w:rsidRPr="00231414" w:rsidRDefault="00E04BB7" w:rsidP="00A249C9">
            <w:pPr>
              <w:spacing w:line="240" w:lineRule="auto"/>
              <w:jc w:val="both"/>
              <w:rPr>
                <w:rFonts w:cs="Calibri"/>
              </w:rPr>
            </w:pPr>
            <w:r w:rsidRPr="00231414">
              <w:rPr>
                <w:rFonts w:cs="Calibri"/>
              </w:rPr>
              <w:t>%</w:t>
            </w:r>
          </w:p>
        </w:tc>
        <w:tc>
          <w:tcPr>
            <w:tcW w:w="2127" w:type="dxa"/>
            <w:shd w:val="clear" w:color="auto" w:fill="auto"/>
            <w:vAlign w:val="center"/>
          </w:tcPr>
          <w:p w:rsidR="00E04BB7" w:rsidRPr="00231414" w:rsidRDefault="00E04BB7" w:rsidP="00A249C9">
            <w:pPr>
              <w:spacing w:line="240" w:lineRule="auto"/>
              <w:jc w:val="both"/>
              <w:rPr>
                <w:rFonts w:cs="Calibri"/>
              </w:rPr>
            </w:pPr>
            <w:r w:rsidRPr="00231414">
              <w:rPr>
                <w:rFonts w:cs="Calibri"/>
              </w:rPr>
              <w:t>-10%</w:t>
            </w:r>
          </w:p>
        </w:tc>
        <w:tc>
          <w:tcPr>
            <w:tcW w:w="1984" w:type="dxa"/>
            <w:shd w:val="clear" w:color="auto" w:fill="auto"/>
            <w:vAlign w:val="center"/>
          </w:tcPr>
          <w:p w:rsidR="00E04BB7" w:rsidRPr="00231414" w:rsidRDefault="00E04BB7" w:rsidP="00A249C9">
            <w:pPr>
              <w:spacing w:line="240" w:lineRule="auto"/>
              <w:jc w:val="both"/>
              <w:rPr>
                <w:rFonts w:cs="Calibri"/>
                <w:highlight w:val="yellow"/>
              </w:rPr>
            </w:pPr>
            <w:r w:rsidRPr="00231414">
              <w:rPr>
                <w:rFonts w:cs="Calibri"/>
              </w:rPr>
              <w:t>0%</w:t>
            </w:r>
          </w:p>
        </w:tc>
        <w:tc>
          <w:tcPr>
            <w:tcW w:w="3119" w:type="dxa"/>
            <w:shd w:val="clear" w:color="auto" w:fill="auto"/>
            <w:vAlign w:val="center"/>
          </w:tcPr>
          <w:p w:rsidR="00E04BB7" w:rsidRPr="00231414" w:rsidRDefault="00E04BB7" w:rsidP="00A249C9">
            <w:pPr>
              <w:spacing w:line="240" w:lineRule="auto"/>
              <w:jc w:val="both"/>
              <w:rPr>
                <w:rFonts w:cs="Calibri"/>
              </w:rPr>
            </w:pPr>
            <w:r w:rsidRPr="00231414">
              <w:rPr>
                <w:rFonts w:cs="Calibri"/>
              </w:rPr>
              <w:t>GEFIN/SEFAZ</w:t>
            </w:r>
          </w:p>
        </w:tc>
      </w:tr>
    </w:tbl>
    <w:p w:rsidR="00E04BB7" w:rsidRPr="00231414" w:rsidRDefault="00E04BB7" w:rsidP="00A249C9">
      <w:pPr>
        <w:spacing w:line="240" w:lineRule="auto"/>
        <w:jc w:val="both"/>
        <w:rPr>
          <w:rFonts w:cs="Calibri"/>
          <w:b/>
          <w:color w:val="FF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7"/>
        <w:gridCol w:w="1984"/>
        <w:gridCol w:w="3119"/>
      </w:tblGrid>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Resultado 6</w:t>
            </w:r>
          </w:p>
        </w:tc>
        <w:tc>
          <w:tcPr>
            <w:tcW w:w="7230" w:type="dxa"/>
            <w:gridSpan w:val="3"/>
            <w:shd w:val="clear" w:color="auto" w:fill="auto"/>
          </w:tcPr>
          <w:p w:rsidR="00E04BB7" w:rsidRPr="00231414" w:rsidRDefault="00E04BB7" w:rsidP="00A249C9">
            <w:pPr>
              <w:spacing w:line="240" w:lineRule="auto"/>
              <w:jc w:val="both"/>
              <w:rPr>
                <w:rFonts w:cs="Calibri"/>
                <w:noProof/>
              </w:rPr>
            </w:pPr>
            <w:r w:rsidRPr="00231414">
              <w:rPr>
                <w:rFonts w:cs="Calibri"/>
                <w:noProof/>
              </w:rPr>
              <w:t>Redução de 20% nos gastos com medicamentos na área da saúde</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Fórmula de cálculo</w:t>
            </w:r>
          </w:p>
        </w:tc>
        <w:tc>
          <w:tcPr>
            <w:tcW w:w="7230" w:type="dxa"/>
            <w:gridSpan w:val="3"/>
            <w:shd w:val="clear" w:color="auto" w:fill="auto"/>
            <w:vAlign w:val="center"/>
          </w:tcPr>
          <w:p w:rsidR="00E04BB7" w:rsidRPr="00231414" w:rsidRDefault="00E04BB7" w:rsidP="00A249C9">
            <w:pPr>
              <w:spacing w:line="240" w:lineRule="auto"/>
              <w:jc w:val="both"/>
              <w:rPr>
                <w:rFonts w:cs="Calibri"/>
              </w:rPr>
            </w:pPr>
            <w:r w:rsidRPr="00231414">
              <w:rPr>
                <w:rFonts w:cs="Calibri"/>
              </w:rPr>
              <w:t>Economia gerada nos gastos com aquisição de medicamentos / Total da despesa x 100</w:t>
            </w:r>
          </w:p>
        </w:tc>
      </w:tr>
      <w:tr w:rsidR="00E04BB7" w:rsidRPr="00231414" w:rsidTr="00E04BB7">
        <w:tc>
          <w:tcPr>
            <w:tcW w:w="2410"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Unidade de medida</w:t>
            </w:r>
          </w:p>
        </w:tc>
        <w:tc>
          <w:tcPr>
            <w:tcW w:w="2127"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Meta (fim do projeto)</w:t>
            </w:r>
          </w:p>
        </w:tc>
        <w:tc>
          <w:tcPr>
            <w:tcW w:w="1984"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Linha de Base (2017)</w:t>
            </w:r>
          </w:p>
        </w:tc>
        <w:tc>
          <w:tcPr>
            <w:tcW w:w="3119" w:type="dxa"/>
            <w:shd w:val="clear" w:color="auto" w:fill="C5E0B3"/>
            <w:vAlign w:val="center"/>
          </w:tcPr>
          <w:p w:rsidR="00E04BB7" w:rsidRPr="00231414" w:rsidRDefault="00E04BB7" w:rsidP="00A249C9">
            <w:pPr>
              <w:spacing w:line="240" w:lineRule="auto"/>
              <w:jc w:val="both"/>
              <w:rPr>
                <w:rFonts w:cs="Calibri"/>
              </w:rPr>
            </w:pPr>
            <w:r w:rsidRPr="00231414">
              <w:rPr>
                <w:rFonts w:cs="Calibri"/>
              </w:rPr>
              <w:t>Fonte</w:t>
            </w:r>
          </w:p>
        </w:tc>
      </w:tr>
      <w:tr w:rsidR="00E04BB7" w:rsidRPr="00231414" w:rsidTr="00E04BB7">
        <w:tc>
          <w:tcPr>
            <w:tcW w:w="2410" w:type="dxa"/>
            <w:shd w:val="clear" w:color="auto" w:fill="auto"/>
            <w:vAlign w:val="center"/>
          </w:tcPr>
          <w:p w:rsidR="00E04BB7" w:rsidRPr="00231414" w:rsidRDefault="00E04BB7" w:rsidP="00A249C9">
            <w:pPr>
              <w:spacing w:line="240" w:lineRule="auto"/>
              <w:jc w:val="both"/>
              <w:rPr>
                <w:rFonts w:cs="Calibri"/>
              </w:rPr>
            </w:pPr>
            <w:r w:rsidRPr="00231414">
              <w:rPr>
                <w:rFonts w:cs="Calibri"/>
              </w:rPr>
              <w:t>%</w:t>
            </w:r>
          </w:p>
        </w:tc>
        <w:tc>
          <w:tcPr>
            <w:tcW w:w="2127" w:type="dxa"/>
            <w:shd w:val="clear" w:color="auto" w:fill="auto"/>
            <w:vAlign w:val="center"/>
          </w:tcPr>
          <w:p w:rsidR="00E04BB7" w:rsidRPr="00231414" w:rsidRDefault="00E04BB7" w:rsidP="00A249C9">
            <w:pPr>
              <w:spacing w:line="240" w:lineRule="auto"/>
              <w:jc w:val="both"/>
              <w:rPr>
                <w:rFonts w:cs="Calibri"/>
              </w:rPr>
            </w:pPr>
            <w:r w:rsidRPr="00231414">
              <w:rPr>
                <w:rFonts w:cs="Calibri"/>
              </w:rPr>
              <w:t>-20%</w:t>
            </w:r>
          </w:p>
        </w:tc>
        <w:tc>
          <w:tcPr>
            <w:tcW w:w="1984" w:type="dxa"/>
            <w:shd w:val="clear" w:color="auto" w:fill="auto"/>
            <w:vAlign w:val="center"/>
          </w:tcPr>
          <w:p w:rsidR="00E04BB7" w:rsidRPr="00231414" w:rsidRDefault="00E04BB7" w:rsidP="00A249C9">
            <w:pPr>
              <w:spacing w:line="240" w:lineRule="auto"/>
              <w:jc w:val="both"/>
              <w:rPr>
                <w:rFonts w:cs="Calibri"/>
              </w:rPr>
            </w:pPr>
            <w:r w:rsidRPr="00231414">
              <w:rPr>
                <w:rFonts w:cs="Calibri"/>
              </w:rPr>
              <w:t>0%</w:t>
            </w:r>
          </w:p>
        </w:tc>
        <w:tc>
          <w:tcPr>
            <w:tcW w:w="3119" w:type="dxa"/>
            <w:shd w:val="clear" w:color="auto" w:fill="auto"/>
            <w:vAlign w:val="center"/>
          </w:tcPr>
          <w:p w:rsidR="00E04BB7" w:rsidRPr="00231414" w:rsidRDefault="00E04BB7" w:rsidP="00A249C9">
            <w:pPr>
              <w:spacing w:line="240" w:lineRule="auto"/>
              <w:jc w:val="both"/>
              <w:rPr>
                <w:rFonts w:cs="Calibri"/>
              </w:rPr>
            </w:pPr>
            <w:r w:rsidRPr="00231414">
              <w:rPr>
                <w:rFonts w:cs="Calibri"/>
              </w:rPr>
              <w:t>GEFIN/SEFAZ</w:t>
            </w:r>
          </w:p>
        </w:tc>
      </w:tr>
    </w:tbl>
    <w:p w:rsidR="00E04BB7" w:rsidRPr="00231414" w:rsidRDefault="00E04BB7" w:rsidP="00E04BB7">
      <w:pPr>
        <w:jc w:val="both"/>
        <w:rPr>
          <w:rFonts w:cs="Calibri"/>
          <w:b/>
        </w:rPr>
      </w:pPr>
    </w:p>
    <w:p w:rsidR="00E04BB7" w:rsidRPr="00231414" w:rsidRDefault="00E04BB7" w:rsidP="00E04BB7">
      <w:pPr>
        <w:jc w:val="both"/>
        <w:rPr>
          <w:rFonts w:cs="Calibri"/>
          <w:b/>
        </w:rPr>
      </w:pPr>
      <w:r w:rsidRPr="00231414">
        <w:rPr>
          <w:rFonts w:cs="Calibri"/>
          <w:b/>
        </w:rPr>
        <w:t xml:space="preserve">4.1.2- Outros possíveis resultados: </w:t>
      </w:r>
    </w:p>
    <w:p w:rsidR="00E04BB7" w:rsidRPr="00231414" w:rsidRDefault="00E04BB7" w:rsidP="00A249C9">
      <w:pPr>
        <w:numPr>
          <w:ilvl w:val="0"/>
          <w:numId w:val="177"/>
        </w:numPr>
        <w:spacing w:line="240" w:lineRule="auto"/>
        <w:ind w:left="0"/>
        <w:jc w:val="both"/>
        <w:rPr>
          <w:rFonts w:cs="Calibri"/>
        </w:rPr>
      </w:pPr>
      <w:r w:rsidRPr="00231414">
        <w:rPr>
          <w:rFonts w:cs="Calibri"/>
        </w:rPr>
        <w:t>Capacidade de avaliar com mais correção a viabilidade de executar diretamente uma ação ou terceirizar sua execução.</w:t>
      </w:r>
    </w:p>
    <w:p w:rsidR="00E04BB7" w:rsidRPr="00231414" w:rsidRDefault="00E04BB7" w:rsidP="00A249C9">
      <w:pPr>
        <w:numPr>
          <w:ilvl w:val="0"/>
          <w:numId w:val="77"/>
        </w:numPr>
        <w:spacing w:line="240" w:lineRule="auto"/>
        <w:ind w:left="0"/>
        <w:jc w:val="both"/>
        <w:rPr>
          <w:rFonts w:cs="Calibri"/>
        </w:rPr>
      </w:pPr>
      <w:r w:rsidRPr="00231414">
        <w:rPr>
          <w:rFonts w:cs="Calibri"/>
        </w:rPr>
        <w:t>Relatórios confiáveis que auxiliarão na tomada de decisão;</w:t>
      </w:r>
    </w:p>
    <w:p w:rsidR="00E04BB7" w:rsidRPr="00231414" w:rsidRDefault="00E04BB7" w:rsidP="00A249C9">
      <w:pPr>
        <w:numPr>
          <w:ilvl w:val="0"/>
          <w:numId w:val="77"/>
        </w:numPr>
        <w:spacing w:line="240" w:lineRule="auto"/>
        <w:ind w:left="0"/>
        <w:jc w:val="both"/>
        <w:rPr>
          <w:rFonts w:cs="Calibri"/>
        </w:rPr>
      </w:pPr>
      <w:r w:rsidRPr="00231414">
        <w:rPr>
          <w:rFonts w:cs="Calibri"/>
        </w:rPr>
        <w:t>Informações mais consistentes que poderão ser disponibilizadas no Portal da Transparência;</w:t>
      </w:r>
    </w:p>
    <w:p w:rsidR="00E04BB7" w:rsidRPr="00231414" w:rsidRDefault="00E04BB7" w:rsidP="00A249C9">
      <w:pPr>
        <w:numPr>
          <w:ilvl w:val="0"/>
          <w:numId w:val="77"/>
        </w:numPr>
        <w:spacing w:line="240" w:lineRule="auto"/>
        <w:ind w:left="0"/>
        <w:jc w:val="both"/>
        <w:rPr>
          <w:rFonts w:cs="Calibri"/>
        </w:rPr>
      </w:pPr>
      <w:r w:rsidRPr="00231414">
        <w:rPr>
          <w:rFonts w:cs="Calibri"/>
        </w:rPr>
        <w:t>Maior controle de fraudes e possíveis casos de corrupção</w:t>
      </w:r>
    </w:p>
    <w:p w:rsidR="00E04BB7" w:rsidRPr="00231414" w:rsidRDefault="00E04BB7" w:rsidP="00E04BB7">
      <w:pPr>
        <w:jc w:val="both"/>
        <w:rPr>
          <w:i/>
        </w:rPr>
      </w:pPr>
      <w:r w:rsidRPr="00231414">
        <w:rPr>
          <w:i/>
        </w:rPr>
        <w:t>* Ver observação na seção 2.2.3</w:t>
      </w:r>
    </w:p>
    <w:p w:rsidR="00E04BB7" w:rsidRPr="00231414" w:rsidRDefault="00E04BB7" w:rsidP="00E04BB7">
      <w:pPr>
        <w:jc w:val="both"/>
        <w:rPr>
          <w: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3" w:name="_Toc517282179"/>
      <w:r w:rsidRPr="00231414">
        <w:rPr>
          <w:rFonts w:cs="Calibri"/>
          <w:b/>
        </w:rPr>
        <w:t>ASPECTOS INOVADORES DO PRODUTO</w:t>
      </w:r>
      <w:bookmarkEnd w:id="163"/>
    </w:p>
    <w:p w:rsidR="00E04BB7" w:rsidRPr="00231414" w:rsidRDefault="00E04BB7" w:rsidP="00E04BB7">
      <w:pPr>
        <w:jc w:val="both"/>
        <w:rPr>
          <w:rFonts w:cs="Calibri"/>
        </w:rPr>
      </w:pPr>
      <w:r w:rsidRPr="00231414">
        <w:rPr>
          <w:rFonts w:cs="Calibri"/>
        </w:rPr>
        <w:t>A partir do conhecimento do custo dos serviços públicos espera-se oferecer subsídios à gestão da qualidade do gasto, ampliando o alcance dos controles contratuais e estabelecendo métricas para a avaliação de desempenho.</w:t>
      </w:r>
    </w:p>
    <w:p w:rsidR="00E04BB7" w:rsidRPr="00231414" w:rsidRDefault="00E04BB7" w:rsidP="00E04BB7">
      <w:pPr>
        <w:jc w:val="both"/>
        <w:rPr>
          <w:rFonts w:cs="Calibri"/>
        </w:rPr>
      </w:pPr>
      <w:r w:rsidRPr="00231414">
        <w:rPr>
          <w:rFonts w:cs="Calibri"/>
        </w:rPr>
        <w:t>A proposta a ser desenvolvida como modelo de gestão de custos descarta a hipótese de manipulação manual de dados. Todo o processo de acumulação de custos, portanto, ocorrerá por integrações de sistemas informatizados, a partir de parâmetros previamente fixados. Prevê-se a adoção de duas perspectivas de saída de dados para o sistema: uma para uso geral (relatórios preformatados) e, outra, para usos específicos (aplicativos de confecção de relatórios de forma dinâmica).</w:t>
      </w:r>
    </w:p>
    <w:p w:rsidR="00E04BB7" w:rsidRPr="00231414" w:rsidRDefault="00E04BB7" w:rsidP="00E04BB7">
      <w:pPr>
        <w:jc w:val="both"/>
        <w:rPr>
          <w:rFonts w:cs="Calibri"/>
        </w:rPr>
      </w:pPr>
      <w:r w:rsidRPr="00231414">
        <w:rPr>
          <w:rFonts w:cs="Calibri"/>
        </w:rPr>
        <w:t>Adicionalmente, a partir da integração dos sistemas informatizados do Estado, será possível obter um fluxo de informações atualizadas em tempo real e a criação de metodologias para geração de parâmetros e indicadores.</w:t>
      </w:r>
    </w:p>
    <w:p w:rsidR="00E04BB7" w:rsidRPr="00231414" w:rsidRDefault="00E04BB7" w:rsidP="00E04BB7">
      <w:pPr>
        <w:jc w:val="both"/>
        <w:rPr>
          <w:rFonts w:cs="Calibr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4" w:name="_Toc517282180"/>
      <w:r w:rsidRPr="00231414">
        <w:rPr>
          <w:rFonts w:cs="Calibri"/>
          <w:b/>
        </w:rPr>
        <w:t>IMPACTOS POTENCIAIS</w:t>
      </w:r>
      <w:bookmarkEnd w:id="164"/>
    </w:p>
    <w:p w:rsidR="00A249C9" w:rsidRDefault="00A249C9" w:rsidP="00E04BB7">
      <w:pPr>
        <w:jc w:val="both"/>
        <w:rPr>
          <w:rFonts w:cs="Calibri"/>
          <w:b/>
        </w:rPr>
      </w:pPr>
    </w:p>
    <w:p w:rsidR="00E04BB7" w:rsidRPr="00231414" w:rsidRDefault="00A249C9" w:rsidP="00E04BB7">
      <w:pPr>
        <w:jc w:val="both"/>
        <w:rPr>
          <w:rFonts w:cs="Calibri"/>
          <w:b/>
        </w:rPr>
      </w:pPr>
      <w:r>
        <w:rPr>
          <w:rFonts w:cs="Calibri"/>
          <w:b/>
        </w:rPr>
        <w:t>5.</w:t>
      </w:r>
      <w:r w:rsidR="00E04BB7" w:rsidRPr="00231414">
        <w:rPr>
          <w:rFonts w:cs="Calibri"/>
          <w:b/>
        </w:rPr>
        <w:t>6.1- Para a redução de custos</w:t>
      </w:r>
    </w:p>
    <w:p w:rsidR="00E04BB7" w:rsidRPr="00231414" w:rsidRDefault="00E04BB7" w:rsidP="00E04BB7">
      <w:pPr>
        <w:jc w:val="both"/>
        <w:rPr>
          <w:rFonts w:cs="Calibri"/>
        </w:rPr>
      </w:pPr>
      <w:r w:rsidRPr="00231414">
        <w:rPr>
          <w:rFonts w:cs="Calibri"/>
        </w:rPr>
        <w:t>Criar e disponibilizar relatórios que incentivem os agentes públicos a administrar o erário a partir de uma visão gerencial.</w:t>
      </w:r>
    </w:p>
    <w:p w:rsidR="00E04BB7" w:rsidRPr="00231414" w:rsidRDefault="00A249C9" w:rsidP="00E04BB7">
      <w:pPr>
        <w:jc w:val="both"/>
        <w:rPr>
          <w:rFonts w:cs="Calibri"/>
          <w:b/>
        </w:rPr>
      </w:pPr>
      <w:r>
        <w:rPr>
          <w:rFonts w:cs="Calibri"/>
          <w:b/>
        </w:rPr>
        <w:t>5.</w:t>
      </w:r>
      <w:r w:rsidR="00E04BB7" w:rsidRPr="00231414">
        <w:rPr>
          <w:rFonts w:cs="Calibri"/>
          <w:b/>
        </w:rPr>
        <w:t>6.2- Para otimização dos resultados</w:t>
      </w:r>
    </w:p>
    <w:p w:rsidR="00E04BB7" w:rsidRPr="00231414" w:rsidRDefault="00E04BB7" w:rsidP="00E04BB7">
      <w:pPr>
        <w:jc w:val="both"/>
        <w:rPr>
          <w:rFonts w:cs="Calibri"/>
        </w:rPr>
      </w:pPr>
      <w:r w:rsidRPr="00231414">
        <w:rPr>
          <w:rFonts w:cs="Calibri"/>
        </w:rPr>
        <w:t>Dar ao administrador público subsídios para aprimorar a qualidade do serviço entregue aos administrados. É esperada a melhoria da gestão dos gastos públicos, promovendo mais agilidade na tomada de decisão e eficiência na utilização dos recursos públicos.</w:t>
      </w:r>
    </w:p>
    <w:p w:rsidR="00E04BB7" w:rsidRPr="00231414" w:rsidRDefault="00A249C9" w:rsidP="00E04BB7">
      <w:pPr>
        <w:jc w:val="both"/>
        <w:rPr>
          <w:rFonts w:cs="Calibri"/>
          <w:b/>
        </w:rPr>
      </w:pPr>
      <w:r>
        <w:rPr>
          <w:rFonts w:cs="Calibri"/>
          <w:b/>
        </w:rPr>
        <w:t>5.</w:t>
      </w:r>
      <w:r w:rsidR="00E04BB7" w:rsidRPr="00231414">
        <w:rPr>
          <w:rFonts w:cs="Calibri"/>
          <w:b/>
        </w:rPr>
        <w:t>6.3- Para permitir o aumento da transparência e do controle social</w:t>
      </w:r>
    </w:p>
    <w:p w:rsidR="00E04BB7" w:rsidRPr="00231414" w:rsidRDefault="00E04BB7" w:rsidP="00E04BB7">
      <w:pPr>
        <w:jc w:val="both"/>
        <w:rPr>
          <w:rFonts w:cs="Calibri"/>
        </w:rPr>
      </w:pPr>
      <w:r w:rsidRPr="00231414">
        <w:rPr>
          <w:rFonts w:cs="Calibri"/>
        </w:rPr>
        <w:t>Possibilitar ao cidadão o conhecimento das práticas administrativas realizadas nos órgãos públicos.</w:t>
      </w:r>
    </w:p>
    <w:p w:rsidR="00E04BB7" w:rsidRPr="00231414" w:rsidRDefault="00A249C9" w:rsidP="00E04BB7">
      <w:pPr>
        <w:jc w:val="both"/>
        <w:rPr>
          <w:rFonts w:cs="Calibri"/>
          <w:b/>
        </w:rPr>
      </w:pPr>
      <w:r>
        <w:rPr>
          <w:rFonts w:cs="Calibri"/>
          <w:b/>
        </w:rPr>
        <w:t>5.</w:t>
      </w:r>
      <w:r w:rsidR="00E04BB7" w:rsidRPr="00231414">
        <w:rPr>
          <w:rFonts w:cs="Calibri"/>
          <w:b/>
        </w:rPr>
        <w:t>6.4- Para controle das despesas de custeio</w:t>
      </w:r>
    </w:p>
    <w:p w:rsidR="00E04BB7" w:rsidRPr="00231414" w:rsidRDefault="00E04BB7" w:rsidP="00E04BB7">
      <w:pPr>
        <w:jc w:val="both"/>
        <w:rPr>
          <w:rFonts w:cs="Calibri"/>
        </w:rPr>
      </w:pPr>
      <w:r w:rsidRPr="00231414">
        <w:rPr>
          <w:rFonts w:cs="Calibri"/>
        </w:rPr>
        <w:t>Redução relevante de despesas de custeio do Estado, com impactos positivos em sua situação fiscal.</w:t>
      </w:r>
    </w:p>
    <w:p w:rsidR="00E04BB7" w:rsidRPr="00231414" w:rsidRDefault="00E04BB7" w:rsidP="00E04BB7">
      <w:pPr>
        <w:jc w:val="both"/>
        <w:rPr>
          <w:rFonts w:cs="Calibr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5" w:name="_Toc517282181"/>
      <w:r w:rsidRPr="00231414">
        <w:rPr>
          <w:rFonts w:cs="Calibri"/>
          <w:b/>
        </w:rPr>
        <w:t>RISCOS DE EXECUÇÃO DO PRODUTO</w:t>
      </w:r>
      <w:bookmarkEnd w:id="165"/>
      <w:r w:rsidRPr="00231414">
        <w:rPr>
          <w:rFonts w:cs="Calibri"/>
          <w:b/>
        </w:rPr>
        <w:t xml:space="preserve"> </w:t>
      </w:r>
    </w:p>
    <w:p w:rsidR="00A249C9" w:rsidRDefault="00A249C9" w:rsidP="00A249C9">
      <w:pPr>
        <w:spacing w:line="240" w:lineRule="auto"/>
        <w:jc w:val="both"/>
        <w:rPr>
          <w:rFonts w:cs="Calibri"/>
        </w:rPr>
      </w:pPr>
    </w:p>
    <w:p w:rsidR="00E04BB7" w:rsidRPr="00231414" w:rsidRDefault="00E04BB7" w:rsidP="00A249C9">
      <w:pPr>
        <w:spacing w:line="240" w:lineRule="auto"/>
        <w:jc w:val="both"/>
        <w:rPr>
          <w:rFonts w:cs="Calibri"/>
        </w:rPr>
      </w:pPr>
      <w:r w:rsidRPr="00231414">
        <w:rPr>
          <w:rFonts w:cs="Calibri"/>
        </w:rPr>
        <w:t>O sucesso para um projeto que pretende estimular a apuração e utilização da informação de custos depende, em alto grau, da aderência dos agentes públicos. É importante disseminar uma cultura de apuração e controle de custos. Um eventual fracasso nesta disseminação pode representar o fracasso no modelo de gestão de custos.</w:t>
      </w:r>
    </w:p>
    <w:p w:rsidR="00E04BB7" w:rsidRPr="00231414" w:rsidRDefault="00E04BB7" w:rsidP="00A249C9">
      <w:pPr>
        <w:numPr>
          <w:ilvl w:val="0"/>
          <w:numId w:val="79"/>
        </w:numPr>
        <w:spacing w:line="240" w:lineRule="auto"/>
        <w:ind w:left="0" w:firstLine="0"/>
        <w:jc w:val="both"/>
        <w:rPr>
          <w:rFonts w:cs="Calibri"/>
        </w:rPr>
      </w:pPr>
      <w:r w:rsidRPr="00231414">
        <w:rPr>
          <w:rFonts w:cs="Calibri"/>
        </w:rPr>
        <w:t xml:space="preserve">Resistência a mudanças por parte dos usuários: os servidores acostumados a fazer sempre do mesmo jeito e que não possuem conscientização do seu trabalho no </w:t>
      </w:r>
      <w:r w:rsidR="00A249C9" w:rsidRPr="00231414">
        <w:rPr>
          <w:rFonts w:cs="Calibri"/>
        </w:rPr>
        <w:t>todo, podem</w:t>
      </w:r>
      <w:r w:rsidRPr="00231414">
        <w:rPr>
          <w:rFonts w:cs="Calibri"/>
        </w:rPr>
        <w:t xml:space="preserve"> ser mais resistentes a mudanças. Medida mitigadora: plano de ampliação da visão do processo de compra como um todo aos servidores envolvidos;</w:t>
      </w:r>
    </w:p>
    <w:p w:rsidR="00E04BB7" w:rsidRPr="00231414" w:rsidRDefault="00E04BB7" w:rsidP="00A249C9">
      <w:pPr>
        <w:numPr>
          <w:ilvl w:val="0"/>
          <w:numId w:val="78"/>
        </w:numPr>
        <w:spacing w:line="240" w:lineRule="auto"/>
        <w:ind w:left="0" w:firstLine="0"/>
        <w:jc w:val="both"/>
        <w:rPr>
          <w:rFonts w:cs="Calibri"/>
        </w:rPr>
      </w:pPr>
      <w:r w:rsidRPr="00231414">
        <w:rPr>
          <w:rFonts w:cs="Calibri"/>
        </w:rPr>
        <w:t>Falha na comunicação entre os órgãos: os ruídos na comunicação sobre o projeto que podem prejudicar a implementação da solução. Medida mitigadora: incluir os servidores de diferentes secretarias e posições hierárquicas no plano de comunicação;</w:t>
      </w:r>
    </w:p>
    <w:p w:rsidR="00E04BB7" w:rsidRPr="00231414" w:rsidRDefault="00E04BB7" w:rsidP="00A249C9">
      <w:pPr>
        <w:numPr>
          <w:ilvl w:val="0"/>
          <w:numId w:val="78"/>
        </w:numPr>
        <w:spacing w:line="240" w:lineRule="auto"/>
        <w:ind w:left="0" w:firstLine="0"/>
        <w:jc w:val="both"/>
        <w:rPr>
          <w:rFonts w:cs="Calibri"/>
        </w:rPr>
      </w:pPr>
      <w:r w:rsidRPr="00231414">
        <w:rPr>
          <w:rFonts w:cs="Calibri"/>
        </w:rPr>
        <w:t>Capacitação insuficiente para o desenvolvimento das atividades: poucas horas contratadas de capacitação podem gerar dificuldades de executar as atividades no novo sistema. Medida mitigadora: definição de equipe para suporte e desenvolver plano de capacitação que preveja um reforço contínuo;</w:t>
      </w:r>
    </w:p>
    <w:p w:rsidR="00E04BB7" w:rsidRPr="00231414" w:rsidRDefault="00E04BB7" w:rsidP="00A249C9">
      <w:pPr>
        <w:numPr>
          <w:ilvl w:val="0"/>
          <w:numId w:val="78"/>
        </w:numPr>
        <w:spacing w:line="240" w:lineRule="auto"/>
        <w:ind w:left="0" w:firstLine="0"/>
        <w:jc w:val="both"/>
        <w:rPr>
          <w:rFonts w:cs="Calibri"/>
        </w:rPr>
      </w:pPr>
      <w:r w:rsidRPr="00231414">
        <w:rPr>
          <w:rFonts w:cs="Calibri"/>
        </w:rPr>
        <w:t>Indisponibilidade do recurso financeiro suficiente: a demora na implementação do produto pode tornar o recurso financeiro destinado ao projeto insuficiente por não ter acompanhado as variações econômicas que interferem nos custos envolvidos. Medida mitigadora: plano financeiro de médio e longo prazo que preveja investimentos futuros e reservas para as intempestividades econômicas.</w:t>
      </w:r>
    </w:p>
    <w:p w:rsidR="00E04BB7" w:rsidRDefault="00E04BB7"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Default="00A249C9" w:rsidP="00A249C9">
      <w:pPr>
        <w:pStyle w:val="PargrafodaLista"/>
        <w:ind w:left="0"/>
        <w:jc w:val="both"/>
      </w:pPr>
    </w:p>
    <w:p w:rsidR="00A249C9" w:rsidRPr="00231414" w:rsidRDefault="00A249C9" w:rsidP="00A249C9">
      <w:pPr>
        <w:pStyle w:val="PargrafodaLista"/>
        <w:ind w:left="0"/>
        <w:jc w:val="both"/>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6" w:name="_Toc517282182"/>
      <w:r w:rsidRPr="00231414">
        <w:rPr>
          <w:rFonts w:cs="Calibri"/>
          <w:b/>
        </w:rPr>
        <w:t>QUADRO DE CUSTOS DO PRODUTO POR TIPO DE INVESTIMENTO</w:t>
      </w:r>
      <w:bookmarkEnd w:id="166"/>
    </w:p>
    <w:p w:rsidR="00A249C9" w:rsidRDefault="00A249C9" w:rsidP="00E04BB7">
      <w:pPr>
        <w:jc w:val="both"/>
        <w:rPr>
          <w:b/>
        </w:rPr>
      </w:pPr>
    </w:p>
    <w:p w:rsidR="00E04BB7" w:rsidRPr="00231414" w:rsidRDefault="00E04BB7" w:rsidP="00E04BB7">
      <w:pPr>
        <w:jc w:val="both"/>
        <w:rPr>
          <w:b/>
        </w:rPr>
      </w:pPr>
    </w:p>
    <w:tbl>
      <w:tblPr>
        <w:tblW w:w="5000" w:type="pct"/>
        <w:tblCellMar>
          <w:left w:w="70" w:type="dxa"/>
          <w:right w:w="70" w:type="dxa"/>
        </w:tblCellMar>
        <w:tblLook w:val="04A0" w:firstRow="1" w:lastRow="0" w:firstColumn="1" w:lastColumn="0" w:noHBand="0" w:noVBand="1"/>
      </w:tblPr>
      <w:tblGrid>
        <w:gridCol w:w="656"/>
        <w:gridCol w:w="3460"/>
        <w:gridCol w:w="912"/>
        <w:gridCol w:w="486"/>
        <w:gridCol w:w="1756"/>
        <w:gridCol w:w="1834"/>
        <w:gridCol w:w="520"/>
        <w:gridCol w:w="146"/>
      </w:tblGrid>
      <w:tr w:rsidR="00E04BB7" w:rsidRPr="00231414" w:rsidTr="00A249C9">
        <w:trPr>
          <w:trHeight w:val="257"/>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b/>
              </w:rPr>
            </w:pPr>
            <w:r w:rsidRPr="00231414">
              <w:rPr>
                <w:rFonts w:cs="Calibri"/>
                <w:b/>
              </w:rPr>
              <w:t>SubP.</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b/>
              </w:rPr>
            </w:pPr>
            <w:r w:rsidRPr="00231414">
              <w:rPr>
                <w:rFonts w:cs="Calibri"/>
                <w:b/>
              </w:rPr>
              <w:t>DESCRIÇÃO</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b/>
              </w:rPr>
              <w:t>Unidade</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b/>
              </w:rPr>
            </w:pPr>
            <w:r w:rsidRPr="00231414">
              <w:rPr>
                <w:rFonts w:cs="Calibri"/>
                <w:b/>
              </w:rPr>
              <w:t>Qtd</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b/>
              </w:rPr>
            </w:pPr>
            <w:r w:rsidRPr="00231414">
              <w:rPr>
                <w:rFonts w:cs="Calibri"/>
                <w:b/>
              </w:rPr>
              <w:t>VALOR UNIT. (R$)</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b/>
              </w:rPr>
            </w:pPr>
            <w:r w:rsidRPr="00231414">
              <w:rPr>
                <w:rFonts w:cs="Calibri"/>
                <w:b/>
              </w:rPr>
              <w:t>VALOR TOTAL (R$)</w:t>
            </w:r>
          </w:p>
        </w:tc>
        <w:tc>
          <w:tcPr>
            <w:tcW w:w="498" w:type="pct"/>
            <w:vAlign w:val="center"/>
          </w:tcPr>
          <w:p w:rsidR="00E04BB7" w:rsidRPr="00231414" w:rsidRDefault="00E04BB7" w:rsidP="00A249C9">
            <w:pPr>
              <w:spacing w:line="240" w:lineRule="auto"/>
              <w:jc w:val="both"/>
              <w:rPr>
                <w:rFonts w:cs="Calibri"/>
                <w:b/>
              </w:rPr>
            </w:pPr>
          </w:p>
        </w:tc>
        <w:tc>
          <w:tcPr>
            <w:tcW w:w="71" w:type="pct"/>
            <w:vAlign w:val="center"/>
          </w:tcPr>
          <w:p w:rsidR="00E04BB7" w:rsidRPr="00231414" w:rsidRDefault="00E04BB7" w:rsidP="00A249C9">
            <w:pPr>
              <w:spacing w:line="240" w:lineRule="auto"/>
              <w:jc w:val="both"/>
              <w:rPr>
                <w:rFonts w:cs="Calibri"/>
                <w:b/>
              </w:rPr>
            </w:pPr>
          </w:p>
        </w:tc>
      </w:tr>
      <w:tr w:rsidR="00E04BB7" w:rsidRPr="00231414" w:rsidTr="00A249C9">
        <w:trPr>
          <w:gridAfter w:val="2"/>
          <w:wAfter w:w="569" w:type="pct"/>
          <w:trHeight w:val="255"/>
        </w:trPr>
        <w:tc>
          <w:tcPr>
            <w:tcW w:w="4431" w:type="pct"/>
            <w:gridSpan w:val="6"/>
            <w:tcBorders>
              <w:top w:val="single" w:sz="4" w:space="0" w:color="000000"/>
              <w:left w:val="single" w:sz="8" w:space="0" w:color="auto"/>
              <w:bottom w:val="single" w:sz="4" w:space="0" w:color="000000"/>
              <w:right w:val="single" w:sz="4" w:space="0" w:color="000000"/>
            </w:tcBorders>
            <w:shd w:val="clear" w:color="auto" w:fill="C5E0B3"/>
            <w:noWrap/>
            <w:vAlign w:val="center"/>
          </w:tcPr>
          <w:p w:rsidR="00E04BB7" w:rsidRPr="00231414" w:rsidRDefault="00E04BB7" w:rsidP="00A249C9">
            <w:pPr>
              <w:spacing w:line="240" w:lineRule="auto"/>
              <w:jc w:val="both"/>
              <w:rPr>
                <w:rFonts w:cs="Calibri"/>
                <w:b/>
              </w:rPr>
            </w:pPr>
            <w:r w:rsidRPr="00231414">
              <w:rPr>
                <w:rFonts w:cs="Calibri"/>
                <w:b/>
              </w:rPr>
              <w:t>Consultoria</w:t>
            </w:r>
          </w:p>
        </w:tc>
      </w:tr>
      <w:tr w:rsidR="00E04BB7" w:rsidRPr="00231414" w:rsidTr="00A249C9">
        <w:trPr>
          <w:gridAfter w:val="2"/>
          <w:wAfter w:w="569" w:type="pct"/>
          <w:trHeight w:val="255"/>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3.51</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Mapeamento dos processos para o controle dos custos, unidades de gasto e definição de metodologia de avaliação dos custos das unidades</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Und</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1</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480.000,00</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480.000,00</w:t>
            </w:r>
          </w:p>
        </w:tc>
      </w:tr>
      <w:tr w:rsidR="00E04BB7" w:rsidRPr="00231414" w:rsidTr="00A249C9">
        <w:trPr>
          <w:gridAfter w:val="2"/>
          <w:wAfter w:w="569" w:type="pct"/>
          <w:trHeight w:val="255"/>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3.52</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Desenvolvimento de um sistema de custos, com a integração de dados oriundos de diversos sistemas, garantindo-se rastreabilidade, comparabilidade e confiabilidade (BI)</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Und</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1</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3.000.000,00</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3.000.000,00</w:t>
            </w:r>
          </w:p>
        </w:tc>
      </w:tr>
      <w:tr w:rsidR="00E04BB7" w:rsidRPr="00231414" w:rsidTr="00A249C9">
        <w:trPr>
          <w:gridAfter w:val="2"/>
          <w:wAfter w:w="569" w:type="pct"/>
          <w:trHeight w:val="255"/>
        </w:trPr>
        <w:tc>
          <w:tcPr>
            <w:tcW w:w="4431" w:type="pct"/>
            <w:gridSpan w:val="6"/>
            <w:tcBorders>
              <w:top w:val="single" w:sz="4" w:space="0" w:color="000000"/>
              <w:left w:val="single" w:sz="8" w:space="0" w:color="auto"/>
              <w:bottom w:val="single" w:sz="4" w:space="0" w:color="000000"/>
              <w:right w:val="single" w:sz="4" w:space="0" w:color="000000"/>
            </w:tcBorders>
            <w:shd w:val="clear" w:color="auto" w:fill="C2D69B"/>
            <w:noWrap/>
            <w:vAlign w:val="center"/>
          </w:tcPr>
          <w:p w:rsidR="00E04BB7" w:rsidRPr="00231414" w:rsidRDefault="00E04BB7" w:rsidP="00A249C9">
            <w:pPr>
              <w:spacing w:line="240" w:lineRule="auto"/>
              <w:jc w:val="both"/>
              <w:rPr>
                <w:rFonts w:cs="Calibri"/>
                <w:b/>
              </w:rPr>
            </w:pPr>
            <w:r w:rsidRPr="00231414">
              <w:rPr>
                <w:rFonts w:cs="Calibri"/>
                <w:b/>
              </w:rPr>
              <w:t>Capacitação</w:t>
            </w:r>
          </w:p>
        </w:tc>
      </w:tr>
      <w:tr w:rsidR="00E04BB7" w:rsidRPr="00231414" w:rsidTr="00A249C9">
        <w:trPr>
          <w:gridAfter w:val="2"/>
          <w:wAfter w:w="569" w:type="pct"/>
          <w:trHeight w:val="255"/>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3.5.1</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highlight w:val="yellow"/>
              </w:rPr>
            </w:pPr>
            <w:r w:rsidRPr="00231414">
              <w:rPr>
                <w:rFonts w:cs="Calibri"/>
              </w:rPr>
              <w:t>Viagens técnicas para conhecimento</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highlight w:val="yellow"/>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22</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3000,00</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66.000,00</w:t>
            </w:r>
          </w:p>
        </w:tc>
      </w:tr>
      <w:tr w:rsidR="00E04BB7" w:rsidRPr="00231414" w:rsidTr="00A249C9">
        <w:trPr>
          <w:gridAfter w:val="2"/>
          <w:wAfter w:w="569" w:type="pct"/>
          <w:trHeight w:val="255"/>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highlight w:val="yellow"/>
              </w:rPr>
            </w:pPr>
            <w:r w:rsidRPr="00231414">
              <w:rPr>
                <w:rFonts w:cs="Calibri"/>
              </w:rPr>
              <w:t>3.5.1</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highlight w:val="yellow"/>
              </w:rPr>
            </w:pPr>
            <w:r w:rsidRPr="00231414">
              <w:rPr>
                <w:rFonts w:cs="Calibri"/>
              </w:rPr>
              <w:t>Capacitação e disseminação da cultura de custos, visando instrumentalizar servidores públicos para a utilização intensiva de dados de custos no suporte à decisão</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highlight w:val="yellow"/>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60</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305,00</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18.300,00</w:t>
            </w:r>
          </w:p>
        </w:tc>
      </w:tr>
      <w:tr w:rsidR="00E04BB7" w:rsidRPr="00231414" w:rsidTr="00A249C9">
        <w:trPr>
          <w:gridAfter w:val="2"/>
          <w:wAfter w:w="569" w:type="pct"/>
          <w:trHeight w:val="255"/>
        </w:trPr>
        <w:tc>
          <w:tcPr>
            <w:tcW w:w="380" w:type="pct"/>
            <w:tcBorders>
              <w:top w:val="single" w:sz="4" w:space="0" w:color="000000"/>
              <w:left w:val="single" w:sz="8"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highlight w:val="yellow"/>
              </w:rPr>
            </w:pPr>
            <w:r w:rsidRPr="00231414">
              <w:rPr>
                <w:rFonts w:cs="Calibri"/>
              </w:rPr>
              <w:t>3.5.1</w:t>
            </w:r>
          </w:p>
        </w:tc>
        <w:tc>
          <w:tcPr>
            <w:tcW w:w="2025" w:type="pct"/>
            <w:tcBorders>
              <w:top w:val="single" w:sz="4" w:space="0" w:color="000000"/>
              <w:left w:val="nil"/>
              <w:bottom w:val="single" w:sz="4" w:space="0" w:color="000000"/>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Curso para utilização de ferramenta para visualização de dados</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04BB7" w:rsidRPr="00231414" w:rsidRDefault="00E04BB7" w:rsidP="00A249C9">
            <w:pPr>
              <w:spacing w:line="240" w:lineRule="auto"/>
              <w:jc w:val="both"/>
              <w:rPr>
                <w:rFonts w:cs="Calibri"/>
                <w:highlight w:val="yellow"/>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A249C9">
            <w:pPr>
              <w:spacing w:line="240" w:lineRule="auto"/>
              <w:jc w:val="both"/>
              <w:rPr>
                <w:rFonts w:cs="Calibri"/>
              </w:rPr>
            </w:pPr>
            <w:r w:rsidRPr="00231414">
              <w:rPr>
                <w:rFonts w:cs="Calibri"/>
              </w:rPr>
              <w:t>50</w:t>
            </w:r>
          </w:p>
        </w:tc>
        <w:tc>
          <w:tcPr>
            <w:tcW w:w="669" w:type="pct"/>
            <w:tcBorders>
              <w:top w:val="single" w:sz="4" w:space="0" w:color="000000"/>
              <w:left w:val="single" w:sz="4" w:space="0" w:color="auto"/>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600,00</w:t>
            </w:r>
          </w:p>
        </w:tc>
        <w:tc>
          <w:tcPr>
            <w:tcW w:w="633" w:type="pct"/>
            <w:tcBorders>
              <w:top w:val="single" w:sz="4" w:space="0" w:color="000000"/>
              <w:left w:val="nil"/>
              <w:bottom w:val="single" w:sz="4" w:space="0" w:color="000000"/>
              <w:right w:val="single" w:sz="4" w:space="0" w:color="000000"/>
            </w:tcBorders>
            <w:shd w:val="clear" w:color="auto" w:fill="auto"/>
            <w:noWrap/>
            <w:vAlign w:val="center"/>
          </w:tcPr>
          <w:p w:rsidR="00E04BB7" w:rsidRPr="00231414" w:rsidRDefault="00E04BB7" w:rsidP="00A249C9">
            <w:pPr>
              <w:spacing w:line="240" w:lineRule="auto"/>
              <w:jc w:val="both"/>
              <w:rPr>
                <w:rFonts w:cs="Calibri"/>
              </w:rPr>
            </w:pPr>
            <w:r w:rsidRPr="00231414">
              <w:rPr>
                <w:rFonts w:cs="Calibri"/>
              </w:rPr>
              <w:t>30.000,00</w:t>
            </w:r>
          </w:p>
        </w:tc>
      </w:tr>
      <w:tr w:rsidR="00E04BB7" w:rsidRPr="00231414" w:rsidTr="00A249C9">
        <w:trPr>
          <w:gridAfter w:val="2"/>
          <w:wAfter w:w="569" w:type="pct"/>
          <w:trHeight w:val="265"/>
        </w:trPr>
        <w:tc>
          <w:tcPr>
            <w:tcW w:w="3798" w:type="pct"/>
            <w:gridSpan w:val="5"/>
            <w:tcBorders>
              <w:top w:val="single" w:sz="4" w:space="0" w:color="auto"/>
              <w:left w:val="single" w:sz="8" w:space="0" w:color="auto"/>
              <w:bottom w:val="single" w:sz="4" w:space="0" w:color="auto"/>
              <w:right w:val="single" w:sz="4" w:space="0" w:color="000000"/>
            </w:tcBorders>
            <w:shd w:val="clear" w:color="auto" w:fill="C2D69B"/>
            <w:noWrap/>
            <w:vAlign w:val="center"/>
            <w:hideMark/>
          </w:tcPr>
          <w:p w:rsidR="00E04BB7" w:rsidRPr="00231414" w:rsidRDefault="00E04BB7" w:rsidP="00A249C9">
            <w:pPr>
              <w:spacing w:line="240" w:lineRule="auto"/>
              <w:jc w:val="both"/>
              <w:rPr>
                <w:rFonts w:cs="Calibri"/>
                <w:b/>
              </w:rPr>
            </w:pPr>
            <w:r w:rsidRPr="00231414">
              <w:rPr>
                <w:b/>
              </w:rPr>
              <w:t>Total geral R$</w:t>
            </w:r>
          </w:p>
        </w:tc>
        <w:tc>
          <w:tcPr>
            <w:tcW w:w="633" w:type="pct"/>
            <w:tcBorders>
              <w:top w:val="single" w:sz="4" w:space="0" w:color="auto"/>
              <w:left w:val="single" w:sz="8" w:space="0" w:color="auto"/>
              <w:bottom w:val="single" w:sz="4" w:space="0" w:color="auto"/>
              <w:right w:val="single" w:sz="4" w:space="0" w:color="000000"/>
            </w:tcBorders>
            <w:shd w:val="clear" w:color="auto" w:fill="C2D69B"/>
            <w:vAlign w:val="center"/>
          </w:tcPr>
          <w:p w:rsidR="00E04BB7" w:rsidRPr="00231414" w:rsidRDefault="00E04BB7" w:rsidP="00A249C9">
            <w:pPr>
              <w:spacing w:line="240" w:lineRule="auto"/>
              <w:jc w:val="both"/>
              <w:rPr>
                <w:rFonts w:cs="Calibri"/>
                <w:b/>
              </w:rPr>
            </w:pPr>
            <w:r w:rsidRPr="00231414">
              <w:rPr>
                <w:rFonts w:cs="Calibri"/>
                <w:b/>
              </w:rPr>
              <w:t>3.594.300,00</w:t>
            </w:r>
          </w:p>
        </w:tc>
      </w:tr>
      <w:tr w:rsidR="00E04BB7" w:rsidRPr="00231414" w:rsidTr="00A249C9">
        <w:trPr>
          <w:gridAfter w:val="2"/>
          <w:wAfter w:w="569" w:type="pct"/>
          <w:trHeight w:val="265"/>
        </w:trPr>
        <w:tc>
          <w:tcPr>
            <w:tcW w:w="3798" w:type="pct"/>
            <w:gridSpan w:val="5"/>
            <w:tcBorders>
              <w:top w:val="single" w:sz="4" w:space="0" w:color="auto"/>
              <w:left w:val="single" w:sz="8" w:space="0" w:color="auto"/>
              <w:bottom w:val="single" w:sz="4" w:space="0" w:color="000000"/>
              <w:right w:val="single" w:sz="4" w:space="0" w:color="000000"/>
            </w:tcBorders>
            <w:shd w:val="clear" w:color="auto" w:fill="C2D69B"/>
            <w:noWrap/>
            <w:vAlign w:val="center"/>
          </w:tcPr>
          <w:p w:rsidR="00E04BB7" w:rsidRPr="00231414" w:rsidRDefault="00E04BB7" w:rsidP="00A249C9">
            <w:pPr>
              <w:spacing w:line="240" w:lineRule="auto"/>
              <w:jc w:val="both"/>
              <w:rPr>
                <w:rFonts w:cs="Calibri"/>
                <w:b/>
              </w:rPr>
            </w:pPr>
            <w:r w:rsidRPr="00231414">
              <w:rPr>
                <w:b/>
              </w:rPr>
              <w:t>Total geral U$</w:t>
            </w:r>
          </w:p>
        </w:tc>
        <w:tc>
          <w:tcPr>
            <w:tcW w:w="633" w:type="pct"/>
            <w:tcBorders>
              <w:top w:val="single" w:sz="4" w:space="0" w:color="auto"/>
              <w:left w:val="single" w:sz="8" w:space="0" w:color="auto"/>
              <w:bottom w:val="single" w:sz="4" w:space="0" w:color="000000"/>
              <w:right w:val="single" w:sz="4" w:space="0" w:color="000000"/>
            </w:tcBorders>
            <w:shd w:val="clear" w:color="auto" w:fill="C2D69B"/>
            <w:vAlign w:val="center"/>
          </w:tcPr>
          <w:p w:rsidR="00E04BB7" w:rsidRPr="00231414" w:rsidRDefault="00E04BB7" w:rsidP="00A249C9">
            <w:pPr>
              <w:spacing w:line="240" w:lineRule="auto"/>
              <w:jc w:val="both"/>
              <w:rPr>
                <w:rFonts w:cs="Calibri"/>
                <w:b/>
              </w:rPr>
            </w:pPr>
            <w:r w:rsidRPr="00231414">
              <w:rPr>
                <w:rFonts w:cs="Calibri"/>
                <w:b/>
              </w:rPr>
              <w:t xml:space="preserve">  1.026.942,86</w:t>
            </w:r>
          </w:p>
        </w:tc>
      </w:tr>
    </w:tbl>
    <w:p w:rsidR="00E04BB7" w:rsidRPr="00231414" w:rsidRDefault="00E04BB7" w:rsidP="00E04BB7">
      <w:pPr>
        <w:suppressAutoHyphens/>
        <w:jc w:val="both"/>
        <w:rPr>
          <w:i/>
        </w:rPr>
      </w:pPr>
    </w:p>
    <w:p w:rsidR="00E04BB7" w:rsidRPr="00231414" w:rsidRDefault="00E04BB7" w:rsidP="00E04BB7">
      <w:pPr>
        <w:suppressAutoHyphens/>
        <w:jc w:val="both"/>
        <w:rPr>
          <w:i/>
        </w:rPr>
      </w:pPr>
    </w:p>
    <w:p w:rsidR="00E04BB7" w:rsidRPr="00231414" w:rsidRDefault="00E04BB7" w:rsidP="00A249C9">
      <w:pPr>
        <w:pStyle w:val="PargrafodaLista"/>
        <w:numPr>
          <w:ilvl w:val="1"/>
          <w:numId w:val="178"/>
        </w:numPr>
        <w:pBdr>
          <w:bottom w:val="single" w:sz="12" w:space="1" w:color="auto"/>
        </w:pBdr>
        <w:tabs>
          <w:tab w:val="left" w:pos="0"/>
          <w:tab w:val="left" w:pos="426"/>
        </w:tabs>
        <w:jc w:val="both"/>
        <w:outlineLvl w:val="2"/>
        <w:rPr>
          <w:rFonts w:cs="Calibri"/>
          <w:b/>
        </w:rPr>
      </w:pPr>
      <w:bookmarkStart w:id="167" w:name="_Toc517282183"/>
      <w:r w:rsidRPr="00231414">
        <w:rPr>
          <w:rFonts w:cs="Calibri"/>
          <w:b/>
        </w:rPr>
        <w:t>CRONOGRAMA PROPOSTO</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5723"/>
        <w:gridCol w:w="333"/>
        <w:gridCol w:w="330"/>
        <w:gridCol w:w="333"/>
        <w:gridCol w:w="330"/>
        <w:gridCol w:w="333"/>
        <w:gridCol w:w="330"/>
        <w:gridCol w:w="333"/>
        <w:gridCol w:w="330"/>
        <w:gridCol w:w="333"/>
        <w:gridCol w:w="330"/>
      </w:tblGrid>
      <w:tr w:rsidR="00E04BB7" w:rsidRPr="00231414" w:rsidTr="00A249C9">
        <w:trPr>
          <w:trHeight w:val="305"/>
        </w:trPr>
        <w:tc>
          <w:tcPr>
            <w:tcW w:w="375" w:type="pct"/>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SubP.</w:t>
            </w:r>
          </w:p>
        </w:tc>
        <w:tc>
          <w:tcPr>
            <w:tcW w:w="2929" w:type="pct"/>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Item de Custo</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2019</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2020</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2021</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hideMark/>
          </w:tcPr>
          <w:p w:rsidR="00E04BB7" w:rsidRPr="00231414" w:rsidRDefault="00E04BB7" w:rsidP="00E04BB7">
            <w:pPr>
              <w:jc w:val="both"/>
              <w:rPr>
                <w:rFonts w:cs="Calibri"/>
                <w:b/>
              </w:rPr>
            </w:pPr>
            <w:r w:rsidRPr="00231414">
              <w:rPr>
                <w:rFonts w:cs="Calibri"/>
                <w:b/>
              </w:rPr>
              <w:t>2022</w:t>
            </w:r>
          </w:p>
        </w:tc>
        <w:tc>
          <w:tcPr>
            <w:tcW w:w="339" w:type="pct"/>
            <w:gridSpan w:val="2"/>
            <w:tcBorders>
              <w:top w:val="single" w:sz="4" w:space="0" w:color="auto"/>
              <w:left w:val="single" w:sz="4" w:space="0" w:color="auto"/>
              <w:bottom w:val="single" w:sz="4" w:space="0" w:color="auto"/>
              <w:right w:val="single" w:sz="4" w:space="0" w:color="auto"/>
            </w:tcBorders>
            <w:shd w:val="clear" w:color="auto" w:fill="C5E0B3"/>
          </w:tcPr>
          <w:p w:rsidR="00E04BB7" w:rsidRPr="00231414" w:rsidRDefault="00E04BB7" w:rsidP="00E04BB7">
            <w:pPr>
              <w:jc w:val="both"/>
              <w:rPr>
                <w:rFonts w:cs="Calibri"/>
                <w:b/>
              </w:rPr>
            </w:pPr>
            <w:r w:rsidRPr="00231414">
              <w:rPr>
                <w:rFonts w:cs="Calibri"/>
                <w:b/>
              </w:rPr>
              <w:t>2023</w:t>
            </w:r>
          </w:p>
        </w:tc>
      </w:tr>
      <w:tr w:rsidR="00E04BB7" w:rsidRPr="00231414" w:rsidTr="00A249C9">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3.5.1</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Mapeamento dos processos para o controle dos custos, unidades de gasto e definição de metodologia de avaliação dos custos das unidades</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r>
      <w:tr w:rsidR="00E04BB7" w:rsidRPr="00231414" w:rsidTr="00A249C9">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3.5.2</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Desenvolvimento de um sistema de custos, com a integração de dados oriundos de diversos sistemas, garantindo-se rastreabilidade, comparabilidade e confiabilidade (BI)</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r w:rsidRPr="00231414">
              <w:rPr>
                <w:rFonts w:cs="Calibri"/>
              </w:rPr>
              <w:t>x</w:t>
            </w:r>
          </w:p>
        </w:tc>
      </w:tr>
      <w:tr w:rsidR="00E04BB7" w:rsidRPr="00231414" w:rsidTr="00A249C9">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3.5.1</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Curso para utilização de ferramenta para visualização de dados</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r>
      <w:tr w:rsidR="00E04BB7" w:rsidRPr="00231414" w:rsidTr="00A249C9">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highlight w:val="yellow"/>
              </w:rPr>
            </w:pPr>
            <w:r w:rsidRPr="00231414">
              <w:rPr>
                <w:rFonts w:cs="Calibri"/>
              </w:rPr>
              <w:t>3.5.1</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 xml:space="preserve">Viagens técnicas para conhecimento </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r>
      <w:tr w:rsidR="00E04BB7" w:rsidRPr="00231414" w:rsidTr="00A249C9">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highlight w:val="yellow"/>
              </w:rPr>
            </w:pPr>
            <w:r w:rsidRPr="00231414">
              <w:rPr>
                <w:rFonts w:cs="Calibri"/>
              </w:rPr>
              <w:t>3.5.1</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rsidR="00E04BB7" w:rsidRPr="00231414" w:rsidRDefault="00E04BB7" w:rsidP="00E04BB7">
            <w:pPr>
              <w:jc w:val="both"/>
              <w:rPr>
                <w:rFonts w:cs="Calibri"/>
              </w:rPr>
            </w:pPr>
            <w:r w:rsidRPr="00231414">
              <w:rPr>
                <w:rFonts w:cs="Calibri"/>
              </w:rPr>
              <w:t>Capacitação e disseminação da cultura</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70"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r w:rsidRPr="00231414">
              <w:rPr>
                <w:rFonts w:cs="Calibri"/>
              </w:rPr>
              <w:t>x</w:t>
            </w:r>
          </w:p>
        </w:tc>
        <w:tc>
          <w:tcPr>
            <w:tcW w:w="169" w:type="pct"/>
            <w:tcBorders>
              <w:top w:val="single" w:sz="4" w:space="0" w:color="auto"/>
              <w:left w:val="single" w:sz="4" w:space="0" w:color="auto"/>
              <w:bottom w:val="single" w:sz="4" w:space="0" w:color="auto"/>
              <w:right w:val="single" w:sz="4" w:space="0" w:color="auto"/>
            </w:tcBorders>
            <w:shd w:val="clear" w:color="auto" w:fill="auto"/>
          </w:tcPr>
          <w:p w:rsidR="00E04BB7" w:rsidRPr="00231414" w:rsidRDefault="00E04BB7" w:rsidP="00E04BB7">
            <w:pPr>
              <w:jc w:val="both"/>
              <w:rPr>
                <w:rFonts w:cs="Calibri"/>
              </w:rPr>
            </w:pPr>
          </w:p>
        </w:tc>
        <w:tc>
          <w:tcPr>
            <w:tcW w:w="170"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c>
          <w:tcPr>
            <w:tcW w:w="169" w:type="pct"/>
            <w:tcBorders>
              <w:top w:val="single" w:sz="4" w:space="0" w:color="auto"/>
              <w:left w:val="single" w:sz="4" w:space="0" w:color="auto"/>
              <w:bottom w:val="single" w:sz="4" w:space="0" w:color="auto"/>
              <w:right w:val="single" w:sz="4" w:space="0" w:color="auto"/>
            </w:tcBorders>
          </w:tcPr>
          <w:p w:rsidR="00E04BB7" w:rsidRPr="00231414" w:rsidRDefault="00E04BB7" w:rsidP="00E04BB7">
            <w:pPr>
              <w:jc w:val="both"/>
              <w:rPr>
                <w:rFonts w:cs="Calibri"/>
              </w:rPr>
            </w:pPr>
          </w:p>
        </w:tc>
      </w:tr>
    </w:tbl>
    <w:p w:rsidR="00E04BB7" w:rsidRPr="00231414" w:rsidRDefault="00E04BB7" w:rsidP="00E04BB7">
      <w:pPr>
        <w:jc w:val="both"/>
        <w:rPr>
          <w:rFonts w:cs="Calibri"/>
        </w:rPr>
      </w:pPr>
    </w:p>
    <w:p w:rsidR="00E04BB7" w:rsidRPr="00231414" w:rsidRDefault="00E04BB7" w:rsidP="00E04BB7">
      <w:pPr>
        <w:jc w:val="both"/>
        <w:rPr>
          <w:rFonts w:cs="Calibri"/>
        </w:rPr>
      </w:pPr>
    </w:p>
    <w:p w:rsidR="00E04BB7" w:rsidRPr="00E04BB7" w:rsidRDefault="00E04BB7" w:rsidP="00E04BB7">
      <w:pPr>
        <w:jc w:val="both"/>
        <w:rPr>
          <w:lang w:eastAsia="pt-BR"/>
        </w:rPr>
        <w:sectPr w:rsidR="00E04BB7" w:rsidRPr="00E04BB7" w:rsidSect="001B3512">
          <w:headerReference w:type="default" r:id="rId51"/>
          <w:headerReference w:type="first" r:id="rId52"/>
          <w:pgSz w:w="11906" w:h="16838"/>
          <w:pgMar w:top="1134" w:right="992" w:bottom="1134" w:left="1134" w:header="709" w:footer="709" w:gutter="0"/>
          <w:pgNumType w:start="0"/>
          <w:cols w:space="708"/>
          <w:titlePg/>
          <w:docGrid w:linePitch="360"/>
        </w:sectPr>
      </w:pPr>
    </w:p>
    <w:p w:rsidR="00DD3AC2" w:rsidRPr="00737E57" w:rsidRDefault="00DD3AC2" w:rsidP="00FE560B">
      <w:pPr>
        <w:pStyle w:val="Ttulo2"/>
        <w:tabs>
          <w:tab w:val="left" w:pos="0"/>
        </w:tabs>
        <w:spacing w:before="0"/>
        <w:jc w:val="both"/>
        <w:rPr>
          <w:rFonts w:asciiTheme="minorHAnsi" w:eastAsia="Times New Roman" w:hAnsiTheme="minorHAnsi" w:cs="Arial"/>
          <w:color w:val="auto"/>
          <w:sz w:val="22"/>
          <w:szCs w:val="22"/>
          <w:lang w:eastAsia="pt-BR"/>
        </w:rPr>
      </w:pPr>
      <w:bookmarkStart w:id="168" w:name="_Toc517282184"/>
      <w:r w:rsidRPr="00737E57">
        <w:rPr>
          <w:rFonts w:asciiTheme="minorHAnsi" w:eastAsia="Times New Roman" w:hAnsiTheme="minorHAnsi" w:cs="Arial"/>
          <w:color w:val="auto"/>
          <w:sz w:val="22"/>
          <w:szCs w:val="22"/>
          <w:lang w:eastAsia="pt-BR"/>
        </w:rPr>
        <w:t>ANEXOS</w:t>
      </w:r>
      <w:r w:rsidR="00C32541" w:rsidRPr="00737E57">
        <w:rPr>
          <w:rFonts w:asciiTheme="minorHAnsi" w:eastAsia="Times New Roman" w:hAnsiTheme="minorHAnsi" w:cs="Arial"/>
          <w:color w:val="auto"/>
          <w:sz w:val="22"/>
          <w:szCs w:val="22"/>
          <w:lang w:eastAsia="pt-BR"/>
        </w:rPr>
        <w:t xml:space="preserve"> I - </w:t>
      </w:r>
      <w:r w:rsidRPr="00737E57">
        <w:rPr>
          <w:rFonts w:asciiTheme="minorHAnsi" w:eastAsia="Times New Roman" w:hAnsiTheme="minorHAnsi" w:cs="Arial"/>
          <w:color w:val="auto"/>
          <w:sz w:val="22"/>
          <w:szCs w:val="22"/>
          <w:lang w:eastAsia="pt-BR"/>
        </w:rPr>
        <w:t>MATRIZ DE PROBLEMAS, SOLUÇÕES E RESULTADOS</w:t>
      </w:r>
      <w:bookmarkEnd w:id="168"/>
    </w:p>
    <w:p w:rsidR="00C32541" w:rsidRPr="00C90FFD" w:rsidRDefault="00C32541" w:rsidP="00FE560B">
      <w:pPr>
        <w:jc w:val="center"/>
        <w:rPr>
          <w:rFonts w:ascii="Arial" w:hAnsi="Arial" w:cs="Arial"/>
          <w:b/>
          <w:sz w:val="18"/>
          <w:szCs w:val="18"/>
        </w:rPr>
      </w:pPr>
      <w:r w:rsidRPr="00C90FFD">
        <w:rPr>
          <w:rFonts w:ascii="Arial" w:hAnsi="Arial" w:cs="Arial"/>
          <w:b/>
          <w:sz w:val="18"/>
          <w:szCs w:val="18"/>
        </w:rPr>
        <w:t>Projeto de Modernização da Gestão Fiscal do Estado Do Espirito Santo – PROFISCO II ES</w:t>
      </w:r>
    </w:p>
    <w:p w:rsidR="00C32541" w:rsidRPr="00C90FFD" w:rsidRDefault="00C32541" w:rsidP="00FE560B">
      <w:pPr>
        <w:jc w:val="center"/>
        <w:rPr>
          <w:rFonts w:ascii="Arial" w:hAnsi="Arial" w:cs="Arial"/>
          <w:b/>
          <w:sz w:val="18"/>
          <w:szCs w:val="18"/>
        </w:rPr>
      </w:pPr>
      <w:r w:rsidRPr="00C90FFD">
        <w:rPr>
          <w:rFonts w:ascii="Arial" w:hAnsi="Arial" w:cs="Arial"/>
          <w:b/>
          <w:sz w:val="18"/>
          <w:szCs w:val="18"/>
        </w:rPr>
        <w:t>Secretaria de Estado da Fazenda do Espirito Santo – SEFAZ/ES</w:t>
      </w:r>
    </w:p>
    <w:p w:rsidR="00C32541" w:rsidRPr="00C90FFD" w:rsidRDefault="00C32541" w:rsidP="00FE560B">
      <w:pPr>
        <w:jc w:val="center"/>
        <w:rPr>
          <w:rFonts w:ascii="Arial" w:hAnsi="Arial" w:cs="Arial"/>
          <w:b/>
          <w:sz w:val="18"/>
          <w:szCs w:val="18"/>
        </w:rPr>
      </w:pPr>
      <w:r w:rsidRPr="00C90FFD">
        <w:rPr>
          <w:rFonts w:ascii="Arial" w:hAnsi="Arial" w:cs="Arial"/>
          <w:b/>
          <w:sz w:val="18"/>
          <w:szCs w:val="18"/>
        </w:rPr>
        <w:t>BR-L1517</w:t>
      </w:r>
    </w:p>
    <w:tbl>
      <w:tblPr>
        <w:tblW w:w="14610"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00"/>
        <w:gridCol w:w="3150"/>
        <w:gridCol w:w="4590"/>
        <w:gridCol w:w="2970"/>
      </w:tblGrid>
      <w:tr w:rsidR="00C32541" w:rsidRPr="00727E9D" w:rsidTr="00555E76">
        <w:trPr>
          <w:trHeight w:val="25"/>
          <w:tblHeader/>
        </w:trPr>
        <w:tc>
          <w:tcPr>
            <w:tcW w:w="3900" w:type="dxa"/>
            <w:shd w:val="clear" w:color="auto" w:fill="B5C0DF" w:themeFill="accent1" w:themeFillTint="66"/>
            <w:vAlign w:val="center"/>
          </w:tcPr>
          <w:p w:rsidR="00C32541" w:rsidRPr="00727E9D" w:rsidRDefault="00C32541" w:rsidP="00FE560B">
            <w:pPr>
              <w:spacing w:line="240" w:lineRule="auto"/>
              <w:jc w:val="center"/>
              <w:rPr>
                <w:rFonts w:cs="Arial"/>
                <w:b/>
                <w:sz w:val="18"/>
                <w:szCs w:val="18"/>
              </w:rPr>
            </w:pPr>
            <w:r w:rsidRPr="00727E9D">
              <w:rPr>
                <w:rFonts w:cs="Arial"/>
                <w:b/>
                <w:sz w:val="18"/>
                <w:szCs w:val="18"/>
              </w:rPr>
              <w:t>Necessidades / Causas</w:t>
            </w:r>
          </w:p>
        </w:tc>
        <w:tc>
          <w:tcPr>
            <w:tcW w:w="3150" w:type="dxa"/>
            <w:shd w:val="clear" w:color="auto" w:fill="B5C0DF" w:themeFill="accent1" w:themeFillTint="66"/>
            <w:vAlign w:val="center"/>
          </w:tcPr>
          <w:p w:rsidR="00C32541" w:rsidRPr="00727E9D" w:rsidRDefault="00C32541" w:rsidP="00FE560B">
            <w:pPr>
              <w:spacing w:line="240" w:lineRule="auto"/>
              <w:jc w:val="center"/>
              <w:rPr>
                <w:rFonts w:cs="Arial"/>
                <w:b/>
                <w:sz w:val="18"/>
                <w:szCs w:val="18"/>
              </w:rPr>
            </w:pPr>
            <w:r w:rsidRPr="00727E9D">
              <w:rPr>
                <w:rFonts w:cs="Arial"/>
                <w:b/>
                <w:sz w:val="18"/>
                <w:szCs w:val="18"/>
              </w:rPr>
              <w:t>Evidências / Magnitudes</w:t>
            </w:r>
          </w:p>
        </w:tc>
        <w:tc>
          <w:tcPr>
            <w:tcW w:w="4590" w:type="dxa"/>
            <w:shd w:val="clear" w:color="auto" w:fill="B5C0DF" w:themeFill="accent1" w:themeFillTint="66"/>
            <w:vAlign w:val="center"/>
          </w:tcPr>
          <w:p w:rsidR="00C32541" w:rsidRPr="00727E9D" w:rsidRDefault="00C32541" w:rsidP="00FE560B">
            <w:pPr>
              <w:spacing w:line="240" w:lineRule="auto"/>
              <w:jc w:val="center"/>
              <w:rPr>
                <w:rFonts w:cs="Arial"/>
                <w:b/>
                <w:sz w:val="18"/>
                <w:szCs w:val="18"/>
              </w:rPr>
            </w:pPr>
            <w:r w:rsidRPr="00727E9D">
              <w:rPr>
                <w:rFonts w:cs="Arial"/>
                <w:b/>
                <w:sz w:val="18"/>
                <w:szCs w:val="18"/>
              </w:rPr>
              <w:t>Produtos / Soluções</w:t>
            </w:r>
          </w:p>
        </w:tc>
        <w:tc>
          <w:tcPr>
            <w:tcW w:w="2970" w:type="dxa"/>
            <w:shd w:val="clear" w:color="auto" w:fill="B5C0DF" w:themeFill="accent1" w:themeFillTint="66"/>
            <w:vAlign w:val="center"/>
          </w:tcPr>
          <w:p w:rsidR="00C32541" w:rsidRPr="00727E9D" w:rsidRDefault="00C32541" w:rsidP="00FE560B">
            <w:pPr>
              <w:spacing w:line="240" w:lineRule="auto"/>
              <w:jc w:val="center"/>
              <w:rPr>
                <w:rFonts w:cs="Arial"/>
                <w:b/>
                <w:sz w:val="18"/>
                <w:szCs w:val="18"/>
              </w:rPr>
            </w:pPr>
            <w:r w:rsidRPr="00727E9D">
              <w:rPr>
                <w:rFonts w:cs="Arial"/>
                <w:b/>
                <w:sz w:val="18"/>
                <w:szCs w:val="18"/>
              </w:rPr>
              <w:t>Indicador de Meta de Produto</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b/>
                <w:sz w:val="18"/>
                <w:szCs w:val="18"/>
              </w:rPr>
            </w:pPr>
            <w:r w:rsidRPr="00727E9D">
              <w:rPr>
                <w:rFonts w:cs="Arial"/>
                <w:b/>
                <w:sz w:val="18"/>
                <w:szCs w:val="18"/>
              </w:rPr>
              <w:t>COMPONENTE 1. GESTIÓN FAZENDÁRIA y TRANSPARENCIA FISCAL</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rPr>
            </w:pPr>
            <w:r w:rsidRPr="00727E9D">
              <w:rPr>
                <w:rFonts w:cs="Arial"/>
                <w:b/>
                <w:sz w:val="18"/>
                <w:szCs w:val="18"/>
              </w:rPr>
              <w:t>Objetivo Específico 1:</w:t>
            </w:r>
            <w:r w:rsidRPr="00727E9D">
              <w:rPr>
                <w:rFonts w:cs="Arial"/>
                <w:sz w:val="18"/>
                <w:szCs w:val="18"/>
              </w:rPr>
              <w:t xml:space="preserve"> Está orientado a melhorar os instrumentos de gestão corporativa, modernizar a infraestrutura tecnológica e a transparência fiscal.</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rPr>
            </w:pPr>
            <w:r w:rsidRPr="00727E9D">
              <w:rPr>
                <w:rFonts w:cs="Arial"/>
                <w:b/>
                <w:sz w:val="18"/>
                <w:szCs w:val="18"/>
              </w:rPr>
              <w:t>Resultado esperado 1:</w:t>
            </w:r>
            <w:r w:rsidRPr="00727E9D">
              <w:rPr>
                <w:rFonts w:cs="Arial"/>
                <w:sz w:val="18"/>
                <w:szCs w:val="18"/>
              </w:rPr>
              <w:t xml:space="preserve"> aumento do cumprimento das metas de planificação estratégica planificadas. ((Das xx metas planejadas em 2017 somente yy foram alcançadas).</w:t>
            </w:r>
          </w:p>
        </w:tc>
      </w:tr>
      <w:tr w:rsidR="00C32541" w:rsidRPr="00727E9D" w:rsidTr="00555E76">
        <w:trPr>
          <w:trHeight w:val="2770"/>
        </w:trPr>
        <w:tc>
          <w:tcPr>
            <w:tcW w:w="3900" w:type="dxa"/>
            <w:shd w:val="clear" w:color="auto" w:fill="D7D2D9" w:themeFill="accent6" w:themeFillTint="66"/>
          </w:tcPr>
          <w:p w:rsidR="00C32541" w:rsidRPr="00727E9D" w:rsidRDefault="00C32541" w:rsidP="00FE560B">
            <w:pPr>
              <w:pStyle w:val="PargrafodaLista"/>
              <w:spacing w:line="240" w:lineRule="auto"/>
              <w:ind w:left="360"/>
              <w:jc w:val="both"/>
              <w:rPr>
                <w:rFonts w:cs="Arial"/>
                <w:sz w:val="18"/>
                <w:szCs w:val="18"/>
              </w:rPr>
            </w:pPr>
            <w:r w:rsidRPr="00727E9D">
              <w:rPr>
                <w:rFonts w:cs="Arial"/>
                <w:b/>
                <w:sz w:val="18"/>
                <w:szCs w:val="18"/>
              </w:rPr>
              <w:t>Sínteses das necessidades:</w:t>
            </w:r>
            <w:r w:rsidRPr="00727E9D">
              <w:rPr>
                <w:rFonts w:cs="Arial"/>
                <w:sz w:val="18"/>
                <w:szCs w:val="18"/>
              </w:rPr>
              <w:t xml:space="preserve"> O processo decisório da SEFAZ não está baseado num planejamento estratégico com metas e indicadores para avaliação. </w:t>
            </w:r>
          </w:p>
          <w:p w:rsidR="00C32541" w:rsidRPr="00727E9D" w:rsidRDefault="00C32541" w:rsidP="00A249C9">
            <w:pPr>
              <w:pStyle w:val="PargrafodaLista"/>
              <w:numPr>
                <w:ilvl w:val="0"/>
                <w:numId w:val="110"/>
              </w:numPr>
              <w:spacing w:line="240" w:lineRule="auto"/>
              <w:ind w:left="311" w:hanging="270"/>
              <w:jc w:val="both"/>
              <w:rPr>
                <w:rFonts w:cs="Arial"/>
                <w:sz w:val="18"/>
                <w:szCs w:val="18"/>
              </w:rPr>
            </w:pPr>
            <w:r w:rsidRPr="00727E9D">
              <w:rPr>
                <w:rFonts w:cs="Arial"/>
                <w:sz w:val="18"/>
                <w:szCs w:val="18"/>
              </w:rPr>
              <w:t>As políticas e diretrizes para a gestão fiscal (áreas tributária e financeira) não são definidas de forma integrada e suas ferramentas de planejamento e avaliação de resultado são deficientes.</w:t>
            </w:r>
          </w:p>
          <w:p w:rsidR="00C32541" w:rsidRPr="00727E9D" w:rsidRDefault="00C32541" w:rsidP="00A249C9">
            <w:pPr>
              <w:pStyle w:val="PargrafodaLista"/>
              <w:numPr>
                <w:ilvl w:val="0"/>
                <w:numId w:val="110"/>
              </w:numPr>
              <w:spacing w:line="240" w:lineRule="auto"/>
              <w:ind w:left="311" w:hanging="270"/>
              <w:jc w:val="both"/>
              <w:rPr>
                <w:rFonts w:cs="Arial"/>
                <w:sz w:val="18"/>
                <w:szCs w:val="18"/>
              </w:rPr>
            </w:pPr>
            <w:r w:rsidRPr="00727E9D">
              <w:rPr>
                <w:rFonts w:cs="Arial"/>
                <w:sz w:val="18"/>
                <w:szCs w:val="18"/>
              </w:rPr>
              <w:t>A gestão de projetos está dispersa em várias áreas da SEFAZ e suas ferramentas de gestão não atendem aos requerimentos da SEFAZ.</w:t>
            </w:r>
          </w:p>
        </w:tc>
        <w:tc>
          <w:tcPr>
            <w:tcW w:w="3150" w:type="dxa"/>
            <w:shd w:val="clear" w:color="auto" w:fill="D7D2D9" w:themeFill="accent6" w:themeFillTint="66"/>
          </w:tcPr>
          <w:p w:rsidR="00C32541" w:rsidRPr="00727E9D" w:rsidRDefault="00C32541" w:rsidP="00FE560B">
            <w:pPr>
              <w:spacing w:line="240" w:lineRule="auto"/>
              <w:jc w:val="both"/>
              <w:rPr>
                <w:sz w:val="18"/>
                <w:szCs w:val="18"/>
              </w:rPr>
            </w:pPr>
            <w:r w:rsidRPr="00727E9D">
              <w:rPr>
                <w:rFonts w:cs="Arial"/>
                <w:sz w:val="18"/>
                <w:szCs w:val="18"/>
              </w:rPr>
              <w:t>Nota Técnica _GF1 – Modelo de Governança Pública.</w:t>
            </w:r>
          </w:p>
          <w:p w:rsidR="00C32541" w:rsidRPr="00727E9D" w:rsidRDefault="00C32541" w:rsidP="00A249C9">
            <w:pPr>
              <w:pStyle w:val="PargrafodaLista"/>
              <w:numPr>
                <w:ilvl w:val="0"/>
                <w:numId w:val="135"/>
              </w:numPr>
              <w:spacing w:line="240" w:lineRule="auto"/>
              <w:ind w:left="0"/>
              <w:jc w:val="both"/>
              <w:rPr>
                <w:sz w:val="18"/>
                <w:szCs w:val="18"/>
              </w:rPr>
            </w:pPr>
            <w:r w:rsidRPr="00727E9D">
              <w:rPr>
                <w:sz w:val="18"/>
                <w:szCs w:val="18"/>
              </w:rPr>
              <w:t xml:space="preserve">Existem </w:t>
            </w:r>
            <w:r w:rsidRPr="00727E9D">
              <w:rPr>
                <w:rFonts w:cs="Arial"/>
                <w:sz w:val="18"/>
                <w:szCs w:val="18"/>
              </w:rPr>
              <w:t>42</w:t>
            </w:r>
            <w:r w:rsidRPr="00727E9D">
              <w:rPr>
                <w:sz w:val="18"/>
                <w:szCs w:val="18"/>
              </w:rPr>
              <w:t xml:space="preserve"> áreas prioritárias de SEFAZ que não contam com mapeamento e indicadores de medição de desempenho.</w:t>
            </w:r>
          </w:p>
          <w:p w:rsidR="00C32541" w:rsidRPr="00727E9D" w:rsidRDefault="00C32541" w:rsidP="00A249C9">
            <w:pPr>
              <w:pStyle w:val="PargrafodaLista"/>
              <w:numPr>
                <w:ilvl w:val="0"/>
                <w:numId w:val="135"/>
              </w:numPr>
              <w:spacing w:line="240" w:lineRule="auto"/>
              <w:ind w:left="0"/>
              <w:jc w:val="both"/>
              <w:rPr>
                <w:rFonts w:cs="Arial"/>
                <w:sz w:val="18"/>
                <w:szCs w:val="18"/>
              </w:rPr>
            </w:pPr>
            <w:r w:rsidRPr="00727E9D">
              <w:rPr>
                <w:rFonts w:cs="Arial"/>
                <w:sz w:val="18"/>
                <w:szCs w:val="18"/>
              </w:rPr>
              <w:t>Nenhum dos 32</w:t>
            </w:r>
            <w:r w:rsidRPr="00727E9D">
              <w:rPr>
                <w:sz w:val="18"/>
                <w:szCs w:val="18"/>
              </w:rPr>
              <w:t xml:space="preserve"> projetos </w:t>
            </w:r>
            <w:r w:rsidRPr="00727E9D">
              <w:rPr>
                <w:rFonts w:cs="Arial"/>
                <w:sz w:val="18"/>
                <w:szCs w:val="18"/>
              </w:rPr>
              <w:t>da SEFAZ está estruturado</w:t>
            </w:r>
            <w:r w:rsidRPr="00727E9D">
              <w:rPr>
                <w:sz w:val="18"/>
                <w:szCs w:val="18"/>
              </w:rPr>
              <w:t xml:space="preserve"> de acordo com </w:t>
            </w:r>
            <w:r w:rsidRPr="00727E9D">
              <w:rPr>
                <w:rFonts w:cs="Arial"/>
                <w:sz w:val="18"/>
                <w:szCs w:val="18"/>
              </w:rPr>
              <w:t>a</w:t>
            </w:r>
            <w:r w:rsidRPr="00727E9D">
              <w:rPr>
                <w:sz w:val="18"/>
                <w:szCs w:val="18"/>
              </w:rPr>
              <w:t xml:space="preserve"> melhores práticas em gestão </w:t>
            </w:r>
            <w:r w:rsidRPr="00727E9D">
              <w:rPr>
                <w:rFonts w:cs="Arial"/>
                <w:sz w:val="18"/>
                <w:szCs w:val="18"/>
              </w:rPr>
              <w:t>de projeto.</w:t>
            </w:r>
          </w:p>
          <w:p w:rsidR="00C32541" w:rsidRPr="00727E9D" w:rsidRDefault="00C32541" w:rsidP="00A249C9">
            <w:pPr>
              <w:pStyle w:val="PargrafodaLista"/>
              <w:numPr>
                <w:ilvl w:val="0"/>
                <w:numId w:val="135"/>
              </w:numPr>
              <w:spacing w:line="240" w:lineRule="auto"/>
              <w:ind w:left="0"/>
              <w:jc w:val="both"/>
              <w:rPr>
                <w:sz w:val="18"/>
                <w:szCs w:val="18"/>
              </w:rPr>
            </w:pPr>
            <w:r w:rsidRPr="00727E9D">
              <w:rPr>
                <w:rFonts w:cs="Arial"/>
                <w:sz w:val="18"/>
                <w:szCs w:val="18"/>
              </w:rPr>
              <w:t>Nos últimos 5 anos a SEFAZ não realizou nenhuma capacitação na área de planejamento estratégico.</w:t>
            </w:r>
          </w:p>
        </w:tc>
        <w:tc>
          <w:tcPr>
            <w:tcW w:w="4590" w:type="dxa"/>
            <w:shd w:val="clear" w:color="auto" w:fill="D7D2D9" w:themeFill="accent6" w:themeFillTint="66"/>
          </w:tcPr>
          <w:p w:rsidR="00C32541" w:rsidRPr="00727E9D" w:rsidRDefault="00C32541" w:rsidP="00A249C9">
            <w:pPr>
              <w:pStyle w:val="PargrafodaLista"/>
              <w:numPr>
                <w:ilvl w:val="1"/>
                <w:numId w:val="165"/>
              </w:numPr>
              <w:spacing w:line="240" w:lineRule="auto"/>
              <w:jc w:val="both"/>
              <w:rPr>
                <w:rFonts w:cs="Arial"/>
                <w:b/>
                <w:sz w:val="18"/>
                <w:szCs w:val="18"/>
              </w:rPr>
            </w:pPr>
            <w:r w:rsidRPr="00727E9D">
              <w:rPr>
                <w:rFonts w:cs="Arial"/>
                <w:b/>
                <w:sz w:val="18"/>
                <w:szCs w:val="18"/>
              </w:rPr>
              <w:t xml:space="preserve">Modelo de Governança da gestão fiscal implantado, </w:t>
            </w:r>
            <w:r w:rsidRPr="00727E9D">
              <w:rPr>
                <w:rFonts w:cs="Arial"/>
                <w:sz w:val="18"/>
                <w:szCs w:val="18"/>
              </w:rPr>
              <w:t>contemplando</w:t>
            </w:r>
            <w:r w:rsidRPr="00727E9D">
              <w:rPr>
                <w:rFonts w:cs="Arial"/>
                <w:b/>
                <w:sz w:val="18"/>
                <w:szCs w:val="18"/>
              </w:rPr>
              <w:t>:</w:t>
            </w:r>
          </w:p>
          <w:p w:rsidR="00C32541" w:rsidRPr="00727E9D" w:rsidRDefault="00C32541" w:rsidP="00A249C9">
            <w:pPr>
              <w:pStyle w:val="PargrafodaLista"/>
              <w:numPr>
                <w:ilvl w:val="0"/>
                <w:numId w:val="125"/>
              </w:numPr>
              <w:spacing w:line="240" w:lineRule="auto"/>
              <w:ind w:left="309" w:hanging="270"/>
              <w:jc w:val="both"/>
              <w:rPr>
                <w:rFonts w:cs="Arial"/>
                <w:b/>
                <w:sz w:val="18"/>
                <w:szCs w:val="18"/>
              </w:rPr>
            </w:pPr>
            <w:r w:rsidRPr="00727E9D">
              <w:rPr>
                <w:rFonts w:cs="Arial"/>
                <w:b/>
                <w:sz w:val="18"/>
                <w:szCs w:val="18"/>
              </w:rPr>
              <w:t>Planejamento estratégico da SEFAZ implantado</w:t>
            </w:r>
            <w:r w:rsidRPr="00727E9D">
              <w:rPr>
                <w:rFonts w:cs="Arial"/>
                <w:sz w:val="18"/>
                <w:szCs w:val="18"/>
              </w:rPr>
              <w:t xml:space="preserve"> com plano estratégico, painel de indicadores institucionais, plano de comunicação e ferramentas informatizadas de gestão de planejamento e de processos. </w:t>
            </w:r>
          </w:p>
          <w:p w:rsidR="00C32541" w:rsidRPr="00727E9D" w:rsidRDefault="00C32541" w:rsidP="00A249C9">
            <w:pPr>
              <w:pStyle w:val="PargrafodaLista"/>
              <w:numPr>
                <w:ilvl w:val="0"/>
                <w:numId w:val="125"/>
              </w:numPr>
              <w:spacing w:line="240" w:lineRule="auto"/>
              <w:ind w:left="309" w:hanging="270"/>
              <w:jc w:val="both"/>
              <w:rPr>
                <w:rFonts w:cs="Arial"/>
                <w:sz w:val="18"/>
                <w:szCs w:val="18"/>
              </w:rPr>
            </w:pPr>
            <w:r w:rsidRPr="00727E9D">
              <w:rPr>
                <w:rFonts w:cs="Arial"/>
                <w:b/>
                <w:sz w:val="18"/>
                <w:szCs w:val="18"/>
              </w:rPr>
              <w:t xml:space="preserve">Escritório de Projetos implantado </w:t>
            </w:r>
            <w:r w:rsidRPr="00727E9D">
              <w:rPr>
                <w:rFonts w:cs="Arial"/>
                <w:sz w:val="18"/>
                <w:szCs w:val="18"/>
              </w:rPr>
              <w:t xml:space="preserve">com metodologia de preparação, execução e avaliação alinhada às diretrizes e objetivos estratégicos da gestão fiscal, metodologia de gestão de riscos e apoio de ferramentas informatizadas. </w:t>
            </w:r>
          </w:p>
        </w:tc>
        <w:tc>
          <w:tcPr>
            <w:tcW w:w="2970" w:type="dxa"/>
            <w:shd w:val="clear" w:color="auto" w:fill="D7D2D9" w:themeFill="accent6" w:themeFillTint="66"/>
          </w:tcPr>
          <w:p w:rsidR="00D32D29" w:rsidRDefault="00C32541" w:rsidP="00FE560B">
            <w:pPr>
              <w:pStyle w:val="PargrafodaLista"/>
              <w:spacing w:line="240" w:lineRule="auto"/>
              <w:ind w:left="360"/>
              <w:jc w:val="both"/>
              <w:rPr>
                <w:b/>
                <w:sz w:val="18"/>
                <w:szCs w:val="18"/>
              </w:rPr>
            </w:pPr>
            <w:r w:rsidRPr="00727E9D">
              <w:rPr>
                <w:b/>
                <w:sz w:val="18"/>
                <w:szCs w:val="18"/>
              </w:rPr>
              <w:t>Línea de base (2017): 0;</w:t>
            </w:r>
          </w:p>
          <w:p w:rsidR="00C32541" w:rsidRPr="00727E9D" w:rsidRDefault="00C32541" w:rsidP="00FE560B">
            <w:pPr>
              <w:pStyle w:val="PargrafodaLista"/>
              <w:spacing w:line="240" w:lineRule="auto"/>
              <w:ind w:left="360"/>
              <w:jc w:val="both"/>
              <w:rPr>
                <w:b/>
                <w:sz w:val="18"/>
                <w:szCs w:val="18"/>
              </w:rPr>
            </w:pPr>
            <w:r w:rsidRPr="00727E9D">
              <w:rPr>
                <w:b/>
                <w:sz w:val="18"/>
                <w:szCs w:val="18"/>
              </w:rPr>
              <w:t>Meta (2022): 1;</w:t>
            </w:r>
          </w:p>
          <w:p w:rsidR="00C32541" w:rsidRPr="00727E9D" w:rsidRDefault="00C32541" w:rsidP="00FE560B">
            <w:pPr>
              <w:spacing w:line="240" w:lineRule="auto"/>
              <w:jc w:val="both"/>
              <w:rPr>
                <w:b/>
                <w:sz w:val="18"/>
                <w:szCs w:val="18"/>
              </w:rPr>
            </w:pPr>
            <w:r w:rsidRPr="00727E9D">
              <w:rPr>
                <w:b/>
                <w:sz w:val="18"/>
                <w:szCs w:val="18"/>
              </w:rPr>
              <w:t>Unidad de medida: Modelo.</w:t>
            </w:r>
          </w:p>
          <w:p w:rsidR="00C32541" w:rsidRPr="00727E9D" w:rsidRDefault="00C32541" w:rsidP="00FE560B">
            <w:pPr>
              <w:spacing w:line="240" w:lineRule="auto"/>
              <w:jc w:val="both"/>
              <w:rPr>
                <w:b/>
                <w:sz w:val="18"/>
                <w:szCs w:val="18"/>
              </w:rPr>
            </w:pPr>
            <w:r w:rsidRPr="00727E9D">
              <w:rPr>
                <w:rFonts w:cs="Arial"/>
                <w:b/>
                <w:sz w:val="18"/>
                <w:szCs w:val="18"/>
              </w:rPr>
              <w:t>Etapas/acciones:</w:t>
            </w:r>
          </w:p>
          <w:p w:rsidR="00C32541" w:rsidRPr="00727E9D" w:rsidRDefault="00C32541" w:rsidP="00FE560B">
            <w:pPr>
              <w:spacing w:line="240" w:lineRule="auto"/>
              <w:jc w:val="both"/>
              <w:rPr>
                <w:sz w:val="18"/>
                <w:szCs w:val="18"/>
                <w:lang w:val="es-ES"/>
              </w:rPr>
            </w:pPr>
            <w:r w:rsidRPr="00727E9D">
              <w:rPr>
                <w:sz w:val="18"/>
                <w:szCs w:val="18"/>
                <w:lang w:val="es-ES"/>
              </w:rPr>
              <w:t>Plan estratégico de la Sefaz implantado (2020);</w:t>
            </w:r>
          </w:p>
          <w:p w:rsidR="00C32541" w:rsidRPr="00727E9D" w:rsidRDefault="00C32541" w:rsidP="00FE560B">
            <w:pPr>
              <w:spacing w:line="240" w:lineRule="auto"/>
              <w:jc w:val="both"/>
              <w:rPr>
                <w:sz w:val="18"/>
                <w:szCs w:val="18"/>
                <w:lang w:val="es-ES"/>
              </w:rPr>
            </w:pPr>
            <w:r w:rsidRPr="00727E9D">
              <w:rPr>
                <w:sz w:val="18"/>
                <w:szCs w:val="18"/>
                <w:lang w:val="es-ES"/>
              </w:rPr>
              <w:t>Metodología de gerenciamiento de proyectos y Gestión de riesgo elaborada (2021);</w:t>
            </w:r>
          </w:p>
          <w:p w:rsidR="00C32541" w:rsidRPr="00727E9D" w:rsidRDefault="00C32541" w:rsidP="00FE560B">
            <w:pPr>
              <w:spacing w:line="240" w:lineRule="auto"/>
              <w:jc w:val="both"/>
              <w:rPr>
                <w:rFonts w:cs="Arial"/>
                <w:sz w:val="18"/>
                <w:szCs w:val="18"/>
              </w:rPr>
            </w:pPr>
            <w:r w:rsidRPr="00727E9D">
              <w:rPr>
                <w:rFonts w:cs="Arial"/>
                <w:sz w:val="18"/>
                <w:szCs w:val="18"/>
              </w:rPr>
              <w:t>Plano de Capacitação e Comunicação estratégica implantado (2022)</w:t>
            </w:r>
          </w:p>
        </w:tc>
      </w:tr>
      <w:tr w:rsidR="00C32541" w:rsidRPr="00727E9D" w:rsidTr="00555E76">
        <w:trPr>
          <w:trHeight w:val="2487"/>
        </w:trPr>
        <w:tc>
          <w:tcPr>
            <w:tcW w:w="3900" w:type="dxa"/>
            <w:shd w:val="clear" w:color="auto" w:fill="D7D2D9" w:themeFill="accent6" w:themeFillTint="66"/>
          </w:tcPr>
          <w:p w:rsidR="00C32541" w:rsidRPr="00727E9D" w:rsidRDefault="00C32541" w:rsidP="00FE560B">
            <w:pPr>
              <w:pStyle w:val="PargrafodaLista"/>
              <w:spacing w:line="240" w:lineRule="auto"/>
              <w:ind w:left="360"/>
              <w:jc w:val="both"/>
              <w:rPr>
                <w:rFonts w:cs="Arial"/>
                <w:b/>
                <w:sz w:val="18"/>
                <w:szCs w:val="18"/>
              </w:rPr>
            </w:pPr>
            <w:r w:rsidRPr="00727E9D">
              <w:rPr>
                <w:rFonts w:cs="Arial"/>
                <w:b/>
                <w:sz w:val="18"/>
                <w:szCs w:val="18"/>
              </w:rPr>
              <w:t xml:space="preserve">Sínteses das necessidades: </w:t>
            </w:r>
            <w:r w:rsidRPr="00727E9D">
              <w:rPr>
                <w:rFonts w:cs="Arial"/>
                <w:sz w:val="18"/>
                <w:szCs w:val="18"/>
              </w:rPr>
              <w:t>Deficiência para realizar uma gestão orientada a processos no Estado.</w:t>
            </w:r>
          </w:p>
          <w:p w:rsidR="00C32541" w:rsidRPr="00727E9D" w:rsidRDefault="00C32541" w:rsidP="00A249C9">
            <w:pPr>
              <w:pStyle w:val="PargrafodaLista"/>
              <w:numPr>
                <w:ilvl w:val="0"/>
                <w:numId w:val="161"/>
              </w:numPr>
              <w:spacing w:line="240" w:lineRule="auto"/>
              <w:ind w:left="335"/>
              <w:jc w:val="both"/>
              <w:rPr>
                <w:rFonts w:cs="Arial"/>
                <w:sz w:val="18"/>
                <w:szCs w:val="18"/>
              </w:rPr>
            </w:pPr>
            <w:r w:rsidRPr="00727E9D">
              <w:rPr>
                <w:rFonts w:cs="Arial"/>
                <w:sz w:val="18"/>
                <w:szCs w:val="18"/>
              </w:rPr>
              <w:t>Crescimento exponencial dos documentos referentes a processos administrativos iniciados anualmente pelas diversas entidades estaduais. Grande quantidade de processos de trabalho do Governo são realizados de forma manual, seus documentos não são armazenados de forma estruturada, gerando dificuldade para acessar e processar a informação.</w:t>
            </w:r>
          </w:p>
        </w:tc>
        <w:tc>
          <w:tcPr>
            <w:tcW w:w="3150" w:type="dxa"/>
            <w:shd w:val="clear" w:color="auto" w:fill="D7D2D9" w:themeFill="accent6" w:themeFillTint="66"/>
          </w:tcPr>
          <w:p w:rsidR="00C32541" w:rsidRPr="00727E9D" w:rsidRDefault="00C32541" w:rsidP="00FE560B">
            <w:pPr>
              <w:spacing w:line="240" w:lineRule="auto"/>
              <w:jc w:val="both"/>
              <w:rPr>
                <w:rFonts w:cs="Arial"/>
                <w:b/>
                <w:sz w:val="18"/>
                <w:szCs w:val="18"/>
              </w:rPr>
            </w:pPr>
            <w:r w:rsidRPr="00727E9D">
              <w:rPr>
                <w:rFonts w:cs="Arial"/>
                <w:sz w:val="18"/>
                <w:szCs w:val="18"/>
              </w:rPr>
              <w:t>Nota Técnica _GF1 1.2</w:t>
            </w:r>
            <w:r w:rsidRPr="00727E9D">
              <w:rPr>
                <w:rFonts w:cs="Arial"/>
                <w:sz w:val="18"/>
                <w:szCs w:val="18"/>
              </w:rPr>
              <w:tab/>
              <w:t>Modelo de gestão de processos administrativos da gestão estadual</w:t>
            </w:r>
            <w:r w:rsidRPr="00727E9D">
              <w:rPr>
                <w:rFonts w:cs="Arial"/>
                <w:b/>
                <w:sz w:val="18"/>
                <w:szCs w:val="18"/>
              </w:rPr>
              <w:t>.</w:t>
            </w:r>
          </w:p>
          <w:p w:rsidR="00C32541" w:rsidRPr="00727E9D" w:rsidRDefault="00C32541" w:rsidP="00A249C9">
            <w:pPr>
              <w:pStyle w:val="PargrafodaLista"/>
              <w:numPr>
                <w:ilvl w:val="0"/>
                <w:numId w:val="162"/>
              </w:numPr>
              <w:spacing w:line="240" w:lineRule="auto"/>
              <w:ind w:left="395"/>
              <w:jc w:val="both"/>
              <w:rPr>
                <w:rFonts w:cs="Arial"/>
                <w:sz w:val="18"/>
                <w:szCs w:val="18"/>
              </w:rPr>
            </w:pPr>
            <w:r w:rsidRPr="00727E9D">
              <w:rPr>
                <w:rFonts w:cs="Arial"/>
                <w:sz w:val="18"/>
                <w:szCs w:val="18"/>
              </w:rPr>
              <w:t>Existem aproximadamente 200 processos administrativos (ex. suplementação de orçamento, solicitação de diárias, etc)    prioritários que são realizados de forma manual. Existem um estoque de 1,472.000 de processos em tramitação. Em 2017 foram abertos 410.000 novos processos, somente 285,000 foram finalizados. O gasto com material de escritório e transporte anual é BR$5.0 milhões.</w:t>
            </w:r>
          </w:p>
        </w:tc>
        <w:tc>
          <w:tcPr>
            <w:tcW w:w="4590" w:type="dxa"/>
            <w:shd w:val="clear" w:color="auto" w:fill="D7D2D9" w:themeFill="accent6" w:themeFillTint="66"/>
          </w:tcPr>
          <w:p w:rsidR="00C32541" w:rsidRPr="00727E9D" w:rsidRDefault="00C32541" w:rsidP="00A249C9">
            <w:pPr>
              <w:pStyle w:val="PargrafodaLista"/>
              <w:numPr>
                <w:ilvl w:val="1"/>
                <w:numId w:val="164"/>
              </w:numPr>
              <w:spacing w:line="240" w:lineRule="auto"/>
              <w:jc w:val="both"/>
              <w:rPr>
                <w:rFonts w:cs="Arial"/>
                <w:sz w:val="18"/>
                <w:szCs w:val="18"/>
              </w:rPr>
            </w:pPr>
            <w:r w:rsidRPr="00727E9D">
              <w:rPr>
                <w:rFonts w:cs="Arial"/>
                <w:b/>
                <w:sz w:val="18"/>
                <w:szCs w:val="18"/>
              </w:rPr>
              <w:t>Modelo de gestão de processos administrativos da gestão estadual implantado, i</w:t>
            </w:r>
            <w:r w:rsidRPr="00727E9D">
              <w:rPr>
                <w:rFonts w:cs="Arial"/>
                <w:sz w:val="18"/>
                <w:szCs w:val="18"/>
              </w:rPr>
              <w:t>ncluindo:</w:t>
            </w:r>
          </w:p>
          <w:p w:rsidR="00C32541" w:rsidRPr="00727E9D" w:rsidRDefault="00C32541" w:rsidP="00A249C9">
            <w:pPr>
              <w:pStyle w:val="PargrafodaLista"/>
              <w:numPr>
                <w:ilvl w:val="0"/>
                <w:numId w:val="111"/>
              </w:numPr>
              <w:spacing w:line="240" w:lineRule="auto"/>
              <w:ind w:left="399"/>
              <w:jc w:val="both"/>
              <w:rPr>
                <w:rFonts w:cs="Arial"/>
                <w:sz w:val="18"/>
                <w:szCs w:val="18"/>
              </w:rPr>
            </w:pPr>
            <w:r w:rsidRPr="00727E9D">
              <w:rPr>
                <w:rFonts w:cs="Arial"/>
                <w:sz w:val="18"/>
                <w:szCs w:val="18"/>
              </w:rPr>
              <w:t>Metodologia de gerenciamento de processos, incluindo a revisão dos processos, da legislação e normas vigentes, customização no BPMS de 150 processos e seus respectivos documentos e as devidas interfaces/integração com os sistemas de gestão do estado (SIGEFES, SIGA, SIARHES, SIT, SEP, EDOCS entre outros). (Nara e Marília)</w:t>
            </w:r>
          </w:p>
        </w:tc>
        <w:tc>
          <w:tcPr>
            <w:tcW w:w="2970" w:type="dxa"/>
            <w:shd w:val="clear" w:color="auto" w:fill="D7D2D9" w:themeFill="accent6" w:themeFillTint="66"/>
          </w:tcPr>
          <w:p w:rsidR="00C32541" w:rsidRPr="00727E9D" w:rsidRDefault="00C32541" w:rsidP="00FE560B">
            <w:pPr>
              <w:pStyle w:val="PargrafodaLista"/>
              <w:spacing w:line="240" w:lineRule="auto"/>
              <w:ind w:left="360"/>
              <w:jc w:val="both"/>
              <w:rPr>
                <w:rFonts w:cs="Arial"/>
                <w:b/>
                <w:sz w:val="18"/>
                <w:szCs w:val="18"/>
              </w:rPr>
            </w:pPr>
            <w:r w:rsidRPr="00727E9D">
              <w:rPr>
                <w:rFonts w:cs="Arial"/>
                <w:b/>
                <w:sz w:val="18"/>
                <w:szCs w:val="18"/>
              </w:rPr>
              <w:t>Línea de base (2018): 0;</w:t>
            </w:r>
          </w:p>
          <w:p w:rsidR="00C32541" w:rsidRPr="00727E9D" w:rsidRDefault="00C32541" w:rsidP="00FE560B">
            <w:pPr>
              <w:pStyle w:val="PargrafodaLista"/>
              <w:spacing w:line="240" w:lineRule="auto"/>
              <w:ind w:left="360"/>
              <w:jc w:val="both"/>
              <w:rPr>
                <w:rFonts w:cs="Arial"/>
                <w:b/>
                <w:sz w:val="18"/>
                <w:szCs w:val="18"/>
              </w:rPr>
            </w:pPr>
            <w:r w:rsidRPr="00727E9D">
              <w:rPr>
                <w:rFonts w:cs="Arial"/>
                <w:b/>
                <w:sz w:val="18"/>
                <w:szCs w:val="18"/>
              </w:rPr>
              <w:t>Meta (2023): 1;</w:t>
            </w:r>
          </w:p>
          <w:p w:rsidR="00C32541" w:rsidRPr="00727E9D" w:rsidRDefault="00C32541" w:rsidP="00FE560B">
            <w:pPr>
              <w:pStyle w:val="PargrafodaLista"/>
              <w:spacing w:line="240" w:lineRule="auto"/>
              <w:ind w:left="360"/>
              <w:jc w:val="both"/>
              <w:rPr>
                <w:rFonts w:cs="Arial"/>
                <w:sz w:val="18"/>
                <w:szCs w:val="18"/>
              </w:rPr>
            </w:pPr>
            <w:r w:rsidRPr="00727E9D">
              <w:rPr>
                <w:rFonts w:cs="Arial"/>
                <w:sz w:val="18"/>
                <w:szCs w:val="18"/>
              </w:rPr>
              <w:t>Unidad de medida: Modelo.</w:t>
            </w:r>
          </w:p>
          <w:p w:rsidR="00C32541" w:rsidRPr="00727E9D" w:rsidRDefault="00C32541" w:rsidP="00FE560B">
            <w:pPr>
              <w:pStyle w:val="PargrafodaLista"/>
              <w:spacing w:line="240" w:lineRule="auto"/>
              <w:ind w:left="360"/>
              <w:jc w:val="both"/>
              <w:rPr>
                <w:rFonts w:cs="Arial"/>
                <w:sz w:val="18"/>
                <w:szCs w:val="18"/>
              </w:rPr>
            </w:pPr>
            <w:r w:rsidRPr="00727E9D">
              <w:rPr>
                <w:rFonts w:cs="Arial"/>
                <w:sz w:val="18"/>
                <w:szCs w:val="18"/>
              </w:rPr>
              <w:t>Etapas / acciones:</w:t>
            </w:r>
          </w:p>
          <w:p w:rsidR="00C32541" w:rsidRPr="00727E9D" w:rsidRDefault="00C32541" w:rsidP="00A249C9">
            <w:pPr>
              <w:pStyle w:val="PargrafodaLista"/>
              <w:numPr>
                <w:ilvl w:val="0"/>
                <w:numId w:val="163"/>
              </w:numPr>
              <w:spacing w:line="240" w:lineRule="auto"/>
              <w:ind w:left="395"/>
              <w:jc w:val="both"/>
              <w:rPr>
                <w:rFonts w:cs="Arial"/>
                <w:sz w:val="18"/>
                <w:szCs w:val="18"/>
              </w:rPr>
            </w:pPr>
            <w:r w:rsidRPr="00727E9D">
              <w:rPr>
                <w:rFonts w:cs="Arial"/>
                <w:sz w:val="18"/>
                <w:szCs w:val="18"/>
              </w:rPr>
              <w:t>1 Metodologia de gerenciamento de processos com gerenciamento de riscos implantada (2022);</w:t>
            </w:r>
          </w:p>
          <w:p w:rsidR="00C32541" w:rsidRPr="00727E9D" w:rsidRDefault="00C32541" w:rsidP="00A249C9">
            <w:pPr>
              <w:pStyle w:val="PargrafodaLista"/>
              <w:numPr>
                <w:ilvl w:val="0"/>
                <w:numId w:val="163"/>
              </w:numPr>
              <w:spacing w:line="240" w:lineRule="auto"/>
              <w:ind w:left="395"/>
              <w:jc w:val="both"/>
              <w:rPr>
                <w:rFonts w:cs="Arial"/>
                <w:sz w:val="18"/>
                <w:szCs w:val="18"/>
              </w:rPr>
            </w:pPr>
            <w:r w:rsidRPr="00727E9D">
              <w:rPr>
                <w:rFonts w:cs="Arial"/>
                <w:sz w:val="18"/>
                <w:szCs w:val="18"/>
              </w:rPr>
              <w:t>1 Sistema integrado de gestão dos fluxos e documentos dos processos administrativos (2022).</w:t>
            </w:r>
          </w:p>
          <w:p w:rsidR="00C32541" w:rsidRPr="00727E9D" w:rsidRDefault="00C32541" w:rsidP="00A249C9">
            <w:pPr>
              <w:pStyle w:val="PargrafodaLista"/>
              <w:numPr>
                <w:ilvl w:val="0"/>
                <w:numId w:val="163"/>
              </w:numPr>
              <w:spacing w:line="240" w:lineRule="auto"/>
              <w:ind w:left="395"/>
              <w:jc w:val="both"/>
              <w:rPr>
                <w:rFonts w:cs="Arial"/>
                <w:sz w:val="18"/>
                <w:szCs w:val="18"/>
              </w:rPr>
            </w:pPr>
            <w:r w:rsidRPr="00727E9D">
              <w:rPr>
                <w:rFonts w:cs="Arial"/>
                <w:sz w:val="18"/>
                <w:szCs w:val="18"/>
              </w:rPr>
              <w:t>150 Processos automatizados (2023).</w:t>
            </w:r>
          </w:p>
        </w:tc>
      </w:tr>
      <w:tr w:rsidR="00C32541" w:rsidRPr="00727E9D" w:rsidTr="00555E76">
        <w:trPr>
          <w:trHeight w:val="2365"/>
        </w:trPr>
        <w:tc>
          <w:tcPr>
            <w:tcW w:w="390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Baixa produtividade e precariedade na prestação de serviços da SEFAZ, evidenciados pelo insuficiente nível de arrecadação do estado.</w:t>
            </w:r>
          </w:p>
          <w:p w:rsidR="00C32541" w:rsidRPr="00727E9D" w:rsidRDefault="00C32541" w:rsidP="00A249C9">
            <w:pPr>
              <w:pStyle w:val="PargrafodaLista"/>
              <w:numPr>
                <w:ilvl w:val="0"/>
                <w:numId w:val="136"/>
              </w:numPr>
              <w:spacing w:line="240" w:lineRule="auto"/>
              <w:ind w:left="423"/>
              <w:jc w:val="both"/>
              <w:rPr>
                <w:rFonts w:cs="Arial"/>
                <w:sz w:val="18"/>
                <w:szCs w:val="18"/>
              </w:rPr>
            </w:pPr>
            <w:r w:rsidRPr="00727E9D">
              <w:rPr>
                <w:rFonts w:cs="Arial"/>
                <w:sz w:val="18"/>
                <w:szCs w:val="18"/>
              </w:rPr>
              <w:t>O plano de capacitação e os procedimentos de mobilidade de RH não consideram o perfil de competência dos funcionários envolvidos.</w:t>
            </w:r>
          </w:p>
          <w:p w:rsidR="00C32541" w:rsidRPr="00727E9D" w:rsidRDefault="00C32541" w:rsidP="00A249C9">
            <w:pPr>
              <w:pStyle w:val="PargrafodaLista"/>
              <w:numPr>
                <w:ilvl w:val="0"/>
                <w:numId w:val="136"/>
              </w:numPr>
              <w:spacing w:line="240" w:lineRule="auto"/>
              <w:ind w:left="423"/>
              <w:jc w:val="both"/>
              <w:rPr>
                <w:rFonts w:cs="Arial"/>
                <w:sz w:val="18"/>
                <w:szCs w:val="18"/>
              </w:rPr>
            </w:pPr>
            <w:r w:rsidRPr="00727E9D">
              <w:rPr>
                <w:rFonts w:cs="Arial"/>
                <w:sz w:val="18"/>
                <w:szCs w:val="18"/>
              </w:rPr>
              <w:t>Os instrumentos tecnológicos para a capacitação dos funcionários são deficientes.</w:t>
            </w:r>
          </w:p>
          <w:p w:rsidR="00C32541" w:rsidRPr="00727E9D" w:rsidRDefault="00C32541" w:rsidP="00A249C9">
            <w:pPr>
              <w:pStyle w:val="PargrafodaLista"/>
              <w:numPr>
                <w:ilvl w:val="0"/>
                <w:numId w:val="136"/>
              </w:numPr>
              <w:spacing w:line="240" w:lineRule="auto"/>
              <w:ind w:left="423"/>
              <w:jc w:val="both"/>
              <w:rPr>
                <w:rFonts w:cs="Arial"/>
                <w:sz w:val="18"/>
                <w:szCs w:val="18"/>
              </w:rPr>
            </w:pPr>
            <w:r w:rsidRPr="00727E9D">
              <w:rPr>
                <w:rFonts w:cs="Arial"/>
                <w:sz w:val="18"/>
                <w:szCs w:val="18"/>
              </w:rPr>
              <w:t>Dificuldade para consolidar e tratar informação de qualidade para a tomada de decisão dos RHs.</w:t>
            </w:r>
          </w:p>
          <w:p w:rsidR="00C32541" w:rsidRPr="00727E9D" w:rsidRDefault="00C32541" w:rsidP="00FE560B">
            <w:pPr>
              <w:spacing w:line="240" w:lineRule="auto"/>
              <w:jc w:val="both"/>
              <w:rPr>
                <w:rFonts w:cs="Arial"/>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GF1 – Modelo de Gestão de Pessoas por Competência.</w:t>
            </w:r>
          </w:p>
          <w:p w:rsidR="00C32541" w:rsidRPr="00727E9D" w:rsidRDefault="00C32541" w:rsidP="00A249C9">
            <w:pPr>
              <w:pStyle w:val="PargrafodaLista"/>
              <w:numPr>
                <w:ilvl w:val="0"/>
                <w:numId w:val="137"/>
              </w:numPr>
              <w:spacing w:line="240" w:lineRule="auto"/>
              <w:ind w:left="395"/>
              <w:jc w:val="both"/>
              <w:rPr>
                <w:rFonts w:cs="Arial"/>
                <w:sz w:val="18"/>
                <w:szCs w:val="18"/>
              </w:rPr>
            </w:pPr>
            <w:r w:rsidRPr="00727E9D">
              <w:rPr>
                <w:rFonts w:cs="Arial"/>
                <w:sz w:val="18"/>
                <w:szCs w:val="18"/>
              </w:rPr>
              <w:t>Somente 344 servidores de carreira, de 833 da força de trabalho da SEFAZ, receberam treinamento no período em 2016 e 2017, porém sem considerar seus perfis de competência.</w:t>
            </w:r>
          </w:p>
          <w:p w:rsidR="00C32541" w:rsidRPr="00727E9D" w:rsidRDefault="00C32541" w:rsidP="00A249C9">
            <w:pPr>
              <w:pStyle w:val="PargrafodaLista"/>
              <w:numPr>
                <w:ilvl w:val="0"/>
                <w:numId w:val="137"/>
              </w:numPr>
              <w:spacing w:line="240" w:lineRule="auto"/>
              <w:ind w:left="395"/>
              <w:jc w:val="both"/>
              <w:rPr>
                <w:rFonts w:cs="Arial"/>
                <w:sz w:val="18"/>
                <w:szCs w:val="18"/>
              </w:rPr>
            </w:pPr>
            <w:r w:rsidRPr="00727E9D">
              <w:rPr>
                <w:rFonts w:cs="Arial"/>
                <w:sz w:val="18"/>
                <w:szCs w:val="18"/>
              </w:rPr>
              <w:t>Cada curso tem que ser contratado individualmente. 2017 foram realizados 16 cursos.</w:t>
            </w:r>
          </w:p>
          <w:p w:rsidR="00C32541" w:rsidRPr="00727E9D" w:rsidRDefault="00C32541" w:rsidP="00A249C9">
            <w:pPr>
              <w:pStyle w:val="PargrafodaLista"/>
              <w:numPr>
                <w:ilvl w:val="0"/>
                <w:numId w:val="137"/>
              </w:numPr>
              <w:spacing w:line="240" w:lineRule="auto"/>
              <w:ind w:left="395"/>
              <w:jc w:val="both"/>
              <w:rPr>
                <w:rFonts w:cs="Arial"/>
                <w:sz w:val="18"/>
                <w:szCs w:val="18"/>
              </w:rPr>
            </w:pPr>
            <w:r w:rsidRPr="00727E9D">
              <w:rPr>
                <w:rFonts w:cs="Arial"/>
                <w:sz w:val="18"/>
                <w:szCs w:val="18"/>
              </w:rPr>
              <w:t>O atual sistema da gestão de pessoas está obsoleto e desatualizado tecnologicamente e sem integração com outros sistemas do estado. Existem 5 milhões de documentos em arquivos em papel.</w:t>
            </w:r>
          </w:p>
          <w:p w:rsidR="00C32541" w:rsidRPr="00727E9D" w:rsidRDefault="00C32541" w:rsidP="00FE560B">
            <w:pPr>
              <w:spacing w:line="240" w:lineRule="auto"/>
              <w:jc w:val="both"/>
              <w:rPr>
                <w:rFonts w:cs="Arial"/>
                <w:b/>
                <w:sz w:val="18"/>
                <w:szCs w:val="18"/>
              </w:rPr>
            </w:pPr>
          </w:p>
        </w:tc>
        <w:tc>
          <w:tcPr>
            <w:tcW w:w="459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A249C9">
            <w:pPr>
              <w:pStyle w:val="PargrafodaLista"/>
              <w:numPr>
                <w:ilvl w:val="1"/>
                <w:numId w:val="164"/>
              </w:numPr>
              <w:spacing w:line="240" w:lineRule="auto"/>
              <w:jc w:val="both"/>
              <w:rPr>
                <w:rFonts w:cs="Arial"/>
                <w:sz w:val="18"/>
                <w:szCs w:val="18"/>
              </w:rPr>
            </w:pPr>
            <w:r w:rsidRPr="00727E9D">
              <w:rPr>
                <w:rFonts w:cs="Arial"/>
                <w:b/>
                <w:sz w:val="18"/>
                <w:szCs w:val="18"/>
              </w:rPr>
              <w:t xml:space="preserve">Revisão de modelo de gestão de pessoas da SEFAZ atualizado, </w:t>
            </w:r>
            <w:r w:rsidRPr="00727E9D">
              <w:rPr>
                <w:rFonts w:cs="Arial"/>
                <w:sz w:val="18"/>
                <w:szCs w:val="18"/>
              </w:rPr>
              <w:t xml:space="preserve">contemplando: </w:t>
            </w:r>
          </w:p>
          <w:p w:rsidR="00C32541" w:rsidRPr="00727E9D" w:rsidRDefault="00C32541" w:rsidP="00FE560B">
            <w:pPr>
              <w:pStyle w:val="PargrafodaLista"/>
              <w:spacing w:line="240" w:lineRule="auto"/>
              <w:ind w:left="421" w:hanging="360"/>
              <w:jc w:val="both"/>
              <w:rPr>
                <w:rFonts w:cs="Arial"/>
                <w:sz w:val="18"/>
                <w:szCs w:val="18"/>
              </w:rPr>
            </w:pPr>
          </w:p>
          <w:p w:rsidR="00C32541" w:rsidRPr="00727E9D" w:rsidRDefault="00C32541" w:rsidP="00A249C9">
            <w:pPr>
              <w:pStyle w:val="PargrafodaLista"/>
              <w:numPr>
                <w:ilvl w:val="0"/>
                <w:numId w:val="106"/>
              </w:numPr>
              <w:spacing w:line="240" w:lineRule="auto"/>
              <w:ind w:left="421"/>
              <w:jc w:val="both"/>
              <w:rPr>
                <w:rFonts w:cs="Arial"/>
                <w:sz w:val="18"/>
                <w:szCs w:val="18"/>
              </w:rPr>
            </w:pPr>
            <w:r w:rsidRPr="00727E9D">
              <w:rPr>
                <w:rFonts w:cs="Arial"/>
                <w:sz w:val="18"/>
                <w:szCs w:val="18"/>
              </w:rPr>
              <w:t>Mapeamento das Competências individuais, análise do perfil da função e do gap de competências; dimensionamento qualitativo e quantitativo da força de trabalho e de sua localização; Plano de desenvolvimento individual (PDI) e definição das Trilhas de Aprendizagem;</w:t>
            </w:r>
          </w:p>
          <w:p w:rsidR="00C32541" w:rsidRPr="00727E9D" w:rsidRDefault="00C32541" w:rsidP="00A249C9">
            <w:pPr>
              <w:pStyle w:val="PargrafodaLista"/>
              <w:numPr>
                <w:ilvl w:val="0"/>
                <w:numId w:val="106"/>
              </w:numPr>
              <w:spacing w:line="240" w:lineRule="auto"/>
              <w:ind w:left="421"/>
              <w:jc w:val="both"/>
              <w:rPr>
                <w:rFonts w:cs="Arial"/>
                <w:sz w:val="18"/>
                <w:szCs w:val="18"/>
              </w:rPr>
            </w:pPr>
            <w:r w:rsidRPr="00727E9D">
              <w:rPr>
                <w:rFonts w:cs="Arial"/>
                <w:sz w:val="18"/>
                <w:szCs w:val="18"/>
              </w:rPr>
              <w:t xml:space="preserve">Readequação tecnológica do espaço multimeios para eventos de capacitação, com estúdio para gravação de aulas </w:t>
            </w:r>
            <w:r w:rsidRPr="00727E9D">
              <w:rPr>
                <w:rFonts w:cs="Arial"/>
                <w:i/>
                <w:sz w:val="18"/>
                <w:szCs w:val="18"/>
              </w:rPr>
              <w:t>online</w:t>
            </w:r>
            <w:r w:rsidRPr="00727E9D">
              <w:rPr>
                <w:rFonts w:cs="Arial"/>
                <w:sz w:val="18"/>
                <w:szCs w:val="18"/>
              </w:rPr>
              <w:t xml:space="preserve"> e aquisição de equipamentos e materiais de apoio.</w:t>
            </w:r>
          </w:p>
          <w:p w:rsidR="00C32541" w:rsidRPr="00727E9D" w:rsidRDefault="00C32541" w:rsidP="00A249C9">
            <w:pPr>
              <w:pStyle w:val="PargrafodaLista"/>
              <w:numPr>
                <w:ilvl w:val="0"/>
                <w:numId w:val="106"/>
              </w:numPr>
              <w:spacing w:line="240" w:lineRule="auto"/>
              <w:ind w:left="421"/>
              <w:jc w:val="both"/>
              <w:rPr>
                <w:rFonts w:cs="Arial"/>
                <w:sz w:val="18"/>
                <w:szCs w:val="18"/>
              </w:rPr>
            </w:pPr>
            <w:r w:rsidRPr="00727E9D">
              <w:rPr>
                <w:rFonts w:cs="Arial"/>
                <w:b/>
                <w:sz w:val="18"/>
                <w:szCs w:val="18"/>
              </w:rPr>
              <w:t xml:space="preserve">Atualização tecnológica com novas funcionalidades e </w:t>
            </w:r>
            <w:r w:rsidRPr="00727E9D">
              <w:rPr>
                <w:rFonts w:cs="Arial"/>
                <w:sz w:val="18"/>
                <w:szCs w:val="18"/>
              </w:rPr>
              <w:t>integração</w:t>
            </w:r>
            <w:r w:rsidRPr="00727E9D">
              <w:rPr>
                <w:rFonts w:cs="Arial"/>
                <w:b/>
                <w:sz w:val="18"/>
                <w:szCs w:val="18"/>
              </w:rPr>
              <w:t xml:space="preserve"> do Sistema Integrado de Administração de Recursos Humanos do Espírito Santo (SIARHES): </w:t>
            </w:r>
            <w:r w:rsidRPr="00727E9D">
              <w:rPr>
                <w:rFonts w:cs="Arial"/>
                <w:sz w:val="18"/>
                <w:szCs w:val="18"/>
              </w:rPr>
              <w:t>Módulos</w:t>
            </w:r>
            <w:r w:rsidRPr="00727E9D">
              <w:rPr>
                <w:rFonts w:cs="Arial"/>
                <w:b/>
                <w:sz w:val="18"/>
                <w:szCs w:val="18"/>
              </w:rPr>
              <w:t xml:space="preserve">: </w:t>
            </w:r>
            <w:r w:rsidRPr="00727E9D">
              <w:rPr>
                <w:rFonts w:cs="Arial"/>
                <w:sz w:val="18"/>
                <w:szCs w:val="18"/>
              </w:rPr>
              <w:t>(i)</w:t>
            </w:r>
            <w:r w:rsidRPr="00727E9D">
              <w:rPr>
                <w:rFonts w:cs="Arial"/>
                <w:b/>
                <w:sz w:val="18"/>
                <w:szCs w:val="18"/>
              </w:rPr>
              <w:t xml:space="preserve"> </w:t>
            </w:r>
            <w:r w:rsidRPr="00727E9D">
              <w:rPr>
                <w:rFonts w:cs="Arial"/>
                <w:sz w:val="18"/>
                <w:szCs w:val="18"/>
              </w:rPr>
              <w:t>Seleção e Ingresso de Pessoal; (ii) Gestão de Treinamento; (iii) Promoção de Policiais Militares e Civis; (iv) Bônus de Desempenho; (v) Serviços de Autoatendimento; (vii) Automação do processo de atos de pessoal; (viii) Integração com o Sistema de Contabilidade e Finanças (SIGEFES).</w:t>
            </w:r>
          </w:p>
        </w:tc>
        <w:tc>
          <w:tcPr>
            <w:tcW w:w="297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Unidad de medida</w:t>
            </w:r>
            <w:r w:rsidRPr="00727E9D">
              <w:rPr>
                <w:rFonts w:cs="Arial"/>
                <w:sz w:val="18"/>
                <w:szCs w:val="18"/>
                <w:lang w:val="es-ES"/>
              </w:rPr>
              <w:t>: Modelo</w:t>
            </w:r>
            <w:r w:rsidRPr="00727E9D">
              <w:rPr>
                <w:rFonts w:cs="Arial"/>
                <w:b/>
                <w:sz w:val="18"/>
                <w:szCs w:val="18"/>
                <w:lang w:val="es-ES"/>
              </w:rPr>
              <w:t>.</w:t>
            </w:r>
          </w:p>
          <w:p w:rsidR="00C32541" w:rsidRPr="00727E9D" w:rsidRDefault="00C32541" w:rsidP="00A249C9">
            <w:pPr>
              <w:pStyle w:val="PargrafodaLista"/>
              <w:numPr>
                <w:ilvl w:val="0"/>
                <w:numId w:val="130"/>
              </w:numPr>
              <w:spacing w:line="240" w:lineRule="auto"/>
              <w:ind w:left="329" w:hanging="270"/>
              <w:jc w:val="both"/>
              <w:rPr>
                <w:rFonts w:cs="Arial"/>
                <w:sz w:val="18"/>
                <w:szCs w:val="18"/>
              </w:rPr>
            </w:pPr>
            <w:r w:rsidRPr="00727E9D">
              <w:rPr>
                <w:rFonts w:cs="Arial"/>
                <w:sz w:val="18"/>
                <w:szCs w:val="18"/>
              </w:rPr>
              <w:t>Planos de Desenvolvimento de competências e formação individual implantados (2022)</w:t>
            </w:r>
          </w:p>
          <w:p w:rsidR="00C32541" w:rsidRPr="00727E9D" w:rsidRDefault="00C32541" w:rsidP="00A249C9">
            <w:pPr>
              <w:pStyle w:val="PargrafodaLista"/>
              <w:numPr>
                <w:ilvl w:val="0"/>
                <w:numId w:val="130"/>
              </w:numPr>
              <w:spacing w:line="240" w:lineRule="auto"/>
              <w:ind w:left="329" w:hanging="270"/>
              <w:jc w:val="both"/>
              <w:rPr>
                <w:rFonts w:cs="Arial"/>
                <w:sz w:val="18"/>
                <w:szCs w:val="18"/>
              </w:rPr>
            </w:pPr>
            <w:r w:rsidRPr="00727E9D">
              <w:rPr>
                <w:rFonts w:cs="Arial"/>
                <w:sz w:val="18"/>
                <w:szCs w:val="18"/>
              </w:rPr>
              <w:t>Espaço multimeios implantado (2020)</w:t>
            </w:r>
          </w:p>
          <w:p w:rsidR="00C32541" w:rsidRPr="00727E9D" w:rsidRDefault="00C32541" w:rsidP="00A249C9">
            <w:pPr>
              <w:pStyle w:val="PargrafodaLista"/>
              <w:numPr>
                <w:ilvl w:val="0"/>
                <w:numId w:val="130"/>
              </w:numPr>
              <w:spacing w:line="240" w:lineRule="auto"/>
              <w:ind w:left="329" w:hanging="270"/>
              <w:jc w:val="both"/>
              <w:rPr>
                <w:rFonts w:cs="Arial"/>
                <w:sz w:val="18"/>
                <w:szCs w:val="18"/>
              </w:rPr>
            </w:pPr>
            <w:r w:rsidRPr="00727E9D">
              <w:rPr>
                <w:rFonts w:cs="Arial"/>
                <w:sz w:val="18"/>
                <w:szCs w:val="18"/>
              </w:rPr>
              <w:t>Sistema Integrado de RH (2023)</w:t>
            </w:r>
          </w:p>
          <w:p w:rsidR="00C32541" w:rsidRPr="00727E9D" w:rsidRDefault="00C32541" w:rsidP="00FE560B">
            <w:pPr>
              <w:spacing w:line="240" w:lineRule="auto"/>
              <w:jc w:val="both"/>
              <w:rPr>
                <w:rFonts w:cs="Arial"/>
                <w:sz w:val="18"/>
                <w:szCs w:val="18"/>
              </w:rPr>
            </w:pPr>
          </w:p>
        </w:tc>
      </w:tr>
      <w:tr w:rsidR="00C32541" w:rsidRPr="00727E9D" w:rsidTr="00555E76">
        <w:trPr>
          <w:trHeight w:val="2365"/>
        </w:trPr>
        <w:tc>
          <w:tcPr>
            <w:tcW w:w="390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Deficiência no atendimento das demandas de TI, devido ao aumento da informação gerada pelos novos sistemas de gestão do estado e da manutenção dos sistemas legados.</w:t>
            </w:r>
          </w:p>
          <w:p w:rsidR="00C32541" w:rsidRPr="00727E9D" w:rsidRDefault="00C32541" w:rsidP="00A249C9">
            <w:pPr>
              <w:pStyle w:val="PargrafodaLista"/>
              <w:numPr>
                <w:ilvl w:val="0"/>
                <w:numId w:val="138"/>
              </w:numPr>
              <w:spacing w:line="240" w:lineRule="auto"/>
              <w:ind w:left="333" w:hanging="318"/>
              <w:jc w:val="both"/>
              <w:rPr>
                <w:rFonts w:cs="Arial"/>
                <w:sz w:val="18"/>
                <w:szCs w:val="18"/>
              </w:rPr>
            </w:pPr>
            <w:r w:rsidRPr="00727E9D">
              <w:rPr>
                <w:rFonts w:cs="Arial"/>
                <w:sz w:val="18"/>
                <w:szCs w:val="18"/>
              </w:rPr>
              <w:t>O atendimento das demandas de TI não está organizado com base em critérios de priorização. Dificuldade para avaliar o desempenho dos serviços de TI e a magnitude dos níveis de risco;</w:t>
            </w:r>
          </w:p>
          <w:p w:rsidR="00C32541" w:rsidRPr="00727E9D" w:rsidRDefault="00C32541" w:rsidP="00A249C9">
            <w:pPr>
              <w:pStyle w:val="PargrafodaLista"/>
              <w:numPr>
                <w:ilvl w:val="0"/>
                <w:numId w:val="138"/>
              </w:numPr>
              <w:spacing w:line="240" w:lineRule="auto"/>
              <w:ind w:left="333" w:hanging="318"/>
              <w:jc w:val="both"/>
              <w:rPr>
                <w:rFonts w:cs="Arial"/>
                <w:sz w:val="18"/>
                <w:szCs w:val="18"/>
              </w:rPr>
            </w:pPr>
            <w:r w:rsidRPr="00727E9D">
              <w:rPr>
                <w:rFonts w:cs="Arial"/>
                <w:sz w:val="18"/>
                <w:szCs w:val="18"/>
              </w:rPr>
              <w:t>Aumento exponencial do volume de transações e dados recepcionados por la SEFAZ. Dificuldade para tratar grandes volumes de dados, especialmente os referentes a auditoria e fiscalização.</w:t>
            </w:r>
          </w:p>
        </w:tc>
        <w:tc>
          <w:tcPr>
            <w:tcW w:w="315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color w:val="000000" w:themeColor="text1"/>
                <w:sz w:val="18"/>
                <w:szCs w:val="18"/>
              </w:rPr>
            </w:pPr>
            <w:r w:rsidRPr="00727E9D">
              <w:rPr>
                <w:rFonts w:cs="Arial"/>
                <w:color w:val="000000" w:themeColor="text1"/>
                <w:sz w:val="18"/>
                <w:szCs w:val="18"/>
              </w:rPr>
              <w:t>Nota Técnica GF1 – Gestão de TI.</w:t>
            </w:r>
          </w:p>
          <w:p w:rsidR="00C32541" w:rsidRPr="00727E9D" w:rsidRDefault="00C32541" w:rsidP="00A249C9">
            <w:pPr>
              <w:pStyle w:val="PargrafodaLista"/>
              <w:numPr>
                <w:ilvl w:val="0"/>
                <w:numId w:val="140"/>
              </w:numPr>
              <w:spacing w:line="240" w:lineRule="auto"/>
              <w:jc w:val="both"/>
              <w:rPr>
                <w:rFonts w:cs="Arial"/>
                <w:color w:val="000000" w:themeColor="text1"/>
                <w:sz w:val="18"/>
                <w:szCs w:val="18"/>
              </w:rPr>
            </w:pPr>
            <w:r w:rsidRPr="00727E9D">
              <w:rPr>
                <w:rFonts w:cs="Arial"/>
                <w:color w:val="000000" w:themeColor="text1"/>
                <w:sz w:val="18"/>
                <w:szCs w:val="18"/>
              </w:rPr>
              <w:t>Dos 135 projetos iniciados na TI, 45 foram cancelados no período de 2010 a 2017, apontando para um índice de 33,3%</w:t>
            </w:r>
          </w:p>
          <w:p w:rsidR="00C32541" w:rsidRPr="00727E9D" w:rsidRDefault="00C32541" w:rsidP="00A249C9">
            <w:pPr>
              <w:pStyle w:val="PargrafodaLista"/>
              <w:numPr>
                <w:ilvl w:val="0"/>
                <w:numId w:val="140"/>
              </w:numPr>
              <w:spacing w:line="240" w:lineRule="auto"/>
              <w:jc w:val="both"/>
              <w:rPr>
                <w:rFonts w:cs="Arial"/>
                <w:sz w:val="18"/>
                <w:szCs w:val="18"/>
              </w:rPr>
            </w:pPr>
            <w:r w:rsidRPr="00727E9D">
              <w:rPr>
                <w:rFonts w:cs="Arial"/>
                <w:color w:val="000000" w:themeColor="text1"/>
                <w:sz w:val="18"/>
                <w:szCs w:val="18"/>
              </w:rPr>
              <w:t>Estima-se que até o ano de 2020 a previsão é de cerca de 1 bilhão e 300 milhões de notas fiscais eletrônicas, modelo 55 e 65 armazenadas na base de dados da SEFAZ.</w:t>
            </w:r>
          </w:p>
          <w:p w:rsidR="00C32541" w:rsidRPr="00727E9D" w:rsidRDefault="00C32541" w:rsidP="00FE560B">
            <w:pPr>
              <w:spacing w:line="240" w:lineRule="auto"/>
              <w:ind w:left="3"/>
              <w:jc w:val="both"/>
              <w:rPr>
                <w:rFonts w:cs="Arial"/>
                <w:sz w:val="18"/>
                <w:szCs w:val="18"/>
              </w:rPr>
            </w:pPr>
          </w:p>
        </w:tc>
        <w:tc>
          <w:tcPr>
            <w:tcW w:w="459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A249C9">
            <w:pPr>
              <w:pStyle w:val="PargrafodaLista"/>
              <w:numPr>
                <w:ilvl w:val="1"/>
                <w:numId w:val="164"/>
              </w:numPr>
              <w:spacing w:line="240" w:lineRule="auto"/>
              <w:jc w:val="both"/>
              <w:rPr>
                <w:rFonts w:cs="Arial"/>
                <w:sz w:val="18"/>
                <w:szCs w:val="18"/>
              </w:rPr>
            </w:pPr>
            <w:r w:rsidRPr="00727E9D">
              <w:rPr>
                <w:rFonts w:cs="Arial"/>
                <w:b/>
                <w:sz w:val="18"/>
                <w:szCs w:val="18"/>
              </w:rPr>
              <w:t>Modelo de gestão de Tecnologia da informação e comunicação (TIC) atualizado, i</w:t>
            </w:r>
            <w:r w:rsidRPr="00727E9D">
              <w:rPr>
                <w:rFonts w:cs="Arial"/>
                <w:sz w:val="18"/>
                <w:szCs w:val="18"/>
              </w:rPr>
              <w:t>ncluindo:</w:t>
            </w:r>
          </w:p>
          <w:p w:rsidR="00C32541" w:rsidRPr="00727E9D" w:rsidRDefault="00C32541" w:rsidP="00A249C9">
            <w:pPr>
              <w:pStyle w:val="PargrafodaLista"/>
              <w:numPr>
                <w:ilvl w:val="0"/>
                <w:numId w:val="126"/>
              </w:numPr>
              <w:spacing w:line="240" w:lineRule="auto"/>
              <w:ind w:left="482"/>
              <w:jc w:val="both"/>
              <w:rPr>
                <w:rFonts w:cs="Arial"/>
                <w:sz w:val="18"/>
                <w:szCs w:val="18"/>
              </w:rPr>
            </w:pPr>
            <w:r w:rsidRPr="00727E9D">
              <w:rPr>
                <w:rFonts w:cs="Arial"/>
                <w:sz w:val="18"/>
                <w:szCs w:val="18"/>
              </w:rPr>
              <w:t>Implantação do Plano Diretor de Tecnologia da Informação.</w:t>
            </w:r>
          </w:p>
          <w:p w:rsidR="00C32541" w:rsidRPr="00727E9D" w:rsidRDefault="00C32541" w:rsidP="00A249C9">
            <w:pPr>
              <w:pStyle w:val="PargrafodaLista"/>
              <w:numPr>
                <w:ilvl w:val="0"/>
                <w:numId w:val="126"/>
              </w:numPr>
              <w:spacing w:line="240" w:lineRule="auto"/>
              <w:ind w:left="482"/>
              <w:jc w:val="both"/>
              <w:rPr>
                <w:rFonts w:cs="Arial"/>
                <w:sz w:val="18"/>
                <w:szCs w:val="18"/>
              </w:rPr>
            </w:pPr>
            <w:r w:rsidRPr="00727E9D">
              <w:rPr>
                <w:rFonts w:cs="Arial"/>
                <w:sz w:val="18"/>
                <w:szCs w:val="18"/>
              </w:rPr>
              <w:t>Ampliação da infraestrutura de hardware e software, incluindo a expansão de: rede de telecomunicação, servidores, segurança e capacitação. Ambiente para computação na nuvem.</w:t>
            </w:r>
          </w:p>
        </w:tc>
        <w:tc>
          <w:tcPr>
            <w:tcW w:w="297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Línea de base (2018</w:t>
            </w:r>
            <w:r w:rsidRPr="00727E9D">
              <w:rPr>
                <w:rFonts w:cs="Arial"/>
                <w:sz w:val="18"/>
                <w:szCs w:val="18"/>
                <w:lang w:val="es-ES"/>
              </w:rPr>
              <w:t>): 0;</w:t>
            </w:r>
          </w:p>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Meta (2023):</w:t>
            </w:r>
            <w:r w:rsidRPr="00727E9D">
              <w:rPr>
                <w:rFonts w:cs="Arial"/>
                <w:sz w:val="18"/>
                <w:szCs w:val="18"/>
                <w:lang w:val="es-ES"/>
              </w:rPr>
              <w:t xml:space="preserve"> 1;</w:t>
            </w:r>
          </w:p>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Unidad de medida</w:t>
            </w:r>
            <w:r w:rsidRPr="00727E9D">
              <w:rPr>
                <w:rFonts w:cs="Arial"/>
                <w:sz w:val="18"/>
                <w:szCs w:val="18"/>
                <w:lang w:val="es-ES"/>
              </w:rPr>
              <w:t>: Modelo.</w:t>
            </w:r>
          </w:p>
          <w:p w:rsidR="00C32541" w:rsidRPr="00727E9D" w:rsidRDefault="00C32541" w:rsidP="00FE560B">
            <w:pPr>
              <w:spacing w:line="240" w:lineRule="auto"/>
              <w:jc w:val="both"/>
              <w:rPr>
                <w:rFonts w:cs="Arial"/>
                <w:b/>
                <w:sz w:val="18"/>
                <w:szCs w:val="18"/>
              </w:rPr>
            </w:pPr>
            <w:r w:rsidRPr="00727E9D">
              <w:rPr>
                <w:rFonts w:cs="Arial"/>
                <w:b/>
                <w:sz w:val="18"/>
                <w:szCs w:val="18"/>
              </w:rPr>
              <w:t xml:space="preserve">Etapas/acciones </w:t>
            </w:r>
          </w:p>
          <w:p w:rsidR="00C32541" w:rsidRPr="00727E9D" w:rsidRDefault="00C32541" w:rsidP="00A249C9">
            <w:pPr>
              <w:pStyle w:val="PargrafodaLista"/>
              <w:numPr>
                <w:ilvl w:val="0"/>
                <w:numId w:val="127"/>
              </w:numPr>
              <w:spacing w:line="240" w:lineRule="auto"/>
              <w:ind w:left="480"/>
              <w:jc w:val="both"/>
              <w:rPr>
                <w:rFonts w:cs="Arial"/>
                <w:sz w:val="18"/>
                <w:szCs w:val="18"/>
              </w:rPr>
            </w:pPr>
            <w:r w:rsidRPr="00727E9D">
              <w:rPr>
                <w:rFonts w:cs="Arial"/>
                <w:sz w:val="18"/>
                <w:szCs w:val="18"/>
              </w:rPr>
              <w:t>Plano Diretor de Tecnologia da Informação (2020)</w:t>
            </w:r>
          </w:p>
          <w:p w:rsidR="00C32541" w:rsidRPr="00727E9D" w:rsidRDefault="00C32541" w:rsidP="00A249C9">
            <w:pPr>
              <w:pStyle w:val="PargrafodaLista"/>
              <w:numPr>
                <w:ilvl w:val="0"/>
                <w:numId w:val="127"/>
              </w:numPr>
              <w:spacing w:line="240" w:lineRule="auto"/>
              <w:ind w:left="480"/>
              <w:jc w:val="both"/>
              <w:rPr>
                <w:rFonts w:cs="Arial"/>
                <w:sz w:val="18"/>
                <w:szCs w:val="18"/>
              </w:rPr>
            </w:pPr>
            <w:r w:rsidRPr="00727E9D">
              <w:rPr>
                <w:rFonts w:cs="Arial"/>
                <w:sz w:val="18"/>
                <w:szCs w:val="18"/>
              </w:rPr>
              <w:t>Ambiente para computação na nuvem implantado  (2022)</w:t>
            </w:r>
          </w:p>
          <w:p w:rsidR="00C32541" w:rsidRPr="00727E9D" w:rsidRDefault="00C32541" w:rsidP="00FE560B">
            <w:pPr>
              <w:pStyle w:val="PargrafodaLista"/>
              <w:spacing w:line="240" w:lineRule="auto"/>
              <w:ind w:left="431"/>
              <w:jc w:val="both"/>
              <w:rPr>
                <w:rFonts w:cs="Arial"/>
                <w:sz w:val="18"/>
                <w:szCs w:val="18"/>
              </w:rPr>
            </w:pPr>
          </w:p>
        </w:tc>
      </w:tr>
      <w:tr w:rsidR="00C32541" w:rsidRPr="00727E9D" w:rsidTr="00555E76">
        <w:trPr>
          <w:trHeight w:val="4516"/>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Deficiência na gestão e no planejamento do Órgão Central de Controle Interno (SECONT) e de suas Unidades nos órgãos estaduais.</w:t>
            </w:r>
          </w:p>
          <w:p w:rsidR="00C32541" w:rsidRPr="00727E9D" w:rsidRDefault="00C32541" w:rsidP="00A249C9">
            <w:pPr>
              <w:pStyle w:val="PargrafodaLista"/>
              <w:numPr>
                <w:ilvl w:val="0"/>
                <w:numId w:val="128"/>
              </w:numPr>
              <w:spacing w:line="240" w:lineRule="auto"/>
              <w:jc w:val="both"/>
              <w:rPr>
                <w:rFonts w:cs="Arial"/>
                <w:sz w:val="18"/>
                <w:szCs w:val="18"/>
              </w:rPr>
            </w:pPr>
            <w:r w:rsidRPr="00727E9D">
              <w:rPr>
                <w:rFonts w:cs="Arial"/>
                <w:sz w:val="18"/>
                <w:szCs w:val="18"/>
              </w:rPr>
              <w:t>Dificultando na identificação dos processos e atores de alto risco e suas magnitudes.</w:t>
            </w:r>
          </w:p>
          <w:p w:rsidR="00C32541" w:rsidRPr="00727E9D" w:rsidRDefault="00C32541" w:rsidP="00A249C9">
            <w:pPr>
              <w:numPr>
                <w:ilvl w:val="0"/>
                <w:numId w:val="128"/>
              </w:numPr>
              <w:spacing w:line="240" w:lineRule="auto"/>
              <w:jc w:val="both"/>
              <w:rPr>
                <w:rFonts w:cs="Arial"/>
                <w:sz w:val="18"/>
                <w:szCs w:val="18"/>
              </w:rPr>
            </w:pPr>
            <w:r w:rsidRPr="00727E9D">
              <w:rPr>
                <w:rFonts w:cs="Arial"/>
                <w:sz w:val="18"/>
                <w:szCs w:val="18"/>
              </w:rPr>
              <w:t>Deficiência na geração e disseminação de informação aos órgãos públicos e à sociedade. Falta de efetividade da OGE/ES para responder a demanda crescente de consultas da sociedade em quanto aos serviços prestados pelo estado.</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_GF1 - Modernização do controle interno de transparência pública.</w:t>
            </w:r>
          </w:p>
          <w:p w:rsidR="00C32541" w:rsidRPr="00727E9D" w:rsidRDefault="00C32541" w:rsidP="00A249C9">
            <w:pPr>
              <w:pStyle w:val="PargrafodaLista"/>
              <w:numPr>
                <w:ilvl w:val="0"/>
                <w:numId w:val="144"/>
              </w:numPr>
              <w:spacing w:line="240" w:lineRule="auto"/>
              <w:ind w:left="421"/>
              <w:jc w:val="both"/>
              <w:rPr>
                <w:rFonts w:cs="Arial"/>
                <w:sz w:val="18"/>
                <w:szCs w:val="18"/>
              </w:rPr>
            </w:pPr>
            <w:r w:rsidRPr="00727E9D">
              <w:rPr>
                <w:rFonts w:cs="Arial"/>
                <w:sz w:val="18"/>
                <w:szCs w:val="18"/>
              </w:rPr>
              <w:t xml:space="preserve">A SECONT encontra-se entre os níveis 1 e 2 na Avaliação de Capacidade da Auditoria Interna (IA-CM), realizada em </w:t>
            </w:r>
            <w:r w:rsidRPr="00727E9D">
              <w:rPr>
                <w:rFonts w:cs="Arial"/>
                <w:b/>
                <w:sz w:val="18"/>
                <w:szCs w:val="18"/>
              </w:rPr>
              <w:t>2016 pelo Banco Mundial – Escala de 1 a 5</w:t>
            </w:r>
            <w:r w:rsidRPr="00727E9D">
              <w:rPr>
                <w:rFonts w:cs="Arial"/>
                <w:sz w:val="18"/>
                <w:szCs w:val="18"/>
              </w:rPr>
              <w:t>. 100% dos procedimentos de auditorias e controles internos são realizados de forma manual e presencial. Em 2017, dos 46 órgãos existentes somente 16 foram auditados (71 auditores).</w:t>
            </w:r>
          </w:p>
          <w:p w:rsidR="00C32541" w:rsidRPr="00727E9D" w:rsidRDefault="00C32541" w:rsidP="00A249C9">
            <w:pPr>
              <w:pStyle w:val="PargrafodaLista"/>
              <w:numPr>
                <w:ilvl w:val="0"/>
                <w:numId w:val="144"/>
              </w:numPr>
              <w:spacing w:line="240" w:lineRule="auto"/>
              <w:ind w:left="421"/>
              <w:jc w:val="both"/>
              <w:rPr>
                <w:rFonts w:cs="Arial"/>
                <w:sz w:val="18"/>
                <w:szCs w:val="18"/>
              </w:rPr>
            </w:pPr>
            <w:r w:rsidRPr="00727E9D">
              <w:rPr>
                <w:rFonts w:cs="Arial"/>
                <w:sz w:val="18"/>
                <w:szCs w:val="18"/>
              </w:rPr>
              <w:t>Em 2017 a ouvidoria recebeu 9,375 com um tempo médio de resposta de 14 dias. Sendo que as denúncias podem levar até 60 dias, quando o tempo ideal seria de uma semana.</w:t>
            </w:r>
          </w:p>
        </w:tc>
        <w:tc>
          <w:tcPr>
            <w:tcW w:w="4590" w:type="dxa"/>
            <w:shd w:val="clear" w:color="auto" w:fill="D7D2D9" w:themeFill="accent6" w:themeFillTint="66"/>
          </w:tcPr>
          <w:p w:rsidR="00C32541" w:rsidRPr="00727E9D" w:rsidRDefault="00C32541" w:rsidP="00A249C9">
            <w:pPr>
              <w:pStyle w:val="PargrafodaLista"/>
              <w:numPr>
                <w:ilvl w:val="1"/>
                <w:numId w:val="164"/>
              </w:numPr>
              <w:spacing w:line="240" w:lineRule="auto"/>
              <w:jc w:val="both"/>
              <w:rPr>
                <w:rFonts w:cs="Arial"/>
                <w:b/>
                <w:sz w:val="18"/>
                <w:szCs w:val="18"/>
              </w:rPr>
            </w:pPr>
            <w:r w:rsidRPr="00727E9D">
              <w:rPr>
                <w:rFonts w:cs="Arial"/>
                <w:b/>
                <w:sz w:val="18"/>
                <w:szCs w:val="18"/>
              </w:rPr>
              <w:t xml:space="preserve">Novo modelo de controle interno do Estado implantado, </w:t>
            </w:r>
            <w:r w:rsidRPr="00727E9D">
              <w:rPr>
                <w:rFonts w:cs="Arial"/>
                <w:sz w:val="18"/>
                <w:szCs w:val="18"/>
              </w:rPr>
              <w:t>contemplando</w:t>
            </w:r>
            <w:r w:rsidRPr="00727E9D">
              <w:rPr>
                <w:rFonts w:cs="Arial"/>
                <w:b/>
                <w:sz w:val="18"/>
                <w:szCs w:val="18"/>
              </w:rPr>
              <w:t>:</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43"/>
              </w:numPr>
              <w:spacing w:line="240" w:lineRule="auto"/>
              <w:ind w:left="482"/>
              <w:jc w:val="both"/>
              <w:rPr>
                <w:rFonts w:cs="Arial"/>
                <w:sz w:val="18"/>
                <w:szCs w:val="18"/>
              </w:rPr>
            </w:pPr>
            <w:r w:rsidRPr="00727E9D">
              <w:rPr>
                <w:rFonts w:cs="Arial"/>
                <w:sz w:val="18"/>
                <w:szCs w:val="18"/>
              </w:rPr>
              <w:t>Revisão e implantação dos procedimentos de auditoria interna e controle interno, utilizando modelo de gerenciamento de riscos e integridade e sistemas informatizados de apoio a gestão.</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43"/>
              </w:numPr>
              <w:spacing w:line="240" w:lineRule="auto"/>
              <w:ind w:left="482"/>
              <w:jc w:val="both"/>
              <w:rPr>
                <w:rFonts w:cs="Arial"/>
                <w:sz w:val="18"/>
                <w:szCs w:val="18"/>
              </w:rPr>
            </w:pPr>
            <w:r w:rsidRPr="00727E9D">
              <w:rPr>
                <w:rFonts w:cs="Arial"/>
                <w:sz w:val="18"/>
                <w:szCs w:val="18"/>
              </w:rPr>
              <w:t xml:space="preserve">Revisão e implantação de novo modelo de Transparência das informações públicas e a revisão e implantação da sistemática de Ouvidoria Geral do Estado </w:t>
            </w:r>
          </w:p>
          <w:p w:rsidR="00C32541" w:rsidRPr="00727E9D" w:rsidRDefault="00C32541" w:rsidP="00FE560B">
            <w:pPr>
              <w:spacing w:line="240" w:lineRule="auto"/>
              <w:jc w:val="both"/>
              <w:rPr>
                <w:rFonts w:cs="Arial"/>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w:t>
            </w:r>
            <w:r w:rsidRPr="00727E9D">
              <w:rPr>
                <w:rFonts w:cs="Arial"/>
                <w:sz w:val="18"/>
                <w:szCs w:val="18"/>
                <w:lang w:val="es-ES"/>
              </w:rPr>
              <w:t>): 1</w:t>
            </w:r>
            <w:r w:rsidRPr="00727E9D">
              <w:rPr>
                <w:rFonts w:cs="Arial"/>
                <w:b/>
                <w:sz w:val="18"/>
                <w:szCs w:val="18"/>
                <w:lang w:val="es-ES"/>
              </w:rPr>
              <w:t>;</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Unidad de medida: </w:t>
            </w:r>
            <w:r w:rsidRPr="00727E9D">
              <w:rPr>
                <w:rFonts w:cs="Arial"/>
                <w:sz w:val="18"/>
                <w:szCs w:val="18"/>
                <w:lang w:val="es-ES"/>
              </w:rPr>
              <w:t>Modelo</w:t>
            </w:r>
            <w:r w:rsidRPr="00727E9D">
              <w:rPr>
                <w:rFonts w:cs="Arial"/>
                <w:b/>
                <w:sz w:val="18"/>
                <w:szCs w:val="18"/>
                <w:lang w:val="es-ES"/>
              </w:rPr>
              <w:t>.</w:t>
            </w:r>
          </w:p>
          <w:p w:rsidR="00C32541" w:rsidRPr="00727E9D" w:rsidRDefault="00C32541" w:rsidP="00FE560B">
            <w:pPr>
              <w:spacing w:line="240" w:lineRule="auto"/>
              <w:jc w:val="both"/>
              <w:rPr>
                <w:rFonts w:cs="Arial"/>
                <w:b/>
                <w:sz w:val="18"/>
                <w:szCs w:val="18"/>
              </w:rPr>
            </w:pPr>
            <w:r w:rsidRPr="00727E9D">
              <w:rPr>
                <w:rFonts w:cs="Arial"/>
                <w:b/>
                <w:sz w:val="18"/>
                <w:szCs w:val="18"/>
              </w:rPr>
              <w:t xml:space="preserve">Etapas/acciones </w:t>
            </w:r>
          </w:p>
          <w:p w:rsidR="00C32541" w:rsidRPr="00727E9D" w:rsidRDefault="00C32541" w:rsidP="00FE560B">
            <w:pPr>
              <w:spacing w:line="240" w:lineRule="auto"/>
              <w:ind w:left="390"/>
              <w:jc w:val="both"/>
              <w:rPr>
                <w:rFonts w:cs="Arial"/>
                <w:b/>
                <w:sz w:val="18"/>
                <w:szCs w:val="18"/>
              </w:rPr>
            </w:pPr>
          </w:p>
          <w:p w:rsidR="00C32541" w:rsidRPr="00727E9D" w:rsidRDefault="00C32541" w:rsidP="00A249C9">
            <w:pPr>
              <w:pStyle w:val="PargrafodaLista"/>
              <w:numPr>
                <w:ilvl w:val="0"/>
                <w:numId w:val="129"/>
              </w:numPr>
              <w:spacing w:line="240" w:lineRule="auto"/>
              <w:ind w:left="390"/>
              <w:jc w:val="both"/>
              <w:rPr>
                <w:rFonts w:cs="Arial"/>
                <w:b/>
                <w:sz w:val="18"/>
                <w:szCs w:val="18"/>
              </w:rPr>
            </w:pPr>
            <w:r w:rsidRPr="00727E9D">
              <w:rPr>
                <w:rFonts w:cs="Arial"/>
                <w:sz w:val="18"/>
                <w:szCs w:val="18"/>
              </w:rPr>
              <w:t>Modelo de Gestão de riscos e integridade</w:t>
            </w:r>
            <w:r w:rsidRPr="00727E9D">
              <w:rPr>
                <w:rFonts w:cs="Arial"/>
                <w:bCs/>
                <w:sz w:val="18"/>
                <w:szCs w:val="18"/>
              </w:rPr>
              <w:t xml:space="preserve"> </w:t>
            </w:r>
            <w:r w:rsidRPr="00727E9D">
              <w:rPr>
                <w:rFonts w:cs="Arial"/>
                <w:sz w:val="18"/>
                <w:szCs w:val="18"/>
              </w:rPr>
              <w:t>(2020)</w:t>
            </w:r>
          </w:p>
          <w:p w:rsidR="00C32541" w:rsidRPr="00727E9D" w:rsidRDefault="00C32541" w:rsidP="00A249C9">
            <w:pPr>
              <w:pStyle w:val="PargrafodaLista"/>
              <w:numPr>
                <w:ilvl w:val="0"/>
                <w:numId w:val="129"/>
              </w:numPr>
              <w:spacing w:line="240" w:lineRule="auto"/>
              <w:ind w:left="390"/>
              <w:jc w:val="both"/>
              <w:rPr>
                <w:rFonts w:cs="Arial"/>
                <w:b/>
                <w:sz w:val="18"/>
                <w:szCs w:val="18"/>
              </w:rPr>
            </w:pPr>
            <w:r w:rsidRPr="00727E9D">
              <w:rPr>
                <w:rFonts w:cs="Arial"/>
                <w:sz w:val="18"/>
                <w:szCs w:val="18"/>
              </w:rPr>
              <w:t>Procedimentos de auditoria interna aperfeiçoados (2021)</w:t>
            </w:r>
          </w:p>
          <w:p w:rsidR="00C32541" w:rsidRPr="00727E9D" w:rsidRDefault="00C32541" w:rsidP="00A249C9">
            <w:pPr>
              <w:pStyle w:val="PargrafodaLista"/>
              <w:numPr>
                <w:ilvl w:val="0"/>
                <w:numId w:val="129"/>
              </w:numPr>
              <w:spacing w:line="240" w:lineRule="auto"/>
              <w:ind w:left="390"/>
              <w:jc w:val="both"/>
              <w:rPr>
                <w:rFonts w:cs="Arial"/>
                <w:sz w:val="18"/>
                <w:szCs w:val="18"/>
              </w:rPr>
            </w:pPr>
            <w:r w:rsidRPr="00727E9D">
              <w:rPr>
                <w:rFonts w:cs="Arial"/>
                <w:sz w:val="18"/>
                <w:szCs w:val="18"/>
              </w:rPr>
              <w:t>Instrumentos da transparência ativa fortalecidos e aperfeiçoados (2022)</w:t>
            </w:r>
          </w:p>
          <w:p w:rsidR="00C32541" w:rsidRPr="00727E9D" w:rsidRDefault="00C32541" w:rsidP="00A249C9">
            <w:pPr>
              <w:pStyle w:val="PargrafodaLista"/>
              <w:numPr>
                <w:ilvl w:val="0"/>
                <w:numId w:val="129"/>
              </w:numPr>
              <w:spacing w:line="240" w:lineRule="auto"/>
              <w:ind w:left="390"/>
              <w:jc w:val="both"/>
              <w:rPr>
                <w:rFonts w:cs="Arial"/>
                <w:sz w:val="18"/>
                <w:szCs w:val="18"/>
              </w:rPr>
            </w:pPr>
            <w:r w:rsidRPr="00727E9D">
              <w:rPr>
                <w:rFonts w:cs="Arial"/>
                <w:sz w:val="18"/>
                <w:szCs w:val="18"/>
              </w:rPr>
              <w:t>Sistema de Ouvidoria Geral (2023)</w:t>
            </w:r>
          </w:p>
          <w:p w:rsidR="00C32541" w:rsidRPr="00727E9D" w:rsidRDefault="00C32541" w:rsidP="00FE560B">
            <w:pPr>
              <w:spacing w:line="240" w:lineRule="auto"/>
              <w:jc w:val="both"/>
              <w:rPr>
                <w:rFonts w:cs="Arial"/>
                <w:b/>
                <w:sz w:val="18"/>
                <w:szCs w:val="18"/>
              </w:rPr>
            </w:pP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b/>
                <w:sz w:val="18"/>
                <w:szCs w:val="18"/>
              </w:rPr>
            </w:pPr>
            <w:r w:rsidRPr="00727E9D">
              <w:rPr>
                <w:rFonts w:cs="Arial"/>
                <w:b/>
                <w:sz w:val="18"/>
                <w:szCs w:val="18"/>
              </w:rPr>
              <w:t>COMPONENTE 2. ADMINISTRAÇÃO TRIBUTÁRIA E CONTENCIOSO FISCAL</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lang w:val="es-ES"/>
              </w:rPr>
            </w:pPr>
            <w:r w:rsidRPr="00727E9D">
              <w:rPr>
                <w:rFonts w:cs="Arial"/>
                <w:b/>
                <w:sz w:val="18"/>
                <w:szCs w:val="18"/>
                <w:lang w:val="es-ES"/>
              </w:rPr>
              <w:t>Objetivo Específico 2:</w:t>
            </w:r>
            <w:r w:rsidRPr="00727E9D">
              <w:rPr>
                <w:rFonts w:cs="Arial"/>
                <w:sz w:val="18"/>
                <w:szCs w:val="18"/>
                <w:lang w:val="es-ES"/>
              </w:rPr>
              <w:t xml:space="preserve"> Está orientado a incrementar los ingresos tributarios y simplificar el cumplimiento de las obligaciones tributarias de los contribuyentes</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lang w:val="es-ES"/>
              </w:rPr>
            </w:pPr>
            <w:r w:rsidRPr="00727E9D">
              <w:rPr>
                <w:rFonts w:cs="Arial"/>
                <w:b/>
                <w:sz w:val="18"/>
                <w:szCs w:val="18"/>
                <w:lang w:val="es-ES"/>
              </w:rPr>
              <w:t>Resultado esperado 2:</w:t>
            </w:r>
            <w:r w:rsidRPr="00727E9D">
              <w:rPr>
                <w:rFonts w:cs="Arial"/>
                <w:sz w:val="18"/>
                <w:szCs w:val="18"/>
                <w:lang w:val="es-ES"/>
              </w:rPr>
              <w:t xml:space="preserve"> disminución de la relación entre el costo administrativo de la recaudación y la recaudación tributaria.</w:t>
            </w:r>
          </w:p>
        </w:tc>
      </w:tr>
      <w:tr w:rsidR="00C32541" w:rsidRPr="00727E9D" w:rsidTr="00555E76">
        <w:trPr>
          <w:trHeight w:val="421"/>
        </w:trPr>
        <w:tc>
          <w:tcPr>
            <w:tcW w:w="3900" w:type="dxa"/>
            <w:shd w:val="clear" w:color="auto" w:fill="D7D2D9" w:themeFill="accent6" w:themeFillTint="66"/>
          </w:tcPr>
          <w:p w:rsidR="00C32541" w:rsidRPr="00727E9D" w:rsidRDefault="00C32541" w:rsidP="00FE560B">
            <w:pPr>
              <w:spacing w:line="240" w:lineRule="auto"/>
              <w:jc w:val="both"/>
              <w:rPr>
                <w:rFonts w:cs="Arial"/>
                <w:b/>
                <w:sz w:val="18"/>
                <w:szCs w:val="18"/>
              </w:rPr>
            </w:pPr>
            <w:r w:rsidRPr="00727E9D">
              <w:rPr>
                <w:rFonts w:cs="Arial"/>
                <w:b/>
                <w:sz w:val="18"/>
                <w:szCs w:val="18"/>
              </w:rPr>
              <w:t>Síntese do Problema</w:t>
            </w:r>
          </w:p>
          <w:p w:rsidR="00C32541" w:rsidRPr="00727E9D" w:rsidRDefault="00C32541" w:rsidP="00FE560B">
            <w:pPr>
              <w:spacing w:line="240" w:lineRule="auto"/>
              <w:jc w:val="both"/>
              <w:rPr>
                <w:rFonts w:cs="Arial"/>
                <w:sz w:val="18"/>
                <w:szCs w:val="18"/>
              </w:rPr>
            </w:pPr>
            <w:r w:rsidRPr="00727E9D">
              <w:rPr>
                <w:rFonts w:cs="Arial"/>
                <w:sz w:val="18"/>
                <w:szCs w:val="18"/>
              </w:rPr>
              <w:t>Perda de arrecadação decorrente da ineficiência dos instrumentos de gestão do gasto tributário.</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12"/>
              </w:numPr>
              <w:spacing w:line="240" w:lineRule="auto"/>
              <w:jc w:val="both"/>
              <w:rPr>
                <w:rFonts w:cs="Arial"/>
                <w:sz w:val="18"/>
                <w:szCs w:val="18"/>
              </w:rPr>
            </w:pPr>
            <w:r w:rsidRPr="00727E9D">
              <w:rPr>
                <w:rFonts w:cs="Arial"/>
                <w:sz w:val="18"/>
                <w:szCs w:val="18"/>
              </w:rPr>
              <w:t>Insuficiente conhecimento dos benefícios e isenções fiscais já concedidos e dificuldade para estimar impactos para futuras concessões ou cancelamento.</w:t>
            </w:r>
          </w:p>
          <w:p w:rsidR="00C32541" w:rsidRPr="00727E9D" w:rsidRDefault="00C32541" w:rsidP="00A249C9">
            <w:pPr>
              <w:pStyle w:val="PargrafodaLista"/>
              <w:numPr>
                <w:ilvl w:val="0"/>
                <w:numId w:val="112"/>
              </w:numPr>
              <w:spacing w:line="240" w:lineRule="auto"/>
              <w:jc w:val="both"/>
              <w:rPr>
                <w:rFonts w:cs="Arial"/>
                <w:sz w:val="18"/>
                <w:szCs w:val="18"/>
              </w:rPr>
            </w:pPr>
            <w:r w:rsidRPr="00727E9D">
              <w:rPr>
                <w:rFonts w:cs="Arial"/>
                <w:sz w:val="18"/>
                <w:szCs w:val="18"/>
              </w:rPr>
              <w:t>A gestão dos benefícios fiscais é em grande parte realizada de forma manual, sem apoio de metodologias de prospecção e geração de senários.</w:t>
            </w:r>
          </w:p>
          <w:p w:rsidR="00C32541" w:rsidRPr="00727E9D" w:rsidRDefault="00C32541" w:rsidP="00A249C9">
            <w:pPr>
              <w:pStyle w:val="PargrafodaLista"/>
              <w:numPr>
                <w:ilvl w:val="0"/>
                <w:numId w:val="112"/>
              </w:numPr>
              <w:spacing w:line="240" w:lineRule="auto"/>
              <w:jc w:val="both"/>
              <w:rPr>
                <w:rFonts w:cs="Arial"/>
                <w:sz w:val="18"/>
                <w:szCs w:val="18"/>
              </w:rPr>
            </w:pPr>
            <w:r w:rsidRPr="00727E9D">
              <w:rPr>
                <w:rFonts w:cs="Arial"/>
                <w:sz w:val="18"/>
                <w:szCs w:val="18"/>
              </w:rPr>
              <w:t>Dificuldade para estimar de forma precisa o GAP fiscal e os benefícios oriundos das renuncias fiscais. (Baixo controle e apuração do gasto tributário.</w:t>
            </w:r>
          </w:p>
          <w:p w:rsidR="00C32541" w:rsidRPr="00727E9D" w:rsidRDefault="00C32541" w:rsidP="00FE560B">
            <w:pPr>
              <w:spacing w:line="240" w:lineRule="auto"/>
              <w:jc w:val="both"/>
              <w:rPr>
                <w:rFonts w:cs="Arial"/>
                <w:sz w:val="18"/>
                <w:szCs w:val="18"/>
                <w:highlight w:val="yellow"/>
              </w:rPr>
            </w:pP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AT1 – Renúncia Fiscal.</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45"/>
              </w:numPr>
              <w:spacing w:line="240" w:lineRule="auto"/>
              <w:ind w:left="420"/>
              <w:jc w:val="both"/>
              <w:rPr>
                <w:rFonts w:cs="Arial"/>
                <w:sz w:val="18"/>
                <w:szCs w:val="18"/>
              </w:rPr>
            </w:pPr>
            <w:r w:rsidRPr="00727E9D">
              <w:rPr>
                <w:rFonts w:cs="Arial"/>
                <w:sz w:val="18"/>
                <w:szCs w:val="18"/>
              </w:rPr>
              <w:t xml:space="preserve">Em 2017 a renúncia fiscal do estado foi de R$ 1.200.000.000,00 (cálculo apenas para as empresas do COMPETE), que representa 13% da arrecadação tributária e corresponde a 1,172 empresas beneficiadas. </w:t>
            </w:r>
          </w:p>
          <w:p w:rsidR="00C32541" w:rsidRPr="00727E9D" w:rsidRDefault="00C32541" w:rsidP="00A249C9">
            <w:pPr>
              <w:pStyle w:val="PargrafodaLista"/>
              <w:numPr>
                <w:ilvl w:val="0"/>
                <w:numId w:val="145"/>
              </w:numPr>
              <w:spacing w:line="240" w:lineRule="auto"/>
              <w:ind w:left="420"/>
              <w:jc w:val="both"/>
              <w:rPr>
                <w:rFonts w:cs="Arial"/>
                <w:sz w:val="18"/>
                <w:szCs w:val="18"/>
              </w:rPr>
            </w:pPr>
            <w:r w:rsidRPr="00727E9D">
              <w:rPr>
                <w:rFonts w:cs="Arial"/>
                <w:sz w:val="18"/>
                <w:szCs w:val="18"/>
              </w:rPr>
              <w:t>Dos aproximadamente 132 tipos de convênios de renúncias fiscais vigentes somente um tipo é calculado seu impacto para renúncia.</w:t>
            </w:r>
          </w:p>
          <w:p w:rsidR="00C32541" w:rsidRPr="00727E9D" w:rsidRDefault="00C32541" w:rsidP="00A249C9">
            <w:pPr>
              <w:pStyle w:val="PargrafodaLista"/>
              <w:numPr>
                <w:ilvl w:val="0"/>
                <w:numId w:val="145"/>
              </w:numPr>
              <w:spacing w:line="240" w:lineRule="auto"/>
              <w:ind w:left="420"/>
              <w:jc w:val="both"/>
              <w:rPr>
                <w:rFonts w:cs="Arial"/>
                <w:sz w:val="18"/>
                <w:szCs w:val="18"/>
              </w:rPr>
            </w:pPr>
            <w:r w:rsidRPr="00727E9D">
              <w:rPr>
                <w:rFonts w:cs="Arial"/>
                <w:sz w:val="18"/>
                <w:szCs w:val="18"/>
              </w:rPr>
              <w:t>Uma estimação realizada pelo sindicato fiscal (SINDFISCAL) estimou uma sonegação de aproximadamente BR$ 1.0 bilhão anual, representando 10% da arrecadação do ICMS. (GAP de 2.2 bilhões)</w:t>
            </w:r>
          </w:p>
        </w:tc>
        <w:tc>
          <w:tcPr>
            <w:tcW w:w="4590" w:type="dxa"/>
            <w:shd w:val="clear" w:color="auto" w:fill="D7D2D9" w:themeFill="accent6" w:themeFillTint="66"/>
          </w:tcPr>
          <w:p w:rsidR="00C32541" w:rsidRPr="00727E9D" w:rsidRDefault="00C32541" w:rsidP="00A249C9">
            <w:pPr>
              <w:pStyle w:val="PargrafodaLista"/>
              <w:numPr>
                <w:ilvl w:val="1"/>
                <w:numId w:val="131"/>
              </w:numPr>
              <w:spacing w:line="240" w:lineRule="auto"/>
              <w:jc w:val="both"/>
              <w:rPr>
                <w:rFonts w:cs="Arial"/>
                <w:sz w:val="18"/>
                <w:szCs w:val="18"/>
              </w:rPr>
            </w:pPr>
            <w:bookmarkStart w:id="169" w:name="_Hlk484175421"/>
            <w:r w:rsidRPr="00727E9D">
              <w:rPr>
                <w:rFonts w:cs="Arial"/>
                <w:b/>
                <w:sz w:val="18"/>
                <w:szCs w:val="18"/>
              </w:rPr>
              <w:t xml:space="preserve">Sistema de Gestão do Gasto Tributárias </w:t>
            </w:r>
            <w:bookmarkEnd w:id="169"/>
            <w:r w:rsidRPr="00727E9D">
              <w:rPr>
                <w:rFonts w:cs="Arial"/>
                <w:b/>
                <w:sz w:val="18"/>
                <w:szCs w:val="18"/>
              </w:rPr>
              <w:t>implantado, incluindo</w:t>
            </w:r>
            <w:r w:rsidRPr="00727E9D">
              <w:rPr>
                <w:rFonts w:cs="Arial"/>
                <w:sz w:val="18"/>
                <w:szCs w:val="18"/>
              </w:rPr>
              <w:t>.</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17"/>
              </w:numPr>
              <w:spacing w:line="240" w:lineRule="auto"/>
              <w:ind w:left="480"/>
              <w:jc w:val="both"/>
              <w:rPr>
                <w:rFonts w:cs="Arial"/>
                <w:sz w:val="18"/>
                <w:szCs w:val="18"/>
              </w:rPr>
            </w:pPr>
            <w:r w:rsidRPr="00727E9D">
              <w:rPr>
                <w:rFonts w:cs="Arial"/>
                <w:sz w:val="18"/>
                <w:szCs w:val="18"/>
              </w:rPr>
              <w:t xml:space="preserve">Mapeamento do processo de concessão e controle do gasto tributário na sua totalidade (incluindo a SEDES e outros órgãos) e revisão e ajuste da legislação respectiva. </w:t>
            </w:r>
          </w:p>
          <w:p w:rsidR="00C32541" w:rsidRPr="00727E9D" w:rsidRDefault="00C32541" w:rsidP="00A249C9">
            <w:pPr>
              <w:pStyle w:val="PargrafodaLista"/>
              <w:numPr>
                <w:ilvl w:val="0"/>
                <w:numId w:val="117"/>
              </w:numPr>
              <w:spacing w:line="240" w:lineRule="auto"/>
              <w:ind w:left="480"/>
              <w:jc w:val="both"/>
              <w:rPr>
                <w:rFonts w:cs="Arial"/>
                <w:sz w:val="18"/>
                <w:szCs w:val="18"/>
              </w:rPr>
            </w:pPr>
            <w:r w:rsidRPr="00727E9D">
              <w:rPr>
                <w:rFonts w:cs="Arial"/>
                <w:sz w:val="18"/>
                <w:szCs w:val="18"/>
              </w:rPr>
              <w:t>Sistema informatizado de Gestão de benefícios e incentivos fiscais, com apuração de impactos dos benefícios do ICMS, IPVA e ITCMD.</w:t>
            </w:r>
          </w:p>
          <w:p w:rsidR="00C32541" w:rsidRPr="00727E9D" w:rsidRDefault="00C32541" w:rsidP="00A249C9">
            <w:pPr>
              <w:pStyle w:val="PargrafodaLista"/>
              <w:numPr>
                <w:ilvl w:val="0"/>
                <w:numId w:val="117"/>
              </w:numPr>
              <w:spacing w:line="240" w:lineRule="auto"/>
              <w:ind w:left="480"/>
              <w:jc w:val="both"/>
              <w:rPr>
                <w:rFonts w:cs="Arial"/>
                <w:sz w:val="18"/>
                <w:szCs w:val="18"/>
              </w:rPr>
            </w:pPr>
            <w:r w:rsidRPr="00727E9D">
              <w:rPr>
                <w:rFonts w:cs="Arial"/>
                <w:sz w:val="18"/>
                <w:szCs w:val="18"/>
              </w:rPr>
              <w:t>Definição de metodologia de estimativa do GAP fiscal; a concessão vinculada a uma estratégia governamental; a identificação dos benefícios fiscais já previstos na legislação estadual; definição de sistemática de monitoramento e avaliação;</w:t>
            </w:r>
          </w:p>
          <w:p w:rsidR="00C32541" w:rsidRPr="00727E9D" w:rsidRDefault="00C32541" w:rsidP="00FE560B">
            <w:pPr>
              <w:spacing w:line="240" w:lineRule="auto"/>
              <w:ind w:left="120"/>
              <w:jc w:val="both"/>
              <w:rPr>
                <w:rFonts w:cs="Arial"/>
                <w:sz w:val="18"/>
                <w:szCs w:val="18"/>
              </w:rPr>
            </w:pPr>
          </w:p>
          <w:p w:rsidR="00C32541" w:rsidRPr="00727E9D" w:rsidRDefault="00C32541" w:rsidP="00FE560B">
            <w:pPr>
              <w:spacing w:line="240" w:lineRule="auto"/>
              <w:jc w:val="both"/>
              <w:rPr>
                <w:rFonts w:cs="Arial"/>
                <w:sz w:val="18"/>
                <w:szCs w:val="18"/>
              </w:rPr>
            </w:pPr>
          </w:p>
          <w:p w:rsidR="00C32541" w:rsidRPr="00727E9D" w:rsidRDefault="00C32541" w:rsidP="00FE560B">
            <w:pPr>
              <w:spacing w:line="240" w:lineRule="auto"/>
              <w:jc w:val="both"/>
              <w:rPr>
                <w:rFonts w:cs="Arial"/>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Unidad de medida: Sistemática.</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Etapas/acciones</w:t>
            </w:r>
          </w:p>
          <w:p w:rsidR="00C32541" w:rsidRPr="00727E9D" w:rsidRDefault="00C32541" w:rsidP="00A249C9">
            <w:pPr>
              <w:pStyle w:val="PargrafodaLista"/>
              <w:numPr>
                <w:ilvl w:val="0"/>
                <w:numId w:val="118"/>
              </w:numPr>
              <w:spacing w:line="240" w:lineRule="auto"/>
              <w:jc w:val="both"/>
              <w:rPr>
                <w:rFonts w:cs="Arial"/>
                <w:sz w:val="18"/>
                <w:szCs w:val="18"/>
              </w:rPr>
            </w:pPr>
            <w:r w:rsidRPr="00727E9D">
              <w:rPr>
                <w:rFonts w:cs="Arial"/>
                <w:sz w:val="18"/>
                <w:szCs w:val="18"/>
              </w:rPr>
              <w:t>Processos mapeados (2020)</w:t>
            </w:r>
          </w:p>
          <w:p w:rsidR="00C32541" w:rsidRPr="00727E9D" w:rsidRDefault="00C32541" w:rsidP="00A249C9">
            <w:pPr>
              <w:pStyle w:val="PargrafodaLista"/>
              <w:numPr>
                <w:ilvl w:val="0"/>
                <w:numId w:val="118"/>
              </w:numPr>
              <w:spacing w:line="240" w:lineRule="auto"/>
              <w:jc w:val="both"/>
              <w:rPr>
                <w:rFonts w:cs="Arial"/>
                <w:sz w:val="18"/>
                <w:szCs w:val="18"/>
              </w:rPr>
            </w:pPr>
            <w:r w:rsidRPr="00727E9D">
              <w:rPr>
                <w:rFonts w:cs="Arial"/>
                <w:sz w:val="18"/>
                <w:szCs w:val="18"/>
              </w:rPr>
              <w:t>Metodologia de estimativa do GAP (2021)</w:t>
            </w:r>
          </w:p>
          <w:p w:rsidR="00C32541" w:rsidRPr="00727E9D" w:rsidRDefault="00C32541" w:rsidP="00A249C9">
            <w:pPr>
              <w:pStyle w:val="PargrafodaLista"/>
              <w:numPr>
                <w:ilvl w:val="0"/>
                <w:numId w:val="118"/>
              </w:numPr>
              <w:spacing w:line="240" w:lineRule="auto"/>
              <w:jc w:val="both"/>
              <w:rPr>
                <w:rFonts w:cs="Arial"/>
                <w:sz w:val="18"/>
                <w:szCs w:val="18"/>
              </w:rPr>
            </w:pPr>
            <w:r w:rsidRPr="00727E9D">
              <w:rPr>
                <w:rFonts w:cs="Arial"/>
                <w:sz w:val="18"/>
                <w:szCs w:val="18"/>
              </w:rPr>
              <w:t>Sistema de Gestão de benefícios e incentivos fiscais implantado (2023)</w:t>
            </w:r>
          </w:p>
          <w:p w:rsidR="00C32541" w:rsidRPr="00727E9D" w:rsidRDefault="00C32541" w:rsidP="00FE560B">
            <w:pPr>
              <w:pStyle w:val="PargrafodaLista"/>
              <w:spacing w:line="240" w:lineRule="auto"/>
              <w:ind w:left="1080"/>
              <w:jc w:val="both"/>
              <w:rPr>
                <w:rFonts w:cs="Arial"/>
                <w:sz w:val="18"/>
                <w:szCs w:val="18"/>
              </w:rPr>
            </w:pPr>
          </w:p>
        </w:tc>
      </w:tr>
      <w:tr w:rsidR="00C32541" w:rsidRPr="00727E9D" w:rsidTr="00555E76">
        <w:trPr>
          <w:trHeight w:val="715"/>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bookmarkStart w:id="170" w:name="_Hlk484133711"/>
            <w:r w:rsidRPr="00727E9D">
              <w:rPr>
                <w:rFonts w:cs="Arial"/>
                <w:sz w:val="18"/>
                <w:szCs w:val="18"/>
              </w:rPr>
              <w:t xml:space="preserve">Perda de arrecadação devido a ineficiência em identificar de forma efetiva e oportuna fraudes comuns e estruturadas na sonegação de impostos. </w:t>
            </w:r>
          </w:p>
          <w:bookmarkEnd w:id="170"/>
          <w:p w:rsidR="00C32541" w:rsidRPr="00727E9D" w:rsidRDefault="00C32541" w:rsidP="00A249C9">
            <w:pPr>
              <w:pStyle w:val="PargrafodaLista"/>
              <w:numPr>
                <w:ilvl w:val="0"/>
                <w:numId w:val="119"/>
              </w:numPr>
              <w:spacing w:line="240" w:lineRule="auto"/>
              <w:jc w:val="both"/>
              <w:rPr>
                <w:rFonts w:cs="Arial"/>
                <w:sz w:val="18"/>
                <w:szCs w:val="18"/>
              </w:rPr>
            </w:pPr>
            <w:r w:rsidRPr="00727E9D">
              <w:rPr>
                <w:rFonts w:cs="Arial"/>
                <w:sz w:val="18"/>
                <w:szCs w:val="18"/>
              </w:rPr>
              <w:t xml:space="preserve">Deficiências no planejamento da ação de fiscalização e nos critérios de alocação dos auditores para as investigações. </w:t>
            </w:r>
          </w:p>
          <w:p w:rsidR="00C32541" w:rsidRPr="00727E9D" w:rsidRDefault="00C32541" w:rsidP="00A249C9">
            <w:pPr>
              <w:pStyle w:val="PargrafodaLista"/>
              <w:numPr>
                <w:ilvl w:val="0"/>
                <w:numId w:val="119"/>
              </w:numPr>
              <w:spacing w:line="240" w:lineRule="auto"/>
              <w:jc w:val="both"/>
              <w:rPr>
                <w:rFonts w:cs="Arial"/>
                <w:sz w:val="18"/>
                <w:szCs w:val="18"/>
              </w:rPr>
            </w:pPr>
            <w:r w:rsidRPr="00727E9D">
              <w:rPr>
                <w:rFonts w:cs="Arial"/>
                <w:sz w:val="18"/>
                <w:szCs w:val="18"/>
              </w:rPr>
              <w:t xml:space="preserve">Dificuldade para realizar fiscalizações massivas em um grande volume de informação utilizando critérios baseados em análise de riscos; </w:t>
            </w:r>
          </w:p>
          <w:p w:rsidR="00C32541" w:rsidRPr="00727E9D" w:rsidRDefault="00C32541" w:rsidP="00A249C9">
            <w:pPr>
              <w:pStyle w:val="PargrafodaLista"/>
              <w:numPr>
                <w:ilvl w:val="0"/>
                <w:numId w:val="119"/>
              </w:numPr>
              <w:spacing w:line="240" w:lineRule="auto"/>
              <w:jc w:val="both"/>
              <w:rPr>
                <w:rFonts w:cs="Arial"/>
                <w:sz w:val="18"/>
                <w:szCs w:val="18"/>
              </w:rPr>
            </w:pPr>
            <w:r w:rsidRPr="00727E9D">
              <w:rPr>
                <w:rFonts w:cs="Arial"/>
                <w:sz w:val="18"/>
                <w:szCs w:val="18"/>
              </w:rPr>
              <w:t>Dificuldade para desembaraçar mercadorias e efetuar pagamentos nas transações de comercio exterior.</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AT1 – Fiscalização.</w:t>
            </w:r>
          </w:p>
          <w:p w:rsidR="00C32541" w:rsidRPr="00727E9D" w:rsidRDefault="00C32541" w:rsidP="00A249C9">
            <w:pPr>
              <w:pStyle w:val="PargrafodaLista"/>
              <w:numPr>
                <w:ilvl w:val="0"/>
                <w:numId w:val="146"/>
              </w:numPr>
              <w:spacing w:line="240" w:lineRule="auto"/>
              <w:ind w:left="420"/>
              <w:jc w:val="both"/>
              <w:rPr>
                <w:rFonts w:cs="Arial"/>
                <w:sz w:val="18"/>
                <w:szCs w:val="18"/>
              </w:rPr>
            </w:pPr>
            <w:r w:rsidRPr="00727E9D">
              <w:rPr>
                <w:rFonts w:cs="Arial"/>
                <w:sz w:val="18"/>
                <w:szCs w:val="18"/>
              </w:rPr>
              <w:t xml:space="preserve">Em 2017 o % de arrecadação proveniente das fiscalizações (auto de infrações e notificação de débito – não considera a dívida ativa) foi de </w:t>
            </w:r>
            <w:r w:rsidRPr="00727E9D">
              <w:rPr>
                <w:noProof/>
                <w:sz w:val="18"/>
                <w:szCs w:val="18"/>
              </w:rPr>
              <w:t>0,39% da arrecadação.</w:t>
            </w:r>
          </w:p>
          <w:p w:rsidR="00C32541" w:rsidRPr="00727E9D" w:rsidRDefault="00C32541" w:rsidP="00A249C9">
            <w:pPr>
              <w:pStyle w:val="PargrafodaLista"/>
              <w:numPr>
                <w:ilvl w:val="0"/>
                <w:numId w:val="146"/>
              </w:numPr>
              <w:spacing w:line="240" w:lineRule="auto"/>
              <w:ind w:left="420"/>
              <w:jc w:val="both"/>
              <w:rPr>
                <w:rFonts w:cs="Arial"/>
                <w:sz w:val="18"/>
                <w:szCs w:val="18"/>
              </w:rPr>
            </w:pPr>
            <w:r w:rsidRPr="00727E9D">
              <w:rPr>
                <w:rFonts w:cs="Arial"/>
                <w:sz w:val="18"/>
                <w:szCs w:val="18"/>
              </w:rPr>
              <w:t>Dos 18.000 contribuintes do regime ordinário de apuração, somente 5.5% é fiscalizado.</w:t>
            </w:r>
          </w:p>
          <w:p w:rsidR="00C32541" w:rsidRPr="00727E9D" w:rsidRDefault="00C32541" w:rsidP="00A249C9">
            <w:pPr>
              <w:pStyle w:val="PargrafodaLista"/>
              <w:numPr>
                <w:ilvl w:val="0"/>
                <w:numId w:val="146"/>
              </w:numPr>
              <w:spacing w:line="240" w:lineRule="auto"/>
              <w:ind w:left="420"/>
              <w:jc w:val="both"/>
              <w:rPr>
                <w:rFonts w:cs="Arial"/>
                <w:sz w:val="18"/>
                <w:szCs w:val="18"/>
              </w:rPr>
            </w:pPr>
            <w:r w:rsidRPr="00727E9D">
              <w:rPr>
                <w:rFonts w:cs="Arial"/>
                <w:sz w:val="18"/>
                <w:szCs w:val="18"/>
              </w:rPr>
              <w:t xml:space="preserve">Em média, 1/3 das operações de importação aguardam o desembaraço estadual para o próximo dia útil.  </w:t>
            </w:r>
          </w:p>
        </w:tc>
        <w:tc>
          <w:tcPr>
            <w:tcW w:w="4590" w:type="dxa"/>
            <w:shd w:val="clear" w:color="auto" w:fill="D7D2D9" w:themeFill="accent6" w:themeFillTint="66"/>
          </w:tcPr>
          <w:p w:rsidR="00C32541" w:rsidRPr="00727E9D" w:rsidRDefault="00C32541" w:rsidP="00A249C9">
            <w:pPr>
              <w:pStyle w:val="PargrafodaLista"/>
              <w:numPr>
                <w:ilvl w:val="1"/>
                <w:numId w:val="131"/>
              </w:numPr>
              <w:spacing w:line="240" w:lineRule="auto"/>
              <w:jc w:val="both"/>
              <w:rPr>
                <w:rFonts w:cs="Arial"/>
                <w:sz w:val="18"/>
                <w:szCs w:val="18"/>
              </w:rPr>
            </w:pPr>
            <w:bookmarkStart w:id="171" w:name="_Hlk484175638"/>
            <w:r w:rsidRPr="00727E9D">
              <w:rPr>
                <w:rFonts w:cs="Arial"/>
                <w:b/>
                <w:sz w:val="18"/>
                <w:szCs w:val="18"/>
              </w:rPr>
              <w:t>Novo modelo de fiscalização implantado</w:t>
            </w:r>
            <w:r w:rsidRPr="00727E9D">
              <w:rPr>
                <w:rFonts w:cs="Arial"/>
                <w:sz w:val="18"/>
                <w:szCs w:val="18"/>
              </w:rPr>
              <w:t>, incluindo:</w:t>
            </w:r>
          </w:p>
          <w:bookmarkEnd w:id="171"/>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23"/>
              </w:numPr>
              <w:spacing w:line="240" w:lineRule="auto"/>
              <w:ind w:left="480"/>
              <w:jc w:val="both"/>
              <w:rPr>
                <w:rFonts w:cs="Arial"/>
                <w:sz w:val="18"/>
                <w:szCs w:val="18"/>
              </w:rPr>
            </w:pPr>
            <w:r w:rsidRPr="00727E9D">
              <w:rPr>
                <w:rFonts w:cs="Arial"/>
                <w:sz w:val="18"/>
                <w:szCs w:val="18"/>
              </w:rPr>
              <w:t>Sistema informatizado de Gestão do planejamento da ação fiscal, com definição de metas e indicadores</w:t>
            </w:r>
          </w:p>
          <w:p w:rsidR="00C32541" w:rsidRPr="00727E9D" w:rsidRDefault="00C32541" w:rsidP="00A249C9">
            <w:pPr>
              <w:pStyle w:val="PargrafodaLista"/>
              <w:numPr>
                <w:ilvl w:val="0"/>
                <w:numId w:val="123"/>
              </w:numPr>
              <w:spacing w:line="240" w:lineRule="auto"/>
              <w:ind w:left="480"/>
              <w:jc w:val="both"/>
              <w:rPr>
                <w:rFonts w:cs="Arial"/>
                <w:sz w:val="18"/>
                <w:szCs w:val="18"/>
              </w:rPr>
            </w:pPr>
            <w:bookmarkStart w:id="172" w:name="_Hlk484175660"/>
            <w:r w:rsidRPr="00727E9D">
              <w:rPr>
                <w:rFonts w:cs="Arial"/>
                <w:sz w:val="18"/>
                <w:szCs w:val="18"/>
              </w:rPr>
              <w:t xml:space="preserve">Sistema informatizado </w:t>
            </w:r>
            <w:bookmarkEnd w:id="172"/>
            <w:r w:rsidRPr="00727E9D">
              <w:rPr>
                <w:rFonts w:cs="Arial"/>
                <w:sz w:val="18"/>
                <w:szCs w:val="18"/>
              </w:rPr>
              <w:t>de Monitoramento de contribuintes.</w:t>
            </w:r>
          </w:p>
          <w:p w:rsidR="00C32541" w:rsidRPr="00727E9D" w:rsidRDefault="00C32541" w:rsidP="00A249C9">
            <w:pPr>
              <w:pStyle w:val="PargrafodaLista"/>
              <w:numPr>
                <w:ilvl w:val="0"/>
                <w:numId w:val="123"/>
              </w:numPr>
              <w:spacing w:line="240" w:lineRule="auto"/>
              <w:ind w:left="480"/>
              <w:jc w:val="both"/>
              <w:rPr>
                <w:rFonts w:cs="Arial"/>
                <w:sz w:val="18"/>
                <w:szCs w:val="18"/>
              </w:rPr>
            </w:pPr>
            <w:r w:rsidRPr="00727E9D">
              <w:rPr>
                <w:rFonts w:cs="Arial"/>
                <w:sz w:val="18"/>
                <w:szCs w:val="18"/>
              </w:rPr>
              <w:t xml:space="preserve">Aperfeiçoamento do Sistema de Comércio Exterior – SICEX e integração ao Portal Único de Comércio Exterior </w:t>
            </w:r>
          </w:p>
          <w:p w:rsidR="00C32541" w:rsidRPr="00727E9D" w:rsidRDefault="00C32541" w:rsidP="00A249C9">
            <w:pPr>
              <w:pStyle w:val="PargrafodaLista"/>
              <w:numPr>
                <w:ilvl w:val="0"/>
                <w:numId w:val="123"/>
              </w:numPr>
              <w:spacing w:line="240" w:lineRule="auto"/>
              <w:ind w:left="480"/>
              <w:jc w:val="both"/>
              <w:rPr>
                <w:rFonts w:cs="Arial"/>
                <w:sz w:val="18"/>
                <w:szCs w:val="18"/>
              </w:rPr>
            </w:pPr>
            <w:r w:rsidRPr="00727E9D">
              <w:rPr>
                <w:rFonts w:cs="Arial"/>
                <w:sz w:val="18"/>
                <w:szCs w:val="18"/>
              </w:rPr>
              <w:t>Tratamento de Dados e Armazenamento</w:t>
            </w: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 xml:space="preserve">Unidad de medida </w:t>
            </w:r>
            <w:r w:rsidRPr="00727E9D">
              <w:rPr>
                <w:rFonts w:cs="Arial"/>
                <w:sz w:val="18"/>
                <w:szCs w:val="18"/>
                <w:lang w:val="es-ES"/>
              </w:rPr>
              <w:t>Modelo</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Etapas/acciones</w:t>
            </w:r>
          </w:p>
          <w:p w:rsidR="00C32541" w:rsidRPr="00727E9D" w:rsidRDefault="00C32541" w:rsidP="00A249C9">
            <w:pPr>
              <w:pStyle w:val="PargrafodaLista"/>
              <w:numPr>
                <w:ilvl w:val="0"/>
                <w:numId w:val="124"/>
              </w:numPr>
              <w:spacing w:line="240" w:lineRule="auto"/>
              <w:jc w:val="both"/>
              <w:rPr>
                <w:rFonts w:cs="Arial"/>
                <w:sz w:val="18"/>
                <w:szCs w:val="18"/>
              </w:rPr>
            </w:pPr>
            <w:r w:rsidRPr="00727E9D">
              <w:rPr>
                <w:rFonts w:cs="Arial"/>
                <w:sz w:val="18"/>
                <w:szCs w:val="18"/>
              </w:rPr>
              <w:t>Plano da ação fiscal institucionalizado (2020)</w:t>
            </w:r>
          </w:p>
          <w:p w:rsidR="00C32541" w:rsidRPr="00727E9D" w:rsidRDefault="00C32541" w:rsidP="00A249C9">
            <w:pPr>
              <w:pStyle w:val="PargrafodaLista"/>
              <w:numPr>
                <w:ilvl w:val="0"/>
                <w:numId w:val="124"/>
              </w:numPr>
              <w:spacing w:line="240" w:lineRule="auto"/>
              <w:jc w:val="both"/>
              <w:rPr>
                <w:rFonts w:cs="Arial"/>
                <w:sz w:val="18"/>
                <w:szCs w:val="18"/>
              </w:rPr>
            </w:pPr>
            <w:r w:rsidRPr="00727E9D">
              <w:rPr>
                <w:rFonts w:cs="Arial"/>
                <w:sz w:val="18"/>
                <w:szCs w:val="18"/>
              </w:rPr>
              <w:t>Sistema monitoramento de contribuintes implantado. (2021)</w:t>
            </w:r>
          </w:p>
          <w:p w:rsidR="00C32541" w:rsidRPr="00727E9D" w:rsidRDefault="00C32541" w:rsidP="00A249C9">
            <w:pPr>
              <w:pStyle w:val="PargrafodaLista"/>
              <w:numPr>
                <w:ilvl w:val="0"/>
                <w:numId w:val="124"/>
              </w:numPr>
              <w:spacing w:line="240" w:lineRule="auto"/>
              <w:jc w:val="both"/>
              <w:rPr>
                <w:rFonts w:cs="Arial"/>
                <w:sz w:val="18"/>
                <w:szCs w:val="18"/>
              </w:rPr>
            </w:pPr>
            <w:r w:rsidRPr="00727E9D">
              <w:rPr>
                <w:rFonts w:cs="Arial"/>
                <w:sz w:val="18"/>
                <w:szCs w:val="18"/>
              </w:rPr>
              <w:t>Sistema de Comércio exterior aperfeiçoado (2023)</w:t>
            </w:r>
          </w:p>
          <w:p w:rsidR="00C32541" w:rsidRPr="00727E9D" w:rsidRDefault="00C32541" w:rsidP="00A249C9">
            <w:pPr>
              <w:pStyle w:val="PargrafodaLista"/>
              <w:numPr>
                <w:ilvl w:val="0"/>
                <w:numId w:val="124"/>
              </w:numPr>
              <w:spacing w:line="240" w:lineRule="auto"/>
              <w:jc w:val="both"/>
              <w:rPr>
                <w:rFonts w:cs="Arial"/>
                <w:sz w:val="18"/>
                <w:szCs w:val="18"/>
              </w:rPr>
            </w:pPr>
            <w:r w:rsidRPr="00727E9D">
              <w:rPr>
                <w:rFonts w:cs="Arial"/>
                <w:sz w:val="18"/>
                <w:szCs w:val="18"/>
              </w:rPr>
              <w:t>Solução de Big Data implantada (2022)</w:t>
            </w:r>
          </w:p>
        </w:tc>
      </w:tr>
      <w:tr w:rsidR="00C32541" w:rsidRPr="00727E9D" w:rsidTr="00555E76">
        <w:trPr>
          <w:trHeight w:val="20"/>
        </w:trPr>
        <w:tc>
          <w:tcPr>
            <w:tcW w:w="3900" w:type="dxa"/>
            <w:shd w:val="clear" w:color="auto" w:fill="D7D2D9" w:themeFill="accent6" w:themeFillTint="66"/>
          </w:tcPr>
          <w:p w:rsidR="00C32541" w:rsidRPr="00727E9D" w:rsidRDefault="00C32541" w:rsidP="00FE560B">
            <w:pPr>
              <w:spacing w:line="240" w:lineRule="auto"/>
              <w:jc w:val="both"/>
              <w:rPr>
                <w:rFonts w:cs="Arial"/>
                <w:b/>
                <w:sz w:val="18"/>
                <w:szCs w:val="18"/>
              </w:rPr>
            </w:pPr>
            <w:r w:rsidRPr="00727E9D">
              <w:rPr>
                <w:rFonts w:cs="Arial"/>
                <w:b/>
                <w:sz w:val="18"/>
                <w:szCs w:val="18"/>
              </w:rPr>
              <w:t xml:space="preserve">Síntese do Problema: </w:t>
            </w:r>
          </w:p>
          <w:p w:rsidR="00C32541" w:rsidRPr="00727E9D" w:rsidRDefault="00C32541" w:rsidP="00FE560B">
            <w:pPr>
              <w:spacing w:line="240" w:lineRule="auto"/>
              <w:jc w:val="both"/>
              <w:rPr>
                <w:rFonts w:cs="Arial"/>
                <w:sz w:val="18"/>
                <w:szCs w:val="18"/>
              </w:rPr>
            </w:pPr>
            <w:r w:rsidRPr="00727E9D">
              <w:rPr>
                <w:rFonts w:cs="Arial"/>
                <w:sz w:val="18"/>
                <w:szCs w:val="18"/>
              </w:rPr>
              <w:t>Perda de recursos para os contribuintes devido a dificuldade da SEFAZ em julgar de maneira eficiente e oportuna os créditos fiscais devidos.</w:t>
            </w:r>
          </w:p>
          <w:p w:rsidR="00C32541" w:rsidRPr="00727E9D" w:rsidRDefault="00C32541" w:rsidP="00A249C9">
            <w:pPr>
              <w:pStyle w:val="PargrafodaLista"/>
              <w:numPr>
                <w:ilvl w:val="0"/>
                <w:numId w:val="147"/>
              </w:numPr>
              <w:spacing w:line="240" w:lineRule="auto"/>
              <w:ind w:left="421"/>
              <w:jc w:val="both"/>
              <w:rPr>
                <w:rFonts w:cs="Arial"/>
                <w:sz w:val="18"/>
                <w:szCs w:val="18"/>
              </w:rPr>
            </w:pPr>
            <w:r w:rsidRPr="00727E9D">
              <w:rPr>
                <w:rFonts w:cs="Arial"/>
                <w:sz w:val="18"/>
                <w:szCs w:val="18"/>
              </w:rPr>
              <w:t>O processo de distribuição e revisão dos processos é substancialmente manual, gerando inconsistências e demora no processamento. O sistema atual de gestão está em uma plataforma obsoleta, não contempla a funcionalidade requerida e não se integra com os sistemas corporativos (SIGTRIB, SICERF (Sistema do Conselho Fiscal). SEP (Sistema Eletrônico de Protocolo), GED, DTe.</w:t>
            </w:r>
            <w:r w:rsidRPr="00727E9D">
              <w:rPr>
                <w:rFonts w:cs="Calibri"/>
                <w:sz w:val="18"/>
                <w:szCs w:val="18"/>
              </w:rPr>
              <w:t xml:space="preserve"> </w:t>
            </w:r>
            <w:r w:rsidRPr="00727E9D">
              <w:rPr>
                <w:rFonts w:cs="Arial"/>
                <w:sz w:val="18"/>
                <w:szCs w:val="18"/>
              </w:rPr>
              <w:t>Deficiência nos instrumentos de apoio a política fiscal.</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Processo Eletrônico do Contencioso administrativo fiscal.</w:t>
            </w:r>
          </w:p>
          <w:p w:rsidR="00C32541" w:rsidRPr="00727E9D" w:rsidRDefault="00C32541" w:rsidP="00A249C9">
            <w:pPr>
              <w:pStyle w:val="PargrafodaLista"/>
              <w:numPr>
                <w:ilvl w:val="0"/>
                <w:numId w:val="159"/>
              </w:numPr>
              <w:spacing w:line="240" w:lineRule="auto"/>
              <w:ind w:left="169" w:hanging="142"/>
              <w:jc w:val="both"/>
              <w:rPr>
                <w:rFonts w:cs="Arial"/>
                <w:color w:val="000000" w:themeColor="text1"/>
                <w:sz w:val="18"/>
                <w:szCs w:val="18"/>
              </w:rPr>
            </w:pPr>
            <w:r w:rsidRPr="00727E9D">
              <w:rPr>
                <w:rFonts w:cs="Arial"/>
                <w:color w:val="000000" w:themeColor="text1"/>
                <w:sz w:val="18"/>
                <w:szCs w:val="18"/>
              </w:rPr>
              <w:t>Tempo médio de solução de um processo administrativo (2017):</w:t>
            </w:r>
          </w:p>
          <w:p w:rsidR="00C32541" w:rsidRPr="00727E9D" w:rsidRDefault="00C32541" w:rsidP="00A249C9">
            <w:pPr>
              <w:pStyle w:val="PargrafodaLista"/>
              <w:numPr>
                <w:ilvl w:val="0"/>
                <w:numId w:val="160"/>
              </w:numPr>
              <w:spacing w:line="240" w:lineRule="auto"/>
              <w:jc w:val="both"/>
              <w:rPr>
                <w:rFonts w:cs="Arial"/>
                <w:color w:val="000000" w:themeColor="text1"/>
                <w:sz w:val="18"/>
                <w:szCs w:val="18"/>
              </w:rPr>
            </w:pPr>
            <w:r w:rsidRPr="00727E9D">
              <w:rPr>
                <w:rFonts w:cs="Arial"/>
                <w:sz w:val="18"/>
                <w:szCs w:val="18"/>
              </w:rPr>
              <w:t>Primeira instância: 1358 dias.</w:t>
            </w:r>
          </w:p>
          <w:p w:rsidR="00C32541" w:rsidRPr="00727E9D" w:rsidRDefault="00C32541" w:rsidP="00A249C9">
            <w:pPr>
              <w:pStyle w:val="PargrafodaLista"/>
              <w:numPr>
                <w:ilvl w:val="0"/>
                <w:numId w:val="160"/>
              </w:numPr>
              <w:spacing w:line="240" w:lineRule="auto"/>
              <w:jc w:val="both"/>
              <w:rPr>
                <w:rFonts w:cs="Arial"/>
                <w:color w:val="000000" w:themeColor="text1"/>
                <w:sz w:val="18"/>
                <w:szCs w:val="18"/>
              </w:rPr>
            </w:pPr>
            <w:r w:rsidRPr="00727E9D">
              <w:rPr>
                <w:rFonts w:cs="Arial"/>
                <w:sz w:val="18"/>
                <w:szCs w:val="18"/>
              </w:rPr>
              <w:t>Segunda instância: 375 dias.</w:t>
            </w:r>
          </w:p>
          <w:p w:rsidR="00C32541" w:rsidRPr="00727E9D" w:rsidRDefault="00C32541" w:rsidP="00FE560B">
            <w:pPr>
              <w:pStyle w:val="PargrafodaLista"/>
              <w:spacing w:line="240" w:lineRule="auto"/>
              <w:jc w:val="both"/>
              <w:rPr>
                <w:rFonts w:cs="Arial"/>
                <w:sz w:val="18"/>
                <w:szCs w:val="18"/>
              </w:rPr>
            </w:pPr>
          </w:p>
          <w:p w:rsidR="00C32541" w:rsidRPr="00727E9D" w:rsidRDefault="00C32541" w:rsidP="00A249C9">
            <w:pPr>
              <w:pStyle w:val="PargrafodaLista"/>
              <w:numPr>
                <w:ilvl w:val="0"/>
                <w:numId w:val="159"/>
              </w:numPr>
              <w:spacing w:line="240" w:lineRule="auto"/>
              <w:ind w:left="169" w:hanging="142"/>
              <w:jc w:val="both"/>
              <w:rPr>
                <w:rFonts w:cs="Arial"/>
                <w:color w:val="000000" w:themeColor="text1"/>
                <w:sz w:val="18"/>
                <w:szCs w:val="18"/>
              </w:rPr>
            </w:pPr>
            <w:r w:rsidRPr="00727E9D">
              <w:rPr>
                <w:rFonts w:cs="Arial"/>
                <w:color w:val="000000" w:themeColor="text1"/>
                <w:sz w:val="18"/>
                <w:szCs w:val="18"/>
              </w:rPr>
              <w:t>Demora em encontrar respostas nas buscas utilizando a atual ferramenta de legislação tributária.</w:t>
            </w:r>
          </w:p>
        </w:tc>
        <w:tc>
          <w:tcPr>
            <w:tcW w:w="4590" w:type="dxa"/>
            <w:shd w:val="clear" w:color="auto" w:fill="D7D2D9" w:themeFill="accent6" w:themeFillTint="66"/>
          </w:tcPr>
          <w:p w:rsidR="00C32541" w:rsidRPr="00727E9D" w:rsidRDefault="00C32541" w:rsidP="00A249C9">
            <w:pPr>
              <w:pStyle w:val="PargrafodaLista"/>
              <w:numPr>
                <w:ilvl w:val="1"/>
                <w:numId w:val="131"/>
              </w:numPr>
              <w:spacing w:line="240" w:lineRule="auto"/>
              <w:jc w:val="both"/>
              <w:rPr>
                <w:rFonts w:cs="Arial"/>
                <w:sz w:val="18"/>
                <w:szCs w:val="18"/>
              </w:rPr>
            </w:pPr>
            <w:bookmarkStart w:id="173" w:name="_Hlk484176392"/>
            <w:r w:rsidRPr="00727E9D">
              <w:rPr>
                <w:rFonts w:cs="Arial"/>
                <w:b/>
                <w:sz w:val="18"/>
                <w:szCs w:val="18"/>
              </w:rPr>
              <w:t>Processo Eletrônico do Contencioso implantado</w:t>
            </w:r>
            <w:bookmarkEnd w:id="173"/>
            <w:r w:rsidRPr="00727E9D">
              <w:rPr>
                <w:rFonts w:cs="Arial"/>
                <w:sz w:val="18"/>
                <w:szCs w:val="18"/>
              </w:rPr>
              <w:t>, contemplando:</w:t>
            </w:r>
          </w:p>
          <w:p w:rsidR="00C32541" w:rsidRPr="00727E9D" w:rsidRDefault="00C32541" w:rsidP="00FE560B">
            <w:pPr>
              <w:pStyle w:val="PargrafodaLista"/>
              <w:spacing w:line="240" w:lineRule="auto"/>
              <w:ind w:left="360"/>
              <w:jc w:val="both"/>
              <w:rPr>
                <w:rFonts w:cs="Arial"/>
                <w:sz w:val="18"/>
                <w:szCs w:val="18"/>
              </w:rPr>
            </w:pPr>
          </w:p>
          <w:p w:rsidR="00C32541" w:rsidRPr="00727E9D" w:rsidRDefault="00C32541" w:rsidP="00A249C9">
            <w:pPr>
              <w:pStyle w:val="PargrafodaLista"/>
              <w:numPr>
                <w:ilvl w:val="2"/>
                <w:numId w:val="115"/>
              </w:numPr>
              <w:spacing w:line="240" w:lineRule="auto"/>
              <w:ind w:left="390"/>
              <w:jc w:val="both"/>
              <w:rPr>
                <w:rFonts w:cs="Arial"/>
                <w:sz w:val="18"/>
                <w:szCs w:val="18"/>
              </w:rPr>
            </w:pPr>
            <w:r w:rsidRPr="00727E9D">
              <w:rPr>
                <w:rFonts w:cs="Arial"/>
                <w:sz w:val="18"/>
                <w:szCs w:val="18"/>
              </w:rPr>
              <w:t>Automação do Processo Eletrônico (contemplando workflow), compreendendo todas as etapas; a integração dos demais sistemas da SEFAZ e da PGE; disponibilidade para consulta/vista dos autos pelos contribuintes; soluções para armazenagem eletrônica dos processos existentes; e que permita a participação remota de interessados nos julgamentos do Contencioso Administrativo. Disponibilização do Acesso à Legislação Tributária na WEB.</w:t>
            </w:r>
          </w:p>
          <w:p w:rsidR="00C32541" w:rsidRPr="00727E9D" w:rsidRDefault="00C32541" w:rsidP="00FE560B">
            <w:pPr>
              <w:spacing w:line="240" w:lineRule="auto"/>
              <w:jc w:val="both"/>
              <w:rPr>
                <w:rFonts w:cs="Arial"/>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Unidad de medida: Software; </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Etapas/acciones: </w:t>
            </w:r>
          </w:p>
          <w:p w:rsidR="00C32541" w:rsidRPr="00727E9D" w:rsidRDefault="00C32541" w:rsidP="00A249C9">
            <w:pPr>
              <w:pStyle w:val="PargrafodaLista"/>
              <w:numPr>
                <w:ilvl w:val="0"/>
                <w:numId w:val="116"/>
              </w:numPr>
              <w:spacing w:line="240" w:lineRule="auto"/>
              <w:ind w:left="395"/>
              <w:jc w:val="both"/>
              <w:rPr>
                <w:rFonts w:cs="Arial"/>
                <w:sz w:val="18"/>
                <w:szCs w:val="18"/>
              </w:rPr>
            </w:pPr>
            <w:r w:rsidRPr="00727E9D">
              <w:rPr>
                <w:rFonts w:cs="Arial"/>
                <w:sz w:val="18"/>
                <w:szCs w:val="18"/>
              </w:rPr>
              <w:t>Processos redesenhados no workflow (2021);</w:t>
            </w:r>
          </w:p>
          <w:p w:rsidR="00C32541" w:rsidRPr="00727E9D" w:rsidRDefault="00C32541" w:rsidP="00A249C9">
            <w:pPr>
              <w:pStyle w:val="PargrafodaLista"/>
              <w:numPr>
                <w:ilvl w:val="0"/>
                <w:numId w:val="116"/>
              </w:numPr>
              <w:spacing w:line="240" w:lineRule="auto"/>
              <w:ind w:left="395"/>
              <w:jc w:val="both"/>
              <w:rPr>
                <w:rFonts w:cs="Arial"/>
                <w:b/>
                <w:sz w:val="18"/>
                <w:szCs w:val="18"/>
              </w:rPr>
            </w:pPr>
            <w:r w:rsidRPr="00727E9D">
              <w:rPr>
                <w:rFonts w:cs="Arial"/>
                <w:sz w:val="18"/>
                <w:szCs w:val="18"/>
              </w:rPr>
              <w:t>Contencioso fiscal automatizado (2022).</w:t>
            </w:r>
          </w:p>
        </w:tc>
      </w:tr>
      <w:tr w:rsidR="00C32541" w:rsidRPr="00727E9D" w:rsidTr="00555E76">
        <w:trPr>
          <w:trHeight w:val="1231"/>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Deficiente nível de atendimento aos contribuintes.</w:t>
            </w:r>
          </w:p>
          <w:p w:rsidR="00C32541" w:rsidRPr="00727E9D" w:rsidRDefault="00C32541" w:rsidP="00A249C9">
            <w:pPr>
              <w:pStyle w:val="PargrafodaLista"/>
              <w:numPr>
                <w:ilvl w:val="0"/>
                <w:numId w:val="121"/>
              </w:numPr>
              <w:spacing w:line="240" w:lineRule="auto"/>
              <w:jc w:val="both"/>
              <w:rPr>
                <w:rFonts w:cs="Arial"/>
                <w:sz w:val="18"/>
                <w:szCs w:val="18"/>
              </w:rPr>
            </w:pPr>
            <w:r w:rsidRPr="00727E9D">
              <w:rPr>
                <w:rFonts w:cs="Arial"/>
                <w:sz w:val="18"/>
                <w:szCs w:val="18"/>
              </w:rPr>
              <w:t>Dificuldade para atender um elevado número de consultas de atendimento da gestão fazendária.</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bookmarkStart w:id="174" w:name="_Hlk484134466"/>
            <w:r w:rsidRPr="00727E9D">
              <w:rPr>
                <w:rFonts w:cs="Arial"/>
                <w:sz w:val="18"/>
                <w:szCs w:val="18"/>
              </w:rPr>
              <w:t>Nota Técnica Atendimento ao contribuinte.</w:t>
            </w:r>
          </w:p>
          <w:bookmarkEnd w:id="174"/>
          <w:p w:rsidR="00C32541" w:rsidRPr="00727E9D" w:rsidRDefault="00C32541" w:rsidP="00A249C9">
            <w:pPr>
              <w:pStyle w:val="PargrafodaLista"/>
              <w:numPr>
                <w:ilvl w:val="0"/>
                <w:numId w:val="149"/>
              </w:numPr>
              <w:spacing w:line="240" w:lineRule="auto"/>
              <w:ind w:left="420"/>
              <w:jc w:val="both"/>
              <w:rPr>
                <w:rFonts w:cs="Arial"/>
                <w:sz w:val="18"/>
                <w:szCs w:val="18"/>
              </w:rPr>
            </w:pPr>
            <w:r w:rsidRPr="00727E9D">
              <w:rPr>
                <w:rFonts w:cs="Arial"/>
                <w:sz w:val="18"/>
                <w:szCs w:val="18"/>
              </w:rPr>
              <w:t>Em 2017 se realizaram 24.307 chamados pelo sistema FALE CONOSCO, além de 9.400 e-mail respondidos pelos atendentes.  Somente de temas fiscais.</w:t>
            </w:r>
          </w:p>
        </w:tc>
        <w:tc>
          <w:tcPr>
            <w:tcW w:w="4590" w:type="dxa"/>
            <w:shd w:val="clear" w:color="auto" w:fill="D7D2D9" w:themeFill="accent6" w:themeFillTint="66"/>
          </w:tcPr>
          <w:p w:rsidR="00C32541" w:rsidRPr="00727E9D" w:rsidRDefault="00C32541" w:rsidP="00A249C9">
            <w:pPr>
              <w:pStyle w:val="PargrafodaLista"/>
              <w:numPr>
                <w:ilvl w:val="1"/>
                <w:numId w:val="131"/>
              </w:numPr>
              <w:spacing w:line="240" w:lineRule="auto"/>
              <w:jc w:val="both"/>
              <w:rPr>
                <w:rFonts w:cs="Arial"/>
                <w:b/>
                <w:sz w:val="18"/>
                <w:szCs w:val="18"/>
              </w:rPr>
            </w:pPr>
            <w:bookmarkStart w:id="175" w:name="_Hlk484176471"/>
            <w:r w:rsidRPr="00727E9D">
              <w:rPr>
                <w:rFonts w:cs="Arial"/>
                <w:b/>
                <w:sz w:val="18"/>
                <w:szCs w:val="18"/>
              </w:rPr>
              <w:t>Sistema de Atendimento Integral implantado</w:t>
            </w:r>
            <w:bookmarkEnd w:id="175"/>
            <w:r w:rsidRPr="00727E9D">
              <w:rPr>
                <w:rFonts w:cs="Arial"/>
                <w:b/>
                <w:sz w:val="18"/>
                <w:szCs w:val="18"/>
              </w:rPr>
              <w:t xml:space="preserve">, </w:t>
            </w:r>
            <w:r w:rsidRPr="00727E9D">
              <w:rPr>
                <w:rFonts w:cs="Arial"/>
                <w:sz w:val="18"/>
                <w:szCs w:val="18"/>
              </w:rPr>
              <w:t xml:space="preserve">contemplando </w:t>
            </w:r>
          </w:p>
          <w:p w:rsidR="00C32541" w:rsidRPr="00727E9D" w:rsidRDefault="00C32541" w:rsidP="00FE560B">
            <w:pPr>
              <w:tabs>
                <w:tab w:val="left" w:pos="957"/>
              </w:tabs>
              <w:spacing w:line="240" w:lineRule="auto"/>
              <w:jc w:val="both"/>
              <w:rPr>
                <w:rFonts w:cs="Arial"/>
                <w:b/>
                <w:sz w:val="18"/>
                <w:szCs w:val="18"/>
              </w:rPr>
            </w:pPr>
          </w:p>
          <w:p w:rsidR="00C32541" w:rsidRPr="00727E9D" w:rsidRDefault="00C32541" w:rsidP="00A249C9">
            <w:pPr>
              <w:pStyle w:val="PargrafodaLista"/>
              <w:numPr>
                <w:ilvl w:val="0"/>
                <w:numId w:val="148"/>
              </w:numPr>
              <w:tabs>
                <w:tab w:val="left" w:pos="957"/>
              </w:tabs>
              <w:spacing w:line="240" w:lineRule="auto"/>
              <w:ind w:left="390"/>
              <w:jc w:val="both"/>
              <w:rPr>
                <w:rFonts w:cs="Arial"/>
                <w:sz w:val="18"/>
                <w:szCs w:val="18"/>
              </w:rPr>
            </w:pPr>
            <w:r w:rsidRPr="00727E9D">
              <w:rPr>
                <w:rFonts w:cs="Arial"/>
                <w:sz w:val="18"/>
                <w:szCs w:val="18"/>
              </w:rPr>
              <w:t>Modelo de atendimento com base em inteligência artificial (acesso cognitivo), com acesso eletrônico e via telefone.</w:t>
            </w: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(2021):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Unidad de medida: Modelo; </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Etapas/acciones: </w:t>
            </w:r>
          </w:p>
          <w:p w:rsidR="00C32541" w:rsidRPr="00727E9D" w:rsidRDefault="00C32541" w:rsidP="00A249C9">
            <w:pPr>
              <w:pStyle w:val="PargrafodaLista"/>
              <w:numPr>
                <w:ilvl w:val="0"/>
                <w:numId w:val="166"/>
              </w:numPr>
              <w:spacing w:line="240" w:lineRule="auto"/>
              <w:jc w:val="both"/>
              <w:rPr>
                <w:rFonts w:cs="Arial"/>
                <w:sz w:val="18"/>
                <w:szCs w:val="18"/>
              </w:rPr>
            </w:pPr>
            <w:r w:rsidRPr="00727E9D">
              <w:rPr>
                <w:rFonts w:cs="Arial"/>
                <w:sz w:val="18"/>
                <w:szCs w:val="18"/>
              </w:rPr>
              <w:t>Sistema informatizado de atendimento (2021).</w:t>
            </w:r>
          </w:p>
          <w:p w:rsidR="00C32541" w:rsidRPr="00727E9D" w:rsidRDefault="00C32541" w:rsidP="00FE560B">
            <w:pPr>
              <w:spacing w:line="240" w:lineRule="auto"/>
              <w:jc w:val="both"/>
              <w:rPr>
                <w:rFonts w:cs="Arial"/>
                <w:sz w:val="18"/>
                <w:szCs w:val="18"/>
              </w:rPr>
            </w:pPr>
          </w:p>
        </w:tc>
      </w:tr>
      <w:tr w:rsidR="00C32541" w:rsidRPr="00727E9D" w:rsidTr="00555E76">
        <w:trPr>
          <w:trHeight w:val="2912"/>
        </w:trPr>
        <w:tc>
          <w:tcPr>
            <w:tcW w:w="390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Perda de arrecadação devido ao baixo desempenho da cobrança administrativa.</w:t>
            </w:r>
          </w:p>
          <w:p w:rsidR="00C32541" w:rsidRPr="00727E9D" w:rsidRDefault="00C32541" w:rsidP="00A249C9">
            <w:pPr>
              <w:pStyle w:val="PargrafodaLista"/>
              <w:numPr>
                <w:ilvl w:val="0"/>
                <w:numId w:val="109"/>
              </w:numPr>
              <w:spacing w:line="276" w:lineRule="auto"/>
              <w:ind w:left="357" w:hanging="357"/>
              <w:jc w:val="both"/>
              <w:rPr>
                <w:rFonts w:cs="Arial"/>
                <w:sz w:val="18"/>
                <w:szCs w:val="18"/>
              </w:rPr>
            </w:pPr>
            <w:r w:rsidRPr="00727E9D">
              <w:rPr>
                <w:rFonts w:cs="Arial"/>
                <w:sz w:val="18"/>
                <w:szCs w:val="18"/>
              </w:rPr>
              <w:t>Dificuldade para identificar os contribuintes inadimplentes do ICMS e IPVA, porque o processo de cobrança é feito totalmente de forma manual, sem critérios claramente definidos para parcelamento e classificação de risco. A cobrança do ICMS é feita majoritariamente nos parcelamentos rescindidos e avisos de cobranças registrados no sistema de tributação. Não existindo cobrança para o IPVA.</w:t>
            </w:r>
          </w:p>
        </w:tc>
        <w:tc>
          <w:tcPr>
            <w:tcW w:w="315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Modelo de Cobrança Administrativa</w:t>
            </w:r>
          </w:p>
          <w:p w:rsidR="00C32541" w:rsidRPr="00727E9D" w:rsidRDefault="00C32541" w:rsidP="00A249C9">
            <w:pPr>
              <w:pStyle w:val="PargrafodaLista"/>
              <w:numPr>
                <w:ilvl w:val="0"/>
                <w:numId w:val="150"/>
              </w:numPr>
              <w:spacing w:line="240" w:lineRule="auto"/>
              <w:ind w:left="430"/>
              <w:jc w:val="both"/>
              <w:rPr>
                <w:rFonts w:cs="Arial"/>
                <w:sz w:val="18"/>
                <w:szCs w:val="18"/>
              </w:rPr>
            </w:pPr>
            <w:r w:rsidRPr="00727E9D">
              <w:rPr>
                <w:rFonts w:cs="Arial"/>
                <w:sz w:val="18"/>
                <w:szCs w:val="18"/>
              </w:rPr>
              <w:t>Se estima que em 2018 existem 25 mil processos de cobranças potenciais de ICMS totalizando BR$3.3 bilhões. Por consequência, o estoque da dívida ativa do estado é de BR$ 24 bilhões. De 2013-2017 o montante de inadimplência do IPVA é de BR$115 milhões, 20% da arrecadação anual.</w:t>
            </w:r>
          </w:p>
        </w:tc>
        <w:tc>
          <w:tcPr>
            <w:tcW w:w="459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A249C9">
            <w:pPr>
              <w:pStyle w:val="PargrafodaLista"/>
              <w:numPr>
                <w:ilvl w:val="1"/>
                <w:numId w:val="131"/>
              </w:numPr>
              <w:spacing w:line="240" w:lineRule="auto"/>
              <w:jc w:val="both"/>
              <w:rPr>
                <w:rFonts w:cs="Arial"/>
                <w:b/>
                <w:sz w:val="18"/>
                <w:szCs w:val="18"/>
              </w:rPr>
            </w:pPr>
            <w:bookmarkStart w:id="176" w:name="_Hlk484176798"/>
            <w:r w:rsidRPr="00727E9D">
              <w:rPr>
                <w:rFonts w:cs="Arial"/>
                <w:b/>
                <w:sz w:val="18"/>
                <w:szCs w:val="18"/>
              </w:rPr>
              <w:t>Modelo de Cobrança Administrativa implantado, incluindo:</w:t>
            </w:r>
          </w:p>
          <w:bookmarkEnd w:id="176"/>
          <w:p w:rsidR="00C32541" w:rsidRPr="00727E9D" w:rsidRDefault="00C32541" w:rsidP="00FE560B">
            <w:pPr>
              <w:pStyle w:val="PargrafodaLista"/>
              <w:spacing w:line="240" w:lineRule="auto"/>
              <w:ind w:left="1080"/>
              <w:jc w:val="both"/>
              <w:rPr>
                <w:rFonts w:cs="Arial"/>
                <w:b/>
                <w:sz w:val="18"/>
                <w:szCs w:val="18"/>
              </w:rPr>
            </w:pPr>
          </w:p>
          <w:p w:rsidR="00C32541" w:rsidRPr="00727E9D" w:rsidRDefault="00C32541" w:rsidP="00A249C9">
            <w:pPr>
              <w:pStyle w:val="PargrafodaLista"/>
              <w:numPr>
                <w:ilvl w:val="0"/>
                <w:numId w:val="113"/>
              </w:numPr>
              <w:spacing w:line="240" w:lineRule="auto"/>
              <w:ind w:left="489"/>
              <w:jc w:val="both"/>
              <w:rPr>
                <w:rFonts w:cs="Arial"/>
                <w:sz w:val="18"/>
                <w:szCs w:val="18"/>
              </w:rPr>
            </w:pPr>
            <w:r w:rsidRPr="00727E9D">
              <w:rPr>
                <w:rFonts w:cs="Arial"/>
                <w:sz w:val="18"/>
                <w:szCs w:val="18"/>
              </w:rPr>
              <w:t>Implantação de um modelo de Cobrança com base no perfil de recuperação do contribuinte do ICMS e IPVA, apoiado por um sistema informatizado de gestão da Cobrança; incluindo interface com o sistema DETRANET para cobrança do IPVA</w:t>
            </w:r>
          </w:p>
        </w:tc>
        <w:tc>
          <w:tcPr>
            <w:tcW w:w="297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Unidad de medida: Modelo; </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Etapas/acciones: </w:t>
            </w:r>
          </w:p>
          <w:p w:rsidR="00C32541" w:rsidRPr="00727E9D" w:rsidRDefault="00C32541" w:rsidP="00A249C9">
            <w:pPr>
              <w:pStyle w:val="PargrafodaLista"/>
              <w:numPr>
                <w:ilvl w:val="0"/>
                <w:numId w:val="166"/>
              </w:numPr>
              <w:spacing w:line="240" w:lineRule="auto"/>
              <w:ind w:left="401"/>
              <w:jc w:val="both"/>
              <w:rPr>
                <w:rFonts w:cs="Arial"/>
                <w:sz w:val="18"/>
                <w:szCs w:val="18"/>
              </w:rPr>
            </w:pPr>
            <w:r w:rsidRPr="00727E9D">
              <w:rPr>
                <w:rFonts w:cs="Arial"/>
                <w:sz w:val="18"/>
                <w:szCs w:val="18"/>
              </w:rPr>
              <w:t>Sistema informatizado de cobrança (2021).</w:t>
            </w:r>
          </w:p>
          <w:p w:rsidR="00C32541" w:rsidRPr="00727E9D" w:rsidRDefault="00C32541" w:rsidP="00A249C9">
            <w:pPr>
              <w:pStyle w:val="PargrafodaLista"/>
              <w:numPr>
                <w:ilvl w:val="0"/>
                <w:numId w:val="166"/>
              </w:numPr>
              <w:spacing w:line="240" w:lineRule="auto"/>
              <w:ind w:left="401"/>
              <w:jc w:val="both"/>
              <w:rPr>
                <w:rFonts w:cs="Arial"/>
                <w:sz w:val="18"/>
                <w:szCs w:val="18"/>
              </w:rPr>
            </w:pPr>
            <w:r w:rsidRPr="00727E9D">
              <w:rPr>
                <w:rFonts w:cs="Arial"/>
                <w:sz w:val="18"/>
                <w:szCs w:val="18"/>
              </w:rPr>
              <w:t>Soluções tecnológicas para cobrança de IPVA (2021)</w:t>
            </w:r>
          </w:p>
        </w:tc>
      </w:tr>
      <w:tr w:rsidR="00C32541" w:rsidRPr="00727E9D" w:rsidTr="00555E76">
        <w:trPr>
          <w:trHeight w:val="19"/>
        </w:trPr>
        <w:tc>
          <w:tcPr>
            <w:tcW w:w="14610" w:type="dxa"/>
            <w:gridSpan w:val="4"/>
            <w:shd w:val="clear" w:color="auto" w:fill="C0D7EC" w:themeFill="accent2" w:themeFillTint="66"/>
          </w:tcPr>
          <w:p w:rsidR="00C32541" w:rsidRPr="00727E9D" w:rsidRDefault="00C32541" w:rsidP="00FE560B">
            <w:pPr>
              <w:spacing w:line="240" w:lineRule="auto"/>
              <w:rPr>
                <w:rFonts w:cs="Arial"/>
                <w:b/>
                <w:sz w:val="18"/>
                <w:szCs w:val="18"/>
              </w:rPr>
            </w:pPr>
            <w:r w:rsidRPr="00727E9D">
              <w:rPr>
                <w:rFonts w:cs="Arial"/>
                <w:b/>
                <w:sz w:val="18"/>
                <w:szCs w:val="18"/>
              </w:rPr>
              <w:t>COMPONENTE 3. ADMINISTRAÇÃO FINANCEIRA E GASTO PÚBLICO</w:t>
            </w:r>
          </w:p>
        </w:tc>
      </w:tr>
      <w:tr w:rsidR="00C32541" w:rsidRPr="00727E9D" w:rsidTr="00555E76">
        <w:trPr>
          <w:trHeight w:val="19"/>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rPr>
            </w:pPr>
            <w:r w:rsidRPr="00727E9D">
              <w:rPr>
                <w:rFonts w:cs="Arial"/>
                <w:b/>
                <w:sz w:val="18"/>
                <w:szCs w:val="18"/>
              </w:rPr>
              <w:t>Objetivo Específico 3:</w:t>
            </w:r>
            <w:r w:rsidRPr="00727E9D">
              <w:rPr>
                <w:rFonts w:cs="Arial"/>
                <w:sz w:val="18"/>
                <w:szCs w:val="18"/>
              </w:rPr>
              <w:t xml:space="preserve"> Está orientado a aumentar a eficiência da planificação e execução financeira.</w:t>
            </w:r>
          </w:p>
        </w:tc>
      </w:tr>
      <w:tr w:rsidR="00C32541" w:rsidRPr="00727E9D" w:rsidTr="00555E76">
        <w:trPr>
          <w:trHeight w:val="23"/>
        </w:trPr>
        <w:tc>
          <w:tcPr>
            <w:tcW w:w="14610" w:type="dxa"/>
            <w:gridSpan w:val="4"/>
            <w:shd w:val="clear" w:color="auto" w:fill="C0D7EC" w:themeFill="accent2" w:themeFillTint="66"/>
          </w:tcPr>
          <w:p w:rsidR="00C32541" w:rsidRPr="00727E9D" w:rsidRDefault="00C32541" w:rsidP="00FE560B">
            <w:pPr>
              <w:spacing w:line="240" w:lineRule="auto"/>
              <w:rPr>
                <w:rFonts w:cs="Arial"/>
                <w:sz w:val="18"/>
                <w:szCs w:val="18"/>
              </w:rPr>
            </w:pPr>
            <w:r w:rsidRPr="00727E9D">
              <w:rPr>
                <w:rFonts w:cs="Arial"/>
                <w:b/>
                <w:sz w:val="18"/>
                <w:szCs w:val="18"/>
              </w:rPr>
              <w:t>Resultado esperado 3:</w:t>
            </w:r>
            <w:r w:rsidRPr="00727E9D">
              <w:rPr>
                <w:rFonts w:cs="Arial"/>
                <w:sz w:val="18"/>
                <w:szCs w:val="18"/>
              </w:rPr>
              <w:t xml:space="preserve"> Redução da discrepância entre o orçamento planificado e o executado. </w:t>
            </w:r>
          </w:p>
        </w:tc>
      </w:tr>
      <w:tr w:rsidR="00C32541" w:rsidRPr="00727E9D" w:rsidTr="00555E76">
        <w:trPr>
          <w:trHeight w:val="421"/>
        </w:trPr>
        <w:tc>
          <w:tcPr>
            <w:tcW w:w="3900" w:type="dxa"/>
            <w:tcBorders>
              <w:top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Baixa qualidade do planejamento e na gestão dos investimentos públicos.</w:t>
            </w:r>
          </w:p>
          <w:p w:rsidR="00C32541" w:rsidRPr="00727E9D" w:rsidRDefault="00C32541" w:rsidP="00A249C9">
            <w:pPr>
              <w:pStyle w:val="PargrafodaLista"/>
              <w:numPr>
                <w:ilvl w:val="0"/>
                <w:numId w:val="151"/>
              </w:numPr>
              <w:spacing w:line="240" w:lineRule="auto"/>
              <w:ind w:left="430"/>
              <w:jc w:val="both"/>
              <w:rPr>
                <w:rFonts w:cs="Arial"/>
                <w:sz w:val="18"/>
                <w:szCs w:val="18"/>
              </w:rPr>
            </w:pPr>
            <w:r w:rsidRPr="00727E9D">
              <w:rPr>
                <w:rFonts w:cs="Arial"/>
                <w:sz w:val="18"/>
                <w:szCs w:val="18"/>
              </w:rPr>
              <w:t xml:space="preserve">Dificuldades para alinhar as estimativas de receita e despesas com os objetivos e metas prioritárias do governo com o PPA e a LOA em uma perspectiva de gestão por resultados. </w:t>
            </w:r>
          </w:p>
          <w:p w:rsidR="00C32541" w:rsidRPr="00727E9D" w:rsidRDefault="00C32541" w:rsidP="00A249C9">
            <w:pPr>
              <w:pStyle w:val="PargrafodaLista"/>
              <w:numPr>
                <w:ilvl w:val="0"/>
                <w:numId w:val="151"/>
              </w:numPr>
              <w:spacing w:line="240" w:lineRule="auto"/>
              <w:ind w:left="430"/>
              <w:jc w:val="both"/>
              <w:rPr>
                <w:rFonts w:cs="Arial"/>
                <w:sz w:val="18"/>
                <w:szCs w:val="18"/>
              </w:rPr>
            </w:pPr>
            <w:r w:rsidRPr="00727E9D">
              <w:rPr>
                <w:rFonts w:cs="Arial"/>
                <w:sz w:val="18"/>
                <w:szCs w:val="18"/>
              </w:rPr>
              <w:t>Deficiência para priorizar, planificar, preparar, executar y monitorar os investimentos do estado.</w:t>
            </w:r>
          </w:p>
        </w:tc>
        <w:tc>
          <w:tcPr>
            <w:tcW w:w="3150" w:type="dxa"/>
            <w:tcBorders>
              <w:top w:val="single" w:sz="4" w:space="0" w:color="auto"/>
            </w:tcBorders>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AF1 – Planejamento e Execução Orçamentaria.</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52"/>
              </w:numPr>
              <w:spacing w:line="240" w:lineRule="auto"/>
              <w:ind w:left="493"/>
              <w:jc w:val="both"/>
              <w:rPr>
                <w:rFonts w:cs="Arial"/>
                <w:sz w:val="18"/>
                <w:szCs w:val="18"/>
              </w:rPr>
            </w:pPr>
            <w:r w:rsidRPr="00727E9D">
              <w:rPr>
                <w:rFonts w:cs="Arial"/>
                <w:sz w:val="18"/>
                <w:szCs w:val="18"/>
              </w:rPr>
              <w:t>Em 2017 a discrepância entre o orçamento previsto inicialmente e o executado foi de 11%. Ocorreram 617 créditos adicionais na execução do orçamento, num total de 18% do orçamento.</w:t>
            </w:r>
          </w:p>
          <w:p w:rsidR="00C32541" w:rsidRPr="00727E9D" w:rsidRDefault="00C32541" w:rsidP="00A249C9">
            <w:pPr>
              <w:pStyle w:val="PargrafodaLista"/>
              <w:numPr>
                <w:ilvl w:val="0"/>
                <w:numId w:val="152"/>
              </w:numPr>
              <w:spacing w:line="240" w:lineRule="auto"/>
              <w:ind w:left="493"/>
              <w:jc w:val="both"/>
              <w:rPr>
                <w:rFonts w:cs="Arial"/>
                <w:sz w:val="18"/>
                <w:szCs w:val="18"/>
              </w:rPr>
            </w:pPr>
            <w:r w:rsidRPr="00727E9D">
              <w:rPr>
                <w:rFonts w:cs="Arial"/>
                <w:sz w:val="18"/>
                <w:szCs w:val="18"/>
              </w:rPr>
              <w:t xml:space="preserve">Em 2017 dos 21 projetos prioritários em execução nenhum contou com pre-investimento. </w:t>
            </w:r>
          </w:p>
        </w:tc>
        <w:tc>
          <w:tcPr>
            <w:tcW w:w="4590" w:type="dxa"/>
            <w:tcBorders>
              <w:top w:val="single" w:sz="4" w:space="0" w:color="auto"/>
            </w:tcBorders>
            <w:shd w:val="clear" w:color="auto" w:fill="D7D2D9" w:themeFill="accent6" w:themeFillTint="66"/>
          </w:tcPr>
          <w:p w:rsidR="00C32541" w:rsidRPr="00727E9D" w:rsidRDefault="00C32541" w:rsidP="00A249C9">
            <w:pPr>
              <w:pStyle w:val="PargrafodaLista"/>
              <w:numPr>
                <w:ilvl w:val="1"/>
                <w:numId w:val="132"/>
              </w:numPr>
              <w:spacing w:line="240" w:lineRule="auto"/>
              <w:jc w:val="both"/>
              <w:rPr>
                <w:rFonts w:cs="Arial"/>
                <w:sz w:val="18"/>
                <w:szCs w:val="18"/>
              </w:rPr>
            </w:pPr>
            <w:r w:rsidRPr="00727E9D">
              <w:rPr>
                <w:rFonts w:cs="Arial"/>
                <w:b/>
                <w:sz w:val="18"/>
                <w:szCs w:val="18"/>
              </w:rPr>
              <w:t>Novo modelo de planejamento orçamentário e de investimentos orientado a resultado. Incluindo</w:t>
            </w:r>
            <w:r w:rsidRPr="00727E9D">
              <w:rPr>
                <w:rFonts w:cs="Arial"/>
                <w:sz w:val="18"/>
                <w:szCs w:val="18"/>
              </w:rPr>
              <w:t xml:space="preserve">: </w:t>
            </w:r>
          </w:p>
          <w:p w:rsidR="00C32541" w:rsidRPr="00727E9D" w:rsidRDefault="00C32541" w:rsidP="00A249C9">
            <w:pPr>
              <w:pStyle w:val="PargrafodaLista"/>
              <w:numPr>
                <w:ilvl w:val="0"/>
                <w:numId w:val="122"/>
              </w:numPr>
              <w:spacing w:line="240" w:lineRule="auto"/>
              <w:ind w:left="399"/>
              <w:jc w:val="both"/>
              <w:rPr>
                <w:rFonts w:eastAsia="Times New Roman" w:cs="Arial"/>
                <w:sz w:val="18"/>
                <w:szCs w:val="18"/>
                <w:lang w:eastAsia="pt-BR"/>
              </w:rPr>
            </w:pPr>
            <w:r w:rsidRPr="00727E9D">
              <w:rPr>
                <w:rFonts w:cs="Arial"/>
                <w:b/>
                <w:sz w:val="18"/>
                <w:szCs w:val="18"/>
              </w:rPr>
              <w:t>Marco orçamentário de médio prazo com r</w:t>
            </w:r>
            <w:r w:rsidRPr="00727E9D">
              <w:rPr>
                <w:rFonts w:eastAsia="Calibri" w:cs="Arial"/>
                <w:sz w:val="18"/>
                <w:szCs w:val="18"/>
              </w:rPr>
              <w:t>eformulação da sistemática de estimativa de receita e projeção de despesa, conexão entre as prioridades dos instrumentos de planejamento e o previsto nos orçamentos anuais. Ajustes no SIGEFES.</w:t>
            </w:r>
          </w:p>
          <w:p w:rsidR="00C32541" w:rsidRPr="00727E9D" w:rsidRDefault="00C32541" w:rsidP="00A249C9">
            <w:pPr>
              <w:pStyle w:val="PargrafodaLista"/>
              <w:numPr>
                <w:ilvl w:val="0"/>
                <w:numId w:val="122"/>
              </w:numPr>
              <w:spacing w:line="240" w:lineRule="auto"/>
              <w:ind w:left="399"/>
              <w:jc w:val="both"/>
              <w:rPr>
                <w:rFonts w:eastAsia="Times New Roman" w:cs="Arial"/>
                <w:sz w:val="18"/>
                <w:szCs w:val="18"/>
                <w:lang w:eastAsia="pt-BR"/>
              </w:rPr>
            </w:pPr>
            <w:r w:rsidRPr="00727E9D">
              <w:rPr>
                <w:rFonts w:cs="Arial"/>
                <w:b/>
                <w:sz w:val="18"/>
                <w:szCs w:val="18"/>
              </w:rPr>
              <w:t xml:space="preserve">Modelo de Gestão de Investimento Público com </w:t>
            </w:r>
            <w:r w:rsidRPr="00727E9D">
              <w:rPr>
                <w:rFonts w:eastAsia="Calibri" w:cs="Arial"/>
                <w:sz w:val="18"/>
                <w:szCs w:val="18"/>
              </w:rPr>
              <w:t>integração dos projetos prioritários e as estratégias de governo, uma metodologia de avaliação da viabilidade dos projetos, e com apoio de um sistema informatizado de investimento integrado aos sistemas corporativos.</w:t>
            </w:r>
          </w:p>
        </w:tc>
        <w:tc>
          <w:tcPr>
            <w:tcW w:w="2970" w:type="dxa"/>
            <w:tcBorders>
              <w:top w:val="single" w:sz="4" w:space="0" w:color="auto"/>
            </w:tcBorders>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Unidad de medida: Modelo</w:t>
            </w:r>
            <w:r w:rsidRPr="00727E9D">
              <w:rPr>
                <w:rFonts w:cs="Arial"/>
                <w:sz w:val="18"/>
                <w:szCs w:val="18"/>
                <w:lang w:val="es-ES"/>
              </w:rPr>
              <w:t xml:space="preserve">; </w:t>
            </w:r>
          </w:p>
          <w:p w:rsidR="00C32541" w:rsidRPr="00727E9D" w:rsidRDefault="00C32541" w:rsidP="00FE560B">
            <w:pPr>
              <w:spacing w:line="240" w:lineRule="auto"/>
              <w:ind w:left="-143" w:firstLine="180"/>
              <w:jc w:val="both"/>
              <w:rPr>
                <w:rFonts w:cs="Arial"/>
                <w:b/>
                <w:sz w:val="18"/>
                <w:szCs w:val="18"/>
              </w:rPr>
            </w:pPr>
            <w:r w:rsidRPr="00727E9D">
              <w:rPr>
                <w:rFonts w:cs="Arial"/>
                <w:b/>
                <w:sz w:val="18"/>
                <w:szCs w:val="18"/>
              </w:rPr>
              <w:t>Etapas/acciones</w:t>
            </w:r>
          </w:p>
          <w:p w:rsidR="00C32541" w:rsidRPr="00727E9D" w:rsidRDefault="00C32541" w:rsidP="00A249C9">
            <w:pPr>
              <w:pStyle w:val="PargrafodaLista"/>
              <w:numPr>
                <w:ilvl w:val="0"/>
                <w:numId w:val="133"/>
              </w:numPr>
              <w:spacing w:line="240" w:lineRule="auto"/>
              <w:ind w:left="397"/>
              <w:jc w:val="both"/>
              <w:rPr>
                <w:rFonts w:cs="Arial"/>
                <w:sz w:val="18"/>
                <w:szCs w:val="18"/>
              </w:rPr>
            </w:pPr>
            <w:r w:rsidRPr="00727E9D">
              <w:rPr>
                <w:rFonts w:cs="Arial"/>
                <w:sz w:val="18"/>
                <w:szCs w:val="18"/>
              </w:rPr>
              <w:t>Programação de médio prazo (2022)</w:t>
            </w:r>
          </w:p>
          <w:p w:rsidR="00C32541" w:rsidRPr="00727E9D" w:rsidRDefault="00C32541" w:rsidP="00A249C9">
            <w:pPr>
              <w:pStyle w:val="PargrafodaLista"/>
              <w:numPr>
                <w:ilvl w:val="0"/>
                <w:numId w:val="133"/>
              </w:numPr>
              <w:spacing w:line="240" w:lineRule="auto"/>
              <w:ind w:left="397"/>
              <w:jc w:val="both"/>
              <w:rPr>
                <w:rFonts w:cs="Arial"/>
                <w:sz w:val="18"/>
                <w:szCs w:val="18"/>
              </w:rPr>
            </w:pPr>
            <w:r w:rsidRPr="00727E9D">
              <w:rPr>
                <w:rFonts w:cs="Arial"/>
                <w:sz w:val="18"/>
                <w:szCs w:val="18"/>
              </w:rPr>
              <w:t>Sistema de Investimento Público. (2021)</w:t>
            </w:r>
          </w:p>
        </w:tc>
      </w:tr>
      <w:tr w:rsidR="00C32541" w:rsidRPr="00727E9D" w:rsidTr="00555E76">
        <w:trPr>
          <w:trHeight w:val="22"/>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bookmarkStart w:id="177" w:name="_Hlk484168853"/>
            <w:r w:rsidRPr="00727E9D">
              <w:rPr>
                <w:rFonts w:cs="Arial"/>
                <w:b/>
                <w:sz w:val="18"/>
                <w:szCs w:val="18"/>
              </w:rPr>
              <w:t xml:space="preserve">Síntese do Problema: </w:t>
            </w:r>
            <w:r w:rsidRPr="00727E9D">
              <w:rPr>
                <w:rFonts w:cs="Arial"/>
                <w:sz w:val="18"/>
                <w:szCs w:val="18"/>
              </w:rPr>
              <w:t>Ineficiência no uso dos recursos financeiros devido a Ineficácia nos processos de gestão orçamentária e financeira.</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68"/>
              </w:numPr>
              <w:spacing w:line="240" w:lineRule="auto"/>
              <w:ind w:left="360"/>
              <w:jc w:val="both"/>
              <w:rPr>
                <w:rFonts w:cs="Arial"/>
                <w:sz w:val="18"/>
                <w:szCs w:val="18"/>
              </w:rPr>
            </w:pPr>
            <w:r w:rsidRPr="00727E9D">
              <w:rPr>
                <w:rFonts w:cs="Arial"/>
                <w:sz w:val="18"/>
                <w:szCs w:val="18"/>
              </w:rPr>
              <w:t>Descompasso na alocação das cotas orçamentarias e financeiras com geração de restos a pagar (RAP). O sistema SIGEFES não controla os empenhos a partir da cota financeira. A programação financeira é realizada manualmente.</w:t>
            </w:r>
          </w:p>
          <w:p w:rsidR="00C32541" w:rsidRPr="00727E9D" w:rsidRDefault="00C32541" w:rsidP="00A249C9">
            <w:pPr>
              <w:pStyle w:val="PargrafodaLista"/>
              <w:numPr>
                <w:ilvl w:val="0"/>
                <w:numId w:val="68"/>
              </w:numPr>
              <w:spacing w:line="240" w:lineRule="auto"/>
              <w:ind w:left="360"/>
              <w:jc w:val="both"/>
              <w:rPr>
                <w:rFonts w:cs="Arial"/>
                <w:sz w:val="18"/>
                <w:szCs w:val="18"/>
              </w:rPr>
            </w:pPr>
            <w:r w:rsidRPr="00727E9D">
              <w:rPr>
                <w:rFonts w:cs="Arial"/>
                <w:sz w:val="18"/>
                <w:szCs w:val="18"/>
              </w:rPr>
              <w:t>Os ativos financeiros não estão devidamente valorizados. Inexistência de legislação nacional ou estaduais específica, assim como ausência de mecanismos para a reserva de contingência para investimentos e gastos estratégicos e institucionais.</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AF2 – Programação financeira.</w:t>
            </w:r>
          </w:p>
          <w:p w:rsidR="00C32541" w:rsidRPr="00727E9D" w:rsidRDefault="00C32541" w:rsidP="00A249C9">
            <w:pPr>
              <w:pStyle w:val="PargrafodaLista"/>
              <w:numPr>
                <w:ilvl w:val="0"/>
                <w:numId w:val="153"/>
              </w:numPr>
              <w:spacing w:line="240" w:lineRule="auto"/>
              <w:ind w:left="485"/>
              <w:jc w:val="both"/>
              <w:rPr>
                <w:rFonts w:cs="Arial"/>
                <w:sz w:val="18"/>
                <w:szCs w:val="18"/>
              </w:rPr>
            </w:pPr>
            <w:r w:rsidRPr="00727E9D">
              <w:rPr>
                <w:rFonts w:cs="Arial"/>
                <w:sz w:val="18"/>
                <w:szCs w:val="18"/>
              </w:rPr>
              <w:t>Em 2017 se gerou um RAP (liquidado) no valor de BR$48,1 milhões. Em março de 2018 foram necessárias 2,216 horas de trabalho manual para executar diversas atividades da gestão financeira.</w:t>
            </w:r>
          </w:p>
          <w:p w:rsidR="00C32541" w:rsidRPr="00727E9D" w:rsidRDefault="00C32541" w:rsidP="00A249C9">
            <w:pPr>
              <w:pStyle w:val="PargrafodaLista"/>
              <w:numPr>
                <w:ilvl w:val="0"/>
                <w:numId w:val="153"/>
              </w:numPr>
              <w:spacing w:line="240" w:lineRule="auto"/>
              <w:ind w:left="485"/>
              <w:jc w:val="both"/>
              <w:rPr>
                <w:rFonts w:cs="Arial"/>
                <w:sz w:val="18"/>
                <w:szCs w:val="18"/>
              </w:rPr>
            </w:pPr>
            <w:r w:rsidRPr="00727E9D">
              <w:rPr>
                <w:rFonts w:cs="Arial"/>
                <w:sz w:val="18"/>
                <w:szCs w:val="18"/>
              </w:rPr>
              <w:t xml:space="preserve">Se estima que em 2017 existem aproximadamente BR$ 980 milhões de ativos financeiros que não estão sendo devidamente otimizados. </w:t>
            </w:r>
          </w:p>
        </w:tc>
        <w:tc>
          <w:tcPr>
            <w:tcW w:w="4590" w:type="dxa"/>
            <w:shd w:val="clear" w:color="auto" w:fill="D7D2D9" w:themeFill="accent6" w:themeFillTint="66"/>
          </w:tcPr>
          <w:p w:rsidR="00C32541" w:rsidRPr="00727E9D" w:rsidRDefault="00C32541" w:rsidP="00A249C9">
            <w:pPr>
              <w:pStyle w:val="PargrafodaLista"/>
              <w:numPr>
                <w:ilvl w:val="1"/>
                <w:numId w:val="132"/>
              </w:numPr>
              <w:spacing w:line="240" w:lineRule="auto"/>
              <w:jc w:val="both"/>
              <w:rPr>
                <w:rFonts w:cs="Arial"/>
                <w:sz w:val="18"/>
                <w:szCs w:val="18"/>
              </w:rPr>
            </w:pPr>
            <w:r w:rsidRPr="00727E9D">
              <w:rPr>
                <w:rFonts w:cs="Arial"/>
                <w:b/>
                <w:sz w:val="18"/>
                <w:szCs w:val="18"/>
              </w:rPr>
              <w:t xml:space="preserve">Modelo de Programação e Execução Financeira implantado, </w:t>
            </w:r>
            <w:r w:rsidRPr="00727E9D">
              <w:rPr>
                <w:rFonts w:cs="Arial"/>
                <w:sz w:val="18"/>
                <w:szCs w:val="18"/>
              </w:rPr>
              <w:t>contemplando:</w:t>
            </w:r>
          </w:p>
          <w:p w:rsidR="00C32541" w:rsidRPr="00727E9D" w:rsidRDefault="00C32541" w:rsidP="00FE560B">
            <w:pPr>
              <w:pStyle w:val="PargrafodaLista"/>
              <w:spacing w:line="240" w:lineRule="auto"/>
              <w:ind w:left="360"/>
              <w:jc w:val="both"/>
              <w:rPr>
                <w:rFonts w:cs="Arial"/>
                <w:sz w:val="18"/>
                <w:szCs w:val="18"/>
              </w:rPr>
            </w:pPr>
          </w:p>
          <w:p w:rsidR="00C32541" w:rsidRPr="00727E9D" w:rsidRDefault="00C32541" w:rsidP="00A249C9">
            <w:pPr>
              <w:pStyle w:val="PargrafodaLista"/>
              <w:numPr>
                <w:ilvl w:val="0"/>
                <w:numId w:val="134"/>
              </w:numPr>
              <w:spacing w:line="240" w:lineRule="auto"/>
              <w:ind w:left="389"/>
              <w:jc w:val="both"/>
              <w:rPr>
                <w:rFonts w:cs="Arial"/>
                <w:sz w:val="18"/>
                <w:szCs w:val="18"/>
              </w:rPr>
            </w:pPr>
            <w:r w:rsidRPr="00727E9D">
              <w:rPr>
                <w:rFonts w:cs="Arial"/>
                <w:sz w:val="18"/>
                <w:szCs w:val="18"/>
              </w:rPr>
              <w:t>Revisão e ajuste da metodologia para elaboração de programação e execução financeira, incluindo o fortalecimento do comitê de gastos e ajustes no sistema informático de gestão de caixa.</w:t>
            </w:r>
          </w:p>
          <w:p w:rsidR="00C32541" w:rsidRPr="00727E9D" w:rsidRDefault="00C32541" w:rsidP="00A249C9">
            <w:pPr>
              <w:pStyle w:val="PargrafodaLista"/>
              <w:numPr>
                <w:ilvl w:val="0"/>
                <w:numId w:val="134"/>
              </w:numPr>
              <w:spacing w:line="240" w:lineRule="auto"/>
              <w:ind w:left="389"/>
              <w:jc w:val="both"/>
              <w:rPr>
                <w:rFonts w:cs="Arial"/>
                <w:sz w:val="18"/>
                <w:szCs w:val="18"/>
              </w:rPr>
            </w:pPr>
            <w:r w:rsidRPr="00727E9D">
              <w:rPr>
                <w:rFonts w:cs="Arial"/>
                <w:sz w:val="18"/>
                <w:szCs w:val="18"/>
              </w:rPr>
              <w:t>Implantação de modelo de gestão de ativos do Estado com base em análise de riscos, incluindo a legislação, procedimentos e a política de investimentos;</w:t>
            </w:r>
          </w:p>
          <w:p w:rsidR="00C32541" w:rsidRPr="00727E9D" w:rsidRDefault="00C32541" w:rsidP="00FE560B">
            <w:pPr>
              <w:spacing w:line="240" w:lineRule="auto"/>
              <w:ind w:left="29"/>
              <w:jc w:val="both"/>
              <w:rPr>
                <w:rFonts w:cs="Arial"/>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w:t>
            </w:r>
            <w:r w:rsidRPr="00727E9D">
              <w:rPr>
                <w:rFonts w:cs="Arial"/>
                <w:sz w:val="18"/>
                <w:szCs w:val="18"/>
                <w:lang w:val="es-ES"/>
              </w:rPr>
              <w:t xml:space="preserve"> </w:t>
            </w:r>
            <w:r w:rsidRPr="00727E9D">
              <w:rPr>
                <w:rFonts w:cs="Arial"/>
                <w:b/>
                <w:sz w:val="18"/>
                <w:szCs w:val="18"/>
                <w:lang w:val="es-ES"/>
              </w:rPr>
              <w:t>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sz w:val="18"/>
                <w:szCs w:val="18"/>
                <w:lang w:val="es-ES"/>
              </w:rPr>
            </w:pPr>
            <w:r w:rsidRPr="00727E9D">
              <w:rPr>
                <w:rFonts w:cs="Arial"/>
                <w:b/>
                <w:sz w:val="18"/>
                <w:szCs w:val="18"/>
                <w:lang w:val="es-ES"/>
              </w:rPr>
              <w:t>Unidad de medida: Modelo</w:t>
            </w:r>
            <w:r w:rsidRPr="00727E9D">
              <w:rPr>
                <w:rFonts w:cs="Arial"/>
                <w:sz w:val="18"/>
                <w:szCs w:val="18"/>
                <w:lang w:val="es-ES"/>
              </w:rPr>
              <w:t xml:space="preserve">; </w:t>
            </w:r>
          </w:p>
          <w:p w:rsidR="00C32541" w:rsidRPr="00727E9D" w:rsidRDefault="00C32541" w:rsidP="00FE560B">
            <w:pPr>
              <w:spacing w:line="240" w:lineRule="auto"/>
              <w:ind w:left="37"/>
              <w:jc w:val="both"/>
              <w:rPr>
                <w:rFonts w:cs="Arial"/>
                <w:b/>
                <w:sz w:val="18"/>
                <w:szCs w:val="18"/>
              </w:rPr>
            </w:pPr>
            <w:r w:rsidRPr="00727E9D">
              <w:rPr>
                <w:rFonts w:cs="Arial"/>
                <w:b/>
                <w:sz w:val="18"/>
                <w:szCs w:val="18"/>
              </w:rPr>
              <w:t>Etapas/acciones</w:t>
            </w:r>
          </w:p>
          <w:p w:rsidR="00C32541" w:rsidRPr="00727E9D" w:rsidRDefault="00C32541" w:rsidP="00A249C9">
            <w:pPr>
              <w:pStyle w:val="PargrafodaLista"/>
              <w:numPr>
                <w:ilvl w:val="0"/>
                <w:numId w:val="133"/>
              </w:numPr>
              <w:spacing w:line="240" w:lineRule="auto"/>
              <w:jc w:val="both"/>
              <w:rPr>
                <w:rFonts w:cs="Arial"/>
                <w:sz w:val="18"/>
                <w:szCs w:val="18"/>
              </w:rPr>
            </w:pPr>
            <w:r w:rsidRPr="00727E9D">
              <w:rPr>
                <w:rFonts w:cs="Arial"/>
                <w:sz w:val="18"/>
                <w:szCs w:val="18"/>
              </w:rPr>
              <w:t>Metodologia para elaboração de programação e execução financeira (2022)</w:t>
            </w:r>
          </w:p>
          <w:p w:rsidR="00C32541" w:rsidRPr="00727E9D" w:rsidRDefault="00C32541" w:rsidP="00A249C9">
            <w:pPr>
              <w:pStyle w:val="PargrafodaLista"/>
              <w:numPr>
                <w:ilvl w:val="0"/>
                <w:numId w:val="133"/>
              </w:numPr>
              <w:spacing w:line="240" w:lineRule="auto"/>
              <w:jc w:val="both"/>
              <w:rPr>
                <w:rFonts w:cs="Arial"/>
                <w:sz w:val="18"/>
                <w:szCs w:val="18"/>
              </w:rPr>
            </w:pPr>
            <w:r w:rsidRPr="00727E9D">
              <w:rPr>
                <w:rFonts w:cs="Arial"/>
                <w:sz w:val="18"/>
                <w:szCs w:val="18"/>
              </w:rPr>
              <w:t>Modelo de gestão de ativos (2023)</w:t>
            </w:r>
          </w:p>
          <w:p w:rsidR="00C32541" w:rsidRPr="00727E9D" w:rsidRDefault="00C32541" w:rsidP="00FE560B">
            <w:pPr>
              <w:pStyle w:val="PargrafodaLista"/>
              <w:spacing w:line="240" w:lineRule="auto"/>
              <w:jc w:val="both"/>
              <w:rPr>
                <w:rFonts w:cs="Arial"/>
                <w:sz w:val="18"/>
                <w:szCs w:val="18"/>
              </w:rPr>
            </w:pPr>
          </w:p>
        </w:tc>
      </w:tr>
      <w:tr w:rsidR="00C32541" w:rsidRPr="00727E9D" w:rsidTr="00555E76">
        <w:trPr>
          <w:trHeight w:val="22"/>
        </w:trPr>
        <w:tc>
          <w:tcPr>
            <w:tcW w:w="390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b/>
                <w:sz w:val="18"/>
                <w:szCs w:val="18"/>
              </w:rPr>
            </w:pPr>
            <w:r w:rsidRPr="00727E9D">
              <w:rPr>
                <w:rFonts w:cs="Arial"/>
                <w:b/>
                <w:sz w:val="18"/>
                <w:szCs w:val="18"/>
              </w:rPr>
              <w:t>Síntese do Problema</w:t>
            </w:r>
          </w:p>
          <w:p w:rsidR="00C32541" w:rsidRPr="00727E9D" w:rsidRDefault="00C32541" w:rsidP="00FE560B">
            <w:pPr>
              <w:spacing w:line="240" w:lineRule="auto"/>
              <w:jc w:val="both"/>
              <w:rPr>
                <w:rFonts w:cs="Arial"/>
                <w:b/>
                <w:sz w:val="18"/>
                <w:szCs w:val="18"/>
              </w:rPr>
            </w:pPr>
            <w:r w:rsidRPr="00727E9D">
              <w:rPr>
                <w:rFonts w:cs="Arial"/>
                <w:b/>
                <w:sz w:val="18"/>
                <w:szCs w:val="18"/>
              </w:rPr>
              <w:t>Baixo aproveitamento de potenciais economias nas compras públicas do estado.</w:t>
            </w:r>
          </w:p>
          <w:p w:rsidR="00C32541" w:rsidRPr="00727E9D" w:rsidRDefault="00C32541" w:rsidP="00FE560B">
            <w:pPr>
              <w:spacing w:line="240" w:lineRule="auto"/>
              <w:jc w:val="both"/>
              <w:rPr>
                <w:rFonts w:cs="Arial"/>
                <w:b/>
                <w:sz w:val="18"/>
                <w:szCs w:val="18"/>
              </w:rPr>
            </w:pPr>
          </w:p>
          <w:p w:rsidR="00C32541" w:rsidRPr="00727E9D" w:rsidRDefault="00C32541" w:rsidP="00A249C9">
            <w:pPr>
              <w:pStyle w:val="PargrafodaLista"/>
              <w:numPr>
                <w:ilvl w:val="0"/>
                <w:numId w:val="139"/>
              </w:numPr>
              <w:spacing w:line="240" w:lineRule="auto"/>
              <w:ind w:left="423" w:hanging="318"/>
              <w:jc w:val="both"/>
              <w:rPr>
                <w:rFonts w:cs="Arial"/>
                <w:b/>
                <w:sz w:val="18"/>
                <w:szCs w:val="18"/>
              </w:rPr>
            </w:pPr>
            <w:r w:rsidRPr="00727E9D">
              <w:rPr>
                <w:rFonts w:cs="Arial"/>
                <w:b/>
                <w:sz w:val="18"/>
                <w:szCs w:val="18"/>
              </w:rPr>
              <w:t xml:space="preserve">O modelo atual de compras é descentralizado, a etapa de planejamento não é estratégica, assim como não aproveita em sua totalidade os preços praticados pelo setor privado; </w:t>
            </w:r>
          </w:p>
          <w:p w:rsidR="00C32541" w:rsidRPr="00727E9D" w:rsidRDefault="00C32541" w:rsidP="00A249C9">
            <w:pPr>
              <w:pStyle w:val="PargrafodaLista"/>
              <w:numPr>
                <w:ilvl w:val="0"/>
                <w:numId w:val="139"/>
              </w:numPr>
              <w:spacing w:line="240" w:lineRule="auto"/>
              <w:ind w:left="423" w:hanging="318"/>
              <w:jc w:val="both"/>
              <w:rPr>
                <w:rFonts w:cs="Arial"/>
                <w:b/>
                <w:sz w:val="18"/>
                <w:szCs w:val="18"/>
              </w:rPr>
            </w:pPr>
            <w:r w:rsidRPr="00727E9D">
              <w:rPr>
                <w:rFonts w:cs="Arial"/>
                <w:b/>
                <w:sz w:val="18"/>
                <w:szCs w:val="18"/>
              </w:rPr>
              <w:t>As metodologias de cálculo utilizadas para definição de preço de referência demandam demasiado tempo e podem não refletir o preço de mercado.</w:t>
            </w:r>
          </w:p>
          <w:p w:rsidR="00C32541" w:rsidRPr="00727E9D" w:rsidRDefault="00C32541" w:rsidP="00A249C9">
            <w:pPr>
              <w:pStyle w:val="PargrafodaLista"/>
              <w:numPr>
                <w:ilvl w:val="0"/>
                <w:numId w:val="139"/>
              </w:numPr>
              <w:spacing w:line="240" w:lineRule="auto"/>
              <w:ind w:left="423" w:hanging="318"/>
              <w:jc w:val="both"/>
              <w:rPr>
                <w:rFonts w:cs="Arial"/>
                <w:b/>
                <w:sz w:val="18"/>
                <w:szCs w:val="18"/>
              </w:rPr>
            </w:pPr>
            <w:r w:rsidRPr="00727E9D">
              <w:rPr>
                <w:rFonts w:cs="Arial"/>
                <w:b/>
                <w:sz w:val="18"/>
                <w:szCs w:val="18"/>
              </w:rPr>
              <w:t>Os catálogos de produtos e fornecedores estão desintegrados gerando baixa padronização de produtos adquiridos de uso comum às secretarias e órgãos.</w:t>
            </w:r>
          </w:p>
          <w:p w:rsidR="00C32541" w:rsidRPr="00727E9D" w:rsidRDefault="00C32541" w:rsidP="00A249C9">
            <w:pPr>
              <w:pStyle w:val="PargrafodaLista"/>
              <w:numPr>
                <w:ilvl w:val="0"/>
                <w:numId w:val="139"/>
              </w:numPr>
              <w:spacing w:line="240" w:lineRule="auto"/>
              <w:ind w:left="423" w:hanging="318"/>
              <w:jc w:val="both"/>
              <w:rPr>
                <w:rFonts w:cs="Arial"/>
                <w:b/>
                <w:sz w:val="18"/>
                <w:szCs w:val="18"/>
              </w:rPr>
            </w:pPr>
            <w:r w:rsidRPr="00727E9D">
              <w:rPr>
                <w:rFonts w:cs="Arial"/>
                <w:b/>
                <w:sz w:val="18"/>
                <w:szCs w:val="18"/>
              </w:rPr>
              <w:t xml:space="preserve">O sistema SIGA (Sistema Integrado de Gestão Administrativa) não conta com todas as funcionalidades requeridas, não está integrado com os sistemas de gestão do estado e carece de relatórios gerenciais para apoiar o planejamento e a gestão das aquisições. </w:t>
            </w:r>
          </w:p>
        </w:tc>
        <w:tc>
          <w:tcPr>
            <w:tcW w:w="315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rPr>
                <w:rFonts w:cs="Arial"/>
                <w:sz w:val="18"/>
                <w:szCs w:val="18"/>
              </w:rPr>
            </w:pPr>
            <w:r w:rsidRPr="00727E9D">
              <w:rPr>
                <w:rFonts w:cs="Arial"/>
                <w:sz w:val="18"/>
                <w:szCs w:val="18"/>
              </w:rPr>
              <w:t>Nota Técnica GF1 – Gestão de aquisições Materiais.</w:t>
            </w:r>
          </w:p>
          <w:p w:rsidR="00C32541" w:rsidRPr="00727E9D" w:rsidRDefault="00C32541" w:rsidP="00A249C9">
            <w:pPr>
              <w:pStyle w:val="PargrafodaLista"/>
              <w:numPr>
                <w:ilvl w:val="0"/>
                <w:numId w:val="142"/>
              </w:numPr>
              <w:spacing w:line="240" w:lineRule="auto"/>
              <w:ind w:left="511"/>
              <w:jc w:val="both"/>
              <w:rPr>
                <w:rFonts w:cs="Arial"/>
                <w:sz w:val="18"/>
                <w:szCs w:val="18"/>
              </w:rPr>
            </w:pPr>
            <w:r w:rsidRPr="00727E9D">
              <w:rPr>
                <w:rFonts w:cs="Arial"/>
                <w:sz w:val="18"/>
                <w:szCs w:val="18"/>
              </w:rPr>
              <w:t>Os dez últimos processos licitatórios levaram em média 513 dias do início até a homologação pelo Secretário da SEFAZ. Pregão 82 dias, concorrência 93 dias e dispensa 20 dias.</w:t>
            </w:r>
          </w:p>
          <w:p w:rsidR="00C32541" w:rsidRPr="00727E9D" w:rsidRDefault="00C32541" w:rsidP="00A249C9">
            <w:pPr>
              <w:pStyle w:val="PargrafodaLista"/>
              <w:numPr>
                <w:ilvl w:val="0"/>
                <w:numId w:val="142"/>
              </w:numPr>
              <w:spacing w:line="240" w:lineRule="auto"/>
              <w:ind w:left="511"/>
              <w:jc w:val="both"/>
              <w:rPr>
                <w:rFonts w:cs="Arial"/>
                <w:sz w:val="18"/>
                <w:szCs w:val="18"/>
              </w:rPr>
            </w:pPr>
            <w:r w:rsidRPr="00727E9D">
              <w:rPr>
                <w:rFonts w:cs="Arial"/>
                <w:sz w:val="18"/>
                <w:szCs w:val="18"/>
              </w:rPr>
              <w:t>Os preços de referência são utilizados para determinados serviços que representam 10% do valor total de compras. 40% do tempo do processo de compras é dispendido no processo de pesquisa de preço.</w:t>
            </w:r>
          </w:p>
          <w:p w:rsidR="00C32541" w:rsidRPr="00727E9D" w:rsidRDefault="00C32541" w:rsidP="00A249C9">
            <w:pPr>
              <w:pStyle w:val="PargrafodaLista"/>
              <w:numPr>
                <w:ilvl w:val="0"/>
                <w:numId w:val="142"/>
              </w:numPr>
              <w:spacing w:line="240" w:lineRule="auto"/>
              <w:ind w:left="511"/>
              <w:jc w:val="both"/>
              <w:rPr>
                <w:rFonts w:cs="Arial"/>
                <w:sz w:val="18"/>
                <w:szCs w:val="18"/>
              </w:rPr>
            </w:pPr>
            <w:r w:rsidRPr="00727E9D">
              <w:rPr>
                <w:rFonts w:cs="Arial"/>
                <w:sz w:val="18"/>
                <w:szCs w:val="18"/>
              </w:rPr>
              <w:t xml:space="preserve">75% dos produtos de compra apresentam multiplicidade de códigos. </w:t>
            </w:r>
          </w:p>
          <w:p w:rsidR="00C32541" w:rsidRPr="00727E9D" w:rsidRDefault="00C32541" w:rsidP="00A249C9">
            <w:pPr>
              <w:pStyle w:val="PargrafodaLista"/>
              <w:numPr>
                <w:ilvl w:val="0"/>
                <w:numId w:val="142"/>
              </w:numPr>
              <w:spacing w:line="240" w:lineRule="auto"/>
              <w:ind w:left="511"/>
              <w:jc w:val="both"/>
              <w:rPr>
                <w:rFonts w:cs="Arial"/>
                <w:sz w:val="18"/>
                <w:szCs w:val="18"/>
              </w:rPr>
            </w:pPr>
            <w:r w:rsidRPr="00727E9D">
              <w:rPr>
                <w:rFonts w:cs="Arial"/>
                <w:sz w:val="18"/>
                <w:szCs w:val="18"/>
              </w:rPr>
              <w:t xml:space="preserve">Para atualizar o sistema, será necessário acrescentar 4,800 pontos de função aos 14,000 existentes (40%). </w:t>
            </w:r>
          </w:p>
        </w:tc>
        <w:tc>
          <w:tcPr>
            <w:tcW w:w="459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A249C9">
            <w:pPr>
              <w:pStyle w:val="PargrafodaLista"/>
              <w:numPr>
                <w:ilvl w:val="1"/>
                <w:numId w:val="132"/>
              </w:numPr>
              <w:spacing w:line="240" w:lineRule="auto"/>
              <w:jc w:val="both"/>
              <w:rPr>
                <w:rFonts w:cs="Arial"/>
                <w:b/>
                <w:sz w:val="18"/>
                <w:szCs w:val="18"/>
              </w:rPr>
            </w:pPr>
            <w:bookmarkStart w:id="178" w:name="_Hlk484173926"/>
            <w:r w:rsidRPr="00727E9D">
              <w:rPr>
                <w:rFonts w:cs="Arial"/>
                <w:b/>
                <w:sz w:val="18"/>
                <w:szCs w:val="18"/>
              </w:rPr>
              <w:t>Novo Modelo de Gestão de Compras do Estado implantado, contemplando as seguintes atividades</w:t>
            </w:r>
            <w:bookmarkEnd w:id="178"/>
            <w:r w:rsidRPr="00727E9D">
              <w:rPr>
                <w:rFonts w:cs="Arial"/>
                <w:b/>
                <w:sz w:val="18"/>
                <w:szCs w:val="18"/>
              </w:rPr>
              <w:t>:</w:t>
            </w:r>
          </w:p>
          <w:p w:rsidR="00C32541" w:rsidRPr="00727E9D" w:rsidRDefault="00C32541" w:rsidP="00FE560B">
            <w:pPr>
              <w:pStyle w:val="PargrafodaLista"/>
              <w:ind w:left="360" w:hanging="360"/>
              <w:rPr>
                <w:rFonts w:cs="Arial"/>
                <w:b/>
                <w:sz w:val="18"/>
                <w:szCs w:val="18"/>
              </w:rPr>
            </w:pPr>
          </w:p>
          <w:p w:rsidR="00C32541" w:rsidRPr="00727E9D" w:rsidRDefault="00C32541" w:rsidP="00A249C9">
            <w:pPr>
              <w:pStyle w:val="PargrafodaLista"/>
              <w:numPr>
                <w:ilvl w:val="0"/>
                <w:numId w:val="141"/>
              </w:numPr>
              <w:spacing w:line="240" w:lineRule="auto"/>
              <w:ind w:left="572"/>
              <w:jc w:val="both"/>
              <w:rPr>
                <w:rFonts w:cs="Arial"/>
                <w:b/>
                <w:sz w:val="18"/>
                <w:szCs w:val="18"/>
              </w:rPr>
            </w:pPr>
            <w:r w:rsidRPr="00727E9D">
              <w:rPr>
                <w:rFonts w:cs="Arial"/>
                <w:b/>
                <w:sz w:val="18"/>
                <w:szCs w:val="18"/>
              </w:rPr>
              <w:t>Revisão e ajuste do modelo de gestão de compras apoiado por uma política de compras públicas e planejamento anual;</w:t>
            </w:r>
          </w:p>
          <w:p w:rsidR="00C32541" w:rsidRPr="00727E9D" w:rsidRDefault="00C32541" w:rsidP="00A249C9">
            <w:pPr>
              <w:pStyle w:val="PargrafodaLista"/>
              <w:numPr>
                <w:ilvl w:val="0"/>
                <w:numId w:val="141"/>
              </w:numPr>
              <w:spacing w:line="240" w:lineRule="auto"/>
              <w:ind w:left="572"/>
              <w:jc w:val="both"/>
              <w:rPr>
                <w:rFonts w:cs="Arial"/>
                <w:b/>
                <w:sz w:val="18"/>
                <w:szCs w:val="18"/>
              </w:rPr>
            </w:pPr>
            <w:r w:rsidRPr="00727E9D">
              <w:rPr>
                <w:rFonts w:cs="Arial"/>
                <w:b/>
                <w:sz w:val="18"/>
                <w:szCs w:val="18"/>
              </w:rPr>
              <w:t>Implantação de uma metodologia para o uso do preço de referência e planejamento anual das compras.</w:t>
            </w:r>
          </w:p>
          <w:p w:rsidR="00C32541" w:rsidRPr="00727E9D" w:rsidRDefault="00C32541" w:rsidP="00A249C9">
            <w:pPr>
              <w:pStyle w:val="PargrafodaLista"/>
              <w:numPr>
                <w:ilvl w:val="0"/>
                <w:numId w:val="141"/>
              </w:numPr>
              <w:spacing w:line="240" w:lineRule="auto"/>
              <w:ind w:left="572"/>
              <w:jc w:val="both"/>
              <w:rPr>
                <w:rFonts w:cs="Arial"/>
                <w:b/>
                <w:sz w:val="18"/>
                <w:szCs w:val="18"/>
              </w:rPr>
            </w:pPr>
            <w:r w:rsidRPr="00727E9D">
              <w:rPr>
                <w:rFonts w:cs="Arial"/>
                <w:b/>
                <w:sz w:val="18"/>
                <w:szCs w:val="18"/>
              </w:rPr>
              <w:t>Implantação de uma metodologia de elaboração e atualização do catálogo de compras e de fornecedores.</w:t>
            </w:r>
          </w:p>
          <w:p w:rsidR="00C32541" w:rsidRPr="00727E9D" w:rsidRDefault="00C32541" w:rsidP="00A249C9">
            <w:pPr>
              <w:pStyle w:val="PargrafodaLista"/>
              <w:numPr>
                <w:ilvl w:val="0"/>
                <w:numId w:val="141"/>
              </w:numPr>
              <w:spacing w:line="240" w:lineRule="auto"/>
              <w:ind w:left="572"/>
              <w:jc w:val="both"/>
              <w:rPr>
                <w:rFonts w:cs="Arial"/>
                <w:b/>
                <w:sz w:val="18"/>
                <w:szCs w:val="18"/>
              </w:rPr>
            </w:pPr>
            <w:r w:rsidRPr="00727E9D">
              <w:rPr>
                <w:rFonts w:cs="Arial"/>
                <w:b/>
                <w:sz w:val="18"/>
                <w:szCs w:val="18"/>
              </w:rPr>
              <w:t>Atualização da funcionalidade e integração do SIGA aos demais sistemas do Estado.</w:t>
            </w:r>
          </w:p>
        </w:tc>
        <w:tc>
          <w:tcPr>
            <w:tcW w:w="2970" w:type="dxa"/>
            <w:tcBorders>
              <w:top w:val="single" w:sz="4" w:space="0" w:color="auto"/>
              <w:left w:val="single" w:sz="4" w:space="0" w:color="auto"/>
              <w:bottom w:val="single" w:sz="4" w:space="0" w:color="auto"/>
              <w:right w:val="single" w:sz="4" w:space="0" w:color="auto"/>
            </w:tcBorders>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Unidad de medida: Modelo.</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Etapas/acciones </w:t>
            </w:r>
          </w:p>
          <w:p w:rsidR="00C32541" w:rsidRPr="00727E9D" w:rsidRDefault="00C32541" w:rsidP="00A249C9">
            <w:pPr>
              <w:pStyle w:val="PargrafodaLista"/>
              <w:numPr>
                <w:ilvl w:val="0"/>
                <w:numId w:val="114"/>
              </w:numPr>
              <w:spacing w:line="240" w:lineRule="auto"/>
              <w:ind w:left="390"/>
              <w:jc w:val="both"/>
              <w:rPr>
                <w:rFonts w:cs="Arial"/>
                <w:sz w:val="18"/>
                <w:szCs w:val="18"/>
              </w:rPr>
            </w:pPr>
            <w:r w:rsidRPr="00727E9D">
              <w:rPr>
                <w:rFonts w:cs="Arial"/>
                <w:sz w:val="18"/>
                <w:szCs w:val="18"/>
              </w:rPr>
              <w:t>Modelo de gestão de compras revisado (2020)</w:t>
            </w:r>
          </w:p>
          <w:p w:rsidR="00C32541" w:rsidRPr="00727E9D" w:rsidRDefault="00C32541" w:rsidP="00A249C9">
            <w:pPr>
              <w:pStyle w:val="PargrafodaLista"/>
              <w:numPr>
                <w:ilvl w:val="0"/>
                <w:numId w:val="114"/>
              </w:numPr>
              <w:spacing w:line="240" w:lineRule="auto"/>
              <w:ind w:left="390"/>
              <w:jc w:val="both"/>
              <w:rPr>
                <w:rFonts w:cs="Arial"/>
                <w:sz w:val="18"/>
                <w:szCs w:val="18"/>
                <w:lang w:val="es-ES"/>
              </w:rPr>
            </w:pPr>
            <w:r w:rsidRPr="00727E9D">
              <w:rPr>
                <w:rFonts w:cs="Arial"/>
                <w:sz w:val="18"/>
                <w:szCs w:val="18"/>
                <w:lang w:val="es-ES"/>
              </w:rPr>
              <w:t>Preço de referência implantado (2021)</w:t>
            </w:r>
          </w:p>
          <w:p w:rsidR="00C32541" w:rsidRPr="00727E9D" w:rsidRDefault="00C32541" w:rsidP="00A249C9">
            <w:pPr>
              <w:pStyle w:val="PargrafodaLista"/>
              <w:numPr>
                <w:ilvl w:val="0"/>
                <w:numId w:val="114"/>
              </w:numPr>
              <w:spacing w:line="240" w:lineRule="auto"/>
              <w:ind w:left="390"/>
              <w:jc w:val="both"/>
              <w:rPr>
                <w:rFonts w:cs="Arial"/>
                <w:sz w:val="18"/>
                <w:szCs w:val="18"/>
              </w:rPr>
            </w:pPr>
            <w:r w:rsidRPr="00727E9D">
              <w:rPr>
                <w:rFonts w:cs="Arial"/>
                <w:sz w:val="18"/>
                <w:szCs w:val="18"/>
              </w:rPr>
              <w:t>Catálogo de compras e de fornecedores elaborado (2022)</w:t>
            </w:r>
          </w:p>
          <w:p w:rsidR="00C32541" w:rsidRPr="00727E9D" w:rsidRDefault="00C32541" w:rsidP="00A249C9">
            <w:pPr>
              <w:pStyle w:val="PargrafodaLista"/>
              <w:numPr>
                <w:ilvl w:val="0"/>
                <w:numId w:val="114"/>
              </w:numPr>
              <w:spacing w:line="240" w:lineRule="auto"/>
              <w:ind w:left="390"/>
              <w:jc w:val="both"/>
              <w:rPr>
                <w:rFonts w:cs="Arial"/>
                <w:b/>
                <w:sz w:val="18"/>
                <w:szCs w:val="18"/>
                <w:lang w:val="es-ES"/>
              </w:rPr>
            </w:pPr>
            <w:r w:rsidRPr="00727E9D">
              <w:rPr>
                <w:rFonts w:cs="Arial"/>
                <w:sz w:val="18"/>
                <w:szCs w:val="18"/>
                <w:lang w:val="es-ES"/>
              </w:rPr>
              <w:t>Sistema SIGA integrado a 5 sistemas (2023)</w:t>
            </w:r>
          </w:p>
        </w:tc>
      </w:tr>
      <w:tr w:rsidR="00C32541" w:rsidRPr="00727E9D" w:rsidTr="00555E76">
        <w:trPr>
          <w:trHeight w:val="654"/>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 xml:space="preserve">Deficiência na qualidade da informação gerada pela contabilidade para a tomada de decisão e prestação de contas </w:t>
            </w:r>
          </w:p>
          <w:p w:rsidR="00C32541" w:rsidRPr="00727E9D" w:rsidRDefault="00C32541" w:rsidP="00FE560B">
            <w:pPr>
              <w:spacing w:line="240" w:lineRule="auto"/>
              <w:jc w:val="both"/>
              <w:rPr>
                <w:rFonts w:cs="Arial"/>
                <w:sz w:val="18"/>
                <w:szCs w:val="18"/>
              </w:rPr>
            </w:pPr>
          </w:p>
          <w:p w:rsidR="00C32541" w:rsidRPr="00727E9D" w:rsidRDefault="00C32541" w:rsidP="00A249C9">
            <w:pPr>
              <w:pStyle w:val="PargrafodaLista"/>
              <w:numPr>
                <w:ilvl w:val="0"/>
                <w:numId w:val="107"/>
              </w:numPr>
              <w:spacing w:line="240" w:lineRule="auto"/>
              <w:jc w:val="both"/>
              <w:rPr>
                <w:rFonts w:cs="Arial"/>
                <w:sz w:val="18"/>
                <w:szCs w:val="18"/>
              </w:rPr>
            </w:pPr>
            <w:r w:rsidRPr="00727E9D">
              <w:rPr>
                <w:rFonts w:cs="Arial"/>
                <w:sz w:val="18"/>
                <w:szCs w:val="18"/>
              </w:rPr>
              <w:t>Elevado número de transações manuais para realizar a contabilidade de diversos procedimentos patrimoniais, acarretando demoras e riscos de erros. Atualmente 62% da norma contábeis exigidas pela STN estão implementadas.</w:t>
            </w:r>
          </w:p>
          <w:p w:rsidR="00C32541" w:rsidRPr="00727E9D" w:rsidRDefault="00C32541" w:rsidP="00A249C9">
            <w:pPr>
              <w:pStyle w:val="PargrafodaLista"/>
              <w:numPr>
                <w:ilvl w:val="0"/>
                <w:numId w:val="107"/>
              </w:numPr>
              <w:spacing w:line="240" w:lineRule="auto"/>
              <w:jc w:val="both"/>
              <w:rPr>
                <w:rFonts w:cs="Arial"/>
                <w:sz w:val="18"/>
                <w:szCs w:val="18"/>
              </w:rPr>
            </w:pPr>
            <w:r w:rsidRPr="00727E9D">
              <w:rPr>
                <w:rFonts w:cs="Arial"/>
                <w:sz w:val="18"/>
                <w:szCs w:val="18"/>
              </w:rPr>
              <w:t>Deficiência na parametrização e integração da informação dos sistemas Tributário (SIT), Administração (SIGA) e Recursos Humanos (SIARHES) com o SIGEFES.</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Gestão contábil aperfeiçoada.</w:t>
            </w:r>
          </w:p>
          <w:p w:rsidR="00C32541" w:rsidRPr="00727E9D" w:rsidRDefault="00C32541" w:rsidP="00A249C9">
            <w:pPr>
              <w:pStyle w:val="PargrafodaLista"/>
              <w:numPr>
                <w:ilvl w:val="0"/>
                <w:numId w:val="155"/>
              </w:numPr>
              <w:spacing w:line="240" w:lineRule="auto"/>
              <w:ind w:left="395"/>
              <w:jc w:val="both"/>
              <w:rPr>
                <w:rFonts w:cs="Arial"/>
                <w:sz w:val="18"/>
                <w:szCs w:val="18"/>
              </w:rPr>
            </w:pPr>
            <w:r w:rsidRPr="00727E9D">
              <w:rPr>
                <w:rFonts w:cs="Arial"/>
                <w:sz w:val="18"/>
                <w:szCs w:val="18"/>
              </w:rPr>
              <w:t xml:space="preserve">A rotina de depreciação leva em média 1 dia para ser realizada para cada um dos 46 órgãos, quando deveria ser feita em tempo real. </w:t>
            </w:r>
          </w:p>
          <w:p w:rsidR="00C32541" w:rsidRPr="00727E9D" w:rsidRDefault="00C32541" w:rsidP="00A249C9">
            <w:pPr>
              <w:pStyle w:val="PargrafodaLista"/>
              <w:numPr>
                <w:ilvl w:val="0"/>
                <w:numId w:val="155"/>
              </w:numPr>
              <w:spacing w:line="240" w:lineRule="auto"/>
              <w:ind w:left="395"/>
              <w:jc w:val="both"/>
              <w:rPr>
                <w:rFonts w:cs="Arial"/>
                <w:sz w:val="18"/>
                <w:szCs w:val="18"/>
              </w:rPr>
            </w:pPr>
            <w:r w:rsidRPr="00727E9D">
              <w:rPr>
                <w:rFonts w:cs="Arial"/>
                <w:sz w:val="18"/>
                <w:szCs w:val="18"/>
              </w:rPr>
              <w:t>A contabilização da folha de pagamento leva cerca de 3 dias para ser realizada por cada um dos 46 órgãos, quando poderia ser feita em tempo real.</w:t>
            </w:r>
          </w:p>
        </w:tc>
        <w:tc>
          <w:tcPr>
            <w:tcW w:w="4590" w:type="dxa"/>
            <w:shd w:val="clear" w:color="auto" w:fill="D7D2D9" w:themeFill="accent6" w:themeFillTint="66"/>
          </w:tcPr>
          <w:p w:rsidR="00C32541" w:rsidRPr="00727E9D" w:rsidRDefault="00C32541" w:rsidP="00FE560B">
            <w:pPr>
              <w:spacing w:line="240" w:lineRule="auto"/>
              <w:jc w:val="both"/>
              <w:rPr>
                <w:rFonts w:cs="Arial"/>
                <w:b/>
                <w:sz w:val="18"/>
                <w:szCs w:val="18"/>
              </w:rPr>
            </w:pPr>
            <w:r w:rsidRPr="00727E9D">
              <w:rPr>
                <w:rFonts w:cs="Arial"/>
                <w:b/>
                <w:sz w:val="18"/>
                <w:szCs w:val="18"/>
              </w:rPr>
              <w:t xml:space="preserve">3.4. Normas de contabilidade aplicadas ao setor público implantadas. </w:t>
            </w:r>
            <w:r w:rsidRPr="00727E9D">
              <w:rPr>
                <w:rFonts w:cs="Arial"/>
                <w:sz w:val="18"/>
                <w:szCs w:val="18"/>
              </w:rPr>
              <w:t>Incluindo:</w:t>
            </w:r>
          </w:p>
          <w:p w:rsidR="00C32541" w:rsidRPr="00727E9D" w:rsidRDefault="00C32541" w:rsidP="00FE560B">
            <w:pPr>
              <w:spacing w:line="240" w:lineRule="auto"/>
              <w:jc w:val="both"/>
              <w:rPr>
                <w:rFonts w:cs="Arial"/>
                <w:b/>
                <w:sz w:val="18"/>
                <w:szCs w:val="18"/>
              </w:rPr>
            </w:pPr>
          </w:p>
          <w:p w:rsidR="00C32541" w:rsidRPr="00727E9D" w:rsidRDefault="00C32541" w:rsidP="00A249C9">
            <w:pPr>
              <w:pStyle w:val="Rodap"/>
              <w:numPr>
                <w:ilvl w:val="0"/>
                <w:numId w:val="108"/>
              </w:numPr>
              <w:tabs>
                <w:tab w:val="clear" w:pos="4252"/>
                <w:tab w:val="clear" w:pos="8504"/>
                <w:tab w:val="center" w:pos="4419"/>
                <w:tab w:val="right" w:pos="8838"/>
              </w:tabs>
              <w:ind w:right="112"/>
              <w:jc w:val="both"/>
              <w:rPr>
                <w:rFonts w:cs="Arial"/>
                <w:sz w:val="18"/>
                <w:szCs w:val="18"/>
              </w:rPr>
            </w:pPr>
            <w:r w:rsidRPr="00727E9D">
              <w:rPr>
                <w:rFonts w:cs="Arial"/>
                <w:sz w:val="18"/>
                <w:szCs w:val="18"/>
              </w:rPr>
              <w:t>Definição de regras e políticas contábeis para: (i) contabilização de provisões; (ii) bens de infraestrutura; (iii) ativos decorrentes de transf. Intergovernamentais / receber; e (iv) ajustes para perdas de créditos tributários e dívida ativa.</w:t>
            </w:r>
          </w:p>
          <w:p w:rsidR="00C32541" w:rsidRPr="00727E9D" w:rsidRDefault="00C32541" w:rsidP="00A249C9">
            <w:pPr>
              <w:pStyle w:val="Rodap"/>
              <w:numPr>
                <w:ilvl w:val="0"/>
                <w:numId w:val="108"/>
              </w:numPr>
              <w:tabs>
                <w:tab w:val="clear" w:pos="4252"/>
                <w:tab w:val="clear" w:pos="8504"/>
                <w:tab w:val="center" w:pos="4419"/>
                <w:tab w:val="right" w:pos="8838"/>
              </w:tabs>
              <w:ind w:right="112"/>
              <w:jc w:val="both"/>
              <w:rPr>
                <w:rFonts w:cs="Arial"/>
                <w:sz w:val="18"/>
                <w:szCs w:val="18"/>
              </w:rPr>
            </w:pPr>
            <w:r w:rsidRPr="00727E9D">
              <w:rPr>
                <w:rFonts w:cs="Arial"/>
                <w:sz w:val="18"/>
                <w:szCs w:val="18"/>
              </w:rPr>
              <w:t xml:space="preserve">Customização contábil dos sistemas Tributário (SIT), Administração (SIGA) e Recursos Humanos (SIARHES) e integração com o SIGEFES. </w:t>
            </w:r>
          </w:p>
          <w:p w:rsidR="00C32541" w:rsidRPr="00727E9D" w:rsidRDefault="00C32541" w:rsidP="00FE560B">
            <w:pPr>
              <w:spacing w:line="240" w:lineRule="auto"/>
              <w:jc w:val="both"/>
              <w:rPr>
                <w:rFonts w:cs="Arial"/>
                <w:b/>
                <w:sz w:val="18"/>
                <w:szCs w:val="18"/>
              </w:rPr>
            </w:pPr>
          </w:p>
          <w:p w:rsidR="00C32541" w:rsidRPr="00727E9D" w:rsidRDefault="00C32541" w:rsidP="00FE560B">
            <w:pPr>
              <w:spacing w:line="240" w:lineRule="auto"/>
              <w:jc w:val="both"/>
              <w:rPr>
                <w:rFonts w:cs="Arial"/>
                <w:b/>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Línea de base: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Unidad de medida: Regras; </w:t>
            </w:r>
          </w:p>
          <w:p w:rsidR="00C32541" w:rsidRPr="00727E9D" w:rsidRDefault="00C32541" w:rsidP="00FE560B">
            <w:pPr>
              <w:spacing w:line="240" w:lineRule="auto"/>
              <w:jc w:val="both"/>
              <w:rPr>
                <w:rFonts w:cs="Arial"/>
                <w:b/>
                <w:sz w:val="18"/>
                <w:szCs w:val="18"/>
              </w:rPr>
            </w:pPr>
            <w:r w:rsidRPr="00727E9D">
              <w:rPr>
                <w:rFonts w:cs="Arial"/>
                <w:b/>
                <w:sz w:val="18"/>
                <w:szCs w:val="18"/>
              </w:rPr>
              <w:t>Etapas/acciones</w:t>
            </w:r>
          </w:p>
          <w:p w:rsidR="00C32541" w:rsidRPr="00727E9D" w:rsidRDefault="00C32541" w:rsidP="00A249C9">
            <w:pPr>
              <w:pStyle w:val="PargrafodaLista"/>
              <w:numPr>
                <w:ilvl w:val="0"/>
                <w:numId w:val="154"/>
              </w:numPr>
              <w:spacing w:line="240" w:lineRule="auto"/>
              <w:ind w:left="397"/>
              <w:jc w:val="both"/>
              <w:rPr>
                <w:rFonts w:cs="Arial"/>
                <w:sz w:val="18"/>
                <w:szCs w:val="18"/>
              </w:rPr>
            </w:pPr>
            <w:r w:rsidRPr="00727E9D">
              <w:rPr>
                <w:rFonts w:cs="Arial"/>
                <w:sz w:val="18"/>
                <w:szCs w:val="18"/>
              </w:rPr>
              <w:t>Regras implantadas (2022)</w:t>
            </w:r>
          </w:p>
          <w:p w:rsidR="00C32541" w:rsidRPr="00727E9D" w:rsidRDefault="00C32541" w:rsidP="00A249C9">
            <w:pPr>
              <w:pStyle w:val="PargrafodaLista"/>
              <w:numPr>
                <w:ilvl w:val="0"/>
                <w:numId w:val="154"/>
              </w:numPr>
              <w:spacing w:line="240" w:lineRule="auto"/>
              <w:ind w:left="397"/>
              <w:jc w:val="both"/>
              <w:rPr>
                <w:rFonts w:cs="Arial"/>
                <w:sz w:val="18"/>
                <w:szCs w:val="18"/>
              </w:rPr>
            </w:pPr>
            <w:r w:rsidRPr="00727E9D">
              <w:rPr>
                <w:rFonts w:cs="Arial"/>
                <w:sz w:val="18"/>
                <w:szCs w:val="18"/>
              </w:rPr>
              <w:t>Sistemas customizados (2023)</w:t>
            </w:r>
          </w:p>
          <w:p w:rsidR="00C32541" w:rsidRPr="00727E9D" w:rsidRDefault="00C32541" w:rsidP="00FE560B">
            <w:pPr>
              <w:spacing w:line="240" w:lineRule="auto"/>
              <w:jc w:val="both"/>
              <w:rPr>
                <w:rFonts w:cs="Arial"/>
                <w:b/>
                <w:sz w:val="18"/>
                <w:szCs w:val="18"/>
              </w:rPr>
            </w:pPr>
          </w:p>
        </w:tc>
      </w:tr>
      <w:bookmarkEnd w:id="177"/>
      <w:tr w:rsidR="00C32541" w:rsidRPr="00727E9D" w:rsidTr="00555E76">
        <w:trPr>
          <w:trHeight w:val="25"/>
        </w:trPr>
        <w:tc>
          <w:tcPr>
            <w:tcW w:w="390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b/>
                <w:sz w:val="18"/>
                <w:szCs w:val="18"/>
              </w:rPr>
              <w:t xml:space="preserve">Síntese do Problema: </w:t>
            </w:r>
            <w:r w:rsidRPr="00727E9D">
              <w:rPr>
                <w:rFonts w:cs="Arial"/>
                <w:sz w:val="18"/>
                <w:szCs w:val="18"/>
              </w:rPr>
              <w:t>Ineficiência na gestão dos gastos com desperdício de recursos financeiros.</w:t>
            </w:r>
          </w:p>
          <w:p w:rsidR="00C32541" w:rsidRPr="00727E9D" w:rsidRDefault="00C32541" w:rsidP="00A249C9">
            <w:pPr>
              <w:pStyle w:val="PargrafodaLista"/>
              <w:numPr>
                <w:ilvl w:val="0"/>
                <w:numId w:val="156"/>
              </w:numPr>
              <w:spacing w:line="240" w:lineRule="auto"/>
              <w:jc w:val="both"/>
              <w:rPr>
                <w:rFonts w:cs="Arial"/>
                <w:sz w:val="18"/>
                <w:szCs w:val="18"/>
              </w:rPr>
            </w:pPr>
            <w:r w:rsidRPr="00727E9D">
              <w:rPr>
                <w:rFonts w:cs="Arial"/>
                <w:sz w:val="18"/>
                <w:szCs w:val="18"/>
              </w:rPr>
              <w:t>O modelo atual se baseia principalmente nos aspectos quantitativos da execução orçamentária e financeira. Se realizam poucas avaliações sobre a efetividade e a qualidade do gasto. Não se conta com indicadores comuns para a medição dos gastos públicos entre as diferentes Unidades Gestoras.</w:t>
            </w:r>
          </w:p>
          <w:p w:rsidR="00C32541" w:rsidRPr="00727E9D" w:rsidRDefault="00C32541" w:rsidP="00A249C9">
            <w:pPr>
              <w:pStyle w:val="PargrafodaLista"/>
              <w:numPr>
                <w:ilvl w:val="0"/>
                <w:numId w:val="156"/>
              </w:numPr>
              <w:spacing w:line="240" w:lineRule="auto"/>
              <w:jc w:val="both"/>
              <w:rPr>
                <w:rFonts w:cs="Arial"/>
                <w:sz w:val="18"/>
                <w:szCs w:val="18"/>
              </w:rPr>
            </w:pPr>
            <w:r w:rsidRPr="00727E9D">
              <w:rPr>
                <w:rFonts w:cs="Arial"/>
                <w:sz w:val="18"/>
                <w:szCs w:val="18"/>
              </w:rPr>
              <w:t>Dificuldade para coletar, processar e gerar relatórios sobre a informação básica para realizar a gestão da qualidade dos gastos.</w:t>
            </w:r>
          </w:p>
        </w:tc>
        <w:tc>
          <w:tcPr>
            <w:tcW w:w="3150" w:type="dxa"/>
            <w:shd w:val="clear" w:color="auto" w:fill="D7D2D9" w:themeFill="accent6" w:themeFillTint="66"/>
          </w:tcPr>
          <w:p w:rsidR="00C32541" w:rsidRPr="00727E9D" w:rsidRDefault="00C32541" w:rsidP="00FE560B">
            <w:pPr>
              <w:spacing w:line="240" w:lineRule="auto"/>
              <w:jc w:val="both"/>
              <w:rPr>
                <w:rFonts w:cs="Arial"/>
                <w:sz w:val="18"/>
                <w:szCs w:val="18"/>
              </w:rPr>
            </w:pPr>
            <w:r w:rsidRPr="00727E9D">
              <w:rPr>
                <w:rFonts w:cs="Arial"/>
                <w:sz w:val="18"/>
                <w:szCs w:val="18"/>
              </w:rPr>
              <w:t>Nota Técnica – Inteligência do Gasto</w:t>
            </w:r>
          </w:p>
          <w:p w:rsidR="00C32541" w:rsidRPr="00727E9D" w:rsidRDefault="00C32541" w:rsidP="00A249C9">
            <w:pPr>
              <w:pStyle w:val="PargrafodaLista"/>
              <w:numPr>
                <w:ilvl w:val="0"/>
                <w:numId w:val="157"/>
              </w:numPr>
              <w:spacing w:line="240" w:lineRule="auto"/>
              <w:ind w:left="395"/>
              <w:jc w:val="both"/>
              <w:rPr>
                <w:rFonts w:cs="Arial"/>
                <w:sz w:val="18"/>
                <w:szCs w:val="18"/>
              </w:rPr>
            </w:pPr>
            <w:r w:rsidRPr="00727E9D">
              <w:rPr>
                <w:rFonts w:cs="Arial"/>
                <w:sz w:val="18"/>
                <w:szCs w:val="18"/>
              </w:rPr>
              <w:t xml:space="preserve">Gasto médio diário de transporte por aluno no ES = R$16,21. No Município de Conceição de Castelo é 197% maior do que o Gasto médio diário do estado. </w:t>
            </w:r>
          </w:p>
          <w:p w:rsidR="00C32541" w:rsidRPr="00727E9D" w:rsidRDefault="00C32541" w:rsidP="00A249C9">
            <w:pPr>
              <w:pStyle w:val="PargrafodaLista"/>
              <w:numPr>
                <w:ilvl w:val="0"/>
                <w:numId w:val="157"/>
              </w:numPr>
              <w:spacing w:line="240" w:lineRule="auto"/>
              <w:ind w:left="395"/>
              <w:jc w:val="both"/>
              <w:rPr>
                <w:rFonts w:cs="Arial"/>
                <w:sz w:val="18"/>
                <w:szCs w:val="18"/>
              </w:rPr>
            </w:pPr>
            <w:r w:rsidRPr="00727E9D">
              <w:rPr>
                <w:rFonts w:cs="Arial"/>
                <w:sz w:val="18"/>
                <w:szCs w:val="18"/>
              </w:rPr>
              <w:t>Os 05 sistemas corporativos do estado (SIGEFES, SEGES, SIGA, SIGHOSP, SIARHES) no contam com interfaces para prover a informação necessária para a gestão de custos públicos.</w:t>
            </w:r>
          </w:p>
        </w:tc>
        <w:tc>
          <w:tcPr>
            <w:tcW w:w="4590" w:type="dxa"/>
            <w:shd w:val="clear" w:color="auto" w:fill="D7D2D9" w:themeFill="accent6" w:themeFillTint="66"/>
          </w:tcPr>
          <w:p w:rsidR="00C32541" w:rsidRPr="00727E9D" w:rsidRDefault="00C32541" w:rsidP="00A249C9">
            <w:pPr>
              <w:pStyle w:val="PargrafodaLista"/>
              <w:numPr>
                <w:ilvl w:val="1"/>
                <w:numId w:val="167"/>
              </w:numPr>
              <w:tabs>
                <w:tab w:val="left" w:pos="286"/>
              </w:tabs>
              <w:spacing w:line="240" w:lineRule="auto"/>
              <w:jc w:val="both"/>
              <w:rPr>
                <w:rFonts w:cs="Arial"/>
                <w:sz w:val="18"/>
                <w:szCs w:val="18"/>
              </w:rPr>
            </w:pPr>
            <w:r w:rsidRPr="00727E9D">
              <w:rPr>
                <w:rFonts w:cs="Arial"/>
                <w:b/>
                <w:sz w:val="18"/>
                <w:szCs w:val="18"/>
              </w:rPr>
              <w:t>Modelo de gestão de custos públicos implantado</w:t>
            </w:r>
            <w:r w:rsidRPr="00727E9D">
              <w:rPr>
                <w:rFonts w:cs="Arial"/>
                <w:sz w:val="18"/>
                <w:szCs w:val="18"/>
              </w:rPr>
              <w:t>, contemplando:</w:t>
            </w:r>
          </w:p>
          <w:p w:rsidR="00C32541" w:rsidRPr="00727E9D" w:rsidRDefault="00C32541" w:rsidP="00A249C9">
            <w:pPr>
              <w:pStyle w:val="PargrafodaLista"/>
              <w:numPr>
                <w:ilvl w:val="0"/>
                <w:numId w:val="120"/>
              </w:numPr>
              <w:spacing w:line="240" w:lineRule="auto"/>
              <w:ind w:left="479"/>
              <w:jc w:val="both"/>
              <w:rPr>
                <w:rFonts w:cs="Arial"/>
                <w:sz w:val="18"/>
                <w:szCs w:val="18"/>
              </w:rPr>
            </w:pPr>
            <w:r w:rsidRPr="00727E9D">
              <w:rPr>
                <w:rFonts w:cs="Arial"/>
                <w:sz w:val="18"/>
                <w:szCs w:val="18"/>
              </w:rPr>
              <w:t>Mapeamento dos processos para o controle dos custos, unidades de gasto e definição de metodologia de avaliação dos custos das unidades.</w:t>
            </w:r>
          </w:p>
          <w:p w:rsidR="00C32541" w:rsidRPr="00727E9D" w:rsidRDefault="00C32541" w:rsidP="00A249C9">
            <w:pPr>
              <w:pStyle w:val="PargrafodaLista"/>
              <w:numPr>
                <w:ilvl w:val="0"/>
                <w:numId w:val="120"/>
              </w:numPr>
              <w:spacing w:line="240" w:lineRule="auto"/>
              <w:ind w:left="479"/>
              <w:jc w:val="both"/>
              <w:rPr>
                <w:rFonts w:cs="Arial"/>
                <w:sz w:val="18"/>
                <w:szCs w:val="18"/>
              </w:rPr>
            </w:pPr>
            <w:r w:rsidRPr="00727E9D">
              <w:rPr>
                <w:rFonts w:cs="Arial"/>
                <w:sz w:val="18"/>
                <w:szCs w:val="18"/>
              </w:rPr>
              <w:t>Desenvolvimento de Sistema integrado de coleta de informação e apropriação nas unidades a partir de interfaces com os diversos sistemas de gestão pública do Estado. Geração de BI com a informação coletada.</w:t>
            </w:r>
          </w:p>
          <w:p w:rsidR="00C32541" w:rsidRPr="00727E9D" w:rsidRDefault="00C32541" w:rsidP="00FE560B">
            <w:pPr>
              <w:spacing w:line="240" w:lineRule="auto"/>
              <w:ind w:left="119"/>
              <w:jc w:val="both"/>
              <w:rPr>
                <w:rFonts w:cs="Arial"/>
                <w:sz w:val="18"/>
                <w:szCs w:val="18"/>
              </w:rPr>
            </w:pPr>
          </w:p>
        </w:tc>
        <w:tc>
          <w:tcPr>
            <w:tcW w:w="2970" w:type="dxa"/>
            <w:shd w:val="clear" w:color="auto" w:fill="D7D2D9" w:themeFill="accent6" w:themeFillTint="66"/>
          </w:tcPr>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 xml:space="preserve">Línea de base </w:t>
            </w:r>
            <w:r w:rsidRPr="00727E9D">
              <w:rPr>
                <w:rFonts w:cs="Arial"/>
                <w:sz w:val="18"/>
                <w:szCs w:val="18"/>
                <w:lang w:val="es-ES"/>
              </w:rPr>
              <w:t>(</w:t>
            </w:r>
            <w:r w:rsidRPr="00727E9D">
              <w:rPr>
                <w:rFonts w:cs="Arial"/>
                <w:b/>
                <w:sz w:val="18"/>
                <w:szCs w:val="18"/>
                <w:lang w:val="es-ES"/>
              </w:rPr>
              <w:t>2018): 0;</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Meta (2023): 1;</w:t>
            </w:r>
          </w:p>
          <w:p w:rsidR="00C32541" w:rsidRPr="00727E9D" w:rsidRDefault="00C32541" w:rsidP="00FE560B">
            <w:pPr>
              <w:spacing w:line="240" w:lineRule="auto"/>
              <w:jc w:val="both"/>
              <w:rPr>
                <w:rFonts w:cs="Arial"/>
                <w:b/>
                <w:sz w:val="18"/>
                <w:szCs w:val="18"/>
                <w:lang w:val="es-ES"/>
              </w:rPr>
            </w:pPr>
            <w:r w:rsidRPr="00727E9D">
              <w:rPr>
                <w:rFonts w:cs="Arial"/>
                <w:b/>
                <w:sz w:val="18"/>
                <w:szCs w:val="18"/>
                <w:lang w:val="es-ES"/>
              </w:rPr>
              <w:t>Unidad de medida: Modelo.</w:t>
            </w:r>
          </w:p>
          <w:p w:rsidR="00C32541" w:rsidRPr="00727E9D" w:rsidRDefault="00C32541" w:rsidP="00FE560B">
            <w:pPr>
              <w:spacing w:line="240" w:lineRule="auto"/>
              <w:jc w:val="both"/>
              <w:rPr>
                <w:rFonts w:cs="Arial"/>
                <w:sz w:val="18"/>
                <w:szCs w:val="18"/>
              </w:rPr>
            </w:pPr>
            <w:r w:rsidRPr="00727E9D">
              <w:rPr>
                <w:rFonts w:cs="Arial"/>
                <w:b/>
                <w:sz w:val="18"/>
                <w:szCs w:val="18"/>
              </w:rPr>
              <w:t>Etapas/acciones</w:t>
            </w:r>
            <w:r w:rsidRPr="00727E9D">
              <w:rPr>
                <w:rFonts w:cs="Arial"/>
                <w:sz w:val="18"/>
                <w:szCs w:val="18"/>
              </w:rPr>
              <w:t xml:space="preserve"> </w:t>
            </w:r>
          </w:p>
          <w:p w:rsidR="00C32541" w:rsidRPr="00727E9D" w:rsidRDefault="00C32541" w:rsidP="00A249C9">
            <w:pPr>
              <w:pStyle w:val="PargrafodaLista"/>
              <w:numPr>
                <w:ilvl w:val="0"/>
                <w:numId w:val="158"/>
              </w:numPr>
              <w:spacing w:line="240" w:lineRule="auto"/>
              <w:ind w:left="397"/>
              <w:jc w:val="both"/>
              <w:rPr>
                <w:rFonts w:cs="Arial"/>
                <w:sz w:val="18"/>
                <w:szCs w:val="18"/>
              </w:rPr>
            </w:pPr>
            <w:r w:rsidRPr="00727E9D">
              <w:rPr>
                <w:rFonts w:cs="Arial"/>
                <w:sz w:val="18"/>
                <w:szCs w:val="18"/>
              </w:rPr>
              <w:t xml:space="preserve">Procedimentos para apuração, monitoramento e avaliação dos gastos definidos (2020) </w:t>
            </w:r>
          </w:p>
          <w:p w:rsidR="00C32541" w:rsidRPr="00727E9D" w:rsidRDefault="00C32541" w:rsidP="00A249C9">
            <w:pPr>
              <w:pStyle w:val="PargrafodaLista"/>
              <w:numPr>
                <w:ilvl w:val="0"/>
                <w:numId w:val="158"/>
              </w:numPr>
              <w:spacing w:line="240" w:lineRule="auto"/>
              <w:ind w:left="397"/>
              <w:jc w:val="both"/>
              <w:rPr>
                <w:rFonts w:cs="Arial"/>
                <w:sz w:val="18"/>
                <w:szCs w:val="18"/>
              </w:rPr>
            </w:pPr>
            <w:r w:rsidRPr="00727E9D">
              <w:rPr>
                <w:rFonts w:cs="Arial"/>
                <w:sz w:val="18"/>
                <w:szCs w:val="18"/>
              </w:rPr>
              <w:t>Metodologia de medição de gastos (2021)</w:t>
            </w:r>
          </w:p>
          <w:p w:rsidR="00C32541" w:rsidRPr="00727E9D" w:rsidRDefault="00C32541" w:rsidP="00A249C9">
            <w:pPr>
              <w:pStyle w:val="PargrafodaLista"/>
              <w:numPr>
                <w:ilvl w:val="0"/>
                <w:numId w:val="158"/>
              </w:numPr>
              <w:spacing w:line="240" w:lineRule="auto"/>
              <w:ind w:left="397"/>
              <w:jc w:val="both"/>
              <w:rPr>
                <w:rFonts w:cs="Arial"/>
                <w:b/>
                <w:sz w:val="18"/>
                <w:szCs w:val="18"/>
              </w:rPr>
            </w:pPr>
            <w:r w:rsidRPr="00727E9D">
              <w:rPr>
                <w:rFonts w:cs="Arial"/>
                <w:sz w:val="18"/>
                <w:szCs w:val="18"/>
              </w:rPr>
              <w:t>Sistema integrado de Inteligência do Gasto implantado (2023)</w:t>
            </w:r>
          </w:p>
        </w:tc>
      </w:tr>
    </w:tbl>
    <w:p w:rsidR="00C32541" w:rsidRPr="00C32541" w:rsidRDefault="00C32541" w:rsidP="00FE560B">
      <w:pPr>
        <w:rPr>
          <w:lang w:eastAsia="pt-BR"/>
        </w:rPr>
      </w:pPr>
    </w:p>
    <w:p w:rsidR="00DD3AC2" w:rsidRPr="00727E9D" w:rsidRDefault="00727E9D" w:rsidP="00FE560B">
      <w:pPr>
        <w:pStyle w:val="Ttulo2"/>
        <w:tabs>
          <w:tab w:val="left" w:pos="0"/>
        </w:tabs>
        <w:spacing w:before="0"/>
        <w:jc w:val="both"/>
        <w:rPr>
          <w:rFonts w:asciiTheme="minorHAnsi" w:eastAsia="Times New Roman" w:hAnsiTheme="minorHAnsi" w:cs="Arial"/>
          <w:color w:val="auto"/>
          <w:sz w:val="22"/>
          <w:szCs w:val="22"/>
          <w:lang w:eastAsia="pt-BR"/>
        </w:rPr>
      </w:pPr>
      <w:bookmarkStart w:id="179" w:name="_Toc517282185"/>
      <w:r w:rsidRPr="00727E9D">
        <w:rPr>
          <w:rFonts w:asciiTheme="minorHAnsi" w:eastAsia="Times New Roman" w:hAnsiTheme="minorHAnsi" w:cs="Arial"/>
          <w:color w:val="auto"/>
          <w:sz w:val="22"/>
          <w:szCs w:val="22"/>
          <w:lang w:eastAsia="pt-BR"/>
        </w:rPr>
        <w:t xml:space="preserve">ANEXO II - </w:t>
      </w:r>
      <w:r w:rsidR="00DD3AC2" w:rsidRPr="00727E9D">
        <w:rPr>
          <w:rFonts w:asciiTheme="minorHAnsi" w:eastAsia="Times New Roman" w:hAnsiTheme="minorHAnsi" w:cs="Arial"/>
          <w:color w:val="auto"/>
          <w:sz w:val="22"/>
          <w:szCs w:val="22"/>
          <w:lang w:eastAsia="pt-BR"/>
        </w:rPr>
        <w:t>ORÇAMENTO DO PROJETO POR COMPONENTES E PRODUTOS</w:t>
      </w:r>
      <w:bookmarkEnd w:id="179"/>
    </w:p>
    <w:p w:rsidR="00C32541" w:rsidRDefault="00C32541" w:rsidP="00FE560B">
      <w:pPr>
        <w:pStyle w:val="Ttulo2"/>
        <w:tabs>
          <w:tab w:val="left" w:pos="0"/>
        </w:tabs>
        <w:spacing w:before="0"/>
        <w:jc w:val="both"/>
        <w:rPr>
          <w:rFonts w:asciiTheme="minorHAnsi" w:eastAsia="Times New Roman" w:hAnsiTheme="minorHAnsi" w:cs="Arial"/>
          <w:sz w:val="22"/>
          <w:szCs w:val="22"/>
          <w:lang w:eastAsia="pt-BR"/>
        </w:rPr>
      </w:pPr>
    </w:p>
    <w:p w:rsidR="00727E9D" w:rsidRPr="00727E9D" w:rsidRDefault="00727E9D" w:rsidP="00FE560B">
      <w:pPr>
        <w:rPr>
          <w:lang w:eastAsia="pt-BR"/>
        </w:rPr>
        <w:sectPr w:rsidR="00727E9D" w:rsidRPr="00727E9D" w:rsidSect="00730336">
          <w:pgSz w:w="16838" w:h="11906" w:orient="landscape"/>
          <w:pgMar w:top="1417" w:right="1701" w:bottom="1417" w:left="1701" w:header="709" w:footer="709" w:gutter="0"/>
          <w:cols w:space="708"/>
          <w:titlePg/>
          <w:docGrid w:linePitch="360"/>
        </w:sectPr>
      </w:pPr>
      <w:r w:rsidRPr="00727E9D">
        <w:rPr>
          <w:noProof/>
          <w:lang w:eastAsia="pt-BR"/>
        </w:rPr>
        <w:drawing>
          <wp:inline distT="0" distB="0" distL="0" distR="0" wp14:anchorId="2A3481F8" wp14:editId="47A6669D">
            <wp:extent cx="8248650" cy="48387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48650" cy="4838700"/>
                    </a:xfrm>
                    <a:prstGeom prst="rect">
                      <a:avLst/>
                    </a:prstGeom>
                    <a:noFill/>
                    <a:ln>
                      <a:noFill/>
                    </a:ln>
                  </pic:spPr>
                </pic:pic>
              </a:graphicData>
            </a:graphic>
          </wp:inline>
        </w:drawing>
      </w:r>
    </w:p>
    <w:p w:rsidR="001B4726" w:rsidRPr="00DE2D55" w:rsidRDefault="001B4726" w:rsidP="00FE560B">
      <w:pPr>
        <w:pStyle w:val="Ttulo2"/>
        <w:tabs>
          <w:tab w:val="left" w:pos="0"/>
        </w:tabs>
        <w:spacing w:before="0"/>
        <w:jc w:val="both"/>
        <w:rPr>
          <w:rFonts w:asciiTheme="minorHAnsi" w:eastAsia="Times New Roman" w:hAnsiTheme="minorHAnsi" w:cs="Arial"/>
          <w:sz w:val="22"/>
          <w:szCs w:val="22"/>
          <w:lang w:eastAsia="pt-BR"/>
        </w:rPr>
      </w:pPr>
    </w:p>
    <w:p w:rsidR="00611D38" w:rsidRPr="00DE2D55" w:rsidRDefault="00611D38" w:rsidP="00FE560B">
      <w:pPr>
        <w:tabs>
          <w:tab w:val="left" w:pos="0"/>
        </w:tabs>
        <w:ind w:left="720"/>
        <w:jc w:val="both"/>
        <w:rPr>
          <w:rFonts w:eastAsia="Times New Roman" w:cs="Arial"/>
          <w:color w:val="996633"/>
          <w:lang w:eastAsia="pt-BR"/>
        </w:rPr>
      </w:pPr>
    </w:p>
    <w:sectPr w:rsidR="00611D38" w:rsidRPr="00DE2D55" w:rsidSect="001B3512">
      <w:pgSz w:w="11906" w:h="16838"/>
      <w:pgMar w:top="1134" w:right="992"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72C" w:rsidRDefault="0027272C" w:rsidP="009E58DD">
      <w:pPr>
        <w:spacing w:line="240" w:lineRule="auto"/>
      </w:pPr>
      <w:r>
        <w:separator/>
      </w:r>
    </w:p>
  </w:endnote>
  <w:endnote w:type="continuationSeparator" w:id="0">
    <w:p w:rsidR="0027272C" w:rsidRDefault="0027272C" w:rsidP="009E5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72C" w:rsidRDefault="0027272C" w:rsidP="009E58DD">
      <w:pPr>
        <w:spacing w:line="240" w:lineRule="auto"/>
      </w:pPr>
      <w:r>
        <w:separator/>
      </w:r>
    </w:p>
  </w:footnote>
  <w:footnote w:type="continuationSeparator" w:id="0">
    <w:p w:rsidR="0027272C" w:rsidRDefault="0027272C" w:rsidP="009E58DD">
      <w:pPr>
        <w:spacing w:line="240" w:lineRule="auto"/>
      </w:pPr>
      <w:r>
        <w:continuationSeparator/>
      </w:r>
    </w:p>
  </w:footnote>
  <w:footnote w:id="1">
    <w:p w:rsidR="00E04BB7" w:rsidRDefault="00E04BB7" w:rsidP="008E4A8D">
      <w:pPr>
        <w:pStyle w:val="Textodenotaderodap"/>
      </w:pPr>
      <w:r>
        <w:rPr>
          <w:rStyle w:val="Refdenotaderodap"/>
        </w:rPr>
        <w:footnoteRef/>
      </w:r>
      <w:r>
        <w:t xml:space="preserve"> </w:t>
      </w:r>
      <w:r w:rsidRPr="007D1961">
        <w:t>Foram considerados 1.306.856 processos tramitados no período, o que representa um custo unitário médio de R$ 11,24 por processo</w:t>
      </w:r>
      <w:r>
        <w:t>. Insumos: R$ 2,64 por volume (Fonte: SIGA) / Papel</w:t>
      </w:r>
      <w:r w:rsidRPr="007D1961">
        <w:t>: R$ 0,02 centavos a folha</w:t>
      </w:r>
      <w:r>
        <w:t xml:space="preserve"> (</w:t>
      </w:r>
      <w:r w:rsidRPr="007D1961">
        <w:t>Fonte: SIGA</w:t>
      </w:r>
      <w:r>
        <w:t>) / Toner: R$ 0,06 por página impressa (Fonte: editais TCE-MG, FIESC) / Transporte: R$ 140.000 por mês (Fonte: SEGER).</w:t>
      </w:r>
    </w:p>
  </w:footnote>
  <w:footnote w:id="2">
    <w:p w:rsidR="00E04BB7" w:rsidRDefault="00E04BB7" w:rsidP="008E4A8D">
      <w:pPr>
        <w:pStyle w:val="Textodenotaderodap"/>
      </w:pPr>
      <w:r>
        <w:rPr>
          <w:rStyle w:val="Refdenotaderodap"/>
        </w:rPr>
        <w:footnoteRef/>
      </w:r>
      <w:r>
        <w:t xml:space="preserve"> </w:t>
      </w:r>
      <w:r w:rsidRPr="00AB34C9">
        <w:rPr>
          <w:rFonts w:cs="Arial"/>
          <w:sz w:val="16"/>
          <w:szCs w:val="18"/>
          <w:shd w:val="clear" w:color="auto" w:fill="FFFFFF"/>
        </w:rPr>
        <w:t>Brocke, J. v. and M. Rosemann (2010). Handbook on Business Process Management 1: Introduction, Methods and Information Systems. Berlin.</w:t>
      </w:r>
    </w:p>
  </w:footnote>
  <w:footnote w:id="3">
    <w:p w:rsidR="00E04BB7" w:rsidRPr="005A187C" w:rsidRDefault="00E04BB7" w:rsidP="008E4A8D">
      <w:pPr>
        <w:pStyle w:val="Textodenotaderodap"/>
        <w:rPr>
          <w:sz w:val="16"/>
          <w:szCs w:val="16"/>
        </w:rPr>
      </w:pPr>
      <w:r w:rsidRPr="005A187C">
        <w:rPr>
          <w:rStyle w:val="Refdenotaderodap"/>
          <w:szCs w:val="16"/>
        </w:rPr>
        <w:footnoteRef/>
      </w:r>
      <w:r w:rsidRPr="005A187C">
        <w:rPr>
          <w:szCs w:val="16"/>
        </w:rPr>
        <w:t xml:space="preserve"> </w:t>
      </w:r>
      <w:r w:rsidRPr="005A187C">
        <w:rPr>
          <w:rFonts w:cs="Arial"/>
          <w:sz w:val="16"/>
          <w:szCs w:val="16"/>
          <w:shd w:val="clear" w:color="auto" w:fill="FFFFFF"/>
        </w:rPr>
        <w:t>M. Lynne Markus and Dax D. Jacobson em Brocke, J. v. and M. Rosemann (2010). Handbook on Business Process Management 1: Introduction, Methods and Information Systems. Berlin.</w:t>
      </w:r>
    </w:p>
  </w:footnote>
  <w:footnote w:id="4">
    <w:p w:rsidR="00E04BB7" w:rsidRPr="00323F4B" w:rsidRDefault="00E04BB7" w:rsidP="008E4A8D">
      <w:pPr>
        <w:pStyle w:val="Textodenotaderodap"/>
        <w:rPr>
          <w:rFonts w:cs="Arial"/>
          <w:sz w:val="16"/>
          <w:szCs w:val="16"/>
          <w:shd w:val="clear" w:color="auto" w:fill="FFFFFF"/>
        </w:rPr>
      </w:pPr>
      <w:r>
        <w:rPr>
          <w:rStyle w:val="Refdenotaderodap"/>
        </w:rPr>
        <w:footnoteRef/>
      </w:r>
      <w:r>
        <w:t xml:space="preserve"> </w:t>
      </w:r>
      <w:r w:rsidRPr="00323F4B">
        <w:rPr>
          <w:rFonts w:cs="Arial"/>
          <w:sz w:val="16"/>
          <w:szCs w:val="16"/>
          <w:shd w:val="clear" w:color="auto" w:fill="FFFFFF"/>
        </w:rPr>
        <w:t>Decreto nº 4112-R/2017 Dispõe sobre o uso do meio eletrônico para a realização do processo administrativo no âmbito dos órgãos e das entida</w:t>
      </w:r>
      <w:r>
        <w:rPr>
          <w:rFonts w:cs="Arial"/>
          <w:sz w:val="16"/>
          <w:szCs w:val="16"/>
          <w:shd w:val="clear" w:color="auto" w:fill="FFFFFF"/>
        </w:rPr>
        <w:t xml:space="preserve">des do Poder Executivo Estadual (disponível em: </w:t>
      </w:r>
      <w:hyperlink r:id="rId1" w:history="1">
        <w:r w:rsidRPr="00F45C82">
          <w:rPr>
            <w:rStyle w:val="Hyperlink"/>
            <w:rFonts w:cs="Arial"/>
            <w:sz w:val="16"/>
            <w:szCs w:val="16"/>
            <w:shd w:val="clear" w:color="auto" w:fill="FFFFFF"/>
          </w:rPr>
          <w:t>https://escritoriodeprocessos.es.gov.br/Media/escritoriodeprocessos/documentos/decreto4112.pdf</w:t>
        </w:r>
      </w:hyperlink>
      <w:r>
        <w:rPr>
          <w:rFonts w:cs="Arial"/>
          <w:sz w:val="16"/>
          <w:szCs w:val="16"/>
          <w:shd w:val="clear" w:color="auto" w:fill="FFFFFF"/>
        </w:rPr>
        <w:t xml:space="preserve"> )</w:t>
      </w:r>
    </w:p>
  </w:footnote>
  <w:footnote w:id="5">
    <w:p w:rsidR="00E04BB7" w:rsidRPr="005A187C" w:rsidRDefault="00E04BB7" w:rsidP="008E4A8D">
      <w:pPr>
        <w:pStyle w:val="Textodenotaderodap"/>
        <w:rPr>
          <w:rStyle w:val="Refdenotaderodap"/>
          <w:sz w:val="16"/>
          <w:szCs w:val="16"/>
        </w:rPr>
      </w:pPr>
      <w:r w:rsidRPr="005A187C">
        <w:rPr>
          <w:rStyle w:val="Refdenotaderodap"/>
          <w:szCs w:val="16"/>
        </w:rPr>
        <w:footnoteRef/>
      </w:r>
      <w:r w:rsidRPr="005A187C">
        <w:rPr>
          <w:szCs w:val="16"/>
        </w:rPr>
        <w:t xml:space="preserve"> </w:t>
      </w:r>
      <w:r w:rsidRPr="005A187C">
        <w:rPr>
          <w:rFonts w:cs="Arial"/>
          <w:sz w:val="16"/>
          <w:szCs w:val="16"/>
          <w:shd w:val="clear" w:color="auto" w:fill="FFFFFF"/>
        </w:rPr>
        <w:t xml:space="preserve">Estrutura que atua na disseminação da cultura do Gerenciamento de Processos e no incentivo para que sejam adotadas boas práticas de gestão sempre visando entregar melhores serviços a sociedade capixaba. Um dos objetivos do Escritório Central é a criação de uma rede de Escritórios Locais nas diversas Secretarias e Autarquias do Estado. Os Escritórios Locais têm a missão de administrar, dar </w:t>
      </w:r>
      <w:r w:rsidRPr="005A187C">
        <w:rPr>
          <w:rStyle w:val="Refdenotaderodap"/>
          <w:sz w:val="16"/>
          <w:szCs w:val="16"/>
        </w:rPr>
        <w:t xml:space="preserve">suporte e fomentar iniciativas de Gerenciamento de Processos (BPM – Bussiness Process Management) no âmbito do seu órgão, sob a supervisão e mentoria do Escritório Central. Para saber mais: </w:t>
      </w:r>
      <w:hyperlink r:id="rId2" w:history="1">
        <w:r w:rsidRPr="005A187C">
          <w:rPr>
            <w:rStyle w:val="Refdenotaderodap"/>
            <w:sz w:val="16"/>
            <w:szCs w:val="16"/>
          </w:rPr>
          <w:t>www.escritoriodeprocessos.es.gov.br</w:t>
        </w:r>
      </w:hyperlink>
      <w:r w:rsidRPr="005A187C">
        <w:rPr>
          <w:rStyle w:val="Refdenotaderodap"/>
          <w:sz w:val="16"/>
          <w:szCs w:val="16"/>
        </w:rPr>
        <w:t xml:space="preserve"> </w:t>
      </w:r>
    </w:p>
  </w:footnote>
  <w:footnote w:id="6">
    <w:p w:rsidR="00E04BB7" w:rsidRPr="005A187C" w:rsidRDefault="00E04BB7" w:rsidP="008E4A8D">
      <w:pPr>
        <w:pStyle w:val="Textodenotaderodap"/>
        <w:rPr>
          <w:rStyle w:val="Refdenotaderodap"/>
          <w:sz w:val="16"/>
          <w:szCs w:val="16"/>
        </w:rPr>
      </w:pPr>
      <w:r w:rsidRPr="005A187C">
        <w:rPr>
          <w:rStyle w:val="Refdenotaderodap"/>
          <w:szCs w:val="16"/>
        </w:rPr>
        <w:footnoteRef/>
      </w:r>
      <w:r w:rsidRPr="005A187C">
        <w:rPr>
          <w:rStyle w:val="Refdenotaderodap"/>
          <w:sz w:val="16"/>
          <w:szCs w:val="16"/>
        </w:rPr>
        <w:t xml:space="preserve"> A meta inicial do ECP é capacitar 3.150 servidores</w:t>
      </w:r>
      <w:r>
        <w:rPr>
          <w:sz w:val="16"/>
          <w:szCs w:val="16"/>
        </w:rPr>
        <w:t xml:space="preserve">, </w:t>
      </w:r>
      <w:r w:rsidRPr="005A187C">
        <w:rPr>
          <w:sz w:val="16"/>
          <w:szCs w:val="16"/>
        </w:rPr>
        <w:t>identificados como público-alvo</w:t>
      </w:r>
      <w:r w:rsidRPr="005A187C">
        <w:rPr>
          <w:rStyle w:val="Refdenotaderodap"/>
          <w:sz w:val="16"/>
          <w:szCs w:val="16"/>
        </w:rPr>
        <w:t>. Até o momento, apenas 500 foram capacitados (16%).</w:t>
      </w:r>
    </w:p>
  </w:footnote>
  <w:footnote w:id="7">
    <w:p w:rsidR="00E04BB7" w:rsidRDefault="00E04BB7" w:rsidP="008E4A8D">
      <w:pPr>
        <w:pStyle w:val="Textodenotaderodap"/>
      </w:pPr>
      <w:r>
        <w:rPr>
          <w:rStyle w:val="Refdenotaderodap"/>
        </w:rPr>
        <w:footnoteRef/>
      </w:r>
      <w:r>
        <w:t xml:space="preserve"> Dados do PRODEST.</w:t>
      </w:r>
    </w:p>
  </w:footnote>
  <w:footnote w:id="8">
    <w:p w:rsidR="00E04BB7" w:rsidRPr="00E33B87" w:rsidRDefault="00E04BB7" w:rsidP="008E4A8D">
      <w:pPr>
        <w:pStyle w:val="Textodenotaderodap"/>
        <w:rPr>
          <w:rFonts w:cs="Arial"/>
          <w:sz w:val="16"/>
          <w:szCs w:val="16"/>
          <w:shd w:val="clear" w:color="auto" w:fill="FFFFFF"/>
        </w:rPr>
      </w:pPr>
      <w:r w:rsidRPr="005A187C">
        <w:rPr>
          <w:rFonts w:cs="Arial"/>
          <w:shd w:val="clear" w:color="auto" w:fill="FFFFFF"/>
        </w:rPr>
        <w:footnoteRef/>
      </w:r>
      <w:r w:rsidRPr="005A187C">
        <w:rPr>
          <w:rFonts w:cs="Arial"/>
          <w:sz w:val="16"/>
          <w:szCs w:val="16"/>
          <w:shd w:val="clear" w:color="auto" w:fill="FFFFFF"/>
        </w:rPr>
        <w:t xml:space="preserve"> </w:t>
      </w:r>
      <w:r w:rsidRPr="00F3156D">
        <w:rPr>
          <w:rFonts w:cs="Arial"/>
          <w:sz w:val="16"/>
          <w:szCs w:val="16"/>
          <w:shd w:val="clear" w:color="auto" w:fill="FFFFFF"/>
        </w:rPr>
        <w:t>O Laboratório de Inovação na Gestão – LAB.ges é uma iniciativa</w:t>
      </w:r>
      <w:r w:rsidRPr="00E33B87">
        <w:rPr>
          <w:rFonts w:cs="Arial"/>
          <w:sz w:val="16"/>
          <w:szCs w:val="16"/>
          <w:shd w:val="clear" w:color="auto" w:fill="FFFFFF"/>
        </w:rPr>
        <w:t xml:space="preserve"> da Secretaria de Estado de Gestão e Recursos Humanos do Espírito Santo – SEGER que tem como objetivo promover a inovação na gestão pública, transformar cultura e desenvolver soluções para resolver desafios do Governo. Trata-se de um ambiente criado para estimular e desenvolver atitudes empreendedoras e fomentar a utilização de ferramentas e metodologias inovadoras.</w:t>
      </w:r>
      <w:r>
        <w:rPr>
          <w:rFonts w:cs="Arial"/>
          <w:sz w:val="16"/>
          <w:szCs w:val="16"/>
          <w:shd w:val="clear" w:color="auto" w:fill="FFFFFF"/>
        </w:rPr>
        <w:t xml:space="preserve"> Para saber mais: </w:t>
      </w:r>
      <w:hyperlink r:id="rId3" w:history="1">
        <w:r w:rsidRPr="00F45C82">
          <w:rPr>
            <w:rStyle w:val="Hyperlink"/>
            <w:rFonts w:cs="Arial"/>
            <w:sz w:val="16"/>
            <w:szCs w:val="16"/>
            <w:shd w:val="clear" w:color="auto" w:fill="FFFFFF"/>
          </w:rPr>
          <w:t>www.labges.es.gov.br</w:t>
        </w:r>
      </w:hyperlink>
      <w:r>
        <w:rPr>
          <w:rFonts w:cs="Arial"/>
          <w:sz w:val="16"/>
          <w:szCs w:val="16"/>
          <w:shd w:val="clear" w:color="auto" w:fill="FFFFFF"/>
        </w:rPr>
        <w:t xml:space="preserve"> </w:t>
      </w:r>
    </w:p>
  </w:footnote>
  <w:footnote w:id="9">
    <w:p w:rsidR="00E04BB7" w:rsidRPr="00E103C9" w:rsidRDefault="00E04BB7" w:rsidP="00CA21C4">
      <w:pPr>
        <w:pStyle w:val="Textodenotaderodap"/>
        <w:rPr>
          <w:sz w:val="16"/>
        </w:rPr>
      </w:pPr>
      <w:r w:rsidRPr="00E103C9">
        <w:rPr>
          <w:rStyle w:val="Refdenotaderodap"/>
        </w:rPr>
        <w:footnoteRef/>
      </w:r>
      <w:r w:rsidRPr="00E103C9">
        <w:rPr>
          <w:sz w:val="16"/>
        </w:rPr>
        <w:t xml:space="preserve"> PFLEEGER, S. L. Software Engineering – Theory and Practice, 2ª ed. Prentice-Hall,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BB7" w:rsidRDefault="00E04BB7">
    <w:pPr>
      <w:pStyle w:val="Cabealho"/>
    </w:pPr>
    <w:r>
      <w:object w:dxaOrig="3915" w:dyaOrig="1590" w14:anchorId="76484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5pt;height:52pt" o:ole="">
          <v:imagedata r:id="rId1" o:title=""/>
        </v:shape>
        <o:OLEObject Type="Embed" ProgID="PBrush" ShapeID="_x0000_i1025" DrawAspect="Content" ObjectID="_1591023928" r:id="rId2"/>
      </w:object>
    </w:r>
    <w:r>
      <w:rPr>
        <w:noProof/>
        <w:lang w:eastAsia="pt-BR"/>
      </w:rPr>
      <mc:AlternateContent>
        <mc:Choice Requires="wps">
          <w:drawing>
            <wp:anchor distT="0" distB="0" distL="114300" distR="114300" simplePos="0" relativeHeight="251662336" behindDoc="0" locked="0" layoutInCell="0" allowOverlap="1" wp14:anchorId="027BCD95" wp14:editId="273A5C4B">
              <wp:simplePos x="0" y="0"/>
              <wp:positionH relativeFrom="margin">
                <wp:posOffset>102235</wp:posOffset>
              </wp:positionH>
              <wp:positionV relativeFrom="topMargin">
                <wp:posOffset>365760</wp:posOffset>
              </wp:positionV>
              <wp:extent cx="5837555" cy="170815"/>
              <wp:effectExtent l="0" t="0" r="0" b="190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BB7" w:rsidRPr="00A56B9E" w:rsidRDefault="00E04BB7" w:rsidP="00A56B9E">
                          <w:pPr>
                            <w:spacing w:line="240" w:lineRule="auto"/>
                            <w:jc w:val="right"/>
                            <w:rPr>
                              <w:b/>
                              <w:color w:val="1B1D3D" w:themeColor="text2" w:themeShade="BF"/>
                              <w:u w:val="single"/>
                            </w:rPr>
                          </w:pPr>
                          <w:r>
                            <w:rPr>
                              <w:b/>
                              <w:noProof/>
                              <w:color w:val="1B1D3D" w:themeColor="text2" w:themeShade="BF"/>
                              <w:u w:val="single"/>
                              <w:lang w:eastAsia="pt-BR"/>
                            </w:rPr>
                            <w:t>PROFISCO II/ ES – JUNHO/2018</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7BCD95" id="_x0000_t202" coordsize="21600,21600" o:spt="202" path="m,l,21600r21600,l21600,xe">
              <v:stroke joinstyle="miter"/>
              <v:path gradientshapeok="t" o:connecttype="rect"/>
            </v:shapetype>
            <v:shape id="Text Box 11" o:spid="_x0000_s1032" type="#_x0000_t202" style="position:absolute;margin-left:8.05pt;margin-top:28.8pt;width:459.65pt;height:1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" o:allowincell="f" filled="f" stroked="f">
              <v:textbox style="mso-fit-shape-to-text:t" inset=",0,,0">
                <w:txbxContent>
                  <w:p w:rsidR="00E04BB7" w:rsidRPr="00A56B9E" w:rsidRDefault="00E04BB7" w:rsidP="00A56B9E">
                    <w:pPr>
                      <w:spacing w:line="240" w:lineRule="auto"/>
                      <w:jc w:val="right"/>
                      <w:rPr>
                        <w:b/>
                        <w:color w:val="1B1D3D" w:themeColor="text2" w:themeShade="BF"/>
                        <w:u w:val="single"/>
                      </w:rPr>
                    </w:pPr>
                    <w:r>
                      <w:rPr>
                        <w:b/>
                        <w:noProof/>
                        <w:color w:val="1B1D3D" w:themeColor="text2" w:themeShade="BF"/>
                        <w:u w:val="single"/>
                        <w:lang w:eastAsia="pt-BR"/>
                      </w:rPr>
                      <w:t>PROFISCO II/ ES – JUNHO/2018</w:t>
                    </w:r>
                  </w:p>
                </w:txbxContent>
              </v:textbox>
              <w10:wrap anchorx="margin" anchory="margin"/>
            </v:shape>
          </w:pict>
        </mc:Fallback>
      </mc:AlternateContent>
    </w:r>
    <w:r>
      <w:rPr>
        <w:noProof/>
        <w:lang w:eastAsia="pt-BR"/>
      </w:rPr>
      <mc:AlternateContent>
        <mc:Choice Requires="wps">
          <w:drawing>
            <wp:anchor distT="0" distB="0" distL="114300" distR="114300" simplePos="0" relativeHeight="251660288" behindDoc="0" locked="0" layoutInCell="0" allowOverlap="1" wp14:anchorId="0781B955" wp14:editId="04EE9B71">
              <wp:simplePos x="0" y="0"/>
              <wp:positionH relativeFrom="page">
                <wp:align>right</wp:align>
              </wp:positionH>
              <wp:positionV relativeFrom="topMargin">
                <wp:align>center</wp:align>
              </wp:positionV>
              <wp:extent cx="899160" cy="170815"/>
              <wp:effectExtent l="635" t="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BB7" w:rsidRDefault="00E04BB7">
                          <w:pPr>
                            <w:spacing w:line="240" w:lineRule="auto"/>
                            <w:rPr>
                              <w:color w:val="FFFFFF" w:themeColor="background1"/>
                            </w:rPr>
                          </w:pPr>
                          <w:r>
                            <w:fldChar w:fldCharType="begin"/>
                          </w:r>
                          <w:r>
                            <w:instrText xml:space="preserve"> PAGE   \* MERGEFORMAT </w:instrText>
                          </w:r>
                          <w:r>
                            <w:fldChar w:fldCharType="separate"/>
                          </w:r>
                          <w:r w:rsidR="00006F3D" w:rsidRPr="00006F3D">
                            <w:rPr>
                              <w:noProof/>
                              <w:color w:val="FFFFFF" w:themeColor="background1"/>
                            </w:rPr>
                            <w:t>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781B955" id="Text Box 10" o:spid="_x0000_s1033" type="#_x0000_t202" style="position:absolute;margin-left:19.6pt;margin-top:0;width:70.8pt;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" o:allowincell="f" fillcolor="#4a66ac [3204]" stroked="f">
              <v:textbox style="mso-fit-shape-to-text:t" inset=",0,,0">
                <w:txbxContent>
                  <w:p w:rsidR="00E04BB7" w:rsidRDefault="00E04BB7">
                    <w:pPr>
                      <w:spacing w:line="240" w:lineRule="auto"/>
                      <w:rPr>
                        <w:color w:val="FFFFFF" w:themeColor="background1"/>
                      </w:rPr>
                    </w:pPr>
                    <w:r>
                      <w:fldChar w:fldCharType="begin"/>
                    </w:r>
                    <w:r>
                      <w:instrText xml:space="preserve"> PAGE   \* MERGEFORMAT </w:instrText>
                    </w:r>
                    <w:r>
                      <w:fldChar w:fldCharType="separate"/>
                    </w:r>
                    <w:r w:rsidR="00006F3D" w:rsidRPr="00006F3D">
                      <w:rPr>
                        <w:noProof/>
                        <w:color w:val="FFFFFF" w:themeColor="background1"/>
                      </w:rPr>
                      <w:t>8</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909256"/>
      <w:docPartObj>
        <w:docPartGallery w:val="Page Numbers (Top of Page)"/>
        <w:docPartUnique/>
      </w:docPartObj>
    </w:sdtPr>
    <w:sdtContent>
      <w:p w:rsidR="00E04BB7" w:rsidRDefault="00E04BB7">
        <w:pPr>
          <w:pStyle w:val="Cabealho"/>
          <w:jc w:val="right"/>
        </w:pPr>
        <w:r>
          <w:fldChar w:fldCharType="begin"/>
        </w:r>
        <w:r>
          <w:instrText>PAGE   \* MERGEFORMAT</w:instrText>
        </w:r>
        <w:r>
          <w:fldChar w:fldCharType="separate"/>
        </w:r>
        <w:r w:rsidR="00E85505">
          <w:rPr>
            <w:noProof/>
          </w:rPr>
          <w:t>0</w:t>
        </w:r>
        <w:r>
          <w:fldChar w:fldCharType="end"/>
        </w:r>
      </w:p>
    </w:sdtContent>
  </w:sdt>
  <w:p w:rsidR="00E04BB7" w:rsidRDefault="00E04BB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06147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3" type="#_x0000_t75" style="width:11.25pt;height:11.25pt" o:bullet="t">
        <v:imagedata r:id="rId1" o:title="msoB5A"/>
      </v:shape>
    </w:pict>
  </w:numPicBullet>
  <w:abstractNum w:abstractNumId="0" w15:restartNumberingAfterBreak="0">
    <w:nsid w:val="00090A81"/>
    <w:multiLevelType w:val="hybridMultilevel"/>
    <w:tmpl w:val="1E8C23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0C748F"/>
    <w:multiLevelType w:val="hybridMultilevel"/>
    <w:tmpl w:val="88B4FD64"/>
    <w:lvl w:ilvl="0" w:tplc="B22E3342">
      <w:start w:val="1"/>
      <w:numFmt w:val="lowerLetter"/>
      <w:lvlText w:val="%1."/>
      <w:lvlJc w:val="left"/>
      <w:pPr>
        <w:ind w:left="1080" w:hanging="360"/>
      </w:pPr>
      <w:rPr>
        <w:rFonts w:ascii="Arial" w:eastAsiaTheme="minorHAnsi" w:hAnsi="Arial" w:cs="Arial"/>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0C834E2"/>
    <w:multiLevelType w:val="hybridMultilevel"/>
    <w:tmpl w:val="CB561958"/>
    <w:lvl w:ilvl="0" w:tplc="B2028A7E">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2E83C12"/>
    <w:multiLevelType w:val="hybridMultilevel"/>
    <w:tmpl w:val="43BE3CBC"/>
    <w:lvl w:ilvl="0" w:tplc="651436F4">
      <w:start w:val="1"/>
      <w:numFmt w:val="lowerLetter"/>
      <w:lvlText w:val="%1."/>
      <w:lvlJc w:val="left"/>
      <w:pPr>
        <w:ind w:left="1210" w:hanging="360"/>
      </w:pPr>
      <w:rPr>
        <w:rFonts w:ascii="Arial" w:eastAsiaTheme="minorHAnsi" w:hAnsi="Arial" w:cs="Arial"/>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34F1EA3"/>
    <w:multiLevelType w:val="hybridMultilevel"/>
    <w:tmpl w:val="37424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D06B0"/>
    <w:multiLevelType w:val="hybridMultilevel"/>
    <w:tmpl w:val="5DB42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49A3226"/>
    <w:multiLevelType w:val="multilevel"/>
    <w:tmpl w:val="6FF8FA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7B7FD6"/>
    <w:multiLevelType w:val="hybridMultilevel"/>
    <w:tmpl w:val="96420BB0"/>
    <w:lvl w:ilvl="0" w:tplc="2E8AF26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70908E7"/>
    <w:multiLevelType w:val="hybridMultilevel"/>
    <w:tmpl w:val="C9C047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72F46E2"/>
    <w:multiLevelType w:val="hybridMultilevel"/>
    <w:tmpl w:val="1450B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74C2D3B"/>
    <w:multiLevelType w:val="hybridMultilevel"/>
    <w:tmpl w:val="2202F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76A2F9A"/>
    <w:multiLevelType w:val="multilevel"/>
    <w:tmpl w:val="B114F76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092F0EEF"/>
    <w:multiLevelType w:val="multilevel"/>
    <w:tmpl w:val="377289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1D30AD"/>
    <w:multiLevelType w:val="hybridMultilevel"/>
    <w:tmpl w:val="2FB0D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B6717C4"/>
    <w:multiLevelType w:val="hybridMultilevel"/>
    <w:tmpl w:val="020CC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554279"/>
    <w:multiLevelType w:val="hybridMultilevel"/>
    <w:tmpl w:val="25884492"/>
    <w:lvl w:ilvl="0" w:tplc="EFAC364E">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0CE85231"/>
    <w:multiLevelType w:val="hybridMultilevel"/>
    <w:tmpl w:val="EBE65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DD838D9"/>
    <w:multiLevelType w:val="hybridMultilevel"/>
    <w:tmpl w:val="43C099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DED5D61"/>
    <w:multiLevelType w:val="multilevel"/>
    <w:tmpl w:val="4A449E8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0F034F"/>
    <w:multiLevelType w:val="multilevel"/>
    <w:tmpl w:val="522CBD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EA173F2"/>
    <w:multiLevelType w:val="hybridMultilevel"/>
    <w:tmpl w:val="D1A0767C"/>
    <w:lvl w:ilvl="0" w:tplc="E8CC645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ECC59FB"/>
    <w:multiLevelType w:val="hybridMultilevel"/>
    <w:tmpl w:val="DC8C7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C662CD"/>
    <w:multiLevelType w:val="hybridMultilevel"/>
    <w:tmpl w:val="90FA55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2A340F"/>
    <w:multiLevelType w:val="multilevel"/>
    <w:tmpl w:val="C2F490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481D8F"/>
    <w:multiLevelType w:val="hybridMultilevel"/>
    <w:tmpl w:val="155EF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DE2B87"/>
    <w:multiLevelType w:val="hybridMultilevel"/>
    <w:tmpl w:val="515220AC"/>
    <w:lvl w:ilvl="0" w:tplc="DC7ADFAE">
      <w:start w:val="1"/>
      <w:numFmt w:val="lowerLetter"/>
      <w:lvlText w:val="%1."/>
      <w:lvlJc w:val="left"/>
      <w:pPr>
        <w:ind w:left="360" w:hanging="360"/>
      </w:pPr>
      <w:rPr>
        <w:rFonts w:ascii="Arial" w:eastAsiaTheme="minorHAnsi" w:hAnsi="Arial" w:cs="Arial"/>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131F3FE5"/>
    <w:multiLevelType w:val="hybridMultilevel"/>
    <w:tmpl w:val="D2E2A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4024575"/>
    <w:multiLevelType w:val="hybridMultilevel"/>
    <w:tmpl w:val="B8C25A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47F0CDD"/>
    <w:multiLevelType w:val="hybridMultilevel"/>
    <w:tmpl w:val="D34A54D2"/>
    <w:lvl w:ilvl="0" w:tplc="5F9AEA7C">
      <w:start w:val="1"/>
      <w:numFmt w:val="lowerLetter"/>
      <w:lvlText w:val="%1."/>
      <w:lvlJc w:val="left"/>
      <w:pPr>
        <w:ind w:left="72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47F7694"/>
    <w:multiLevelType w:val="multilevel"/>
    <w:tmpl w:val="8E328E30"/>
    <w:lvl w:ilvl="0">
      <w:start w:val="2"/>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lowerLetter"/>
      <w:lvlText w:val="%3."/>
      <w:lvlJc w:val="left"/>
      <w:pPr>
        <w:ind w:left="720" w:hanging="360"/>
      </w:pPr>
      <w:rPr>
        <w:rFonts w:ascii="Arial" w:eastAsiaTheme="minorHAnsi" w:hAnsi="Arial" w:cs="Arial"/>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30" w15:restartNumberingAfterBreak="0">
    <w:nsid w:val="14D9776E"/>
    <w:multiLevelType w:val="hybridMultilevel"/>
    <w:tmpl w:val="5596ECFE"/>
    <w:lvl w:ilvl="0" w:tplc="291EBA30">
      <w:start w:val="1"/>
      <w:numFmt w:val="lowerLetter"/>
      <w:lvlText w:val="%1)"/>
      <w:lvlJc w:val="left"/>
      <w:pPr>
        <w:ind w:left="763" w:hanging="360"/>
      </w:pPr>
      <w:rPr>
        <w:rFonts w:hint="default"/>
      </w:rPr>
    </w:lvl>
    <w:lvl w:ilvl="1" w:tplc="04160019" w:tentative="1">
      <w:start w:val="1"/>
      <w:numFmt w:val="lowerLetter"/>
      <w:lvlText w:val="%2."/>
      <w:lvlJc w:val="left"/>
      <w:pPr>
        <w:ind w:left="1483" w:hanging="360"/>
      </w:pPr>
    </w:lvl>
    <w:lvl w:ilvl="2" w:tplc="0416001B" w:tentative="1">
      <w:start w:val="1"/>
      <w:numFmt w:val="lowerRoman"/>
      <w:lvlText w:val="%3."/>
      <w:lvlJc w:val="right"/>
      <w:pPr>
        <w:ind w:left="2203" w:hanging="180"/>
      </w:pPr>
    </w:lvl>
    <w:lvl w:ilvl="3" w:tplc="0416000F" w:tentative="1">
      <w:start w:val="1"/>
      <w:numFmt w:val="decimal"/>
      <w:lvlText w:val="%4."/>
      <w:lvlJc w:val="left"/>
      <w:pPr>
        <w:ind w:left="2923" w:hanging="360"/>
      </w:pPr>
    </w:lvl>
    <w:lvl w:ilvl="4" w:tplc="04160019" w:tentative="1">
      <w:start w:val="1"/>
      <w:numFmt w:val="lowerLetter"/>
      <w:lvlText w:val="%5."/>
      <w:lvlJc w:val="left"/>
      <w:pPr>
        <w:ind w:left="3643" w:hanging="360"/>
      </w:pPr>
    </w:lvl>
    <w:lvl w:ilvl="5" w:tplc="0416001B" w:tentative="1">
      <w:start w:val="1"/>
      <w:numFmt w:val="lowerRoman"/>
      <w:lvlText w:val="%6."/>
      <w:lvlJc w:val="right"/>
      <w:pPr>
        <w:ind w:left="4363" w:hanging="180"/>
      </w:pPr>
    </w:lvl>
    <w:lvl w:ilvl="6" w:tplc="0416000F" w:tentative="1">
      <w:start w:val="1"/>
      <w:numFmt w:val="decimal"/>
      <w:lvlText w:val="%7."/>
      <w:lvlJc w:val="left"/>
      <w:pPr>
        <w:ind w:left="5083" w:hanging="360"/>
      </w:pPr>
    </w:lvl>
    <w:lvl w:ilvl="7" w:tplc="04160019" w:tentative="1">
      <w:start w:val="1"/>
      <w:numFmt w:val="lowerLetter"/>
      <w:lvlText w:val="%8."/>
      <w:lvlJc w:val="left"/>
      <w:pPr>
        <w:ind w:left="5803" w:hanging="360"/>
      </w:pPr>
    </w:lvl>
    <w:lvl w:ilvl="8" w:tplc="0416001B" w:tentative="1">
      <w:start w:val="1"/>
      <w:numFmt w:val="lowerRoman"/>
      <w:lvlText w:val="%9."/>
      <w:lvlJc w:val="right"/>
      <w:pPr>
        <w:ind w:left="6523" w:hanging="180"/>
      </w:pPr>
    </w:lvl>
  </w:abstractNum>
  <w:abstractNum w:abstractNumId="31" w15:restartNumberingAfterBreak="0">
    <w:nsid w:val="14DA3531"/>
    <w:multiLevelType w:val="hybridMultilevel"/>
    <w:tmpl w:val="0E4CD86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 w15:restartNumberingAfterBreak="0">
    <w:nsid w:val="15CA13F8"/>
    <w:multiLevelType w:val="multilevel"/>
    <w:tmpl w:val="0546984C"/>
    <w:lvl w:ilvl="0">
      <w:start w:val="1"/>
      <w:numFmt w:val="bullet"/>
      <w:lvlText w:val=""/>
      <w:lvlJc w:val="left"/>
      <w:pPr>
        <w:ind w:left="720" w:hanging="360"/>
      </w:pPr>
      <w:rPr>
        <w:rFonts w:ascii="Symbol" w:hAnsi="Symbol" w:hint="default"/>
        <w:b/>
      </w:rPr>
    </w:lvl>
    <w:lvl w:ilvl="1">
      <w:start w:val="1"/>
      <w:numFmt w:val="bullet"/>
      <w:lvlText w:val="o"/>
      <w:lvlJc w:val="left"/>
      <w:pPr>
        <w:ind w:left="1080" w:hanging="720"/>
      </w:pPr>
      <w:rPr>
        <w:rFonts w:ascii="Courier New" w:hAnsi="Courier New" w:cs="Courier New" w:hint="default"/>
      </w:rPr>
    </w:lvl>
    <w:lvl w:ilvl="2">
      <w:start w:val="1"/>
      <w:numFmt w:val="bullet"/>
      <w:lvlText w:val=""/>
      <w:lvlPicBulletId w:val="0"/>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165B46BC"/>
    <w:multiLevelType w:val="hybridMultilevel"/>
    <w:tmpl w:val="A186FB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8151933"/>
    <w:multiLevelType w:val="hybridMultilevel"/>
    <w:tmpl w:val="DA048486"/>
    <w:lvl w:ilvl="0" w:tplc="1C76590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863342E"/>
    <w:multiLevelType w:val="multilevel"/>
    <w:tmpl w:val="02220A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6D322A"/>
    <w:multiLevelType w:val="hybridMultilevel"/>
    <w:tmpl w:val="8D768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18A07523"/>
    <w:multiLevelType w:val="multilevel"/>
    <w:tmpl w:val="170A2C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8D96A1C"/>
    <w:multiLevelType w:val="hybridMultilevel"/>
    <w:tmpl w:val="18BA10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9" w15:restartNumberingAfterBreak="0">
    <w:nsid w:val="19DE089D"/>
    <w:multiLevelType w:val="hybridMultilevel"/>
    <w:tmpl w:val="62523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1A6B1E7B"/>
    <w:multiLevelType w:val="hybridMultilevel"/>
    <w:tmpl w:val="5596ECFE"/>
    <w:lvl w:ilvl="0" w:tplc="291EBA30">
      <w:start w:val="1"/>
      <w:numFmt w:val="lowerLetter"/>
      <w:lvlText w:val="%1)"/>
      <w:lvlJc w:val="left"/>
      <w:pPr>
        <w:ind w:left="763" w:hanging="360"/>
      </w:pPr>
      <w:rPr>
        <w:rFonts w:hint="default"/>
      </w:rPr>
    </w:lvl>
    <w:lvl w:ilvl="1" w:tplc="04160019" w:tentative="1">
      <w:start w:val="1"/>
      <w:numFmt w:val="lowerLetter"/>
      <w:lvlText w:val="%2."/>
      <w:lvlJc w:val="left"/>
      <w:pPr>
        <w:ind w:left="1483" w:hanging="360"/>
      </w:pPr>
    </w:lvl>
    <w:lvl w:ilvl="2" w:tplc="0416001B" w:tentative="1">
      <w:start w:val="1"/>
      <w:numFmt w:val="lowerRoman"/>
      <w:lvlText w:val="%3."/>
      <w:lvlJc w:val="right"/>
      <w:pPr>
        <w:ind w:left="2203" w:hanging="180"/>
      </w:pPr>
    </w:lvl>
    <w:lvl w:ilvl="3" w:tplc="0416000F" w:tentative="1">
      <w:start w:val="1"/>
      <w:numFmt w:val="decimal"/>
      <w:lvlText w:val="%4."/>
      <w:lvlJc w:val="left"/>
      <w:pPr>
        <w:ind w:left="2923" w:hanging="360"/>
      </w:pPr>
    </w:lvl>
    <w:lvl w:ilvl="4" w:tplc="04160019" w:tentative="1">
      <w:start w:val="1"/>
      <w:numFmt w:val="lowerLetter"/>
      <w:lvlText w:val="%5."/>
      <w:lvlJc w:val="left"/>
      <w:pPr>
        <w:ind w:left="3643" w:hanging="360"/>
      </w:pPr>
    </w:lvl>
    <w:lvl w:ilvl="5" w:tplc="0416001B" w:tentative="1">
      <w:start w:val="1"/>
      <w:numFmt w:val="lowerRoman"/>
      <w:lvlText w:val="%6."/>
      <w:lvlJc w:val="right"/>
      <w:pPr>
        <w:ind w:left="4363" w:hanging="180"/>
      </w:pPr>
    </w:lvl>
    <w:lvl w:ilvl="6" w:tplc="0416000F" w:tentative="1">
      <w:start w:val="1"/>
      <w:numFmt w:val="decimal"/>
      <w:lvlText w:val="%7."/>
      <w:lvlJc w:val="left"/>
      <w:pPr>
        <w:ind w:left="5083" w:hanging="360"/>
      </w:pPr>
    </w:lvl>
    <w:lvl w:ilvl="7" w:tplc="04160019" w:tentative="1">
      <w:start w:val="1"/>
      <w:numFmt w:val="lowerLetter"/>
      <w:lvlText w:val="%8."/>
      <w:lvlJc w:val="left"/>
      <w:pPr>
        <w:ind w:left="5803" w:hanging="360"/>
      </w:pPr>
    </w:lvl>
    <w:lvl w:ilvl="8" w:tplc="0416001B" w:tentative="1">
      <w:start w:val="1"/>
      <w:numFmt w:val="lowerRoman"/>
      <w:lvlText w:val="%9."/>
      <w:lvlJc w:val="right"/>
      <w:pPr>
        <w:ind w:left="6523" w:hanging="180"/>
      </w:pPr>
    </w:lvl>
  </w:abstractNum>
  <w:abstractNum w:abstractNumId="41" w15:restartNumberingAfterBreak="0">
    <w:nsid w:val="1C1039AE"/>
    <w:multiLevelType w:val="hybridMultilevel"/>
    <w:tmpl w:val="9EE8D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BF06FD"/>
    <w:multiLevelType w:val="hybridMultilevel"/>
    <w:tmpl w:val="85CE99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1E1555B1"/>
    <w:multiLevelType w:val="hybridMultilevel"/>
    <w:tmpl w:val="C6FEA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110FF3"/>
    <w:multiLevelType w:val="hybridMultilevel"/>
    <w:tmpl w:val="023654E2"/>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45" w15:restartNumberingAfterBreak="0">
    <w:nsid w:val="1FB3468D"/>
    <w:multiLevelType w:val="hybridMultilevel"/>
    <w:tmpl w:val="92CC4548"/>
    <w:lvl w:ilvl="0" w:tplc="510EFE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210C03D1"/>
    <w:multiLevelType w:val="hybridMultilevel"/>
    <w:tmpl w:val="551ED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21782A06"/>
    <w:multiLevelType w:val="multilevel"/>
    <w:tmpl w:val="EB665A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1C81BBA"/>
    <w:multiLevelType w:val="hybridMultilevel"/>
    <w:tmpl w:val="09CACC50"/>
    <w:lvl w:ilvl="0" w:tplc="B3B6DED0">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21F8617B"/>
    <w:multiLevelType w:val="hybridMultilevel"/>
    <w:tmpl w:val="498E31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22735A57"/>
    <w:multiLevelType w:val="hybridMultilevel"/>
    <w:tmpl w:val="2DB4D3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24312ABD"/>
    <w:multiLevelType w:val="hybridMultilevel"/>
    <w:tmpl w:val="EA7EA2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24BD2503"/>
    <w:multiLevelType w:val="multilevel"/>
    <w:tmpl w:val="1D9C60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5F85611"/>
    <w:multiLevelType w:val="hybridMultilevel"/>
    <w:tmpl w:val="2DBA9C5E"/>
    <w:lvl w:ilvl="0" w:tplc="60063096">
      <w:start w:val="1"/>
      <w:numFmt w:val="lowerLetter"/>
      <w:lvlText w:val="%1."/>
      <w:lvlJc w:val="left"/>
      <w:pPr>
        <w:ind w:left="72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2759456B"/>
    <w:multiLevelType w:val="hybridMultilevel"/>
    <w:tmpl w:val="EE12A604"/>
    <w:lvl w:ilvl="0" w:tplc="738E9724">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5" w15:restartNumberingAfterBreak="0">
    <w:nsid w:val="294455F9"/>
    <w:multiLevelType w:val="multilevel"/>
    <w:tmpl w:val="ED2AF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9CE0EF8"/>
    <w:multiLevelType w:val="hybridMultilevel"/>
    <w:tmpl w:val="45F07D1A"/>
    <w:lvl w:ilvl="0" w:tplc="939E838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29DE5CE4"/>
    <w:multiLevelType w:val="hybridMultilevel"/>
    <w:tmpl w:val="99363A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2A292DDB"/>
    <w:multiLevelType w:val="multilevel"/>
    <w:tmpl w:val="CB3C70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B923788"/>
    <w:multiLevelType w:val="hybridMultilevel"/>
    <w:tmpl w:val="4F70D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A76617"/>
    <w:multiLevelType w:val="hybridMultilevel"/>
    <w:tmpl w:val="AA145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2BCF63FA"/>
    <w:multiLevelType w:val="multilevel"/>
    <w:tmpl w:val="6FF8FA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C0C1386"/>
    <w:multiLevelType w:val="hybridMultilevel"/>
    <w:tmpl w:val="48A8CACE"/>
    <w:lvl w:ilvl="0" w:tplc="E24AD710">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2C3A6CAA"/>
    <w:multiLevelType w:val="hybridMultilevel"/>
    <w:tmpl w:val="90523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586B91"/>
    <w:multiLevelType w:val="hybridMultilevel"/>
    <w:tmpl w:val="2974BC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C6901BA"/>
    <w:multiLevelType w:val="hybridMultilevel"/>
    <w:tmpl w:val="EA0EAF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2CB85356"/>
    <w:multiLevelType w:val="hybridMultilevel"/>
    <w:tmpl w:val="B7CCA89A"/>
    <w:lvl w:ilvl="0" w:tplc="B338FE3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2DE742A7"/>
    <w:multiLevelType w:val="multilevel"/>
    <w:tmpl w:val="FC0CFC3A"/>
    <w:lvl w:ilvl="0">
      <w:start w:val="1"/>
      <w:numFmt w:val="lowerLetter"/>
      <w:lvlText w:val="%1."/>
      <w:lvlJc w:val="left"/>
      <w:pPr>
        <w:ind w:left="720" w:hanging="360"/>
      </w:pPr>
      <w:rPr>
        <w:rFonts w:ascii="Arial" w:eastAsiaTheme="minorHAnsi" w:hAnsi="Arial" w:cs="Arial"/>
        <w:b w:val="0"/>
      </w:rPr>
    </w:lvl>
    <w:lvl w:ilvl="1">
      <w:start w:val="5"/>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080" w:hanging="72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440" w:hanging="108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1800" w:hanging="1440"/>
      </w:pPr>
      <w:rPr>
        <w:rFonts w:ascii="Calibri" w:hAnsi="Calibri" w:cs="Calibri" w:hint="default"/>
      </w:rPr>
    </w:lvl>
  </w:abstractNum>
  <w:abstractNum w:abstractNumId="68" w15:restartNumberingAfterBreak="0">
    <w:nsid w:val="31B77CFE"/>
    <w:multiLevelType w:val="hybridMultilevel"/>
    <w:tmpl w:val="324E491E"/>
    <w:lvl w:ilvl="0" w:tplc="6AC0C470">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9" w15:restartNumberingAfterBreak="0">
    <w:nsid w:val="31C34C38"/>
    <w:multiLevelType w:val="hybridMultilevel"/>
    <w:tmpl w:val="F04C5A30"/>
    <w:lvl w:ilvl="0" w:tplc="68A2A508">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0" w15:restartNumberingAfterBreak="0">
    <w:nsid w:val="33A3414A"/>
    <w:multiLevelType w:val="hybridMultilevel"/>
    <w:tmpl w:val="EE781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BE12CD"/>
    <w:multiLevelType w:val="multilevel"/>
    <w:tmpl w:val="DDC2ED6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2" w15:restartNumberingAfterBreak="0">
    <w:nsid w:val="355A781E"/>
    <w:multiLevelType w:val="hybridMultilevel"/>
    <w:tmpl w:val="BBE01CA8"/>
    <w:lvl w:ilvl="0" w:tplc="AEF0CB34">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36F0449D"/>
    <w:multiLevelType w:val="hybridMultilevel"/>
    <w:tmpl w:val="E4BCAD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37950308"/>
    <w:multiLevelType w:val="hybridMultilevel"/>
    <w:tmpl w:val="BC965014"/>
    <w:lvl w:ilvl="0" w:tplc="7A58FFCE">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388A5272"/>
    <w:multiLevelType w:val="multilevel"/>
    <w:tmpl w:val="282461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8E86397"/>
    <w:multiLevelType w:val="hybridMultilevel"/>
    <w:tmpl w:val="72C67E72"/>
    <w:lvl w:ilvl="0" w:tplc="61C8C8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3A035475"/>
    <w:multiLevelType w:val="multilevel"/>
    <w:tmpl w:val="9372E7DA"/>
    <w:lvl w:ilvl="0">
      <w:start w:val="1"/>
      <w:numFmt w:val="bullet"/>
      <w:lvlText w:val=""/>
      <w:lvlJc w:val="left"/>
      <w:pPr>
        <w:ind w:left="720" w:hanging="360"/>
      </w:pPr>
      <w:rPr>
        <w:rFonts w:ascii="Symbol" w:hAnsi="Symbol" w:hint="default"/>
        <w:b/>
      </w:rPr>
    </w:lvl>
    <w:lvl w:ilvl="1">
      <w:start w:val="1"/>
      <w:numFmt w:val="bullet"/>
      <w:lvlText w:val="o"/>
      <w:lvlJc w:val="left"/>
      <w:pPr>
        <w:ind w:left="1080" w:hanging="72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bullet"/>
      <w:lvlText w:val=""/>
      <w:lvlJc w:val="left"/>
      <w:pPr>
        <w:ind w:left="2160" w:hanging="1800"/>
      </w:pPr>
      <w:rPr>
        <w:rFonts w:ascii="Wingdings" w:hAnsi="Wingdings" w:hint="default"/>
      </w:rPr>
    </w:lvl>
    <w:lvl w:ilvl="8">
      <w:start w:val="1"/>
      <w:numFmt w:val="decimal"/>
      <w:isLgl/>
      <w:lvlText w:val="%1.%2.%3.%4.%5.%6.%7.%8.%9."/>
      <w:lvlJc w:val="left"/>
      <w:pPr>
        <w:ind w:left="2520" w:hanging="2160"/>
      </w:pPr>
      <w:rPr>
        <w:rFonts w:hint="default"/>
      </w:rPr>
    </w:lvl>
  </w:abstractNum>
  <w:abstractNum w:abstractNumId="78" w15:restartNumberingAfterBreak="0">
    <w:nsid w:val="3B706DAE"/>
    <w:multiLevelType w:val="multilevel"/>
    <w:tmpl w:val="015466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B86490B"/>
    <w:multiLevelType w:val="hybridMultilevel"/>
    <w:tmpl w:val="39D29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3341DF"/>
    <w:multiLevelType w:val="hybridMultilevel"/>
    <w:tmpl w:val="833637D0"/>
    <w:lvl w:ilvl="0" w:tplc="8964329A">
      <w:start w:val="1"/>
      <w:numFmt w:val="bullet"/>
      <w:lvlText w:val=""/>
      <w:lvlJc w:val="left"/>
      <w:pPr>
        <w:ind w:left="720" w:hanging="360"/>
      </w:pPr>
      <w:rPr>
        <w:rFonts w:ascii="Symbol" w:hAnsi="Symbo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3CED0E7B"/>
    <w:multiLevelType w:val="hybridMultilevel"/>
    <w:tmpl w:val="D288338C"/>
    <w:lvl w:ilvl="0" w:tplc="000E674A">
      <w:start w:val="1"/>
      <w:numFmt w:val="lowerLetter"/>
      <w:lvlText w:val="%1."/>
      <w:lvlJc w:val="left"/>
      <w:pPr>
        <w:ind w:left="360" w:hanging="360"/>
      </w:pPr>
      <w:rPr>
        <w:rFonts w:asciiTheme="minorHAnsi" w:eastAsiaTheme="minorHAnsi" w:hAnsiTheme="minorHAnsi" w:cstheme="minorBidi"/>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2" w15:restartNumberingAfterBreak="0">
    <w:nsid w:val="3D4544E9"/>
    <w:multiLevelType w:val="hybridMultilevel"/>
    <w:tmpl w:val="DCEABE5A"/>
    <w:lvl w:ilvl="0" w:tplc="0C2C2FB0">
      <w:start w:val="1"/>
      <w:numFmt w:val="lowerLetter"/>
      <w:lvlText w:val="%1)"/>
      <w:lvlJc w:val="left"/>
      <w:pPr>
        <w:tabs>
          <w:tab w:val="num" w:pos="720"/>
        </w:tabs>
        <w:ind w:left="720" w:hanging="360"/>
      </w:pPr>
    </w:lvl>
    <w:lvl w:ilvl="1" w:tplc="EF3689DC">
      <w:start w:val="1"/>
      <w:numFmt w:val="lowerLetter"/>
      <w:lvlText w:val="%2)"/>
      <w:lvlJc w:val="left"/>
      <w:pPr>
        <w:tabs>
          <w:tab w:val="num" w:pos="1440"/>
        </w:tabs>
        <w:ind w:left="1440" w:hanging="360"/>
      </w:pPr>
    </w:lvl>
    <w:lvl w:ilvl="2" w:tplc="5B2E4C5E" w:tentative="1">
      <w:start w:val="1"/>
      <w:numFmt w:val="lowerLetter"/>
      <w:lvlText w:val="%3)"/>
      <w:lvlJc w:val="left"/>
      <w:pPr>
        <w:tabs>
          <w:tab w:val="num" w:pos="2160"/>
        </w:tabs>
        <w:ind w:left="2160" w:hanging="360"/>
      </w:pPr>
    </w:lvl>
    <w:lvl w:ilvl="3" w:tplc="045442D6" w:tentative="1">
      <w:start w:val="1"/>
      <w:numFmt w:val="lowerLetter"/>
      <w:lvlText w:val="%4)"/>
      <w:lvlJc w:val="left"/>
      <w:pPr>
        <w:tabs>
          <w:tab w:val="num" w:pos="2880"/>
        </w:tabs>
        <w:ind w:left="2880" w:hanging="360"/>
      </w:pPr>
    </w:lvl>
    <w:lvl w:ilvl="4" w:tplc="6EC63B56" w:tentative="1">
      <w:start w:val="1"/>
      <w:numFmt w:val="lowerLetter"/>
      <w:lvlText w:val="%5)"/>
      <w:lvlJc w:val="left"/>
      <w:pPr>
        <w:tabs>
          <w:tab w:val="num" w:pos="3600"/>
        </w:tabs>
        <w:ind w:left="3600" w:hanging="360"/>
      </w:pPr>
    </w:lvl>
    <w:lvl w:ilvl="5" w:tplc="9D08D382" w:tentative="1">
      <w:start w:val="1"/>
      <w:numFmt w:val="lowerLetter"/>
      <w:lvlText w:val="%6)"/>
      <w:lvlJc w:val="left"/>
      <w:pPr>
        <w:tabs>
          <w:tab w:val="num" w:pos="4320"/>
        </w:tabs>
        <w:ind w:left="4320" w:hanging="360"/>
      </w:pPr>
    </w:lvl>
    <w:lvl w:ilvl="6" w:tplc="9A38C2D6" w:tentative="1">
      <w:start w:val="1"/>
      <w:numFmt w:val="lowerLetter"/>
      <w:lvlText w:val="%7)"/>
      <w:lvlJc w:val="left"/>
      <w:pPr>
        <w:tabs>
          <w:tab w:val="num" w:pos="5040"/>
        </w:tabs>
        <w:ind w:left="5040" w:hanging="360"/>
      </w:pPr>
    </w:lvl>
    <w:lvl w:ilvl="7" w:tplc="0C3EF462" w:tentative="1">
      <w:start w:val="1"/>
      <w:numFmt w:val="lowerLetter"/>
      <w:lvlText w:val="%8)"/>
      <w:lvlJc w:val="left"/>
      <w:pPr>
        <w:tabs>
          <w:tab w:val="num" w:pos="5760"/>
        </w:tabs>
        <w:ind w:left="5760" w:hanging="360"/>
      </w:pPr>
    </w:lvl>
    <w:lvl w:ilvl="8" w:tplc="13CA7606" w:tentative="1">
      <w:start w:val="1"/>
      <w:numFmt w:val="lowerLetter"/>
      <w:lvlText w:val="%9)"/>
      <w:lvlJc w:val="left"/>
      <w:pPr>
        <w:tabs>
          <w:tab w:val="num" w:pos="6480"/>
        </w:tabs>
        <w:ind w:left="6480" w:hanging="360"/>
      </w:pPr>
    </w:lvl>
  </w:abstractNum>
  <w:abstractNum w:abstractNumId="83" w15:restartNumberingAfterBreak="0">
    <w:nsid w:val="3E674151"/>
    <w:multiLevelType w:val="hybridMultilevel"/>
    <w:tmpl w:val="F0EC5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3EA573C5"/>
    <w:multiLevelType w:val="hybridMultilevel"/>
    <w:tmpl w:val="B6266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0680436"/>
    <w:multiLevelType w:val="hybridMultilevel"/>
    <w:tmpl w:val="8250B0EC"/>
    <w:lvl w:ilvl="0" w:tplc="04160017">
      <w:start w:val="1"/>
      <w:numFmt w:val="lowerLetter"/>
      <w:lvlText w:val="%1)"/>
      <w:lvlJc w:val="left"/>
      <w:pPr>
        <w:ind w:left="1788" w:hanging="360"/>
      </w:p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86" w15:restartNumberingAfterBreak="0">
    <w:nsid w:val="40C4558F"/>
    <w:multiLevelType w:val="multilevel"/>
    <w:tmpl w:val="FE8E20E6"/>
    <w:lvl w:ilvl="0">
      <w:start w:val="1"/>
      <w:numFmt w:val="lowerLetter"/>
      <w:lvlText w:val="%1."/>
      <w:lvlJc w:val="left"/>
      <w:pPr>
        <w:ind w:left="720" w:hanging="360"/>
      </w:pPr>
      <w:rPr>
        <w:rFonts w:ascii="Arial" w:eastAsiaTheme="minorHAnsi" w:hAnsi="Arial" w:cs="Arial"/>
      </w:rPr>
    </w:lvl>
    <w:lvl w:ilvl="1">
      <w:start w:val="5"/>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080" w:hanging="72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440" w:hanging="108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1800" w:hanging="1440"/>
      </w:pPr>
      <w:rPr>
        <w:rFonts w:ascii="Calibri" w:hAnsi="Calibri" w:cs="Calibri" w:hint="default"/>
      </w:rPr>
    </w:lvl>
  </w:abstractNum>
  <w:abstractNum w:abstractNumId="87" w15:restartNumberingAfterBreak="0">
    <w:nsid w:val="414B2818"/>
    <w:multiLevelType w:val="multilevel"/>
    <w:tmpl w:val="AD2638DE"/>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1841583"/>
    <w:multiLevelType w:val="multilevel"/>
    <w:tmpl w:val="E4EE2EFA"/>
    <w:lvl w:ilvl="0">
      <w:start w:val="1"/>
      <w:numFmt w:val="decimal"/>
      <w:lvlText w:val="%1"/>
      <w:lvlJc w:val="left"/>
      <w:pPr>
        <w:ind w:left="480" w:hanging="480"/>
      </w:pPr>
      <w:rPr>
        <w:rFonts w:hint="default"/>
      </w:rPr>
    </w:lvl>
    <w:lvl w:ilvl="1">
      <w:start w:val="2"/>
      <w:numFmt w:val="decimal"/>
      <w:lvlText w:val="%1.%2"/>
      <w:lvlJc w:val="left"/>
      <w:pPr>
        <w:ind w:left="682" w:hanging="48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89" w15:restartNumberingAfterBreak="0">
    <w:nsid w:val="4197730F"/>
    <w:multiLevelType w:val="hybridMultilevel"/>
    <w:tmpl w:val="B5DE8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424B77A5"/>
    <w:multiLevelType w:val="multilevel"/>
    <w:tmpl w:val="4EF4769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435B3269"/>
    <w:multiLevelType w:val="hybridMultilevel"/>
    <w:tmpl w:val="E8405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B250AA"/>
    <w:multiLevelType w:val="hybridMultilevel"/>
    <w:tmpl w:val="C0F86C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44482E00"/>
    <w:multiLevelType w:val="hybridMultilevel"/>
    <w:tmpl w:val="8084E3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45F91ED9"/>
    <w:multiLevelType w:val="hybridMultilevel"/>
    <w:tmpl w:val="3ED4B03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46003776"/>
    <w:multiLevelType w:val="hybridMultilevel"/>
    <w:tmpl w:val="F40C0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15:restartNumberingAfterBreak="0">
    <w:nsid w:val="468A6DFD"/>
    <w:multiLevelType w:val="multilevel"/>
    <w:tmpl w:val="BD5AA7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73D3E11"/>
    <w:multiLevelType w:val="hybridMultilevel"/>
    <w:tmpl w:val="BE1E2B04"/>
    <w:lvl w:ilvl="0" w:tplc="C6BC8E68">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8" w15:restartNumberingAfterBreak="0">
    <w:nsid w:val="495053FE"/>
    <w:multiLevelType w:val="hybridMultilevel"/>
    <w:tmpl w:val="DEF28338"/>
    <w:lvl w:ilvl="0" w:tplc="8FAE983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4A1967EE"/>
    <w:multiLevelType w:val="hybridMultilevel"/>
    <w:tmpl w:val="15327B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4A636D06"/>
    <w:multiLevelType w:val="hybridMultilevel"/>
    <w:tmpl w:val="86E20B9C"/>
    <w:lvl w:ilvl="0" w:tplc="04160013">
      <w:start w:val="1"/>
      <w:numFmt w:val="upperRoman"/>
      <w:lvlText w:val="%1."/>
      <w:lvlJc w:val="right"/>
      <w:pPr>
        <w:ind w:left="5400" w:hanging="360"/>
      </w:pPr>
    </w:lvl>
    <w:lvl w:ilvl="1" w:tplc="04160019" w:tentative="1">
      <w:start w:val="1"/>
      <w:numFmt w:val="lowerLetter"/>
      <w:lvlText w:val="%2."/>
      <w:lvlJc w:val="left"/>
      <w:pPr>
        <w:ind w:left="6120" w:hanging="360"/>
      </w:pPr>
    </w:lvl>
    <w:lvl w:ilvl="2" w:tplc="0416001B" w:tentative="1">
      <w:start w:val="1"/>
      <w:numFmt w:val="lowerRoman"/>
      <w:lvlText w:val="%3."/>
      <w:lvlJc w:val="right"/>
      <w:pPr>
        <w:ind w:left="6840" w:hanging="180"/>
      </w:pPr>
    </w:lvl>
    <w:lvl w:ilvl="3" w:tplc="0416000F" w:tentative="1">
      <w:start w:val="1"/>
      <w:numFmt w:val="decimal"/>
      <w:lvlText w:val="%4."/>
      <w:lvlJc w:val="left"/>
      <w:pPr>
        <w:ind w:left="7560" w:hanging="360"/>
      </w:pPr>
    </w:lvl>
    <w:lvl w:ilvl="4" w:tplc="04160019" w:tentative="1">
      <w:start w:val="1"/>
      <w:numFmt w:val="lowerLetter"/>
      <w:lvlText w:val="%5."/>
      <w:lvlJc w:val="left"/>
      <w:pPr>
        <w:ind w:left="8280" w:hanging="360"/>
      </w:pPr>
    </w:lvl>
    <w:lvl w:ilvl="5" w:tplc="0416001B" w:tentative="1">
      <w:start w:val="1"/>
      <w:numFmt w:val="lowerRoman"/>
      <w:lvlText w:val="%6."/>
      <w:lvlJc w:val="right"/>
      <w:pPr>
        <w:ind w:left="9000" w:hanging="180"/>
      </w:pPr>
    </w:lvl>
    <w:lvl w:ilvl="6" w:tplc="0416000F" w:tentative="1">
      <w:start w:val="1"/>
      <w:numFmt w:val="decimal"/>
      <w:lvlText w:val="%7."/>
      <w:lvlJc w:val="left"/>
      <w:pPr>
        <w:ind w:left="9720" w:hanging="360"/>
      </w:pPr>
    </w:lvl>
    <w:lvl w:ilvl="7" w:tplc="04160019" w:tentative="1">
      <w:start w:val="1"/>
      <w:numFmt w:val="lowerLetter"/>
      <w:lvlText w:val="%8."/>
      <w:lvlJc w:val="left"/>
      <w:pPr>
        <w:ind w:left="10440" w:hanging="360"/>
      </w:pPr>
    </w:lvl>
    <w:lvl w:ilvl="8" w:tplc="0416001B" w:tentative="1">
      <w:start w:val="1"/>
      <w:numFmt w:val="lowerRoman"/>
      <w:lvlText w:val="%9."/>
      <w:lvlJc w:val="right"/>
      <w:pPr>
        <w:ind w:left="11160" w:hanging="180"/>
      </w:pPr>
    </w:lvl>
  </w:abstractNum>
  <w:abstractNum w:abstractNumId="101" w15:restartNumberingAfterBreak="0">
    <w:nsid w:val="4B262DFC"/>
    <w:multiLevelType w:val="hybridMultilevel"/>
    <w:tmpl w:val="DCC61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4B595A7D"/>
    <w:multiLevelType w:val="hybridMultilevel"/>
    <w:tmpl w:val="A3B02540"/>
    <w:lvl w:ilvl="0" w:tplc="CB0AC2CC">
      <w:start w:val="1"/>
      <w:numFmt w:val="lowerLetter"/>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3" w15:restartNumberingAfterBreak="0">
    <w:nsid w:val="4BC91B0D"/>
    <w:multiLevelType w:val="hybridMultilevel"/>
    <w:tmpl w:val="61BA89B2"/>
    <w:lvl w:ilvl="0" w:tplc="F44CAD6A">
      <w:start w:val="1"/>
      <w:numFmt w:val="lowerLetter"/>
      <w:lvlText w:val="%1."/>
      <w:lvlJc w:val="left"/>
      <w:pPr>
        <w:ind w:left="720" w:hanging="360"/>
      </w:pPr>
      <w:rPr>
        <w:rFonts w:ascii="Arial" w:eastAsiaTheme="minorHAnsi" w:hAnsi="Arial" w:cs="Arial"/>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500774B9"/>
    <w:multiLevelType w:val="multilevel"/>
    <w:tmpl w:val="2720580E"/>
    <w:lvl w:ilvl="0">
      <w:start w:val="1"/>
      <w:numFmt w:val="lowerLetter"/>
      <w:lvlText w:val="%1."/>
      <w:lvlJc w:val="left"/>
      <w:pPr>
        <w:ind w:left="420" w:hanging="420"/>
      </w:pPr>
      <w:rPr>
        <w:rFonts w:asciiTheme="minorHAnsi" w:eastAsiaTheme="minorHAnsi" w:hAnsiTheme="minorHAnsi" w:cstheme="minorHAnsi"/>
        <w:b w:val="0"/>
      </w:rPr>
    </w:lvl>
    <w:lvl w:ilvl="1">
      <w:start w:val="1"/>
      <w:numFmt w:val="decimal"/>
      <w:lvlText w:val="%1.%2."/>
      <w:lvlJc w:val="left"/>
      <w:pPr>
        <w:ind w:left="420" w:hanging="420"/>
      </w:pPr>
      <w:rPr>
        <w:rFonts w:cstheme="minorHAnsi"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cstheme="minorHAnsi" w:hint="default"/>
        <w:b w:val="0"/>
      </w:rPr>
    </w:lvl>
    <w:lvl w:ilvl="4">
      <w:start w:val="1"/>
      <w:numFmt w:val="decimal"/>
      <w:lvlText w:val="%1.%2.%3.%4.%5."/>
      <w:lvlJc w:val="left"/>
      <w:pPr>
        <w:ind w:left="720" w:hanging="720"/>
      </w:pPr>
      <w:rPr>
        <w:rFonts w:cstheme="minorHAnsi" w:hint="default"/>
        <w:b w:val="0"/>
      </w:rPr>
    </w:lvl>
    <w:lvl w:ilvl="5">
      <w:start w:val="1"/>
      <w:numFmt w:val="decimal"/>
      <w:lvlText w:val="%1.%2.%3.%4.%5.%6."/>
      <w:lvlJc w:val="left"/>
      <w:pPr>
        <w:ind w:left="1080" w:hanging="1080"/>
      </w:pPr>
      <w:rPr>
        <w:rFonts w:cstheme="minorHAnsi" w:hint="default"/>
        <w:b w:val="0"/>
      </w:rPr>
    </w:lvl>
    <w:lvl w:ilvl="6">
      <w:start w:val="1"/>
      <w:numFmt w:val="decimal"/>
      <w:lvlText w:val="%1.%2.%3.%4.%5.%6.%7."/>
      <w:lvlJc w:val="left"/>
      <w:pPr>
        <w:ind w:left="1080" w:hanging="1080"/>
      </w:pPr>
      <w:rPr>
        <w:rFonts w:cstheme="minorHAnsi" w:hint="default"/>
        <w:b w:val="0"/>
      </w:rPr>
    </w:lvl>
    <w:lvl w:ilvl="7">
      <w:start w:val="1"/>
      <w:numFmt w:val="decimal"/>
      <w:lvlText w:val="%1.%2.%3.%4.%5.%6.%7.%8."/>
      <w:lvlJc w:val="left"/>
      <w:pPr>
        <w:ind w:left="1440" w:hanging="1440"/>
      </w:pPr>
      <w:rPr>
        <w:rFonts w:cstheme="minorHAnsi" w:hint="default"/>
        <w:b w:val="0"/>
      </w:rPr>
    </w:lvl>
    <w:lvl w:ilvl="8">
      <w:start w:val="1"/>
      <w:numFmt w:val="decimal"/>
      <w:lvlText w:val="%1.%2.%3.%4.%5.%6.%7.%8.%9."/>
      <w:lvlJc w:val="left"/>
      <w:pPr>
        <w:ind w:left="1440" w:hanging="1440"/>
      </w:pPr>
      <w:rPr>
        <w:rFonts w:cstheme="minorHAnsi" w:hint="default"/>
        <w:b w:val="0"/>
      </w:rPr>
    </w:lvl>
  </w:abstractNum>
  <w:abstractNum w:abstractNumId="105" w15:restartNumberingAfterBreak="0">
    <w:nsid w:val="50993C04"/>
    <w:multiLevelType w:val="hybridMultilevel"/>
    <w:tmpl w:val="FDB81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50E948FA"/>
    <w:multiLevelType w:val="multilevel"/>
    <w:tmpl w:val="E640A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1B025B2"/>
    <w:multiLevelType w:val="hybridMultilevel"/>
    <w:tmpl w:val="8E806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51F7340E"/>
    <w:multiLevelType w:val="hybridMultilevel"/>
    <w:tmpl w:val="69148424"/>
    <w:lvl w:ilvl="0" w:tplc="001A4F60">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9" w15:restartNumberingAfterBreak="0">
    <w:nsid w:val="52F30707"/>
    <w:multiLevelType w:val="hybridMultilevel"/>
    <w:tmpl w:val="B5B8C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539E26FB"/>
    <w:multiLevelType w:val="multilevel"/>
    <w:tmpl w:val="27CC230E"/>
    <w:lvl w:ilvl="0">
      <w:start w:val="1"/>
      <w:numFmt w:val="decimal"/>
      <w:lvlText w:val="%1"/>
      <w:lvlJc w:val="left"/>
      <w:pPr>
        <w:ind w:left="555" w:hanging="555"/>
      </w:pPr>
      <w:rPr>
        <w:rFonts w:hint="default"/>
      </w:rPr>
    </w:lvl>
    <w:lvl w:ilvl="1">
      <w:start w:val="1"/>
      <w:numFmt w:val="decimal"/>
      <w:lvlText w:val="%1.%2"/>
      <w:lvlJc w:val="left"/>
      <w:pPr>
        <w:ind w:left="757" w:hanging="55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11" w15:restartNumberingAfterBreak="0">
    <w:nsid w:val="54BD1E48"/>
    <w:multiLevelType w:val="hybridMultilevel"/>
    <w:tmpl w:val="BBDA0952"/>
    <w:lvl w:ilvl="0" w:tplc="DE9CB11C">
      <w:numFmt w:val="bullet"/>
      <w:lvlText w:val="•"/>
      <w:lvlJc w:val="left"/>
      <w:pPr>
        <w:ind w:left="2475" w:hanging="705"/>
      </w:pPr>
      <w:rPr>
        <w:rFonts w:ascii="Calibri" w:eastAsia="Times New Roman" w:hAnsi="Calibri" w:cs="Calibri"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112" w15:restartNumberingAfterBreak="0">
    <w:nsid w:val="553A5A3D"/>
    <w:multiLevelType w:val="multilevel"/>
    <w:tmpl w:val="61E610F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3" w15:restartNumberingAfterBreak="0">
    <w:nsid w:val="56C63BE5"/>
    <w:multiLevelType w:val="hybridMultilevel"/>
    <w:tmpl w:val="B700F704"/>
    <w:lvl w:ilvl="0" w:tplc="19AC3E90">
      <w:start w:val="1"/>
      <w:numFmt w:val="lowerLetter"/>
      <w:lvlText w:val="%1."/>
      <w:lvlJc w:val="left"/>
      <w:pPr>
        <w:ind w:left="360" w:hanging="360"/>
      </w:pPr>
      <w:rPr>
        <w:rFonts w:ascii="Arial" w:eastAsiaTheme="minorHAnsi" w:hAnsi="Arial" w:cs="Arial"/>
      </w:rPr>
    </w:lvl>
    <w:lvl w:ilvl="1" w:tplc="04160003" w:tentative="1">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4" w15:restartNumberingAfterBreak="0">
    <w:nsid w:val="57051D38"/>
    <w:multiLevelType w:val="multilevel"/>
    <w:tmpl w:val="4126CF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72E54B9"/>
    <w:multiLevelType w:val="hybridMultilevel"/>
    <w:tmpl w:val="2C6C9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57953B79"/>
    <w:multiLevelType w:val="hybridMultilevel"/>
    <w:tmpl w:val="3B6E4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7C86566"/>
    <w:multiLevelType w:val="hybridMultilevel"/>
    <w:tmpl w:val="70D63A1A"/>
    <w:lvl w:ilvl="0" w:tplc="9BC4237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5A5372F2"/>
    <w:multiLevelType w:val="multilevel"/>
    <w:tmpl w:val="D87C88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AC044D4"/>
    <w:multiLevelType w:val="hybridMultilevel"/>
    <w:tmpl w:val="2EB8CC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3D773F"/>
    <w:multiLevelType w:val="hybridMultilevel"/>
    <w:tmpl w:val="F9FE0F2E"/>
    <w:lvl w:ilvl="0" w:tplc="BD2277AE">
      <w:start w:val="1"/>
      <w:numFmt w:val="lowerLetter"/>
      <w:lvlText w:val="%1."/>
      <w:lvlJc w:val="left"/>
      <w:pPr>
        <w:ind w:left="360" w:hanging="360"/>
      </w:pPr>
      <w:rPr>
        <w:rFonts w:ascii="Arial" w:eastAsiaTheme="minorHAnsi" w:hAnsi="Arial" w:cs="Arial"/>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1" w15:restartNumberingAfterBreak="0">
    <w:nsid w:val="5B713674"/>
    <w:multiLevelType w:val="hybridMultilevel"/>
    <w:tmpl w:val="940E7CC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2" w15:restartNumberingAfterBreak="0">
    <w:nsid w:val="5BE76518"/>
    <w:multiLevelType w:val="hybridMultilevel"/>
    <w:tmpl w:val="D34A54D2"/>
    <w:lvl w:ilvl="0" w:tplc="5F9AEA7C">
      <w:start w:val="1"/>
      <w:numFmt w:val="lowerLetter"/>
      <w:lvlText w:val="%1."/>
      <w:lvlJc w:val="left"/>
      <w:pPr>
        <w:ind w:left="72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15:restartNumberingAfterBreak="0">
    <w:nsid w:val="5CFE48AD"/>
    <w:multiLevelType w:val="hybridMultilevel"/>
    <w:tmpl w:val="8BCEC5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15:restartNumberingAfterBreak="0">
    <w:nsid w:val="5D182C19"/>
    <w:multiLevelType w:val="hybridMultilevel"/>
    <w:tmpl w:val="FC280FC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5" w15:restartNumberingAfterBreak="0">
    <w:nsid w:val="5D985C99"/>
    <w:multiLevelType w:val="hybridMultilevel"/>
    <w:tmpl w:val="61B0F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5DEB4FD1"/>
    <w:multiLevelType w:val="hybridMultilevel"/>
    <w:tmpl w:val="FAAEA8A0"/>
    <w:lvl w:ilvl="0" w:tplc="9B0A74DE">
      <w:start w:val="1"/>
      <w:numFmt w:val="lowerLetter"/>
      <w:lvlText w:val="%1."/>
      <w:lvlJc w:val="left"/>
      <w:pPr>
        <w:ind w:left="121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5E46631B"/>
    <w:multiLevelType w:val="hybridMultilevel"/>
    <w:tmpl w:val="6392624C"/>
    <w:lvl w:ilvl="0" w:tplc="774AF4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EB344AE"/>
    <w:multiLevelType w:val="hybridMultilevel"/>
    <w:tmpl w:val="2578D0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5F267B78"/>
    <w:multiLevelType w:val="multilevel"/>
    <w:tmpl w:val="0324BD04"/>
    <w:lvl w:ilvl="0">
      <w:start w:val="1"/>
      <w:numFmt w:val="lowerLetter"/>
      <w:lvlText w:val="%1."/>
      <w:lvlJc w:val="left"/>
      <w:pPr>
        <w:ind w:left="360" w:hanging="360"/>
      </w:pPr>
      <w:rPr>
        <w:rFonts w:ascii="Arial" w:eastAsiaTheme="minorHAnsi" w:hAnsi="Arial" w:cs="Arial"/>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0" w15:restartNumberingAfterBreak="0">
    <w:nsid w:val="60351328"/>
    <w:multiLevelType w:val="multilevel"/>
    <w:tmpl w:val="4EF4769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12F2475"/>
    <w:multiLevelType w:val="multilevel"/>
    <w:tmpl w:val="884660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623C7184"/>
    <w:multiLevelType w:val="hybridMultilevel"/>
    <w:tmpl w:val="FECC64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15:restartNumberingAfterBreak="0">
    <w:nsid w:val="62B80AED"/>
    <w:multiLevelType w:val="hybridMultilevel"/>
    <w:tmpl w:val="E9142B56"/>
    <w:lvl w:ilvl="0" w:tplc="C54EBD34">
      <w:start w:val="1"/>
      <w:numFmt w:val="low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4130082"/>
    <w:multiLevelType w:val="hybridMultilevel"/>
    <w:tmpl w:val="4FB67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648D4F72"/>
    <w:multiLevelType w:val="hybridMultilevel"/>
    <w:tmpl w:val="1EA4CA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6" w15:restartNumberingAfterBreak="0">
    <w:nsid w:val="65F41CE1"/>
    <w:multiLevelType w:val="hybridMultilevel"/>
    <w:tmpl w:val="792A9BC0"/>
    <w:lvl w:ilvl="0" w:tplc="9190E91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66050E87"/>
    <w:multiLevelType w:val="multilevel"/>
    <w:tmpl w:val="153C1B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62F54D9"/>
    <w:multiLevelType w:val="hybridMultilevel"/>
    <w:tmpl w:val="EA822038"/>
    <w:lvl w:ilvl="0" w:tplc="5FC43CD4">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15:restartNumberingAfterBreak="0">
    <w:nsid w:val="667F6E6E"/>
    <w:multiLevelType w:val="hybridMultilevel"/>
    <w:tmpl w:val="3B0E0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84867A3"/>
    <w:multiLevelType w:val="hybridMultilevel"/>
    <w:tmpl w:val="493842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15:restartNumberingAfterBreak="0">
    <w:nsid w:val="68AD770F"/>
    <w:multiLevelType w:val="hybridMultilevel"/>
    <w:tmpl w:val="87D686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15:restartNumberingAfterBreak="0">
    <w:nsid w:val="68C225A5"/>
    <w:multiLevelType w:val="hybridMultilevel"/>
    <w:tmpl w:val="DDE8D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68D205FF"/>
    <w:multiLevelType w:val="hybridMultilevel"/>
    <w:tmpl w:val="819E04B0"/>
    <w:lvl w:ilvl="0" w:tplc="0E309332">
      <w:start w:val="1"/>
      <w:numFmt w:val="bullet"/>
      <w:lvlText w:val="•"/>
      <w:lvlJc w:val="left"/>
      <w:pPr>
        <w:tabs>
          <w:tab w:val="num" w:pos="720"/>
        </w:tabs>
        <w:ind w:left="720" w:hanging="360"/>
      </w:pPr>
      <w:rPr>
        <w:rFonts w:ascii="Arial" w:hAnsi="Arial" w:hint="default"/>
      </w:rPr>
    </w:lvl>
    <w:lvl w:ilvl="1" w:tplc="8E1E7DA2" w:tentative="1">
      <w:start w:val="1"/>
      <w:numFmt w:val="bullet"/>
      <w:lvlText w:val="•"/>
      <w:lvlJc w:val="left"/>
      <w:pPr>
        <w:tabs>
          <w:tab w:val="num" w:pos="1440"/>
        </w:tabs>
        <w:ind w:left="1440" w:hanging="360"/>
      </w:pPr>
      <w:rPr>
        <w:rFonts w:ascii="Arial" w:hAnsi="Arial" w:hint="default"/>
      </w:rPr>
    </w:lvl>
    <w:lvl w:ilvl="2" w:tplc="0CDCD1E6" w:tentative="1">
      <w:start w:val="1"/>
      <w:numFmt w:val="bullet"/>
      <w:lvlText w:val="•"/>
      <w:lvlJc w:val="left"/>
      <w:pPr>
        <w:tabs>
          <w:tab w:val="num" w:pos="2160"/>
        </w:tabs>
        <w:ind w:left="2160" w:hanging="360"/>
      </w:pPr>
      <w:rPr>
        <w:rFonts w:ascii="Arial" w:hAnsi="Arial" w:hint="default"/>
      </w:rPr>
    </w:lvl>
    <w:lvl w:ilvl="3" w:tplc="EA60241C" w:tentative="1">
      <w:start w:val="1"/>
      <w:numFmt w:val="bullet"/>
      <w:lvlText w:val="•"/>
      <w:lvlJc w:val="left"/>
      <w:pPr>
        <w:tabs>
          <w:tab w:val="num" w:pos="2880"/>
        </w:tabs>
        <w:ind w:left="2880" w:hanging="360"/>
      </w:pPr>
      <w:rPr>
        <w:rFonts w:ascii="Arial" w:hAnsi="Arial" w:hint="default"/>
      </w:rPr>
    </w:lvl>
    <w:lvl w:ilvl="4" w:tplc="B3A4119E" w:tentative="1">
      <w:start w:val="1"/>
      <w:numFmt w:val="bullet"/>
      <w:lvlText w:val="•"/>
      <w:lvlJc w:val="left"/>
      <w:pPr>
        <w:tabs>
          <w:tab w:val="num" w:pos="3600"/>
        </w:tabs>
        <w:ind w:left="3600" w:hanging="360"/>
      </w:pPr>
      <w:rPr>
        <w:rFonts w:ascii="Arial" w:hAnsi="Arial" w:hint="default"/>
      </w:rPr>
    </w:lvl>
    <w:lvl w:ilvl="5" w:tplc="5EFEB902" w:tentative="1">
      <w:start w:val="1"/>
      <w:numFmt w:val="bullet"/>
      <w:lvlText w:val="•"/>
      <w:lvlJc w:val="left"/>
      <w:pPr>
        <w:tabs>
          <w:tab w:val="num" w:pos="4320"/>
        </w:tabs>
        <w:ind w:left="4320" w:hanging="360"/>
      </w:pPr>
      <w:rPr>
        <w:rFonts w:ascii="Arial" w:hAnsi="Arial" w:hint="default"/>
      </w:rPr>
    </w:lvl>
    <w:lvl w:ilvl="6" w:tplc="2FCE74B6" w:tentative="1">
      <w:start w:val="1"/>
      <w:numFmt w:val="bullet"/>
      <w:lvlText w:val="•"/>
      <w:lvlJc w:val="left"/>
      <w:pPr>
        <w:tabs>
          <w:tab w:val="num" w:pos="5040"/>
        </w:tabs>
        <w:ind w:left="5040" w:hanging="360"/>
      </w:pPr>
      <w:rPr>
        <w:rFonts w:ascii="Arial" w:hAnsi="Arial" w:hint="default"/>
      </w:rPr>
    </w:lvl>
    <w:lvl w:ilvl="7" w:tplc="021649EC" w:tentative="1">
      <w:start w:val="1"/>
      <w:numFmt w:val="bullet"/>
      <w:lvlText w:val="•"/>
      <w:lvlJc w:val="left"/>
      <w:pPr>
        <w:tabs>
          <w:tab w:val="num" w:pos="5760"/>
        </w:tabs>
        <w:ind w:left="5760" w:hanging="360"/>
      </w:pPr>
      <w:rPr>
        <w:rFonts w:ascii="Arial" w:hAnsi="Arial" w:hint="default"/>
      </w:rPr>
    </w:lvl>
    <w:lvl w:ilvl="8" w:tplc="6632FAB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69C32A40"/>
    <w:multiLevelType w:val="hybridMultilevel"/>
    <w:tmpl w:val="400EEC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15:restartNumberingAfterBreak="0">
    <w:nsid w:val="6B92142D"/>
    <w:multiLevelType w:val="hybridMultilevel"/>
    <w:tmpl w:val="8A0C55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6" w15:restartNumberingAfterBreak="0">
    <w:nsid w:val="6E627556"/>
    <w:multiLevelType w:val="hybridMultilevel"/>
    <w:tmpl w:val="8282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15:restartNumberingAfterBreak="0">
    <w:nsid w:val="6EF157A1"/>
    <w:multiLevelType w:val="hybridMultilevel"/>
    <w:tmpl w:val="0CA205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8" w15:restartNumberingAfterBreak="0">
    <w:nsid w:val="6F277B67"/>
    <w:multiLevelType w:val="hybridMultilevel"/>
    <w:tmpl w:val="C7D6F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6F295642"/>
    <w:multiLevelType w:val="hybridMultilevel"/>
    <w:tmpl w:val="FA10BB3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0" w15:restartNumberingAfterBreak="0">
    <w:nsid w:val="6FF13BD6"/>
    <w:multiLevelType w:val="hybridMultilevel"/>
    <w:tmpl w:val="D34A54D2"/>
    <w:lvl w:ilvl="0" w:tplc="5F9AEA7C">
      <w:start w:val="1"/>
      <w:numFmt w:val="lowerLetter"/>
      <w:lvlText w:val="%1."/>
      <w:lvlJc w:val="left"/>
      <w:pPr>
        <w:ind w:left="72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15:restartNumberingAfterBreak="0">
    <w:nsid w:val="703D1E88"/>
    <w:multiLevelType w:val="hybridMultilevel"/>
    <w:tmpl w:val="484C0C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0483DDA"/>
    <w:multiLevelType w:val="multilevel"/>
    <w:tmpl w:val="2B5CC70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705F3E7E"/>
    <w:multiLevelType w:val="hybridMultilevel"/>
    <w:tmpl w:val="5C34B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19D60B0"/>
    <w:multiLevelType w:val="hybridMultilevel"/>
    <w:tmpl w:val="851AB2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4D439B"/>
    <w:multiLevelType w:val="hybridMultilevel"/>
    <w:tmpl w:val="9F8678F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6" w15:restartNumberingAfterBreak="0">
    <w:nsid w:val="72B84065"/>
    <w:multiLevelType w:val="hybridMultilevel"/>
    <w:tmpl w:val="7EE4504A"/>
    <w:lvl w:ilvl="0" w:tplc="3766CA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7" w15:restartNumberingAfterBreak="0">
    <w:nsid w:val="73084A99"/>
    <w:multiLevelType w:val="hybridMultilevel"/>
    <w:tmpl w:val="B3A09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15:restartNumberingAfterBreak="0">
    <w:nsid w:val="73B11844"/>
    <w:multiLevelType w:val="hybridMultilevel"/>
    <w:tmpl w:val="5B428C7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9" w15:restartNumberingAfterBreak="0">
    <w:nsid w:val="75A635FE"/>
    <w:multiLevelType w:val="hybridMultilevel"/>
    <w:tmpl w:val="D19C0A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6672496"/>
    <w:multiLevelType w:val="hybridMultilevel"/>
    <w:tmpl w:val="821AC80E"/>
    <w:lvl w:ilvl="0" w:tplc="5F14DDC0">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15:restartNumberingAfterBreak="0">
    <w:nsid w:val="76FF5813"/>
    <w:multiLevelType w:val="hybridMultilevel"/>
    <w:tmpl w:val="2A44DE1A"/>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15:restartNumberingAfterBreak="0">
    <w:nsid w:val="780B00B2"/>
    <w:multiLevelType w:val="hybridMultilevel"/>
    <w:tmpl w:val="F9248ED4"/>
    <w:lvl w:ilvl="0" w:tplc="F5BE3F2C">
      <w:start w:val="1"/>
      <w:numFmt w:val="lowerLetter"/>
      <w:lvlText w:val="%1."/>
      <w:lvlJc w:val="left"/>
      <w:pPr>
        <w:ind w:left="720" w:hanging="360"/>
      </w:pPr>
      <w:rPr>
        <w:rFonts w:ascii="Arial" w:eastAsiaTheme="minorHAnsi" w:hAnsi="Arial" w:cs="Arial"/>
        <w:b w:val="0"/>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15:restartNumberingAfterBreak="0">
    <w:nsid w:val="78E96017"/>
    <w:multiLevelType w:val="hybridMultilevel"/>
    <w:tmpl w:val="4E0C8A92"/>
    <w:lvl w:ilvl="0" w:tplc="04160001">
      <w:start w:val="1"/>
      <w:numFmt w:val="bullet"/>
      <w:lvlText w:val=""/>
      <w:lvlJc w:val="left"/>
      <w:pPr>
        <w:ind w:left="717" w:hanging="360"/>
      </w:pPr>
      <w:rPr>
        <w:rFonts w:ascii="Symbol" w:hAnsi="Symbol" w:hint="default"/>
      </w:rPr>
    </w:lvl>
    <w:lvl w:ilvl="1" w:tplc="04160003">
      <w:start w:val="1"/>
      <w:numFmt w:val="bullet"/>
      <w:lvlText w:val="o"/>
      <w:lvlJc w:val="left"/>
      <w:pPr>
        <w:ind w:left="1437" w:hanging="360"/>
      </w:pPr>
      <w:rPr>
        <w:rFonts w:ascii="Courier New" w:hAnsi="Courier New" w:cs="Courier New" w:hint="default"/>
      </w:rPr>
    </w:lvl>
    <w:lvl w:ilvl="2" w:tplc="04160005" w:tentative="1">
      <w:start w:val="1"/>
      <w:numFmt w:val="bullet"/>
      <w:lvlText w:val=""/>
      <w:lvlJc w:val="left"/>
      <w:pPr>
        <w:ind w:left="2157" w:hanging="360"/>
      </w:pPr>
      <w:rPr>
        <w:rFonts w:ascii="Wingdings" w:hAnsi="Wingdings" w:hint="default"/>
      </w:rPr>
    </w:lvl>
    <w:lvl w:ilvl="3" w:tplc="04160001" w:tentative="1">
      <w:start w:val="1"/>
      <w:numFmt w:val="bullet"/>
      <w:lvlText w:val=""/>
      <w:lvlJc w:val="left"/>
      <w:pPr>
        <w:ind w:left="2877" w:hanging="360"/>
      </w:pPr>
      <w:rPr>
        <w:rFonts w:ascii="Symbol" w:hAnsi="Symbol" w:hint="default"/>
      </w:rPr>
    </w:lvl>
    <w:lvl w:ilvl="4" w:tplc="04160003" w:tentative="1">
      <w:start w:val="1"/>
      <w:numFmt w:val="bullet"/>
      <w:lvlText w:val="o"/>
      <w:lvlJc w:val="left"/>
      <w:pPr>
        <w:ind w:left="3597" w:hanging="360"/>
      </w:pPr>
      <w:rPr>
        <w:rFonts w:ascii="Courier New" w:hAnsi="Courier New" w:cs="Courier New" w:hint="default"/>
      </w:rPr>
    </w:lvl>
    <w:lvl w:ilvl="5" w:tplc="04160005" w:tentative="1">
      <w:start w:val="1"/>
      <w:numFmt w:val="bullet"/>
      <w:lvlText w:val=""/>
      <w:lvlJc w:val="left"/>
      <w:pPr>
        <w:ind w:left="4317" w:hanging="360"/>
      </w:pPr>
      <w:rPr>
        <w:rFonts w:ascii="Wingdings" w:hAnsi="Wingdings" w:hint="default"/>
      </w:rPr>
    </w:lvl>
    <w:lvl w:ilvl="6" w:tplc="04160001" w:tentative="1">
      <w:start w:val="1"/>
      <w:numFmt w:val="bullet"/>
      <w:lvlText w:val=""/>
      <w:lvlJc w:val="left"/>
      <w:pPr>
        <w:ind w:left="5037" w:hanging="360"/>
      </w:pPr>
      <w:rPr>
        <w:rFonts w:ascii="Symbol" w:hAnsi="Symbol" w:hint="default"/>
      </w:rPr>
    </w:lvl>
    <w:lvl w:ilvl="7" w:tplc="04160003" w:tentative="1">
      <w:start w:val="1"/>
      <w:numFmt w:val="bullet"/>
      <w:lvlText w:val="o"/>
      <w:lvlJc w:val="left"/>
      <w:pPr>
        <w:ind w:left="5757" w:hanging="360"/>
      </w:pPr>
      <w:rPr>
        <w:rFonts w:ascii="Courier New" w:hAnsi="Courier New" w:cs="Courier New" w:hint="default"/>
      </w:rPr>
    </w:lvl>
    <w:lvl w:ilvl="8" w:tplc="04160005" w:tentative="1">
      <w:start w:val="1"/>
      <w:numFmt w:val="bullet"/>
      <w:lvlText w:val=""/>
      <w:lvlJc w:val="left"/>
      <w:pPr>
        <w:ind w:left="6477" w:hanging="360"/>
      </w:pPr>
      <w:rPr>
        <w:rFonts w:ascii="Wingdings" w:hAnsi="Wingdings" w:hint="default"/>
      </w:rPr>
    </w:lvl>
  </w:abstractNum>
  <w:abstractNum w:abstractNumId="164" w15:restartNumberingAfterBreak="0">
    <w:nsid w:val="7A7D4E65"/>
    <w:multiLevelType w:val="hybridMultilevel"/>
    <w:tmpl w:val="7FFED1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15:restartNumberingAfterBreak="0">
    <w:nsid w:val="7ABC520B"/>
    <w:multiLevelType w:val="hybridMultilevel"/>
    <w:tmpl w:val="811A275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6" w15:restartNumberingAfterBreak="0">
    <w:nsid w:val="7AC825E7"/>
    <w:multiLevelType w:val="hybridMultilevel"/>
    <w:tmpl w:val="EEF2720E"/>
    <w:lvl w:ilvl="0" w:tplc="9E628CC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7AD05791"/>
    <w:multiLevelType w:val="hybridMultilevel"/>
    <w:tmpl w:val="2468F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15:restartNumberingAfterBreak="0">
    <w:nsid w:val="7B926B9F"/>
    <w:multiLevelType w:val="hybridMultilevel"/>
    <w:tmpl w:val="FAAEA8A0"/>
    <w:lvl w:ilvl="0" w:tplc="9B0A74DE">
      <w:start w:val="1"/>
      <w:numFmt w:val="lowerLetter"/>
      <w:lvlText w:val="%1."/>
      <w:lvlJc w:val="left"/>
      <w:pPr>
        <w:ind w:left="1210" w:hanging="360"/>
      </w:pPr>
      <w:rPr>
        <w:rFonts w:ascii="Arial" w:eastAsiaTheme="minorHAnsi" w:hAnsi="Arial" w:cs="Arial"/>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7BBD5AA0"/>
    <w:multiLevelType w:val="hybridMultilevel"/>
    <w:tmpl w:val="B4A49F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15:restartNumberingAfterBreak="0">
    <w:nsid w:val="7BD1459F"/>
    <w:multiLevelType w:val="hybridMultilevel"/>
    <w:tmpl w:val="C5AA9F88"/>
    <w:lvl w:ilvl="0" w:tplc="AD1CA294">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15:restartNumberingAfterBreak="0">
    <w:nsid w:val="7C0A689C"/>
    <w:multiLevelType w:val="hybridMultilevel"/>
    <w:tmpl w:val="D904E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15:restartNumberingAfterBreak="0">
    <w:nsid w:val="7C202CF5"/>
    <w:multiLevelType w:val="hybridMultilevel"/>
    <w:tmpl w:val="EC1A3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15:restartNumberingAfterBreak="0">
    <w:nsid w:val="7CD669CB"/>
    <w:multiLevelType w:val="hybridMultilevel"/>
    <w:tmpl w:val="61BA89B2"/>
    <w:lvl w:ilvl="0" w:tplc="F44CAD6A">
      <w:start w:val="1"/>
      <w:numFmt w:val="lowerLetter"/>
      <w:lvlText w:val="%1."/>
      <w:lvlJc w:val="left"/>
      <w:pPr>
        <w:ind w:left="720" w:hanging="360"/>
      </w:pPr>
      <w:rPr>
        <w:rFonts w:ascii="Arial" w:eastAsiaTheme="minorHAnsi" w:hAnsi="Arial" w:cs="Arial"/>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15:restartNumberingAfterBreak="0">
    <w:nsid w:val="7D6B42FF"/>
    <w:multiLevelType w:val="multilevel"/>
    <w:tmpl w:val="CA7A54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7EDD467B"/>
    <w:multiLevelType w:val="hybridMultilevel"/>
    <w:tmpl w:val="D8CA6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15:restartNumberingAfterBreak="0">
    <w:nsid w:val="7F8B39FC"/>
    <w:multiLevelType w:val="multilevel"/>
    <w:tmpl w:val="685AA10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177" w15:restartNumberingAfterBreak="0">
    <w:nsid w:val="7FB21424"/>
    <w:multiLevelType w:val="multilevel"/>
    <w:tmpl w:val="27CC230E"/>
    <w:lvl w:ilvl="0">
      <w:start w:val="1"/>
      <w:numFmt w:val="decimal"/>
      <w:lvlText w:val="%1"/>
      <w:lvlJc w:val="left"/>
      <w:pPr>
        <w:ind w:left="555" w:hanging="555"/>
      </w:pPr>
      <w:rPr>
        <w:rFonts w:hint="default"/>
      </w:rPr>
    </w:lvl>
    <w:lvl w:ilvl="1">
      <w:start w:val="1"/>
      <w:numFmt w:val="decimal"/>
      <w:lvlText w:val="%1.%2"/>
      <w:lvlJc w:val="left"/>
      <w:pPr>
        <w:ind w:left="757" w:hanging="55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num w:numId="1">
    <w:abstractNumId w:val="101"/>
  </w:num>
  <w:num w:numId="2">
    <w:abstractNumId w:val="169"/>
  </w:num>
  <w:num w:numId="3">
    <w:abstractNumId w:val="110"/>
  </w:num>
  <w:num w:numId="4">
    <w:abstractNumId w:val="23"/>
  </w:num>
  <w:num w:numId="5">
    <w:abstractNumId w:val="135"/>
  </w:num>
  <w:num w:numId="6">
    <w:abstractNumId w:val="76"/>
  </w:num>
  <w:num w:numId="7">
    <w:abstractNumId w:val="45"/>
  </w:num>
  <w:num w:numId="8">
    <w:abstractNumId w:val="20"/>
  </w:num>
  <w:num w:numId="9">
    <w:abstractNumId w:val="66"/>
  </w:num>
  <w:num w:numId="10">
    <w:abstractNumId w:val="98"/>
  </w:num>
  <w:num w:numId="11">
    <w:abstractNumId w:val="34"/>
  </w:num>
  <w:num w:numId="12">
    <w:abstractNumId w:val="56"/>
  </w:num>
  <w:num w:numId="13">
    <w:abstractNumId w:val="156"/>
  </w:num>
  <w:num w:numId="14">
    <w:abstractNumId w:val="7"/>
  </w:num>
  <w:num w:numId="15">
    <w:abstractNumId w:val="166"/>
  </w:num>
  <w:num w:numId="16">
    <w:abstractNumId w:val="136"/>
  </w:num>
  <w:num w:numId="17">
    <w:abstractNumId w:val="64"/>
  </w:num>
  <w:num w:numId="18">
    <w:abstractNumId w:val="134"/>
  </w:num>
  <w:num w:numId="19">
    <w:abstractNumId w:val="88"/>
  </w:num>
  <w:num w:numId="20">
    <w:abstractNumId w:val="60"/>
  </w:num>
  <w:num w:numId="21">
    <w:abstractNumId w:val="117"/>
  </w:num>
  <w:num w:numId="22">
    <w:abstractNumId w:val="167"/>
  </w:num>
  <w:num w:numId="23">
    <w:abstractNumId w:val="140"/>
  </w:num>
  <w:num w:numId="24">
    <w:abstractNumId w:val="73"/>
  </w:num>
  <w:num w:numId="25">
    <w:abstractNumId w:val="99"/>
  </w:num>
  <w:num w:numId="26">
    <w:abstractNumId w:val="69"/>
  </w:num>
  <w:num w:numId="27">
    <w:abstractNumId w:val="149"/>
  </w:num>
  <w:num w:numId="28">
    <w:abstractNumId w:val="90"/>
  </w:num>
  <w:num w:numId="29">
    <w:abstractNumId w:val="145"/>
  </w:num>
  <w:num w:numId="30">
    <w:abstractNumId w:val="158"/>
  </w:num>
  <w:num w:numId="31">
    <w:abstractNumId w:val="121"/>
  </w:num>
  <w:num w:numId="32">
    <w:abstractNumId w:val="124"/>
  </w:num>
  <w:num w:numId="33">
    <w:abstractNumId w:val="0"/>
  </w:num>
  <w:num w:numId="34">
    <w:abstractNumId w:val="130"/>
  </w:num>
  <w:num w:numId="35">
    <w:abstractNumId w:val="78"/>
  </w:num>
  <w:num w:numId="36">
    <w:abstractNumId w:val="9"/>
  </w:num>
  <w:num w:numId="37">
    <w:abstractNumId w:val="165"/>
  </w:num>
  <w:num w:numId="38">
    <w:abstractNumId w:val="128"/>
  </w:num>
  <w:num w:numId="39">
    <w:abstractNumId w:val="16"/>
  </w:num>
  <w:num w:numId="40">
    <w:abstractNumId w:val="82"/>
  </w:num>
  <w:num w:numId="41">
    <w:abstractNumId w:val="143"/>
  </w:num>
  <w:num w:numId="42">
    <w:abstractNumId w:val="31"/>
  </w:num>
  <w:num w:numId="43">
    <w:abstractNumId w:val="18"/>
  </w:num>
  <w:num w:numId="44">
    <w:abstractNumId w:val="38"/>
  </w:num>
  <w:num w:numId="45">
    <w:abstractNumId w:val="32"/>
  </w:num>
  <w:num w:numId="46">
    <w:abstractNumId w:val="77"/>
  </w:num>
  <w:num w:numId="47">
    <w:abstractNumId w:val="144"/>
  </w:num>
  <w:num w:numId="48">
    <w:abstractNumId w:val="171"/>
  </w:num>
  <w:num w:numId="49">
    <w:abstractNumId w:val="36"/>
  </w:num>
  <w:num w:numId="50">
    <w:abstractNumId w:val="42"/>
  </w:num>
  <w:num w:numId="51">
    <w:abstractNumId w:val="33"/>
  </w:num>
  <w:num w:numId="52">
    <w:abstractNumId w:val="100"/>
  </w:num>
  <w:num w:numId="53">
    <w:abstractNumId w:val="142"/>
  </w:num>
  <w:num w:numId="54">
    <w:abstractNumId w:val="46"/>
  </w:num>
  <w:num w:numId="55">
    <w:abstractNumId w:val="10"/>
  </w:num>
  <w:num w:numId="56">
    <w:abstractNumId w:val="40"/>
  </w:num>
  <w:num w:numId="57">
    <w:abstractNumId w:val="30"/>
  </w:num>
  <w:num w:numId="58">
    <w:abstractNumId w:val="114"/>
  </w:num>
  <w:num w:numId="59">
    <w:abstractNumId w:val="152"/>
  </w:num>
  <w:num w:numId="60">
    <w:abstractNumId w:val="92"/>
  </w:num>
  <w:num w:numId="61">
    <w:abstractNumId w:val="55"/>
  </w:num>
  <w:num w:numId="62">
    <w:abstractNumId w:val="94"/>
  </w:num>
  <w:num w:numId="63">
    <w:abstractNumId w:val="52"/>
  </w:num>
  <w:num w:numId="64">
    <w:abstractNumId w:val="80"/>
  </w:num>
  <w:num w:numId="65">
    <w:abstractNumId w:val="146"/>
  </w:num>
  <w:num w:numId="66">
    <w:abstractNumId w:val="105"/>
  </w:num>
  <w:num w:numId="67">
    <w:abstractNumId w:val="35"/>
  </w:num>
  <w:num w:numId="68">
    <w:abstractNumId w:val="163"/>
  </w:num>
  <w:num w:numId="69">
    <w:abstractNumId w:val="5"/>
  </w:num>
  <w:num w:numId="70">
    <w:abstractNumId w:val="39"/>
  </w:num>
  <w:num w:numId="71">
    <w:abstractNumId w:val="89"/>
  </w:num>
  <w:num w:numId="72">
    <w:abstractNumId w:val="164"/>
  </w:num>
  <w:num w:numId="73">
    <w:abstractNumId w:val="12"/>
  </w:num>
  <w:num w:numId="74">
    <w:abstractNumId w:val="50"/>
  </w:num>
  <w:num w:numId="75">
    <w:abstractNumId w:val="8"/>
  </w:num>
  <w:num w:numId="76">
    <w:abstractNumId w:val="109"/>
  </w:num>
  <w:num w:numId="77">
    <w:abstractNumId w:val="93"/>
  </w:num>
  <w:num w:numId="78">
    <w:abstractNumId w:val="49"/>
  </w:num>
  <w:num w:numId="79">
    <w:abstractNumId w:val="65"/>
  </w:num>
  <w:num w:numId="80">
    <w:abstractNumId w:val="174"/>
  </w:num>
  <w:num w:numId="81">
    <w:abstractNumId w:val="51"/>
  </w:num>
  <w:num w:numId="82">
    <w:abstractNumId w:val="44"/>
  </w:num>
  <w:num w:numId="83">
    <w:abstractNumId w:val="58"/>
  </w:num>
  <w:num w:numId="84">
    <w:abstractNumId w:val="37"/>
  </w:num>
  <w:num w:numId="85">
    <w:abstractNumId w:val="177"/>
  </w:num>
  <w:num w:numId="86">
    <w:abstractNumId w:val="13"/>
  </w:num>
  <w:num w:numId="87">
    <w:abstractNumId w:val="61"/>
  </w:num>
  <w:num w:numId="88">
    <w:abstractNumId w:val="6"/>
  </w:num>
  <w:num w:numId="89">
    <w:abstractNumId w:val="118"/>
  </w:num>
  <w:num w:numId="90">
    <w:abstractNumId w:val="175"/>
  </w:num>
  <w:num w:numId="91">
    <w:abstractNumId w:val="155"/>
  </w:num>
  <w:num w:numId="92">
    <w:abstractNumId w:val="157"/>
  </w:num>
  <w:num w:numId="93">
    <w:abstractNumId w:val="125"/>
  </w:num>
  <w:num w:numId="94">
    <w:abstractNumId w:val="19"/>
  </w:num>
  <w:num w:numId="95">
    <w:abstractNumId w:val="47"/>
  </w:num>
  <w:num w:numId="96">
    <w:abstractNumId w:val="96"/>
  </w:num>
  <w:num w:numId="97">
    <w:abstractNumId w:val="131"/>
  </w:num>
  <w:num w:numId="98">
    <w:abstractNumId w:val="132"/>
  </w:num>
  <w:num w:numId="99">
    <w:abstractNumId w:val="172"/>
  </w:num>
  <w:num w:numId="100">
    <w:abstractNumId w:val="107"/>
  </w:num>
  <w:num w:numId="101">
    <w:abstractNumId w:val="141"/>
  </w:num>
  <w:num w:numId="102">
    <w:abstractNumId w:val="148"/>
  </w:num>
  <w:num w:numId="103">
    <w:abstractNumId w:val="83"/>
  </w:num>
  <w:num w:numId="104">
    <w:abstractNumId w:val="137"/>
  </w:num>
  <w:num w:numId="105">
    <w:abstractNumId w:val="87"/>
  </w:num>
  <w:num w:numId="106">
    <w:abstractNumId w:val="168"/>
  </w:num>
  <w:num w:numId="107">
    <w:abstractNumId w:val="108"/>
  </w:num>
  <w:num w:numId="108">
    <w:abstractNumId w:val="97"/>
  </w:num>
  <w:num w:numId="109">
    <w:abstractNumId w:val="129"/>
  </w:num>
  <w:num w:numId="110">
    <w:abstractNumId w:val="81"/>
  </w:num>
  <w:num w:numId="111">
    <w:abstractNumId w:val="53"/>
  </w:num>
  <w:num w:numId="112">
    <w:abstractNumId w:val="54"/>
  </w:num>
  <w:num w:numId="113">
    <w:abstractNumId w:val="1"/>
  </w:num>
  <w:num w:numId="114">
    <w:abstractNumId w:val="86"/>
  </w:num>
  <w:num w:numId="115">
    <w:abstractNumId w:val="29"/>
  </w:num>
  <w:num w:numId="116">
    <w:abstractNumId w:val="103"/>
  </w:num>
  <w:num w:numId="117">
    <w:abstractNumId w:val="170"/>
  </w:num>
  <w:num w:numId="118">
    <w:abstractNumId w:val="120"/>
  </w:num>
  <w:num w:numId="119">
    <w:abstractNumId w:val="2"/>
  </w:num>
  <w:num w:numId="120">
    <w:abstractNumId w:val="138"/>
  </w:num>
  <w:num w:numId="121">
    <w:abstractNumId w:val="15"/>
  </w:num>
  <w:num w:numId="122">
    <w:abstractNumId w:val="162"/>
  </w:num>
  <w:num w:numId="123">
    <w:abstractNumId w:val="72"/>
  </w:num>
  <w:num w:numId="124">
    <w:abstractNumId w:val="48"/>
  </w:num>
  <w:num w:numId="125">
    <w:abstractNumId w:val="104"/>
  </w:num>
  <w:num w:numId="126">
    <w:abstractNumId w:val="122"/>
  </w:num>
  <w:num w:numId="127">
    <w:abstractNumId w:val="62"/>
  </w:num>
  <w:num w:numId="128">
    <w:abstractNumId w:val="113"/>
  </w:num>
  <w:num w:numId="129">
    <w:abstractNumId w:val="67"/>
  </w:num>
  <w:num w:numId="130">
    <w:abstractNumId w:val="68"/>
  </w:num>
  <w:num w:numId="131">
    <w:abstractNumId w:val="11"/>
  </w:num>
  <w:num w:numId="132">
    <w:abstractNumId w:val="176"/>
  </w:num>
  <w:num w:numId="133">
    <w:abstractNumId w:val="160"/>
  </w:num>
  <w:num w:numId="134">
    <w:abstractNumId w:val="74"/>
  </w:num>
  <w:num w:numId="135">
    <w:abstractNumId w:val="133"/>
  </w:num>
  <w:num w:numId="136">
    <w:abstractNumId w:val="43"/>
  </w:num>
  <w:num w:numId="137">
    <w:abstractNumId w:val="84"/>
  </w:num>
  <w:num w:numId="138">
    <w:abstractNumId w:val="126"/>
  </w:num>
  <w:num w:numId="139">
    <w:abstractNumId w:val="3"/>
  </w:num>
  <w:num w:numId="140">
    <w:abstractNumId w:val="102"/>
  </w:num>
  <w:num w:numId="141">
    <w:abstractNumId w:val="150"/>
  </w:num>
  <w:num w:numId="142">
    <w:abstractNumId w:val="22"/>
  </w:num>
  <w:num w:numId="143">
    <w:abstractNumId w:val="28"/>
  </w:num>
  <w:num w:numId="144">
    <w:abstractNumId w:val="151"/>
  </w:num>
  <w:num w:numId="145">
    <w:abstractNumId w:val="21"/>
  </w:num>
  <w:num w:numId="146">
    <w:abstractNumId w:val="116"/>
  </w:num>
  <w:num w:numId="147">
    <w:abstractNumId w:val="41"/>
  </w:num>
  <w:num w:numId="148">
    <w:abstractNumId w:val="59"/>
  </w:num>
  <w:num w:numId="149">
    <w:abstractNumId w:val="79"/>
  </w:num>
  <w:num w:numId="150">
    <w:abstractNumId w:val="139"/>
  </w:num>
  <w:num w:numId="151">
    <w:abstractNumId w:val="24"/>
  </w:num>
  <w:num w:numId="152">
    <w:abstractNumId w:val="14"/>
  </w:num>
  <w:num w:numId="153">
    <w:abstractNumId w:val="91"/>
  </w:num>
  <w:num w:numId="154">
    <w:abstractNumId w:val="70"/>
  </w:num>
  <w:num w:numId="155">
    <w:abstractNumId w:val="154"/>
  </w:num>
  <w:num w:numId="156">
    <w:abstractNumId w:val="25"/>
  </w:num>
  <w:num w:numId="157">
    <w:abstractNumId w:val="159"/>
  </w:num>
  <w:num w:numId="158">
    <w:abstractNumId w:val="127"/>
  </w:num>
  <w:num w:numId="159">
    <w:abstractNumId w:val="27"/>
  </w:num>
  <w:num w:numId="160">
    <w:abstractNumId w:val="161"/>
  </w:num>
  <w:num w:numId="161">
    <w:abstractNumId w:val="119"/>
  </w:num>
  <w:num w:numId="162">
    <w:abstractNumId w:val="4"/>
  </w:num>
  <w:num w:numId="163">
    <w:abstractNumId w:val="63"/>
  </w:num>
  <w:num w:numId="164">
    <w:abstractNumId w:val="71"/>
  </w:num>
  <w:num w:numId="165">
    <w:abstractNumId w:val="106"/>
  </w:num>
  <w:num w:numId="166">
    <w:abstractNumId w:val="173"/>
  </w:num>
  <w:num w:numId="167">
    <w:abstractNumId w:val="112"/>
  </w:num>
  <w:num w:numId="168">
    <w:abstractNumId w:val="17"/>
  </w:num>
  <w:num w:numId="169">
    <w:abstractNumId w:val="95"/>
  </w:num>
  <w:num w:numId="170">
    <w:abstractNumId w:val="153"/>
  </w:num>
  <w:num w:numId="171">
    <w:abstractNumId w:val="147"/>
    <w:lvlOverride w:ilvl="0"/>
    <w:lvlOverride w:ilvl="1"/>
    <w:lvlOverride w:ilvl="2"/>
    <w:lvlOverride w:ilvl="3"/>
    <w:lvlOverride w:ilvl="4"/>
    <w:lvlOverride w:ilvl="5"/>
    <w:lvlOverride w:ilvl="6"/>
    <w:lvlOverride w:ilvl="7"/>
    <w:lvlOverride w:ilvl="8"/>
  </w:num>
  <w:num w:numId="172">
    <w:abstractNumId w:val="85"/>
  </w:num>
  <w:num w:numId="173">
    <w:abstractNumId w:val="57"/>
  </w:num>
  <w:num w:numId="174">
    <w:abstractNumId w:val="26"/>
  </w:num>
  <w:num w:numId="175">
    <w:abstractNumId w:val="111"/>
  </w:num>
  <w:num w:numId="176">
    <w:abstractNumId w:val="123"/>
  </w:num>
  <w:num w:numId="177">
    <w:abstractNumId w:val="115"/>
  </w:num>
  <w:num w:numId="178">
    <w:abstractNumId w:val="75"/>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D2E"/>
    <w:rsid w:val="000005AF"/>
    <w:rsid w:val="00002CFB"/>
    <w:rsid w:val="0000610D"/>
    <w:rsid w:val="00006ADA"/>
    <w:rsid w:val="00006F3D"/>
    <w:rsid w:val="00007C83"/>
    <w:rsid w:val="00010A93"/>
    <w:rsid w:val="000118A5"/>
    <w:rsid w:val="00011F25"/>
    <w:rsid w:val="000120A7"/>
    <w:rsid w:val="00014180"/>
    <w:rsid w:val="000150AD"/>
    <w:rsid w:val="000167FE"/>
    <w:rsid w:val="0002035E"/>
    <w:rsid w:val="0002080C"/>
    <w:rsid w:val="00023735"/>
    <w:rsid w:val="000247F8"/>
    <w:rsid w:val="0002654F"/>
    <w:rsid w:val="0002768C"/>
    <w:rsid w:val="00027EE3"/>
    <w:rsid w:val="000316BA"/>
    <w:rsid w:val="00033C64"/>
    <w:rsid w:val="00034326"/>
    <w:rsid w:val="000343EA"/>
    <w:rsid w:val="00034552"/>
    <w:rsid w:val="000348DD"/>
    <w:rsid w:val="00042050"/>
    <w:rsid w:val="0004355D"/>
    <w:rsid w:val="00044977"/>
    <w:rsid w:val="00047A04"/>
    <w:rsid w:val="00054793"/>
    <w:rsid w:val="000547B1"/>
    <w:rsid w:val="00054B8E"/>
    <w:rsid w:val="00055654"/>
    <w:rsid w:val="00055F36"/>
    <w:rsid w:val="0005610B"/>
    <w:rsid w:val="000604F9"/>
    <w:rsid w:val="00060ED0"/>
    <w:rsid w:val="00062530"/>
    <w:rsid w:val="00062C69"/>
    <w:rsid w:val="00063B36"/>
    <w:rsid w:val="000658E5"/>
    <w:rsid w:val="000667C2"/>
    <w:rsid w:val="00066F9F"/>
    <w:rsid w:val="00070048"/>
    <w:rsid w:val="0007144D"/>
    <w:rsid w:val="00073CFC"/>
    <w:rsid w:val="00077676"/>
    <w:rsid w:val="000803DA"/>
    <w:rsid w:val="0008108C"/>
    <w:rsid w:val="00082C43"/>
    <w:rsid w:val="00084A05"/>
    <w:rsid w:val="00084EE5"/>
    <w:rsid w:val="0008562C"/>
    <w:rsid w:val="00085B49"/>
    <w:rsid w:val="00091905"/>
    <w:rsid w:val="00093243"/>
    <w:rsid w:val="000948D6"/>
    <w:rsid w:val="00094B30"/>
    <w:rsid w:val="00095B72"/>
    <w:rsid w:val="00095DB3"/>
    <w:rsid w:val="000A258D"/>
    <w:rsid w:val="000A2F60"/>
    <w:rsid w:val="000A5CD1"/>
    <w:rsid w:val="000A6135"/>
    <w:rsid w:val="000B101B"/>
    <w:rsid w:val="000B1B39"/>
    <w:rsid w:val="000B2676"/>
    <w:rsid w:val="000B355B"/>
    <w:rsid w:val="000B36C6"/>
    <w:rsid w:val="000B4C04"/>
    <w:rsid w:val="000B617B"/>
    <w:rsid w:val="000B6D0C"/>
    <w:rsid w:val="000C005A"/>
    <w:rsid w:val="000C007E"/>
    <w:rsid w:val="000C1300"/>
    <w:rsid w:val="000C15D5"/>
    <w:rsid w:val="000C1D7E"/>
    <w:rsid w:val="000C4434"/>
    <w:rsid w:val="000C58AC"/>
    <w:rsid w:val="000C6B52"/>
    <w:rsid w:val="000C77E5"/>
    <w:rsid w:val="000C7988"/>
    <w:rsid w:val="000D3A46"/>
    <w:rsid w:val="000D7C29"/>
    <w:rsid w:val="000E08BA"/>
    <w:rsid w:val="000E1E15"/>
    <w:rsid w:val="000F082F"/>
    <w:rsid w:val="000F17A1"/>
    <w:rsid w:val="000F2064"/>
    <w:rsid w:val="000F25DA"/>
    <w:rsid w:val="000F45D5"/>
    <w:rsid w:val="000F62EC"/>
    <w:rsid w:val="000F6784"/>
    <w:rsid w:val="000F67FC"/>
    <w:rsid w:val="00100742"/>
    <w:rsid w:val="001015FB"/>
    <w:rsid w:val="0010229C"/>
    <w:rsid w:val="001055E4"/>
    <w:rsid w:val="00107B40"/>
    <w:rsid w:val="0011094D"/>
    <w:rsid w:val="00113962"/>
    <w:rsid w:val="00114925"/>
    <w:rsid w:val="00122EEC"/>
    <w:rsid w:val="00130D51"/>
    <w:rsid w:val="00131B4B"/>
    <w:rsid w:val="0013727A"/>
    <w:rsid w:val="00142D22"/>
    <w:rsid w:val="001458D2"/>
    <w:rsid w:val="00152634"/>
    <w:rsid w:val="00152948"/>
    <w:rsid w:val="00152FB1"/>
    <w:rsid w:val="001533D5"/>
    <w:rsid w:val="00154253"/>
    <w:rsid w:val="00154C0E"/>
    <w:rsid w:val="00154E9B"/>
    <w:rsid w:val="00162F36"/>
    <w:rsid w:val="0016490B"/>
    <w:rsid w:val="001657A2"/>
    <w:rsid w:val="00173AC6"/>
    <w:rsid w:val="00174BBB"/>
    <w:rsid w:val="00174C8A"/>
    <w:rsid w:val="00175CE4"/>
    <w:rsid w:val="001767BA"/>
    <w:rsid w:val="0018008B"/>
    <w:rsid w:val="00182C87"/>
    <w:rsid w:val="00183066"/>
    <w:rsid w:val="001866CF"/>
    <w:rsid w:val="001918E7"/>
    <w:rsid w:val="0019438B"/>
    <w:rsid w:val="00196AB1"/>
    <w:rsid w:val="001A1D9C"/>
    <w:rsid w:val="001A1E0C"/>
    <w:rsid w:val="001A2594"/>
    <w:rsid w:val="001A421B"/>
    <w:rsid w:val="001B0276"/>
    <w:rsid w:val="001B057F"/>
    <w:rsid w:val="001B3512"/>
    <w:rsid w:val="001B3623"/>
    <w:rsid w:val="001B4726"/>
    <w:rsid w:val="001B60B0"/>
    <w:rsid w:val="001C096C"/>
    <w:rsid w:val="001C38B5"/>
    <w:rsid w:val="001C6679"/>
    <w:rsid w:val="001D09B6"/>
    <w:rsid w:val="001D157F"/>
    <w:rsid w:val="001D3304"/>
    <w:rsid w:val="001D450F"/>
    <w:rsid w:val="001E26BB"/>
    <w:rsid w:val="001F2C14"/>
    <w:rsid w:val="001F4084"/>
    <w:rsid w:val="001F425D"/>
    <w:rsid w:val="001F4F0A"/>
    <w:rsid w:val="001F6377"/>
    <w:rsid w:val="001F6B48"/>
    <w:rsid w:val="001F732B"/>
    <w:rsid w:val="00203A36"/>
    <w:rsid w:val="00203B7F"/>
    <w:rsid w:val="00213A6E"/>
    <w:rsid w:val="002157CE"/>
    <w:rsid w:val="0021740F"/>
    <w:rsid w:val="0022192E"/>
    <w:rsid w:val="00223E0F"/>
    <w:rsid w:val="0022520E"/>
    <w:rsid w:val="00225847"/>
    <w:rsid w:val="00225F9A"/>
    <w:rsid w:val="002267D3"/>
    <w:rsid w:val="0022682B"/>
    <w:rsid w:val="00226C60"/>
    <w:rsid w:val="00230C12"/>
    <w:rsid w:val="00233874"/>
    <w:rsid w:val="00233A4A"/>
    <w:rsid w:val="00233B5C"/>
    <w:rsid w:val="00233C80"/>
    <w:rsid w:val="00236655"/>
    <w:rsid w:val="00237F0A"/>
    <w:rsid w:val="00242B5E"/>
    <w:rsid w:val="00244D11"/>
    <w:rsid w:val="00251AB4"/>
    <w:rsid w:val="00252A25"/>
    <w:rsid w:val="00253461"/>
    <w:rsid w:val="00255E5C"/>
    <w:rsid w:val="00256C4F"/>
    <w:rsid w:val="002574CF"/>
    <w:rsid w:val="00257D36"/>
    <w:rsid w:val="00260428"/>
    <w:rsid w:val="00262718"/>
    <w:rsid w:val="00265E7F"/>
    <w:rsid w:val="00266BE6"/>
    <w:rsid w:val="002701C0"/>
    <w:rsid w:val="00270207"/>
    <w:rsid w:val="00270305"/>
    <w:rsid w:val="002707B3"/>
    <w:rsid w:val="002716DA"/>
    <w:rsid w:val="0027272C"/>
    <w:rsid w:val="002748C5"/>
    <w:rsid w:val="00282044"/>
    <w:rsid w:val="00283B68"/>
    <w:rsid w:val="00287316"/>
    <w:rsid w:val="0028763E"/>
    <w:rsid w:val="002879E9"/>
    <w:rsid w:val="0029064E"/>
    <w:rsid w:val="002930A3"/>
    <w:rsid w:val="0029714F"/>
    <w:rsid w:val="002A0557"/>
    <w:rsid w:val="002A076F"/>
    <w:rsid w:val="002A18EF"/>
    <w:rsid w:val="002A652A"/>
    <w:rsid w:val="002B4C0F"/>
    <w:rsid w:val="002B5268"/>
    <w:rsid w:val="002B62AD"/>
    <w:rsid w:val="002B6FB0"/>
    <w:rsid w:val="002C071F"/>
    <w:rsid w:val="002C1FC3"/>
    <w:rsid w:val="002C38FF"/>
    <w:rsid w:val="002C3DC1"/>
    <w:rsid w:val="002C4B48"/>
    <w:rsid w:val="002C5AB7"/>
    <w:rsid w:val="002C71D8"/>
    <w:rsid w:val="002D0B12"/>
    <w:rsid w:val="002E0503"/>
    <w:rsid w:val="002E116F"/>
    <w:rsid w:val="002E1491"/>
    <w:rsid w:val="002E15AB"/>
    <w:rsid w:val="002E3130"/>
    <w:rsid w:val="002E3A99"/>
    <w:rsid w:val="002E3ED2"/>
    <w:rsid w:val="002E47FA"/>
    <w:rsid w:val="002F3025"/>
    <w:rsid w:val="002F780B"/>
    <w:rsid w:val="00303028"/>
    <w:rsid w:val="00303A22"/>
    <w:rsid w:val="003079AD"/>
    <w:rsid w:val="00311671"/>
    <w:rsid w:val="003122BF"/>
    <w:rsid w:val="003128EE"/>
    <w:rsid w:val="003225E8"/>
    <w:rsid w:val="003265D1"/>
    <w:rsid w:val="00327197"/>
    <w:rsid w:val="00327764"/>
    <w:rsid w:val="0033029D"/>
    <w:rsid w:val="003313CF"/>
    <w:rsid w:val="0033378D"/>
    <w:rsid w:val="00336275"/>
    <w:rsid w:val="0034129C"/>
    <w:rsid w:val="00342AB8"/>
    <w:rsid w:val="003539A5"/>
    <w:rsid w:val="00354F52"/>
    <w:rsid w:val="00355331"/>
    <w:rsid w:val="00356C34"/>
    <w:rsid w:val="003578BB"/>
    <w:rsid w:val="00360D83"/>
    <w:rsid w:val="0036250B"/>
    <w:rsid w:val="003631C0"/>
    <w:rsid w:val="00366087"/>
    <w:rsid w:val="00366957"/>
    <w:rsid w:val="003700ED"/>
    <w:rsid w:val="00372CBA"/>
    <w:rsid w:val="003759A8"/>
    <w:rsid w:val="00377B8F"/>
    <w:rsid w:val="003802FD"/>
    <w:rsid w:val="00380C49"/>
    <w:rsid w:val="003821B5"/>
    <w:rsid w:val="00382F85"/>
    <w:rsid w:val="00383896"/>
    <w:rsid w:val="00383997"/>
    <w:rsid w:val="0038440B"/>
    <w:rsid w:val="003852EE"/>
    <w:rsid w:val="003856CE"/>
    <w:rsid w:val="0039107B"/>
    <w:rsid w:val="00392AE7"/>
    <w:rsid w:val="00393AD3"/>
    <w:rsid w:val="00397469"/>
    <w:rsid w:val="003A0811"/>
    <w:rsid w:val="003A095B"/>
    <w:rsid w:val="003A0A6D"/>
    <w:rsid w:val="003A1BDE"/>
    <w:rsid w:val="003A44BC"/>
    <w:rsid w:val="003A454E"/>
    <w:rsid w:val="003A6DBB"/>
    <w:rsid w:val="003B4BFB"/>
    <w:rsid w:val="003B4EC7"/>
    <w:rsid w:val="003B53ED"/>
    <w:rsid w:val="003B5743"/>
    <w:rsid w:val="003B638B"/>
    <w:rsid w:val="003B6E75"/>
    <w:rsid w:val="003B7C06"/>
    <w:rsid w:val="003B7F45"/>
    <w:rsid w:val="003C4BCC"/>
    <w:rsid w:val="003C530E"/>
    <w:rsid w:val="003C6617"/>
    <w:rsid w:val="003C6FF7"/>
    <w:rsid w:val="003D0438"/>
    <w:rsid w:val="003D0D13"/>
    <w:rsid w:val="003D0D86"/>
    <w:rsid w:val="003D220D"/>
    <w:rsid w:val="003D3A70"/>
    <w:rsid w:val="003D51F7"/>
    <w:rsid w:val="003D68E9"/>
    <w:rsid w:val="003D7289"/>
    <w:rsid w:val="003E06BD"/>
    <w:rsid w:val="003E1AA6"/>
    <w:rsid w:val="003E395D"/>
    <w:rsid w:val="003E5F58"/>
    <w:rsid w:val="003E6678"/>
    <w:rsid w:val="003E720D"/>
    <w:rsid w:val="003E7EAC"/>
    <w:rsid w:val="003F23B1"/>
    <w:rsid w:val="003F53CE"/>
    <w:rsid w:val="003F5416"/>
    <w:rsid w:val="003F6D6C"/>
    <w:rsid w:val="003F7D43"/>
    <w:rsid w:val="00403267"/>
    <w:rsid w:val="00404ADE"/>
    <w:rsid w:val="00410C90"/>
    <w:rsid w:val="004122A7"/>
    <w:rsid w:val="0041258A"/>
    <w:rsid w:val="00412E61"/>
    <w:rsid w:val="00413D8F"/>
    <w:rsid w:val="00414D35"/>
    <w:rsid w:val="00416AF9"/>
    <w:rsid w:val="00417BEE"/>
    <w:rsid w:val="00420351"/>
    <w:rsid w:val="00421A80"/>
    <w:rsid w:val="004272A1"/>
    <w:rsid w:val="0043040F"/>
    <w:rsid w:val="00430ED9"/>
    <w:rsid w:val="00432746"/>
    <w:rsid w:val="00433E72"/>
    <w:rsid w:val="0043454F"/>
    <w:rsid w:val="0043463B"/>
    <w:rsid w:val="004364AB"/>
    <w:rsid w:val="00441F44"/>
    <w:rsid w:val="004449BF"/>
    <w:rsid w:val="004515B3"/>
    <w:rsid w:val="004524CA"/>
    <w:rsid w:val="0045260A"/>
    <w:rsid w:val="00465846"/>
    <w:rsid w:val="00467028"/>
    <w:rsid w:val="00470D5C"/>
    <w:rsid w:val="00472AF5"/>
    <w:rsid w:val="004740F2"/>
    <w:rsid w:val="00474CE5"/>
    <w:rsid w:val="0047509E"/>
    <w:rsid w:val="00476BC6"/>
    <w:rsid w:val="004816BE"/>
    <w:rsid w:val="00483EAA"/>
    <w:rsid w:val="00485DBF"/>
    <w:rsid w:val="0048602F"/>
    <w:rsid w:val="004864B9"/>
    <w:rsid w:val="00492B26"/>
    <w:rsid w:val="004951EA"/>
    <w:rsid w:val="0049756D"/>
    <w:rsid w:val="004A0BDF"/>
    <w:rsid w:val="004A24CA"/>
    <w:rsid w:val="004A25B3"/>
    <w:rsid w:val="004A4F87"/>
    <w:rsid w:val="004A6DE5"/>
    <w:rsid w:val="004A78B1"/>
    <w:rsid w:val="004B16CC"/>
    <w:rsid w:val="004B2ADA"/>
    <w:rsid w:val="004B3987"/>
    <w:rsid w:val="004B6D6D"/>
    <w:rsid w:val="004C18A6"/>
    <w:rsid w:val="004C248A"/>
    <w:rsid w:val="004C3957"/>
    <w:rsid w:val="004C546C"/>
    <w:rsid w:val="004D0170"/>
    <w:rsid w:val="004D4B73"/>
    <w:rsid w:val="004D6352"/>
    <w:rsid w:val="004E044B"/>
    <w:rsid w:val="004E0C7A"/>
    <w:rsid w:val="004E101F"/>
    <w:rsid w:val="004E3E0B"/>
    <w:rsid w:val="004E5A8E"/>
    <w:rsid w:val="004E6765"/>
    <w:rsid w:val="004E6EF8"/>
    <w:rsid w:val="004F01A0"/>
    <w:rsid w:val="004F2D7A"/>
    <w:rsid w:val="004F70DC"/>
    <w:rsid w:val="00500507"/>
    <w:rsid w:val="00500F25"/>
    <w:rsid w:val="00501219"/>
    <w:rsid w:val="005068DE"/>
    <w:rsid w:val="00506B49"/>
    <w:rsid w:val="005079AA"/>
    <w:rsid w:val="00507F8C"/>
    <w:rsid w:val="00510014"/>
    <w:rsid w:val="00512B0D"/>
    <w:rsid w:val="00513772"/>
    <w:rsid w:val="005151E1"/>
    <w:rsid w:val="0051649F"/>
    <w:rsid w:val="00517321"/>
    <w:rsid w:val="00517BD5"/>
    <w:rsid w:val="00520870"/>
    <w:rsid w:val="00523E14"/>
    <w:rsid w:val="0052550C"/>
    <w:rsid w:val="00531A37"/>
    <w:rsid w:val="00531C32"/>
    <w:rsid w:val="00532702"/>
    <w:rsid w:val="005331A5"/>
    <w:rsid w:val="00533F4F"/>
    <w:rsid w:val="00537DCA"/>
    <w:rsid w:val="00537DFA"/>
    <w:rsid w:val="00542901"/>
    <w:rsid w:val="00542F52"/>
    <w:rsid w:val="00547F03"/>
    <w:rsid w:val="00555E76"/>
    <w:rsid w:val="00560EC8"/>
    <w:rsid w:val="00561A92"/>
    <w:rsid w:val="0056244B"/>
    <w:rsid w:val="00563CF8"/>
    <w:rsid w:val="005658EF"/>
    <w:rsid w:val="005662FC"/>
    <w:rsid w:val="00567EE0"/>
    <w:rsid w:val="005707CA"/>
    <w:rsid w:val="00571647"/>
    <w:rsid w:val="005729BB"/>
    <w:rsid w:val="00573EEF"/>
    <w:rsid w:val="005753BF"/>
    <w:rsid w:val="00577461"/>
    <w:rsid w:val="00581B90"/>
    <w:rsid w:val="00582317"/>
    <w:rsid w:val="00584669"/>
    <w:rsid w:val="00590B5D"/>
    <w:rsid w:val="00591555"/>
    <w:rsid w:val="00594D5B"/>
    <w:rsid w:val="0059671E"/>
    <w:rsid w:val="00597196"/>
    <w:rsid w:val="005973E8"/>
    <w:rsid w:val="00597DEF"/>
    <w:rsid w:val="005A038B"/>
    <w:rsid w:val="005A63F4"/>
    <w:rsid w:val="005A7316"/>
    <w:rsid w:val="005B0686"/>
    <w:rsid w:val="005B1633"/>
    <w:rsid w:val="005B333D"/>
    <w:rsid w:val="005B4C3E"/>
    <w:rsid w:val="005B513B"/>
    <w:rsid w:val="005B5754"/>
    <w:rsid w:val="005B6641"/>
    <w:rsid w:val="005C062A"/>
    <w:rsid w:val="005C1FF0"/>
    <w:rsid w:val="005C3DFD"/>
    <w:rsid w:val="005C4AC9"/>
    <w:rsid w:val="005D329D"/>
    <w:rsid w:val="005D4FC8"/>
    <w:rsid w:val="005D5610"/>
    <w:rsid w:val="005E1BC5"/>
    <w:rsid w:val="005E2832"/>
    <w:rsid w:val="005E2B21"/>
    <w:rsid w:val="005E3386"/>
    <w:rsid w:val="005E42A2"/>
    <w:rsid w:val="005F0F4D"/>
    <w:rsid w:val="005F536A"/>
    <w:rsid w:val="00600264"/>
    <w:rsid w:val="00600487"/>
    <w:rsid w:val="0060179A"/>
    <w:rsid w:val="00606ABB"/>
    <w:rsid w:val="00606C8C"/>
    <w:rsid w:val="0060750D"/>
    <w:rsid w:val="00610CEE"/>
    <w:rsid w:val="00611D38"/>
    <w:rsid w:val="00620243"/>
    <w:rsid w:val="00621407"/>
    <w:rsid w:val="0062242A"/>
    <w:rsid w:val="00624BB9"/>
    <w:rsid w:val="00627128"/>
    <w:rsid w:val="00632B04"/>
    <w:rsid w:val="0063331C"/>
    <w:rsid w:val="00634CF9"/>
    <w:rsid w:val="00641625"/>
    <w:rsid w:val="00643C8E"/>
    <w:rsid w:val="0064425A"/>
    <w:rsid w:val="00647811"/>
    <w:rsid w:val="00647BBC"/>
    <w:rsid w:val="0065382A"/>
    <w:rsid w:val="00653BA2"/>
    <w:rsid w:val="006540D5"/>
    <w:rsid w:val="00655B6A"/>
    <w:rsid w:val="006621B6"/>
    <w:rsid w:val="00666F89"/>
    <w:rsid w:val="00671015"/>
    <w:rsid w:val="00673A17"/>
    <w:rsid w:val="006753A8"/>
    <w:rsid w:val="00676414"/>
    <w:rsid w:val="0067642E"/>
    <w:rsid w:val="00680409"/>
    <w:rsid w:val="00680CBF"/>
    <w:rsid w:val="00683E7B"/>
    <w:rsid w:val="00684096"/>
    <w:rsid w:val="0068452F"/>
    <w:rsid w:val="00684DE5"/>
    <w:rsid w:val="00685972"/>
    <w:rsid w:val="00685CBA"/>
    <w:rsid w:val="006903E9"/>
    <w:rsid w:val="00690EE0"/>
    <w:rsid w:val="00691606"/>
    <w:rsid w:val="00691724"/>
    <w:rsid w:val="00691D12"/>
    <w:rsid w:val="00692AB1"/>
    <w:rsid w:val="00692FB5"/>
    <w:rsid w:val="00696E16"/>
    <w:rsid w:val="006A2932"/>
    <w:rsid w:val="006A2D2E"/>
    <w:rsid w:val="006A3C2E"/>
    <w:rsid w:val="006A5CE2"/>
    <w:rsid w:val="006B08C4"/>
    <w:rsid w:val="006B0C33"/>
    <w:rsid w:val="006B1C3F"/>
    <w:rsid w:val="006B1D3D"/>
    <w:rsid w:val="006B6780"/>
    <w:rsid w:val="006B75D1"/>
    <w:rsid w:val="006C4279"/>
    <w:rsid w:val="006C47E6"/>
    <w:rsid w:val="006C4F9D"/>
    <w:rsid w:val="006C6DB9"/>
    <w:rsid w:val="006D423D"/>
    <w:rsid w:val="006D5EAF"/>
    <w:rsid w:val="006D75D6"/>
    <w:rsid w:val="006E0785"/>
    <w:rsid w:val="006E0BAC"/>
    <w:rsid w:val="006E0C56"/>
    <w:rsid w:val="006E2FEF"/>
    <w:rsid w:val="006E301A"/>
    <w:rsid w:val="006E3C06"/>
    <w:rsid w:val="006E5651"/>
    <w:rsid w:val="006F16DB"/>
    <w:rsid w:val="006F1734"/>
    <w:rsid w:val="006F1AEB"/>
    <w:rsid w:val="006F2F68"/>
    <w:rsid w:val="006F7812"/>
    <w:rsid w:val="006F7C95"/>
    <w:rsid w:val="007005A4"/>
    <w:rsid w:val="00703049"/>
    <w:rsid w:val="007037CA"/>
    <w:rsid w:val="00703E93"/>
    <w:rsid w:val="0070516B"/>
    <w:rsid w:val="007052DA"/>
    <w:rsid w:val="007067A7"/>
    <w:rsid w:val="0070739F"/>
    <w:rsid w:val="00712606"/>
    <w:rsid w:val="0071474D"/>
    <w:rsid w:val="00714EE8"/>
    <w:rsid w:val="00714FA0"/>
    <w:rsid w:val="00715561"/>
    <w:rsid w:val="007216D0"/>
    <w:rsid w:val="00721CA6"/>
    <w:rsid w:val="00721D90"/>
    <w:rsid w:val="00723C6A"/>
    <w:rsid w:val="00723CBF"/>
    <w:rsid w:val="0072501F"/>
    <w:rsid w:val="00726129"/>
    <w:rsid w:val="00727E9D"/>
    <w:rsid w:val="00730336"/>
    <w:rsid w:val="007312A4"/>
    <w:rsid w:val="0073203E"/>
    <w:rsid w:val="00732ACC"/>
    <w:rsid w:val="00737E57"/>
    <w:rsid w:val="00737F50"/>
    <w:rsid w:val="007414A4"/>
    <w:rsid w:val="007427EE"/>
    <w:rsid w:val="00744917"/>
    <w:rsid w:val="00745160"/>
    <w:rsid w:val="00747FC5"/>
    <w:rsid w:val="00751F2C"/>
    <w:rsid w:val="00754AF3"/>
    <w:rsid w:val="00761226"/>
    <w:rsid w:val="0076137A"/>
    <w:rsid w:val="00762BE1"/>
    <w:rsid w:val="00765474"/>
    <w:rsid w:val="00765864"/>
    <w:rsid w:val="00770CA9"/>
    <w:rsid w:val="00775466"/>
    <w:rsid w:val="007808F6"/>
    <w:rsid w:val="00780D86"/>
    <w:rsid w:val="007821D7"/>
    <w:rsid w:val="0078544C"/>
    <w:rsid w:val="00785960"/>
    <w:rsid w:val="00787A5C"/>
    <w:rsid w:val="00792D78"/>
    <w:rsid w:val="00795286"/>
    <w:rsid w:val="00796D6E"/>
    <w:rsid w:val="007A173E"/>
    <w:rsid w:val="007A3032"/>
    <w:rsid w:val="007A512F"/>
    <w:rsid w:val="007A6D0F"/>
    <w:rsid w:val="007B0304"/>
    <w:rsid w:val="007B0A3A"/>
    <w:rsid w:val="007B3E20"/>
    <w:rsid w:val="007B4A0C"/>
    <w:rsid w:val="007B663E"/>
    <w:rsid w:val="007C6BDD"/>
    <w:rsid w:val="007D2BDD"/>
    <w:rsid w:val="007D4B56"/>
    <w:rsid w:val="007D5EAC"/>
    <w:rsid w:val="007D6AD8"/>
    <w:rsid w:val="007D7E33"/>
    <w:rsid w:val="007E1D7E"/>
    <w:rsid w:val="007E2315"/>
    <w:rsid w:val="007E3BB3"/>
    <w:rsid w:val="007F47EC"/>
    <w:rsid w:val="007F5201"/>
    <w:rsid w:val="007F527D"/>
    <w:rsid w:val="007F5F3F"/>
    <w:rsid w:val="00802A3E"/>
    <w:rsid w:val="00806D79"/>
    <w:rsid w:val="0081185E"/>
    <w:rsid w:val="008121AD"/>
    <w:rsid w:val="00813D90"/>
    <w:rsid w:val="008142F6"/>
    <w:rsid w:val="00815731"/>
    <w:rsid w:val="00815FDF"/>
    <w:rsid w:val="008170BB"/>
    <w:rsid w:val="00820249"/>
    <w:rsid w:val="008278AA"/>
    <w:rsid w:val="00827F91"/>
    <w:rsid w:val="0083143E"/>
    <w:rsid w:val="00831BE9"/>
    <w:rsid w:val="00831F3A"/>
    <w:rsid w:val="00832578"/>
    <w:rsid w:val="00834076"/>
    <w:rsid w:val="00835EA7"/>
    <w:rsid w:val="00837AD6"/>
    <w:rsid w:val="00840065"/>
    <w:rsid w:val="0084247D"/>
    <w:rsid w:val="00843AF4"/>
    <w:rsid w:val="00844DAD"/>
    <w:rsid w:val="00847C23"/>
    <w:rsid w:val="008503BF"/>
    <w:rsid w:val="008510D0"/>
    <w:rsid w:val="008511FA"/>
    <w:rsid w:val="00851DC0"/>
    <w:rsid w:val="00852E2F"/>
    <w:rsid w:val="008535A4"/>
    <w:rsid w:val="00860C05"/>
    <w:rsid w:val="0086278B"/>
    <w:rsid w:val="00862CDB"/>
    <w:rsid w:val="008652A8"/>
    <w:rsid w:val="00865F4B"/>
    <w:rsid w:val="008701A8"/>
    <w:rsid w:val="00873ECE"/>
    <w:rsid w:val="008743F8"/>
    <w:rsid w:val="008752CC"/>
    <w:rsid w:val="00875C5C"/>
    <w:rsid w:val="00877A62"/>
    <w:rsid w:val="00882026"/>
    <w:rsid w:val="00884BBB"/>
    <w:rsid w:val="00885C60"/>
    <w:rsid w:val="00893A1C"/>
    <w:rsid w:val="00896B4A"/>
    <w:rsid w:val="008A0C5B"/>
    <w:rsid w:val="008A2694"/>
    <w:rsid w:val="008A3AF7"/>
    <w:rsid w:val="008A6932"/>
    <w:rsid w:val="008A7869"/>
    <w:rsid w:val="008B0196"/>
    <w:rsid w:val="008B154C"/>
    <w:rsid w:val="008B2718"/>
    <w:rsid w:val="008C204D"/>
    <w:rsid w:val="008C2E32"/>
    <w:rsid w:val="008C326C"/>
    <w:rsid w:val="008C4713"/>
    <w:rsid w:val="008C4A92"/>
    <w:rsid w:val="008C520A"/>
    <w:rsid w:val="008C5A53"/>
    <w:rsid w:val="008C5B0C"/>
    <w:rsid w:val="008D067D"/>
    <w:rsid w:val="008E1153"/>
    <w:rsid w:val="008E1473"/>
    <w:rsid w:val="008E1CA2"/>
    <w:rsid w:val="008E1EB3"/>
    <w:rsid w:val="008E4A36"/>
    <w:rsid w:val="008E4A8D"/>
    <w:rsid w:val="008F2A65"/>
    <w:rsid w:val="009004B7"/>
    <w:rsid w:val="00900AC9"/>
    <w:rsid w:val="0090124C"/>
    <w:rsid w:val="0090137E"/>
    <w:rsid w:val="00902F18"/>
    <w:rsid w:val="0090505B"/>
    <w:rsid w:val="00910FB5"/>
    <w:rsid w:val="00911B90"/>
    <w:rsid w:val="00911E85"/>
    <w:rsid w:val="00916108"/>
    <w:rsid w:val="00916A6B"/>
    <w:rsid w:val="00920EC1"/>
    <w:rsid w:val="00923A9C"/>
    <w:rsid w:val="00923D47"/>
    <w:rsid w:val="00923E08"/>
    <w:rsid w:val="00930CBE"/>
    <w:rsid w:val="00931A09"/>
    <w:rsid w:val="0093446D"/>
    <w:rsid w:val="009423B9"/>
    <w:rsid w:val="0094436D"/>
    <w:rsid w:val="00945D02"/>
    <w:rsid w:val="00945DCB"/>
    <w:rsid w:val="0094647F"/>
    <w:rsid w:val="00963F0C"/>
    <w:rsid w:val="00970D42"/>
    <w:rsid w:val="0097302B"/>
    <w:rsid w:val="0097337E"/>
    <w:rsid w:val="00974F5F"/>
    <w:rsid w:val="00976FB3"/>
    <w:rsid w:val="00982FC5"/>
    <w:rsid w:val="00983451"/>
    <w:rsid w:val="00986B52"/>
    <w:rsid w:val="00986C0E"/>
    <w:rsid w:val="00987E5E"/>
    <w:rsid w:val="0099197C"/>
    <w:rsid w:val="00995181"/>
    <w:rsid w:val="00995410"/>
    <w:rsid w:val="00995602"/>
    <w:rsid w:val="0099587D"/>
    <w:rsid w:val="009A1EC0"/>
    <w:rsid w:val="009A2087"/>
    <w:rsid w:val="009A33AF"/>
    <w:rsid w:val="009A4917"/>
    <w:rsid w:val="009A5170"/>
    <w:rsid w:val="009A7C7A"/>
    <w:rsid w:val="009B1950"/>
    <w:rsid w:val="009C102E"/>
    <w:rsid w:val="009C1716"/>
    <w:rsid w:val="009C1E64"/>
    <w:rsid w:val="009C34CD"/>
    <w:rsid w:val="009C3E04"/>
    <w:rsid w:val="009C46BF"/>
    <w:rsid w:val="009C49A3"/>
    <w:rsid w:val="009C662F"/>
    <w:rsid w:val="009C6FE0"/>
    <w:rsid w:val="009D19BA"/>
    <w:rsid w:val="009D394A"/>
    <w:rsid w:val="009D3BE6"/>
    <w:rsid w:val="009D4EE7"/>
    <w:rsid w:val="009D700D"/>
    <w:rsid w:val="009E008C"/>
    <w:rsid w:val="009E04B4"/>
    <w:rsid w:val="009E22BE"/>
    <w:rsid w:val="009E5708"/>
    <w:rsid w:val="009E58DD"/>
    <w:rsid w:val="009F1A13"/>
    <w:rsid w:val="009F43FF"/>
    <w:rsid w:val="009F4C76"/>
    <w:rsid w:val="009F5317"/>
    <w:rsid w:val="009F6269"/>
    <w:rsid w:val="009F6DA7"/>
    <w:rsid w:val="009F6E77"/>
    <w:rsid w:val="009F6ED2"/>
    <w:rsid w:val="009F7C4C"/>
    <w:rsid w:val="00A02355"/>
    <w:rsid w:val="00A02C77"/>
    <w:rsid w:val="00A04F4C"/>
    <w:rsid w:val="00A0531A"/>
    <w:rsid w:val="00A16D6B"/>
    <w:rsid w:val="00A170C4"/>
    <w:rsid w:val="00A17700"/>
    <w:rsid w:val="00A17D3F"/>
    <w:rsid w:val="00A217C7"/>
    <w:rsid w:val="00A21AFE"/>
    <w:rsid w:val="00A22D61"/>
    <w:rsid w:val="00A238D2"/>
    <w:rsid w:val="00A23FAE"/>
    <w:rsid w:val="00A249C9"/>
    <w:rsid w:val="00A26F8A"/>
    <w:rsid w:val="00A278C9"/>
    <w:rsid w:val="00A30865"/>
    <w:rsid w:val="00A42BEB"/>
    <w:rsid w:val="00A43427"/>
    <w:rsid w:val="00A44012"/>
    <w:rsid w:val="00A45BD2"/>
    <w:rsid w:val="00A47B83"/>
    <w:rsid w:val="00A51731"/>
    <w:rsid w:val="00A53048"/>
    <w:rsid w:val="00A55654"/>
    <w:rsid w:val="00A56B9E"/>
    <w:rsid w:val="00A5777A"/>
    <w:rsid w:val="00A609AF"/>
    <w:rsid w:val="00A61903"/>
    <w:rsid w:val="00A619A2"/>
    <w:rsid w:val="00A61F27"/>
    <w:rsid w:val="00A63E8C"/>
    <w:rsid w:val="00A65288"/>
    <w:rsid w:val="00A70085"/>
    <w:rsid w:val="00A707EF"/>
    <w:rsid w:val="00A71363"/>
    <w:rsid w:val="00A71A11"/>
    <w:rsid w:val="00A71F94"/>
    <w:rsid w:val="00A73CF4"/>
    <w:rsid w:val="00A75290"/>
    <w:rsid w:val="00A752FC"/>
    <w:rsid w:val="00A7754B"/>
    <w:rsid w:val="00A83F99"/>
    <w:rsid w:val="00A86C6A"/>
    <w:rsid w:val="00A920E5"/>
    <w:rsid w:val="00A92A95"/>
    <w:rsid w:val="00A92C16"/>
    <w:rsid w:val="00A92D33"/>
    <w:rsid w:val="00A93483"/>
    <w:rsid w:val="00A93EF1"/>
    <w:rsid w:val="00A954DD"/>
    <w:rsid w:val="00AA0A1D"/>
    <w:rsid w:val="00AA2B6A"/>
    <w:rsid w:val="00AA30AD"/>
    <w:rsid w:val="00AB032D"/>
    <w:rsid w:val="00AB0EEC"/>
    <w:rsid w:val="00AB0F9B"/>
    <w:rsid w:val="00AB2376"/>
    <w:rsid w:val="00AB27A2"/>
    <w:rsid w:val="00AB312D"/>
    <w:rsid w:val="00AB4BFF"/>
    <w:rsid w:val="00AB5087"/>
    <w:rsid w:val="00AC047F"/>
    <w:rsid w:val="00AC18CF"/>
    <w:rsid w:val="00AC1B42"/>
    <w:rsid w:val="00AC3431"/>
    <w:rsid w:val="00AC791B"/>
    <w:rsid w:val="00AD07AC"/>
    <w:rsid w:val="00AD09FB"/>
    <w:rsid w:val="00AD26D4"/>
    <w:rsid w:val="00AD28A6"/>
    <w:rsid w:val="00AD7500"/>
    <w:rsid w:val="00AD7824"/>
    <w:rsid w:val="00AE05E5"/>
    <w:rsid w:val="00AE0992"/>
    <w:rsid w:val="00AE7017"/>
    <w:rsid w:val="00AE75C2"/>
    <w:rsid w:val="00AE788D"/>
    <w:rsid w:val="00AF0995"/>
    <w:rsid w:val="00AF1837"/>
    <w:rsid w:val="00AF2679"/>
    <w:rsid w:val="00AF2974"/>
    <w:rsid w:val="00B010B1"/>
    <w:rsid w:val="00B01A15"/>
    <w:rsid w:val="00B01B8D"/>
    <w:rsid w:val="00B02966"/>
    <w:rsid w:val="00B038B5"/>
    <w:rsid w:val="00B03A06"/>
    <w:rsid w:val="00B10F82"/>
    <w:rsid w:val="00B127F3"/>
    <w:rsid w:val="00B151FF"/>
    <w:rsid w:val="00B16A48"/>
    <w:rsid w:val="00B23F0D"/>
    <w:rsid w:val="00B2755E"/>
    <w:rsid w:val="00B30890"/>
    <w:rsid w:val="00B32C5A"/>
    <w:rsid w:val="00B3302A"/>
    <w:rsid w:val="00B33656"/>
    <w:rsid w:val="00B40135"/>
    <w:rsid w:val="00B555D9"/>
    <w:rsid w:val="00B56BAE"/>
    <w:rsid w:val="00B56FB4"/>
    <w:rsid w:val="00B6058F"/>
    <w:rsid w:val="00B6067E"/>
    <w:rsid w:val="00B6092B"/>
    <w:rsid w:val="00B60A26"/>
    <w:rsid w:val="00B61300"/>
    <w:rsid w:val="00B6288D"/>
    <w:rsid w:val="00B632A9"/>
    <w:rsid w:val="00B63C93"/>
    <w:rsid w:val="00B6440A"/>
    <w:rsid w:val="00B647F1"/>
    <w:rsid w:val="00B67ACD"/>
    <w:rsid w:val="00B7159F"/>
    <w:rsid w:val="00B7217B"/>
    <w:rsid w:val="00B759E3"/>
    <w:rsid w:val="00B75C5D"/>
    <w:rsid w:val="00B77DCB"/>
    <w:rsid w:val="00B81BA1"/>
    <w:rsid w:val="00B834E1"/>
    <w:rsid w:val="00B94F1A"/>
    <w:rsid w:val="00B95A0D"/>
    <w:rsid w:val="00B95AF4"/>
    <w:rsid w:val="00B96ECE"/>
    <w:rsid w:val="00BA2374"/>
    <w:rsid w:val="00BA3AA4"/>
    <w:rsid w:val="00BA54B2"/>
    <w:rsid w:val="00BA5FC8"/>
    <w:rsid w:val="00BA610C"/>
    <w:rsid w:val="00BA6E53"/>
    <w:rsid w:val="00BA7037"/>
    <w:rsid w:val="00BA73A5"/>
    <w:rsid w:val="00BA7BD7"/>
    <w:rsid w:val="00BB0000"/>
    <w:rsid w:val="00BB17D6"/>
    <w:rsid w:val="00BB778A"/>
    <w:rsid w:val="00BC0671"/>
    <w:rsid w:val="00BC1E7E"/>
    <w:rsid w:val="00BC2F87"/>
    <w:rsid w:val="00BC5DE3"/>
    <w:rsid w:val="00BC69EB"/>
    <w:rsid w:val="00BD2ECC"/>
    <w:rsid w:val="00BD3083"/>
    <w:rsid w:val="00BD489A"/>
    <w:rsid w:val="00BD55D8"/>
    <w:rsid w:val="00BE1707"/>
    <w:rsid w:val="00BE4640"/>
    <w:rsid w:val="00BE4FEB"/>
    <w:rsid w:val="00BE7F38"/>
    <w:rsid w:val="00BF388C"/>
    <w:rsid w:val="00BF4B60"/>
    <w:rsid w:val="00BF7FBD"/>
    <w:rsid w:val="00C0401A"/>
    <w:rsid w:val="00C04755"/>
    <w:rsid w:val="00C04BBF"/>
    <w:rsid w:val="00C05EAB"/>
    <w:rsid w:val="00C0620A"/>
    <w:rsid w:val="00C065FA"/>
    <w:rsid w:val="00C124CB"/>
    <w:rsid w:val="00C134B5"/>
    <w:rsid w:val="00C14150"/>
    <w:rsid w:val="00C149CB"/>
    <w:rsid w:val="00C16D8B"/>
    <w:rsid w:val="00C1751E"/>
    <w:rsid w:val="00C175DB"/>
    <w:rsid w:val="00C1761F"/>
    <w:rsid w:val="00C20C41"/>
    <w:rsid w:val="00C2160E"/>
    <w:rsid w:val="00C239A4"/>
    <w:rsid w:val="00C27C0D"/>
    <w:rsid w:val="00C32541"/>
    <w:rsid w:val="00C3319C"/>
    <w:rsid w:val="00C33679"/>
    <w:rsid w:val="00C37220"/>
    <w:rsid w:val="00C37693"/>
    <w:rsid w:val="00C37A63"/>
    <w:rsid w:val="00C37DB6"/>
    <w:rsid w:val="00C40045"/>
    <w:rsid w:val="00C406C5"/>
    <w:rsid w:val="00C521DC"/>
    <w:rsid w:val="00C53615"/>
    <w:rsid w:val="00C5616E"/>
    <w:rsid w:val="00C5757E"/>
    <w:rsid w:val="00C654A6"/>
    <w:rsid w:val="00C67DC8"/>
    <w:rsid w:val="00C67EAE"/>
    <w:rsid w:val="00C769C9"/>
    <w:rsid w:val="00C76E59"/>
    <w:rsid w:val="00C80AB6"/>
    <w:rsid w:val="00C80BC2"/>
    <w:rsid w:val="00C819EC"/>
    <w:rsid w:val="00C84FE1"/>
    <w:rsid w:val="00C8559A"/>
    <w:rsid w:val="00C90701"/>
    <w:rsid w:val="00C97EB7"/>
    <w:rsid w:val="00CA21C4"/>
    <w:rsid w:val="00CA4F7B"/>
    <w:rsid w:val="00CA7104"/>
    <w:rsid w:val="00CA7F7B"/>
    <w:rsid w:val="00CB00E3"/>
    <w:rsid w:val="00CB0FDF"/>
    <w:rsid w:val="00CB2CF3"/>
    <w:rsid w:val="00CC0377"/>
    <w:rsid w:val="00CC1EB2"/>
    <w:rsid w:val="00CC268E"/>
    <w:rsid w:val="00CC3D2F"/>
    <w:rsid w:val="00CC6B93"/>
    <w:rsid w:val="00CD01CA"/>
    <w:rsid w:val="00CD068F"/>
    <w:rsid w:val="00CD1B7B"/>
    <w:rsid w:val="00CD3DF1"/>
    <w:rsid w:val="00CD6966"/>
    <w:rsid w:val="00CE1DEF"/>
    <w:rsid w:val="00CE308C"/>
    <w:rsid w:val="00CE360E"/>
    <w:rsid w:val="00CE639B"/>
    <w:rsid w:val="00CE7DAF"/>
    <w:rsid w:val="00CF2030"/>
    <w:rsid w:val="00CF344D"/>
    <w:rsid w:val="00CF4CC6"/>
    <w:rsid w:val="00CF6A05"/>
    <w:rsid w:val="00CF735B"/>
    <w:rsid w:val="00D02C5F"/>
    <w:rsid w:val="00D05C45"/>
    <w:rsid w:val="00D07299"/>
    <w:rsid w:val="00D07F38"/>
    <w:rsid w:val="00D11607"/>
    <w:rsid w:val="00D117E1"/>
    <w:rsid w:val="00D14189"/>
    <w:rsid w:val="00D14B9C"/>
    <w:rsid w:val="00D14E91"/>
    <w:rsid w:val="00D15E3B"/>
    <w:rsid w:val="00D17B8F"/>
    <w:rsid w:val="00D24973"/>
    <w:rsid w:val="00D2543D"/>
    <w:rsid w:val="00D3149E"/>
    <w:rsid w:val="00D32003"/>
    <w:rsid w:val="00D32D29"/>
    <w:rsid w:val="00D33AD7"/>
    <w:rsid w:val="00D354B1"/>
    <w:rsid w:val="00D358CF"/>
    <w:rsid w:val="00D36047"/>
    <w:rsid w:val="00D400C9"/>
    <w:rsid w:val="00D4020F"/>
    <w:rsid w:val="00D411AC"/>
    <w:rsid w:val="00D42538"/>
    <w:rsid w:val="00D4394C"/>
    <w:rsid w:val="00D45252"/>
    <w:rsid w:val="00D476E2"/>
    <w:rsid w:val="00D520DD"/>
    <w:rsid w:val="00D54764"/>
    <w:rsid w:val="00D55CEA"/>
    <w:rsid w:val="00D56B9E"/>
    <w:rsid w:val="00D601C7"/>
    <w:rsid w:val="00D61E3D"/>
    <w:rsid w:val="00D62BAF"/>
    <w:rsid w:val="00D63721"/>
    <w:rsid w:val="00D6590D"/>
    <w:rsid w:val="00D70B5C"/>
    <w:rsid w:val="00D75D67"/>
    <w:rsid w:val="00D7730F"/>
    <w:rsid w:val="00D84928"/>
    <w:rsid w:val="00D84AEF"/>
    <w:rsid w:val="00D86914"/>
    <w:rsid w:val="00D877CC"/>
    <w:rsid w:val="00D9090C"/>
    <w:rsid w:val="00D910D8"/>
    <w:rsid w:val="00D91A7C"/>
    <w:rsid w:val="00D959A0"/>
    <w:rsid w:val="00D96CBE"/>
    <w:rsid w:val="00D9703D"/>
    <w:rsid w:val="00DA1714"/>
    <w:rsid w:val="00DA1767"/>
    <w:rsid w:val="00DA2A9E"/>
    <w:rsid w:val="00DA4673"/>
    <w:rsid w:val="00DA6976"/>
    <w:rsid w:val="00DB0133"/>
    <w:rsid w:val="00DB0C56"/>
    <w:rsid w:val="00DB1F82"/>
    <w:rsid w:val="00DB4B8F"/>
    <w:rsid w:val="00DB79AA"/>
    <w:rsid w:val="00DC1E71"/>
    <w:rsid w:val="00DC2242"/>
    <w:rsid w:val="00DC2926"/>
    <w:rsid w:val="00DC2D88"/>
    <w:rsid w:val="00DC38F1"/>
    <w:rsid w:val="00DD0430"/>
    <w:rsid w:val="00DD2EC6"/>
    <w:rsid w:val="00DD3473"/>
    <w:rsid w:val="00DD35E6"/>
    <w:rsid w:val="00DD3AC2"/>
    <w:rsid w:val="00DD4BCD"/>
    <w:rsid w:val="00DE297E"/>
    <w:rsid w:val="00DE2D55"/>
    <w:rsid w:val="00DE336F"/>
    <w:rsid w:val="00DE369E"/>
    <w:rsid w:val="00DE49A7"/>
    <w:rsid w:val="00DE6726"/>
    <w:rsid w:val="00DF1DBC"/>
    <w:rsid w:val="00DF4793"/>
    <w:rsid w:val="00DF79D4"/>
    <w:rsid w:val="00E02129"/>
    <w:rsid w:val="00E02306"/>
    <w:rsid w:val="00E0459A"/>
    <w:rsid w:val="00E04BB7"/>
    <w:rsid w:val="00E06210"/>
    <w:rsid w:val="00E068CF"/>
    <w:rsid w:val="00E06BE2"/>
    <w:rsid w:val="00E118E0"/>
    <w:rsid w:val="00E1302A"/>
    <w:rsid w:val="00E15583"/>
    <w:rsid w:val="00E172E7"/>
    <w:rsid w:val="00E21776"/>
    <w:rsid w:val="00E25C3A"/>
    <w:rsid w:val="00E260B6"/>
    <w:rsid w:val="00E3017A"/>
    <w:rsid w:val="00E3166D"/>
    <w:rsid w:val="00E338A4"/>
    <w:rsid w:val="00E375ED"/>
    <w:rsid w:val="00E40622"/>
    <w:rsid w:val="00E40696"/>
    <w:rsid w:val="00E43504"/>
    <w:rsid w:val="00E46B9F"/>
    <w:rsid w:val="00E47D2A"/>
    <w:rsid w:val="00E51462"/>
    <w:rsid w:val="00E53AD1"/>
    <w:rsid w:val="00E56A38"/>
    <w:rsid w:val="00E5701E"/>
    <w:rsid w:val="00E57249"/>
    <w:rsid w:val="00E60E1B"/>
    <w:rsid w:val="00E61FB1"/>
    <w:rsid w:val="00E62C47"/>
    <w:rsid w:val="00E64C5C"/>
    <w:rsid w:val="00E70018"/>
    <w:rsid w:val="00E72F30"/>
    <w:rsid w:val="00E74D68"/>
    <w:rsid w:val="00E76303"/>
    <w:rsid w:val="00E7708E"/>
    <w:rsid w:val="00E803A3"/>
    <w:rsid w:val="00E80C1E"/>
    <w:rsid w:val="00E8225D"/>
    <w:rsid w:val="00E8370A"/>
    <w:rsid w:val="00E85313"/>
    <w:rsid w:val="00E85505"/>
    <w:rsid w:val="00E87152"/>
    <w:rsid w:val="00E91211"/>
    <w:rsid w:val="00E91661"/>
    <w:rsid w:val="00EA391B"/>
    <w:rsid w:val="00EA3FEF"/>
    <w:rsid w:val="00EA6027"/>
    <w:rsid w:val="00EB1EEC"/>
    <w:rsid w:val="00EB233A"/>
    <w:rsid w:val="00EB2C73"/>
    <w:rsid w:val="00EB4231"/>
    <w:rsid w:val="00EB6017"/>
    <w:rsid w:val="00EC13B4"/>
    <w:rsid w:val="00EC5F1B"/>
    <w:rsid w:val="00EC6DA4"/>
    <w:rsid w:val="00EC77B2"/>
    <w:rsid w:val="00ED3196"/>
    <w:rsid w:val="00ED3BE2"/>
    <w:rsid w:val="00ED72FD"/>
    <w:rsid w:val="00EE09D3"/>
    <w:rsid w:val="00EE3686"/>
    <w:rsid w:val="00EE5344"/>
    <w:rsid w:val="00EF461F"/>
    <w:rsid w:val="00EF5DE7"/>
    <w:rsid w:val="00EF5DE8"/>
    <w:rsid w:val="00EF60D4"/>
    <w:rsid w:val="00EF687F"/>
    <w:rsid w:val="00EF6F68"/>
    <w:rsid w:val="00EF72BA"/>
    <w:rsid w:val="00F02BF9"/>
    <w:rsid w:val="00F04A84"/>
    <w:rsid w:val="00F058E4"/>
    <w:rsid w:val="00F06BC1"/>
    <w:rsid w:val="00F13DDE"/>
    <w:rsid w:val="00F1684B"/>
    <w:rsid w:val="00F21632"/>
    <w:rsid w:val="00F2608F"/>
    <w:rsid w:val="00F26CF2"/>
    <w:rsid w:val="00F26EA9"/>
    <w:rsid w:val="00F304E9"/>
    <w:rsid w:val="00F32F5C"/>
    <w:rsid w:val="00F335AE"/>
    <w:rsid w:val="00F3756C"/>
    <w:rsid w:val="00F45285"/>
    <w:rsid w:val="00F475C9"/>
    <w:rsid w:val="00F47CC5"/>
    <w:rsid w:val="00F50DC3"/>
    <w:rsid w:val="00F5666C"/>
    <w:rsid w:val="00F56DE1"/>
    <w:rsid w:val="00F641A6"/>
    <w:rsid w:val="00F75089"/>
    <w:rsid w:val="00F75622"/>
    <w:rsid w:val="00F75B5E"/>
    <w:rsid w:val="00F76C7B"/>
    <w:rsid w:val="00F80884"/>
    <w:rsid w:val="00F82278"/>
    <w:rsid w:val="00F85963"/>
    <w:rsid w:val="00F90634"/>
    <w:rsid w:val="00F909BA"/>
    <w:rsid w:val="00F910C7"/>
    <w:rsid w:val="00F92BF6"/>
    <w:rsid w:val="00F934FD"/>
    <w:rsid w:val="00F94534"/>
    <w:rsid w:val="00F95F3F"/>
    <w:rsid w:val="00F964B0"/>
    <w:rsid w:val="00F976CE"/>
    <w:rsid w:val="00FA071C"/>
    <w:rsid w:val="00FA2564"/>
    <w:rsid w:val="00FA53D2"/>
    <w:rsid w:val="00FA5C14"/>
    <w:rsid w:val="00FA76E7"/>
    <w:rsid w:val="00FB0489"/>
    <w:rsid w:val="00FB1E45"/>
    <w:rsid w:val="00FB3E25"/>
    <w:rsid w:val="00FB6D23"/>
    <w:rsid w:val="00FC02E5"/>
    <w:rsid w:val="00FC40FA"/>
    <w:rsid w:val="00FC44ED"/>
    <w:rsid w:val="00FC5E85"/>
    <w:rsid w:val="00FC6169"/>
    <w:rsid w:val="00FD071F"/>
    <w:rsid w:val="00FD2C19"/>
    <w:rsid w:val="00FD49AD"/>
    <w:rsid w:val="00FD4F23"/>
    <w:rsid w:val="00FD58F5"/>
    <w:rsid w:val="00FE0106"/>
    <w:rsid w:val="00FE07BE"/>
    <w:rsid w:val="00FE18C4"/>
    <w:rsid w:val="00FE1ED2"/>
    <w:rsid w:val="00FE53C1"/>
    <w:rsid w:val="00FE560B"/>
    <w:rsid w:val="00FE59A7"/>
    <w:rsid w:val="00FF1FBA"/>
    <w:rsid w:val="00FF6F20"/>
    <w:rsid w:val="00FF726C"/>
    <w:rsid w:val="00FF72AC"/>
    <w:rsid w:val="00FF7E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152D4"/>
  <w15:docId w15:val="{B944AC00-5712-4F32-BF33-FAB06F1E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622"/>
  </w:style>
  <w:style w:type="paragraph" w:styleId="Ttulo1">
    <w:name w:val="heading 1"/>
    <w:basedOn w:val="Normal"/>
    <w:next w:val="Normal"/>
    <w:link w:val="Ttulo1Char"/>
    <w:uiPriority w:val="9"/>
    <w:qFormat/>
    <w:rsid w:val="00270207"/>
    <w:pPr>
      <w:keepNext/>
      <w:keepLines/>
      <w:spacing w:before="480"/>
      <w:outlineLvl w:val="0"/>
    </w:pPr>
    <w:rPr>
      <w:rFonts w:asciiTheme="majorHAnsi" w:eastAsiaTheme="majorEastAsia" w:hAnsiTheme="majorHAnsi" w:cstheme="majorBidi"/>
      <w:b/>
      <w:bCs/>
      <w:color w:val="374C80" w:themeColor="accent1" w:themeShade="BF"/>
      <w:sz w:val="28"/>
      <w:szCs w:val="28"/>
    </w:rPr>
  </w:style>
  <w:style w:type="paragraph" w:styleId="Ttulo2">
    <w:name w:val="heading 2"/>
    <w:basedOn w:val="Normal"/>
    <w:next w:val="Normal"/>
    <w:link w:val="Ttulo2Char"/>
    <w:unhideWhenUsed/>
    <w:qFormat/>
    <w:rsid w:val="00900AC9"/>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Ttulo3">
    <w:name w:val="heading 3"/>
    <w:basedOn w:val="Normal"/>
    <w:next w:val="Normal"/>
    <w:link w:val="Ttulo3Char"/>
    <w:uiPriority w:val="9"/>
    <w:unhideWhenUsed/>
    <w:qFormat/>
    <w:rsid w:val="003A44BC"/>
    <w:pPr>
      <w:keepNext/>
      <w:keepLines/>
      <w:spacing w:before="40"/>
      <w:outlineLvl w:val="2"/>
    </w:pPr>
    <w:rPr>
      <w:rFonts w:asciiTheme="majorHAnsi" w:eastAsiaTheme="majorEastAsia" w:hAnsiTheme="majorHAnsi" w:cstheme="majorBidi"/>
      <w:color w:val="243255" w:themeColor="accent1" w:themeShade="7F"/>
      <w:sz w:val="24"/>
      <w:szCs w:val="24"/>
    </w:rPr>
  </w:style>
  <w:style w:type="paragraph" w:styleId="Ttulo6">
    <w:name w:val="heading 6"/>
    <w:basedOn w:val="Normal"/>
    <w:next w:val="Normal"/>
    <w:link w:val="Ttulo6Char"/>
    <w:qFormat/>
    <w:rsid w:val="00265E7F"/>
    <w:pPr>
      <w:keepNext/>
      <w:spacing w:line="240" w:lineRule="auto"/>
      <w:jc w:val="both"/>
      <w:outlineLvl w:val="5"/>
    </w:pPr>
    <w:rPr>
      <w:rFonts w:ascii="Times New Roman" w:eastAsia="Times New Roman" w:hAnsi="Times New Roman" w:cs="Times New Roman"/>
      <w:b/>
      <w:sz w:val="24"/>
      <w:szCs w:val="20"/>
      <w:lang w:eastAsia="pt-BR"/>
    </w:rPr>
  </w:style>
  <w:style w:type="paragraph" w:styleId="Ttulo7">
    <w:name w:val="heading 7"/>
    <w:basedOn w:val="Normal"/>
    <w:next w:val="Normal"/>
    <w:link w:val="Ttulo7Char"/>
    <w:uiPriority w:val="9"/>
    <w:semiHidden/>
    <w:unhideWhenUsed/>
    <w:qFormat/>
    <w:rsid w:val="00265E7F"/>
    <w:pPr>
      <w:keepNext/>
      <w:keepLines/>
      <w:spacing w:before="40" w:line="240" w:lineRule="auto"/>
      <w:outlineLvl w:val="6"/>
    </w:pPr>
    <w:rPr>
      <w:rFonts w:asciiTheme="majorHAnsi" w:eastAsiaTheme="majorEastAsia" w:hAnsiTheme="majorHAnsi" w:cstheme="majorBidi"/>
      <w:i/>
      <w:iCs/>
      <w:color w:val="243255" w:themeColor="accent1" w:themeShade="7F"/>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0207"/>
    <w:rPr>
      <w:rFonts w:asciiTheme="majorHAnsi" w:eastAsiaTheme="majorEastAsia" w:hAnsiTheme="majorHAnsi" w:cstheme="majorBidi"/>
      <w:b/>
      <w:bCs/>
      <w:color w:val="374C80" w:themeColor="accent1" w:themeShade="BF"/>
      <w:sz w:val="28"/>
      <w:szCs w:val="28"/>
    </w:rPr>
  </w:style>
  <w:style w:type="character" w:customStyle="1" w:styleId="Ttulo2Char">
    <w:name w:val="Título 2 Char"/>
    <w:basedOn w:val="Fontepargpadro"/>
    <w:link w:val="Ttulo2"/>
    <w:rsid w:val="00900AC9"/>
    <w:rPr>
      <w:rFonts w:asciiTheme="majorHAnsi" w:eastAsiaTheme="majorEastAsia" w:hAnsiTheme="majorHAnsi" w:cstheme="majorBidi"/>
      <w:b/>
      <w:bCs/>
      <w:color w:val="4A66AC" w:themeColor="accent1"/>
      <w:sz w:val="26"/>
      <w:szCs w:val="26"/>
    </w:rPr>
  </w:style>
  <w:style w:type="character" w:customStyle="1" w:styleId="Ttulo3Char">
    <w:name w:val="Título 3 Char"/>
    <w:basedOn w:val="Fontepargpadro"/>
    <w:link w:val="Ttulo3"/>
    <w:uiPriority w:val="9"/>
    <w:rsid w:val="003A44BC"/>
    <w:rPr>
      <w:rFonts w:asciiTheme="majorHAnsi" w:eastAsiaTheme="majorEastAsia" w:hAnsiTheme="majorHAnsi" w:cstheme="majorBidi"/>
      <w:color w:val="243255" w:themeColor="accent1" w:themeShade="7F"/>
      <w:sz w:val="24"/>
      <w:szCs w:val="24"/>
    </w:rPr>
  </w:style>
  <w:style w:type="character" w:customStyle="1" w:styleId="Ttulo6Char">
    <w:name w:val="Título 6 Char"/>
    <w:basedOn w:val="Fontepargpadro"/>
    <w:link w:val="Ttulo6"/>
    <w:rsid w:val="00265E7F"/>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uiPriority w:val="9"/>
    <w:semiHidden/>
    <w:rsid w:val="00265E7F"/>
    <w:rPr>
      <w:rFonts w:asciiTheme="majorHAnsi" w:eastAsiaTheme="majorEastAsia" w:hAnsiTheme="majorHAnsi" w:cstheme="majorBidi"/>
      <w:i/>
      <w:iCs/>
      <w:color w:val="243255" w:themeColor="accent1" w:themeShade="7F"/>
      <w:sz w:val="20"/>
      <w:szCs w:val="20"/>
      <w:lang w:eastAsia="pt-BR"/>
    </w:rPr>
  </w:style>
  <w:style w:type="paragraph" w:styleId="Textodebalo">
    <w:name w:val="Balloon Text"/>
    <w:basedOn w:val="Normal"/>
    <w:link w:val="TextodebaloChar"/>
    <w:uiPriority w:val="99"/>
    <w:semiHidden/>
    <w:unhideWhenUsed/>
    <w:rsid w:val="00A217C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17C7"/>
    <w:rPr>
      <w:rFonts w:ascii="Tahoma" w:hAnsi="Tahoma" w:cs="Tahoma"/>
      <w:sz w:val="16"/>
      <w:szCs w:val="16"/>
    </w:rPr>
  </w:style>
  <w:style w:type="paragraph" w:styleId="CabealhodoSumrio">
    <w:name w:val="TOC Heading"/>
    <w:basedOn w:val="Ttulo1"/>
    <w:next w:val="Normal"/>
    <w:uiPriority w:val="39"/>
    <w:unhideWhenUsed/>
    <w:qFormat/>
    <w:rsid w:val="00270207"/>
    <w:pPr>
      <w:outlineLvl w:val="9"/>
    </w:pPr>
  </w:style>
  <w:style w:type="paragraph" w:styleId="Sumrio1">
    <w:name w:val="toc 1"/>
    <w:basedOn w:val="Normal"/>
    <w:next w:val="Normal"/>
    <w:autoRedefine/>
    <w:uiPriority w:val="39"/>
    <w:unhideWhenUsed/>
    <w:rsid w:val="00270207"/>
    <w:pPr>
      <w:spacing w:after="100"/>
    </w:pPr>
  </w:style>
  <w:style w:type="character" w:styleId="Hyperlink">
    <w:name w:val="Hyperlink"/>
    <w:basedOn w:val="Fontepargpadro"/>
    <w:uiPriority w:val="99"/>
    <w:unhideWhenUsed/>
    <w:rsid w:val="00270207"/>
    <w:rPr>
      <w:color w:val="9454C3" w:themeColor="hyperlink"/>
      <w:u w:val="single"/>
    </w:rPr>
  </w:style>
  <w:style w:type="paragraph" w:styleId="PargrafodaLista">
    <w:name w:val="List Paragraph"/>
    <w:aliases w:val="List I Paragraph,Colorful List - Accent 11"/>
    <w:basedOn w:val="Normal"/>
    <w:link w:val="PargrafodaListaChar"/>
    <w:uiPriority w:val="34"/>
    <w:qFormat/>
    <w:rsid w:val="00F82278"/>
    <w:pPr>
      <w:ind w:left="720"/>
      <w:contextualSpacing/>
    </w:pPr>
  </w:style>
  <w:style w:type="character" w:customStyle="1" w:styleId="PargrafodaListaChar">
    <w:name w:val="Parágrafo da Lista Char"/>
    <w:aliases w:val="List I Paragraph Char,Colorful List - Accent 11 Char"/>
    <w:basedOn w:val="Fontepargpadro"/>
    <w:link w:val="PargrafodaLista"/>
    <w:uiPriority w:val="34"/>
    <w:rsid w:val="00265E7F"/>
  </w:style>
  <w:style w:type="paragraph" w:styleId="Cabealho">
    <w:name w:val="header"/>
    <w:basedOn w:val="Normal"/>
    <w:link w:val="CabealhoChar"/>
    <w:uiPriority w:val="99"/>
    <w:unhideWhenUsed/>
    <w:rsid w:val="009E58DD"/>
    <w:pPr>
      <w:tabs>
        <w:tab w:val="center" w:pos="4252"/>
        <w:tab w:val="right" w:pos="8504"/>
      </w:tabs>
      <w:spacing w:line="240" w:lineRule="auto"/>
    </w:pPr>
  </w:style>
  <w:style w:type="character" w:customStyle="1" w:styleId="CabealhoChar">
    <w:name w:val="Cabeçalho Char"/>
    <w:basedOn w:val="Fontepargpadro"/>
    <w:link w:val="Cabealho"/>
    <w:uiPriority w:val="99"/>
    <w:rsid w:val="009E58DD"/>
  </w:style>
  <w:style w:type="paragraph" w:styleId="Rodap">
    <w:name w:val="footer"/>
    <w:aliases w:val=" Char,Char Char Char"/>
    <w:basedOn w:val="Normal"/>
    <w:link w:val="RodapChar"/>
    <w:uiPriority w:val="99"/>
    <w:unhideWhenUsed/>
    <w:rsid w:val="009E58DD"/>
    <w:pPr>
      <w:tabs>
        <w:tab w:val="center" w:pos="4252"/>
        <w:tab w:val="right" w:pos="8504"/>
      </w:tabs>
      <w:spacing w:line="240" w:lineRule="auto"/>
    </w:pPr>
  </w:style>
  <w:style w:type="character" w:customStyle="1" w:styleId="RodapChar">
    <w:name w:val="Rodapé Char"/>
    <w:aliases w:val=" Char Char,Char Char Char Char"/>
    <w:basedOn w:val="Fontepargpadro"/>
    <w:link w:val="Rodap"/>
    <w:rsid w:val="009E58DD"/>
  </w:style>
  <w:style w:type="paragraph" w:customStyle="1" w:styleId="Default">
    <w:name w:val="Default"/>
    <w:rsid w:val="008743F8"/>
    <w:pPr>
      <w:autoSpaceDE w:val="0"/>
      <w:autoSpaceDN w:val="0"/>
      <w:adjustRightInd w:val="0"/>
      <w:spacing w:line="240" w:lineRule="auto"/>
    </w:pPr>
    <w:rPr>
      <w:rFonts w:ascii="Century Gothic" w:hAnsi="Century Gothic" w:cs="Century Gothic"/>
      <w:color w:val="000000"/>
      <w:sz w:val="24"/>
      <w:szCs w:val="24"/>
    </w:rPr>
  </w:style>
  <w:style w:type="character" w:styleId="Refdecomentrio">
    <w:name w:val="annotation reference"/>
    <w:basedOn w:val="Fontepargpadro"/>
    <w:uiPriority w:val="99"/>
    <w:semiHidden/>
    <w:unhideWhenUsed/>
    <w:rsid w:val="00FE1ED2"/>
    <w:rPr>
      <w:sz w:val="16"/>
      <w:szCs w:val="16"/>
    </w:rPr>
  </w:style>
  <w:style w:type="paragraph" w:styleId="Textodecomentrio">
    <w:name w:val="annotation text"/>
    <w:basedOn w:val="Normal"/>
    <w:link w:val="TextodecomentrioChar"/>
    <w:uiPriority w:val="99"/>
    <w:unhideWhenUsed/>
    <w:rsid w:val="00FE1ED2"/>
    <w:pPr>
      <w:spacing w:line="240" w:lineRule="auto"/>
    </w:pPr>
    <w:rPr>
      <w:sz w:val="20"/>
      <w:szCs w:val="20"/>
    </w:rPr>
  </w:style>
  <w:style w:type="character" w:customStyle="1" w:styleId="TextodecomentrioChar">
    <w:name w:val="Texto de comentário Char"/>
    <w:basedOn w:val="Fontepargpadro"/>
    <w:link w:val="Textodecomentrio"/>
    <w:uiPriority w:val="99"/>
    <w:rsid w:val="00FE1ED2"/>
    <w:rPr>
      <w:sz w:val="20"/>
      <w:szCs w:val="20"/>
    </w:rPr>
  </w:style>
  <w:style w:type="paragraph" w:styleId="Assuntodocomentrio">
    <w:name w:val="annotation subject"/>
    <w:basedOn w:val="Textodecomentrio"/>
    <w:next w:val="Textodecomentrio"/>
    <w:link w:val="AssuntodocomentrioChar"/>
    <w:uiPriority w:val="99"/>
    <w:semiHidden/>
    <w:unhideWhenUsed/>
    <w:rsid w:val="00FE1ED2"/>
    <w:rPr>
      <w:b/>
      <w:bCs/>
    </w:rPr>
  </w:style>
  <w:style w:type="character" w:customStyle="1" w:styleId="AssuntodocomentrioChar">
    <w:name w:val="Assunto do comentário Char"/>
    <w:basedOn w:val="TextodecomentrioChar"/>
    <w:link w:val="Assuntodocomentrio"/>
    <w:uiPriority w:val="99"/>
    <w:semiHidden/>
    <w:rsid w:val="00FE1ED2"/>
    <w:rPr>
      <w:b/>
      <w:bCs/>
      <w:sz w:val="20"/>
      <w:szCs w:val="20"/>
    </w:rPr>
  </w:style>
  <w:style w:type="paragraph" w:styleId="Reviso">
    <w:name w:val="Revision"/>
    <w:hidden/>
    <w:uiPriority w:val="99"/>
    <w:semiHidden/>
    <w:rsid w:val="00FE1ED2"/>
    <w:pPr>
      <w:spacing w:line="240" w:lineRule="auto"/>
    </w:pPr>
  </w:style>
  <w:style w:type="paragraph" w:styleId="Textodenotaderodap">
    <w:name w:val="footnote text"/>
    <w:basedOn w:val="Normal"/>
    <w:link w:val="TextodenotaderodapChar"/>
    <w:unhideWhenUsed/>
    <w:rsid w:val="00230C1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30C12"/>
    <w:rPr>
      <w:sz w:val="20"/>
      <w:szCs w:val="20"/>
    </w:rPr>
  </w:style>
  <w:style w:type="character" w:styleId="Refdenotaderodap">
    <w:name w:val="footnote reference"/>
    <w:basedOn w:val="Fontepargpadro"/>
    <w:semiHidden/>
    <w:unhideWhenUsed/>
    <w:rsid w:val="00230C12"/>
    <w:rPr>
      <w:vertAlign w:val="superscript"/>
    </w:rPr>
  </w:style>
  <w:style w:type="character" w:styleId="nfase">
    <w:name w:val="Emphasis"/>
    <w:basedOn w:val="Fontepargpadro"/>
    <w:uiPriority w:val="20"/>
    <w:qFormat/>
    <w:rsid w:val="00084A05"/>
    <w:rPr>
      <w:i/>
      <w:iCs/>
    </w:rPr>
  </w:style>
  <w:style w:type="character" w:customStyle="1" w:styleId="apple-converted-space">
    <w:name w:val="apple-converted-space"/>
    <w:basedOn w:val="Fontepargpadro"/>
    <w:rsid w:val="00084A05"/>
  </w:style>
  <w:style w:type="paragraph" w:styleId="SemEspaamento">
    <w:name w:val="No Spacing"/>
    <w:link w:val="SemEspaamentoChar"/>
    <w:uiPriority w:val="1"/>
    <w:qFormat/>
    <w:rsid w:val="00130D51"/>
    <w:pPr>
      <w:spacing w:line="240" w:lineRule="auto"/>
    </w:pPr>
    <w:rPr>
      <w:rFonts w:eastAsiaTheme="minorEastAsia"/>
      <w:lang w:eastAsia="pt-BR"/>
    </w:rPr>
  </w:style>
  <w:style w:type="character" w:customStyle="1" w:styleId="SemEspaamentoChar">
    <w:name w:val="Sem Espaçamento Char"/>
    <w:basedOn w:val="Fontepargpadro"/>
    <w:link w:val="SemEspaamento"/>
    <w:uiPriority w:val="1"/>
    <w:rsid w:val="00130D51"/>
    <w:rPr>
      <w:rFonts w:eastAsiaTheme="minorEastAsia"/>
      <w:lang w:eastAsia="pt-BR"/>
    </w:rPr>
  </w:style>
  <w:style w:type="paragraph" w:styleId="Corpodetexto">
    <w:name w:val="Body Text"/>
    <w:basedOn w:val="Normal"/>
    <w:link w:val="CorpodetextoChar"/>
    <w:rsid w:val="00265E7F"/>
    <w:pPr>
      <w:spacing w:line="240" w:lineRule="auto"/>
      <w:jc w:val="both"/>
    </w:pPr>
    <w:rPr>
      <w:rFonts w:ascii="Arial" w:eastAsia="Times New Roman" w:hAnsi="Arial" w:cs="Times New Roman"/>
      <w:sz w:val="26"/>
      <w:szCs w:val="20"/>
      <w:lang w:eastAsia="pt-BR"/>
    </w:rPr>
  </w:style>
  <w:style w:type="character" w:customStyle="1" w:styleId="CorpodetextoChar">
    <w:name w:val="Corpo de texto Char"/>
    <w:basedOn w:val="Fontepargpadro"/>
    <w:link w:val="Corpodetexto"/>
    <w:rsid w:val="00265E7F"/>
    <w:rPr>
      <w:rFonts w:ascii="Arial" w:eastAsia="Times New Roman" w:hAnsi="Arial" w:cs="Times New Roman"/>
      <w:sz w:val="26"/>
      <w:szCs w:val="20"/>
      <w:lang w:eastAsia="pt-BR"/>
    </w:rPr>
  </w:style>
  <w:style w:type="paragraph" w:styleId="Lista">
    <w:name w:val="List"/>
    <w:basedOn w:val="Normal"/>
    <w:autoRedefine/>
    <w:rsid w:val="00265E7F"/>
    <w:pPr>
      <w:widowControl w:val="0"/>
      <w:tabs>
        <w:tab w:val="left" w:pos="-720"/>
      </w:tabs>
      <w:spacing w:after="120" w:line="240" w:lineRule="auto"/>
      <w:ind w:left="567"/>
      <w:jc w:val="both"/>
    </w:pPr>
    <w:rPr>
      <w:rFonts w:ascii="Times New Roman" w:eastAsia="Times New Roman" w:hAnsi="Times New Roman" w:cs="Times New Roman"/>
      <w:sz w:val="20"/>
      <w:szCs w:val="20"/>
    </w:rPr>
  </w:style>
  <w:style w:type="paragraph" w:customStyle="1" w:styleId="Subttulo2">
    <w:name w:val="Subtítulo 2"/>
    <w:basedOn w:val="Normal"/>
    <w:next w:val="Normal"/>
    <w:link w:val="Subttulo2Char"/>
    <w:autoRedefine/>
    <w:rsid w:val="00265E7F"/>
    <w:pPr>
      <w:widowControl w:val="0"/>
      <w:tabs>
        <w:tab w:val="left" w:pos="567"/>
        <w:tab w:val="right" w:leader="hyphen" w:pos="9356"/>
      </w:tabs>
      <w:spacing w:line="240" w:lineRule="auto"/>
      <w:jc w:val="both"/>
    </w:pPr>
    <w:rPr>
      <w:rFonts w:ascii="Times New Roman Bold" w:eastAsia="Times New Roman" w:hAnsi="Times New Roman Bold" w:cs="Times New Roman"/>
      <w:b/>
      <w:iCs/>
      <w:sz w:val="24"/>
      <w:szCs w:val="20"/>
    </w:rPr>
  </w:style>
  <w:style w:type="character" w:customStyle="1" w:styleId="Subttulo2Char">
    <w:name w:val="Subtítulo 2 Char"/>
    <w:link w:val="Subttulo2"/>
    <w:rsid w:val="00265E7F"/>
    <w:rPr>
      <w:rFonts w:ascii="Times New Roman Bold" w:eastAsia="Times New Roman" w:hAnsi="Times New Roman Bold" w:cs="Times New Roman"/>
      <w:b/>
      <w:iCs/>
      <w:sz w:val="24"/>
      <w:szCs w:val="20"/>
    </w:rPr>
  </w:style>
  <w:style w:type="paragraph" w:styleId="NormalWeb">
    <w:name w:val="Normal (Web)"/>
    <w:basedOn w:val="Normal"/>
    <w:uiPriority w:val="99"/>
    <w:rsid w:val="00265E7F"/>
    <w:pPr>
      <w:spacing w:before="100" w:beforeAutospacing="1" w:after="100" w:afterAutospacing="1"/>
      <w:jc w:val="both"/>
    </w:pPr>
    <w:rPr>
      <w:rFonts w:ascii="Times New Roman" w:eastAsia="Times New Roman" w:hAnsi="Times New Roman" w:cs="Arial"/>
      <w:sz w:val="20"/>
      <w:szCs w:val="24"/>
      <w:lang w:eastAsia="pt-BR"/>
    </w:rPr>
  </w:style>
  <w:style w:type="character" w:styleId="Forte">
    <w:name w:val="Strong"/>
    <w:basedOn w:val="Fontepargpadro"/>
    <w:uiPriority w:val="22"/>
    <w:qFormat/>
    <w:rsid w:val="00265E7F"/>
    <w:rPr>
      <w:b/>
      <w:bCs/>
    </w:rPr>
  </w:style>
  <w:style w:type="paragraph" w:customStyle="1" w:styleId="basico">
    <w:name w:val="basico"/>
    <w:basedOn w:val="Normal"/>
    <w:rsid w:val="00265E7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265E7F"/>
    <w:pPr>
      <w:spacing w:line="240" w:lineRule="auto"/>
      <w:jc w:val="center"/>
    </w:pPr>
    <w:rPr>
      <w:rFonts w:ascii="Arial" w:eastAsia="Times New Roman" w:hAnsi="Arial" w:cs="Times New Roman"/>
      <w:b/>
      <w:sz w:val="32"/>
      <w:szCs w:val="20"/>
      <w:lang w:eastAsia="pt-BR"/>
    </w:rPr>
  </w:style>
  <w:style w:type="character" w:customStyle="1" w:styleId="TtuloChar">
    <w:name w:val="Título Char"/>
    <w:basedOn w:val="Fontepargpadro"/>
    <w:link w:val="Ttulo"/>
    <w:rsid w:val="00265E7F"/>
    <w:rPr>
      <w:rFonts w:ascii="Arial" w:eastAsia="Times New Roman" w:hAnsi="Arial" w:cs="Times New Roman"/>
      <w:b/>
      <w:sz w:val="32"/>
      <w:szCs w:val="20"/>
      <w:lang w:eastAsia="pt-BR"/>
    </w:rPr>
  </w:style>
  <w:style w:type="paragraph" w:customStyle="1" w:styleId="Estilo1">
    <w:name w:val="Estilo1"/>
    <w:basedOn w:val="PargrafodaLista"/>
    <w:next w:val="Ttulo2"/>
    <w:uiPriority w:val="99"/>
    <w:qFormat/>
    <w:rsid w:val="00265E7F"/>
    <w:pPr>
      <w:keepNext/>
      <w:suppressAutoHyphens/>
      <w:autoSpaceDN w:val="0"/>
      <w:spacing w:line="240" w:lineRule="auto"/>
      <w:contextualSpacing w:val="0"/>
      <w:textAlignment w:val="baseline"/>
      <w:outlineLvl w:val="0"/>
    </w:pPr>
    <w:rPr>
      <w:rFonts w:ascii="Times New Roman" w:eastAsia="Times New Roman" w:hAnsi="Times New Roman" w:cs="Times New Roman"/>
      <w:bCs/>
      <w:kern w:val="3"/>
      <w:sz w:val="24"/>
      <w:szCs w:val="24"/>
      <w:lang w:eastAsia="pt-BR"/>
    </w:rPr>
  </w:style>
  <w:style w:type="paragraph" w:customStyle="1" w:styleId="WW-Primeirorecuodecorpodetexto">
    <w:name w:val="WW-Primeiro recuo de corpo de texto"/>
    <w:basedOn w:val="Corpodetexto"/>
    <w:rsid w:val="00265E7F"/>
    <w:pPr>
      <w:widowControl w:val="0"/>
      <w:suppressAutoHyphens/>
      <w:spacing w:after="120"/>
      <w:jc w:val="left"/>
    </w:pPr>
    <w:rPr>
      <w:rFonts w:ascii="Times New Roman" w:eastAsia="Arial Unicode MS" w:hAnsi="Times New Roman"/>
      <w:sz w:val="24"/>
      <w:lang w:eastAsia="en-US"/>
    </w:rPr>
  </w:style>
  <w:style w:type="paragraph" w:styleId="Sumrio2">
    <w:name w:val="toc 2"/>
    <w:basedOn w:val="Normal"/>
    <w:next w:val="Normal"/>
    <w:autoRedefine/>
    <w:uiPriority w:val="39"/>
    <w:unhideWhenUsed/>
    <w:rsid w:val="00233C80"/>
    <w:pPr>
      <w:spacing w:after="100"/>
      <w:ind w:left="220"/>
    </w:pPr>
  </w:style>
  <w:style w:type="paragraph" w:styleId="Sumrio3">
    <w:name w:val="toc 3"/>
    <w:basedOn w:val="Normal"/>
    <w:next w:val="Normal"/>
    <w:autoRedefine/>
    <w:uiPriority w:val="39"/>
    <w:unhideWhenUsed/>
    <w:rsid w:val="00233C80"/>
    <w:pPr>
      <w:spacing w:after="100"/>
      <w:ind w:left="440"/>
    </w:pPr>
  </w:style>
  <w:style w:type="paragraph" w:customStyle="1" w:styleId="Profisco">
    <w:name w:val="Profisco"/>
    <w:basedOn w:val="Normal"/>
    <w:link w:val="ProfiscoChar"/>
    <w:autoRedefine/>
    <w:qFormat/>
    <w:rsid w:val="008E4A8D"/>
    <w:pPr>
      <w:spacing w:after="120"/>
      <w:jc w:val="both"/>
    </w:pPr>
    <w:rPr>
      <w:rFonts w:ascii="Arial" w:eastAsia="Times New Roman" w:hAnsi="Arial" w:cs="Times New Roman"/>
      <w:sz w:val="24"/>
      <w:szCs w:val="23"/>
    </w:rPr>
  </w:style>
  <w:style w:type="character" w:customStyle="1" w:styleId="ProfiscoChar">
    <w:name w:val="Profisco Char"/>
    <w:basedOn w:val="Fontepargpadro"/>
    <w:link w:val="Profisco"/>
    <w:rsid w:val="008E4A8D"/>
    <w:rPr>
      <w:rFonts w:ascii="Arial" w:eastAsia="Times New Roman" w:hAnsi="Arial" w:cs="Times New Roman"/>
      <w:sz w:val="24"/>
      <w:szCs w:val="23"/>
    </w:rPr>
  </w:style>
  <w:style w:type="paragraph" w:styleId="Corpodetexto3">
    <w:name w:val="Body Text 3"/>
    <w:basedOn w:val="Normal"/>
    <w:link w:val="Corpodetexto3Char"/>
    <w:unhideWhenUsed/>
    <w:rsid w:val="003F7D43"/>
    <w:pPr>
      <w:spacing w:before="240" w:after="120" w:line="240" w:lineRule="auto"/>
      <w:ind w:left="431" w:hanging="431"/>
      <w:jc w:val="both"/>
    </w:pPr>
    <w:rPr>
      <w:rFonts w:ascii="Arial" w:eastAsia="Times New Roman" w:hAnsi="Arial" w:cs="Times New Roman"/>
      <w:sz w:val="16"/>
      <w:szCs w:val="16"/>
      <w:lang w:eastAsia="pt-BR"/>
    </w:rPr>
  </w:style>
  <w:style w:type="character" w:customStyle="1" w:styleId="Corpodetexto3Char">
    <w:name w:val="Corpo de texto 3 Char"/>
    <w:basedOn w:val="Fontepargpadro"/>
    <w:link w:val="Corpodetexto3"/>
    <w:semiHidden/>
    <w:rsid w:val="003F7D43"/>
    <w:rPr>
      <w:rFonts w:ascii="Arial" w:eastAsia="Times New Roman" w:hAnsi="Arial" w:cs="Times New Roman"/>
      <w:sz w:val="16"/>
      <w:szCs w:val="16"/>
      <w:lang w:eastAsia="pt-BR"/>
    </w:rPr>
  </w:style>
  <w:style w:type="paragraph" w:styleId="Pr-formataoHTML">
    <w:name w:val="HTML Preformatted"/>
    <w:basedOn w:val="Normal"/>
    <w:link w:val="Pr-formataoHTMLChar"/>
    <w:uiPriority w:val="99"/>
    <w:qFormat/>
    <w:rsid w:val="00611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11D38"/>
    <w:rPr>
      <w:rFonts w:ascii="Courier New" w:eastAsia="Times New Roman" w:hAnsi="Courier New" w:cs="Courier New"/>
      <w:sz w:val="20"/>
      <w:szCs w:val="20"/>
      <w:lang w:eastAsia="pt-BR"/>
    </w:rPr>
  </w:style>
  <w:style w:type="paragraph" w:styleId="Sumrio4">
    <w:name w:val="toc 4"/>
    <w:basedOn w:val="Normal"/>
    <w:next w:val="Normal"/>
    <w:autoRedefine/>
    <w:uiPriority w:val="39"/>
    <w:unhideWhenUsed/>
    <w:rsid w:val="00F04A84"/>
    <w:pPr>
      <w:spacing w:after="100" w:line="259" w:lineRule="auto"/>
      <w:ind w:left="660"/>
    </w:pPr>
    <w:rPr>
      <w:rFonts w:eastAsiaTheme="minorEastAsia"/>
      <w:lang w:eastAsia="pt-BR"/>
    </w:rPr>
  </w:style>
  <w:style w:type="paragraph" w:styleId="Sumrio5">
    <w:name w:val="toc 5"/>
    <w:basedOn w:val="Normal"/>
    <w:next w:val="Normal"/>
    <w:autoRedefine/>
    <w:uiPriority w:val="39"/>
    <w:unhideWhenUsed/>
    <w:rsid w:val="00F04A84"/>
    <w:pPr>
      <w:spacing w:after="100" w:line="259" w:lineRule="auto"/>
      <w:ind w:left="880"/>
    </w:pPr>
    <w:rPr>
      <w:rFonts w:eastAsiaTheme="minorEastAsia"/>
      <w:lang w:eastAsia="pt-BR"/>
    </w:rPr>
  </w:style>
  <w:style w:type="paragraph" w:styleId="Sumrio6">
    <w:name w:val="toc 6"/>
    <w:basedOn w:val="Normal"/>
    <w:next w:val="Normal"/>
    <w:autoRedefine/>
    <w:uiPriority w:val="39"/>
    <w:unhideWhenUsed/>
    <w:rsid w:val="00F04A84"/>
    <w:pPr>
      <w:spacing w:after="100" w:line="259" w:lineRule="auto"/>
      <w:ind w:left="1100"/>
    </w:pPr>
    <w:rPr>
      <w:rFonts w:eastAsiaTheme="minorEastAsia"/>
      <w:lang w:eastAsia="pt-BR"/>
    </w:rPr>
  </w:style>
  <w:style w:type="paragraph" w:styleId="Sumrio7">
    <w:name w:val="toc 7"/>
    <w:basedOn w:val="Normal"/>
    <w:next w:val="Normal"/>
    <w:autoRedefine/>
    <w:uiPriority w:val="39"/>
    <w:unhideWhenUsed/>
    <w:rsid w:val="00F04A84"/>
    <w:pPr>
      <w:spacing w:after="100" w:line="259" w:lineRule="auto"/>
      <w:ind w:left="1320"/>
    </w:pPr>
    <w:rPr>
      <w:rFonts w:eastAsiaTheme="minorEastAsia"/>
      <w:lang w:eastAsia="pt-BR"/>
    </w:rPr>
  </w:style>
  <w:style w:type="paragraph" w:styleId="Sumrio8">
    <w:name w:val="toc 8"/>
    <w:basedOn w:val="Normal"/>
    <w:next w:val="Normal"/>
    <w:autoRedefine/>
    <w:uiPriority w:val="39"/>
    <w:unhideWhenUsed/>
    <w:rsid w:val="00F04A84"/>
    <w:pPr>
      <w:spacing w:after="100" w:line="259" w:lineRule="auto"/>
      <w:ind w:left="1540"/>
    </w:pPr>
    <w:rPr>
      <w:rFonts w:eastAsiaTheme="minorEastAsia"/>
      <w:lang w:eastAsia="pt-BR"/>
    </w:rPr>
  </w:style>
  <w:style w:type="paragraph" w:styleId="Sumrio9">
    <w:name w:val="toc 9"/>
    <w:basedOn w:val="Normal"/>
    <w:next w:val="Normal"/>
    <w:autoRedefine/>
    <w:uiPriority w:val="39"/>
    <w:unhideWhenUsed/>
    <w:rsid w:val="00F04A84"/>
    <w:pPr>
      <w:spacing w:after="100" w:line="259" w:lineRule="auto"/>
      <w:ind w:left="1760"/>
    </w:pPr>
    <w:rPr>
      <w:rFonts w:eastAsiaTheme="minorEastAsia"/>
      <w:lang w:eastAsia="pt-BR"/>
    </w:rPr>
  </w:style>
  <w:style w:type="table" w:styleId="Tabelacomgrade">
    <w:name w:val="Table Grid"/>
    <w:basedOn w:val="Tabelanormal"/>
    <w:uiPriority w:val="59"/>
    <w:rsid w:val="00FC44ED"/>
    <w:pPr>
      <w:spacing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Justificado">
    <w:name w:val="Estilo Justificado"/>
    <w:basedOn w:val="Normal"/>
    <w:rsid w:val="00174C8A"/>
    <w:pPr>
      <w:suppressAutoHyphens/>
      <w:spacing w:before="240" w:after="240" w:line="240" w:lineRule="auto"/>
      <w:jc w:val="both"/>
    </w:pPr>
    <w:rPr>
      <w:rFonts w:ascii="Calibri" w:eastAsia="Times New Roman" w:hAnsi="Calibri" w:cs="Times New Roman"/>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51">
      <w:bodyDiv w:val="1"/>
      <w:marLeft w:val="0"/>
      <w:marRight w:val="0"/>
      <w:marTop w:val="0"/>
      <w:marBottom w:val="0"/>
      <w:divBdr>
        <w:top w:val="none" w:sz="0" w:space="0" w:color="auto"/>
        <w:left w:val="none" w:sz="0" w:space="0" w:color="auto"/>
        <w:bottom w:val="none" w:sz="0" w:space="0" w:color="auto"/>
        <w:right w:val="none" w:sz="0" w:space="0" w:color="auto"/>
      </w:divBdr>
    </w:div>
    <w:div w:id="1056779">
      <w:bodyDiv w:val="1"/>
      <w:marLeft w:val="0"/>
      <w:marRight w:val="0"/>
      <w:marTop w:val="0"/>
      <w:marBottom w:val="0"/>
      <w:divBdr>
        <w:top w:val="none" w:sz="0" w:space="0" w:color="auto"/>
        <w:left w:val="none" w:sz="0" w:space="0" w:color="auto"/>
        <w:bottom w:val="none" w:sz="0" w:space="0" w:color="auto"/>
        <w:right w:val="none" w:sz="0" w:space="0" w:color="auto"/>
      </w:divBdr>
    </w:div>
    <w:div w:id="4400876">
      <w:bodyDiv w:val="1"/>
      <w:marLeft w:val="0"/>
      <w:marRight w:val="0"/>
      <w:marTop w:val="0"/>
      <w:marBottom w:val="0"/>
      <w:divBdr>
        <w:top w:val="none" w:sz="0" w:space="0" w:color="auto"/>
        <w:left w:val="none" w:sz="0" w:space="0" w:color="auto"/>
        <w:bottom w:val="none" w:sz="0" w:space="0" w:color="auto"/>
        <w:right w:val="none" w:sz="0" w:space="0" w:color="auto"/>
      </w:divBdr>
    </w:div>
    <w:div w:id="6446846">
      <w:bodyDiv w:val="1"/>
      <w:marLeft w:val="0"/>
      <w:marRight w:val="0"/>
      <w:marTop w:val="0"/>
      <w:marBottom w:val="0"/>
      <w:divBdr>
        <w:top w:val="none" w:sz="0" w:space="0" w:color="auto"/>
        <w:left w:val="none" w:sz="0" w:space="0" w:color="auto"/>
        <w:bottom w:val="none" w:sz="0" w:space="0" w:color="auto"/>
        <w:right w:val="none" w:sz="0" w:space="0" w:color="auto"/>
      </w:divBdr>
    </w:div>
    <w:div w:id="14816758">
      <w:bodyDiv w:val="1"/>
      <w:marLeft w:val="0"/>
      <w:marRight w:val="0"/>
      <w:marTop w:val="0"/>
      <w:marBottom w:val="0"/>
      <w:divBdr>
        <w:top w:val="none" w:sz="0" w:space="0" w:color="auto"/>
        <w:left w:val="none" w:sz="0" w:space="0" w:color="auto"/>
        <w:bottom w:val="none" w:sz="0" w:space="0" w:color="auto"/>
        <w:right w:val="none" w:sz="0" w:space="0" w:color="auto"/>
      </w:divBdr>
    </w:div>
    <w:div w:id="35664415">
      <w:bodyDiv w:val="1"/>
      <w:marLeft w:val="0"/>
      <w:marRight w:val="0"/>
      <w:marTop w:val="0"/>
      <w:marBottom w:val="0"/>
      <w:divBdr>
        <w:top w:val="none" w:sz="0" w:space="0" w:color="auto"/>
        <w:left w:val="none" w:sz="0" w:space="0" w:color="auto"/>
        <w:bottom w:val="none" w:sz="0" w:space="0" w:color="auto"/>
        <w:right w:val="none" w:sz="0" w:space="0" w:color="auto"/>
      </w:divBdr>
    </w:div>
    <w:div w:id="49883570">
      <w:bodyDiv w:val="1"/>
      <w:marLeft w:val="0"/>
      <w:marRight w:val="0"/>
      <w:marTop w:val="0"/>
      <w:marBottom w:val="0"/>
      <w:divBdr>
        <w:top w:val="none" w:sz="0" w:space="0" w:color="auto"/>
        <w:left w:val="none" w:sz="0" w:space="0" w:color="auto"/>
        <w:bottom w:val="none" w:sz="0" w:space="0" w:color="auto"/>
        <w:right w:val="none" w:sz="0" w:space="0" w:color="auto"/>
      </w:divBdr>
    </w:div>
    <w:div w:id="55978461">
      <w:bodyDiv w:val="1"/>
      <w:marLeft w:val="0"/>
      <w:marRight w:val="0"/>
      <w:marTop w:val="0"/>
      <w:marBottom w:val="0"/>
      <w:divBdr>
        <w:top w:val="none" w:sz="0" w:space="0" w:color="auto"/>
        <w:left w:val="none" w:sz="0" w:space="0" w:color="auto"/>
        <w:bottom w:val="none" w:sz="0" w:space="0" w:color="auto"/>
        <w:right w:val="none" w:sz="0" w:space="0" w:color="auto"/>
      </w:divBdr>
    </w:div>
    <w:div w:id="65080637">
      <w:bodyDiv w:val="1"/>
      <w:marLeft w:val="0"/>
      <w:marRight w:val="0"/>
      <w:marTop w:val="0"/>
      <w:marBottom w:val="0"/>
      <w:divBdr>
        <w:top w:val="none" w:sz="0" w:space="0" w:color="auto"/>
        <w:left w:val="none" w:sz="0" w:space="0" w:color="auto"/>
        <w:bottom w:val="none" w:sz="0" w:space="0" w:color="auto"/>
        <w:right w:val="none" w:sz="0" w:space="0" w:color="auto"/>
      </w:divBdr>
    </w:div>
    <w:div w:id="138957826">
      <w:bodyDiv w:val="1"/>
      <w:marLeft w:val="0"/>
      <w:marRight w:val="0"/>
      <w:marTop w:val="0"/>
      <w:marBottom w:val="0"/>
      <w:divBdr>
        <w:top w:val="none" w:sz="0" w:space="0" w:color="auto"/>
        <w:left w:val="none" w:sz="0" w:space="0" w:color="auto"/>
        <w:bottom w:val="none" w:sz="0" w:space="0" w:color="auto"/>
        <w:right w:val="none" w:sz="0" w:space="0" w:color="auto"/>
      </w:divBdr>
    </w:div>
    <w:div w:id="162859695">
      <w:bodyDiv w:val="1"/>
      <w:marLeft w:val="0"/>
      <w:marRight w:val="0"/>
      <w:marTop w:val="0"/>
      <w:marBottom w:val="0"/>
      <w:divBdr>
        <w:top w:val="none" w:sz="0" w:space="0" w:color="auto"/>
        <w:left w:val="none" w:sz="0" w:space="0" w:color="auto"/>
        <w:bottom w:val="none" w:sz="0" w:space="0" w:color="auto"/>
        <w:right w:val="none" w:sz="0" w:space="0" w:color="auto"/>
      </w:divBdr>
    </w:div>
    <w:div w:id="170075029">
      <w:bodyDiv w:val="1"/>
      <w:marLeft w:val="0"/>
      <w:marRight w:val="0"/>
      <w:marTop w:val="0"/>
      <w:marBottom w:val="0"/>
      <w:divBdr>
        <w:top w:val="none" w:sz="0" w:space="0" w:color="auto"/>
        <w:left w:val="none" w:sz="0" w:space="0" w:color="auto"/>
        <w:bottom w:val="none" w:sz="0" w:space="0" w:color="auto"/>
        <w:right w:val="none" w:sz="0" w:space="0" w:color="auto"/>
      </w:divBdr>
    </w:div>
    <w:div w:id="190073090">
      <w:bodyDiv w:val="1"/>
      <w:marLeft w:val="0"/>
      <w:marRight w:val="0"/>
      <w:marTop w:val="0"/>
      <w:marBottom w:val="0"/>
      <w:divBdr>
        <w:top w:val="none" w:sz="0" w:space="0" w:color="auto"/>
        <w:left w:val="none" w:sz="0" w:space="0" w:color="auto"/>
        <w:bottom w:val="none" w:sz="0" w:space="0" w:color="auto"/>
        <w:right w:val="none" w:sz="0" w:space="0" w:color="auto"/>
      </w:divBdr>
    </w:div>
    <w:div w:id="208227205">
      <w:bodyDiv w:val="1"/>
      <w:marLeft w:val="0"/>
      <w:marRight w:val="0"/>
      <w:marTop w:val="0"/>
      <w:marBottom w:val="0"/>
      <w:divBdr>
        <w:top w:val="none" w:sz="0" w:space="0" w:color="auto"/>
        <w:left w:val="none" w:sz="0" w:space="0" w:color="auto"/>
        <w:bottom w:val="none" w:sz="0" w:space="0" w:color="auto"/>
        <w:right w:val="none" w:sz="0" w:space="0" w:color="auto"/>
      </w:divBdr>
    </w:div>
    <w:div w:id="222837229">
      <w:bodyDiv w:val="1"/>
      <w:marLeft w:val="0"/>
      <w:marRight w:val="0"/>
      <w:marTop w:val="0"/>
      <w:marBottom w:val="0"/>
      <w:divBdr>
        <w:top w:val="none" w:sz="0" w:space="0" w:color="auto"/>
        <w:left w:val="none" w:sz="0" w:space="0" w:color="auto"/>
        <w:bottom w:val="none" w:sz="0" w:space="0" w:color="auto"/>
        <w:right w:val="none" w:sz="0" w:space="0" w:color="auto"/>
      </w:divBdr>
    </w:div>
    <w:div w:id="223175895">
      <w:bodyDiv w:val="1"/>
      <w:marLeft w:val="0"/>
      <w:marRight w:val="0"/>
      <w:marTop w:val="0"/>
      <w:marBottom w:val="0"/>
      <w:divBdr>
        <w:top w:val="none" w:sz="0" w:space="0" w:color="auto"/>
        <w:left w:val="none" w:sz="0" w:space="0" w:color="auto"/>
        <w:bottom w:val="none" w:sz="0" w:space="0" w:color="auto"/>
        <w:right w:val="none" w:sz="0" w:space="0" w:color="auto"/>
      </w:divBdr>
    </w:div>
    <w:div w:id="230435286">
      <w:bodyDiv w:val="1"/>
      <w:marLeft w:val="0"/>
      <w:marRight w:val="0"/>
      <w:marTop w:val="0"/>
      <w:marBottom w:val="0"/>
      <w:divBdr>
        <w:top w:val="none" w:sz="0" w:space="0" w:color="auto"/>
        <w:left w:val="none" w:sz="0" w:space="0" w:color="auto"/>
        <w:bottom w:val="none" w:sz="0" w:space="0" w:color="auto"/>
        <w:right w:val="none" w:sz="0" w:space="0" w:color="auto"/>
      </w:divBdr>
    </w:div>
    <w:div w:id="235213559">
      <w:bodyDiv w:val="1"/>
      <w:marLeft w:val="0"/>
      <w:marRight w:val="0"/>
      <w:marTop w:val="0"/>
      <w:marBottom w:val="0"/>
      <w:divBdr>
        <w:top w:val="none" w:sz="0" w:space="0" w:color="auto"/>
        <w:left w:val="none" w:sz="0" w:space="0" w:color="auto"/>
        <w:bottom w:val="none" w:sz="0" w:space="0" w:color="auto"/>
        <w:right w:val="none" w:sz="0" w:space="0" w:color="auto"/>
      </w:divBdr>
    </w:div>
    <w:div w:id="256400822">
      <w:bodyDiv w:val="1"/>
      <w:marLeft w:val="0"/>
      <w:marRight w:val="0"/>
      <w:marTop w:val="0"/>
      <w:marBottom w:val="0"/>
      <w:divBdr>
        <w:top w:val="none" w:sz="0" w:space="0" w:color="auto"/>
        <w:left w:val="none" w:sz="0" w:space="0" w:color="auto"/>
        <w:bottom w:val="none" w:sz="0" w:space="0" w:color="auto"/>
        <w:right w:val="none" w:sz="0" w:space="0" w:color="auto"/>
      </w:divBdr>
    </w:div>
    <w:div w:id="276254516">
      <w:bodyDiv w:val="1"/>
      <w:marLeft w:val="0"/>
      <w:marRight w:val="0"/>
      <w:marTop w:val="0"/>
      <w:marBottom w:val="0"/>
      <w:divBdr>
        <w:top w:val="none" w:sz="0" w:space="0" w:color="auto"/>
        <w:left w:val="none" w:sz="0" w:space="0" w:color="auto"/>
        <w:bottom w:val="none" w:sz="0" w:space="0" w:color="auto"/>
        <w:right w:val="none" w:sz="0" w:space="0" w:color="auto"/>
      </w:divBdr>
    </w:div>
    <w:div w:id="293757631">
      <w:bodyDiv w:val="1"/>
      <w:marLeft w:val="0"/>
      <w:marRight w:val="0"/>
      <w:marTop w:val="0"/>
      <w:marBottom w:val="0"/>
      <w:divBdr>
        <w:top w:val="none" w:sz="0" w:space="0" w:color="auto"/>
        <w:left w:val="none" w:sz="0" w:space="0" w:color="auto"/>
        <w:bottom w:val="none" w:sz="0" w:space="0" w:color="auto"/>
        <w:right w:val="none" w:sz="0" w:space="0" w:color="auto"/>
      </w:divBdr>
    </w:div>
    <w:div w:id="335689115">
      <w:bodyDiv w:val="1"/>
      <w:marLeft w:val="0"/>
      <w:marRight w:val="0"/>
      <w:marTop w:val="0"/>
      <w:marBottom w:val="0"/>
      <w:divBdr>
        <w:top w:val="none" w:sz="0" w:space="0" w:color="auto"/>
        <w:left w:val="none" w:sz="0" w:space="0" w:color="auto"/>
        <w:bottom w:val="none" w:sz="0" w:space="0" w:color="auto"/>
        <w:right w:val="none" w:sz="0" w:space="0" w:color="auto"/>
      </w:divBdr>
    </w:div>
    <w:div w:id="361631274">
      <w:bodyDiv w:val="1"/>
      <w:marLeft w:val="0"/>
      <w:marRight w:val="0"/>
      <w:marTop w:val="0"/>
      <w:marBottom w:val="0"/>
      <w:divBdr>
        <w:top w:val="none" w:sz="0" w:space="0" w:color="auto"/>
        <w:left w:val="none" w:sz="0" w:space="0" w:color="auto"/>
        <w:bottom w:val="none" w:sz="0" w:space="0" w:color="auto"/>
        <w:right w:val="none" w:sz="0" w:space="0" w:color="auto"/>
      </w:divBdr>
    </w:div>
    <w:div w:id="374621590">
      <w:bodyDiv w:val="1"/>
      <w:marLeft w:val="0"/>
      <w:marRight w:val="0"/>
      <w:marTop w:val="0"/>
      <w:marBottom w:val="0"/>
      <w:divBdr>
        <w:top w:val="none" w:sz="0" w:space="0" w:color="auto"/>
        <w:left w:val="none" w:sz="0" w:space="0" w:color="auto"/>
        <w:bottom w:val="none" w:sz="0" w:space="0" w:color="auto"/>
        <w:right w:val="none" w:sz="0" w:space="0" w:color="auto"/>
      </w:divBdr>
    </w:div>
    <w:div w:id="376927776">
      <w:bodyDiv w:val="1"/>
      <w:marLeft w:val="0"/>
      <w:marRight w:val="0"/>
      <w:marTop w:val="0"/>
      <w:marBottom w:val="0"/>
      <w:divBdr>
        <w:top w:val="none" w:sz="0" w:space="0" w:color="auto"/>
        <w:left w:val="none" w:sz="0" w:space="0" w:color="auto"/>
        <w:bottom w:val="none" w:sz="0" w:space="0" w:color="auto"/>
        <w:right w:val="none" w:sz="0" w:space="0" w:color="auto"/>
      </w:divBdr>
    </w:div>
    <w:div w:id="401374386">
      <w:bodyDiv w:val="1"/>
      <w:marLeft w:val="0"/>
      <w:marRight w:val="0"/>
      <w:marTop w:val="0"/>
      <w:marBottom w:val="0"/>
      <w:divBdr>
        <w:top w:val="none" w:sz="0" w:space="0" w:color="auto"/>
        <w:left w:val="none" w:sz="0" w:space="0" w:color="auto"/>
        <w:bottom w:val="none" w:sz="0" w:space="0" w:color="auto"/>
        <w:right w:val="none" w:sz="0" w:space="0" w:color="auto"/>
      </w:divBdr>
    </w:div>
    <w:div w:id="424039091">
      <w:bodyDiv w:val="1"/>
      <w:marLeft w:val="0"/>
      <w:marRight w:val="0"/>
      <w:marTop w:val="0"/>
      <w:marBottom w:val="0"/>
      <w:divBdr>
        <w:top w:val="none" w:sz="0" w:space="0" w:color="auto"/>
        <w:left w:val="none" w:sz="0" w:space="0" w:color="auto"/>
        <w:bottom w:val="none" w:sz="0" w:space="0" w:color="auto"/>
        <w:right w:val="none" w:sz="0" w:space="0" w:color="auto"/>
      </w:divBdr>
    </w:div>
    <w:div w:id="425417652">
      <w:bodyDiv w:val="1"/>
      <w:marLeft w:val="0"/>
      <w:marRight w:val="0"/>
      <w:marTop w:val="0"/>
      <w:marBottom w:val="0"/>
      <w:divBdr>
        <w:top w:val="none" w:sz="0" w:space="0" w:color="auto"/>
        <w:left w:val="none" w:sz="0" w:space="0" w:color="auto"/>
        <w:bottom w:val="none" w:sz="0" w:space="0" w:color="auto"/>
        <w:right w:val="none" w:sz="0" w:space="0" w:color="auto"/>
      </w:divBdr>
    </w:div>
    <w:div w:id="429545981">
      <w:bodyDiv w:val="1"/>
      <w:marLeft w:val="0"/>
      <w:marRight w:val="0"/>
      <w:marTop w:val="0"/>
      <w:marBottom w:val="0"/>
      <w:divBdr>
        <w:top w:val="none" w:sz="0" w:space="0" w:color="auto"/>
        <w:left w:val="none" w:sz="0" w:space="0" w:color="auto"/>
        <w:bottom w:val="none" w:sz="0" w:space="0" w:color="auto"/>
        <w:right w:val="none" w:sz="0" w:space="0" w:color="auto"/>
      </w:divBdr>
    </w:div>
    <w:div w:id="443118762">
      <w:bodyDiv w:val="1"/>
      <w:marLeft w:val="0"/>
      <w:marRight w:val="0"/>
      <w:marTop w:val="0"/>
      <w:marBottom w:val="0"/>
      <w:divBdr>
        <w:top w:val="none" w:sz="0" w:space="0" w:color="auto"/>
        <w:left w:val="none" w:sz="0" w:space="0" w:color="auto"/>
        <w:bottom w:val="none" w:sz="0" w:space="0" w:color="auto"/>
        <w:right w:val="none" w:sz="0" w:space="0" w:color="auto"/>
      </w:divBdr>
    </w:div>
    <w:div w:id="453913308">
      <w:bodyDiv w:val="1"/>
      <w:marLeft w:val="0"/>
      <w:marRight w:val="0"/>
      <w:marTop w:val="0"/>
      <w:marBottom w:val="0"/>
      <w:divBdr>
        <w:top w:val="none" w:sz="0" w:space="0" w:color="auto"/>
        <w:left w:val="none" w:sz="0" w:space="0" w:color="auto"/>
        <w:bottom w:val="none" w:sz="0" w:space="0" w:color="auto"/>
        <w:right w:val="none" w:sz="0" w:space="0" w:color="auto"/>
      </w:divBdr>
    </w:div>
    <w:div w:id="454449885">
      <w:bodyDiv w:val="1"/>
      <w:marLeft w:val="0"/>
      <w:marRight w:val="0"/>
      <w:marTop w:val="0"/>
      <w:marBottom w:val="0"/>
      <w:divBdr>
        <w:top w:val="none" w:sz="0" w:space="0" w:color="auto"/>
        <w:left w:val="none" w:sz="0" w:space="0" w:color="auto"/>
        <w:bottom w:val="none" w:sz="0" w:space="0" w:color="auto"/>
        <w:right w:val="none" w:sz="0" w:space="0" w:color="auto"/>
      </w:divBdr>
    </w:div>
    <w:div w:id="479928583">
      <w:bodyDiv w:val="1"/>
      <w:marLeft w:val="0"/>
      <w:marRight w:val="0"/>
      <w:marTop w:val="0"/>
      <w:marBottom w:val="0"/>
      <w:divBdr>
        <w:top w:val="none" w:sz="0" w:space="0" w:color="auto"/>
        <w:left w:val="none" w:sz="0" w:space="0" w:color="auto"/>
        <w:bottom w:val="none" w:sz="0" w:space="0" w:color="auto"/>
        <w:right w:val="none" w:sz="0" w:space="0" w:color="auto"/>
      </w:divBdr>
    </w:div>
    <w:div w:id="513810517">
      <w:bodyDiv w:val="1"/>
      <w:marLeft w:val="0"/>
      <w:marRight w:val="0"/>
      <w:marTop w:val="0"/>
      <w:marBottom w:val="0"/>
      <w:divBdr>
        <w:top w:val="none" w:sz="0" w:space="0" w:color="auto"/>
        <w:left w:val="none" w:sz="0" w:space="0" w:color="auto"/>
        <w:bottom w:val="none" w:sz="0" w:space="0" w:color="auto"/>
        <w:right w:val="none" w:sz="0" w:space="0" w:color="auto"/>
      </w:divBdr>
    </w:div>
    <w:div w:id="518737518">
      <w:bodyDiv w:val="1"/>
      <w:marLeft w:val="0"/>
      <w:marRight w:val="0"/>
      <w:marTop w:val="0"/>
      <w:marBottom w:val="0"/>
      <w:divBdr>
        <w:top w:val="none" w:sz="0" w:space="0" w:color="auto"/>
        <w:left w:val="none" w:sz="0" w:space="0" w:color="auto"/>
        <w:bottom w:val="none" w:sz="0" w:space="0" w:color="auto"/>
        <w:right w:val="none" w:sz="0" w:space="0" w:color="auto"/>
      </w:divBdr>
    </w:div>
    <w:div w:id="525946640">
      <w:bodyDiv w:val="1"/>
      <w:marLeft w:val="0"/>
      <w:marRight w:val="0"/>
      <w:marTop w:val="0"/>
      <w:marBottom w:val="0"/>
      <w:divBdr>
        <w:top w:val="none" w:sz="0" w:space="0" w:color="auto"/>
        <w:left w:val="none" w:sz="0" w:space="0" w:color="auto"/>
        <w:bottom w:val="none" w:sz="0" w:space="0" w:color="auto"/>
        <w:right w:val="none" w:sz="0" w:space="0" w:color="auto"/>
      </w:divBdr>
    </w:div>
    <w:div w:id="555510379">
      <w:bodyDiv w:val="1"/>
      <w:marLeft w:val="0"/>
      <w:marRight w:val="0"/>
      <w:marTop w:val="0"/>
      <w:marBottom w:val="0"/>
      <w:divBdr>
        <w:top w:val="none" w:sz="0" w:space="0" w:color="auto"/>
        <w:left w:val="none" w:sz="0" w:space="0" w:color="auto"/>
        <w:bottom w:val="none" w:sz="0" w:space="0" w:color="auto"/>
        <w:right w:val="none" w:sz="0" w:space="0" w:color="auto"/>
      </w:divBdr>
    </w:div>
    <w:div w:id="560822225">
      <w:bodyDiv w:val="1"/>
      <w:marLeft w:val="0"/>
      <w:marRight w:val="0"/>
      <w:marTop w:val="0"/>
      <w:marBottom w:val="0"/>
      <w:divBdr>
        <w:top w:val="none" w:sz="0" w:space="0" w:color="auto"/>
        <w:left w:val="none" w:sz="0" w:space="0" w:color="auto"/>
        <w:bottom w:val="none" w:sz="0" w:space="0" w:color="auto"/>
        <w:right w:val="none" w:sz="0" w:space="0" w:color="auto"/>
      </w:divBdr>
    </w:div>
    <w:div w:id="562909928">
      <w:bodyDiv w:val="1"/>
      <w:marLeft w:val="0"/>
      <w:marRight w:val="0"/>
      <w:marTop w:val="0"/>
      <w:marBottom w:val="0"/>
      <w:divBdr>
        <w:top w:val="none" w:sz="0" w:space="0" w:color="auto"/>
        <w:left w:val="none" w:sz="0" w:space="0" w:color="auto"/>
        <w:bottom w:val="none" w:sz="0" w:space="0" w:color="auto"/>
        <w:right w:val="none" w:sz="0" w:space="0" w:color="auto"/>
      </w:divBdr>
    </w:div>
    <w:div w:id="572929602">
      <w:bodyDiv w:val="1"/>
      <w:marLeft w:val="0"/>
      <w:marRight w:val="0"/>
      <w:marTop w:val="0"/>
      <w:marBottom w:val="0"/>
      <w:divBdr>
        <w:top w:val="none" w:sz="0" w:space="0" w:color="auto"/>
        <w:left w:val="none" w:sz="0" w:space="0" w:color="auto"/>
        <w:bottom w:val="none" w:sz="0" w:space="0" w:color="auto"/>
        <w:right w:val="none" w:sz="0" w:space="0" w:color="auto"/>
      </w:divBdr>
    </w:div>
    <w:div w:id="599413579">
      <w:bodyDiv w:val="1"/>
      <w:marLeft w:val="0"/>
      <w:marRight w:val="0"/>
      <w:marTop w:val="0"/>
      <w:marBottom w:val="0"/>
      <w:divBdr>
        <w:top w:val="none" w:sz="0" w:space="0" w:color="auto"/>
        <w:left w:val="none" w:sz="0" w:space="0" w:color="auto"/>
        <w:bottom w:val="none" w:sz="0" w:space="0" w:color="auto"/>
        <w:right w:val="none" w:sz="0" w:space="0" w:color="auto"/>
      </w:divBdr>
    </w:div>
    <w:div w:id="600065632">
      <w:bodyDiv w:val="1"/>
      <w:marLeft w:val="0"/>
      <w:marRight w:val="0"/>
      <w:marTop w:val="0"/>
      <w:marBottom w:val="0"/>
      <w:divBdr>
        <w:top w:val="none" w:sz="0" w:space="0" w:color="auto"/>
        <w:left w:val="none" w:sz="0" w:space="0" w:color="auto"/>
        <w:bottom w:val="none" w:sz="0" w:space="0" w:color="auto"/>
        <w:right w:val="none" w:sz="0" w:space="0" w:color="auto"/>
      </w:divBdr>
    </w:div>
    <w:div w:id="605120107">
      <w:bodyDiv w:val="1"/>
      <w:marLeft w:val="0"/>
      <w:marRight w:val="0"/>
      <w:marTop w:val="0"/>
      <w:marBottom w:val="0"/>
      <w:divBdr>
        <w:top w:val="none" w:sz="0" w:space="0" w:color="auto"/>
        <w:left w:val="none" w:sz="0" w:space="0" w:color="auto"/>
        <w:bottom w:val="none" w:sz="0" w:space="0" w:color="auto"/>
        <w:right w:val="none" w:sz="0" w:space="0" w:color="auto"/>
      </w:divBdr>
    </w:div>
    <w:div w:id="606162336">
      <w:bodyDiv w:val="1"/>
      <w:marLeft w:val="0"/>
      <w:marRight w:val="0"/>
      <w:marTop w:val="0"/>
      <w:marBottom w:val="0"/>
      <w:divBdr>
        <w:top w:val="none" w:sz="0" w:space="0" w:color="auto"/>
        <w:left w:val="none" w:sz="0" w:space="0" w:color="auto"/>
        <w:bottom w:val="none" w:sz="0" w:space="0" w:color="auto"/>
        <w:right w:val="none" w:sz="0" w:space="0" w:color="auto"/>
      </w:divBdr>
    </w:div>
    <w:div w:id="617491450">
      <w:bodyDiv w:val="1"/>
      <w:marLeft w:val="0"/>
      <w:marRight w:val="0"/>
      <w:marTop w:val="0"/>
      <w:marBottom w:val="0"/>
      <w:divBdr>
        <w:top w:val="none" w:sz="0" w:space="0" w:color="auto"/>
        <w:left w:val="none" w:sz="0" w:space="0" w:color="auto"/>
        <w:bottom w:val="none" w:sz="0" w:space="0" w:color="auto"/>
        <w:right w:val="none" w:sz="0" w:space="0" w:color="auto"/>
      </w:divBdr>
    </w:div>
    <w:div w:id="630742855">
      <w:bodyDiv w:val="1"/>
      <w:marLeft w:val="0"/>
      <w:marRight w:val="0"/>
      <w:marTop w:val="0"/>
      <w:marBottom w:val="0"/>
      <w:divBdr>
        <w:top w:val="none" w:sz="0" w:space="0" w:color="auto"/>
        <w:left w:val="none" w:sz="0" w:space="0" w:color="auto"/>
        <w:bottom w:val="none" w:sz="0" w:space="0" w:color="auto"/>
        <w:right w:val="none" w:sz="0" w:space="0" w:color="auto"/>
      </w:divBdr>
    </w:div>
    <w:div w:id="631714078">
      <w:bodyDiv w:val="1"/>
      <w:marLeft w:val="0"/>
      <w:marRight w:val="0"/>
      <w:marTop w:val="0"/>
      <w:marBottom w:val="0"/>
      <w:divBdr>
        <w:top w:val="none" w:sz="0" w:space="0" w:color="auto"/>
        <w:left w:val="none" w:sz="0" w:space="0" w:color="auto"/>
        <w:bottom w:val="none" w:sz="0" w:space="0" w:color="auto"/>
        <w:right w:val="none" w:sz="0" w:space="0" w:color="auto"/>
      </w:divBdr>
    </w:div>
    <w:div w:id="631835619">
      <w:bodyDiv w:val="1"/>
      <w:marLeft w:val="0"/>
      <w:marRight w:val="0"/>
      <w:marTop w:val="0"/>
      <w:marBottom w:val="0"/>
      <w:divBdr>
        <w:top w:val="none" w:sz="0" w:space="0" w:color="auto"/>
        <w:left w:val="none" w:sz="0" w:space="0" w:color="auto"/>
        <w:bottom w:val="none" w:sz="0" w:space="0" w:color="auto"/>
        <w:right w:val="none" w:sz="0" w:space="0" w:color="auto"/>
      </w:divBdr>
    </w:div>
    <w:div w:id="642656688">
      <w:bodyDiv w:val="1"/>
      <w:marLeft w:val="0"/>
      <w:marRight w:val="0"/>
      <w:marTop w:val="0"/>
      <w:marBottom w:val="0"/>
      <w:divBdr>
        <w:top w:val="none" w:sz="0" w:space="0" w:color="auto"/>
        <w:left w:val="none" w:sz="0" w:space="0" w:color="auto"/>
        <w:bottom w:val="none" w:sz="0" w:space="0" w:color="auto"/>
        <w:right w:val="none" w:sz="0" w:space="0" w:color="auto"/>
      </w:divBdr>
    </w:div>
    <w:div w:id="645352568">
      <w:bodyDiv w:val="1"/>
      <w:marLeft w:val="0"/>
      <w:marRight w:val="0"/>
      <w:marTop w:val="0"/>
      <w:marBottom w:val="0"/>
      <w:divBdr>
        <w:top w:val="none" w:sz="0" w:space="0" w:color="auto"/>
        <w:left w:val="none" w:sz="0" w:space="0" w:color="auto"/>
        <w:bottom w:val="none" w:sz="0" w:space="0" w:color="auto"/>
        <w:right w:val="none" w:sz="0" w:space="0" w:color="auto"/>
      </w:divBdr>
    </w:div>
    <w:div w:id="666515256">
      <w:bodyDiv w:val="1"/>
      <w:marLeft w:val="0"/>
      <w:marRight w:val="0"/>
      <w:marTop w:val="0"/>
      <w:marBottom w:val="0"/>
      <w:divBdr>
        <w:top w:val="none" w:sz="0" w:space="0" w:color="auto"/>
        <w:left w:val="none" w:sz="0" w:space="0" w:color="auto"/>
        <w:bottom w:val="none" w:sz="0" w:space="0" w:color="auto"/>
        <w:right w:val="none" w:sz="0" w:space="0" w:color="auto"/>
      </w:divBdr>
    </w:div>
    <w:div w:id="667831334">
      <w:bodyDiv w:val="1"/>
      <w:marLeft w:val="0"/>
      <w:marRight w:val="0"/>
      <w:marTop w:val="0"/>
      <w:marBottom w:val="0"/>
      <w:divBdr>
        <w:top w:val="none" w:sz="0" w:space="0" w:color="auto"/>
        <w:left w:val="none" w:sz="0" w:space="0" w:color="auto"/>
        <w:bottom w:val="none" w:sz="0" w:space="0" w:color="auto"/>
        <w:right w:val="none" w:sz="0" w:space="0" w:color="auto"/>
      </w:divBdr>
    </w:div>
    <w:div w:id="686172884">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700515590">
      <w:bodyDiv w:val="1"/>
      <w:marLeft w:val="0"/>
      <w:marRight w:val="0"/>
      <w:marTop w:val="0"/>
      <w:marBottom w:val="0"/>
      <w:divBdr>
        <w:top w:val="none" w:sz="0" w:space="0" w:color="auto"/>
        <w:left w:val="none" w:sz="0" w:space="0" w:color="auto"/>
        <w:bottom w:val="none" w:sz="0" w:space="0" w:color="auto"/>
        <w:right w:val="none" w:sz="0" w:space="0" w:color="auto"/>
      </w:divBdr>
    </w:div>
    <w:div w:id="715590999">
      <w:bodyDiv w:val="1"/>
      <w:marLeft w:val="0"/>
      <w:marRight w:val="0"/>
      <w:marTop w:val="0"/>
      <w:marBottom w:val="0"/>
      <w:divBdr>
        <w:top w:val="none" w:sz="0" w:space="0" w:color="auto"/>
        <w:left w:val="none" w:sz="0" w:space="0" w:color="auto"/>
        <w:bottom w:val="none" w:sz="0" w:space="0" w:color="auto"/>
        <w:right w:val="none" w:sz="0" w:space="0" w:color="auto"/>
      </w:divBdr>
    </w:div>
    <w:div w:id="719061638">
      <w:bodyDiv w:val="1"/>
      <w:marLeft w:val="0"/>
      <w:marRight w:val="0"/>
      <w:marTop w:val="0"/>
      <w:marBottom w:val="0"/>
      <w:divBdr>
        <w:top w:val="none" w:sz="0" w:space="0" w:color="auto"/>
        <w:left w:val="none" w:sz="0" w:space="0" w:color="auto"/>
        <w:bottom w:val="none" w:sz="0" w:space="0" w:color="auto"/>
        <w:right w:val="none" w:sz="0" w:space="0" w:color="auto"/>
      </w:divBdr>
    </w:div>
    <w:div w:id="723600533">
      <w:bodyDiv w:val="1"/>
      <w:marLeft w:val="0"/>
      <w:marRight w:val="0"/>
      <w:marTop w:val="0"/>
      <w:marBottom w:val="0"/>
      <w:divBdr>
        <w:top w:val="none" w:sz="0" w:space="0" w:color="auto"/>
        <w:left w:val="none" w:sz="0" w:space="0" w:color="auto"/>
        <w:bottom w:val="none" w:sz="0" w:space="0" w:color="auto"/>
        <w:right w:val="none" w:sz="0" w:space="0" w:color="auto"/>
      </w:divBdr>
    </w:div>
    <w:div w:id="728380435">
      <w:bodyDiv w:val="1"/>
      <w:marLeft w:val="0"/>
      <w:marRight w:val="0"/>
      <w:marTop w:val="0"/>
      <w:marBottom w:val="0"/>
      <w:divBdr>
        <w:top w:val="none" w:sz="0" w:space="0" w:color="auto"/>
        <w:left w:val="none" w:sz="0" w:space="0" w:color="auto"/>
        <w:bottom w:val="none" w:sz="0" w:space="0" w:color="auto"/>
        <w:right w:val="none" w:sz="0" w:space="0" w:color="auto"/>
      </w:divBdr>
    </w:div>
    <w:div w:id="740103721">
      <w:bodyDiv w:val="1"/>
      <w:marLeft w:val="0"/>
      <w:marRight w:val="0"/>
      <w:marTop w:val="0"/>
      <w:marBottom w:val="0"/>
      <w:divBdr>
        <w:top w:val="none" w:sz="0" w:space="0" w:color="auto"/>
        <w:left w:val="none" w:sz="0" w:space="0" w:color="auto"/>
        <w:bottom w:val="none" w:sz="0" w:space="0" w:color="auto"/>
        <w:right w:val="none" w:sz="0" w:space="0" w:color="auto"/>
      </w:divBdr>
    </w:div>
    <w:div w:id="743916441">
      <w:bodyDiv w:val="1"/>
      <w:marLeft w:val="0"/>
      <w:marRight w:val="0"/>
      <w:marTop w:val="0"/>
      <w:marBottom w:val="0"/>
      <w:divBdr>
        <w:top w:val="none" w:sz="0" w:space="0" w:color="auto"/>
        <w:left w:val="none" w:sz="0" w:space="0" w:color="auto"/>
        <w:bottom w:val="none" w:sz="0" w:space="0" w:color="auto"/>
        <w:right w:val="none" w:sz="0" w:space="0" w:color="auto"/>
      </w:divBdr>
    </w:div>
    <w:div w:id="760104229">
      <w:bodyDiv w:val="1"/>
      <w:marLeft w:val="0"/>
      <w:marRight w:val="0"/>
      <w:marTop w:val="0"/>
      <w:marBottom w:val="0"/>
      <w:divBdr>
        <w:top w:val="none" w:sz="0" w:space="0" w:color="auto"/>
        <w:left w:val="none" w:sz="0" w:space="0" w:color="auto"/>
        <w:bottom w:val="none" w:sz="0" w:space="0" w:color="auto"/>
        <w:right w:val="none" w:sz="0" w:space="0" w:color="auto"/>
      </w:divBdr>
    </w:div>
    <w:div w:id="761028973">
      <w:bodyDiv w:val="1"/>
      <w:marLeft w:val="0"/>
      <w:marRight w:val="0"/>
      <w:marTop w:val="0"/>
      <w:marBottom w:val="0"/>
      <w:divBdr>
        <w:top w:val="none" w:sz="0" w:space="0" w:color="auto"/>
        <w:left w:val="none" w:sz="0" w:space="0" w:color="auto"/>
        <w:bottom w:val="none" w:sz="0" w:space="0" w:color="auto"/>
        <w:right w:val="none" w:sz="0" w:space="0" w:color="auto"/>
      </w:divBdr>
    </w:div>
    <w:div w:id="793910245">
      <w:bodyDiv w:val="1"/>
      <w:marLeft w:val="0"/>
      <w:marRight w:val="0"/>
      <w:marTop w:val="0"/>
      <w:marBottom w:val="0"/>
      <w:divBdr>
        <w:top w:val="none" w:sz="0" w:space="0" w:color="auto"/>
        <w:left w:val="none" w:sz="0" w:space="0" w:color="auto"/>
        <w:bottom w:val="none" w:sz="0" w:space="0" w:color="auto"/>
        <w:right w:val="none" w:sz="0" w:space="0" w:color="auto"/>
      </w:divBdr>
    </w:div>
    <w:div w:id="801579348">
      <w:bodyDiv w:val="1"/>
      <w:marLeft w:val="0"/>
      <w:marRight w:val="0"/>
      <w:marTop w:val="0"/>
      <w:marBottom w:val="0"/>
      <w:divBdr>
        <w:top w:val="none" w:sz="0" w:space="0" w:color="auto"/>
        <w:left w:val="none" w:sz="0" w:space="0" w:color="auto"/>
        <w:bottom w:val="none" w:sz="0" w:space="0" w:color="auto"/>
        <w:right w:val="none" w:sz="0" w:space="0" w:color="auto"/>
      </w:divBdr>
    </w:div>
    <w:div w:id="827211364">
      <w:bodyDiv w:val="1"/>
      <w:marLeft w:val="0"/>
      <w:marRight w:val="0"/>
      <w:marTop w:val="0"/>
      <w:marBottom w:val="0"/>
      <w:divBdr>
        <w:top w:val="none" w:sz="0" w:space="0" w:color="auto"/>
        <w:left w:val="none" w:sz="0" w:space="0" w:color="auto"/>
        <w:bottom w:val="none" w:sz="0" w:space="0" w:color="auto"/>
        <w:right w:val="none" w:sz="0" w:space="0" w:color="auto"/>
      </w:divBdr>
    </w:div>
    <w:div w:id="846865566">
      <w:bodyDiv w:val="1"/>
      <w:marLeft w:val="0"/>
      <w:marRight w:val="0"/>
      <w:marTop w:val="0"/>
      <w:marBottom w:val="0"/>
      <w:divBdr>
        <w:top w:val="none" w:sz="0" w:space="0" w:color="auto"/>
        <w:left w:val="none" w:sz="0" w:space="0" w:color="auto"/>
        <w:bottom w:val="none" w:sz="0" w:space="0" w:color="auto"/>
        <w:right w:val="none" w:sz="0" w:space="0" w:color="auto"/>
      </w:divBdr>
    </w:div>
    <w:div w:id="850873678">
      <w:bodyDiv w:val="1"/>
      <w:marLeft w:val="0"/>
      <w:marRight w:val="0"/>
      <w:marTop w:val="0"/>
      <w:marBottom w:val="0"/>
      <w:divBdr>
        <w:top w:val="none" w:sz="0" w:space="0" w:color="auto"/>
        <w:left w:val="none" w:sz="0" w:space="0" w:color="auto"/>
        <w:bottom w:val="none" w:sz="0" w:space="0" w:color="auto"/>
        <w:right w:val="none" w:sz="0" w:space="0" w:color="auto"/>
      </w:divBdr>
    </w:div>
    <w:div w:id="853109148">
      <w:bodyDiv w:val="1"/>
      <w:marLeft w:val="0"/>
      <w:marRight w:val="0"/>
      <w:marTop w:val="0"/>
      <w:marBottom w:val="0"/>
      <w:divBdr>
        <w:top w:val="none" w:sz="0" w:space="0" w:color="auto"/>
        <w:left w:val="none" w:sz="0" w:space="0" w:color="auto"/>
        <w:bottom w:val="none" w:sz="0" w:space="0" w:color="auto"/>
        <w:right w:val="none" w:sz="0" w:space="0" w:color="auto"/>
      </w:divBdr>
    </w:div>
    <w:div w:id="883828569">
      <w:bodyDiv w:val="1"/>
      <w:marLeft w:val="0"/>
      <w:marRight w:val="0"/>
      <w:marTop w:val="0"/>
      <w:marBottom w:val="0"/>
      <w:divBdr>
        <w:top w:val="none" w:sz="0" w:space="0" w:color="auto"/>
        <w:left w:val="none" w:sz="0" w:space="0" w:color="auto"/>
        <w:bottom w:val="none" w:sz="0" w:space="0" w:color="auto"/>
        <w:right w:val="none" w:sz="0" w:space="0" w:color="auto"/>
      </w:divBdr>
    </w:div>
    <w:div w:id="901789002">
      <w:bodyDiv w:val="1"/>
      <w:marLeft w:val="0"/>
      <w:marRight w:val="0"/>
      <w:marTop w:val="0"/>
      <w:marBottom w:val="0"/>
      <w:divBdr>
        <w:top w:val="none" w:sz="0" w:space="0" w:color="auto"/>
        <w:left w:val="none" w:sz="0" w:space="0" w:color="auto"/>
        <w:bottom w:val="none" w:sz="0" w:space="0" w:color="auto"/>
        <w:right w:val="none" w:sz="0" w:space="0" w:color="auto"/>
      </w:divBdr>
    </w:div>
    <w:div w:id="912664984">
      <w:bodyDiv w:val="1"/>
      <w:marLeft w:val="0"/>
      <w:marRight w:val="0"/>
      <w:marTop w:val="0"/>
      <w:marBottom w:val="0"/>
      <w:divBdr>
        <w:top w:val="none" w:sz="0" w:space="0" w:color="auto"/>
        <w:left w:val="none" w:sz="0" w:space="0" w:color="auto"/>
        <w:bottom w:val="none" w:sz="0" w:space="0" w:color="auto"/>
        <w:right w:val="none" w:sz="0" w:space="0" w:color="auto"/>
      </w:divBdr>
    </w:div>
    <w:div w:id="913392473">
      <w:bodyDiv w:val="1"/>
      <w:marLeft w:val="0"/>
      <w:marRight w:val="0"/>
      <w:marTop w:val="0"/>
      <w:marBottom w:val="0"/>
      <w:divBdr>
        <w:top w:val="none" w:sz="0" w:space="0" w:color="auto"/>
        <w:left w:val="none" w:sz="0" w:space="0" w:color="auto"/>
        <w:bottom w:val="none" w:sz="0" w:space="0" w:color="auto"/>
        <w:right w:val="none" w:sz="0" w:space="0" w:color="auto"/>
      </w:divBdr>
    </w:div>
    <w:div w:id="923298007">
      <w:bodyDiv w:val="1"/>
      <w:marLeft w:val="0"/>
      <w:marRight w:val="0"/>
      <w:marTop w:val="0"/>
      <w:marBottom w:val="0"/>
      <w:divBdr>
        <w:top w:val="none" w:sz="0" w:space="0" w:color="auto"/>
        <w:left w:val="none" w:sz="0" w:space="0" w:color="auto"/>
        <w:bottom w:val="none" w:sz="0" w:space="0" w:color="auto"/>
        <w:right w:val="none" w:sz="0" w:space="0" w:color="auto"/>
      </w:divBdr>
    </w:div>
    <w:div w:id="923992996">
      <w:bodyDiv w:val="1"/>
      <w:marLeft w:val="0"/>
      <w:marRight w:val="0"/>
      <w:marTop w:val="0"/>
      <w:marBottom w:val="0"/>
      <w:divBdr>
        <w:top w:val="none" w:sz="0" w:space="0" w:color="auto"/>
        <w:left w:val="none" w:sz="0" w:space="0" w:color="auto"/>
        <w:bottom w:val="none" w:sz="0" w:space="0" w:color="auto"/>
        <w:right w:val="none" w:sz="0" w:space="0" w:color="auto"/>
      </w:divBdr>
    </w:div>
    <w:div w:id="941378047">
      <w:bodyDiv w:val="1"/>
      <w:marLeft w:val="0"/>
      <w:marRight w:val="0"/>
      <w:marTop w:val="0"/>
      <w:marBottom w:val="0"/>
      <w:divBdr>
        <w:top w:val="none" w:sz="0" w:space="0" w:color="auto"/>
        <w:left w:val="none" w:sz="0" w:space="0" w:color="auto"/>
        <w:bottom w:val="none" w:sz="0" w:space="0" w:color="auto"/>
        <w:right w:val="none" w:sz="0" w:space="0" w:color="auto"/>
      </w:divBdr>
    </w:div>
    <w:div w:id="947589038">
      <w:bodyDiv w:val="1"/>
      <w:marLeft w:val="0"/>
      <w:marRight w:val="0"/>
      <w:marTop w:val="0"/>
      <w:marBottom w:val="0"/>
      <w:divBdr>
        <w:top w:val="none" w:sz="0" w:space="0" w:color="auto"/>
        <w:left w:val="none" w:sz="0" w:space="0" w:color="auto"/>
        <w:bottom w:val="none" w:sz="0" w:space="0" w:color="auto"/>
        <w:right w:val="none" w:sz="0" w:space="0" w:color="auto"/>
      </w:divBdr>
    </w:div>
    <w:div w:id="948271364">
      <w:bodyDiv w:val="1"/>
      <w:marLeft w:val="0"/>
      <w:marRight w:val="0"/>
      <w:marTop w:val="0"/>
      <w:marBottom w:val="0"/>
      <w:divBdr>
        <w:top w:val="none" w:sz="0" w:space="0" w:color="auto"/>
        <w:left w:val="none" w:sz="0" w:space="0" w:color="auto"/>
        <w:bottom w:val="none" w:sz="0" w:space="0" w:color="auto"/>
        <w:right w:val="none" w:sz="0" w:space="0" w:color="auto"/>
      </w:divBdr>
    </w:div>
    <w:div w:id="948465758">
      <w:bodyDiv w:val="1"/>
      <w:marLeft w:val="0"/>
      <w:marRight w:val="0"/>
      <w:marTop w:val="0"/>
      <w:marBottom w:val="0"/>
      <w:divBdr>
        <w:top w:val="none" w:sz="0" w:space="0" w:color="auto"/>
        <w:left w:val="none" w:sz="0" w:space="0" w:color="auto"/>
        <w:bottom w:val="none" w:sz="0" w:space="0" w:color="auto"/>
        <w:right w:val="none" w:sz="0" w:space="0" w:color="auto"/>
      </w:divBdr>
    </w:div>
    <w:div w:id="952174082">
      <w:bodyDiv w:val="1"/>
      <w:marLeft w:val="0"/>
      <w:marRight w:val="0"/>
      <w:marTop w:val="0"/>
      <w:marBottom w:val="0"/>
      <w:divBdr>
        <w:top w:val="none" w:sz="0" w:space="0" w:color="auto"/>
        <w:left w:val="none" w:sz="0" w:space="0" w:color="auto"/>
        <w:bottom w:val="none" w:sz="0" w:space="0" w:color="auto"/>
        <w:right w:val="none" w:sz="0" w:space="0" w:color="auto"/>
      </w:divBdr>
    </w:div>
    <w:div w:id="957833269">
      <w:bodyDiv w:val="1"/>
      <w:marLeft w:val="0"/>
      <w:marRight w:val="0"/>
      <w:marTop w:val="0"/>
      <w:marBottom w:val="0"/>
      <w:divBdr>
        <w:top w:val="none" w:sz="0" w:space="0" w:color="auto"/>
        <w:left w:val="none" w:sz="0" w:space="0" w:color="auto"/>
        <w:bottom w:val="none" w:sz="0" w:space="0" w:color="auto"/>
        <w:right w:val="none" w:sz="0" w:space="0" w:color="auto"/>
      </w:divBdr>
    </w:div>
    <w:div w:id="966350565">
      <w:bodyDiv w:val="1"/>
      <w:marLeft w:val="0"/>
      <w:marRight w:val="0"/>
      <w:marTop w:val="0"/>
      <w:marBottom w:val="0"/>
      <w:divBdr>
        <w:top w:val="none" w:sz="0" w:space="0" w:color="auto"/>
        <w:left w:val="none" w:sz="0" w:space="0" w:color="auto"/>
        <w:bottom w:val="none" w:sz="0" w:space="0" w:color="auto"/>
        <w:right w:val="none" w:sz="0" w:space="0" w:color="auto"/>
      </w:divBdr>
    </w:div>
    <w:div w:id="969408537">
      <w:bodyDiv w:val="1"/>
      <w:marLeft w:val="0"/>
      <w:marRight w:val="0"/>
      <w:marTop w:val="0"/>
      <w:marBottom w:val="0"/>
      <w:divBdr>
        <w:top w:val="none" w:sz="0" w:space="0" w:color="auto"/>
        <w:left w:val="none" w:sz="0" w:space="0" w:color="auto"/>
        <w:bottom w:val="none" w:sz="0" w:space="0" w:color="auto"/>
        <w:right w:val="none" w:sz="0" w:space="0" w:color="auto"/>
      </w:divBdr>
    </w:div>
    <w:div w:id="976647929">
      <w:bodyDiv w:val="1"/>
      <w:marLeft w:val="0"/>
      <w:marRight w:val="0"/>
      <w:marTop w:val="0"/>
      <w:marBottom w:val="0"/>
      <w:divBdr>
        <w:top w:val="none" w:sz="0" w:space="0" w:color="auto"/>
        <w:left w:val="none" w:sz="0" w:space="0" w:color="auto"/>
        <w:bottom w:val="none" w:sz="0" w:space="0" w:color="auto"/>
        <w:right w:val="none" w:sz="0" w:space="0" w:color="auto"/>
      </w:divBdr>
    </w:div>
    <w:div w:id="1025712581">
      <w:bodyDiv w:val="1"/>
      <w:marLeft w:val="0"/>
      <w:marRight w:val="0"/>
      <w:marTop w:val="0"/>
      <w:marBottom w:val="0"/>
      <w:divBdr>
        <w:top w:val="none" w:sz="0" w:space="0" w:color="auto"/>
        <w:left w:val="none" w:sz="0" w:space="0" w:color="auto"/>
        <w:bottom w:val="none" w:sz="0" w:space="0" w:color="auto"/>
        <w:right w:val="none" w:sz="0" w:space="0" w:color="auto"/>
      </w:divBdr>
    </w:div>
    <w:div w:id="1072314197">
      <w:bodyDiv w:val="1"/>
      <w:marLeft w:val="0"/>
      <w:marRight w:val="0"/>
      <w:marTop w:val="0"/>
      <w:marBottom w:val="0"/>
      <w:divBdr>
        <w:top w:val="none" w:sz="0" w:space="0" w:color="auto"/>
        <w:left w:val="none" w:sz="0" w:space="0" w:color="auto"/>
        <w:bottom w:val="none" w:sz="0" w:space="0" w:color="auto"/>
        <w:right w:val="none" w:sz="0" w:space="0" w:color="auto"/>
      </w:divBdr>
    </w:div>
    <w:div w:id="1073546960">
      <w:bodyDiv w:val="1"/>
      <w:marLeft w:val="0"/>
      <w:marRight w:val="0"/>
      <w:marTop w:val="0"/>
      <w:marBottom w:val="0"/>
      <w:divBdr>
        <w:top w:val="none" w:sz="0" w:space="0" w:color="auto"/>
        <w:left w:val="none" w:sz="0" w:space="0" w:color="auto"/>
        <w:bottom w:val="none" w:sz="0" w:space="0" w:color="auto"/>
        <w:right w:val="none" w:sz="0" w:space="0" w:color="auto"/>
      </w:divBdr>
    </w:div>
    <w:div w:id="1077702861">
      <w:bodyDiv w:val="1"/>
      <w:marLeft w:val="0"/>
      <w:marRight w:val="0"/>
      <w:marTop w:val="0"/>
      <w:marBottom w:val="0"/>
      <w:divBdr>
        <w:top w:val="none" w:sz="0" w:space="0" w:color="auto"/>
        <w:left w:val="none" w:sz="0" w:space="0" w:color="auto"/>
        <w:bottom w:val="none" w:sz="0" w:space="0" w:color="auto"/>
        <w:right w:val="none" w:sz="0" w:space="0" w:color="auto"/>
      </w:divBdr>
    </w:div>
    <w:div w:id="1078164421">
      <w:bodyDiv w:val="1"/>
      <w:marLeft w:val="0"/>
      <w:marRight w:val="0"/>
      <w:marTop w:val="0"/>
      <w:marBottom w:val="0"/>
      <w:divBdr>
        <w:top w:val="none" w:sz="0" w:space="0" w:color="auto"/>
        <w:left w:val="none" w:sz="0" w:space="0" w:color="auto"/>
        <w:bottom w:val="none" w:sz="0" w:space="0" w:color="auto"/>
        <w:right w:val="none" w:sz="0" w:space="0" w:color="auto"/>
      </w:divBdr>
    </w:div>
    <w:div w:id="1083991124">
      <w:bodyDiv w:val="1"/>
      <w:marLeft w:val="0"/>
      <w:marRight w:val="0"/>
      <w:marTop w:val="0"/>
      <w:marBottom w:val="0"/>
      <w:divBdr>
        <w:top w:val="none" w:sz="0" w:space="0" w:color="auto"/>
        <w:left w:val="none" w:sz="0" w:space="0" w:color="auto"/>
        <w:bottom w:val="none" w:sz="0" w:space="0" w:color="auto"/>
        <w:right w:val="none" w:sz="0" w:space="0" w:color="auto"/>
      </w:divBdr>
    </w:div>
    <w:div w:id="1126508598">
      <w:bodyDiv w:val="1"/>
      <w:marLeft w:val="0"/>
      <w:marRight w:val="0"/>
      <w:marTop w:val="0"/>
      <w:marBottom w:val="0"/>
      <w:divBdr>
        <w:top w:val="none" w:sz="0" w:space="0" w:color="auto"/>
        <w:left w:val="none" w:sz="0" w:space="0" w:color="auto"/>
        <w:bottom w:val="none" w:sz="0" w:space="0" w:color="auto"/>
        <w:right w:val="none" w:sz="0" w:space="0" w:color="auto"/>
      </w:divBdr>
    </w:div>
    <w:div w:id="1133792688">
      <w:bodyDiv w:val="1"/>
      <w:marLeft w:val="0"/>
      <w:marRight w:val="0"/>
      <w:marTop w:val="0"/>
      <w:marBottom w:val="0"/>
      <w:divBdr>
        <w:top w:val="none" w:sz="0" w:space="0" w:color="auto"/>
        <w:left w:val="none" w:sz="0" w:space="0" w:color="auto"/>
        <w:bottom w:val="none" w:sz="0" w:space="0" w:color="auto"/>
        <w:right w:val="none" w:sz="0" w:space="0" w:color="auto"/>
      </w:divBdr>
    </w:div>
    <w:div w:id="1153328696">
      <w:bodyDiv w:val="1"/>
      <w:marLeft w:val="0"/>
      <w:marRight w:val="0"/>
      <w:marTop w:val="0"/>
      <w:marBottom w:val="0"/>
      <w:divBdr>
        <w:top w:val="none" w:sz="0" w:space="0" w:color="auto"/>
        <w:left w:val="none" w:sz="0" w:space="0" w:color="auto"/>
        <w:bottom w:val="none" w:sz="0" w:space="0" w:color="auto"/>
        <w:right w:val="none" w:sz="0" w:space="0" w:color="auto"/>
      </w:divBdr>
    </w:div>
    <w:div w:id="1160191205">
      <w:bodyDiv w:val="1"/>
      <w:marLeft w:val="0"/>
      <w:marRight w:val="0"/>
      <w:marTop w:val="0"/>
      <w:marBottom w:val="0"/>
      <w:divBdr>
        <w:top w:val="none" w:sz="0" w:space="0" w:color="auto"/>
        <w:left w:val="none" w:sz="0" w:space="0" w:color="auto"/>
        <w:bottom w:val="none" w:sz="0" w:space="0" w:color="auto"/>
        <w:right w:val="none" w:sz="0" w:space="0" w:color="auto"/>
      </w:divBdr>
    </w:div>
    <w:div w:id="1169059520">
      <w:bodyDiv w:val="1"/>
      <w:marLeft w:val="0"/>
      <w:marRight w:val="0"/>
      <w:marTop w:val="0"/>
      <w:marBottom w:val="0"/>
      <w:divBdr>
        <w:top w:val="none" w:sz="0" w:space="0" w:color="auto"/>
        <w:left w:val="none" w:sz="0" w:space="0" w:color="auto"/>
        <w:bottom w:val="none" w:sz="0" w:space="0" w:color="auto"/>
        <w:right w:val="none" w:sz="0" w:space="0" w:color="auto"/>
      </w:divBdr>
    </w:div>
    <w:div w:id="1171212946">
      <w:bodyDiv w:val="1"/>
      <w:marLeft w:val="0"/>
      <w:marRight w:val="0"/>
      <w:marTop w:val="0"/>
      <w:marBottom w:val="0"/>
      <w:divBdr>
        <w:top w:val="none" w:sz="0" w:space="0" w:color="auto"/>
        <w:left w:val="none" w:sz="0" w:space="0" w:color="auto"/>
        <w:bottom w:val="none" w:sz="0" w:space="0" w:color="auto"/>
        <w:right w:val="none" w:sz="0" w:space="0" w:color="auto"/>
      </w:divBdr>
    </w:div>
    <w:div w:id="1171993645">
      <w:bodyDiv w:val="1"/>
      <w:marLeft w:val="0"/>
      <w:marRight w:val="0"/>
      <w:marTop w:val="0"/>
      <w:marBottom w:val="0"/>
      <w:divBdr>
        <w:top w:val="none" w:sz="0" w:space="0" w:color="auto"/>
        <w:left w:val="none" w:sz="0" w:space="0" w:color="auto"/>
        <w:bottom w:val="none" w:sz="0" w:space="0" w:color="auto"/>
        <w:right w:val="none" w:sz="0" w:space="0" w:color="auto"/>
      </w:divBdr>
    </w:div>
    <w:div w:id="1185167097">
      <w:bodyDiv w:val="1"/>
      <w:marLeft w:val="0"/>
      <w:marRight w:val="0"/>
      <w:marTop w:val="0"/>
      <w:marBottom w:val="0"/>
      <w:divBdr>
        <w:top w:val="none" w:sz="0" w:space="0" w:color="auto"/>
        <w:left w:val="none" w:sz="0" w:space="0" w:color="auto"/>
        <w:bottom w:val="none" w:sz="0" w:space="0" w:color="auto"/>
        <w:right w:val="none" w:sz="0" w:space="0" w:color="auto"/>
      </w:divBdr>
    </w:div>
    <w:div w:id="1194726385">
      <w:bodyDiv w:val="1"/>
      <w:marLeft w:val="0"/>
      <w:marRight w:val="0"/>
      <w:marTop w:val="0"/>
      <w:marBottom w:val="0"/>
      <w:divBdr>
        <w:top w:val="none" w:sz="0" w:space="0" w:color="auto"/>
        <w:left w:val="none" w:sz="0" w:space="0" w:color="auto"/>
        <w:bottom w:val="none" w:sz="0" w:space="0" w:color="auto"/>
        <w:right w:val="none" w:sz="0" w:space="0" w:color="auto"/>
      </w:divBdr>
    </w:div>
    <w:div w:id="1194879094">
      <w:bodyDiv w:val="1"/>
      <w:marLeft w:val="0"/>
      <w:marRight w:val="0"/>
      <w:marTop w:val="0"/>
      <w:marBottom w:val="0"/>
      <w:divBdr>
        <w:top w:val="none" w:sz="0" w:space="0" w:color="auto"/>
        <w:left w:val="none" w:sz="0" w:space="0" w:color="auto"/>
        <w:bottom w:val="none" w:sz="0" w:space="0" w:color="auto"/>
        <w:right w:val="none" w:sz="0" w:space="0" w:color="auto"/>
      </w:divBdr>
    </w:div>
    <w:div w:id="1201090285">
      <w:bodyDiv w:val="1"/>
      <w:marLeft w:val="0"/>
      <w:marRight w:val="0"/>
      <w:marTop w:val="0"/>
      <w:marBottom w:val="0"/>
      <w:divBdr>
        <w:top w:val="none" w:sz="0" w:space="0" w:color="auto"/>
        <w:left w:val="none" w:sz="0" w:space="0" w:color="auto"/>
        <w:bottom w:val="none" w:sz="0" w:space="0" w:color="auto"/>
        <w:right w:val="none" w:sz="0" w:space="0" w:color="auto"/>
      </w:divBdr>
    </w:div>
    <w:div w:id="1216696351">
      <w:bodyDiv w:val="1"/>
      <w:marLeft w:val="0"/>
      <w:marRight w:val="0"/>
      <w:marTop w:val="0"/>
      <w:marBottom w:val="0"/>
      <w:divBdr>
        <w:top w:val="none" w:sz="0" w:space="0" w:color="auto"/>
        <w:left w:val="none" w:sz="0" w:space="0" w:color="auto"/>
        <w:bottom w:val="none" w:sz="0" w:space="0" w:color="auto"/>
        <w:right w:val="none" w:sz="0" w:space="0" w:color="auto"/>
      </w:divBdr>
    </w:div>
    <w:div w:id="1216700502">
      <w:bodyDiv w:val="1"/>
      <w:marLeft w:val="0"/>
      <w:marRight w:val="0"/>
      <w:marTop w:val="0"/>
      <w:marBottom w:val="0"/>
      <w:divBdr>
        <w:top w:val="none" w:sz="0" w:space="0" w:color="auto"/>
        <w:left w:val="none" w:sz="0" w:space="0" w:color="auto"/>
        <w:bottom w:val="none" w:sz="0" w:space="0" w:color="auto"/>
        <w:right w:val="none" w:sz="0" w:space="0" w:color="auto"/>
      </w:divBdr>
    </w:div>
    <w:div w:id="1217860997">
      <w:bodyDiv w:val="1"/>
      <w:marLeft w:val="0"/>
      <w:marRight w:val="0"/>
      <w:marTop w:val="0"/>
      <w:marBottom w:val="0"/>
      <w:divBdr>
        <w:top w:val="none" w:sz="0" w:space="0" w:color="auto"/>
        <w:left w:val="none" w:sz="0" w:space="0" w:color="auto"/>
        <w:bottom w:val="none" w:sz="0" w:space="0" w:color="auto"/>
        <w:right w:val="none" w:sz="0" w:space="0" w:color="auto"/>
      </w:divBdr>
    </w:div>
    <w:div w:id="1226525651">
      <w:bodyDiv w:val="1"/>
      <w:marLeft w:val="0"/>
      <w:marRight w:val="0"/>
      <w:marTop w:val="0"/>
      <w:marBottom w:val="0"/>
      <w:divBdr>
        <w:top w:val="none" w:sz="0" w:space="0" w:color="auto"/>
        <w:left w:val="none" w:sz="0" w:space="0" w:color="auto"/>
        <w:bottom w:val="none" w:sz="0" w:space="0" w:color="auto"/>
        <w:right w:val="none" w:sz="0" w:space="0" w:color="auto"/>
      </w:divBdr>
    </w:div>
    <w:div w:id="1231378984">
      <w:bodyDiv w:val="1"/>
      <w:marLeft w:val="0"/>
      <w:marRight w:val="0"/>
      <w:marTop w:val="0"/>
      <w:marBottom w:val="0"/>
      <w:divBdr>
        <w:top w:val="none" w:sz="0" w:space="0" w:color="auto"/>
        <w:left w:val="none" w:sz="0" w:space="0" w:color="auto"/>
        <w:bottom w:val="none" w:sz="0" w:space="0" w:color="auto"/>
        <w:right w:val="none" w:sz="0" w:space="0" w:color="auto"/>
      </w:divBdr>
    </w:div>
    <w:div w:id="1239558887">
      <w:bodyDiv w:val="1"/>
      <w:marLeft w:val="0"/>
      <w:marRight w:val="0"/>
      <w:marTop w:val="0"/>
      <w:marBottom w:val="0"/>
      <w:divBdr>
        <w:top w:val="none" w:sz="0" w:space="0" w:color="auto"/>
        <w:left w:val="none" w:sz="0" w:space="0" w:color="auto"/>
        <w:bottom w:val="none" w:sz="0" w:space="0" w:color="auto"/>
        <w:right w:val="none" w:sz="0" w:space="0" w:color="auto"/>
      </w:divBdr>
    </w:div>
    <w:div w:id="1249995582">
      <w:bodyDiv w:val="1"/>
      <w:marLeft w:val="0"/>
      <w:marRight w:val="0"/>
      <w:marTop w:val="0"/>
      <w:marBottom w:val="0"/>
      <w:divBdr>
        <w:top w:val="none" w:sz="0" w:space="0" w:color="auto"/>
        <w:left w:val="none" w:sz="0" w:space="0" w:color="auto"/>
        <w:bottom w:val="none" w:sz="0" w:space="0" w:color="auto"/>
        <w:right w:val="none" w:sz="0" w:space="0" w:color="auto"/>
      </w:divBdr>
    </w:div>
    <w:div w:id="1254703950">
      <w:bodyDiv w:val="1"/>
      <w:marLeft w:val="0"/>
      <w:marRight w:val="0"/>
      <w:marTop w:val="0"/>
      <w:marBottom w:val="0"/>
      <w:divBdr>
        <w:top w:val="none" w:sz="0" w:space="0" w:color="auto"/>
        <w:left w:val="none" w:sz="0" w:space="0" w:color="auto"/>
        <w:bottom w:val="none" w:sz="0" w:space="0" w:color="auto"/>
        <w:right w:val="none" w:sz="0" w:space="0" w:color="auto"/>
      </w:divBdr>
    </w:div>
    <w:div w:id="1268929417">
      <w:bodyDiv w:val="1"/>
      <w:marLeft w:val="0"/>
      <w:marRight w:val="0"/>
      <w:marTop w:val="0"/>
      <w:marBottom w:val="0"/>
      <w:divBdr>
        <w:top w:val="none" w:sz="0" w:space="0" w:color="auto"/>
        <w:left w:val="none" w:sz="0" w:space="0" w:color="auto"/>
        <w:bottom w:val="none" w:sz="0" w:space="0" w:color="auto"/>
        <w:right w:val="none" w:sz="0" w:space="0" w:color="auto"/>
      </w:divBdr>
    </w:div>
    <w:div w:id="1269195043">
      <w:bodyDiv w:val="1"/>
      <w:marLeft w:val="0"/>
      <w:marRight w:val="0"/>
      <w:marTop w:val="0"/>
      <w:marBottom w:val="0"/>
      <w:divBdr>
        <w:top w:val="none" w:sz="0" w:space="0" w:color="auto"/>
        <w:left w:val="none" w:sz="0" w:space="0" w:color="auto"/>
        <w:bottom w:val="none" w:sz="0" w:space="0" w:color="auto"/>
        <w:right w:val="none" w:sz="0" w:space="0" w:color="auto"/>
      </w:divBdr>
    </w:div>
    <w:div w:id="1279872462">
      <w:bodyDiv w:val="1"/>
      <w:marLeft w:val="0"/>
      <w:marRight w:val="0"/>
      <w:marTop w:val="0"/>
      <w:marBottom w:val="0"/>
      <w:divBdr>
        <w:top w:val="none" w:sz="0" w:space="0" w:color="auto"/>
        <w:left w:val="none" w:sz="0" w:space="0" w:color="auto"/>
        <w:bottom w:val="none" w:sz="0" w:space="0" w:color="auto"/>
        <w:right w:val="none" w:sz="0" w:space="0" w:color="auto"/>
      </w:divBdr>
    </w:div>
    <w:div w:id="1288469030">
      <w:bodyDiv w:val="1"/>
      <w:marLeft w:val="0"/>
      <w:marRight w:val="0"/>
      <w:marTop w:val="0"/>
      <w:marBottom w:val="0"/>
      <w:divBdr>
        <w:top w:val="none" w:sz="0" w:space="0" w:color="auto"/>
        <w:left w:val="none" w:sz="0" w:space="0" w:color="auto"/>
        <w:bottom w:val="none" w:sz="0" w:space="0" w:color="auto"/>
        <w:right w:val="none" w:sz="0" w:space="0" w:color="auto"/>
      </w:divBdr>
    </w:div>
    <w:div w:id="1295018843">
      <w:bodyDiv w:val="1"/>
      <w:marLeft w:val="0"/>
      <w:marRight w:val="0"/>
      <w:marTop w:val="0"/>
      <w:marBottom w:val="0"/>
      <w:divBdr>
        <w:top w:val="none" w:sz="0" w:space="0" w:color="auto"/>
        <w:left w:val="none" w:sz="0" w:space="0" w:color="auto"/>
        <w:bottom w:val="none" w:sz="0" w:space="0" w:color="auto"/>
        <w:right w:val="none" w:sz="0" w:space="0" w:color="auto"/>
      </w:divBdr>
    </w:div>
    <w:div w:id="1296565611">
      <w:bodyDiv w:val="1"/>
      <w:marLeft w:val="0"/>
      <w:marRight w:val="0"/>
      <w:marTop w:val="0"/>
      <w:marBottom w:val="0"/>
      <w:divBdr>
        <w:top w:val="none" w:sz="0" w:space="0" w:color="auto"/>
        <w:left w:val="none" w:sz="0" w:space="0" w:color="auto"/>
        <w:bottom w:val="none" w:sz="0" w:space="0" w:color="auto"/>
        <w:right w:val="none" w:sz="0" w:space="0" w:color="auto"/>
      </w:divBdr>
    </w:div>
    <w:div w:id="1314480218">
      <w:bodyDiv w:val="1"/>
      <w:marLeft w:val="0"/>
      <w:marRight w:val="0"/>
      <w:marTop w:val="0"/>
      <w:marBottom w:val="0"/>
      <w:divBdr>
        <w:top w:val="none" w:sz="0" w:space="0" w:color="auto"/>
        <w:left w:val="none" w:sz="0" w:space="0" w:color="auto"/>
        <w:bottom w:val="none" w:sz="0" w:space="0" w:color="auto"/>
        <w:right w:val="none" w:sz="0" w:space="0" w:color="auto"/>
      </w:divBdr>
    </w:div>
    <w:div w:id="1320113346">
      <w:bodyDiv w:val="1"/>
      <w:marLeft w:val="0"/>
      <w:marRight w:val="0"/>
      <w:marTop w:val="0"/>
      <w:marBottom w:val="0"/>
      <w:divBdr>
        <w:top w:val="none" w:sz="0" w:space="0" w:color="auto"/>
        <w:left w:val="none" w:sz="0" w:space="0" w:color="auto"/>
        <w:bottom w:val="none" w:sz="0" w:space="0" w:color="auto"/>
        <w:right w:val="none" w:sz="0" w:space="0" w:color="auto"/>
      </w:divBdr>
    </w:div>
    <w:div w:id="1374503292">
      <w:bodyDiv w:val="1"/>
      <w:marLeft w:val="0"/>
      <w:marRight w:val="0"/>
      <w:marTop w:val="0"/>
      <w:marBottom w:val="0"/>
      <w:divBdr>
        <w:top w:val="none" w:sz="0" w:space="0" w:color="auto"/>
        <w:left w:val="none" w:sz="0" w:space="0" w:color="auto"/>
        <w:bottom w:val="none" w:sz="0" w:space="0" w:color="auto"/>
        <w:right w:val="none" w:sz="0" w:space="0" w:color="auto"/>
      </w:divBdr>
    </w:div>
    <w:div w:id="1379738090">
      <w:bodyDiv w:val="1"/>
      <w:marLeft w:val="0"/>
      <w:marRight w:val="0"/>
      <w:marTop w:val="0"/>
      <w:marBottom w:val="0"/>
      <w:divBdr>
        <w:top w:val="none" w:sz="0" w:space="0" w:color="auto"/>
        <w:left w:val="none" w:sz="0" w:space="0" w:color="auto"/>
        <w:bottom w:val="none" w:sz="0" w:space="0" w:color="auto"/>
        <w:right w:val="none" w:sz="0" w:space="0" w:color="auto"/>
      </w:divBdr>
    </w:div>
    <w:div w:id="1389258493">
      <w:bodyDiv w:val="1"/>
      <w:marLeft w:val="0"/>
      <w:marRight w:val="0"/>
      <w:marTop w:val="0"/>
      <w:marBottom w:val="0"/>
      <w:divBdr>
        <w:top w:val="none" w:sz="0" w:space="0" w:color="auto"/>
        <w:left w:val="none" w:sz="0" w:space="0" w:color="auto"/>
        <w:bottom w:val="none" w:sz="0" w:space="0" w:color="auto"/>
        <w:right w:val="none" w:sz="0" w:space="0" w:color="auto"/>
      </w:divBdr>
    </w:div>
    <w:div w:id="1462529367">
      <w:bodyDiv w:val="1"/>
      <w:marLeft w:val="0"/>
      <w:marRight w:val="0"/>
      <w:marTop w:val="0"/>
      <w:marBottom w:val="0"/>
      <w:divBdr>
        <w:top w:val="none" w:sz="0" w:space="0" w:color="auto"/>
        <w:left w:val="none" w:sz="0" w:space="0" w:color="auto"/>
        <w:bottom w:val="none" w:sz="0" w:space="0" w:color="auto"/>
        <w:right w:val="none" w:sz="0" w:space="0" w:color="auto"/>
      </w:divBdr>
    </w:div>
    <w:div w:id="1500585911">
      <w:bodyDiv w:val="1"/>
      <w:marLeft w:val="0"/>
      <w:marRight w:val="0"/>
      <w:marTop w:val="0"/>
      <w:marBottom w:val="0"/>
      <w:divBdr>
        <w:top w:val="none" w:sz="0" w:space="0" w:color="auto"/>
        <w:left w:val="none" w:sz="0" w:space="0" w:color="auto"/>
        <w:bottom w:val="none" w:sz="0" w:space="0" w:color="auto"/>
        <w:right w:val="none" w:sz="0" w:space="0" w:color="auto"/>
      </w:divBdr>
    </w:div>
    <w:div w:id="1501198087">
      <w:bodyDiv w:val="1"/>
      <w:marLeft w:val="0"/>
      <w:marRight w:val="0"/>
      <w:marTop w:val="0"/>
      <w:marBottom w:val="0"/>
      <w:divBdr>
        <w:top w:val="none" w:sz="0" w:space="0" w:color="auto"/>
        <w:left w:val="none" w:sz="0" w:space="0" w:color="auto"/>
        <w:bottom w:val="none" w:sz="0" w:space="0" w:color="auto"/>
        <w:right w:val="none" w:sz="0" w:space="0" w:color="auto"/>
      </w:divBdr>
    </w:div>
    <w:div w:id="1547522958">
      <w:bodyDiv w:val="1"/>
      <w:marLeft w:val="0"/>
      <w:marRight w:val="0"/>
      <w:marTop w:val="0"/>
      <w:marBottom w:val="0"/>
      <w:divBdr>
        <w:top w:val="none" w:sz="0" w:space="0" w:color="auto"/>
        <w:left w:val="none" w:sz="0" w:space="0" w:color="auto"/>
        <w:bottom w:val="none" w:sz="0" w:space="0" w:color="auto"/>
        <w:right w:val="none" w:sz="0" w:space="0" w:color="auto"/>
      </w:divBdr>
    </w:div>
    <w:div w:id="1550609842">
      <w:bodyDiv w:val="1"/>
      <w:marLeft w:val="0"/>
      <w:marRight w:val="0"/>
      <w:marTop w:val="0"/>
      <w:marBottom w:val="0"/>
      <w:divBdr>
        <w:top w:val="none" w:sz="0" w:space="0" w:color="auto"/>
        <w:left w:val="none" w:sz="0" w:space="0" w:color="auto"/>
        <w:bottom w:val="none" w:sz="0" w:space="0" w:color="auto"/>
        <w:right w:val="none" w:sz="0" w:space="0" w:color="auto"/>
      </w:divBdr>
    </w:div>
    <w:div w:id="1551382615">
      <w:bodyDiv w:val="1"/>
      <w:marLeft w:val="0"/>
      <w:marRight w:val="0"/>
      <w:marTop w:val="0"/>
      <w:marBottom w:val="0"/>
      <w:divBdr>
        <w:top w:val="none" w:sz="0" w:space="0" w:color="auto"/>
        <w:left w:val="none" w:sz="0" w:space="0" w:color="auto"/>
        <w:bottom w:val="none" w:sz="0" w:space="0" w:color="auto"/>
        <w:right w:val="none" w:sz="0" w:space="0" w:color="auto"/>
      </w:divBdr>
    </w:div>
    <w:div w:id="1572423012">
      <w:bodyDiv w:val="1"/>
      <w:marLeft w:val="0"/>
      <w:marRight w:val="0"/>
      <w:marTop w:val="0"/>
      <w:marBottom w:val="0"/>
      <w:divBdr>
        <w:top w:val="none" w:sz="0" w:space="0" w:color="auto"/>
        <w:left w:val="none" w:sz="0" w:space="0" w:color="auto"/>
        <w:bottom w:val="none" w:sz="0" w:space="0" w:color="auto"/>
        <w:right w:val="none" w:sz="0" w:space="0" w:color="auto"/>
      </w:divBdr>
    </w:div>
    <w:div w:id="1575432497">
      <w:bodyDiv w:val="1"/>
      <w:marLeft w:val="0"/>
      <w:marRight w:val="0"/>
      <w:marTop w:val="0"/>
      <w:marBottom w:val="0"/>
      <w:divBdr>
        <w:top w:val="none" w:sz="0" w:space="0" w:color="auto"/>
        <w:left w:val="none" w:sz="0" w:space="0" w:color="auto"/>
        <w:bottom w:val="none" w:sz="0" w:space="0" w:color="auto"/>
        <w:right w:val="none" w:sz="0" w:space="0" w:color="auto"/>
      </w:divBdr>
    </w:div>
    <w:div w:id="1575697904">
      <w:bodyDiv w:val="1"/>
      <w:marLeft w:val="0"/>
      <w:marRight w:val="0"/>
      <w:marTop w:val="0"/>
      <w:marBottom w:val="0"/>
      <w:divBdr>
        <w:top w:val="none" w:sz="0" w:space="0" w:color="auto"/>
        <w:left w:val="none" w:sz="0" w:space="0" w:color="auto"/>
        <w:bottom w:val="none" w:sz="0" w:space="0" w:color="auto"/>
        <w:right w:val="none" w:sz="0" w:space="0" w:color="auto"/>
      </w:divBdr>
    </w:div>
    <w:div w:id="1624385541">
      <w:bodyDiv w:val="1"/>
      <w:marLeft w:val="0"/>
      <w:marRight w:val="0"/>
      <w:marTop w:val="0"/>
      <w:marBottom w:val="0"/>
      <w:divBdr>
        <w:top w:val="none" w:sz="0" w:space="0" w:color="auto"/>
        <w:left w:val="none" w:sz="0" w:space="0" w:color="auto"/>
        <w:bottom w:val="none" w:sz="0" w:space="0" w:color="auto"/>
        <w:right w:val="none" w:sz="0" w:space="0" w:color="auto"/>
      </w:divBdr>
    </w:div>
    <w:div w:id="1628274639">
      <w:bodyDiv w:val="1"/>
      <w:marLeft w:val="0"/>
      <w:marRight w:val="0"/>
      <w:marTop w:val="0"/>
      <w:marBottom w:val="0"/>
      <w:divBdr>
        <w:top w:val="none" w:sz="0" w:space="0" w:color="auto"/>
        <w:left w:val="none" w:sz="0" w:space="0" w:color="auto"/>
        <w:bottom w:val="none" w:sz="0" w:space="0" w:color="auto"/>
        <w:right w:val="none" w:sz="0" w:space="0" w:color="auto"/>
      </w:divBdr>
    </w:div>
    <w:div w:id="1659919851">
      <w:bodyDiv w:val="1"/>
      <w:marLeft w:val="0"/>
      <w:marRight w:val="0"/>
      <w:marTop w:val="0"/>
      <w:marBottom w:val="0"/>
      <w:divBdr>
        <w:top w:val="none" w:sz="0" w:space="0" w:color="auto"/>
        <w:left w:val="none" w:sz="0" w:space="0" w:color="auto"/>
        <w:bottom w:val="none" w:sz="0" w:space="0" w:color="auto"/>
        <w:right w:val="none" w:sz="0" w:space="0" w:color="auto"/>
      </w:divBdr>
    </w:div>
    <w:div w:id="1669290263">
      <w:bodyDiv w:val="1"/>
      <w:marLeft w:val="0"/>
      <w:marRight w:val="0"/>
      <w:marTop w:val="0"/>
      <w:marBottom w:val="0"/>
      <w:divBdr>
        <w:top w:val="none" w:sz="0" w:space="0" w:color="auto"/>
        <w:left w:val="none" w:sz="0" w:space="0" w:color="auto"/>
        <w:bottom w:val="none" w:sz="0" w:space="0" w:color="auto"/>
        <w:right w:val="none" w:sz="0" w:space="0" w:color="auto"/>
      </w:divBdr>
    </w:div>
    <w:div w:id="1672486415">
      <w:bodyDiv w:val="1"/>
      <w:marLeft w:val="0"/>
      <w:marRight w:val="0"/>
      <w:marTop w:val="0"/>
      <w:marBottom w:val="0"/>
      <w:divBdr>
        <w:top w:val="none" w:sz="0" w:space="0" w:color="auto"/>
        <w:left w:val="none" w:sz="0" w:space="0" w:color="auto"/>
        <w:bottom w:val="none" w:sz="0" w:space="0" w:color="auto"/>
        <w:right w:val="none" w:sz="0" w:space="0" w:color="auto"/>
      </w:divBdr>
    </w:div>
    <w:div w:id="1677875974">
      <w:bodyDiv w:val="1"/>
      <w:marLeft w:val="0"/>
      <w:marRight w:val="0"/>
      <w:marTop w:val="0"/>
      <w:marBottom w:val="0"/>
      <w:divBdr>
        <w:top w:val="none" w:sz="0" w:space="0" w:color="auto"/>
        <w:left w:val="none" w:sz="0" w:space="0" w:color="auto"/>
        <w:bottom w:val="none" w:sz="0" w:space="0" w:color="auto"/>
        <w:right w:val="none" w:sz="0" w:space="0" w:color="auto"/>
      </w:divBdr>
    </w:div>
    <w:div w:id="1679624765">
      <w:bodyDiv w:val="1"/>
      <w:marLeft w:val="0"/>
      <w:marRight w:val="0"/>
      <w:marTop w:val="0"/>
      <w:marBottom w:val="0"/>
      <w:divBdr>
        <w:top w:val="none" w:sz="0" w:space="0" w:color="auto"/>
        <w:left w:val="none" w:sz="0" w:space="0" w:color="auto"/>
        <w:bottom w:val="none" w:sz="0" w:space="0" w:color="auto"/>
        <w:right w:val="none" w:sz="0" w:space="0" w:color="auto"/>
      </w:divBdr>
    </w:div>
    <w:div w:id="1682199915">
      <w:bodyDiv w:val="1"/>
      <w:marLeft w:val="0"/>
      <w:marRight w:val="0"/>
      <w:marTop w:val="0"/>
      <w:marBottom w:val="0"/>
      <w:divBdr>
        <w:top w:val="none" w:sz="0" w:space="0" w:color="auto"/>
        <w:left w:val="none" w:sz="0" w:space="0" w:color="auto"/>
        <w:bottom w:val="none" w:sz="0" w:space="0" w:color="auto"/>
        <w:right w:val="none" w:sz="0" w:space="0" w:color="auto"/>
      </w:divBdr>
    </w:div>
    <w:div w:id="1682925258">
      <w:bodyDiv w:val="1"/>
      <w:marLeft w:val="0"/>
      <w:marRight w:val="0"/>
      <w:marTop w:val="0"/>
      <w:marBottom w:val="0"/>
      <w:divBdr>
        <w:top w:val="none" w:sz="0" w:space="0" w:color="auto"/>
        <w:left w:val="none" w:sz="0" w:space="0" w:color="auto"/>
        <w:bottom w:val="none" w:sz="0" w:space="0" w:color="auto"/>
        <w:right w:val="none" w:sz="0" w:space="0" w:color="auto"/>
      </w:divBdr>
    </w:div>
    <w:div w:id="1694726321">
      <w:bodyDiv w:val="1"/>
      <w:marLeft w:val="0"/>
      <w:marRight w:val="0"/>
      <w:marTop w:val="0"/>
      <w:marBottom w:val="0"/>
      <w:divBdr>
        <w:top w:val="none" w:sz="0" w:space="0" w:color="auto"/>
        <w:left w:val="none" w:sz="0" w:space="0" w:color="auto"/>
        <w:bottom w:val="none" w:sz="0" w:space="0" w:color="auto"/>
        <w:right w:val="none" w:sz="0" w:space="0" w:color="auto"/>
      </w:divBdr>
    </w:div>
    <w:div w:id="1719621392">
      <w:bodyDiv w:val="1"/>
      <w:marLeft w:val="0"/>
      <w:marRight w:val="0"/>
      <w:marTop w:val="0"/>
      <w:marBottom w:val="0"/>
      <w:divBdr>
        <w:top w:val="none" w:sz="0" w:space="0" w:color="auto"/>
        <w:left w:val="none" w:sz="0" w:space="0" w:color="auto"/>
        <w:bottom w:val="none" w:sz="0" w:space="0" w:color="auto"/>
        <w:right w:val="none" w:sz="0" w:space="0" w:color="auto"/>
      </w:divBdr>
    </w:div>
    <w:div w:id="1722972376">
      <w:bodyDiv w:val="1"/>
      <w:marLeft w:val="0"/>
      <w:marRight w:val="0"/>
      <w:marTop w:val="0"/>
      <w:marBottom w:val="0"/>
      <w:divBdr>
        <w:top w:val="none" w:sz="0" w:space="0" w:color="auto"/>
        <w:left w:val="none" w:sz="0" w:space="0" w:color="auto"/>
        <w:bottom w:val="none" w:sz="0" w:space="0" w:color="auto"/>
        <w:right w:val="none" w:sz="0" w:space="0" w:color="auto"/>
      </w:divBdr>
    </w:div>
    <w:div w:id="1728189049">
      <w:bodyDiv w:val="1"/>
      <w:marLeft w:val="0"/>
      <w:marRight w:val="0"/>
      <w:marTop w:val="0"/>
      <w:marBottom w:val="0"/>
      <w:divBdr>
        <w:top w:val="none" w:sz="0" w:space="0" w:color="auto"/>
        <w:left w:val="none" w:sz="0" w:space="0" w:color="auto"/>
        <w:bottom w:val="none" w:sz="0" w:space="0" w:color="auto"/>
        <w:right w:val="none" w:sz="0" w:space="0" w:color="auto"/>
      </w:divBdr>
    </w:div>
    <w:div w:id="1753546993">
      <w:bodyDiv w:val="1"/>
      <w:marLeft w:val="0"/>
      <w:marRight w:val="0"/>
      <w:marTop w:val="0"/>
      <w:marBottom w:val="0"/>
      <w:divBdr>
        <w:top w:val="none" w:sz="0" w:space="0" w:color="auto"/>
        <w:left w:val="none" w:sz="0" w:space="0" w:color="auto"/>
        <w:bottom w:val="none" w:sz="0" w:space="0" w:color="auto"/>
        <w:right w:val="none" w:sz="0" w:space="0" w:color="auto"/>
      </w:divBdr>
    </w:div>
    <w:div w:id="1753771262">
      <w:bodyDiv w:val="1"/>
      <w:marLeft w:val="0"/>
      <w:marRight w:val="0"/>
      <w:marTop w:val="0"/>
      <w:marBottom w:val="0"/>
      <w:divBdr>
        <w:top w:val="none" w:sz="0" w:space="0" w:color="auto"/>
        <w:left w:val="none" w:sz="0" w:space="0" w:color="auto"/>
        <w:bottom w:val="none" w:sz="0" w:space="0" w:color="auto"/>
        <w:right w:val="none" w:sz="0" w:space="0" w:color="auto"/>
      </w:divBdr>
    </w:div>
    <w:div w:id="1758478477">
      <w:bodyDiv w:val="1"/>
      <w:marLeft w:val="0"/>
      <w:marRight w:val="0"/>
      <w:marTop w:val="0"/>
      <w:marBottom w:val="0"/>
      <w:divBdr>
        <w:top w:val="none" w:sz="0" w:space="0" w:color="auto"/>
        <w:left w:val="none" w:sz="0" w:space="0" w:color="auto"/>
        <w:bottom w:val="none" w:sz="0" w:space="0" w:color="auto"/>
        <w:right w:val="none" w:sz="0" w:space="0" w:color="auto"/>
      </w:divBdr>
    </w:div>
    <w:div w:id="1763338616">
      <w:bodyDiv w:val="1"/>
      <w:marLeft w:val="0"/>
      <w:marRight w:val="0"/>
      <w:marTop w:val="0"/>
      <w:marBottom w:val="0"/>
      <w:divBdr>
        <w:top w:val="none" w:sz="0" w:space="0" w:color="auto"/>
        <w:left w:val="none" w:sz="0" w:space="0" w:color="auto"/>
        <w:bottom w:val="none" w:sz="0" w:space="0" w:color="auto"/>
        <w:right w:val="none" w:sz="0" w:space="0" w:color="auto"/>
      </w:divBdr>
    </w:div>
    <w:div w:id="1780368224">
      <w:bodyDiv w:val="1"/>
      <w:marLeft w:val="0"/>
      <w:marRight w:val="0"/>
      <w:marTop w:val="0"/>
      <w:marBottom w:val="0"/>
      <w:divBdr>
        <w:top w:val="none" w:sz="0" w:space="0" w:color="auto"/>
        <w:left w:val="none" w:sz="0" w:space="0" w:color="auto"/>
        <w:bottom w:val="none" w:sz="0" w:space="0" w:color="auto"/>
        <w:right w:val="none" w:sz="0" w:space="0" w:color="auto"/>
      </w:divBdr>
    </w:div>
    <w:div w:id="1788086862">
      <w:bodyDiv w:val="1"/>
      <w:marLeft w:val="0"/>
      <w:marRight w:val="0"/>
      <w:marTop w:val="0"/>
      <w:marBottom w:val="0"/>
      <w:divBdr>
        <w:top w:val="none" w:sz="0" w:space="0" w:color="auto"/>
        <w:left w:val="none" w:sz="0" w:space="0" w:color="auto"/>
        <w:bottom w:val="none" w:sz="0" w:space="0" w:color="auto"/>
        <w:right w:val="none" w:sz="0" w:space="0" w:color="auto"/>
      </w:divBdr>
    </w:div>
    <w:div w:id="1790902977">
      <w:bodyDiv w:val="1"/>
      <w:marLeft w:val="0"/>
      <w:marRight w:val="0"/>
      <w:marTop w:val="0"/>
      <w:marBottom w:val="0"/>
      <w:divBdr>
        <w:top w:val="none" w:sz="0" w:space="0" w:color="auto"/>
        <w:left w:val="none" w:sz="0" w:space="0" w:color="auto"/>
        <w:bottom w:val="none" w:sz="0" w:space="0" w:color="auto"/>
        <w:right w:val="none" w:sz="0" w:space="0" w:color="auto"/>
      </w:divBdr>
    </w:div>
    <w:div w:id="1793475890">
      <w:bodyDiv w:val="1"/>
      <w:marLeft w:val="0"/>
      <w:marRight w:val="0"/>
      <w:marTop w:val="0"/>
      <w:marBottom w:val="0"/>
      <w:divBdr>
        <w:top w:val="none" w:sz="0" w:space="0" w:color="auto"/>
        <w:left w:val="none" w:sz="0" w:space="0" w:color="auto"/>
        <w:bottom w:val="none" w:sz="0" w:space="0" w:color="auto"/>
        <w:right w:val="none" w:sz="0" w:space="0" w:color="auto"/>
      </w:divBdr>
    </w:div>
    <w:div w:id="1801799356">
      <w:bodyDiv w:val="1"/>
      <w:marLeft w:val="0"/>
      <w:marRight w:val="0"/>
      <w:marTop w:val="0"/>
      <w:marBottom w:val="0"/>
      <w:divBdr>
        <w:top w:val="none" w:sz="0" w:space="0" w:color="auto"/>
        <w:left w:val="none" w:sz="0" w:space="0" w:color="auto"/>
        <w:bottom w:val="none" w:sz="0" w:space="0" w:color="auto"/>
        <w:right w:val="none" w:sz="0" w:space="0" w:color="auto"/>
      </w:divBdr>
    </w:div>
    <w:div w:id="1803034878">
      <w:bodyDiv w:val="1"/>
      <w:marLeft w:val="0"/>
      <w:marRight w:val="0"/>
      <w:marTop w:val="0"/>
      <w:marBottom w:val="0"/>
      <w:divBdr>
        <w:top w:val="none" w:sz="0" w:space="0" w:color="auto"/>
        <w:left w:val="none" w:sz="0" w:space="0" w:color="auto"/>
        <w:bottom w:val="none" w:sz="0" w:space="0" w:color="auto"/>
        <w:right w:val="none" w:sz="0" w:space="0" w:color="auto"/>
      </w:divBdr>
    </w:div>
    <w:div w:id="1805351332">
      <w:bodyDiv w:val="1"/>
      <w:marLeft w:val="0"/>
      <w:marRight w:val="0"/>
      <w:marTop w:val="0"/>
      <w:marBottom w:val="0"/>
      <w:divBdr>
        <w:top w:val="none" w:sz="0" w:space="0" w:color="auto"/>
        <w:left w:val="none" w:sz="0" w:space="0" w:color="auto"/>
        <w:bottom w:val="none" w:sz="0" w:space="0" w:color="auto"/>
        <w:right w:val="none" w:sz="0" w:space="0" w:color="auto"/>
      </w:divBdr>
    </w:div>
    <w:div w:id="1813986003">
      <w:bodyDiv w:val="1"/>
      <w:marLeft w:val="0"/>
      <w:marRight w:val="0"/>
      <w:marTop w:val="0"/>
      <w:marBottom w:val="0"/>
      <w:divBdr>
        <w:top w:val="none" w:sz="0" w:space="0" w:color="auto"/>
        <w:left w:val="none" w:sz="0" w:space="0" w:color="auto"/>
        <w:bottom w:val="none" w:sz="0" w:space="0" w:color="auto"/>
        <w:right w:val="none" w:sz="0" w:space="0" w:color="auto"/>
      </w:divBdr>
    </w:div>
    <w:div w:id="1816099393">
      <w:bodyDiv w:val="1"/>
      <w:marLeft w:val="0"/>
      <w:marRight w:val="0"/>
      <w:marTop w:val="0"/>
      <w:marBottom w:val="0"/>
      <w:divBdr>
        <w:top w:val="none" w:sz="0" w:space="0" w:color="auto"/>
        <w:left w:val="none" w:sz="0" w:space="0" w:color="auto"/>
        <w:bottom w:val="none" w:sz="0" w:space="0" w:color="auto"/>
        <w:right w:val="none" w:sz="0" w:space="0" w:color="auto"/>
      </w:divBdr>
    </w:div>
    <w:div w:id="1824850074">
      <w:bodyDiv w:val="1"/>
      <w:marLeft w:val="0"/>
      <w:marRight w:val="0"/>
      <w:marTop w:val="0"/>
      <w:marBottom w:val="0"/>
      <w:divBdr>
        <w:top w:val="none" w:sz="0" w:space="0" w:color="auto"/>
        <w:left w:val="none" w:sz="0" w:space="0" w:color="auto"/>
        <w:bottom w:val="none" w:sz="0" w:space="0" w:color="auto"/>
        <w:right w:val="none" w:sz="0" w:space="0" w:color="auto"/>
      </w:divBdr>
    </w:div>
    <w:div w:id="1829207300">
      <w:bodyDiv w:val="1"/>
      <w:marLeft w:val="0"/>
      <w:marRight w:val="0"/>
      <w:marTop w:val="0"/>
      <w:marBottom w:val="0"/>
      <w:divBdr>
        <w:top w:val="none" w:sz="0" w:space="0" w:color="auto"/>
        <w:left w:val="none" w:sz="0" w:space="0" w:color="auto"/>
        <w:bottom w:val="none" w:sz="0" w:space="0" w:color="auto"/>
        <w:right w:val="none" w:sz="0" w:space="0" w:color="auto"/>
      </w:divBdr>
    </w:div>
    <w:div w:id="1861435373">
      <w:bodyDiv w:val="1"/>
      <w:marLeft w:val="0"/>
      <w:marRight w:val="0"/>
      <w:marTop w:val="0"/>
      <w:marBottom w:val="0"/>
      <w:divBdr>
        <w:top w:val="none" w:sz="0" w:space="0" w:color="auto"/>
        <w:left w:val="none" w:sz="0" w:space="0" w:color="auto"/>
        <w:bottom w:val="none" w:sz="0" w:space="0" w:color="auto"/>
        <w:right w:val="none" w:sz="0" w:space="0" w:color="auto"/>
      </w:divBdr>
    </w:div>
    <w:div w:id="1861890490">
      <w:bodyDiv w:val="1"/>
      <w:marLeft w:val="0"/>
      <w:marRight w:val="0"/>
      <w:marTop w:val="0"/>
      <w:marBottom w:val="0"/>
      <w:divBdr>
        <w:top w:val="none" w:sz="0" w:space="0" w:color="auto"/>
        <w:left w:val="none" w:sz="0" w:space="0" w:color="auto"/>
        <w:bottom w:val="none" w:sz="0" w:space="0" w:color="auto"/>
        <w:right w:val="none" w:sz="0" w:space="0" w:color="auto"/>
      </w:divBdr>
    </w:div>
    <w:div w:id="1882860289">
      <w:bodyDiv w:val="1"/>
      <w:marLeft w:val="0"/>
      <w:marRight w:val="0"/>
      <w:marTop w:val="0"/>
      <w:marBottom w:val="0"/>
      <w:divBdr>
        <w:top w:val="none" w:sz="0" w:space="0" w:color="auto"/>
        <w:left w:val="none" w:sz="0" w:space="0" w:color="auto"/>
        <w:bottom w:val="none" w:sz="0" w:space="0" w:color="auto"/>
        <w:right w:val="none" w:sz="0" w:space="0" w:color="auto"/>
      </w:divBdr>
    </w:div>
    <w:div w:id="1896117768">
      <w:bodyDiv w:val="1"/>
      <w:marLeft w:val="0"/>
      <w:marRight w:val="0"/>
      <w:marTop w:val="0"/>
      <w:marBottom w:val="0"/>
      <w:divBdr>
        <w:top w:val="none" w:sz="0" w:space="0" w:color="auto"/>
        <w:left w:val="none" w:sz="0" w:space="0" w:color="auto"/>
        <w:bottom w:val="none" w:sz="0" w:space="0" w:color="auto"/>
        <w:right w:val="none" w:sz="0" w:space="0" w:color="auto"/>
      </w:divBdr>
    </w:div>
    <w:div w:id="1946881787">
      <w:bodyDiv w:val="1"/>
      <w:marLeft w:val="0"/>
      <w:marRight w:val="0"/>
      <w:marTop w:val="0"/>
      <w:marBottom w:val="0"/>
      <w:divBdr>
        <w:top w:val="none" w:sz="0" w:space="0" w:color="auto"/>
        <w:left w:val="none" w:sz="0" w:space="0" w:color="auto"/>
        <w:bottom w:val="none" w:sz="0" w:space="0" w:color="auto"/>
        <w:right w:val="none" w:sz="0" w:space="0" w:color="auto"/>
      </w:divBdr>
    </w:div>
    <w:div w:id="1957441264">
      <w:bodyDiv w:val="1"/>
      <w:marLeft w:val="0"/>
      <w:marRight w:val="0"/>
      <w:marTop w:val="0"/>
      <w:marBottom w:val="0"/>
      <w:divBdr>
        <w:top w:val="none" w:sz="0" w:space="0" w:color="auto"/>
        <w:left w:val="none" w:sz="0" w:space="0" w:color="auto"/>
        <w:bottom w:val="none" w:sz="0" w:space="0" w:color="auto"/>
        <w:right w:val="none" w:sz="0" w:space="0" w:color="auto"/>
      </w:divBdr>
    </w:div>
    <w:div w:id="1961063016">
      <w:bodyDiv w:val="1"/>
      <w:marLeft w:val="0"/>
      <w:marRight w:val="0"/>
      <w:marTop w:val="0"/>
      <w:marBottom w:val="0"/>
      <w:divBdr>
        <w:top w:val="none" w:sz="0" w:space="0" w:color="auto"/>
        <w:left w:val="none" w:sz="0" w:space="0" w:color="auto"/>
        <w:bottom w:val="none" w:sz="0" w:space="0" w:color="auto"/>
        <w:right w:val="none" w:sz="0" w:space="0" w:color="auto"/>
      </w:divBdr>
    </w:div>
    <w:div w:id="1976176733">
      <w:bodyDiv w:val="1"/>
      <w:marLeft w:val="0"/>
      <w:marRight w:val="0"/>
      <w:marTop w:val="0"/>
      <w:marBottom w:val="0"/>
      <w:divBdr>
        <w:top w:val="none" w:sz="0" w:space="0" w:color="auto"/>
        <w:left w:val="none" w:sz="0" w:space="0" w:color="auto"/>
        <w:bottom w:val="none" w:sz="0" w:space="0" w:color="auto"/>
        <w:right w:val="none" w:sz="0" w:space="0" w:color="auto"/>
      </w:divBdr>
    </w:div>
    <w:div w:id="1983541748">
      <w:bodyDiv w:val="1"/>
      <w:marLeft w:val="0"/>
      <w:marRight w:val="0"/>
      <w:marTop w:val="0"/>
      <w:marBottom w:val="0"/>
      <w:divBdr>
        <w:top w:val="none" w:sz="0" w:space="0" w:color="auto"/>
        <w:left w:val="none" w:sz="0" w:space="0" w:color="auto"/>
        <w:bottom w:val="none" w:sz="0" w:space="0" w:color="auto"/>
        <w:right w:val="none" w:sz="0" w:space="0" w:color="auto"/>
      </w:divBdr>
    </w:div>
    <w:div w:id="2006014142">
      <w:bodyDiv w:val="1"/>
      <w:marLeft w:val="0"/>
      <w:marRight w:val="0"/>
      <w:marTop w:val="0"/>
      <w:marBottom w:val="0"/>
      <w:divBdr>
        <w:top w:val="none" w:sz="0" w:space="0" w:color="auto"/>
        <w:left w:val="none" w:sz="0" w:space="0" w:color="auto"/>
        <w:bottom w:val="none" w:sz="0" w:space="0" w:color="auto"/>
        <w:right w:val="none" w:sz="0" w:space="0" w:color="auto"/>
      </w:divBdr>
    </w:div>
    <w:div w:id="2019309650">
      <w:bodyDiv w:val="1"/>
      <w:marLeft w:val="0"/>
      <w:marRight w:val="0"/>
      <w:marTop w:val="0"/>
      <w:marBottom w:val="0"/>
      <w:divBdr>
        <w:top w:val="none" w:sz="0" w:space="0" w:color="auto"/>
        <w:left w:val="none" w:sz="0" w:space="0" w:color="auto"/>
        <w:bottom w:val="none" w:sz="0" w:space="0" w:color="auto"/>
        <w:right w:val="none" w:sz="0" w:space="0" w:color="auto"/>
      </w:divBdr>
    </w:div>
    <w:div w:id="2047290120">
      <w:bodyDiv w:val="1"/>
      <w:marLeft w:val="0"/>
      <w:marRight w:val="0"/>
      <w:marTop w:val="0"/>
      <w:marBottom w:val="0"/>
      <w:divBdr>
        <w:top w:val="none" w:sz="0" w:space="0" w:color="auto"/>
        <w:left w:val="none" w:sz="0" w:space="0" w:color="auto"/>
        <w:bottom w:val="none" w:sz="0" w:space="0" w:color="auto"/>
        <w:right w:val="none" w:sz="0" w:space="0" w:color="auto"/>
      </w:divBdr>
    </w:div>
    <w:div w:id="2061898096">
      <w:bodyDiv w:val="1"/>
      <w:marLeft w:val="0"/>
      <w:marRight w:val="0"/>
      <w:marTop w:val="0"/>
      <w:marBottom w:val="0"/>
      <w:divBdr>
        <w:top w:val="none" w:sz="0" w:space="0" w:color="auto"/>
        <w:left w:val="none" w:sz="0" w:space="0" w:color="auto"/>
        <w:bottom w:val="none" w:sz="0" w:space="0" w:color="auto"/>
        <w:right w:val="none" w:sz="0" w:space="0" w:color="auto"/>
      </w:divBdr>
    </w:div>
    <w:div w:id="2086173927">
      <w:bodyDiv w:val="1"/>
      <w:marLeft w:val="0"/>
      <w:marRight w:val="0"/>
      <w:marTop w:val="0"/>
      <w:marBottom w:val="0"/>
      <w:divBdr>
        <w:top w:val="none" w:sz="0" w:space="0" w:color="auto"/>
        <w:left w:val="none" w:sz="0" w:space="0" w:color="auto"/>
        <w:bottom w:val="none" w:sz="0" w:space="0" w:color="auto"/>
        <w:right w:val="none" w:sz="0" w:space="0" w:color="auto"/>
      </w:divBdr>
    </w:div>
    <w:div w:id="2088182341">
      <w:bodyDiv w:val="1"/>
      <w:marLeft w:val="0"/>
      <w:marRight w:val="0"/>
      <w:marTop w:val="0"/>
      <w:marBottom w:val="0"/>
      <w:divBdr>
        <w:top w:val="none" w:sz="0" w:space="0" w:color="auto"/>
        <w:left w:val="none" w:sz="0" w:space="0" w:color="auto"/>
        <w:bottom w:val="none" w:sz="0" w:space="0" w:color="auto"/>
        <w:right w:val="none" w:sz="0" w:space="0" w:color="auto"/>
      </w:divBdr>
    </w:div>
    <w:div w:id="2092457995">
      <w:bodyDiv w:val="1"/>
      <w:marLeft w:val="0"/>
      <w:marRight w:val="0"/>
      <w:marTop w:val="0"/>
      <w:marBottom w:val="0"/>
      <w:divBdr>
        <w:top w:val="none" w:sz="0" w:space="0" w:color="auto"/>
        <w:left w:val="none" w:sz="0" w:space="0" w:color="auto"/>
        <w:bottom w:val="none" w:sz="0" w:space="0" w:color="auto"/>
        <w:right w:val="none" w:sz="0" w:space="0" w:color="auto"/>
      </w:divBdr>
    </w:div>
    <w:div w:id="2100329317">
      <w:bodyDiv w:val="1"/>
      <w:marLeft w:val="0"/>
      <w:marRight w:val="0"/>
      <w:marTop w:val="0"/>
      <w:marBottom w:val="0"/>
      <w:divBdr>
        <w:top w:val="none" w:sz="0" w:space="0" w:color="auto"/>
        <w:left w:val="none" w:sz="0" w:space="0" w:color="auto"/>
        <w:bottom w:val="none" w:sz="0" w:space="0" w:color="auto"/>
        <w:right w:val="none" w:sz="0" w:space="0" w:color="auto"/>
      </w:divBdr>
    </w:div>
    <w:div w:id="2103603907">
      <w:bodyDiv w:val="1"/>
      <w:marLeft w:val="0"/>
      <w:marRight w:val="0"/>
      <w:marTop w:val="0"/>
      <w:marBottom w:val="0"/>
      <w:divBdr>
        <w:top w:val="none" w:sz="0" w:space="0" w:color="auto"/>
        <w:left w:val="none" w:sz="0" w:space="0" w:color="auto"/>
        <w:bottom w:val="none" w:sz="0" w:space="0" w:color="auto"/>
        <w:right w:val="none" w:sz="0" w:space="0" w:color="auto"/>
      </w:divBdr>
    </w:div>
    <w:div w:id="2109736457">
      <w:bodyDiv w:val="1"/>
      <w:marLeft w:val="0"/>
      <w:marRight w:val="0"/>
      <w:marTop w:val="0"/>
      <w:marBottom w:val="0"/>
      <w:divBdr>
        <w:top w:val="none" w:sz="0" w:space="0" w:color="auto"/>
        <w:left w:val="none" w:sz="0" w:space="0" w:color="auto"/>
        <w:bottom w:val="none" w:sz="0" w:space="0" w:color="auto"/>
        <w:right w:val="none" w:sz="0" w:space="0" w:color="auto"/>
      </w:divBdr>
    </w:div>
    <w:div w:id="2120955016">
      <w:bodyDiv w:val="1"/>
      <w:marLeft w:val="0"/>
      <w:marRight w:val="0"/>
      <w:marTop w:val="0"/>
      <w:marBottom w:val="0"/>
      <w:divBdr>
        <w:top w:val="none" w:sz="0" w:space="0" w:color="auto"/>
        <w:left w:val="none" w:sz="0" w:space="0" w:color="auto"/>
        <w:bottom w:val="none" w:sz="0" w:space="0" w:color="auto"/>
        <w:right w:val="none" w:sz="0" w:space="0" w:color="auto"/>
      </w:divBdr>
    </w:div>
    <w:div w:id="212442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assad@sefaz.es.gov.br" TargetMode="External"/><Relationship Id="rId18" Type="http://schemas.openxmlformats.org/officeDocument/2006/relationships/chart" Target="charts/chart1.xml"/><Relationship Id="rId26" Type="http://schemas.openxmlformats.org/officeDocument/2006/relationships/hyperlink" Target="mailto:cgmadeira@sefaz.es.gov.br" TargetMode="External"/><Relationship Id="rId39" Type="http://schemas.openxmlformats.org/officeDocument/2006/relationships/image" Target="media/image13.png"/><Relationship Id="rId21" Type="http://schemas.openxmlformats.org/officeDocument/2006/relationships/hyperlink" Target="mailto:jonathas.cerqueira@sefaz.es.gov.br" TargetMode="External"/><Relationship Id="rId34" Type="http://schemas.openxmlformats.org/officeDocument/2006/relationships/hyperlink" Target="mailto:dcorrea@sefaz.es.gov.br" TargetMode="External"/><Relationship Id="rId42" Type="http://schemas.openxmlformats.org/officeDocument/2006/relationships/image" Target="media/image16.emf"/><Relationship Id="rId47" Type="http://schemas.openxmlformats.org/officeDocument/2006/relationships/hyperlink" Target="http://contabilidade.wikidot.com/sistema-de-informacao" TargetMode="External"/><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fabiano.louzada@secont.es.gov.br" TargetMode="External"/><Relationship Id="rId29" Type="http://schemas.openxmlformats.org/officeDocument/2006/relationships/image" Target="media/image8.emf"/><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1.emf"/><Relationship Id="rId37" Type="http://schemas.openxmlformats.org/officeDocument/2006/relationships/hyperlink" Target="mailto:mbsantos@sefaz.es.gov.br" TargetMode="External"/><Relationship Id="rId40" Type="http://schemas.openxmlformats.org/officeDocument/2006/relationships/image" Target="media/image14.emf"/><Relationship Id="rId45" Type="http://schemas.openxmlformats.org/officeDocument/2006/relationships/chart" Target="charts/chart3.xml"/><Relationship Id="rId53" Type="http://schemas.openxmlformats.org/officeDocument/2006/relationships/image" Target="media/image21.emf"/><Relationship Id="rId58"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customXml" Target="../customXml/item8.xml"/><Relationship Id="rId19" Type="http://schemas.openxmlformats.org/officeDocument/2006/relationships/hyperlink" Target="mailto:jsilva@sefaz.es.gov.br" TargetMode="External"/><Relationship Id="rId14" Type="http://schemas.openxmlformats.org/officeDocument/2006/relationships/hyperlink" Target="mailto:ricardo.oliveira@secont.es.gov.br" TargetMode="External"/><Relationship Id="rId22" Type="http://schemas.openxmlformats.org/officeDocument/2006/relationships/hyperlink" Target="mailto:afigueiredo@sefaz.es"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mailto:elorenzon@sefaz.es.gov.br" TargetMode="External"/><Relationship Id="rId43" Type="http://schemas.openxmlformats.org/officeDocument/2006/relationships/image" Target="media/image17.emf"/><Relationship Id="rId48" Type="http://schemas.openxmlformats.org/officeDocument/2006/relationships/hyperlink" Target="http://pt.wikipedia.org/wiki/Gasto" TargetMode="Externa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mailto:heyde.lemos@seger.es.gov.br" TargetMode="External"/><Relationship Id="rId17" Type="http://schemas.openxmlformats.org/officeDocument/2006/relationships/hyperlink" Target="mailto:frederico.souza@secont.es.gov.br" TargetMode="External"/><Relationship Id="rId25" Type="http://schemas.openxmlformats.org/officeDocument/2006/relationships/hyperlink" Target="mailto:lgkuster@sefaz.es.gov.br" TargetMode="External"/><Relationship Id="rId33" Type="http://schemas.openxmlformats.org/officeDocument/2006/relationships/hyperlink" Target="mailto:amaioli@sefaz.es.gov.br" TargetMode="External"/><Relationship Id="rId38" Type="http://schemas.openxmlformats.org/officeDocument/2006/relationships/image" Target="media/image12.png"/><Relationship Id="rId46" Type="http://schemas.openxmlformats.org/officeDocument/2006/relationships/hyperlink" Target="http://server03.pge.sc.gov.br/LegislacaoEstadual/2007/000381-010-0-2007-001.htm" TargetMode="External"/><Relationship Id="rId59" Type="http://schemas.openxmlformats.org/officeDocument/2006/relationships/customXml" Target="../customXml/item6.xml"/><Relationship Id="rId20" Type="http://schemas.openxmlformats.org/officeDocument/2006/relationships/hyperlink" Target="mailto:hudson.carvalho@sefaz.es.gov.br" TargetMode="External"/><Relationship Id="rId41" Type="http://schemas.openxmlformats.org/officeDocument/2006/relationships/image" Target="media/image1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fabricio.massariol@secont.es.gov.br"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yperlink" Target="mailto:mfsalomao@sefaz.es.gov.br" TargetMode="External"/><Relationship Id="rId49" Type="http://schemas.openxmlformats.org/officeDocument/2006/relationships/hyperlink" Target="http://pt.wikipedia.org/wiki/Receita_(economia)"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image" Target="media/image18.emf"/><Relationship Id="rId52" Type="http://schemas.openxmlformats.org/officeDocument/2006/relationships/header" Target="header2.xml"/><Relationship Id="rId60" Type="http://schemas.openxmlformats.org/officeDocument/2006/relationships/customXml" Target="../customXml/item7.xml"/><Relationship Id="rId4" Type="http://schemas.openxmlformats.org/officeDocument/2006/relationships/styles" Target="styles.xml"/><Relationship Id="rId9" Type="http://schemas.openxmlformats.org/officeDocument/2006/relationships/image" Target="media/image2.wmf"/></Relationships>
</file>

<file path=word/_rels/footnotes.xml.rels><?xml version="1.0" encoding="UTF-8" standalone="yes"?>
<Relationships xmlns="http://schemas.openxmlformats.org/package/2006/relationships"><Relationship Id="rId3" Type="http://schemas.openxmlformats.org/officeDocument/2006/relationships/hyperlink" Target="http://www.labges.es.gov.br" TargetMode="External"/><Relationship Id="rId2" Type="http://schemas.openxmlformats.org/officeDocument/2006/relationships/hyperlink" Target="http://www.escritoriodeprocessos.es.gov.br" TargetMode="External"/><Relationship Id="rId1" Type="http://schemas.openxmlformats.org/officeDocument/2006/relationships/hyperlink" Target="https://escritoriodeprocessos.es.gov.br/Media/escritoriodeprocessos/documentos/decreto411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GEACO\Relat&#243;rios\Relat&#243;rio%20de%20atividades%20das%20Ag&#234;ncias%20-%20An&#225;li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pt-BR"/>
              <a:t>Evolução temporal OGE/ES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pt-BR"/>
        </a:p>
      </c:txPr>
    </c:title>
    <c:autoTitleDeleted val="0"/>
    <c:plotArea>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rgbClr val="4472C4"/>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Planilha1!$A$1:$F$1</c:f>
              <c:numCache>
                <c:formatCode>General</c:formatCode>
                <c:ptCount val="6"/>
                <c:pt idx="0">
                  <c:v>2012</c:v>
                </c:pt>
                <c:pt idx="1">
                  <c:v>2013</c:v>
                </c:pt>
                <c:pt idx="2">
                  <c:v>2014</c:v>
                </c:pt>
                <c:pt idx="3">
                  <c:v>2015</c:v>
                </c:pt>
                <c:pt idx="4">
                  <c:v>2016</c:v>
                </c:pt>
                <c:pt idx="5">
                  <c:v>2017</c:v>
                </c:pt>
              </c:numCache>
            </c:numRef>
          </c:cat>
          <c:val>
            <c:numRef>
              <c:f>Planilha1!$A$2:$F$2</c:f>
              <c:numCache>
                <c:formatCode>General</c:formatCode>
                <c:ptCount val="6"/>
                <c:pt idx="0">
                  <c:v>825</c:v>
                </c:pt>
                <c:pt idx="1">
                  <c:v>2298</c:v>
                </c:pt>
                <c:pt idx="2">
                  <c:v>2205</c:v>
                </c:pt>
                <c:pt idx="3">
                  <c:v>3841</c:v>
                </c:pt>
                <c:pt idx="4">
                  <c:v>6522</c:v>
                </c:pt>
                <c:pt idx="5">
                  <c:v>9375</c:v>
                </c:pt>
              </c:numCache>
            </c:numRef>
          </c:val>
          <c:smooth val="0"/>
          <c:extLst xmlns:c16r2="http://schemas.microsoft.com/office/drawing/2015/06/chart">
            <c:ext xmlns:c16="http://schemas.microsoft.com/office/drawing/2014/chart" uri="{C3380CC4-5D6E-409C-BE32-E72D297353CC}">
              <c16:uniqueId val="{00000000-5FA7-4A39-8BDD-D8FC2ACFECF6}"/>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866909072"/>
        <c:axId val="-1866908528"/>
      </c:lineChart>
      <c:catAx>
        <c:axId val="-186690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pt-BR"/>
          </a:p>
        </c:txPr>
        <c:crossAx val="-1866908528"/>
        <c:crosses val="autoZero"/>
        <c:auto val="1"/>
        <c:lblAlgn val="ctr"/>
        <c:lblOffset val="100"/>
        <c:noMultiLvlLbl val="0"/>
      </c:catAx>
      <c:valAx>
        <c:axId val="-1866908528"/>
        <c:scaling>
          <c:orientation val="minMax"/>
        </c:scaling>
        <c:delete val="1"/>
        <c:axPos val="l"/>
        <c:numFmt formatCode="General" sourceLinked="1"/>
        <c:majorTickMark val="none"/>
        <c:minorTickMark val="none"/>
        <c:tickLblPos val="nextTo"/>
        <c:crossAx val="-186690907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11 SERVIÇOS MAIS PROCURADOS NAS AGÊNCIAS EM 2017 </a:t>
            </a:r>
          </a:p>
        </c:rich>
      </c:tx>
      <c:layout>
        <c:manualLayout>
          <c:xMode val="edge"/>
          <c:yMode val="edge"/>
          <c:x val="0.16761282002379463"/>
          <c:y val="4.3426740775050175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8.622292455657575E-2"/>
          <c:y val="0.12778446811795585"/>
          <c:w val="0.82005757930777678"/>
          <c:h val="0.86778253821213525"/>
        </c:manualLayout>
      </c:layout>
      <c:pieChart>
        <c:varyColors val="1"/>
        <c:ser>
          <c:idx val="0"/>
          <c:order val="0"/>
          <c:tx>
            <c:strRef>
              <c:f>Plan1!$H$1:$H$2</c:f>
              <c:strCache>
                <c:ptCount val="2"/>
                <c:pt idx="0">
                  <c:v>SERVIÇOS EM 2017</c:v>
                </c:pt>
                <c:pt idx="1">
                  <c:v>QTD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dLbl>
              <c:idx val="9"/>
              <c:layout>
                <c:manualLayout>
                  <c:x val="5.7776791985508856E-2"/>
                  <c:y val="5.72509997977295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extLst>
          </c:dLbls>
          <c:cat>
            <c:strRef>
              <c:f>Plan1!$G$3:$G$14</c:f>
              <c:strCache>
                <c:ptCount val="12"/>
                <c:pt idx="0">
                  <c:v>AIDF (DEFERIMENTO E CANCELAMENTO)</c:v>
                </c:pt>
                <c:pt idx="1">
                  <c:v>ITCMD - GUIA DE TRANSMISSÃO</c:v>
                </c:pt>
                <c:pt idx="2">
                  <c:v>LIVROS - HOMOLOGAÇÃO LIVRO NOVO</c:v>
                </c:pt>
                <c:pt idx="3">
                  <c:v>PED - AUTORIZAÇÃO</c:v>
                </c:pt>
                <c:pt idx="4">
                  <c:v>CADASTRO INSCRIÇÃO PRODUTOR RURAL</c:v>
                </c:pt>
                <c:pt idx="5">
                  <c:v>AGV - TERMO DE ADESÃO A AGV</c:v>
                </c:pt>
                <c:pt idx="6">
                  <c:v>OFÍCIOS DIVERSOS (CORREIO OU DTE)</c:v>
                </c:pt>
                <c:pt idx="7">
                  <c:v>CADASTRO PESSOA JURÍDICA - BAIXA</c:v>
                </c:pt>
                <c:pt idx="8">
                  <c:v>REQUERIMENTOS DIVERSOS</c:v>
                </c:pt>
                <c:pt idx="9">
                  <c:v>CADASTRO BAIXA PRODUTOR RURAL</c:v>
                </c:pt>
                <c:pt idx="10">
                  <c:v>LIVROS FISCAIS - AUTENTICAÇÃO</c:v>
                </c:pt>
                <c:pt idx="11">
                  <c:v>CERTIDÃO TRIBUTÁRIA - EMISSÃO</c:v>
                </c:pt>
              </c:strCache>
            </c:strRef>
          </c:cat>
          <c:val>
            <c:numRef>
              <c:f>Plan1!$H$3:$H$14</c:f>
              <c:numCache>
                <c:formatCode>#,##0_ ;\-#,##0\ </c:formatCode>
                <c:ptCount val="12"/>
                <c:pt idx="0">
                  <c:v>0</c:v>
                </c:pt>
                <c:pt idx="1">
                  <c:v>13316</c:v>
                </c:pt>
                <c:pt idx="2">
                  <c:v>11944</c:v>
                </c:pt>
                <c:pt idx="3">
                  <c:v>8056</c:v>
                </c:pt>
                <c:pt idx="4">
                  <c:v>6752</c:v>
                </c:pt>
                <c:pt idx="5">
                  <c:v>4952</c:v>
                </c:pt>
                <c:pt idx="6">
                  <c:v>3988</c:v>
                </c:pt>
                <c:pt idx="7">
                  <c:v>3116</c:v>
                </c:pt>
                <c:pt idx="8">
                  <c:v>2728</c:v>
                </c:pt>
                <c:pt idx="9">
                  <c:v>2556</c:v>
                </c:pt>
                <c:pt idx="10">
                  <c:v>2508</c:v>
                </c:pt>
                <c:pt idx="11">
                  <c:v>2432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baseline="0">
                <a:solidFill>
                  <a:schemeClr val="tx2"/>
                </a:solidFill>
                <a:latin typeface="+mn-lt"/>
                <a:ea typeface="+mn-ea"/>
                <a:cs typeface="+mn-cs"/>
              </a:defRPr>
            </a:pPr>
            <a:r>
              <a:rPr lang="en-US"/>
              <a:t>Manuntenção de Sistema</a:t>
            </a:r>
          </a:p>
        </c:rich>
      </c:tx>
      <c:overlay val="0"/>
      <c:spPr>
        <a:noFill/>
        <a:ln w="25482">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Plan1!$B$1</c:f>
              <c:strCache>
                <c:ptCount val="1"/>
                <c:pt idx="0">
                  <c:v>Manunteção de Sistema de Informação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1.8931738963939412E-3"/>
                  <c:y val="-4.85627444881020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7334043308484202"/>
                  <c:y val="-1.511303583189819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2.5600474062147983E-2"/>
                  <c:y val="-4.447645876090696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1278458403562168E-2"/>
                  <c:y val="-3.9097242617349946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25482">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2"/>
                    </a:solidFill>
                    <a:latin typeface="+mn-lt"/>
                    <a:ea typeface="+mn-ea"/>
                    <a:cs typeface="+mn-cs"/>
                  </a:defRPr>
                </a:pPr>
                <a:endParaRPr lang="pt-BR"/>
              </a:p>
            </c:txPr>
            <c:dLblPos val="inEnd"/>
            <c:showLegendKey val="0"/>
            <c:showVal val="0"/>
            <c:showCatName val="1"/>
            <c:showSerName val="0"/>
            <c:showPercent val="1"/>
            <c:showBubbleSize val="0"/>
            <c:showLeaderLines val="1"/>
            <c:leaderLines>
              <c:spPr>
                <a:ln w="9556">
                  <a:solidFill>
                    <a:schemeClr val="tx2">
                      <a:lumMod val="35000"/>
                      <a:lumOff val="65000"/>
                    </a:schemeClr>
                  </a:solidFill>
                </a:ln>
                <a:effectLst/>
              </c:spPr>
            </c:leaderLines>
            <c:extLst>
              <c:ext xmlns:c15="http://schemas.microsoft.com/office/drawing/2012/chart" uri="{CE6537A1-D6FC-4f65-9D91-7224C49458BB}"/>
            </c:extLst>
          </c:dLbls>
          <c:cat>
            <c:strRef>
              <c:f>Plan1!$A$2:$A$5</c:f>
              <c:strCache>
                <c:ptCount val="4"/>
                <c:pt idx="0">
                  <c:v>Adaptativa</c:v>
                </c:pt>
                <c:pt idx="1">
                  <c:v>Corretiva</c:v>
                </c:pt>
                <c:pt idx="2">
                  <c:v>Evolutiva</c:v>
                </c:pt>
                <c:pt idx="3">
                  <c:v>Preventiva</c:v>
                </c:pt>
              </c:strCache>
            </c:strRef>
          </c:cat>
          <c:val>
            <c:numRef>
              <c:f>Plan1!$B$2:$B$5</c:f>
              <c:numCache>
                <c:formatCode>0%</c:formatCode>
                <c:ptCount val="4"/>
                <c:pt idx="0">
                  <c:v>0.25</c:v>
                </c:pt>
                <c:pt idx="1">
                  <c:v>0.5</c:v>
                </c:pt>
                <c:pt idx="2">
                  <c:v>0.21</c:v>
                </c:pt>
                <c:pt idx="3">
                  <c:v>0.04</c:v>
                </c:pt>
              </c:numCache>
            </c:numRef>
          </c:val>
        </c:ser>
        <c:dLbls>
          <c:showLegendKey val="0"/>
          <c:showVal val="0"/>
          <c:showCatName val="0"/>
          <c:showSerName val="0"/>
          <c:showPercent val="0"/>
          <c:showBubbleSize val="0"/>
          <c:showLeaderLines val="1"/>
        </c:dLbls>
      </c:pie3DChart>
      <c:spPr>
        <a:noFill/>
        <a:ln w="25482">
          <a:noFill/>
        </a:ln>
      </c:spPr>
    </c:plotArea>
    <c:plotVisOnly val="1"/>
    <c:dispBlanksAs val="gap"/>
    <c:showDLblsOverMax val="0"/>
  </c:chart>
  <c:spPr>
    <a:solidFill>
      <a:schemeClr val="bg1"/>
    </a:solidFill>
    <a:ln w="9556" cap="flat" cmpd="sng" algn="ctr">
      <a:solidFill>
        <a:schemeClr val="tx2">
          <a:lumMod val="15000"/>
          <a:lumOff val="85000"/>
        </a:schemeClr>
      </a:solidFill>
      <a:round/>
    </a:ln>
    <a:effectLst/>
  </c:spPr>
  <c:txPr>
    <a:bodyPr/>
    <a:lstStyle/>
    <a:p>
      <a:pPr>
        <a:defRPr/>
      </a:pPr>
      <a:endParaRPr lang="pt-B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Personalizada 1">
      <a:dk1>
        <a:sysClr val="windowText" lastClr="000000"/>
      </a:dk1>
      <a:lt1>
        <a:srgbClr val="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Este relatório consolida a intenção de todos os projetos que foram selecionados para compor a carteira de projetos do Profisco II/ES.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49B56941EC061D47BD2E041CC43E8E13" ma:contentTypeVersion="2863" ma:contentTypeDescription="A content type to manage public (operations) IDB documents" ma:contentTypeScope="" ma:versionID="0b99da03b7fe71634880cf3def49e477">
  <xsd:schema xmlns:xsd="http://www.w3.org/2001/XMLSchema" xmlns:xs="http://www.w3.org/2001/XMLSchema" xmlns:p="http://schemas.microsoft.com/office/2006/metadata/properties" xmlns:ns2="cdc7663a-08f0-4737-9e8c-148ce897a09c" targetNamespace="http://schemas.microsoft.com/office/2006/metadata/properties" ma:root="true" ma:fieldsID="b92239aa28685da262616eb20c0636f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517"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e61f9b1-e23d-4f49-b3d7-56b991556c4b" ContentTypeId="0x0101001A458A224826124E8B45B1D613300CFC"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8.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IDBDocs_x0020_Number xmlns="cdc7663a-08f0-4737-9e8c-148ce897a09c" xsi:nil="true"/>
    <Division_x0020_or_x0020_Unit xmlns="cdc7663a-08f0-4737-9e8c-148ce897a09c">IFD/FMM</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Munoz Miranda, Andres Felipe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2a848641-6d37-4d5e-b2b0-f391eeec3133</TermId>
        </TermInfo>
      </Term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33</Value>
      <Value>30</Value>
      <Value>31</Value>
      <Value>317</Value>
      <Value>1</Value>
    </TaxCatchAll>
    <Operation_x0020_Type xmlns="cdc7663a-08f0-4737-9e8c-148ce897a09c" xsi:nil="true"/>
    <Package_x0020_Code xmlns="cdc7663a-08f0-4737-9e8c-148ce897a09c" xsi:nil="true"/>
    <Identifier xmlns="cdc7663a-08f0-4737-9e8c-148ce897a09c" xsi:nil="true"/>
    <Project_x0020_Number xmlns="cdc7663a-08f0-4737-9e8c-148ce897a09c">BR-L1517</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R0002367435</Record_x0020_Number>
    <_dlc_DocId xmlns="cdc7663a-08f0-4737-9e8c-148ce897a09c">EZSHARE-603863151-5</_dlc_DocId>
    <_dlc_DocIdUrl xmlns="cdc7663a-08f0-4737-9e8c-148ce897a09c">
      <Url>https://idbg.sharepoint.com/teams/EZ-BR-LON/BR-L1517/_layouts/15/DocIdRedir.aspx?ID=EZSHARE-603863151-5</Url>
      <Description>EZSHARE-603863151-5</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106C4-8D4A-42A3-BD62-4AB16723B747}">
  <ds:schemaRefs>
    <ds:schemaRef ds:uri="http://schemas.openxmlformats.org/officeDocument/2006/bibliography"/>
  </ds:schemaRefs>
</ds:datastoreItem>
</file>

<file path=customXml/itemProps3.xml><?xml version="1.0" encoding="utf-8"?>
<ds:datastoreItem xmlns:ds="http://schemas.openxmlformats.org/officeDocument/2006/customXml" ds:itemID="{C0102C2D-37B5-4978-BC37-805F522271A2}"/>
</file>

<file path=customXml/itemProps4.xml><?xml version="1.0" encoding="utf-8"?>
<ds:datastoreItem xmlns:ds="http://schemas.openxmlformats.org/officeDocument/2006/customXml" ds:itemID="{9E249642-CFE2-4422-8667-59AA65F564DD}"/>
</file>

<file path=customXml/itemProps5.xml><?xml version="1.0" encoding="utf-8"?>
<ds:datastoreItem xmlns:ds="http://schemas.openxmlformats.org/officeDocument/2006/customXml" ds:itemID="{8D28C610-B7A7-4841-A488-ABD36DF07B94}"/>
</file>

<file path=customXml/itemProps6.xml><?xml version="1.0" encoding="utf-8"?>
<ds:datastoreItem xmlns:ds="http://schemas.openxmlformats.org/officeDocument/2006/customXml" ds:itemID="{016F7288-9F7F-4159-8669-9EE88C83BE33}"/>
</file>

<file path=customXml/itemProps7.xml><?xml version="1.0" encoding="utf-8"?>
<ds:datastoreItem xmlns:ds="http://schemas.openxmlformats.org/officeDocument/2006/customXml" ds:itemID="{356F8465-1CA8-4F5C-B8F9-797D40F18A41}"/>
</file>

<file path=customXml/itemProps8.xml><?xml version="1.0" encoding="utf-8"?>
<ds:datastoreItem xmlns:ds="http://schemas.openxmlformats.org/officeDocument/2006/customXml" ds:itemID="{E6B609AF-8718-49ED-9AB9-E6B89A8A8B23}"/>
</file>

<file path=docProps/app.xml><?xml version="1.0" encoding="utf-8"?>
<Properties xmlns="http://schemas.openxmlformats.org/officeDocument/2006/extended-properties" xmlns:vt="http://schemas.openxmlformats.org/officeDocument/2006/docPropsVTypes">
  <Template>Normal</Template>
  <TotalTime>747</TotalTime>
  <Pages>1</Pages>
  <Words>57903</Words>
  <Characters>312680</Characters>
  <Application>Microsoft Office Word</Application>
  <DocSecurity>0</DocSecurity>
  <Lines>2605</Lines>
  <Paragraphs>739</Paragraphs>
  <ScaleCrop>false</ScaleCrop>
  <HeadingPairs>
    <vt:vector size="2" baseType="variant">
      <vt:variant>
        <vt:lpstr>Título</vt:lpstr>
      </vt:variant>
      <vt:variant>
        <vt:i4>1</vt:i4>
      </vt:variant>
    </vt:vector>
  </HeadingPairs>
  <TitlesOfParts>
    <vt:vector size="1" baseType="lpstr">
      <vt:lpstr>PROFISCO II</vt:lpstr>
    </vt:vector>
  </TitlesOfParts>
  <Company/>
  <LinksUpToDate>false</LinksUpToDate>
  <CharactersWithSpaces>369844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PROFISCO II</dc:title>
  <dc:subject>Notas técnicas elaboradas pelas áreas técnicas para o projeto de modernização da gestão fiscal a ser financiado com recurso do BID.</dc:subject>
  <dc:creator>Walter Luiz da Costa</dc:creator>
  <cp:keywords/>
  <cp:lastModifiedBy>Andressa Rodrigues Pavao</cp:lastModifiedBy>
  <cp:revision>41</cp:revision>
  <cp:lastPrinted>2015-03-25T13:33:00Z</cp:lastPrinted>
  <dcterms:created xsi:type="dcterms:W3CDTF">2018-06-18T17:35:00Z</dcterms:created>
  <dcterms:modified xsi:type="dcterms:W3CDTF">2018-06-20T21:19:00Z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317;#REFORM / MODERNIZATION OF THE STATE|2a848641-6d37-4d5e-b2b0-f391eeec3133</vt:lpwstr>
  </property>
  <property fmtid="{D5CDD505-2E9C-101B-9397-08002B2CF9AE}" pid="7" name="Fund IDB">
    <vt:lpwstr>33;#ORC|c028a4b2-ad8b-4cf4-9cac-a2ae6a778e23</vt:lpwstr>
  </property>
  <property fmtid="{D5CDD505-2E9C-101B-9397-08002B2CF9AE}" pid="8" name="Country">
    <vt:lpwstr>30;#Brazil|7deb27ec-6837-4974-9aa8-6cfbac841ef8</vt:lpwstr>
  </property>
  <property fmtid="{D5CDD505-2E9C-101B-9397-08002B2CF9AE}" pid="9" name="Sector IDB">
    <vt:lpwstr>31;#REFORM / MODERNIZATION OF THE STATE|c8fda4a7-691a-4c65-b227-9825197b5cd2</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4b0e2790-cc49-44e5-afc5-2927dcd36f54</vt:lpwstr>
  </property>
  <property fmtid="{D5CDD505-2E9C-101B-9397-08002B2CF9AE}" pid="12" name="Disclosure Activity">
    <vt:lpwstr>Loan Proposal</vt:lpwstr>
  </property>
  <property fmtid="{D5CDD505-2E9C-101B-9397-08002B2CF9AE}" pid="13" name="ContentTypeId">
    <vt:lpwstr>0x0101001A458A224826124E8B45B1D613300CFC0049B56941EC061D47BD2E041CC43E8E13</vt:lpwstr>
  </property>
</Properties>
</file>