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68" w:type="dxa"/>
        <w:tblInd w:w="-65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19"/>
        <w:gridCol w:w="6669"/>
        <w:gridCol w:w="1710"/>
        <w:gridCol w:w="2790"/>
        <w:gridCol w:w="1350"/>
        <w:gridCol w:w="5130"/>
      </w:tblGrid>
      <w:tr w:rsidR="00AA715F">
        <w:trPr>
          <w:trHeight w:val="288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A715F" w:rsidRDefault="00AA715F">
            <w:pPr>
              <w:pStyle w:val="Sous-tSubtit"/>
              <w:tabs>
                <w:tab w:val="right" w:pos="11457"/>
                <w:tab w:val="left" w:pos="11685"/>
                <w:tab w:val="left" w:pos="12540"/>
                <w:tab w:val="left" w:pos="18432"/>
                <w:tab w:val="left" w:pos="24192"/>
              </w:tabs>
              <w:spacing w:line="240" w:lineRule="auto"/>
              <w:rPr>
                <w:rFonts w:cs="Arial"/>
                <w:sz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</w:rPr>
              <w:t>Title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15F" w:rsidRDefault="00AA6FCC">
            <w:pPr>
              <w:pStyle w:val="EntteHeader"/>
              <w:spacing w:line="240" w:lineRule="auto"/>
              <w:rPr>
                <w:rFonts w:cs="Arial"/>
                <w:sz w:val="18"/>
              </w:rPr>
            </w:pPr>
            <w:r w:rsidRPr="00AA6FCC">
              <w:rPr>
                <w:rFonts w:cs="Arial"/>
                <w:sz w:val="18"/>
              </w:rPr>
              <w:t>Public Financial Management And Performance Monitoring Reform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A715F" w:rsidRDefault="00AA715F">
            <w:pPr>
              <w:pStyle w:val="Sous-tSubtit"/>
              <w:tabs>
                <w:tab w:val="right" w:pos="1725"/>
                <w:tab w:val="left" w:pos="1995"/>
                <w:tab w:val="right" w:pos="11457"/>
                <w:tab w:val="left" w:pos="11685"/>
                <w:tab w:val="left" w:pos="12996"/>
                <w:tab w:val="left" w:pos="18432"/>
                <w:tab w:val="left" w:pos="24192"/>
              </w:tabs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786" w:rsidRPr="004604E3" w:rsidRDefault="00AA6FCC" w:rsidP="004604E3">
            <w:pPr>
              <w:pStyle w:val="DefaultText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BH-L1035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A715F" w:rsidRDefault="00AA715F">
            <w:pPr>
              <w:pStyle w:val="Sous-tSubtit"/>
              <w:spacing w:line="240" w:lineRule="auto"/>
              <w:ind w:left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Team Leader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15F" w:rsidRDefault="00AA6FCC" w:rsidP="00AA6FCC">
            <w:pPr>
              <w:pStyle w:val="DefaultText"/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COB</w:t>
            </w:r>
            <w:r w:rsidR="00380786">
              <w:rPr>
                <w:rFonts w:cs="Arial"/>
                <w:sz w:val="18"/>
              </w:rPr>
              <w:t xml:space="preserve">+ </w:t>
            </w:r>
            <w:r>
              <w:rPr>
                <w:rFonts w:cs="Arial"/>
                <w:sz w:val="18"/>
              </w:rPr>
              <w:t>ICS+FMM</w:t>
            </w:r>
          </w:p>
        </w:tc>
      </w:tr>
      <w:tr w:rsidR="00AA715F">
        <w:trPr>
          <w:trHeight w:val="288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AA715F" w:rsidRDefault="00AA715F">
            <w:pPr>
              <w:pStyle w:val="Sous-tSubtit"/>
              <w:tabs>
                <w:tab w:val="right" w:pos="11457"/>
                <w:tab w:val="left" w:pos="11685"/>
                <w:tab w:val="left" w:pos="12540"/>
                <w:tab w:val="left" w:pos="18432"/>
                <w:tab w:val="left" w:pos="24192"/>
              </w:tabs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Country/Region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AA715F" w:rsidRDefault="00AA6FCC">
            <w:pPr>
              <w:pStyle w:val="DefaultText"/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 Commonwealth of the Bahamas (COB)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AA715F" w:rsidRDefault="00AA715F">
            <w:pPr>
              <w:pStyle w:val="Sous-tSubtit"/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Budget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AA715F" w:rsidRDefault="00AA6FCC" w:rsidP="00DD4743">
            <w:pPr>
              <w:pStyle w:val="DefaultText"/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US$ 33,000,000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AA715F" w:rsidRDefault="00AA715F">
            <w:pPr>
              <w:pStyle w:val="Sous-tSubtit"/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Duration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AA715F" w:rsidRDefault="00380786">
            <w:pPr>
              <w:pStyle w:val="DefaultText"/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 years</w:t>
            </w:r>
          </w:p>
        </w:tc>
      </w:tr>
    </w:tbl>
    <w:p w:rsidR="00AA715F" w:rsidRDefault="00AA715F">
      <w:pPr>
        <w:rPr>
          <w:rFonts w:ascii="Arial" w:hAnsi="Arial" w:cs="Arial"/>
        </w:rPr>
      </w:pPr>
    </w:p>
    <w:tbl>
      <w:tblPr>
        <w:tblW w:w="1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2202"/>
        <w:gridCol w:w="8"/>
        <w:gridCol w:w="727"/>
        <w:gridCol w:w="1025"/>
        <w:gridCol w:w="1701"/>
        <w:gridCol w:w="459"/>
        <w:gridCol w:w="2032"/>
        <w:gridCol w:w="3008"/>
        <w:gridCol w:w="955"/>
        <w:gridCol w:w="1115"/>
        <w:gridCol w:w="1467"/>
        <w:gridCol w:w="801"/>
        <w:gridCol w:w="2142"/>
      </w:tblGrid>
      <w:tr w:rsidR="00D77DC0" w:rsidRPr="00755866" w:rsidTr="00C34C2B">
        <w:trPr>
          <w:gridAfter w:val="3"/>
          <w:wAfter w:w="4410" w:type="dxa"/>
          <w:cantSplit/>
          <w:trHeight w:val="271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DC0" w:rsidRPr="00755866" w:rsidRDefault="00D77DC0" w:rsidP="00AA715F">
            <w:pPr>
              <w:jc w:val="center"/>
              <w:rPr>
                <w:b/>
                <w:bCs/>
                <w:sz w:val="18"/>
                <w:szCs w:val="18"/>
                <w:lang w:val="fr-CA"/>
              </w:rPr>
            </w:pPr>
            <w:r w:rsidRPr="00755866">
              <w:rPr>
                <w:b/>
                <w:bCs/>
                <w:sz w:val="18"/>
                <w:szCs w:val="18"/>
                <w:lang w:val="fr-CA"/>
              </w:rPr>
              <w:t>ULTIMATE</w:t>
            </w:r>
            <w:r w:rsidRPr="00755866">
              <w:rPr>
                <w:b/>
                <w:bCs/>
                <w:sz w:val="18"/>
                <w:szCs w:val="18"/>
                <w:lang w:val="fr-CA"/>
              </w:rPr>
              <w:br/>
              <w:t>OUTCOME</w:t>
            </w:r>
          </w:p>
        </w:tc>
        <w:tc>
          <w:tcPr>
            <w:tcW w:w="132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77DC0" w:rsidRPr="00755866" w:rsidRDefault="00D77DC0" w:rsidP="00D02062">
            <w:pPr>
              <w:rPr>
                <w:sz w:val="18"/>
                <w:szCs w:val="18"/>
              </w:rPr>
            </w:pPr>
            <w:r w:rsidRPr="00755866">
              <w:rPr>
                <w:sz w:val="18"/>
                <w:szCs w:val="18"/>
              </w:rPr>
              <w:t>Central Government yearly debt growth rate decreases (% GDP – 5 years average)</w:t>
            </w:r>
          </w:p>
        </w:tc>
      </w:tr>
      <w:tr w:rsidR="00D77DC0" w:rsidRPr="00755866" w:rsidTr="00C34C2B">
        <w:trPr>
          <w:gridAfter w:val="4"/>
          <w:wAfter w:w="5525" w:type="dxa"/>
          <w:cantSplit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7DC0" w:rsidRPr="00755866" w:rsidRDefault="00D77DC0" w:rsidP="00AA715F">
            <w:pPr>
              <w:jc w:val="center"/>
              <w:rPr>
                <w:b/>
                <w:bCs/>
                <w:sz w:val="18"/>
                <w:szCs w:val="18"/>
                <w:lang w:val="fr-CA"/>
              </w:rPr>
            </w:pPr>
            <w:r w:rsidRPr="00755866">
              <w:rPr>
                <w:sz w:val="18"/>
                <w:szCs w:val="18"/>
                <w:lang w:val="fr-CA"/>
              </w:rPr>
              <w:sym w:font="Wingdings" w:char="F0E9"/>
            </w:r>
          </w:p>
        </w:tc>
        <w:tc>
          <w:tcPr>
            <w:tcW w:w="5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77DC0" w:rsidRPr="00755866" w:rsidRDefault="00D77DC0" w:rsidP="00AA715F">
            <w:pPr>
              <w:jc w:val="center"/>
              <w:rPr>
                <w:sz w:val="18"/>
                <w:szCs w:val="18"/>
                <w:lang w:val="fr-CA"/>
              </w:rPr>
            </w:pPr>
            <w:r w:rsidRPr="00755866">
              <w:rPr>
                <w:sz w:val="18"/>
                <w:szCs w:val="18"/>
                <w:lang w:val="fr-CA"/>
              </w:rPr>
              <w:sym w:font="Wingdings" w:char="F0E9"/>
            </w:r>
          </w:p>
        </w:tc>
        <w:tc>
          <w:tcPr>
            <w:tcW w:w="6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77DC0" w:rsidRPr="00755866" w:rsidRDefault="00D77DC0" w:rsidP="00AA715F">
            <w:pPr>
              <w:jc w:val="center"/>
              <w:rPr>
                <w:sz w:val="18"/>
                <w:szCs w:val="18"/>
                <w:lang w:val="fr-CA"/>
              </w:rPr>
            </w:pPr>
            <w:r w:rsidRPr="00755866">
              <w:rPr>
                <w:sz w:val="18"/>
                <w:szCs w:val="18"/>
                <w:lang w:val="fr-CA"/>
              </w:rPr>
              <w:sym w:font="Wingdings" w:char="F0E9"/>
            </w:r>
          </w:p>
        </w:tc>
      </w:tr>
      <w:tr w:rsidR="00D77DC0" w:rsidRPr="00755866" w:rsidTr="00C34C2B">
        <w:trPr>
          <w:cantSplit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DC0" w:rsidRPr="00755866" w:rsidRDefault="00D77DC0" w:rsidP="00AA715F">
            <w:pPr>
              <w:jc w:val="center"/>
              <w:rPr>
                <w:b/>
                <w:bCs/>
                <w:sz w:val="18"/>
                <w:szCs w:val="18"/>
                <w:lang w:val="fr-CA"/>
              </w:rPr>
            </w:pPr>
            <w:r w:rsidRPr="00755866">
              <w:rPr>
                <w:b/>
                <w:bCs/>
                <w:sz w:val="18"/>
                <w:szCs w:val="18"/>
                <w:lang w:val="fr-CA"/>
              </w:rPr>
              <w:t>INTERMEDIATE OUTCOMES</w:t>
            </w:r>
          </w:p>
        </w:tc>
        <w:tc>
          <w:tcPr>
            <w:tcW w:w="396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D77DC0" w:rsidRPr="00755866" w:rsidRDefault="00D77DC0" w:rsidP="004F6159">
            <w:pPr>
              <w:rPr>
                <w:b/>
                <w:sz w:val="18"/>
                <w:szCs w:val="18"/>
              </w:rPr>
            </w:pPr>
            <w:r w:rsidRPr="00755866">
              <w:rPr>
                <w:b/>
                <w:sz w:val="18"/>
                <w:szCs w:val="18"/>
              </w:rPr>
              <w:tab/>
              <w:t>1.</w:t>
            </w:r>
            <w:r w:rsidR="00755866">
              <w:rPr>
                <w:b/>
                <w:sz w:val="18"/>
                <w:szCs w:val="18"/>
              </w:rPr>
              <w:t xml:space="preserve"> </w:t>
            </w:r>
            <w:r w:rsidRPr="00755866">
              <w:rPr>
                <w:b/>
                <w:sz w:val="18"/>
                <w:szCs w:val="18"/>
              </w:rPr>
              <w:t>Component I. Planning and Performance Monitoring</w:t>
            </w:r>
            <w:r w:rsidR="00755866">
              <w:rPr>
                <w:b/>
                <w:sz w:val="18"/>
                <w:szCs w:val="18"/>
              </w:rPr>
              <w:t>.</w:t>
            </w:r>
          </w:p>
          <w:p w:rsidR="00D77DC0" w:rsidRPr="00755866" w:rsidRDefault="00755866" w:rsidP="004F6159">
            <w:pPr>
              <w:rPr>
                <w:sz w:val="18"/>
                <w:szCs w:val="18"/>
              </w:rPr>
            </w:pPr>
            <w:r w:rsidRPr="00755866">
              <w:rPr>
                <w:sz w:val="18"/>
                <w:szCs w:val="18"/>
              </w:rPr>
              <w:t>To strengthen the management capacity of the pu</w:t>
            </w:r>
            <w:r w:rsidRPr="00755866">
              <w:rPr>
                <w:sz w:val="18"/>
                <w:szCs w:val="18"/>
              </w:rPr>
              <w:t>b</w:t>
            </w:r>
            <w:r w:rsidRPr="00755866">
              <w:rPr>
                <w:sz w:val="18"/>
                <w:szCs w:val="18"/>
              </w:rPr>
              <w:t>lic sector to plan and deliver priority projects and programs, in a more effective and efficient way, u</w:t>
            </w:r>
            <w:r w:rsidRPr="00755866">
              <w:rPr>
                <w:sz w:val="18"/>
                <w:szCs w:val="18"/>
              </w:rPr>
              <w:t>l</w:t>
            </w:r>
            <w:r w:rsidRPr="00755866">
              <w:rPr>
                <w:sz w:val="18"/>
                <w:szCs w:val="18"/>
              </w:rPr>
              <w:t>timately promoting economic development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77DC0" w:rsidRPr="00755866" w:rsidRDefault="00755866" w:rsidP="00747263">
            <w:pPr>
              <w:rPr>
                <w:b/>
                <w:sz w:val="18"/>
                <w:szCs w:val="18"/>
              </w:rPr>
            </w:pPr>
            <w:r w:rsidRPr="00755866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77DC0" w:rsidRPr="00755866">
              <w:rPr>
                <w:b/>
                <w:sz w:val="18"/>
                <w:szCs w:val="18"/>
              </w:rPr>
              <w:t>Component II. National Statistics</w:t>
            </w:r>
            <w:r>
              <w:rPr>
                <w:b/>
                <w:sz w:val="18"/>
                <w:szCs w:val="18"/>
              </w:rPr>
              <w:t>.</w:t>
            </w:r>
          </w:p>
          <w:p w:rsidR="00755866" w:rsidRPr="00755866" w:rsidRDefault="00755866" w:rsidP="00747263">
            <w:pPr>
              <w:rPr>
                <w:i/>
                <w:sz w:val="18"/>
                <w:szCs w:val="18"/>
              </w:rPr>
            </w:pPr>
            <w:r w:rsidRPr="00755866">
              <w:rPr>
                <w:sz w:val="18"/>
                <w:szCs w:val="18"/>
              </w:rPr>
              <w:t>To respond  to increased demand from the government to plan, budget, monitor and evaluate priority projects and programs by strengthening the capacity of the N</w:t>
            </w:r>
            <w:r w:rsidRPr="00755866">
              <w:rPr>
                <w:sz w:val="18"/>
                <w:szCs w:val="18"/>
              </w:rPr>
              <w:t>a</w:t>
            </w:r>
            <w:r w:rsidRPr="00755866">
              <w:rPr>
                <w:sz w:val="18"/>
                <w:szCs w:val="18"/>
              </w:rPr>
              <w:t>tional Statistical System (NSS) to produce more stati</w:t>
            </w:r>
            <w:r w:rsidRPr="00755866">
              <w:rPr>
                <w:sz w:val="18"/>
                <w:szCs w:val="18"/>
              </w:rPr>
              <w:t>s</w:t>
            </w:r>
            <w:r w:rsidRPr="00755866">
              <w:rPr>
                <w:sz w:val="18"/>
                <w:szCs w:val="18"/>
              </w:rPr>
              <w:t>tics in a more efficient manner</w:t>
            </w:r>
          </w:p>
        </w:tc>
        <w:tc>
          <w:tcPr>
            <w:tcW w:w="50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77DC0" w:rsidRPr="00755866" w:rsidRDefault="00755866" w:rsidP="002F196A">
            <w:pPr>
              <w:rPr>
                <w:b/>
                <w:sz w:val="18"/>
                <w:szCs w:val="18"/>
              </w:rPr>
            </w:pPr>
            <w:r w:rsidRPr="00755866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77DC0" w:rsidRPr="00755866">
              <w:rPr>
                <w:b/>
                <w:sz w:val="18"/>
                <w:szCs w:val="18"/>
              </w:rPr>
              <w:t>Component III. Public Expenditure</w:t>
            </w:r>
            <w:r>
              <w:rPr>
                <w:b/>
                <w:sz w:val="18"/>
                <w:szCs w:val="18"/>
              </w:rPr>
              <w:t>.</w:t>
            </w:r>
          </w:p>
          <w:p w:rsidR="00755866" w:rsidRPr="00755866" w:rsidRDefault="00755866" w:rsidP="002F196A">
            <w:pPr>
              <w:rPr>
                <w:sz w:val="18"/>
                <w:szCs w:val="18"/>
              </w:rPr>
            </w:pPr>
            <w:r w:rsidRPr="00755866">
              <w:rPr>
                <w:sz w:val="18"/>
                <w:szCs w:val="18"/>
              </w:rPr>
              <w:t>To improve the efficiency in the allocation of public funds, co</w:t>
            </w:r>
            <w:r w:rsidRPr="00755866">
              <w:rPr>
                <w:sz w:val="18"/>
                <w:szCs w:val="18"/>
              </w:rPr>
              <w:t>n</w:t>
            </w:r>
            <w:r w:rsidRPr="00755866">
              <w:rPr>
                <w:sz w:val="18"/>
                <w:szCs w:val="18"/>
              </w:rPr>
              <w:t>tributing to fiscal sustainability</w:t>
            </w:r>
          </w:p>
        </w:tc>
        <w:tc>
          <w:tcPr>
            <w:tcW w:w="441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D77DC0" w:rsidRPr="00755866" w:rsidRDefault="00755866" w:rsidP="00D02062">
            <w:pPr>
              <w:rPr>
                <w:sz w:val="18"/>
                <w:szCs w:val="18"/>
              </w:rPr>
            </w:pPr>
            <w:r w:rsidRPr="00755866"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77DC0" w:rsidRPr="00755866">
              <w:rPr>
                <w:b/>
                <w:sz w:val="18"/>
                <w:szCs w:val="18"/>
              </w:rPr>
              <w:t>Component IV. National Public Procurement</w:t>
            </w:r>
            <w:r>
              <w:rPr>
                <w:b/>
                <w:sz w:val="18"/>
                <w:szCs w:val="18"/>
              </w:rPr>
              <w:t>.</w:t>
            </w:r>
            <w:r w:rsidR="00D77DC0" w:rsidRPr="00755866">
              <w:rPr>
                <w:b/>
                <w:sz w:val="18"/>
                <w:szCs w:val="18"/>
              </w:rPr>
              <w:t xml:space="preserve"> </w:t>
            </w:r>
          </w:p>
          <w:p w:rsidR="00D77DC0" w:rsidRPr="00755866" w:rsidRDefault="00755866" w:rsidP="00D02062">
            <w:pPr>
              <w:rPr>
                <w:sz w:val="18"/>
                <w:szCs w:val="18"/>
              </w:rPr>
            </w:pPr>
            <w:r w:rsidRPr="00755866">
              <w:rPr>
                <w:sz w:val="18"/>
                <w:szCs w:val="18"/>
                <w:lang w:val="en-US"/>
              </w:rPr>
              <w:t>To modernize the Procurement System by improving transparency and promoting efficient market competition and value for money</w:t>
            </w:r>
          </w:p>
        </w:tc>
      </w:tr>
      <w:tr w:rsidR="00D77DC0" w:rsidRPr="00755866" w:rsidTr="00C34C2B">
        <w:trPr>
          <w:gridAfter w:val="2"/>
          <w:wAfter w:w="2943" w:type="dxa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7DC0" w:rsidRPr="00755866" w:rsidRDefault="00D77DC0" w:rsidP="00AA715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55866">
              <w:rPr>
                <w:sz w:val="18"/>
                <w:szCs w:val="18"/>
                <w:lang w:val="fr-CA"/>
              </w:rPr>
              <w:sym w:font="Wingdings" w:char="F0E9"/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77DC0" w:rsidRPr="00755866" w:rsidRDefault="00D77DC0" w:rsidP="00AA715F">
            <w:pPr>
              <w:jc w:val="center"/>
              <w:rPr>
                <w:sz w:val="18"/>
                <w:szCs w:val="18"/>
                <w:lang w:val="en-US"/>
              </w:rPr>
            </w:pPr>
            <w:r w:rsidRPr="00755866">
              <w:rPr>
                <w:sz w:val="18"/>
                <w:szCs w:val="18"/>
                <w:lang w:val="fr-CA"/>
              </w:rPr>
              <w:sym w:font="Wingdings" w:char="F0E9"/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77DC0" w:rsidRPr="00755866" w:rsidRDefault="00D77DC0" w:rsidP="00AA715F">
            <w:pPr>
              <w:jc w:val="center"/>
              <w:rPr>
                <w:sz w:val="18"/>
                <w:szCs w:val="18"/>
                <w:lang w:val="en-US"/>
              </w:rPr>
            </w:pPr>
            <w:r w:rsidRPr="00755866">
              <w:rPr>
                <w:sz w:val="18"/>
                <w:szCs w:val="18"/>
                <w:lang w:val="fr-CA"/>
              </w:rPr>
              <w:sym w:font="Wingdings" w:char="F0E9"/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77DC0" w:rsidRPr="00755866" w:rsidRDefault="00D77DC0" w:rsidP="00AA715F">
            <w:pPr>
              <w:jc w:val="center"/>
              <w:rPr>
                <w:sz w:val="18"/>
                <w:szCs w:val="18"/>
                <w:lang w:val="en-US"/>
              </w:rPr>
            </w:pPr>
            <w:r w:rsidRPr="00755866">
              <w:rPr>
                <w:sz w:val="18"/>
                <w:szCs w:val="18"/>
                <w:lang w:val="fr-CA"/>
              </w:rPr>
              <w:sym w:font="Wingdings" w:char="F0E9"/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77DC0" w:rsidRPr="00755866" w:rsidRDefault="00D77DC0" w:rsidP="00AA715F">
            <w:pPr>
              <w:jc w:val="center"/>
              <w:rPr>
                <w:sz w:val="18"/>
                <w:szCs w:val="18"/>
                <w:lang w:val="en-US"/>
              </w:rPr>
            </w:pPr>
            <w:r w:rsidRPr="00755866">
              <w:rPr>
                <w:sz w:val="18"/>
                <w:szCs w:val="18"/>
                <w:lang w:val="fr-CA"/>
              </w:rPr>
              <w:sym w:font="Wingdings" w:char="F0E9"/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77DC0" w:rsidRPr="00755866" w:rsidRDefault="00D77DC0" w:rsidP="00586C9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55866" w:rsidRPr="00755866" w:rsidTr="00C34C2B"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5866" w:rsidRPr="00755866" w:rsidRDefault="00755866" w:rsidP="00AA715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55866">
              <w:rPr>
                <w:b/>
                <w:bCs/>
                <w:sz w:val="18"/>
                <w:szCs w:val="18"/>
                <w:lang w:val="en-US"/>
              </w:rPr>
              <w:t>IMMEDIATE OUTCOMES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755866" w:rsidRPr="00755866" w:rsidRDefault="00755866" w:rsidP="00D84C71">
            <w:pPr>
              <w:rPr>
                <w:sz w:val="18"/>
                <w:szCs w:val="18"/>
              </w:rPr>
            </w:pPr>
            <w:r w:rsidRPr="00755866">
              <w:rPr>
                <w:sz w:val="18"/>
                <w:szCs w:val="18"/>
                <w:lang w:val="en-US"/>
              </w:rPr>
              <w:t>1.1 Increase the scores of the PRODEV Evaluation System (SEP -2013) rela</w:t>
            </w:r>
            <w:r w:rsidRPr="00755866">
              <w:rPr>
                <w:sz w:val="18"/>
                <w:szCs w:val="18"/>
                <w:lang w:val="en-US"/>
              </w:rPr>
              <w:t>t</w:t>
            </w:r>
            <w:r w:rsidRPr="00755866">
              <w:rPr>
                <w:sz w:val="18"/>
                <w:szCs w:val="18"/>
                <w:lang w:val="en-US"/>
              </w:rPr>
              <w:t>ed to monitoring and eva</w:t>
            </w:r>
            <w:r w:rsidRPr="00755866">
              <w:rPr>
                <w:sz w:val="18"/>
                <w:szCs w:val="18"/>
                <w:lang w:val="en-US"/>
              </w:rPr>
              <w:t>l</w:t>
            </w:r>
            <w:r w:rsidRPr="00755866">
              <w:rPr>
                <w:sz w:val="18"/>
                <w:szCs w:val="18"/>
                <w:lang w:val="en-US"/>
              </w:rPr>
              <w:t>uation.</w:t>
            </w:r>
            <w:r w:rsidRPr="00755866">
              <w:rPr>
                <w:sz w:val="18"/>
                <w:szCs w:val="18"/>
              </w:rPr>
              <w:t>.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755866" w:rsidRPr="00755866" w:rsidRDefault="00755866" w:rsidP="008D2572">
            <w:pPr>
              <w:rPr>
                <w:sz w:val="18"/>
                <w:szCs w:val="18"/>
              </w:rPr>
            </w:pPr>
            <w:r w:rsidRPr="00755866">
              <w:rPr>
                <w:sz w:val="18"/>
                <w:szCs w:val="18"/>
              </w:rPr>
              <w:t>1.2 Increase the scores of the PRODEV Evalu</w:t>
            </w:r>
            <w:r w:rsidRPr="00755866">
              <w:rPr>
                <w:sz w:val="18"/>
                <w:szCs w:val="18"/>
              </w:rPr>
              <w:t>a</w:t>
            </w:r>
            <w:r w:rsidRPr="00755866">
              <w:rPr>
                <w:sz w:val="18"/>
                <w:szCs w:val="18"/>
              </w:rPr>
              <w:t>tion System (SEP -2013) related to pr</w:t>
            </w:r>
            <w:r w:rsidRPr="00755866">
              <w:rPr>
                <w:sz w:val="18"/>
                <w:szCs w:val="18"/>
              </w:rPr>
              <w:t>o</w:t>
            </w:r>
            <w:r w:rsidRPr="00755866">
              <w:rPr>
                <w:sz w:val="18"/>
                <w:szCs w:val="18"/>
              </w:rPr>
              <w:t>ject management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755866" w:rsidRDefault="00755866" w:rsidP="00755866">
            <w:pPr>
              <w:ind w:left="-18"/>
              <w:rPr>
                <w:sz w:val="18"/>
                <w:szCs w:val="18"/>
              </w:rPr>
            </w:pPr>
            <w:r w:rsidRPr="00755866">
              <w:rPr>
                <w:sz w:val="18"/>
                <w:szCs w:val="18"/>
              </w:rPr>
              <w:t>2.1 Increase scores of the Tools for Assessing Stati</w:t>
            </w:r>
            <w:r w:rsidRPr="00755866">
              <w:rPr>
                <w:sz w:val="18"/>
                <w:szCs w:val="18"/>
              </w:rPr>
              <w:t>s</w:t>
            </w:r>
            <w:r w:rsidRPr="00755866">
              <w:rPr>
                <w:sz w:val="18"/>
                <w:szCs w:val="18"/>
              </w:rPr>
              <w:t>tical Capacity (TASC -2013) for Department of Statistics and National St</w:t>
            </w:r>
            <w:r w:rsidRPr="00755866">
              <w:rPr>
                <w:sz w:val="18"/>
                <w:szCs w:val="18"/>
              </w:rPr>
              <w:t>a</w:t>
            </w:r>
            <w:r w:rsidRPr="00755866">
              <w:rPr>
                <w:sz w:val="18"/>
                <w:szCs w:val="18"/>
              </w:rPr>
              <w:t>tistical System related to institutional capacity.</w:t>
            </w:r>
          </w:p>
          <w:p w:rsidR="00755866" w:rsidRPr="00755866" w:rsidRDefault="00755866" w:rsidP="002C5E57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755866" w:rsidRPr="00755866" w:rsidRDefault="00755866" w:rsidP="00747263">
            <w:pPr>
              <w:pStyle w:val="TableText"/>
              <w:spacing w:after="0" w:line="240" w:lineRule="auto"/>
              <w:ind w:left="0" w:right="0"/>
              <w:rPr>
                <w:rFonts w:ascii="Times New Roman" w:hAnsi="Times New Roman"/>
                <w:sz w:val="18"/>
                <w:szCs w:val="18"/>
              </w:rPr>
            </w:pPr>
            <w:r w:rsidRPr="00755866">
              <w:rPr>
                <w:sz w:val="18"/>
                <w:szCs w:val="18"/>
              </w:rPr>
              <w:t>2.</w:t>
            </w:r>
            <w:r w:rsidRPr="00755866">
              <w:rPr>
                <w:rFonts w:ascii="Times New Roman" w:hAnsi="Times New Roman"/>
                <w:sz w:val="18"/>
                <w:szCs w:val="18"/>
              </w:rPr>
              <w:t>2 Increase scores of the Tools for Assessing Statistical Capacity (TASC -2013) for D</w:t>
            </w:r>
            <w:r w:rsidRPr="00755866">
              <w:rPr>
                <w:rFonts w:ascii="Times New Roman" w:hAnsi="Times New Roman"/>
                <w:sz w:val="18"/>
                <w:szCs w:val="18"/>
              </w:rPr>
              <w:t>e</w:t>
            </w:r>
            <w:r w:rsidRPr="00755866">
              <w:rPr>
                <w:rFonts w:ascii="Times New Roman" w:hAnsi="Times New Roman"/>
                <w:sz w:val="18"/>
                <w:szCs w:val="18"/>
              </w:rPr>
              <w:t>partment of Statistics and National Statistic System dissemination of information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shd w:val="clear" w:color="auto" w:fill="FFC000"/>
          </w:tcPr>
          <w:p w:rsidR="00755866" w:rsidRPr="006D3009" w:rsidRDefault="00755866" w:rsidP="004D7436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3.1 </w:t>
            </w:r>
            <w:r w:rsidRPr="001B10B2">
              <w:rPr>
                <w:bCs/>
                <w:lang w:val="en-US"/>
              </w:rPr>
              <w:t>Increase the average score of the PEFA indicators related to Public Finance Management (PI-5, 8, 12, 18, 19, 20, 22, 24, 25, 28) (see Monitoring and Evaluation Plan - Impact Evaluation).Increase the scores of the System Evalu</w:t>
            </w:r>
            <w:r w:rsidRPr="001B10B2">
              <w:rPr>
                <w:bCs/>
                <w:lang w:val="en-US"/>
              </w:rPr>
              <w:t>a</w:t>
            </w:r>
            <w:r w:rsidRPr="001B10B2">
              <w:rPr>
                <w:bCs/>
                <w:lang w:val="en-US"/>
              </w:rPr>
              <w:t>tion PRODEV (SEP -2009) rela</w:t>
            </w:r>
            <w:r w:rsidRPr="001B10B2">
              <w:rPr>
                <w:bCs/>
                <w:lang w:val="en-US"/>
              </w:rPr>
              <w:t>t</w:t>
            </w:r>
            <w:r w:rsidRPr="001B10B2">
              <w:rPr>
                <w:bCs/>
                <w:lang w:val="en-US"/>
              </w:rPr>
              <w:t>ed to Public Financing Manag</w:t>
            </w:r>
            <w:r w:rsidRPr="001B10B2">
              <w:rPr>
                <w:bCs/>
                <w:lang w:val="en-US"/>
              </w:rPr>
              <w:t>e</w:t>
            </w:r>
            <w:r w:rsidRPr="001B10B2">
              <w:rPr>
                <w:bCs/>
                <w:lang w:val="en-US"/>
              </w:rPr>
              <w:t>ment System (PFMS) (0-5)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755866" w:rsidRPr="00755866" w:rsidRDefault="00755866" w:rsidP="00755866">
            <w:pPr>
              <w:rPr>
                <w:sz w:val="18"/>
                <w:szCs w:val="18"/>
              </w:rPr>
            </w:pPr>
            <w:r w:rsidRPr="00755866">
              <w:rPr>
                <w:bCs/>
                <w:lang w:val="en-US"/>
              </w:rPr>
              <w:t>3.2 Decrease the needs for borrowing in R</w:t>
            </w:r>
            <w:r w:rsidRPr="00755866">
              <w:rPr>
                <w:bCs/>
                <w:lang w:val="en-US"/>
              </w:rPr>
              <w:t>e</w:t>
            </w:r>
            <w:r w:rsidRPr="00755866">
              <w:rPr>
                <w:bCs/>
                <w:lang w:val="en-US"/>
              </w:rPr>
              <w:t>current and Capital expenditures (Total borrowing needs/ cash management Savings)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CCFFFF"/>
          </w:tcPr>
          <w:p w:rsidR="00755866" w:rsidRPr="00755866" w:rsidRDefault="00755866" w:rsidP="00046F01">
            <w:pPr>
              <w:rPr>
                <w:sz w:val="18"/>
                <w:szCs w:val="18"/>
              </w:rPr>
            </w:pPr>
            <w:r>
              <w:rPr>
                <w:lang w:val="en-US"/>
              </w:rPr>
              <w:t xml:space="preserve">4.1 </w:t>
            </w:r>
            <w:r w:rsidRPr="00742E08">
              <w:rPr>
                <w:lang w:val="en-US"/>
              </w:rPr>
              <w:t>Increase the scores of the Public Expenditure and Financial Account</w:t>
            </w:r>
            <w:r w:rsidRPr="00742E08">
              <w:rPr>
                <w:lang w:val="en-US"/>
              </w:rPr>
              <w:t>a</w:t>
            </w:r>
            <w:r w:rsidRPr="00742E08">
              <w:rPr>
                <w:lang w:val="en-US"/>
              </w:rPr>
              <w:t>bility (PEFA) Asses</w:t>
            </w:r>
            <w:r w:rsidRPr="00742E08">
              <w:rPr>
                <w:lang w:val="en-US"/>
              </w:rPr>
              <w:t>s</w:t>
            </w:r>
            <w:r w:rsidRPr="00742E08">
              <w:rPr>
                <w:lang w:val="en-US"/>
              </w:rPr>
              <w:t>ment 2010 related to competition, value for money and control for non-salary expenditure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CCFFFF"/>
          </w:tcPr>
          <w:p w:rsidR="00755866" w:rsidRPr="00D066D7" w:rsidRDefault="00755866" w:rsidP="004D7436">
            <w:pPr>
              <w:rPr>
                <w:lang w:val="en-US"/>
              </w:rPr>
            </w:pPr>
            <w:r w:rsidRPr="00D066D7">
              <w:rPr>
                <w:lang w:val="en-US"/>
              </w:rPr>
              <w:t>4.2 Decrease the cost of goods and services in relation to the GDP</w:t>
            </w:r>
          </w:p>
        </w:tc>
      </w:tr>
      <w:tr w:rsidR="00755866" w:rsidRPr="00755866" w:rsidTr="00C34C2B">
        <w:trPr>
          <w:gridAfter w:val="2"/>
          <w:wAfter w:w="2943" w:type="dxa"/>
          <w:trHeight w:val="90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5866" w:rsidRPr="00755866" w:rsidRDefault="00755866" w:rsidP="00AA715F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755866">
              <w:rPr>
                <w:bCs/>
                <w:sz w:val="18"/>
                <w:szCs w:val="18"/>
                <w:lang w:val="fr-CA"/>
              </w:rPr>
              <w:sym w:font="Wingdings" w:char="F0E9"/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5866" w:rsidRPr="00755866" w:rsidRDefault="00755866" w:rsidP="00AA715F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5866" w:rsidRPr="00755866" w:rsidRDefault="00755866" w:rsidP="00AA715F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5866" w:rsidRPr="00755866" w:rsidRDefault="00755866" w:rsidP="00AA715F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5866" w:rsidRPr="00755866" w:rsidRDefault="00755866" w:rsidP="00AA715F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5866" w:rsidRPr="00755866" w:rsidRDefault="00755866" w:rsidP="00AA715F">
            <w:pPr>
              <w:jc w:val="center"/>
              <w:rPr>
                <w:sz w:val="18"/>
                <w:szCs w:val="18"/>
                <w:lang w:val="fr-CA"/>
              </w:rPr>
            </w:pPr>
          </w:p>
        </w:tc>
      </w:tr>
      <w:tr w:rsidR="00755866" w:rsidRPr="00755866" w:rsidTr="00C34C2B">
        <w:trPr>
          <w:cantSplit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5866" w:rsidRPr="00755866" w:rsidRDefault="00755866" w:rsidP="00AA715F">
            <w:pPr>
              <w:pStyle w:val="Heading2"/>
              <w:rPr>
                <w:rFonts w:ascii="Times New Roman" w:hAnsi="Times New Roman" w:cs="Times New Roman"/>
                <w:sz w:val="18"/>
                <w:szCs w:val="18"/>
              </w:rPr>
            </w:pPr>
            <w:r w:rsidRPr="00755866">
              <w:rPr>
                <w:rFonts w:ascii="Times New Roman" w:hAnsi="Times New Roman" w:cs="Times New Roman"/>
                <w:sz w:val="18"/>
                <w:szCs w:val="18"/>
              </w:rPr>
              <w:t>OUTPUTS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755866" w:rsidRPr="00755866" w:rsidRDefault="00755866" w:rsidP="00D77DC0">
            <w:pPr>
              <w:pStyle w:val="TableText"/>
              <w:spacing w:after="0" w:line="240" w:lineRule="auto"/>
              <w:ind w:left="0" w:right="0"/>
              <w:rPr>
                <w:rFonts w:ascii="Times New Roman" w:hAnsi="Times New Roman"/>
                <w:sz w:val="18"/>
                <w:szCs w:val="18"/>
              </w:rPr>
            </w:pPr>
            <w:r w:rsidRPr="00755866">
              <w:rPr>
                <w:rFonts w:ascii="Times New Roman" w:hAnsi="Times New Roman"/>
                <w:sz w:val="18"/>
                <w:szCs w:val="18"/>
              </w:rPr>
              <w:t>1.1 New procedures (ma</w:t>
            </w:r>
            <w:r w:rsidRPr="00755866">
              <w:rPr>
                <w:rFonts w:ascii="Times New Roman" w:hAnsi="Times New Roman"/>
                <w:sz w:val="18"/>
                <w:szCs w:val="18"/>
              </w:rPr>
              <w:t>n</w:t>
            </w:r>
            <w:r w:rsidRPr="00755866">
              <w:rPr>
                <w:rFonts w:ascii="Times New Roman" w:hAnsi="Times New Roman"/>
                <w:sz w:val="18"/>
                <w:szCs w:val="18"/>
              </w:rPr>
              <w:t>agement model) for mon</w:t>
            </w:r>
            <w:r w:rsidRPr="00755866">
              <w:rPr>
                <w:rFonts w:ascii="Times New Roman" w:hAnsi="Times New Roman"/>
                <w:sz w:val="18"/>
                <w:szCs w:val="18"/>
              </w:rPr>
              <w:t>i</w:t>
            </w:r>
            <w:r w:rsidRPr="00755866">
              <w:rPr>
                <w:rFonts w:ascii="Times New Roman" w:hAnsi="Times New Roman"/>
                <w:sz w:val="18"/>
                <w:szCs w:val="18"/>
              </w:rPr>
              <w:t>toring the implementation of priority projects and programs implemented</w:t>
            </w:r>
          </w:p>
          <w:p w:rsidR="00755866" w:rsidRPr="00755866" w:rsidRDefault="00755866" w:rsidP="00D77DC0">
            <w:pPr>
              <w:pStyle w:val="TableText"/>
              <w:spacing w:after="0" w:line="240" w:lineRule="auto"/>
              <w:ind w:left="0" w:right="0"/>
              <w:rPr>
                <w:rFonts w:ascii="Times New Roman" w:hAnsi="Times New Roman"/>
                <w:sz w:val="18"/>
                <w:szCs w:val="18"/>
              </w:rPr>
            </w:pPr>
          </w:p>
          <w:p w:rsidR="00755866" w:rsidRPr="00755866" w:rsidRDefault="00755866" w:rsidP="00D77DC0">
            <w:pPr>
              <w:pStyle w:val="TableText"/>
              <w:spacing w:after="0" w:line="240" w:lineRule="auto"/>
              <w:ind w:left="0" w:right="0"/>
              <w:rPr>
                <w:rFonts w:ascii="Times New Roman" w:hAnsi="Times New Roman"/>
                <w:sz w:val="18"/>
                <w:szCs w:val="18"/>
              </w:rPr>
            </w:pPr>
            <w:r w:rsidRPr="00755866">
              <w:rPr>
                <w:rFonts w:ascii="Times New Roman" w:hAnsi="Times New Roman"/>
                <w:sz w:val="18"/>
                <w:szCs w:val="18"/>
              </w:rPr>
              <w:t>1.2 ICT system for mon</w:t>
            </w:r>
            <w:r w:rsidRPr="00755866">
              <w:rPr>
                <w:rFonts w:ascii="Times New Roman" w:hAnsi="Times New Roman"/>
                <w:sz w:val="18"/>
                <w:szCs w:val="18"/>
              </w:rPr>
              <w:t>i</w:t>
            </w:r>
            <w:r w:rsidRPr="00755866">
              <w:rPr>
                <w:rFonts w:ascii="Times New Roman" w:hAnsi="Times New Roman"/>
                <w:sz w:val="18"/>
                <w:szCs w:val="18"/>
              </w:rPr>
              <w:t>toring government priority projects and programs across government impl</w:t>
            </w:r>
            <w:r w:rsidRPr="00755866">
              <w:rPr>
                <w:rFonts w:ascii="Times New Roman" w:hAnsi="Times New Roman"/>
                <w:sz w:val="18"/>
                <w:szCs w:val="18"/>
              </w:rPr>
              <w:t>e</w:t>
            </w:r>
            <w:r w:rsidRPr="00755866">
              <w:rPr>
                <w:rFonts w:ascii="Times New Roman" w:hAnsi="Times New Roman"/>
                <w:sz w:val="18"/>
                <w:szCs w:val="18"/>
              </w:rPr>
              <w:t>mented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755866" w:rsidRPr="00755866" w:rsidRDefault="00755866" w:rsidP="00F224E8">
            <w:pPr>
              <w:ind w:left="-18"/>
              <w:rPr>
                <w:i/>
                <w:sz w:val="18"/>
                <w:szCs w:val="18"/>
              </w:rPr>
            </w:pPr>
            <w:r w:rsidRPr="00755866">
              <w:rPr>
                <w:sz w:val="18"/>
                <w:szCs w:val="18"/>
              </w:rPr>
              <w:t>1.3 Training program to strengthen capac</w:t>
            </w:r>
            <w:r w:rsidRPr="00755866">
              <w:rPr>
                <w:sz w:val="18"/>
                <w:szCs w:val="18"/>
              </w:rPr>
              <w:t>i</w:t>
            </w:r>
            <w:r w:rsidRPr="00755866">
              <w:rPr>
                <w:sz w:val="18"/>
                <w:szCs w:val="18"/>
              </w:rPr>
              <w:t>ty of a central team in charge of running the management model established.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755866" w:rsidRDefault="00C34C2B" w:rsidP="00C34C2B">
            <w:pPr>
              <w:ind w:left="-18"/>
              <w:rPr>
                <w:sz w:val="18"/>
                <w:szCs w:val="18"/>
              </w:rPr>
            </w:pPr>
            <w:r w:rsidRPr="00C34C2B">
              <w:rPr>
                <w:sz w:val="18"/>
                <w:szCs w:val="18"/>
              </w:rPr>
              <w:t>2.1 Draft Statistics Act , which will guide the mo</w:t>
            </w:r>
            <w:r w:rsidRPr="00C34C2B">
              <w:rPr>
                <w:sz w:val="18"/>
                <w:szCs w:val="18"/>
              </w:rPr>
              <w:t>d</w:t>
            </w:r>
            <w:r w:rsidRPr="00C34C2B">
              <w:rPr>
                <w:sz w:val="18"/>
                <w:szCs w:val="18"/>
              </w:rPr>
              <w:t>ernization of the NSS pr</w:t>
            </w:r>
            <w:r w:rsidRPr="00C34C2B">
              <w:rPr>
                <w:sz w:val="18"/>
                <w:szCs w:val="18"/>
              </w:rPr>
              <w:t>e</w:t>
            </w:r>
            <w:r w:rsidRPr="00C34C2B">
              <w:rPr>
                <w:sz w:val="18"/>
                <w:szCs w:val="18"/>
              </w:rPr>
              <w:t>pared.</w:t>
            </w:r>
          </w:p>
          <w:p w:rsidR="00C34C2B" w:rsidRDefault="00C34C2B" w:rsidP="00C34C2B">
            <w:pPr>
              <w:ind w:left="-18"/>
              <w:rPr>
                <w:sz w:val="18"/>
                <w:szCs w:val="18"/>
              </w:rPr>
            </w:pPr>
          </w:p>
          <w:p w:rsidR="00C34C2B" w:rsidRDefault="00C34C2B" w:rsidP="00C34C2B">
            <w:pPr>
              <w:ind w:left="-18"/>
              <w:rPr>
                <w:lang w:val="en-US"/>
              </w:rPr>
            </w:pPr>
            <w:r>
              <w:rPr>
                <w:lang w:val="en-US"/>
              </w:rPr>
              <w:t xml:space="preserve">2.2 </w:t>
            </w:r>
            <w:r w:rsidRPr="005B0209">
              <w:rPr>
                <w:lang w:val="en-US"/>
              </w:rPr>
              <w:t>National Strategy for Statistical Develo</w:t>
            </w:r>
            <w:r w:rsidRPr="005B0209">
              <w:rPr>
                <w:lang w:val="en-US"/>
              </w:rPr>
              <w:t>p</w:t>
            </w:r>
            <w:r w:rsidRPr="005B0209">
              <w:rPr>
                <w:lang w:val="en-US"/>
              </w:rPr>
              <w:t>ment (NSDS)</w:t>
            </w:r>
            <w:r>
              <w:rPr>
                <w:lang w:val="en-US"/>
              </w:rPr>
              <w:t xml:space="preserve"> impl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mented.</w:t>
            </w:r>
          </w:p>
          <w:p w:rsidR="00C34C2B" w:rsidRDefault="00C34C2B" w:rsidP="00C34C2B">
            <w:pPr>
              <w:ind w:left="-18"/>
              <w:rPr>
                <w:lang w:val="en-US"/>
              </w:rPr>
            </w:pPr>
          </w:p>
          <w:p w:rsidR="00C34C2B" w:rsidRDefault="00C34C2B" w:rsidP="00C34C2B">
            <w:pPr>
              <w:ind w:left="-18"/>
              <w:rPr>
                <w:sz w:val="18"/>
                <w:szCs w:val="18"/>
              </w:rPr>
            </w:pPr>
            <w:r>
              <w:rPr>
                <w:lang w:val="en-US"/>
              </w:rPr>
              <w:t>2.3 N</w:t>
            </w:r>
            <w:r w:rsidRPr="005B0209">
              <w:rPr>
                <w:lang w:val="en-US"/>
              </w:rPr>
              <w:t>ew business pr</w:t>
            </w:r>
            <w:r w:rsidRPr="005B0209">
              <w:rPr>
                <w:lang w:val="en-US"/>
              </w:rPr>
              <w:t>o</w:t>
            </w:r>
            <w:r w:rsidRPr="005B0209">
              <w:rPr>
                <w:lang w:val="en-US"/>
              </w:rPr>
              <w:t>cesses including: the new organizational structure of the Depar</w:t>
            </w:r>
            <w:r w:rsidRPr="005B0209">
              <w:rPr>
                <w:lang w:val="en-US"/>
              </w:rPr>
              <w:t>t</w:t>
            </w:r>
            <w:r w:rsidRPr="005B0209">
              <w:rPr>
                <w:lang w:val="en-US"/>
              </w:rPr>
              <w:t>ment of Statistic (DoS), staffing, IT, workflow and administrative pr</w:t>
            </w:r>
            <w:r w:rsidRPr="005B0209">
              <w:rPr>
                <w:lang w:val="en-US"/>
              </w:rPr>
              <w:t>o</w:t>
            </w:r>
            <w:r w:rsidRPr="005B0209">
              <w:rPr>
                <w:lang w:val="en-US"/>
              </w:rPr>
              <w:t>cedures</w:t>
            </w:r>
            <w:r>
              <w:rPr>
                <w:lang w:val="en-US"/>
              </w:rPr>
              <w:t xml:space="preserve"> implemented.</w:t>
            </w:r>
          </w:p>
          <w:p w:rsidR="00755866" w:rsidRPr="00755866" w:rsidRDefault="00755866" w:rsidP="00813E66">
            <w:pPr>
              <w:ind w:left="-18"/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CCFFCC"/>
          </w:tcPr>
          <w:p w:rsidR="00755866" w:rsidRDefault="00C34C2B" w:rsidP="00690419">
            <w:pPr>
              <w:ind w:left="-18"/>
              <w:rPr>
                <w:lang w:val="en-US"/>
              </w:rPr>
            </w:pPr>
            <w:r>
              <w:rPr>
                <w:lang w:val="en-US"/>
              </w:rPr>
              <w:t>2.4 I</w:t>
            </w:r>
            <w:r w:rsidRPr="000C383C">
              <w:rPr>
                <w:lang w:val="en-US"/>
              </w:rPr>
              <w:t>nstitutional trai</w:t>
            </w:r>
            <w:r w:rsidRPr="000C383C">
              <w:rPr>
                <w:lang w:val="en-US"/>
              </w:rPr>
              <w:t>n</w:t>
            </w:r>
            <w:r w:rsidRPr="000C383C">
              <w:rPr>
                <w:lang w:val="en-US"/>
              </w:rPr>
              <w:t>ing program for both the DoS and the NSS</w:t>
            </w:r>
            <w:r>
              <w:rPr>
                <w:lang w:val="en-US"/>
              </w:rPr>
              <w:t xml:space="preserve"> implemented.</w:t>
            </w:r>
          </w:p>
          <w:p w:rsidR="00C34C2B" w:rsidRDefault="00C34C2B" w:rsidP="00690419">
            <w:pPr>
              <w:ind w:left="-18"/>
              <w:rPr>
                <w:lang w:val="en-US"/>
              </w:rPr>
            </w:pPr>
          </w:p>
          <w:p w:rsidR="00C34C2B" w:rsidRPr="00755866" w:rsidRDefault="00C34C2B" w:rsidP="00690419">
            <w:pPr>
              <w:ind w:left="-18"/>
              <w:rPr>
                <w:sz w:val="18"/>
                <w:szCs w:val="18"/>
              </w:rPr>
            </w:pPr>
            <w:r>
              <w:rPr>
                <w:lang w:val="en-US"/>
              </w:rPr>
              <w:t>2.5 I</w:t>
            </w:r>
            <w:r w:rsidRPr="000C383C">
              <w:rPr>
                <w:lang w:val="en-US"/>
              </w:rPr>
              <w:t>nformation sy</w:t>
            </w:r>
            <w:r w:rsidRPr="000C383C">
              <w:rPr>
                <w:lang w:val="en-US"/>
              </w:rPr>
              <w:t>s</w:t>
            </w:r>
            <w:r w:rsidRPr="000C383C">
              <w:rPr>
                <w:lang w:val="en-US"/>
              </w:rPr>
              <w:t>tem, automating the entire processes of generating and di</w:t>
            </w:r>
            <w:r w:rsidRPr="000C383C">
              <w:rPr>
                <w:lang w:val="en-US"/>
              </w:rPr>
              <w:t>s</w:t>
            </w:r>
            <w:r w:rsidRPr="000C383C">
              <w:rPr>
                <w:lang w:val="en-US"/>
              </w:rPr>
              <w:t>seminating info</w:t>
            </w:r>
            <w:r w:rsidRPr="000C383C">
              <w:rPr>
                <w:lang w:val="en-US"/>
              </w:rPr>
              <w:t>r</w:t>
            </w:r>
            <w:r w:rsidRPr="000C383C">
              <w:rPr>
                <w:lang w:val="en-US"/>
              </w:rPr>
              <w:t>mation</w:t>
            </w:r>
            <w:r>
              <w:rPr>
                <w:lang w:val="en-US"/>
              </w:rPr>
              <w:t xml:space="preserve"> implemented.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shd w:val="clear" w:color="auto" w:fill="CCFFCC"/>
          </w:tcPr>
          <w:p w:rsidR="00755866" w:rsidRDefault="00C34C2B" w:rsidP="0025237B">
            <w:pPr>
              <w:ind w:left="-18"/>
              <w:rPr>
                <w:lang w:val="en-US"/>
              </w:rPr>
            </w:pPr>
            <w:r>
              <w:rPr>
                <w:lang w:val="en-US"/>
              </w:rPr>
              <w:t>3.1 Needs</w:t>
            </w:r>
            <w:r w:rsidRPr="001B7C28">
              <w:rPr>
                <w:lang w:val="en-US"/>
              </w:rPr>
              <w:t xml:space="preserve"> assessment, including medium-term framework, budget formulation, budget execution, cash and debt management, a</w:t>
            </w:r>
            <w:r w:rsidRPr="001B7C28">
              <w:rPr>
                <w:lang w:val="en-US"/>
              </w:rPr>
              <w:t>c</w:t>
            </w:r>
            <w:r w:rsidRPr="001B7C28">
              <w:rPr>
                <w:lang w:val="en-US"/>
              </w:rPr>
              <w:t>counting, internal control, external audit, reporting and ICT</w:t>
            </w:r>
            <w:r>
              <w:rPr>
                <w:lang w:val="en-US"/>
              </w:rPr>
              <w:t xml:space="preserve"> prepared</w:t>
            </w:r>
          </w:p>
          <w:p w:rsidR="00C34C2B" w:rsidRDefault="00C34C2B" w:rsidP="0025237B">
            <w:pPr>
              <w:ind w:left="-18"/>
              <w:rPr>
                <w:lang w:val="en-US"/>
              </w:rPr>
            </w:pPr>
            <w:r>
              <w:rPr>
                <w:lang w:val="en-US"/>
              </w:rPr>
              <w:t>3.2 R</w:t>
            </w:r>
            <w:r w:rsidRPr="001B7C28">
              <w:rPr>
                <w:lang w:val="en-US"/>
              </w:rPr>
              <w:t>ecommendations to be pr</w:t>
            </w:r>
            <w:r w:rsidRPr="001B7C28">
              <w:rPr>
                <w:lang w:val="en-US"/>
              </w:rPr>
              <w:t>o</w:t>
            </w:r>
            <w:r w:rsidRPr="001B7C28">
              <w:rPr>
                <w:lang w:val="en-US"/>
              </w:rPr>
              <w:t>posed by the needs assessment, manage the full lifespan of the project, and create change ma</w:t>
            </w:r>
            <w:r w:rsidRPr="001B7C28">
              <w:rPr>
                <w:lang w:val="en-US"/>
              </w:rPr>
              <w:t>n</w:t>
            </w:r>
            <w:r w:rsidRPr="001B7C28">
              <w:rPr>
                <w:lang w:val="en-US"/>
              </w:rPr>
              <w:t>agement plan</w:t>
            </w:r>
            <w:r>
              <w:rPr>
                <w:lang w:val="en-US"/>
              </w:rPr>
              <w:t xml:space="preserve"> implemented</w:t>
            </w:r>
          </w:p>
          <w:p w:rsidR="00C34C2B" w:rsidRPr="00C34C2B" w:rsidRDefault="00C34C2B" w:rsidP="00C34C2B">
            <w:pPr>
              <w:ind w:left="-18"/>
              <w:rPr>
                <w:lang w:val="en-US"/>
              </w:rPr>
            </w:pPr>
            <w:r>
              <w:rPr>
                <w:lang w:val="en-US"/>
              </w:rPr>
              <w:t>3.3 F</w:t>
            </w:r>
            <w:r w:rsidRPr="001B7C28">
              <w:rPr>
                <w:lang w:val="en-US"/>
              </w:rPr>
              <w:t>unctional and technical spec</w:t>
            </w:r>
            <w:r w:rsidRPr="001B7C28">
              <w:rPr>
                <w:lang w:val="en-US"/>
              </w:rPr>
              <w:t>i</w:t>
            </w:r>
            <w:r w:rsidRPr="001B7C28">
              <w:rPr>
                <w:lang w:val="en-US"/>
              </w:rPr>
              <w:t>fication (including review and re</w:t>
            </w:r>
            <w:r w:rsidRPr="001B7C28">
              <w:rPr>
                <w:lang w:val="en-US"/>
              </w:rPr>
              <w:t>c</w:t>
            </w:r>
            <w:r w:rsidRPr="001B7C28">
              <w:rPr>
                <w:lang w:val="en-US"/>
              </w:rPr>
              <w:t>ommendations of changes needed to MoF Data Center regarding su</w:t>
            </w:r>
            <w:r w:rsidRPr="001B7C28">
              <w:rPr>
                <w:lang w:val="en-US"/>
              </w:rPr>
              <w:t>s</w:t>
            </w:r>
            <w:r w:rsidRPr="001B7C28">
              <w:rPr>
                <w:lang w:val="en-US"/>
              </w:rPr>
              <w:t xml:space="preserve">tainability and capacity) of a new Integrated Financing Management Information System (IFMIS) </w:t>
            </w:r>
            <w:r>
              <w:rPr>
                <w:lang w:val="en-US"/>
              </w:rPr>
              <w:t>pr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pared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755866" w:rsidRDefault="00C34C2B" w:rsidP="004A0EEA">
            <w:pPr>
              <w:ind w:left="-18"/>
              <w:rPr>
                <w:lang w:val="en-US"/>
              </w:rPr>
            </w:pPr>
            <w:r>
              <w:rPr>
                <w:lang w:val="en-US"/>
              </w:rPr>
              <w:t>3.4 O</w:t>
            </w:r>
            <w:r w:rsidRPr="00270417">
              <w:rPr>
                <w:lang w:val="en-US"/>
              </w:rPr>
              <w:t>ff-the-shelf hig</w:t>
            </w:r>
            <w:r w:rsidRPr="00270417">
              <w:rPr>
                <w:lang w:val="en-US"/>
              </w:rPr>
              <w:t>h</w:t>
            </w:r>
            <w:r w:rsidRPr="00270417">
              <w:rPr>
                <w:lang w:val="en-US"/>
              </w:rPr>
              <w:t>ly customizable IFMIS including full standard functionality, in add</w:t>
            </w:r>
            <w:r w:rsidRPr="00270417">
              <w:rPr>
                <w:lang w:val="en-US"/>
              </w:rPr>
              <w:t>i</w:t>
            </w:r>
            <w:r w:rsidRPr="00270417">
              <w:rPr>
                <w:lang w:val="en-US"/>
              </w:rPr>
              <w:t>tion to the modules for  budget formulation and payroll/HR</w:t>
            </w:r>
            <w:r>
              <w:rPr>
                <w:lang w:val="en-US"/>
              </w:rPr>
              <w:t xml:space="preserve"> i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plemented</w:t>
            </w:r>
          </w:p>
          <w:p w:rsidR="00C34C2B" w:rsidRPr="00755866" w:rsidRDefault="00C34C2B" w:rsidP="004A0EEA">
            <w:pPr>
              <w:ind w:left="-18"/>
              <w:rPr>
                <w:i/>
                <w:sz w:val="18"/>
                <w:szCs w:val="18"/>
              </w:rPr>
            </w:pPr>
            <w:r>
              <w:rPr>
                <w:lang w:val="en-US"/>
              </w:rPr>
              <w:t xml:space="preserve">3.5 </w:t>
            </w:r>
            <w:r w:rsidRPr="00270417">
              <w:rPr>
                <w:lang w:val="en-US"/>
              </w:rPr>
              <w:t>Masterpiece sy</w:t>
            </w:r>
            <w:r w:rsidRPr="00270417">
              <w:rPr>
                <w:lang w:val="en-US"/>
              </w:rPr>
              <w:t>s</w:t>
            </w:r>
            <w:r w:rsidRPr="00270417">
              <w:rPr>
                <w:lang w:val="en-US"/>
              </w:rPr>
              <w:t>tem current version</w:t>
            </w:r>
            <w:r>
              <w:rPr>
                <w:lang w:val="en-US"/>
              </w:rPr>
              <w:t xml:space="preserve"> upgraded</w:t>
            </w:r>
            <w:r w:rsidRPr="00270417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including </w:t>
            </w:r>
            <w:r w:rsidRPr="00270417">
              <w:rPr>
                <w:lang w:val="en-US"/>
              </w:rPr>
              <w:t>new Charter of A</w:t>
            </w:r>
            <w:r w:rsidRPr="00270417">
              <w:rPr>
                <w:lang w:val="en-US"/>
              </w:rPr>
              <w:t>c</w:t>
            </w:r>
            <w:r w:rsidRPr="00270417">
              <w:rPr>
                <w:lang w:val="en-US"/>
              </w:rPr>
              <w:t>counts, and address key functionality and reporting gaps</w:t>
            </w:r>
            <w:r>
              <w:rPr>
                <w:lang w:val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755866" w:rsidRDefault="00C34C2B" w:rsidP="00860C33">
            <w:pPr>
              <w:pStyle w:val="TableText"/>
              <w:spacing w:after="0" w:line="240" w:lineRule="auto"/>
              <w:ind w:left="0" w:right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4.1 P</w:t>
            </w:r>
            <w:r w:rsidRPr="00270417">
              <w:rPr>
                <w:rFonts w:ascii="Times New Roman" w:hAnsi="Times New Roman"/>
                <w:sz w:val="20"/>
                <w:lang w:val="en-US"/>
              </w:rPr>
              <w:t>roposal for a pr</w:t>
            </w:r>
            <w:r w:rsidRPr="00270417">
              <w:rPr>
                <w:rFonts w:ascii="Times New Roman" w:hAnsi="Times New Roman"/>
                <w:sz w:val="20"/>
                <w:lang w:val="en-US"/>
              </w:rPr>
              <w:t>o</w:t>
            </w:r>
            <w:r w:rsidRPr="00270417">
              <w:rPr>
                <w:rFonts w:ascii="Times New Roman" w:hAnsi="Times New Roman"/>
                <w:sz w:val="20"/>
                <w:lang w:val="en-US"/>
              </w:rPr>
              <w:t>curement business mo</w:t>
            </w:r>
            <w:r w:rsidRPr="00270417">
              <w:rPr>
                <w:rFonts w:ascii="Times New Roman" w:hAnsi="Times New Roman"/>
                <w:sz w:val="20"/>
                <w:lang w:val="en-US"/>
              </w:rPr>
              <w:t>d</w:t>
            </w:r>
            <w:r w:rsidRPr="00270417">
              <w:rPr>
                <w:rFonts w:ascii="Times New Roman" w:hAnsi="Times New Roman"/>
                <w:sz w:val="20"/>
                <w:lang w:val="en-US"/>
              </w:rPr>
              <w:t>el, including an action plan for its implement</w:t>
            </w:r>
            <w:r w:rsidRPr="00270417">
              <w:rPr>
                <w:rFonts w:ascii="Times New Roman" w:hAnsi="Times New Roman"/>
                <w:sz w:val="20"/>
                <w:lang w:val="en-US"/>
              </w:rPr>
              <w:t>a</w:t>
            </w:r>
            <w:r w:rsidRPr="00270417">
              <w:rPr>
                <w:rFonts w:ascii="Times New Roman" w:hAnsi="Times New Roman"/>
                <w:sz w:val="20"/>
                <w:lang w:val="en-US"/>
              </w:rPr>
              <w:t>tion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prepared</w:t>
            </w:r>
          </w:p>
          <w:p w:rsidR="00C34C2B" w:rsidRPr="00755866" w:rsidRDefault="00C34C2B" w:rsidP="00860C33">
            <w:pPr>
              <w:pStyle w:val="TableText"/>
              <w:spacing w:after="0" w:line="240" w:lineRule="auto"/>
              <w:ind w:left="0"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4.2 N</w:t>
            </w:r>
            <w:r w:rsidRPr="005D5371">
              <w:rPr>
                <w:rFonts w:ascii="Times New Roman" w:hAnsi="Times New Roman"/>
                <w:sz w:val="20"/>
                <w:lang w:val="en-US"/>
              </w:rPr>
              <w:t>ew business model, including the establis</w:t>
            </w:r>
            <w:r w:rsidRPr="005D5371">
              <w:rPr>
                <w:rFonts w:ascii="Times New Roman" w:hAnsi="Times New Roman"/>
                <w:sz w:val="20"/>
                <w:lang w:val="en-US"/>
              </w:rPr>
              <w:t>h</w:t>
            </w:r>
            <w:r w:rsidRPr="005D5371">
              <w:rPr>
                <w:rFonts w:ascii="Times New Roman" w:hAnsi="Times New Roman"/>
                <w:sz w:val="20"/>
                <w:lang w:val="en-US"/>
              </w:rPr>
              <w:t>ment of a new Public Procurement Unit, the new procedures, the i</w:t>
            </w:r>
            <w:r w:rsidRPr="005D5371">
              <w:rPr>
                <w:rFonts w:ascii="Times New Roman" w:hAnsi="Times New Roman"/>
                <w:sz w:val="20"/>
                <w:lang w:val="en-US"/>
              </w:rPr>
              <w:t>n</w:t>
            </w:r>
            <w:r w:rsidRPr="005D5371">
              <w:rPr>
                <w:rFonts w:ascii="Times New Roman" w:hAnsi="Times New Roman"/>
                <w:sz w:val="20"/>
                <w:lang w:val="en-US"/>
              </w:rPr>
              <w:t>struments according to the new Financial Act (regulations, standard bidding documents, manuals, training and change management plan), and the manag</w:t>
            </w:r>
            <w:r w:rsidRPr="005D5371">
              <w:rPr>
                <w:rFonts w:ascii="Times New Roman" w:hAnsi="Times New Roman"/>
                <w:sz w:val="20"/>
                <w:lang w:val="en-US"/>
              </w:rPr>
              <w:t>e</w:t>
            </w:r>
            <w:r w:rsidRPr="005D5371">
              <w:rPr>
                <w:rFonts w:ascii="Times New Roman" w:hAnsi="Times New Roman"/>
                <w:sz w:val="20"/>
                <w:lang w:val="en-US"/>
              </w:rPr>
              <w:t>ment of physical and technological infrastru</w:t>
            </w:r>
            <w:r w:rsidRPr="005D5371">
              <w:rPr>
                <w:rFonts w:ascii="Times New Roman" w:hAnsi="Times New Roman"/>
                <w:sz w:val="20"/>
                <w:lang w:val="en-US"/>
              </w:rPr>
              <w:t>c</w:t>
            </w:r>
            <w:r w:rsidRPr="005D5371">
              <w:rPr>
                <w:rFonts w:ascii="Times New Roman" w:hAnsi="Times New Roman"/>
                <w:sz w:val="20"/>
                <w:lang w:val="en-US"/>
              </w:rPr>
              <w:t>ture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implemented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CCFFCC"/>
          </w:tcPr>
          <w:p w:rsidR="00755866" w:rsidRDefault="00C34C2B" w:rsidP="000C3849">
            <w:pPr>
              <w:ind w:left="-18"/>
              <w:rPr>
                <w:lang w:val="en-US"/>
              </w:rPr>
            </w:pPr>
            <w:r>
              <w:rPr>
                <w:lang w:val="en-US"/>
              </w:rPr>
              <w:t>4.3 T</w:t>
            </w:r>
            <w:r w:rsidRPr="005D5371">
              <w:rPr>
                <w:lang w:val="en-US"/>
              </w:rPr>
              <w:t>echnical specific</w:t>
            </w:r>
            <w:r w:rsidRPr="005D5371">
              <w:rPr>
                <w:lang w:val="en-US"/>
              </w:rPr>
              <w:t>a</w:t>
            </w:r>
            <w:r w:rsidRPr="005D5371">
              <w:rPr>
                <w:lang w:val="en-US"/>
              </w:rPr>
              <w:t>tion of an e-procurement system and the project ove</w:t>
            </w:r>
            <w:r w:rsidRPr="005D5371">
              <w:rPr>
                <w:lang w:val="en-US"/>
              </w:rPr>
              <w:t>r</w:t>
            </w:r>
            <w:r w:rsidRPr="005D5371">
              <w:rPr>
                <w:lang w:val="en-US"/>
              </w:rPr>
              <w:t>sight and quality assu</w:t>
            </w:r>
            <w:r w:rsidRPr="005D5371">
              <w:rPr>
                <w:lang w:val="en-US"/>
              </w:rPr>
              <w:t>r</w:t>
            </w:r>
            <w:r w:rsidRPr="005D5371">
              <w:rPr>
                <w:lang w:val="en-US"/>
              </w:rPr>
              <w:t>ance of the implement</w:t>
            </w:r>
            <w:r w:rsidRPr="005D5371">
              <w:rPr>
                <w:lang w:val="en-US"/>
              </w:rPr>
              <w:t>a</w:t>
            </w:r>
            <w:r w:rsidRPr="005D5371">
              <w:rPr>
                <w:lang w:val="en-US"/>
              </w:rPr>
              <w:t>tion</w:t>
            </w:r>
            <w:r>
              <w:rPr>
                <w:lang w:val="en-US"/>
              </w:rPr>
              <w:t xml:space="preserve"> prepared.</w:t>
            </w:r>
          </w:p>
          <w:p w:rsidR="00C34C2B" w:rsidRDefault="00C34C2B" w:rsidP="000C3849">
            <w:pPr>
              <w:ind w:left="-18"/>
              <w:rPr>
                <w:lang w:val="en-US"/>
              </w:rPr>
            </w:pPr>
            <w:r>
              <w:rPr>
                <w:lang w:val="en-US"/>
              </w:rPr>
              <w:t>4.4 New e-procurement system implemented</w:t>
            </w:r>
          </w:p>
          <w:p w:rsidR="00C34C2B" w:rsidRPr="00755866" w:rsidRDefault="00C34C2B" w:rsidP="000C3849">
            <w:pPr>
              <w:ind w:left="-18"/>
              <w:rPr>
                <w:sz w:val="18"/>
                <w:szCs w:val="18"/>
              </w:rPr>
            </w:pPr>
            <w:r>
              <w:rPr>
                <w:lang w:val="en-US"/>
              </w:rPr>
              <w:t>4.5 C</w:t>
            </w:r>
            <w:r w:rsidRPr="005D5371">
              <w:rPr>
                <w:lang w:val="en-US"/>
              </w:rPr>
              <w:t>areer path for pu</w:t>
            </w:r>
            <w:r w:rsidRPr="005D5371">
              <w:rPr>
                <w:lang w:val="en-US"/>
              </w:rPr>
              <w:t>b</w:t>
            </w:r>
            <w:r w:rsidRPr="005D5371">
              <w:rPr>
                <w:lang w:val="en-US"/>
              </w:rPr>
              <w:t>lic procurement off</w:t>
            </w:r>
            <w:r w:rsidRPr="005D5371">
              <w:rPr>
                <w:lang w:val="en-US"/>
              </w:rPr>
              <w:t>i</w:t>
            </w:r>
            <w:r w:rsidRPr="005D5371">
              <w:rPr>
                <w:lang w:val="en-US"/>
              </w:rPr>
              <w:t>cials, including a pe</w:t>
            </w:r>
            <w:r w:rsidRPr="005D5371">
              <w:rPr>
                <w:lang w:val="en-US"/>
              </w:rPr>
              <w:t>r</w:t>
            </w:r>
            <w:r w:rsidRPr="005D5371">
              <w:rPr>
                <w:lang w:val="en-US"/>
              </w:rPr>
              <w:t>manent training pr</w:t>
            </w:r>
            <w:r w:rsidRPr="005D5371">
              <w:rPr>
                <w:lang w:val="en-US"/>
              </w:rPr>
              <w:t>o</w:t>
            </w:r>
            <w:r w:rsidRPr="005D5371">
              <w:rPr>
                <w:lang w:val="en-US"/>
              </w:rPr>
              <w:t>gram</w:t>
            </w:r>
            <w:r>
              <w:rPr>
                <w:lang w:val="en-US"/>
              </w:rPr>
              <w:t xml:space="preserve"> implemented</w:t>
            </w:r>
          </w:p>
        </w:tc>
      </w:tr>
    </w:tbl>
    <w:p w:rsidR="00C513ED" w:rsidRDefault="00C513ED">
      <w:pPr>
        <w:rPr>
          <w:rFonts w:ascii="Arial" w:hAnsi="Arial" w:cs="Arial"/>
          <w:bCs/>
          <w:i/>
          <w:iCs/>
          <w:sz w:val="16"/>
        </w:rPr>
      </w:pPr>
    </w:p>
    <w:sectPr w:rsidR="00C513ED" w:rsidSect="00C34C2B">
      <w:headerReference w:type="default" r:id="rId8"/>
      <w:footerReference w:type="default" r:id="rId9"/>
      <w:pgSz w:w="20160" w:h="12240" w:orient="landscape" w:code="5"/>
      <w:pgMar w:top="1008" w:right="504" w:bottom="900" w:left="504" w:header="446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AE" w:rsidRDefault="00C364AE" w:rsidP="00AA715F">
      <w:r>
        <w:separator/>
      </w:r>
    </w:p>
  </w:endnote>
  <w:endnote w:type="continuationSeparator" w:id="0">
    <w:p w:rsidR="00C364AE" w:rsidRDefault="00C364AE" w:rsidP="00AA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AE" w:rsidRDefault="00B369AE" w:rsidP="00571D9C">
    <w:pPr>
      <w:pStyle w:val="PCIMFIP"/>
      <w:tabs>
        <w:tab w:val="right" w:pos="19080"/>
      </w:tabs>
      <w:ind w:left="0"/>
      <w:rPr>
        <w:lang w:val="en-US"/>
      </w:rPr>
    </w:pPr>
    <w:r w:rsidRPr="0037572A">
      <w:rPr>
        <w:lang w:val="en-US"/>
      </w:rPr>
      <w:t>CSJP III 3 Logic Model</w:t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AE" w:rsidRDefault="00C364AE" w:rsidP="00AA715F">
      <w:r>
        <w:separator/>
      </w:r>
    </w:p>
  </w:footnote>
  <w:footnote w:type="continuationSeparator" w:id="0">
    <w:p w:rsidR="00C364AE" w:rsidRDefault="00C364AE" w:rsidP="00AA7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AE" w:rsidRPr="00DD4743" w:rsidRDefault="00B369AE">
    <w:pPr>
      <w:pStyle w:val="TitreTitle"/>
      <w:tabs>
        <w:tab w:val="left" w:pos="13680"/>
        <w:tab w:val="left" w:leader="underscore" w:pos="15840"/>
        <w:tab w:val="right" w:leader="underscore" w:pos="19080"/>
      </w:tabs>
      <w:rPr>
        <w:sz w:val="24"/>
        <w:szCs w:val="24"/>
      </w:rPr>
    </w:pPr>
    <w:r>
      <w:t>LOGIC MODEL (LM)</w:t>
    </w:r>
    <w:r>
      <w:tab/>
    </w:r>
    <w:r w:rsidRPr="00571D9C">
      <w:rPr>
        <w:sz w:val="20"/>
      </w:rPr>
      <w:t xml:space="preserve">Version:  </w:t>
    </w:r>
    <w:r w:rsidR="00AA6FCC">
      <w:rPr>
        <w:sz w:val="20"/>
      </w:rPr>
      <w:t>June</w:t>
    </w:r>
    <w:r w:rsidR="00571D9C" w:rsidRPr="00571D9C">
      <w:rPr>
        <w:sz w:val="20"/>
      </w:rPr>
      <w:t xml:space="preserve"> 2014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F4D"/>
    <w:multiLevelType w:val="hybridMultilevel"/>
    <w:tmpl w:val="634A7CAE"/>
    <w:lvl w:ilvl="0" w:tplc="21C4D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7471"/>
    <w:multiLevelType w:val="hybridMultilevel"/>
    <w:tmpl w:val="EBDE5308"/>
    <w:lvl w:ilvl="0" w:tplc="21C4D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A4390E"/>
    <w:multiLevelType w:val="hybridMultilevel"/>
    <w:tmpl w:val="2C1466CC"/>
    <w:lvl w:ilvl="0" w:tplc="10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9D"/>
    <w:rsid w:val="00001340"/>
    <w:rsid w:val="00012766"/>
    <w:rsid w:val="0004425D"/>
    <w:rsid w:val="00045F6B"/>
    <w:rsid w:val="00046F01"/>
    <w:rsid w:val="000566C5"/>
    <w:rsid w:val="0008546E"/>
    <w:rsid w:val="000862DB"/>
    <w:rsid w:val="000A452E"/>
    <w:rsid w:val="000C3849"/>
    <w:rsid w:val="000C3853"/>
    <w:rsid w:val="000C70A4"/>
    <w:rsid w:val="000D5E87"/>
    <w:rsid w:val="000F1E05"/>
    <w:rsid w:val="00127CA5"/>
    <w:rsid w:val="00132E66"/>
    <w:rsid w:val="00145EB6"/>
    <w:rsid w:val="0016387E"/>
    <w:rsid w:val="00187156"/>
    <w:rsid w:val="0018749A"/>
    <w:rsid w:val="00195BEB"/>
    <w:rsid w:val="001C65C8"/>
    <w:rsid w:val="001D55F2"/>
    <w:rsid w:val="001F49F9"/>
    <w:rsid w:val="002176AC"/>
    <w:rsid w:val="00222FFB"/>
    <w:rsid w:val="00231FDE"/>
    <w:rsid w:val="00235A1D"/>
    <w:rsid w:val="002467CF"/>
    <w:rsid w:val="00252344"/>
    <w:rsid w:val="0025237B"/>
    <w:rsid w:val="002555DD"/>
    <w:rsid w:val="00261669"/>
    <w:rsid w:val="002653E5"/>
    <w:rsid w:val="00282DAF"/>
    <w:rsid w:val="002904C3"/>
    <w:rsid w:val="0029250A"/>
    <w:rsid w:val="002A53C6"/>
    <w:rsid w:val="002A6D0A"/>
    <w:rsid w:val="002B480F"/>
    <w:rsid w:val="002B49F6"/>
    <w:rsid w:val="002B5E69"/>
    <w:rsid w:val="002C5E57"/>
    <w:rsid w:val="002D79EB"/>
    <w:rsid w:val="002E303E"/>
    <w:rsid w:val="002F196A"/>
    <w:rsid w:val="00304B30"/>
    <w:rsid w:val="00316466"/>
    <w:rsid w:val="00325B2B"/>
    <w:rsid w:val="00336131"/>
    <w:rsid w:val="00342578"/>
    <w:rsid w:val="00343594"/>
    <w:rsid w:val="0037572A"/>
    <w:rsid w:val="00380786"/>
    <w:rsid w:val="0038159E"/>
    <w:rsid w:val="003902DC"/>
    <w:rsid w:val="00392404"/>
    <w:rsid w:val="00394AD6"/>
    <w:rsid w:val="003B0FB4"/>
    <w:rsid w:val="003B1D31"/>
    <w:rsid w:val="003B476E"/>
    <w:rsid w:val="003C5C58"/>
    <w:rsid w:val="003E1B1A"/>
    <w:rsid w:val="003E2D20"/>
    <w:rsid w:val="003E4F7B"/>
    <w:rsid w:val="003F5A8E"/>
    <w:rsid w:val="00413DB6"/>
    <w:rsid w:val="00444FB1"/>
    <w:rsid w:val="00447531"/>
    <w:rsid w:val="004569C0"/>
    <w:rsid w:val="004604E3"/>
    <w:rsid w:val="00462994"/>
    <w:rsid w:val="0046450B"/>
    <w:rsid w:val="00464FD9"/>
    <w:rsid w:val="004752C1"/>
    <w:rsid w:val="00482351"/>
    <w:rsid w:val="0049166B"/>
    <w:rsid w:val="004A0EEA"/>
    <w:rsid w:val="004B1931"/>
    <w:rsid w:val="004B3C14"/>
    <w:rsid w:val="004E060A"/>
    <w:rsid w:val="004E5CCE"/>
    <w:rsid w:val="004F13E0"/>
    <w:rsid w:val="004F6159"/>
    <w:rsid w:val="00505D06"/>
    <w:rsid w:val="005108B5"/>
    <w:rsid w:val="0051225D"/>
    <w:rsid w:val="005518E0"/>
    <w:rsid w:val="00553FEC"/>
    <w:rsid w:val="00555E21"/>
    <w:rsid w:val="00571D9C"/>
    <w:rsid w:val="005765B5"/>
    <w:rsid w:val="00583716"/>
    <w:rsid w:val="005865C3"/>
    <w:rsid w:val="00586C97"/>
    <w:rsid w:val="00592947"/>
    <w:rsid w:val="00593E05"/>
    <w:rsid w:val="00594610"/>
    <w:rsid w:val="005D5EC6"/>
    <w:rsid w:val="005D5FF2"/>
    <w:rsid w:val="005E704C"/>
    <w:rsid w:val="00606730"/>
    <w:rsid w:val="00641637"/>
    <w:rsid w:val="0064458D"/>
    <w:rsid w:val="00665ED0"/>
    <w:rsid w:val="0067767A"/>
    <w:rsid w:val="00690419"/>
    <w:rsid w:val="006B0161"/>
    <w:rsid w:val="006B6D5B"/>
    <w:rsid w:val="006D6D4B"/>
    <w:rsid w:val="006F2C57"/>
    <w:rsid w:val="006F4D31"/>
    <w:rsid w:val="007102CF"/>
    <w:rsid w:val="007176D9"/>
    <w:rsid w:val="007358B9"/>
    <w:rsid w:val="00741B7A"/>
    <w:rsid w:val="00747263"/>
    <w:rsid w:val="00755866"/>
    <w:rsid w:val="00765332"/>
    <w:rsid w:val="00771B12"/>
    <w:rsid w:val="00772EE0"/>
    <w:rsid w:val="00774393"/>
    <w:rsid w:val="00784857"/>
    <w:rsid w:val="007A62F7"/>
    <w:rsid w:val="007A65DC"/>
    <w:rsid w:val="007B19F6"/>
    <w:rsid w:val="007B2BB8"/>
    <w:rsid w:val="007B420E"/>
    <w:rsid w:val="007B5D59"/>
    <w:rsid w:val="007E104D"/>
    <w:rsid w:val="007F238D"/>
    <w:rsid w:val="008000F7"/>
    <w:rsid w:val="00804ED1"/>
    <w:rsid w:val="00805FE0"/>
    <w:rsid w:val="00813E66"/>
    <w:rsid w:val="00834CDB"/>
    <w:rsid w:val="0084780B"/>
    <w:rsid w:val="00851AEB"/>
    <w:rsid w:val="00854481"/>
    <w:rsid w:val="00860C33"/>
    <w:rsid w:val="00873E2C"/>
    <w:rsid w:val="00883AD4"/>
    <w:rsid w:val="008B463A"/>
    <w:rsid w:val="008D247F"/>
    <w:rsid w:val="008D2572"/>
    <w:rsid w:val="008D790E"/>
    <w:rsid w:val="008D7EB4"/>
    <w:rsid w:val="008F6E75"/>
    <w:rsid w:val="008F74E1"/>
    <w:rsid w:val="00904751"/>
    <w:rsid w:val="00922114"/>
    <w:rsid w:val="0092379B"/>
    <w:rsid w:val="0094140C"/>
    <w:rsid w:val="00956195"/>
    <w:rsid w:val="009640B5"/>
    <w:rsid w:val="00964F6F"/>
    <w:rsid w:val="00976F7E"/>
    <w:rsid w:val="00977933"/>
    <w:rsid w:val="00982A7B"/>
    <w:rsid w:val="009A6097"/>
    <w:rsid w:val="009B39D0"/>
    <w:rsid w:val="009B3D24"/>
    <w:rsid w:val="009C1807"/>
    <w:rsid w:val="009C3E55"/>
    <w:rsid w:val="009E249D"/>
    <w:rsid w:val="009E7992"/>
    <w:rsid w:val="009F4B77"/>
    <w:rsid w:val="009F6D3D"/>
    <w:rsid w:val="009F74CE"/>
    <w:rsid w:val="00A154E2"/>
    <w:rsid w:val="00A308B3"/>
    <w:rsid w:val="00A43636"/>
    <w:rsid w:val="00A51835"/>
    <w:rsid w:val="00A54614"/>
    <w:rsid w:val="00A71BDF"/>
    <w:rsid w:val="00A76E01"/>
    <w:rsid w:val="00A83353"/>
    <w:rsid w:val="00AA3162"/>
    <w:rsid w:val="00AA51F6"/>
    <w:rsid w:val="00AA6FCC"/>
    <w:rsid w:val="00AA715F"/>
    <w:rsid w:val="00AB7399"/>
    <w:rsid w:val="00AC32AF"/>
    <w:rsid w:val="00AC4E1E"/>
    <w:rsid w:val="00AE0D4E"/>
    <w:rsid w:val="00B01708"/>
    <w:rsid w:val="00B01D78"/>
    <w:rsid w:val="00B026B8"/>
    <w:rsid w:val="00B10D91"/>
    <w:rsid w:val="00B13090"/>
    <w:rsid w:val="00B251F7"/>
    <w:rsid w:val="00B337DC"/>
    <w:rsid w:val="00B35D2C"/>
    <w:rsid w:val="00B369AE"/>
    <w:rsid w:val="00B659E3"/>
    <w:rsid w:val="00BA137B"/>
    <w:rsid w:val="00BB5505"/>
    <w:rsid w:val="00BB6CA5"/>
    <w:rsid w:val="00BD0479"/>
    <w:rsid w:val="00BE5956"/>
    <w:rsid w:val="00BE69D7"/>
    <w:rsid w:val="00BE7A8F"/>
    <w:rsid w:val="00C10BCD"/>
    <w:rsid w:val="00C166D1"/>
    <w:rsid w:val="00C34C2B"/>
    <w:rsid w:val="00C364AE"/>
    <w:rsid w:val="00C513ED"/>
    <w:rsid w:val="00C55963"/>
    <w:rsid w:val="00C62D23"/>
    <w:rsid w:val="00C7290A"/>
    <w:rsid w:val="00C86332"/>
    <w:rsid w:val="00CA24EC"/>
    <w:rsid w:val="00CC159B"/>
    <w:rsid w:val="00CD2115"/>
    <w:rsid w:val="00CD237B"/>
    <w:rsid w:val="00CE102A"/>
    <w:rsid w:val="00D01FEE"/>
    <w:rsid w:val="00D02062"/>
    <w:rsid w:val="00D130E8"/>
    <w:rsid w:val="00D152ED"/>
    <w:rsid w:val="00D239ED"/>
    <w:rsid w:val="00D45811"/>
    <w:rsid w:val="00D45AE2"/>
    <w:rsid w:val="00D46300"/>
    <w:rsid w:val="00D50BE8"/>
    <w:rsid w:val="00D52E93"/>
    <w:rsid w:val="00D625BD"/>
    <w:rsid w:val="00D64417"/>
    <w:rsid w:val="00D77DC0"/>
    <w:rsid w:val="00D84C71"/>
    <w:rsid w:val="00D86BB3"/>
    <w:rsid w:val="00D933B1"/>
    <w:rsid w:val="00D95D1C"/>
    <w:rsid w:val="00DA7675"/>
    <w:rsid w:val="00DB62F3"/>
    <w:rsid w:val="00DD4743"/>
    <w:rsid w:val="00E03CF4"/>
    <w:rsid w:val="00E13B33"/>
    <w:rsid w:val="00E15B2A"/>
    <w:rsid w:val="00E31219"/>
    <w:rsid w:val="00E3713E"/>
    <w:rsid w:val="00E40874"/>
    <w:rsid w:val="00E442E8"/>
    <w:rsid w:val="00E4780F"/>
    <w:rsid w:val="00E5573E"/>
    <w:rsid w:val="00E5691F"/>
    <w:rsid w:val="00E818B9"/>
    <w:rsid w:val="00EE02C1"/>
    <w:rsid w:val="00EE716C"/>
    <w:rsid w:val="00EF377D"/>
    <w:rsid w:val="00F06C7F"/>
    <w:rsid w:val="00F224E8"/>
    <w:rsid w:val="00F454C7"/>
    <w:rsid w:val="00FC2C9C"/>
    <w:rsid w:val="00FD2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1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D4581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45811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458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5811"/>
    <w:pPr>
      <w:tabs>
        <w:tab w:val="center" w:pos="4320"/>
        <w:tab w:val="right" w:pos="8640"/>
      </w:tabs>
    </w:pPr>
  </w:style>
  <w:style w:type="paragraph" w:customStyle="1" w:styleId="X">
    <w:name w:val="X"/>
    <w:basedOn w:val="Normal"/>
    <w:rsid w:val="00D45811"/>
    <w:pPr>
      <w:spacing w:line="220" w:lineRule="exact"/>
      <w:jc w:val="center"/>
    </w:pPr>
    <w:rPr>
      <w:rFonts w:ascii="Arial" w:hAnsi="Arial"/>
      <w:b/>
      <w:caps/>
      <w:sz w:val="22"/>
    </w:rPr>
  </w:style>
  <w:style w:type="paragraph" w:customStyle="1" w:styleId="FlcheArrow">
    <w:name w:val="Flèche/Arrow"/>
    <w:basedOn w:val="Normal"/>
    <w:rsid w:val="00D45811"/>
    <w:pPr>
      <w:spacing w:after="80" w:line="160" w:lineRule="exact"/>
      <w:ind w:right="57"/>
    </w:pPr>
    <w:rPr>
      <w:rFonts w:ascii="Arial" w:hAnsi="Arial"/>
      <w:sz w:val="16"/>
    </w:rPr>
  </w:style>
  <w:style w:type="paragraph" w:customStyle="1" w:styleId="BaspFooter">
    <w:name w:val="Bas p./Footer"/>
    <w:basedOn w:val="Normal"/>
    <w:rsid w:val="00D45811"/>
    <w:pPr>
      <w:spacing w:line="220" w:lineRule="exact"/>
    </w:pPr>
    <w:rPr>
      <w:rFonts w:ascii="Arial" w:hAnsi="Arial"/>
      <w:sz w:val="22"/>
    </w:rPr>
  </w:style>
  <w:style w:type="paragraph" w:customStyle="1" w:styleId="Textetableau">
    <w:name w:val="Texte tableau"/>
    <w:basedOn w:val="Normal"/>
    <w:rsid w:val="00D45811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20"/>
        <w:tab w:val="left" w:pos="2880"/>
        <w:tab w:val="left" w:pos="3240"/>
        <w:tab w:val="left" w:pos="3600"/>
        <w:tab w:val="left" w:pos="3945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80" w:line="160" w:lineRule="exact"/>
      <w:ind w:left="57" w:right="57"/>
    </w:pPr>
    <w:rPr>
      <w:rFonts w:ascii="Arial" w:hAnsi="Arial"/>
      <w:sz w:val="16"/>
    </w:rPr>
  </w:style>
  <w:style w:type="paragraph" w:customStyle="1" w:styleId="ListeListi">
    <w:name w:val="Liste/List i)"/>
    <w:basedOn w:val="Normal"/>
    <w:rsid w:val="00D45811"/>
    <w:pPr>
      <w:spacing w:after="80" w:line="160" w:lineRule="exact"/>
      <w:ind w:right="576"/>
    </w:pPr>
    <w:rPr>
      <w:rFonts w:ascii="Arial" w:hAnsi="Arial"/>
      <w:sz w:val="16"/>
    </w:rPr>
  </w:style>
  <w:style w:type="paragraph" w:customStyle="1" w:styleId="ListeLista">
    <w:name w:val="Liste/List a)"/>
    <w:basedOn w:val="Normal"/>
    <w:rsid w:val="00D45811"/>
    <w:pPr>
      <w:spacing w:after="80" w:line="160" w:lineRule="exact"/>
      <w:ind w:right="57"/>
    </w:pPr>
    <w:rPr>
      <w:rFonts w:ascii="Arial" w:hAnsi="Arial"/>
      <w:sz w:val="16"/>
    </w:rPr>
  </w:style>
  <w:style w:type="paragraph" w:customStyle="1" w:styleId="ListeList1">
    <w:name w:val="Liste/List 1"/>
    <w:basedOn w:val="Normal"/>
    <w:rsid w:val="00D45811"/>
    <w:pPr>
      <w:spacing w:after="80" w:line="160" w:lineRule="exact"/>
      <w:ind w:right="57"/>
    </w:pPr>
    <w:rPr>
      <w:rFonts w:ascii="Arial" w:hAnsi="Arial"/>
      <w:sz w:val="16"/>
    </w:rPr>
  </w:style>
  <w:style w:type="paragraph" w:customStyle="1" w:styleId="Point1a">
    <w:name w:val="Point 1a"/>
    <w:basedOn w:val="Normal"/>
    <w:rsid w:val="00D45811"/>
    <w:pPr>
      <w:spacing w:after="80" w:line="160" w:lineRule="exact"/>
      <w:ind w:right="57"/>
    </w:pPr>
    <w:rPr>
      <w:rFonts w:ascii="Arial" w:hAnsi="Arial"/>
      <w:sz w:val="16"/>
    </w:rPr>
  </w:style>
  <w:style w:type="paragraph" w:customStyle="1" w:styleId="Point1">
    <w:name w:val="Point 1"/>
    <w:basedOn w:val="Normal"/>
    <w:rsid w:val="00D45811"/>
    <w:pPr>
      <w:spacing w:after="80" w:line="160" w:lineRule="exact"/>
      <w:ind w:right="57"/>
    </w:pPr>
    <w:rPr>
      <w:rFonts w:ascii="Arial" w:hAnsi="Arial"/>
      <w:sz w:val="16"/>
    </w:rPr>
  </w:style>
  <w:style w:type="paragraph" w:customStyle="1" w:styleId="AlinaIndent">
    <w:name w:val="Alinéa/Indent"/>
    <w:basedOn w:val="Normal"/>
    <w:rsid w:val="00D45811"/>
    <w:pPr>
      <w:spacing w:after="80" w:line="160" w:lineRule="exact"/>
      <w:ind w:left="172" w:right="57"/>
    </w:pPr>
    <w:rPr>
      <w:rFonts w:ascii="Arial" w:hAnsi="Arial"/>
      <w:sz w:val="16"/>
    </w:rPr>
  </w:style>
  <w:style w:type="paragraph" w:customStyle="1" w:styleId="TexteText1">
    <w:name w:val="Texte/Text 1"/>
    <w:basedOn w:val="Normal"/>
    <w:rsid w:val="00D45811"/>
    <w:pPr>
      <w:spacing w:line="160" w:lineRule="exact"/>
      <w:ind w:left="57" w:right="57"/>
    </w:pPr>
    <w:rPr>
      <w:rFonts w:ascii="Arial" w:hAnsi="Arial"/>
      <w:sz w:val="16"/>
    </w:rPr>
  </w:style>
  <w:style w:type="paragraph" w:customStyle="1" w:styleId="Texte">
    <w:name w:val="Texte"/>
    <w:basedOn w:val="Normal"/>
    <w:rsid w:val="00D45811"/>
    <w:pPr>
      <w:spacing w:after="80" w:line="160" w:lineRule="exact"/>
      <w:ind w:left="57" w:right="57"/>
    </w:pPr>
    <w:rPr>
      <w:rFonts w:ascii="Arial" w:hAnsi="Arial"/>
      <w:sz w:val="16"/>
    </w:rPr>
  </w:style>
  <w:style w:type="paragraph" w:customStyle="1" w:styleId="Sous-tSub2">
    <w:name w:val="*Sous-t/Sub 2"/>
    <w:basedOn w:val="Normal"/>
    <w:rsid w:val="00D45811"/>
    <w:pPr>
      <w:tabs>
        <w:tab w:val="left" w:pos="6912"/>
        <w:tab w:val="left" w:pos="12672"/>
        <w:tab w:val="left" w:pos="18432"/>
        <w:tab w:val="left" w:pos="24192"/>
      </w:tabs>
      <w:spacing w:line="160" w:lineRule="exact"/>
      <w:ind w:left="57" w:right="57"/>
      <w:jc w:val="center"/>
    </w:pPr>
    <w:rPr>
      <w:rFonts w:ascii="Arial" w:hAnsi="Arial"/>
      <w:b/>
      <w:color w:val="FFFFFF"/>
      <w:sz w:val="16"/>
    </w:rPr>
  </w:style>
  <w:style w:type="paragraph" w:customStyle="1" w:styleId="EntteHeader">
    <w:name w:val="Entête/Header"/>
    <w:basedOn w:val="Normal"/>
    <w:rsid w:val="00D45811"/>
    <w:pPr>
      <w:spacing w:line="200" w:lineRule="exact"/>
    </w:pPr>
    <w:rPr>
      <w:rFonts w:ascii="Arial" w:hAnsi="Arial"/>
    </w:rPr>
  </w:style>
  <w:style w:type="paragraph" w:customStyle="1" w:styleId="Sous-tSubtit">
    <w:name w:val="Sous-t/Subtit"/>
    <w:basedOn w:val="Normal"/>
    <w:rsid w:val="00D45811"/>
    <w:pPr>
      <w:spacing w:line="160" w:lineRule="exact"/>
      <w:ind w:left="57" w:right="57"/>
    </w:pPr>
    <w:rPr>
      <w:rFonts w:ascii="Arial" w:hAnsi="Arial"/>
      <w:b/>
      <w:sz w:val="16"/>
    </w:rPr>
  </w:style>
  <w:style w:type="paragraph" w:customStyle="1" w:styleId="TableText">
    <w:name w:val="Table Text"/>
    <w:basedOn w:val="Normal"/>
    <w:rsid w:val="00D45811"/>
    <w:pPr>
      <w:tabs>
        <w:tab w:val="left" w:pos="360"/>
        <w:tab w:val="left" w:pos="720"/>
        <w:tab w:val="left" w:pos="1065"/>
        <w:tab w:val="left" w:pos="1440"/>
        <w:tab w:val="left" w:pos="1785"/>
        <w:tab w:val="left" w:pos="2160"/>
        <w:tab w:val="left" w:pos="2505"/>
        <w:tab w:val="left" w:pos="2880"/>
        <w:tab w:val="left" w:pos="3240"/>
        <w:tab w:val="left" w:pos="3585"/>
        <w:tab w:val="left" w:pos="3960"/>
        <w:tab w:val="left" w:pos="4305"/>
        <w:tab w:val="left" w:pos="5040"/>
        <w:tab w:val="left" w:pos="5745"/>
        <w:tab w:val="left" w:pos="6480"/>
        <w:tab w:val="left" w:pos="7200"/>
        <w:tab w:val="left" w:pos="7920"/>
        <w:tab w:val="left" w:pos="8625"/>
        <w:tab w:val="left" w:pos="9360"/>
        <w:tab w:val="left" w:pos="10065"/>
        <w:tab w:val="left" w:pos="10785"/>
        <w:tab w:val="left" w:pos="11520"/>
      </w:tabs>
      <w:spacing w:after="80" w:line="160" w:lineRule="exact"/>
      <w:ind w:left="57" w:right="57"/>
    </w:pPr>
    <w:rPr>
      <w:rFonts w:ascii="Arial" w:hAnsi="Arial"/>
      <w:sz w:val="16"/>
    </w:rPr>
  </w:style>
  <w:style w:type="paragraph" w:customStyle="1" w:styleId="PCIMFIP">
    <w:name w:val="*PCIM/FIP"/>
    <w:basedOn w:val="Normal"/>
    <w:rsid w:val="00D45811"/>
    <w:pPr>
      <w:spacing w:line="160" w:lineRule="exact"/>
      <w:ind w:left="57" w:right="57"/>
    </w:pPr>
    <w:rPr>
      <w:rFonts w:ascii="Arial" w:hAnsi="Arial"/>
      <w:sz w:val="16"/>
    </w:rPr>
  </w:style>
  <w:style w:type="paragraph" w:customStyle="1" w:styleId="TitreTitle">
    <w:name w:val="*Titre/Title"/>
    <w:basedOn w:val="Normal"/>
    <w:rsid w:val="00D45811"/>
    <w:pPr>
      <w:keepNext/>
      <w:keepLines/>
      <w:spacing w:line="320" w:lineRule="exact"/>
    </w:pPr>
    <w:rPr>
      <w:rFonts w:ascii="Arial" w:hAnsi="Arial"/>
      <w:b/>
      <w:sz w:val="28"/>
    </w:rPr>
  </w:style>
  <w:style w:type="paragraph" w:customStyle="1" w:styleId="DefaultText">
    <w:name w:val="Default Text"/>
    <w:basedOn w:val="Normal"/>
    <w:rsid w:val="00D45811"/>
    <w:pPr>
      <w:spacing w:after="80" w:line="40" w:lineRule="exact"/>
    </w:pPr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rsid w:val="009E249D"/>
    <w:rPr>
      <w:rFonts w:ascii="Arial" w:hAnsi="Arial" w:cs="Arial"/>
      <w:b/>
      <w:bCs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9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6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9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A31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13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1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D4581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45811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458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5811"/>
    <w:pPr>
      <w:tabs>
        <w:tab w:val="center" w:pos="4320"/>
        <w:tab w:val="right" w:pos="8640"/>
      </w:tabs>
    </w:pPr>
  </w:style>
  <w:style w:type="paragraph" w:customStyle="1" w:styleId="X">
    <w:name w:val="X"/>
    <w:basedOn w:val="Normal"/>
    <w:rsid w:val="00D45811"/>
    <w:pPr>
      <w:spacing w:line="220" w:lineRule="exact"/>
      <w:jc w:val="center"/>
    </w:pPr>
    <w:rPr>
      <w:rFonts w:ascii="Arial" w:hAnsi="Arial"/>
      <w:b/>
      <w:caps/>
      <w:sz w:val="22"/>
    </w:rPr>
  </w:style>
  <w:style w:type="paragraph" w:customStyle="1" w:styleId="FlcheArrow">
    <w:name w:val="Flèche/Arrow"/>
    <w:basedOn w:val="Normal"/>
    <w:rsid w:val="00D45811"/>
    <w:pPr>
      <w:spacing w:after="80" w:line="160" w:lineRule="exact"/>
      <w:ind w:right="57"/>
    </w:pPr>
    <w:rPr>
      <w:rFonts w:ascii="Arial" w:hAnsi="Arial"/>
      <w:sz w:val="16"/>
    </w:rPr>
  </w:style>
  <w:style w:type="paragraph" w:customStyle="1" w:styleId="BaspFooter">
    <w:name w:val="Bas p./Footer"/>
    <w:basedOn w:val="Normal"/>
    <w:rsid w:val="00D45811"/>
    <w:pPr>
      <w:spacing w:line="220" w:lineRule="exact"/>
    </w:pPr>
    <w:rPr>
      <w:rFonts w:ascii="Arial" w:hAnsi="Arial"/>
      <w:sz w:val="22"/>
    </w:rPr>
  </w:style>
  <w:style w:type="paragraph" w:customStyle="1" w:styleId="Textetableau">
    <w:name w:val="Texte tableau"/>
    <w:basedOn w:val="Normal"/>
    <w:rsid w:val="00D45811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20"/>
        <w:tab w:val="left" w:pos="2880"/>
        <w:tab w:val="left" w:pos="3240"/>
        <w:tab w:val="left" w:pos="3600"/>
        <w:tab w:val="left" w:pos="3945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80" w:line="160" w:lineRule="exact"/>
      <w:ind w:left="57" w:right="57"/>
    </w:pPr>
    <w:rPr>
      <w:rFonts w:ascii="Arial" w:hAnsi="Arial"/>
      <w:sz w:val="16"/>
    </w:rPr>
  </w:style>
  <w:style w:type="paragraph" w:customStyle="1" w:styleId="ListeListi">
    <w:name w:val="Liste/List i)"/>
    <w:basedOn w:val="Normal"/>
    <w:rsid w:val="00D45811"/>
    <w:pPr>
      <w:spacing w:after="80" w:line="160" w:lineRule="exact"/>
      <w:ind w:right="576"/>
    </w:pPr>
    <w:rPr>
      <w:rFonts w:ascii="Arial" w:hAnsi="Arial"/>
      <w:sz w:val="16"/>
    </w:rPr>
  </w:style>
  <w:style w:type="paragraph" w:customStyle="1" w:styleId="ListeLista">
    <w:name w:val="Liste/List a)"/>
    <w:basedOn w:val="Normal"/>
    <w:rsid w:val="00D45811"/>
    <w:pPr>
      <w:spacing w:after="80" w:line="160" w:lineRule="exact"/>
      <w:ind w:right="57"/>
    </w:pPr>
    <w:rPr>
      <w:rFonts w:ascii="Arial" w:hAnsi="Arial"/>
      <w:sz w:val="16"/>
    </w:rPr>
  </w:style>
  <w:style w:type="paragraph" w:customStyle="1" w:styleId="ListeList1">
    <w:name w:val="Liste/List 1"/>
    <w:basedOn w:val="Normal"/>
    <w:rsid w:val="00D45811"/>
    <w:pPr>
      <w:spacing w:after="80" w:line="160" w:lineRule="exact"/>
      <w:ind w:right="57"/>
    </w:pPr>
    <w:rPr>
      <w:rFonts w:ascii="Arial" w:hAnsi="Arial"/>
      <w:sz w:val="16"/>
    </w:rPr>
  </w:style>
  <w:style w:type="paragraph" w:customStyle="1" w:styleId="Point1a">
    <w:name w:val="Point 1a"/>
    <w:basedOn w:val="Normal"/>
    <w:rsid w:val="00D45811"/>
    <w:pPr>
      <w:spacing w:after="80" w:line="160" w:lineRule="exact"/>
      <w:ind w:right="57"/>
    </w:pPr>
    <w:rPr>
      <w:rFonts w:ascii="Arial" w:hAnsi="Arial"/>
      <w:sz w:val="16"/>
    </w:rPr>
  </w:style>
  <w:style w:type="paragraph" w:customStyle="1" w:styleId="Point1">
    <w:name w:val="Point 1"/>
    <w:basedOn w:val="Normal"/>
    <w:rsid w:val="00D45811"/>
    <w:pPr>
      <w:spacing w:after="80" w:line="160" w:lineRule="exact"/>
      <w:ind w:right="57"/>
    </w:pPr>
    <w:rPr>
      <w:rFonts w:ascii="Arial" w:hAnsi="Arial"/>
      <w:sz w:val="16"/>
    </w:rPr>
  </w:style>
  <w:style w:type="paragraph" w:customStyle="1" w:styleId="AlinaIndent">
    <w:name w:val="Alinéa/Indent"/>
    <w:basedOn w:val="Normal"/>
    <w:rsid w:val="00D45811"/>
    <w:pPr>
      <w:spacing w:after="80" w:line="160" w:lineRule="exact"/>
      <w:ind w:left="172" w:right="57"/>
    </w:pPr>
    <w:rPr>
      <w:rFonts w:ascii="Arial" w:hAnsi="Arial"/>
      <w:sz w:val="16"/>
    </w:rPr>
  </w:style>
  <w:style w:type="paragraph" w:customStyle="1" w:styleId="TexteText1">
    <w:name w:val="Texte/Text 1"/>
    <w:basedOn w:val="Normal"/>
    <w:rsid w:val="00D45811"/>
    <w:pPr>
      <w:spacing w:line="160" w:lineRule="exact"/>
      <w:ind w:left="57" w:right="57"/>
    </w:pPr>
    <w:rPr>
      <w:rFonts w:ascii="Arial" w:hAnsi="Arial"/>
      <w:sz w:val="16"/>
    </w:rPr>
  </w:style>
  <w:style w:type="paragraph" w:customStyle="1" w:styleId="Texte">
    <w:name w:val="Texte"/>
    <w:basedOn w:val="Normal"/>
    <w:rsid w:val="00D45811"/>
    <w:pPr>
      <w:spacing w:after="80" w:line="160" w:lineRule="exact"/>
      <w:ind w:left="57" w:right="57"/>
    </w:pPr>
    <w:rPr>
      <w:rFonts w:ascii="Arial" w:hAnsi="Arial"/>
      <w:sz w:val="16"/>
    </w:rPr>
  </w:style>
  <w:style w:type="paragraph" w:customStyle="1" w:styleId="Sous-tSub2">
    <w:name w:val="*Sous-t/Sub 2"/>
    <w:basedOn w:val="Normal"/>
    <w:rsid w:val="00D45811"/>
    <w:pPr>
      <w:tabs>
        <w:tab w:val="left" w:pos="6912"/>
        <w:tab w:val="left" w:pos="12672"/>
        <w:tab w:val="left" w:pos="18432"/>
        <w:tab w:val="left" w:pos="24192"/>
      </w:tabs>
      <w:spacing w:line="160" w:lineRule="exact"/>
      <w:ind w:left="57" w:right="57"/>
      <w:jc w:val="center"/>
    </w:pPr>
    <w:rPr>
      <w:rFonts w:ascii="Arial" w:hAnsi="Arial"/>
      <w:b/>
      <w:color w:val="FFFFFF"/>
      <w:sz w:val="16"/>
    </w:rPr>
  </w:style>
  <w:style w:type="paragraph" w:customStyle="1" w:styleId="EntteHeader">
    <w:name w:val="Entête/Header"/>
    <w:basedOn w:val="Normal"/>
    <w:rsid w:val="00D45811"/>
    <w:pPr>
      <w:spacing w:line="200" w:lineRule="exact"/>
    </w:pPr>
    <w:rPr>
      <w:rFonts w:ascii="Arial" w:hAnsi="Arial"/>
    </w:rPr>
  </w:style>
  <w:style w:type="paragraph" w:customStyle="1" w:styleId="Sous-tSubtit">
    <w:name w:val="Sous-t/Subtit"/>
    <w:basedOn w:val="Normal"/>
    <w:rsid w:val="00D45811"/>
    <w:pPr>
      <w:spacing w:line="160" w:lineRule="exact"/>
      <w:ind w:left="57" w:right="57"/>
    </w:pPr>
    <w:rPr>
      <w:rFonts w:ascii="Arial" w:hAnsi="Arial"/>
      <w:b/>
      <w:sz w:val="16"/>
    </w:rPr>
  </w:style>
  <w:style w:type="paragraph" w:customStyle="1" w:styleId="TableText">
    <w:name w:val="Table Text"/>
    <w:basedOn w:val="Normal"/>
    <w:rsid w:val="00D45811"/>
    <w:pPr>
      <w:tabs>
        <w:tab w:val="left" w:pos="360"/>
        <w:tab w:val="left" w:pos="720"/>
        <w:tab w:val="left" w:pos="1065"/>
        <w:tab w:val="left" w:pos="1440"/>
        <w:tab w:val="left" w:pos="1785"/>
        <w:tab w:val="left" w:pos="2160"/>
        <w:tab w:val="left" w:pos="2505"/>
        <w:tab w:val="left" w:pos="2880"/>
        <w:tab w:val="left" w:pos="3240"/>
        <w:tab w:val="left" w:pos="3585"/>
        <w:tab w:val="left" w:pos="3960"/>
        <w:tab w:val="left" w:pos="4305"/>
        <w:tab w:val="left" w:pos="5040"/>
        <w:tab w:val="left" w:pos="5745"/>
        <w:tab w:val="left" w:pos="6480"/>
        <w:tab w:val="left" w:pos="7200"/>
        <w:tab w:val="left" w:pos="7920"/>
        <w:tab w:val="left" w:pos="8625"/>
        <w:tab w:val="left" w:pos="9360"/>
        <w:tab w:val="left" w:pos="10065"/>
        <w:tab w:val="left" w:pos="10785"/>
        <w:tab w:val="left" w:pos="11520"/>
      </w:tabs>
      <w:spacing w:after="80" w:line="160" w:lineRule="exact"/>
      <w:ind w:left="57" w:right="57"/>
    </w:pPr>
    <w:rPr>
      <w:rFonts w:ascii="Arial" w:hAnsi="Arial"/>
      <w:sz w:val="16"/>
    </w:rPr>
  </w:style>
  <w:style w:type="paragraph" w:customStyle="1" w:styleId="PCIMFIP">
    <w:name w:val="*PCIM/FIP"/>
    <w:basedOn w:val="Normal"/>
    <w:rsid w:val="00D45811"/>
    <w:pPr>
      <w:spacing w:line="160" w:lineRule="exact"/>
      <w:ind w:left="57" w:right="57"/>
    </w:pPr>
    <w:rPr>
      <w:rFonts w:ascii="Arial" w:hAnsi="Arial"/>
      <w:sz w:val="16"/>
    </w:rPr>
  </w:style>
  <w:style w:type="paragraph" w:customStyle="1" w:styleId="TitreTitle">
    <w:name w:val="*Titre/Title"/>
    <w:basedOn w:val="Normal"/>
    <w:rsid w:val="00D45811"/>
    <w:pPr>
      <w:keepNext/>
      <w:keepLines/>
      <w:spacing w:line="320" w:lineRule="exact"/>
    </w:pPr>
    <w:rPr>
      <w:rFonts w:ascii="Arial" w:hAnsi="Arial"/>
      <w:b/>
      <w:sz w:val="28"/>
    </w:rPr>
  </w:style>
  <w:style w:type="paragraph" w:customStyle="1" w:styleId="DefaultText">
    <w:name w:val="Default Text"/>
    <w:basedOn w:val="Normal"/>
    <w:rsid w:val="00D45811"/>
    <w:pPr>
      <w:spacing w:after="80" w:line="40" w:lineRule="exact"/>
    </w:pPr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rsid w:val="009E249D"/>
    <w:rPr>
      <w:rFonts w:ascii="Arial" w:hAnsi="Arial" w:cs="Arial"/>
      <w:b/>
      <w:bCs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9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6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9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A31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1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38879920</IDBDocs_x0020_Number>
    <TaxCatchAll xmlns="9c571b2f-e523-4ab2-ba2e-09e151a03ef4">
      <Value>5</Value>
      <Value>4</Value>
    </TaxCatchAll>
    <Phase xmlns="9c571b2f-e523-4ab2-ba2e-09e151a03ef4" xsi:nil="true"/>
    <SISCOR_x0020_Number xmlns="9c571b2f-e523-4ab2-ba2e-09e151a03ef4" xsi:nil="true"/>
    <Division_x0020_or_x0020_Unit xmlns="9c571b2f-e523-4ab2-ba2e-09e151a03ef4">IFD/ICS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Pantzer, Robert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2014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BH-L1035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Proposal&lt;/USER_STAGE&gt;&lt;APPROVAL_CODE&gt;DE&lt;/APPROVAL_CODE&gt;&lt;APPROVAL_DESC&gt;Board of Executive Directors&lt;/APPROVAL_DESC&gt;&lt;PD_OBJ_TYPE&gt;0&lt;/PD_OBJ_TYPE&gt;&lt;DTAPPROVAL&gt;Nov 19 2014 12:00AM&lt;/DTAPPROVAL&gt;&lt;MAKERECORD&gt;N&lt;/MAKERECORD&gt;&lt;/Data&gt;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RM-FIS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BBC6CEA0320A5742B2F9E09D6E40ABED" ma:contentTypeVersion="0" ma:contentTypeDescription="A content type to manage public (operations) IDB documents" ma:contentTypeScope="" ma:versionID="b15d72199457f5453941034927d112eb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a3404cf97230a2ea027ba5c5233edb87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a0093f-3591-401e-bfd3-429b8ab95ec8}" ma:internalName="TaxCatchAll" ma:showField="CatchAllData" ma:web="25c04119-2a10-433d-a934-520035993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a0093f-3591-401e-bfd3-429b8ab95ec8}" ma:internalName="TaxCatchAllLabel" ma:readOnly="true" ma:showField="CatchAllDataLabel" ma:web="25c04119-2a10-433d-a934-520035993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17B9E-B2C7-4E05-9CC4-09746FE7AF13}"/>
</file>

<file path=customXml/itemProps2.xml><?xml version="1.0" encoding="utf-8"?>
<ds:datastoreItem xmlns:ds="http://schemas.openxmlformats.org/officeDocument/2006/customXml" ds:itemID="{E9B892F3-8D70-41C2-B62F-40DAD2E8208B}"/>
</file>

<file path=customXml/itemProps3.xml><?xml version="1.0" encoding="utf-8"?>
<ds:datastoreItem xmlns:ds="http://schemas.openxmlformats.org/officeDocument/2006/customXml" ds:itemID="{5624FF02-5087-4552-A318-BA5A567EFF9E}"/>
</file>

<file path=customXml/itemProps4.xml><?xml version="1.0" encoding="utf-8"?>
<ds:datastoreItem xmlns:ds="http://schemas.openxmlformats.org/officeDocument/2006/customXml" ds:itemID="{871742F1-4D0F-4654-A6ED-17322BF30840}"/>
</file>

<file path=customXml/itemProps5.xml><?xml version="1.0" encoding="utf-8"?>
<ds:datastoreItem xmlns:ds="http://schemas.openxmlformats.org/officeDocument/2006/customXml" ds:itemID="{1235C821-4858-408E-B233-5C8D7E7C4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4207</Characters>
  <Application>Microsoft Office Word</Application>
  <DocSecurity>4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Country/Region</vt:lpstr>
      <vt:lpstr>Country/Region</vt:lpstr>
    </vt:vector>
  </TitlesOfParts>
  <Company>ACDI-CIDA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- ELO4 - Explanation of the Logical Framework - BH-L1035</dc:title>
  <dc:creator>ACDI-CIDA</dc:creator>
  <cp:lastModifiedBy>Test</cp:lastModifiedBy>
  <cp:revision>2</cp:revision>
  <cp:lastPrinted>2013-11-27T19:05:00Z</cp:lastPrinted>
  <dcterms:created xsi:type="dcterms:W3CDTF">2014-06-24T01:54:00Z</dcterms:created>
  <dcterms:modified xsi:type="dcterms:W3CDTF">2014-06-24T01:54:00Z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0x01010046CF21643EE8D14686A648AA6DAD089200BBC6CEA0320A5742B2F9E09D6E40ABED</vt:lpwstr>
  </property>
  <property fmtid="{D5CDD505-2E9C-101B-9397-08002B2CF9AE}" pid="3" name="TaxKeyword">
    <vt:lpwstr/>
  </property>
  <property fmtid="{D5CDD505-2E9C-101B-9397-08002B2CF9AE}" pid="4" name="Function Operations IDB">
    <vt:lpwstr>5;#IDBDocs|cca77002-e150-4b2d-ab1f-1d7a7cdcae16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4;#Unclassified|a6dff32e-d477-44cd-a56b-85efe9e0a56c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4;#Unclassified|a6dff32e-d477-44cd-a56b-85efe9e0a56c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