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59C43" w14:textId="77777777" w:rsidR="00753A9E" w:rsidRDefault="00A426C4">
      <w:pPr>
        <w:spacing w:before="200" w:after="200"/>
        <w:jc w:val="center"/>
      </w:pPr>
      <w:r>
        <w:rPr>
          <w:rFonts w:ascii="Arial" w:hAnsi="Arial" w:cs="Arial"/>
          <w:b/>
        </w:rPr>
        <w:t>TC ABSTRACT</w:t>
      </w:r>
    </w:p>
    <w:p w14:paraId="7738AB13" w14:textId="77777777" w:rsidR="00753A9E" w:rsidRDefault="00A426C4">
      <w:pPr>
        <w:spacing w:before="120" w:after="120"/>
        <w:ind w:left="579" w:hanging="579"/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Basic Project Data</w:t>
      </w:r>
    </w:p>
    <w:tbl>
      <w:tblPr>
        <w:tblStyle w:val="TableGrid"/>
        <w:tblW w:w="0" w:type="auto"/>
        <w:tblInd w:w="612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ook w:val="04A0" w:firstRow="1" w:lastRow="0" w:firstColumn="1" w:lastColumn="0" w:noHBand="0" w:noVBand="1"/>
      </w:tblPr>
      <w:tblGrid>
        <w:gridCol w:w="2989"/>
        <w:gridCol w:w="4705"/>
      </w:tblGrid>
      <w:tr w:rsidR="00753A9E" w14:paraId="78DD5529" w14:textId="77777777" w:rsidTr="00697339">
        <w:tc>
          <w:tcPr>
            <w:tcW w:w="2989" w:type="dxa"/>
          </w:tcPr>
          <w:p w14:paraId="5407F7F4" w14:textId="77777777" w:rsidR="00753A9E" w:rsidRDefault="00A426C4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Country/Region:</w:t>
            </w:r>
          </w:p>
        </w:tc>
        <w:tc>
          <w:tcPr>
            <w:tcW w:w="4705" w:type="dxa"/>
          </w:tcPr>
          <w:p w14:paraId="50C035D0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REGIONAL/CSC - Southern Cone</w:t>
            </w:r>
          </w:p>
        </w:tc>
      </w:tr>
      <w:tr w:rsidR="00753A9E" w14:paraId="7621AB6D" w14:textId="77777777" w:rsidTr="00697339">
        <w:tc>
          <w:tcPr>
            <w:tcW w:w="2989" w:type="dxa"/>
          </w:tcPr>
          <w:p w14:paraId="5E18F59C" w14:textId="77777777" w:rsidR="00753A9E" w:rsidRDefault="00A426C4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TC Name:</w:t>
            </w:r>
          </w:p>
        </w:tc>
        <w:tc>
          <w:tcPr>
            <w:tcW w:w="4705" w:type="dxa"/>
          </w:tcPr>
          <w:p w14:paraId="7E935B47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Addressing the Socioeconomic Consequences of CoViD-19 Through Resilient and Sustainable Green Growth Investments</w:t>
            </w:r>
          </w:p>
        </w:tc>
      </w:tr>
      <w:tr w:rsidR="00753A9E" w14:paraId="044E01C2" w14:textId="77777777" w:rsidTr="00697339">
        <w:tc>
          <w:tcPr>
            <w:tcW w:w="2989" w:type="dxa"/>
          </w:tcPr>
          <w:p w14:paraId="04BA5F86" w14:textId="77777777" w:rsidR="00753A9E" w:rsidRDefault="00A426C4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TC Number:</w:t>
            </w:r>
          </w:p>
        </w:tc>
        <w:tc>
          <w:tcPr>
            <w:tcW w:w="4705" w:type="dxa"/>
          </w:tcPr>
          <w:p w14:paraId="7CEF52F2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RG-T3701</w:t>
            </w:r>
          </w:p>
        </w:tc>
      </w:tr>
      <w:tr w:rsidR="00753A9E" w14:paraId="2DD21483" w14:textId="77777777" w:rsidTr="00697339">
        <w:tc>
          <w:tcPr>
            <w:tcW w:w="2989" w:type="dxa"/>
          </w:tcPr>
          <w:p w14:paraId="3FA61C0F" w14:textId="77777777" w:rsidR="00753A9E" w:rsidRDefault="00A426C4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Team </w:t>
            </w:r>
            <w:r>
              <w:rPr>
                <w:rFonts w:ascii="Arial" w:hAnsi="Arial" w:cs="Arial"/>
                <w:sz w:val="18"/>
                <w:szCs w:val="18"/>
              </w:rPr>
              <w:t>Leader/Members:</w:t>
            </w:r>
          </w:p>
        </w:tc>
        <w:tc>
          <w:tcPr>
            <w:tcW w:w="4705" w:type="dxa"/>
          </w:tcPr>
          <w:p w14:paraId="628F4835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BRUSA, FEDERICO (CSD/CCS) Team Leader; AIELLO, ROBERTO GABRIEL (INE/ENE) Alternate Team Leader; CEVA ALVAREZ, MARIANA DANIELA (CSD/CCS); GOMEZ, JUAN CARLOS (CSD/CCS); CORREA POSEIRO, CECILIA (INE/ENE); SAAVEDRA GOMEZ, VALENTINA (CSD/CCS); E</w:t>
            </w:r>
            <w:r>
              <w:rPr>
                <w:rFonts w:ascii="Arial" w:hAnsi="Arial" w:cs="Arial"/>
                <w:sz w:val="18"/>
                <w:szCs w:val="18"/>
              </w:rPr>
              <w:t>SQUIVEL GALLEGOS, MARICARMEN (CSD/CCS); GRUNWALDT, ALFRED HANS (CSD/CCS); RAMIREZ BELLO, MARIA CECILIA (INE/INE); DORR, JULIAN ALEXANDER (INE/INE); SALAS PARRA, CRISTIAN (CSD/CCS); CELESTE MARZO, CRISTINA (LEG/SGO)</w:t>
            </w:r>
          </w:p>
        </w:tc>
      </w:tr>
      <w:tr w:rsidR="00753A9E" w14:paraId="7CED7593" w14:textId="77777777" w:rsidTr="00697339">
        <w:tc>
          <w:tcPr>
            <w:tcW w:w="2989" w:type="dxa"/>
          </w:tcPr>
          <w:p w14:paraId="6F69B7B5" w14:textId="77777777" w:rsidR="00753A9E" w:rsidRDefault="00A426C4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Taxonomy:</w:t>
            </w:r>
          </w:p>
        </w:tc>
        <w:tc>
          <w:tcPr>
            <w:tcW w:w="4705" w:type="dxa"/>
          </w:tcPr>
          <w:p w14:paraId="45B99DF4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 xml:space="preserve">Research and </w:t>
            </w:r>
            <w:r>
              <w:rPr>
                <w:rFonts w:ascii="Arial" w:hAnsi="Arial" w:cs="Arial"/>
                <w:sz w:val="18"/>
                <w:szCs w:val="18"/>
              </w:rPr>
              <w:t>Dissemination</w:t>
            </w:r>
          </w:p>
        </w:tc>
      </w:tr>
      <w:tr w:rsidR="00753A9E" w14:paraId="17C81A6D" w14:textId="77777777" w:rsidTr="00697339">
        <w:tc>
          <w:tcPr>
            <w:tcW w:w="2989" w:type="dxa"/>
          </w:tcPr>
          <w:p w14:paraId="3CC483BC" w14:textId="77777777" w:rsidR="00753A9E" w:rsidRDefault="00A426C4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 and name of operation supported by the TC:</w:t>
            </w:r>
          </w:p>
        </w:tc>
        <w:tc>
          <w:tcPr>
            <w:tcW w:w="4705" w:type="dxa"/>
          </w:tcPr>
          <w:p w14:paraId="59FE9C89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53A9E" w14:paraId="5344F252" w14:textId="77777777" w:rsidTr="00697339">
        <w:tc>
          <w:tcPr>
            <w:tcW w:w="2989" w:type="dxa"/>
          </w:tcPr>
          <w:p w14:paraId="72AA753A" w14:textId="77777777" w:rsidR="00753A9E" w:rsidRDefault="00A426C4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Date of TC Abstract:</w:t>
            </w:r>
          </w:p>
        </w:tc>
        <w:tc>
          <w:tcPr>
            <w:tcW w:w="4705" w:type="dxa"/>
          </w:tcPr>
          <w:p w14:paraId="106023AA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07 May 2020</w:t>
            </w:r>
          </w:p>
        </w:tc>
      </w:tr>
      <w:tr w:rsidR="00753A9E" w14:paraId="225376E5" w14:textId="77777777" w:rsidTr="00697339">
        <w:tc>
          <w:tcPr>
            <w:tcW w:w="2989" w:type="dxa"/>
          </w:tcPr>
          <w:p w14:paraId="17110B29" w14:textId="77777777" w:rsidR="00753A9E" w:rsidRDefault="00A426C4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Beneficiary:</w:t>
            </w:r>
          </w:p>
        </w:tc>
        <w:tc>
          <w:tcPr>
            <w:tcW w:w="4705" w:type="dxa"/>
          </w:tcPr>
          <w:p w14:paraId="03E5CF6F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Argentina, Uruguay, Paraguay, Chile</w:t>
            </w:r>
          </w:p>
        </w:tc>
      </w:tr>
      <w:tr w:rsidR="00753A9E" w14:paraId="0D672F4C" w14:textId="77777777" w:rsidTr="00697339">
        <w:tc>
          <w:tcPr>
            <w:tcW w:w="2989" w:type="dxa"/>
          </w:tcPr>
          <w:p w14:paraId="7704F10D" w14:textId="77777777" w:rsidR="00753A9E" w:rsidRDefault="00A426C4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Executing Agency:</w:t>
            </w:r>
          </w:p>
        </w:tc>
        <w:tc>
          <w:tcPr>
            <w:tcW w:w="4705" w:type="dxa"/>
          </w:tcPr>
          <w:p w14:paraId="13A072F7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INTER-AMERICAN DEVELOPMENT BANK</w:t>
            </w:r>
          </w:p>
        </w:tc>
      </w:tr>
      <w:tr w:rsidR="00753A9E" w14:paraId="71DC2FC1" w14:textId="77777777" w:rsidTr="00697339">
        <w:tc>
          <w:tcPr>
            <w:tcW w:w="2989" w:type="dxa"/>
          </w:tcPr>
          <w:p w14:paraId="4A8E279D" w14:textId="77777777" w:rsidR="00753A9E" w:rsidRDefault="00A426C4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IDB funding requested:</w:t>
            </w:r>
          </w:p>
        </w:tc>
        <w:tc>
          <w:tcPr>
            <w:tcW w:w="4705" w:type="dxa"/>
          </w:tcPr>
          <w:p w14:paraId="4A9283EE" w14:textId="77777777" w:rsidR="00753A9E" w:rsidRDefault="00A426C4">
            <w:pPr>
              <w:bidi/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US$350,000.00</w:t>
            </w:r>
          </w:p>
        </w:tc>
      </w:tr>
      <w:tr w:rsidR="00753A9E" w14:paraId="25A95355" w14:textId="77777777" w:rsidTr="00697339">
        <w:tc>
          <w:tcPr>
            <w:tcW w:w="2989" w:type="dxa"/>
          </w:tcPr>
          <w:p w14:paraId="2720E757" w14:textId="77777777" w:rsidR="00753A9E" w:rsidRDefault="00A426C4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Local counterpart funding:</w:t>
            </w:r>
          </w:p>
        </w:tc>
        <w:tc>
          <w:tcPr>
            <w:tcW w:w="4705" w:type="dxa"/>
          </w:tcPr>
          <w:p w14:paraId="3457C18F" w14:textId="77777777" w:rsidR="00753A9E" w:rsidRDefault="00A426C4">
            <w:pPr>
              <w:bidi/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US$0.00</w:t>
            </w:r>
          </w:p>
        </w:tc>
      </w:tr>
      <w:tr w:rsidR="00753A9E" w14:paraId="7343044C" w14:textId="77777777" w:rsidTr="00697339">
        <w:tc>
          <w:tcPr>
            <w:tcW w:w="2989" w:type="dxa"/>
          </w:tcPr>
          <w:p w14:paraId="6BEEA92F" w14:textId="77777777" w:rsidR="00753A9E" w:rsidRDefault="00A426C4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Disbursement period:</w:t>
            </w:r>
          </w:p>
        </w:tc>
        <w:tc>
          <w:tcPr>
            <w:tcW w:w="4705" w:type="dxa"/>
          </w:tcPr>
          <w:p w14:paraId="3DDD70F4" w14:textId="77777777" w:rsidR="00753A9E" w:rsidRDefault="00A426C4">
            <w:pPr>
              <w:bidi/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24 months</w:t>
            </w:r>
          </w:p>
        </w:tc>
      </w:tr>
      <w:tr w:rsidR="00753A9E" w14:paraId="4A56DBCD" w14:textId="77777777" w:rsidTr="00697339">
        <w:tc>
          <w:tcPr>
            <w:tcW w:w="2989" w:type="dxa"/>
          </w:tcPr>
          <w:p w14:paraId="6D08D8A2" w14:textId="77777777" w:rsidR="00753A9E" w:rsidRDefault="00A426C4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Types of consultants:</w:t>
            </w:r>
          </w:p>
        </w:tc>
        <w:tc>
          <w:tcPr>
            <w:tcW w:w="4705" w:type="dxa"/>
          </w:tcPr>
          <w:p w14:paraId="076BB6F7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Individuals; Firms; Not applicable</w:t>
            </w:r>
          </w:p>
        </w:tc>
      </w:tr>
      <w:tr w:rsidR="00753A9E" w14:paraId="795B5F7A" w14:textId="77777777" w:rsidTr="00697339">
        <w:tc>
          <w:tcPr>
            <w:tcW w:w="2989" w:type="dxa"/>
          </w:tcPr>
          <w:p w14:paraId="013B188D" w14:textId="77777777" w:rsidR="00753A9E" w:rsidRDefault="00A426C4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Prepared by Unit:</w:t>
            </w:r>
          </w:p>
        </w:tc>
        <w:tc>
          <w:tcPr>
            <w:tcW w:w="4705" w:type="dxa"/>
          </w:tcPr>
          <w:p w14:paraId="53297ADD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CSD/CCS - Climate Change</w:t>
            </w:r>
          </w:p>
        </w:tc>
      </w:tr>
      <w:tr w:rsidR="00753A9E" w14:paraId="33494149" w14:textId="77777777" w:rsidTr="00697339">
        <w:tc>
          <w:tcPr>
            <w:tcW w:w="2989" w:type="dxa"/>
          </w:tcPr>
          <w:p w14:paraId="416AC5E7" w14:textId="77777777" w:rsidR="00753A9E" w:rsidRDefault="00A426C4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Unit of Disbursement Responsibility:</w:t>
            </w:r>
          </w:p>
        </w:tc>
        <w:tc>
          <w:tcPr>
            <w:tcW w:w="4705" w:type="dxa"/>
          </w:tcPr>
          <w:p w14:paraId="38370F0D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 xml:space="preserve">CSD - Climate </w:t>
            </w:r>
            <w:r>
              <w:rPr>
                <w:rFonts w:ascii="Arial" w:hAnsi="Arial" w:cs="Arial"/>
                <w:sz w:val="18"/>
                <w:szCs w:val="18"/>
              </w:rPr>
              <w:t>Change and Sustainable Development Sector</w:t>
            </w:r>
          </w:p>
        </w:tc>
      </w:tr>
      <w:tr w:rsidR="00753A9E" w14:paraId="7FCF2E13" w14:textId="77777777" w:rsidTr="00697339">
        <w:tc>
          <w:tcPr>
            <w:tcW w:w="2989" w:type="dxa"/>
          </w:tcPr>
          <w:p w14:paraId="1C5A6603" w14:textId="26C522F1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TC included in Country Strategy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  <w:t>▪ TC included in CPD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05" w:type="dxa"/>
          </w:tcPr>
          <w:p w14:paraId="5308486C" w14:textId="2264DBB8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br/>
              <w:t>No</w:t>
            </w:r>
          </w:p>
        </w:tc>
      </w:tr>
      <w:tr w:rsidR="00753A9E" w14:paraId="0652409B" w14:textId="77777777" w:rsidTr="00697339">
        <w:tc>
          <w:tcPr>
            <w:tcW w:w="2989" w:type="dxa"/>
          </w:tcPr>
          <w:p w14:paraId="4A277CBF" w14:textId="77777777" w:rsidR="00753A9E" w:rsidRDefault="00A426C4">
            <w:pPr>
              <w:spacing w:before="40" w:after="40"/>
              <w:ind w:left="115" w:hanging="115"/>
            </w:pPr>
            <w:r>
              <w:rPr>
                <w:rFonts w:ascii="Arial" w:hAnsi="Arial" w:cs="Arial"/>
                <w:sz w:val="18"/>
                <w:szCs w:val="18"/>
              </w:rPr>
              <w:t>▪</w:t>
            </w:r>
            <w:r>
              <w:rPr>
                <w:rFonts w:ascii="Arial" w:hAnsi="Arial" w:cs="Arial"/>
                <w:sz w:val="18"/>
                <w:szCs w:val="18"/>
              </w:rPr>
              <w:t xml:space="preserve"> Alignment to the Update to the Institutional Strategy 2010-2020:</w:t>
            </w:r>
          </w:p>
        </w:tc>
        <w:tc>
          <w:tcPr>
            <w:tcW w:w="4705" w:type="dxa"/>
          </w:tcPr>
          <w:p w14:paraId="67E99050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Social inclusion and equality ; Productivity and innovation ; Enviro</w:t>
            </w:r>
            <w:r>
              <w:rPr>
                <w:rFonts w:ascii="Arial" w:hAnsi="Arial" w:cs="Arial"/>
                <w:sz w:val="18"/>
                <w:szCs w:val="18"/>
              </w:rPr>
              <w:t>nmental sustainability</w:t>
            </w:r>
          </w:p>
        </w:tc>
      </w:tr>
      <w:tr w:rsidR="00753A9E" w14:paraId="73D0EBA8" w14:textId="77777777" w:rsidTr="00697339">
        <w:tc>
          <w:tcPr>
            <w:tcW w:w="2989" w:type="dxa"/>
          </w:tcPr>
          <w:p w14:paraId="1C85313C" w14:textId="77777777" w:rsidR="00753A9E" w:rsidRDefault="00753A9E"/>
        </w:tc>
        <w:tc>
          <w:tcPr>
            <w:tcW w:w="4705" w:type="dxa"/>
          </w:tcPr>
          <w:p w14:paraId="3CBE83BE" w14:textId="77777777" w:rsidR="00753A9E" w:rsidRDefault="00753A9E"/>
        </w:tc>
      </w:tr>
    </w:tbl>
    <w:p w14:paraId="30ED91DB" w14:textId="77777777" w:rsidR="00753A9E" w:rsidRDefault="00A426C4">
      <w:pPr>
        <w:spacing w:before="120" w:after="120"/>
        <w:ind w:left="579" w:hanging="579"/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  <w:t>Objective and Justification</w:t>
      </w:r>
    </w:p>
    <w:p w14:paraId="250141EC" w14:textId="77777777" w:rsidR="00753A9E" w:rsidRDefault="00A426C4">
      <w:pPr>
        <w:spacing w:before="120" w:after="120"/>
        <w:ind w:left="579" w:hanging="579"/>
        <w:jc w:val="both"/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  <w:t xml:space="preserve">The objective of this operation is to identify resilient, green growth opportunities in the infrastructure sector, with the highest possible multiplier effects for job creation, while </w:t>
      </w:r>
      <w:r>
        <w:rPr>
          <w:rFonts w:ascii="Arial" w:hAnsi="Arial" w:cs="Arial"/>
        </w:rPr>
        <w:t>helping contribute to the transition towards resilient, net zero emission growth models.</w:t>
      </w:r>
    </w:p>
    <w:p w14:paraId="3C4AB986" w14:textId="5D88D9A9" w:rsidR="00753A9E" w:rsidRDefault="00A426C4">
      <w:pPr>
        <w:spacing w:before="120" w:after="120"/>
        <w:ind w:left="579" w:hanging="579"/>
        <w:jc w:val="both"/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>While the entire socio-economic consequences of the grave CoViD-19 pandemic are yet to be fully understood, both ECLAC and the IMF in its Spring World Economic Out</w:t>
      </w:r>
      <w:r>
        <w:rPr>
          <w:rFonts w:ascii="Arial" w:hAnsi="Arial" w:cs="Arial"/>
        </w:rPr>
        <w:t xml:space="preserve">look seem to identify an economic cost which ranges between </w:t>
      </w:r>
      <w:r w:rsidR="0031542A">
        <w:rPr>
          <w:rFonts w:ascii="Arial" w:hAnsi="Arial" w:cs="Arial"/>
        </w:rPr>
        <w:t>five and nine percent</w:t>
      </w:r>
      <w:r>
        <w:rPr>
          <w:rFonts w:ascii="Arial" w:hAnsi="Arial" w:cs="Arial"/>
        </w:rPr>
        <w:t xml:space="preserve"> of regional GDP. IMF has also signaled that the economic recovery must be conducted in alignment with the sustainable development objectives, to help developing nations build resilience t</w:t>
      </w:r>
      <w:r>
        <w:rPr>
          <w:rFonts w:ascii="Arial" w:hAnsi="Arial" w:cs="Arial"/>
        </w:rPr>
        <w:t>oward future similar crises. As such, this Technical Cooperation will help identify the best cost-effective interventions that help address both the social and economic consequences of CoViD with a focus on building resilience toward any such future disast</w:t>
      </w:r>
      <w:r>
        <w:rPr>
          <w:rFonts w:ascii="Arial" w:hAnsi="Arial" w:cs="Arial"/>
        </w:rPr>
        <w:t>ers.</w:t>
      </w:r>
    </w:p>
    <w:p w14:paraId="19BC2BC3" w14:textId="77777777" w:rsidR="00753A9E" w:rsidRDefault="00A426C4">
      <w:pPr>
        <w:spacing w:before="120" w:after="120"/>
        <w:ind w:left="579" w:hanging="579"/>
      </w:pPr>
      <w:r>
        <w:rPr>
          <w:rFonts w:ascii="Arial" w:hAnsi="Arial" w:cs="Arial"/>
          <w:b/>
        </w:rPr>
        <w:lastRenderedPageBreak/>
        <w:t>III.</w:t>
      </w:r>
      <w:r>
        <w:rPr>
          <w:rFonts w:ascii="Arial" w:hAnsi="Arial" w:cs="Arial"/>
          <w:b/>
        </w:rPr>
        <w:tab/>
        <w:t>Description of Activities and Outputs</w:t>
      </w:r>
    </w:p>
    <w:p w14:paraId="62E7A8C3" w14:textId="7C2D1B85" w:rsidR="00753A9E" w:rsidRDefault="00A426C4">
      <w:pPr>
        <w:spacing w:before="120" w:after="120"/>
        <w:ind w:left="579" w:hanging="579"/>
        <w:jc w:val="both"/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Component I: Stronger National Political Economy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The purpose of </w:t>
      </w:r>
      <w:r w:rsidR="00697339">
        <w:rPr>
          <w:rFonts w:ascii="Arial" w:hAnsi="Arial" w:cs="Arial"/>
        </w:rPr>
        <w:t>the activities</w:t>
      </w:r>
      <w:r>
        <w:rPr>
          <w:rFonts w:ascii="Arial" w:hAnsi="Arial" w:cs="Arial"/>
        </w:rPr>
        <w:t xml:space="preserve"> carried under this component is to strengthen national capacity to respond to crisis. These activities include a stronger nation</w:t>
      </w:r>
      <w:r>
        <w:rPr>
          <w:rFonts w:ascii="Arial" w:hAnsi="Arial" w:cs="Arial"/>
        </w:rPr>
        <w:t>al political economy.</w:t>
      </w:r>
    </w:p>
    <w:p w14:paraId="6C422145" w14:textId="7B776C00" w:rsidR="00753A9E" w:rsidRDefault="00A426C4">
      <w:pPr>
        <w:spacing w:before="120" w:after="120"/>
        <w:ind w:left="579" w:hanging="579"/>
        <w:jc w:val="both"/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Component II: Research into relevant crisis recovery policies for social and economic sustainable growth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This component includes activities aimed at identifying the productive and social sectors that are hit with higher </w:t>
      </w:r>
      <w:r>
        <w:rPr>
          <w:rFonts w:ascii="Arial" w:hAnsi="Arial" w:cs="Arial"/>
        </w:rPr>
        <w:t>magnitude because of the ensuing socio-economic crisis. Research will be conducted to help identify the productive economic sectors which may lead to a faster recovery with a focus on sustainability.</w:t>
      </w:r>
    </w:p>
    <w:p w14:paraId="40034B81" w14:textId="3EB3314F" w:rsidR="00753A9E" w:rsidRDefault="00A426C4">
      <w:pPr>
        <w:spacing w:before="120" w:after="120"/>
        <w:ind w:left="579" w:hanging="579"/>
        <w:jc w:val="both"/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Component III: Research into sectors with competitiv</w:t>
      </w:r>
      <w:r>
        <w:rPr>
          <w:rFonts w:ascii="Arial" w:hAnsi="Arial" w:cs="Arial"/>
          <w:b/>
        </w:rPr>
        <w:t>eness gain potential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This component includes activities aimed at identifying the sectors where the largest competitiveness gains may be achieved with cost efficient public and private interventions.</w:t>
      </w:r>
    </w:p>
    <w:p w14:paraId="59745C05" w14:textId="54B1A927" w:rsidR="00753A9E" w:rsidRDefault="00A426C4">
      <w:pPr>
        <w:spacing w:before="120" w:after="120"/>
        <w:ind w:left="579" w:hanging="579"/>
        <w:jc w:val="both"/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Component IV: Stronger more resilient investments.</w:t>
      </w:r>
      <w:r w:rsidR="006973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This component will help advance research into best practices and implementing strategies to ensure the resilience of much-needed infrastructure investments that help maintain the continuity of government and operations, to reduce the economic impact of c</w:t>
      </w:r>
      <w:r>
        <w:rPr>
          <w:rFonts w:ascii="Arial" w:hAnsi="Arial" w:cs="Arial"/>
        </w:rPr>
        <w:t>atastrophic events.</w:t>
      </w:r>
    </w:p>
    <w:p w14:paraId="5FFB0295" w14:textId="77777777" w:rsidR="00753A9E" w:rsidRDefault="00A426C4">
      <w:pPr>
        <w:spacing w:before="120" w:after="120"/>
        <w:ind w:left="579" w:hanging="579"/>
      </w:pPr>
      <w:r>
        <w:rPr>
          <w:rFonts w:ascii="Arial" w:hAnsi="Arial" w:cs="Arial"/>
          <w:b/>
        </w:rPr>
        <w:t>IV.</w:t>
      </w:r>
      <w:r>
        <w:rPr>
          <w:rFonts w:ascii="Arial" w:hAnsi="Arial" w:cs="Arial"/>
          <w:b/>
        </w:rPr>
        <w:tab/>
        <w:t>Budget</w:t>
      </w:r>
    </w:p>
    <w:p w14:paraId="3B9EF502" w14:textId="1ABCE9D9" w:rsidR="00753A9E" w:rsidRDefault="00A426C4" w:rsidP="00697339">
      <w:pPr>
        <w:spacing w:before="240" w:after="120"/>
        <w:ind w:left="540"/>
        <w:jc w:val="center"/>
      </w:pPr>
      <w:r>
        <w:rPr>
          <w:rFonts w:ascii="Arial" w:hAnsi="Arial" w:cs="Arial"/>
          <w:b/>
          <w:sz w:val="18"/>
          <w:szCs w:val="18"/>
        </w:rPr>
        <w:t>Indicative Budget</w:t>
      </w:r>
      <w:r w:rsidR="00697339">
        <w:rPr>
          <w:rFonts w:ascii="Arial" w:hAnsi="Arial" w:cs="Arial"/>
          <w:b/>
          <w:sz w:val="18"/>
          <w:szCs w:val="18"/>
        </w:rPr>
        <w:t xml:space="preserve"> (US$)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491"/>
        <w:gridCol w:w="1018"/>
        <w:gridCol w:w="1246"/>
        <w:gridCol w:w="1029"/>
      </w:tblGrid>
      <w:tr w:rsidR="00753A9E" w14:paraId="19E44F52" w14:textId="77777777" w:rsidTr="00697339">
        <w:tc>
          <w:tcPr>
            <w:tcW w:w="4491" w:type="dxa"/>
            <w:shd w:val="clear" w:color="auto" w:fill="E7E6E6" w:themeFill="background2"/>
            <w:vAlign w:val="center"/>
          </w:tcPr>
          <w:p w14:paraId="5C2A1043" w14:textId="77777777" w:rsidR="00753A9E" w:rsidRDefault="00A426C4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Activity/Component</w:t>
            </w:r>
          </w:p>
        </w:tc>
        <w:tc>
          <w:tcPr>
            <w:tcW w:w="1018" w:type="dxa"/>
            <w:shd w:val="clear" w:color="auto" w:fill="E7E6E6" w:themeFill="background2"/>
          </w:tcPr>
          <w:p w14:paraId="54BEBF91" w14:textId="77777777" w:rsidR="00753A9E" w:rsidRDefault="00A426C4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IDB/Fund Funding</w:t>
            </w:r>
          </w:p>
        </w:tc>
        <w:tc>
          <w:tcPr>
            <w:tcW w:w="1246" w:type="dxa"/>
            <w:shd w:val="clear" w:color="auto" w:fill="E7E6E6" w:themeFill="background2"/>
          </w:tcPr>
          <w:p w14:paraId="34C806BA" w14:textId="77777777" w:rsidR="00753A9E" w:rsidRDefault="00A426C4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Counterpart Funding</w:t>
            </w:r>
          </w:p>
        </w:tc>
        <w:tc>
          <w:tcPr>
            <w:tcW w:w="1029" w:type="dxa"/>
            <w:shd w:val="clear" w:color="auto" w:fill="E7E6E6" w:themeFill="background2"/>
          </w:tcPr>
          <w:p w14:paraId="78B6DA5E" w14:textId="77777777" w:rsidR="00753A9E" w:rsidRDefault="00A426C4">
            <w:pPr>
              <w:spacing w:before="40" w:after="4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Total Funding</w:t>
            </w:r>
          </w:p>
        </w:tc>
      </w:tr>
      <w:tr w:rsidR="00753A9E" w14:paraId="4F276502" w14:textId="77777777" w:rsidTr="00697339">
        <w:tc>
          <w:tcPr>
            <w:tcW w:w="4491" w:type="dxa"/>
            <w:vAlign w:val="center"/>
          </w:tcPr>
          <w:p w14:paraId="66C3CA56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Stronger National Political Economy.</w:t>
            </w:r>
          </w:p>
        </w:tc>
        <w:tc>
          <w:tcPr>
            <w:tcW w:w="1018" w:type="dxa"/>
            <w:vAlign w:val="center"/>
          </w:tcPr>
          <w:p w14:paraId="00364560" w14:textId="4AA6B8B1" w:rsidR="00753A9E" w:rsidRDefault="00A426C4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246" w:type="dxa"/>
            <w:vAlign w:val="center"/>
          </w:tcPr>
          <w:p w14:paraId="3D101837" w14:textId="2EE04D47" w:rsidR="00753A9E" w:rsidRDefault="00753A9E">
            <w:pPr>
              <w:spacing w:before="40" w:after="40"/>
              <w:jc w:val="right"/>
            </w:pPr>
          </w:p>
        </w:tc>
        <w:tc>
          <w:tcPr>
            <w:tcW w:w="1029" w:type="dxa"/>
            <w:vAlign w:val="center"/>
          </w:tcPr>
          <w:p w14:paraId="2D7DD37E" w14:textId="7AABE6CA" w:rsidR="00753A9E" w:rsidRDefault="00A426C4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753A9E" w14:paraId="01BBE95D" w14:textId="77777777" w:rsidTr="00697339">
        <w:tc>
          <w:tcPr>
            <w:tcW w:w="4491" w:type="dxa"/>
            <w:vAlign w:val="center"/>
          </w:tcPr>
          <w:p w14:paraId="355AEE92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 xml:space="preserve">Research into relevant crisis recovery policies for social </w:t>
            </w:r>
            <w:r>
              <w:rPr>
                <w:rFonts w:ascii="Arial" w:hAnsi="Arial" w:cs="Arial"/>
                <w:sz w:val="18"/>
                <w:szCs w:val="18"/>
              </w:rPr>
              <w:t>and economic sustainable growth.</w:t>
            </w:r>
          </w:p>
        </w:tc>
        <w:tc>
          <w:tcPr>
            <w:tcW w:w="1018" w:type="dxa"/>
            <w:vAlign w:val="center"/>
          </w:tcPr>
          <w:p w14:paraId="7C7F1FA4" w14:textId="77748358" w:rsidR="00753A9E" w:rsidRDefault="00A426C4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246" w:type="dxa"/>
            <w:vAlign w:val="center"/>
          </w:tcPr>
          <w:p w14:paraId="33EDD728" w14:textId="6E016A7E" w:rsidR="00753A9E" w:rsidRDefault="00A426C4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9" w:type="dxa"/>
            <w:vAlign w:val="center"/>
          </w:tcPr>
          <w:p w14:paraId="4663E7AE" w14:textId="209E506A" w:rsidR="00753A9E" w:rsidRDefault="00A426C4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753A9E" w14:paraId="2379E0DD" w14:textId="77777777" w:rsidTr="00697339">
        <w:tc>
          <w:tcPr>
            <w:tcW w:w="4491" w:type="dxa"/>
            <w:vAlign w:val="center"/>
          </w:tcPr>
          <w:p w14:paraId="20F43E86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Research into sectors with competitiveness gain potential.</w:t>
            </w:r>
          </w:p>
        </w:tc>
        <w:tc>
          <w:tcPr>
            <w:tcW w:w="1018" w:type="dxa"/>
            <w:vAlign w:val="center"/>
          </w:tcPr>
          <w:p w14:paraId="550F54D3" w14:textId="539311C7" w:rsidR="00753A9E" w:rsidRDefault="00A426C4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246" w:type="dxa"/>
            <w:vAlign w:val="center"/>
          </w:tcPr>
          <w:p w14:paraId="483611B2" w14:textId="2895F2B5" w:rsidR="00753A9E" w:rsidRDefault="00A426C4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9" w:type="dxa"/>
            <w:vAlign w:val="center"/>
          </w:tcPr>
          <w:p w14:paraId="5D51BAD8" w14:textId="4921F1C5" w:rsidR="00753A9E" w:rsidRDefault="00A426C4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753A9E" w14:paraId="569CEEFB" w14:textId="77777777" w:rsidTr="00697339">
        <w:tc>
          <w:tcPr>
            <w:tcW w:w="4491" w:type="dxa"/>
            <w:vAlign w:val="center"/>
          </w:tcPr>
          <w:p w14:paraId="15B44372" w14:textId="77777777" w:rsidR="00753A9E" w:rsidRDefault="00A426C4">
            <w:pPr>
              <w:spacing w:before="40" w:after="40"/>
            </w:pPr>
            <w:r>
              <w:rPr>
                <w:rFonts w:ascii="Arial" w:hAnsi="Arial" w:cs="Arial"/>
                <w:sz w:val="18"/>
                <w:szCs w:val="18"/>
              </w:rPr>
              <w:t>Stronger more resilient investments.</w:t>
            </w:r>
          </w:p>
        </w:tc>
        <w:tc>
          <w:tcPr>
            <w:tcW w:w="1018" w:type="dxa"/>
            <w:vAlign w:val="center"/>
          </w:tcPr>
          <w:p w14:paraId="3F8C38FE" w14:textId="2C3E8AE6" w:rsidR="00753A9E" w:rsidRDefault="00A426C4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  <w:tc>
          <w:tcPr>
            <w:tcW w:w="1246" w:type="dxa"/>
            <w:vAlign w:val="center"/>
          </w:tcPr>
          <w:p w14:paraId="0173342E" w14:textId="75290E50" w:rsidR="00753A9E" w:rsidRDefault="00A426C4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9" w:type="dxa"/>
            <w:vAlign w:val="center"/>
          </w:tcPr>
          <w:p w14:paraId="3BA57C43" w14:textId="02C50354" w:rsidR="00753A9E" w:rsidRDefault="00A426C4">
            <w:pPr>
              <w:spacing w:before="40" w:after="4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</w:tr>
      <w:tr w:rsidR="00753A9E" w14:paraId="2A08A08C" w14:textId="77777777" w:rsidTr="00697339">
        <w:tc>
          <w:tcPr>
            <w:tcW w:w="4491" w:type="dxa"/>
            <w:shd w:val="clear" w:color="auto" w:fill="F2F2F2" w:themeFill="background1" w:themeFillShade="F2"/>
            <w:vAlign w:val="center"/>
          </w:tcPr>
          <w:p w14:paraId="5D88F3EA" w14:textId="77777777" w:rsidR="00753A9E" w:rsidRDefault="00A426C4" w:rsidP="00697339">
            <w:pPr>
              <w:spacing w:before="40" w:after="40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18" w:type="dxa"/>
            <w:shd w:val="clear" w:color="auto" w:fill="F2F2F2" w:themeFill="background1" w:themeFillShade="F2"/>
            <w:vAlign w:val="center"/>
          </w:tcPr>
          <w:p w14:paraId="6A0244F4" w14:textId="663A6D4B" w:rsidR="00753A9E" w:rsidRDefault="00A426C4">
            <w:pPr>
              <w:spacing w:before="40" w:after="40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350,000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741C2286" w14:textId="46019B51" w:rsidR="00753A9E" w:rsidRDefault="00A426C4">
            <w:pPr>
              <w:spacing w:before="40" w:after="40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14:paraId="76655F5E" w14:textId="3FF227DF" w:rsidR="00753A9E" w:rsidRDefault="00A426C4">
            <w:pPr>
              <w:spacing w:before="40" w:after="40"/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350,000</w:t>
            </w:r>
          </w:p>
        </w:tc>
      </w:tr>
    </w:tbl>
    <w:p w14:paraId="2803D707" w14:textId="77777777" w:rsidR="00753A9E" w:rsidRDefault="00A426C4" w:rsidP="0031542A">
      <w:pPr>
        <w:spacing w:before="240" w:after="120"/>
        <w:ind w:left="576" w:hanging="576"/>
      </w:pPr>
      <w:r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ab/>
        <w:t>Executing Agency and Execution Structure</w:t>
      </w:r>
    </w:p>
    <w:p w14:paraId="365CFBEA" w14:textId="77777777" w:rsidR="00753A9E" w:rsidRDefault="00A426C4">
      <w:pPr>
        <w:spacing w:before="200" w:after="200"/>
        <w:ind w:left="579" w:hanging="579"/>
        <w:jc w:val="both"/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>Given the Research and Dissemination nature of this T.C., as well as the scope of the operations’ activities, the Climate Change (CSD/CCS) division of the IDB will act as the unit of ba</w:t>
      </w:r>
      <w:r>
        <w:rPr>
          <w:rFonts w:ascii="Arial" w:hAnsi="Arial" w:cs="Arial"/>
        </w:rPr>
        <w:t>sic responsibility for the execution of this T.C. Activities will be carried out in coordination with CSD/CSD.</w:t>
      </w:r>
      <w:r>
        <w:rPr>
          <w:rFonts w:ascii="Arial" w:hAnsi="Arial" w:cs="Arial"/>
        </w:rPr>
        <w:br/>
        <w:t>All hired consultancies and other procurement activities relevant for the execution of the operation will be in accordance with the Bank’s proced</w:t>
      </w:r>
      <w:r>
        <w:rPr>
          <w:rFonts w:ascii="Arial" w:hAnsi="Arial" w:cs="Arial"/>
        </w:rPr>
        <w:t>ures and policies.</w:t>
      </w:r>
    </w:p>
    <w:p w14:paraId="283907B7" w14:textId="77777777" w:rsidR="00753A9E" w:rsidRDefault="00A426C4">
      <w:pPr>
        <w:spacing w:before="200" w:after="200"/>
        <w:ind w:left="579" w:hanging="579"/>
        <w:jc w:val="both"/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  <w:t>CSD/CCS (HQ) has ample experience in the development of said R&amp;D operations.</w:t>
      </w:r>
    </w:p>
    <w:p w14:paraId="2EE9CACD" w14:textId="77777777" w:rsidR="00753A9E" w:rsidRDefault="00A426C4">
      <w:pPr>
        <w:spacing w:before="120" w:after="120"/>
        <w:ind w:left="579" w:hanging="579"/>
      </w:pPr>
      <w:r>
        <w:rPr>
          <w:rFonts w:ascii="Arial" w:hAnsi="Arial" w:cs="Arial"/>
          <w:b/>
        </w:rPr>
        <w:t>VI.</w:t>
      </w:r>
      <w:r>
        <w:rPr>
          <w:rFonts w:ascii="Arial" w:hAnsi="Arial" w:cs="Arial"/>
          <w:b/>
        </w:rPr>
        <w:tab/>
        <w:t>Project Risks and Issues</w:t>
      </w:r>
    </w:p>
    <w:p w14:paraId="4FB603AA" w14:textId="77777777" w:rsidR="00697339" w:rsidRDefault="00A426C4">
      <w:pPr>
        <w:spacing w:before="200" w:after="200"/>
        <w:ind w:left="579" w:hanging="579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  <w:t>The identification of ongoing efforts must account for existing national specificities for replication throughout LAC. Spec</w:t>
      </w:r>
      <w:r>
        <w:rPr>
          <w:rFonts w:ascii="Arial" w:hAnsi="Arial" w:cs="Arial"/>
        </w:rPr>
        <w:t xml:space="preserve">ific political economy considerations arising from factors such as local regulation, budget, and balance of payment priorities may hinder replicability. CSD/CCS experience in </w:t>
      </w:r>
      <w:r>
        <w:rPr>
          <w:rFonts w:ascii="Arial" w:hAnsi="Arial" w:cs="Arial"/>
        </w:rPr>
        <w:lastRenderedPageBreak/>
        <w:t>different national contexts, as well as IDB Group experience will prove instrumen</w:t>
      </w:r>
      <w:r>
        <w:rPr>
          <w:rFonts w:ascii="Arial" w:hAnsi="Arial" w:cs="Arial"/>
        </w:rPr>
        <w:t>tal in mitigating this risk.</w:t>
      </w:r>
    </w:p>
    <w:p w14:paraId="5A15F3B6" w14:textId="76607B42" w:rsidR="00753A9E" w:rsidRDefault="00697339">
      <w:pPr>
        <w:spacing w:before="200" w:after="200"/>
        <w:ind w:left="579" w:hanging="579"/>
        <w:jc w:val="both"/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</w:r>
      <w:r w:rsidR="00A426C4">
        <w:rPr>
          <w:rFonts w:ascii="Arial" w:hAnsi="Arial" w:cs="Arial"/>
        </w:rPr>
        <w:t>The final outlook of the region's economic cost related to CoViD-19 is yet unknown. However, ECLAC and IMF predictions set the most optimist scenario at  an approximate value of 5%. Activities considered under these T.C.s are n</w:t>
      </w:r>
      <w:r w:rsidR="00A426C4">
        <w:rPr>
          <w:rFonts w:ascii="Arial" w:hAnsi="Arial" w:cs="Arial"/>
        </w:rPr>
        <w:t>o-regret activities which will help strengthen regional growth models and so, will not be conditioned by potentially faster/stronger economic recovery. In fact, they could help catalyze such a recovery.</w:t>
      </w:r>
    </w:p>
    <w:p w14:paraId="173373C6" w14:textId="77777777" w:rsidR="00753A9E" w:rsidRDefault="00A426C4">
      <w:pPr>
        <w:spacing w:before="120" w:after="120"/>
        <w:ind w:left="579" w:hanging="579"/>
      </w:pPr>
      <w:r>
        <w:rPr>
          <w:rFonts w:ascii="Arial" w:hAnsi="Arial" w:cs="Arial"/>
          <w:b/>
        </w:rPr>
        <w:t>VII.</w:t>
      </w:r>
      <w:r>
        <w:rPr>
          <w:rFonts w:ascii="Arial" w:hAnsi="Arial" w:cs="Arial"/>
          <w:b/>
        </w:rPr>
        <w:tab/>
        <w:t>Environmental and Social Classification</w:t>
      </w:r>
    </w:p>
    <w:p w14:paraId="2BED2090" w14:textId="77777777" w:rsidR="00753A9E" w:rsidRDefault="00A426C4">
      <w:pPr>
        <w:spacing w:before="240" w:after="120"/>
        <w:ind w:left="579" w:hanging="579"/>
        <w:jc w:val="both"/>
      </w:pPr>
      <w:r>
        <w:rPr>
          <w:rFonts w:ascii="Arial" w:hAnsi="Arial" w:cs="Arial"/>
        </w:rPr>
        <w:t>7.1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</w:rPr>
        <w:t>ESG classification for this operation is "C".</w:t>
      </w:r>
    </w:p>
    <w:sectPr w:rsidR="00753A9E" w:rsidSect="0069733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6978" w14:textId="77777777" w:rsidR="00A426C4" w:rsidRDefault="00A426C4">
      <w:r>
        <w:separator/>
      </w:r>
    </w:p>
  </w:endnote>
  <w:endnote w:type="continuationSeparator" w:id="0">
    <w:p w14:paraId="6C5698D2" w14:textId="77777777" w:rsidR="00A426C4" w:rsidRDefault="00A4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4E58F" w14:textId="77777777" w:rsidR="00753A9E" w:rsidRDefault="00A426C4">
    <w:pPr>
      <w:pStyle w:val="FooterStyle"/>
      <w:jc w:val="center"/>
    </w:pPr>
    <w:r>
      <w:t xml:space="preserve"> - </w:t>
    </w:r>
    <w:r>
      <w:fldChar w:fldCharType="begin"/>
    </w:r>
    <w:r>
      <w:instrText xml:space="preserve"> PAGE </w:instrText>
    </w:r>
    <w:r w:rsidR="00C36B84">
      <w:fldChar w:fldCharType="separate"/>
    </w:r>
    <w:r w:rsidR="00C36B84">
      <w:rPr>
        <w:noProof/>
      </w:rPr>
      <w:t>1</w:t>
    </w:r>
    <w:r>
      <w:fldChar w:fldCharType="end"/>
    </w:r>
    <w: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A3252" w14:textId="77777777" w:rsidR="00A426C4" w:rsidRDefault="00A426C4">
      <w:r>
        <w:separator/>
      </w:r>
    </w:p>
  </w:footnote>
  <w:footnote w:type="continuationSeparator" w:id="0">
    <w:p w14:paraId="2CD3DFEC" w14:textId="77777777" w:rsidR="00A426C4" w:rsidRDefault="00A42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217F62"/>
    <w:rsid w:val="0031542A"/>
    <w:rsid w:val="00697339"/>
    <w:rsid w:val="00753A9E"/>
    <w:rsid w:val="007F115D"/>
    <w:rsid w:val="00A426C4"/>
    <w:rsid w:val="00A906D8"/>
    <w:rsid w:val="00AB5A74"/>
    <w:rsid w:val="00B20A4B"/>
    <w:rsid w:val="00C36B8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0A9C"/>
  <w15:docId w15:val="{EDF56F44-B9AA-4E17-8877-A985374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oterStyle">
    <w:name w:val="FooterStyle"/>
    <w:rPr>
      <w:rFonts w:ascii="Arial" w:eastAsia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1EFB50F7A2001F4BB0AF81A9B9E01DA0" ma:contentTypeVersion="0" ma:contentTypeDescription="The base project type from which other project content types inherit their information." ma:contentTypeScope="" ma:versionID="217977a73b697010eca6d0fda204654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1571a30b159bb5148c3ab80b299fb76d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RG-T3701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42635FA0435ADD40BDBFB26CD137C808" ma:contentTypeVersion="0" ma:contentTypeDescription="A content type to manage public (operations) IDB documents" ma:contentTypeScope="" ma:versionID="2fcd855d7a9a4ab7d2ada6a97e7b4248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a73a5cde706bcd1146714e272d9bc864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RG-T3701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RG</TermName>
          <TermId xmlns="http://schemas.microsoft.com/office/infopath/2007/PartnerControls">2537a5b7-6d8e-482c-94dc-32c3cc44ff65</TermId>
        </TermInfo>
      </Terms>
    </ic46d7e087fd4a108fb86518ca413cc6>
    <IDBDocs_x0020_Number xmlns="cdc7663a-08f0-4737-9e8c-148ce897a09c" xsi:nil="true"/>
    <Division_x0020_or_x0020_Unit xmlns="cdc7663a-08f0-4737-9e8c-148ce897a09c">CSD/CCS</Division_x0020_or_x0020_Unit>
    <Fiscal_x0020_Year_x0020_IDB xmlns="cdc7663a-08f0-4737-9e8c-148ce897a09c">2020</Fiscal_x0020_Year_x0020_IDB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 Planning and Design</TermName>
          <TermId xmlns="http://schemas.microsoft.com/office/infopath/2007/PartnerControls">29ca0c72-1fc4-435f-a09c-28585cb5eac9</TermId>
        </TermInfo>
      </Terms>
    </e46fe2894295491da65140ffd2369f49>
    <Other_x0020_Author xmlns="cdc7663a-08f0-4737-9e8c-148ce897a09c" xsi:nil="true"/>
    <Migration_x0020_Info xmlns="cdc7663a-08f0-4737-9e8c-148ce897a09c" xsi:nil="true"/>
    <Approval_x0020_Number xmlns="cdc7663a-08f0-4737-9e8c-148ce897a09c" xsi:nil="true"/>
    <Phase xmlns="cdc7663a-08f0-4737-9e8c-148ce897a09c">ACTIVE</Phase>
    <Document_x0020_Author xmlns="cdc7663a-08f0-4737-9e8c-148ce897a09c">Gomez Sandoval Juan Carlos</Document_x0020_Author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PA-ADA</TermName>
          <TermId xmlns="http://schemas.microsoft.com/office/infopath/2007/PartnerControls">d69113c3-94f3-4894-9c2f-0ab925485eb4</TermId>
        </TermInfo>
      </Terms>
    </b2ec7cfb18674cb8803df6b262e8b107>
    <Business_x0020_Area xmlns="cdc7663a-08f0-4737-9e8c-148ce897a09c">Life Cycle</Business_x0020_Area>
    <Key_x0020_Document xmlns="cdc7663a-08f0-4737-9e8c-148ce897a09c">false</Key_x0020_Document>
    <Document_x0020_Language_x0020_IDB xmlns="cdc7663a-08f0-4737-9e8c-148ce897a09c">English</Document_x0020_Language_x0020_IDB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ACL</TermName>
          <TermId xmlns="http://schemas.microsoft.com/office/infopath/2007/PartnerControls">889aa697-df0a-4674-98ae-3686e39a83d1</TermId>
        </TermInfo>
        <TermInfo xmlns="http://schemas.microsoft.com/office/infopath/2007/PartnerControls">
          <TermName xmlns="http://schemas.microsoft.com/office/infopath/2007/PartnerControls">SUS</TermName>
          <TermId xmlns="http://schemas.microsoft.com/office/infopath/2007/PartnerControls">a52fbbab-6bb9-4f53-9a43-d35ec8453bb2</TermId>
        </TermInfo>
      </Terms>
    </g511464f9e53401d84b16fa9b379a574>
    <Related_x0020_SisCor_x0020_Number xmlns="cdc7663a-08f0-4737-9e8c-148ce897a09c" xsi:nil="true"/>
    <TaxCatchAll xmlns="cdc7663a-08f0-4737-9e8c-148ce897a09c">
      <Value>560</Value>
      <Value>44</Value>
      <Value>483</Value>
      <Value>84</Value>
      <Value>1</Value>
      <Value>51</Value>
    </TaxCatchAll>
    <Operation_x0020_Type xmlns="cdc7663a-08f0-4737-9e8c-148ce897a09c">TCP</Operation_x0020_Type>
    <Package_x0020_Code xmlns="cdc7663a-08f0-4737-9e8c-148ce897a09c" xsi:nil="true"/>
    <Identifier xmlns="cdc7663a-08f0-4737-9e8c-148ce897a09c" xsi:nil="true"/>
    <Project_x0020_Number xmlns="cdc7663a-08f0-4737-9e8c-148ce897a09c">RG-T3701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</TermName>
          <TermId xmlns="http://schemas.microsoft.com/office/infopath/2007/PartnerControls">261e2b33-090b-4ab0-8e06-3aa3e7f32d57</TermId>
        </TermInfo>
      </Terms>
    </nddeef1749674d76abdbe4b239a70bc6>
    <Record_x0020_Number xmlns="cdc7663a-08f0-4737-9e8c-148ce897a09c" xsi:nil="true"/>
    <_dlc_DocId xmlns="cdc7663a-08f0-4737-9e8c-148ce897a09c">EZSHARE-546578247-7</_dlc_DocId>
    <_dlc_DocIdUrl xmlns="cdc7663a-08f0-4737-9e8c-148ce897a09c">
      <Url>https://idbg.sharepoint.com/teams/EZ-RG-TCP/RG-T3701/_layouts/15/DocIdRedir.aspx?ID=EZSHARE-546578247-7</Url>
      <Description>EZSHARE-546578247-7</Description>
    </_dlc_DocIdUrl>
    <Disclosure_x0020_Activity xmlns="cdc7663a-08f0-4737-9e8c-148ce897a09c">TC Abstract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Props1.xml><?xml version="1.0" encoding="utf-8"?>
<ds:datastoreItem xmlns:ds="http://schemas.openxmlformats.org/officeDocument/2006/customXml" ds:itemID="{0150ABD3-3CB3-4197-9D07-0501DDA30FE0}"/>
</file>

<file path=customXml/itemProps2.xml><?xml version="1.0" encoding="utf-8"?>
<ds:datastoreItem xmlns:ds="http://schemas.openxmlformats.org/officeDocument/2006/customXml" ds:itemID="{38A1F4A3-A320-4C08-BF6B-018E142218F9}"/>
</file>

<file path=customXml/itemProps3.xml><?xml version="1.0" encoding="utf-8"?>
<ds:datastoreItem xmlns:ds="http://schemas.openxmlformats.org/officeDocument/2006/customXml" ds:itemID="{70F0A8A4-B365-44F6-92A1-1F5F3DDD1B65}"/>
</file>

<file path=customXml/itemProps4.xml><?xml version="1.0" encoding="utf-8"?>
<ds:datastoreItem xmlns:ds="http://schemas.openxmlformats.org/officeDocument/2006/customXml" ds:itemID="{81B5E8DB-CB2C-40E5-9278-4EFD2B8F0526}"/>
</file>

<file path=customXml/itemProps5.xml><?xml version="1.0" encoding="utf-8"?>
<ds:datastoreItem xmlns:ds="http://schemas.openxmlformats.org/officeDocument/2006/customXml" ds:itemID="{D310AFDA-80B9-4505-A7E7-C8663F9A84AB}"/>
</file>

<file path=customXml/itemProps6.xml><?xml version="1.0" encoding="utf-8"?>
<ds:datastoreItem xmlns:ds="http://schemas.openxmlformats.org/officeDocument/2006/customXml" ds:itemID="{7800AD30-3A5A-4DA2-ABE6-5E6DF0F9A9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Gomez, Juan Carlos</dc:creator>
  <cp:keywords/>
  <cp:lastModifiedBy>Gomez, Juan Carlos</cp:lastModifiedBy>
  <cp:revision>6</cp:revision>
  <dcterms:created xsi:type="dcterms:W3CDTF">2020-09-09T13:25:00Z</dcterms:created>
  <dcterms:modified xsi:type="dcterms:W3CDTF">2020-09-09T13:31:00Z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ub_x002d_Sector">
    <vt:lpwstr/>
  </property>
  <property fmtid="{D5CDD505-2E9C-101B-9397-08002B2CF9AE}" pid="5" name="TaxKeywordTaxHTField">
    <vt:lpwstr/>
  </property>
  <property fmtid="{D5CDD505-2E9C-101B-9397-08002B2CF9AE}" pid="6" name="Country">
    <vt:lpwstr>44;#RG|2537a5b7-6d8e-482c-94dc-32c3cc44ff65</vt:lpwstr>
  </property>
  <property fmtid="{D5CDD505-2E9C-101B-9397-08002B2CF9AE}" pid="7" name="Fund_x0020_IDB">
    <vt:lpwstr/>
  </property>
  <property fmtid="{D5CDD505-2E9C-101B-9397-08002B2CF9AE}" pid="8" name="Series_x0020_Operations_x0020_IDB">
    <vt:lpwstr/>
  </property>
  <property fmtid="{D5CDD505-2E9C-101B-9397-08002B2CF9AE}" pid="9" name="Function Operations IDB">
    <vt:lpwstr>1;#Project Preparation Planning and Design|29ca0c72-1fc4-435f-a09c-28585cb5eac9</vt:lpwstr>
  </property>
  <property fmtid="{D5CDD505-2E9C-101B-9397-08002B2CF9AE}" pid="10" name="Sector_x0020_IDB">
    <vt:lpwstr/>
  </property>
  <property fmtid="{D5CDD505-2E9C-101B-9397-08002B2CF9AE}" pid="11" name="Sub-Sector">
    <vt:lpwstr>84;#PA-ADA|d69113c3-94f3-4894-9c2f-0ab925485eb4</vt:lpwstr>
  </property>
  <property fmtid="{D5CDD505-2E9C-101B-9397-08002B2CF9AE}" pid="13" name="Fund IDB">
    <vt:lpwstr>560;#ACL|889aa697-df0a-4674-98ae-3686e39a83d1;#483;#SUS|a52fbbab-6bb9-4f53-9a43-d35ec8453bb2</vt:lpwstr>
  </property>
  <property fmtid="{D5CDD505-2E9C-101B-9397-08002B2CF9AE}" pid="14" name="Sector IDB">
    <vt:lpwstr>51;#PA|261e2b33-090b-4ab0-8e06-3aa3e7f32d57</vt:lpwstr>
  </property>
  <property fmtid="{D5CDD505-2E9C-101B-9397-08002B2CF9AE}" pid="15" name="_dlc_DocIdItemGuid">
    <vt:lpwstr>2ca289ae-e015-4b49-8978-ad622f8ff807</vt:lpwstr>
  </property>
  <property fmtid="{D5CDD505-2E9C-101B-9397-08002B2CF9AE}" pid="16" name="Disclosure Activity">
    <vt:lpwstr>TC Abstract</vt:lpwstr>
  </property>
  <property fmtid="{D5CDD505-2E9C-101B-9397-08002B2CF9AE}" pid="17" name="ContentTypeId">
    <vt:lpwstr>0x0101001A458A224826124E8B45B1D613300CFC0042635FA0435ADD40BDBFB26CD137C808</vt:lpwstr>
  </property>
  <property fmtid="{D5CDD505-2E9C-101B-9397-08002B2CF9AE}" pid="18" name="Series Operations IDB">
    <vt:lpwstr/>
  </property>
</Properties>
</file>