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style3.xml" ContentType="application/vnd.ms-office.chart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1.xml" ContentType="application/vnd.openxmlformats-officedocument.theme+xml"/>
  <Override PartName="/word/charts/colors14.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glossary/document.xml" ContentType="application/vnd.openxmlformats-officedocument.wordprocessingml.document.glossary+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c="http://schemas.openxmlformats.org/drawingml/2006/chart" mc:Ignorable="w14 w15 w16se w16cid wp14">
  <w:body>
    <w:p w:rsidRPr="002F341C" w:rsidR="00F97EF2" w:rsidP="00F97EF2" w:rsidRDefault="00F97EF2" w14:paraId="34AD4341" w14:textId="77777777">
      <w:pPr>
        <w:pStyle w:val="SubSubPar"/>
        <w:numPr>
          <w:ilvl w:val="0"/>
          <w:numId w:val="0"/>
        </w:numPr>
        <w:spacing w:after="0"/>
        <w:jc w:val="center"/>
        <w:rPr>
          <w:rFonts w:ascii="Arial" w:hAnsi="Arial" w:cs="Arial"/>
          <w:smallCaps/>
          <w:sz w:val="22"/>
          <w:szCs w:val="22"/>
        </w:rPr>
      </w:pPr>
      <w:bookmarkStart w:name="_Toc17804012" w:id="0"/>
      <w:r w:rsidRPr="002F341C">
        <w:rPr>
          <w:rFonts w:ascii="Arial" w:hAnsi="Arial" w:cs="Arial"/>
          <w:smallCaps/>
          <w:sz w:val="22"/>
          <w:szCs w:val="22"/>
        </w:rPr>
        <w:t>Documento del Banco Interamericano de Desarrollo</w:t>
      </w:r>
      <w:bookmarkEnd w:id="0"/>
    </w:p>
    <w:p w:rsidRPr="002F341C" w:rsidR="00F97EF2" w:rsidP="00F97EF2" w:rsidRDefault="00F97EF2" w14:paraId="75F9E11D" w14:textId="77777777">
      <w:pPr>
        <w:tabs>
          <w:tab w:val="left" w:pos="1440"/>
          <w:tab w:val="left" w:pos="3060"/>
        </w:tabs>
        <w:jc w:val="center"/>
        <w:rPr>
          <w:rFonts w:ascii="Arial" w:hAnsi="Arial" w:cs="Arial"/>
          <w:smallCaps/>
          <w:sz w:val="22"/>
          <w:szCs w:val="22"/>
        </w:rPr>
      </w:pPr>
    </w:p>
    <w:p w:rsidRPr="002F341C" w:rsidR="00F97EF2" w:rsidP="00F97EF2" w:rsidRDefault="00F97EF2" w14:paraId="0E3E00D6" w14:textId="77777777">
      <w:pPr>
        <w:tabs>
          <w:tab w:val="left" w:pos="1440"/>
          <w:tab w:val="left" w:pos="3060"/>
        </w:tabs>
        <w:jc w:val="center"/>
        <w:rPr>
          <w:rFonts w:ascii="Arial" w:hAnsi="Arial" w:cs="Arial"/>
          <w:smallCaps/>
          <w:sz w:val="22"/>
          <w:szCs w:val="22"/>
        </w:rPr>
      </w:pPr>
    </w:p>
    <w:p w:rsidRPr="002F341C" w:rsidR="00F97EF2" w:rsidP="00F97EF2" w:rsidRDefault="00F97EF2" w14:paraId="7BB2C969" w14:textId="77777777">
      <w:pPr>
        <w:tabs>
          <w:tab w:val="left" w:pos="1440"/>
          <w:tab w:val="left" w:pos="3060"/>
        </w:tabs>
        <w:jc w:val="center"/>
        <w:rPr>
          <w:rFonts w:ascii="Arial" w:hAnsi="Arial" w:cs="Arial"/>
          <w:smallCaps/>
          <w:sz w:val="22"/>
          <w:szCs w:val="22"/>
        </w:rPr>
      </w:pPr>
    </w:p>
    <w:p w:rsidRPr="002F341C" w:rsidR="00F97EF2" w:rsidP="00F97EF2" w:rsidRDefault="00F97EF2" w14:paraId="14E5BFC7" w14:textId="77777777">
      <w:pPr>
        <w:tabs>
          <w:tab w:val="left" w:pos="1440"/>
          <w:tab w:val="left" w:pos="3060"/>
        </w:tabs>
        <w:jc w:val="center"/>
        <w:rPr>
          <w:rFonts w:ascii="Arial" w:hAnsi="Arial" w:cs="Arial"/>
          <w:smallCaps/>
          <w:sz w:val="22"/>
          <w:szCs w:val="22"/>
        </w:rPr>
      </w:pPr>
    </w:p>
    <w:p w:rsidRPr="002F341C" w:rsidR="00F97EF2" w:rsidP="00F97EF2" w:rsidRDefault="00F97EF2" w14:paraId="4CFAE7DE" w14:textId="77777777">
      <w:pPr>
        <w:tabs>
          <w:tab w:val="left" w:pos="1440"/>
          <w:tab w:val="left" w:pos="3060"/>
        </w:tabs>
        <w:jc w:val="center"/>
        <w:rPr>
          <w:rFonts w:ascii="Arial" w:hAnsi="Arial" w:cs="Arial"/>
          <w:smallCaps/>
          <w:sz w:val="22"/>
          <w:szCs w:val="22"/>
        </w:rPr>
      </w:pPr>
    </w:p>
    <w:p w:rsidRPr="002F341C" w:rsidR="00F97EF2" w:rsidP="00F97EF2" w:rsidRDefault="00F97EF2" w14:paraId="509E20CA" w14:textId="77777777">
      <w:pPr>
        <w:tabs>
          <w:tab w:val="left" w:pos="1440"/>
          <w:tab w:val="left" w:pos="3060"/>
        </w:tabs>
        <w:jc w:val="center"/>
        <w:rPr>
          <w:rFonts w:ascii="Arial" w:hAnsi="Arial" w:cs="Arial"/>
          <w:smallCaps/>
          <w:sz w:val="22"/>
          <w:szCs w:val="22"/>
        </w:rPr>
      </w:pPr>
    </w:p>
    <w:p w:rsidRPr="002F341C" w:rsidR="00F97EF2" w:rsidP="00F97EF2" w:rsidRDefault="00F97EF2" w14:paraId="5D5CC9DC" w14:textId="77777777">
      <w:pPr>
        <w:tabs>
          <w:tab w:val="left" w:pos="1440"/>
          <w:tab w:val="left" w:pos="3060"/>
        </w:tabs>
        <w:jc w:val="center"/>
        <w:rPr>
          <w:rFonts w:ascii="Arial" w:hAnsi="Arial" w:cs="Arial"/>
          <w:smallCaps/>
          <w:sz w:val="22"/>
          <w:szCs w:val="22"/>
        </w:rPr>
      </w:pPr>
    </w:p>
    <w:p w:rsidRPr="002F341C" w:rsidR="00F97EF2" w:rsidP="00F97EF2" w:rsidRDefault="00F97EF2" w14:paraId="4BB8ED04" w14:textId="77777777">
      <w:pPr>
        <w:tabs>
          <w:tab w:val="left" w:pos="1440"/>
          <w:tab w:val="left" w:pos="3060"/>
        </w:tabs>
        <w:jc w:val="center"/>
        <w:rPr>
          <w:rFonts w:ascii="Arial" w:hAnsi="Arial" w:cs="Arial"/>
          <w:smallCaps/>
          <w:sz w:val="22"/>
          <w:szCs w:val="22"/>
        </w:rPr>
      </w:pPr>
    </w:p>
    <w:p w:rsidRPr="002F341C" w:rsidR="00F97EF2" w:rsidP="00F97EF2" w:rsidRDefault="00F97EF2" w14:paraId="1069821B" w14:textId="77777777">
      <w:pPr>
        <w:tabs>
          <w:tab w:val="left" w:pos="1440"/>
          <w:tab w:val="left" w:pos="3060"/>
        </w:tabs>
        <w:jc w:val="center"/>
        <w:rPr>
          <w:rFonts w:ascii="Arial" w:hAnsi="Arial" w:cs="Arial"/>
          <w:smallCaps/>
          <w:sz w:val="22"/>
          <w:szCs w:val="22"/>
        </w:rPr>
      </w:pPr>
    </w:p>
    <w:p w:rsidRPr="002F341C" w:rsidR="00F97EF2" w:rsidP="00F97EF2" w:rsidRDefault="00F97EF2" w14:paraId="3AB0FC82" w14:textId="744FC53C">
      <w:pPr>
        <w:tabs>
          <w:tab w:val="left" w:pos="1440"/>
          <w:tab w:val="left" w:pos="3060"/>
        </w:tabs>
        <w:jc w:val="center"/>
        <w:rPr>
          <w:rFonts w:ascii="Arial" w:hAnsi="Arial" w:cs="Arial"/>
          <w:b/>
          <w:smallCaps/>
          <w:sz w:val="22"/>
          <w:szCs w:val="22"/>
        </w:rPr>
      </w:pPr>
      <w:r w:rsidRPr="002F341C">
        <w:rPr>
          <w:rFonts w:ascii="Arial" w:hAnsi="Arial" w:cs="Arial"/>
          <w:b/>
          <w:smallCaps/>
          <w:sz w:val="22"/>
          <w:szCs w:val="22"/>
        </w:rPr>
        <w:t>Honduras</w:t>
      </w:r>
    </w:p>
    <w:p w:rsidRPr="002F341C" w:rsidR="00F97EF2" w:rsidP="00F97EF2" w:rsidRDefault="00F97EF2" w14:paraId="32D3D1A2" w14:textId="77777777">
      <w:pPr>
        <w:tabs>
          <w:tab w:val="left" w:pos="1440"/>
          <w:tab w:val="left" w:pos="3060"/>
        </w:tabs>
        <w:jc w:val="center"/>
        <w:rPr>
          <w:rFonts w:ascii="Arial" w:hAnsi="Arial" w:cs="Arial"/>
          <w:smallCaps/>
          <w:sz w:val="22"/>
          <w:szCs w:val="22"/>
        </w:rPr>
      </w:pPr>
    </w:p>
    <w:p w:rsidRPr="002F341C" w:rsidR="00F97EF2" w:rsidP="00F97EF2" w:rsidRDefault="00F97EF2" w14:paraId="031DF57E" w14:textId="77777777">
      <w:pPr>
        <w:tabs>
          <w:tab w:val="left" w:pos="1440"/>
          <w:tab w:val="left" w:pos="3060"/>
        </w:tabs>
        <w:jc w:val="center"/>
        <w:rPr>
          <w:rFonts w:ascii="Arial" w:hAnsi="Arial" w:cs="Arial"/>
          <w:smallCaps/>
          <w:sz w:val="22"/>
          <w:szCs w:val="22"/>
        </w:rPr>
      </w:pPr>
    </w:p>
    <w:p w:rsidRPr="002F341C" w:rsidR="00F97EF2" w:rsidP="00F97EF2" w:rsidRDefault="00F97EF2" w14:paraId="2F5F9ABF" w14:textId="77777777">
      <w:pPr>
        <w:tabs>
          <w:tab w:val="left" w:pos="1440"/>
          <w:tab w:val="left" w:pos="3060"/>
        </w:tabs>
        <w:jc w:val="center"/>
        <w:rPr>
          <w:rFonts w:ascii="Arial" w:hAnsi="Arial" w:cs="Arial"/>
          <w:smallCaps/>
          <w:sz w:val="22"/>
          <w:szCs w:val="22"/>
        </w:rPr>
      </w:pPr>
    </w:p>
    <w:p w:rsidRPr="002F341C" w:rsidR="00F97EF2" w:rsidP="00F97EF2" w:rsidRDefault="00F97EF2" w14:paraId="01C05F2B" w14:textId="77777777">
      <w:pPr>
        <w:tabs>
          <w:tab w:val="left" w:pos="1440"/>
          <w:tab w:val="left" w:pos="3060"/>
        </w:tabs>
        <w:jc w:val="center"/>
        <w:rPr>
          <w:rFonts w:ascii="Arial" w:hAnsi="Arial" w:cs="Arial"/>
          <w:smallCaps/>
          <w:sz w:val="22"/>
          <w:szCs w:val="22"/>
        </w:rPr>
      </w:pPr>
    </w:p>
    <w:p w:rsidRPr="002F341C" w:rsidR="00F97EF2" w:rsidP="00F97EF2" w:rsidRDefault="00F97EF2" w14:paraId="4C0FAD91" w14:textId="77777777">
      <w:pPr>
        <w:tabs>
          <w:tab w:val="left" w:pos="1440"/>
          <w:tab w:val="left" w:pos="3060"/>
        </w:tabs>
        <w:jc w:val="center"/>
        <w:rPr>
          <w:rFonts w:ascii="Arial" w:hAnsi="Arial" w:cs="Arial"/>
          <w:smallCaps/>
          <w:sz w:val="22"/>
          <w:szCs w:val="22"/>
        </w:rPr>
      </w:pPr>
    </w:p>
    <w:p w:rsidRPr="002F341C" w:rsidR="00F97EF2" w:rsidP="00F97EF2" w:rsidRDefault="00F97EF2" w14:paraId="10826F52" w14:textId="77777777">
      <w:pPr>
        <w:tabs>
          <w:tab w:val="left" w:pos="1440"/>
          <w:tab w:val="left" w:pos="3060"/>
        </w:tabs>
        <w:jc w:val="center"/>
        <w:rPr>
          <w:rFonts w:ascii="Arial" w:hAnsi="Arial" w:cs="Arial"/>
          <w:smallCaps/>
          <w:sz w:val="22"/>
          <w:szCs w:val="22"/>
        </w:rPr>
      </w:pPr>
    </w:p>
    <w:p w:rsidRPr="002F341C" w:rsidR="00F97EF2" w:rsidP="0C4D3DF7" w:rsidRDefault="00F97EF2" w14:paraId="3A9F6330" w14:textId="739CD99B">
      <w:pPr>
        <w:pStyle w:val="Newpage"/>
        <w:numPr>
          <w:numId w:val="0"/>
        </w:numPr>
        <w:rPr>
          <w:rFonts w:ascii="Arial" w:hAnsi="Arial" w:cs="Arial"/>
          <w:b w:val="0"/>
          <w:bCs w:val="0"/>
          <w:caps w:val="1"/>
          <w:sz w:val="22"/>
          <w:szCs w:val="22"/>
          <w:lang w:val="es-ES"/>
        </w:rPr>
      </w:pPr>
      <w:r w:rsidRPr="0C4D3DF7" w:rsidR="0C4D3DF7">
        <w:rPr>
          <w:rFonts w:ascii="Arial" w:hAnsi="Arial" w:cs="Arial"/>
          <w:sz w:val="22"/>
          <w:szCs w:val="22"/>
          <w:lang w:val="es-ES"/>
        </w:rPr>
        <w:t>Pro</w:t>
      </w:r>
      <w:r w:rsidRPr="0C4D3DF7" w:rsidR="0C4D3DF7">
        <w:rPr>
          <w:rFonts w:ascii="Arial" w:hAnsi="Arial" w:cs="Arial"/>
          <w:sz w:val="22"/>
          <w:szCs w:val="22"/>
          <w:lang w:val="es-ES"/>
        </w:rPr>
        <w:t>yecto</w:t>
      </w:r>
      <w:r w:rsidRPr="0C4D3DF7" w:rsidR="0C4D3DF7">
        <w:rPr>
          <w:rFonts w:ascii="Arial" w:hAnsi="Arial" w:cs="Arial"/>
          <w:sz w:val="22"/>
          <w:szCs w:val="22"/>
          <w:lang w:val="es-ES"/>
        </w:rPr>
        <w:t xml:space="preserve"> Integral de Desarrollo Rural y Productividad</w:t>
      </w:r>
    </w:p>
    <w:p w:rsidRPr="002F341C" w:rsidR="00F97EF2" w:rsidP="00F97EF2" w:rsidRDefault="00F97EF2" w14:paraId="0FAD007B" w14:textId="77777777">
      <w:pPr>
        <w:pStyle w:val="Newpage"/>
        <w:rPr>
          <w:rFonts w:ascii="Arial" w:hAnsi="Arial" w:cs="Arial"/>
          <w:b w:val="0"/>
          <w:caps/>
          <w:smallCaps w:val="0"/>
          <w:sz w:val="22"/>
          <w:szCs w:val="22"/>
          <w:lang w:val="es-ES_tradnl"/>
        </w:rPr>
      </w:pPr>
    </w:p>
    <w:p w:rsidRPr="002F341C" w:rsidR="00F97EF2" w:rsidP="0C4D3DF7" w:rsidRDefault="00F97EF2" w14:paraId="7AF83291" w14:textId="69C0E484">
      <w:pPr>
        <w:tabs>
          <w:tab w:val="left" w:pos="1440"/>
          <w:tab w:val="left" w:pos="3060"/>
        </w:tabs>
        <w:jc w:val="center"/>
        <w:rPr>
          <w:rFonts w:ascii="Arial" w:hAnsi="Arial" w:cs="Arial"/>
          <w:b w:val="1"/>
          <w:bCs w:val="1"/>
          <w:smallCaps w:val="1"/>
          <w:sz w:val="22"/>
          <w:szCs w:val="22"/>
        </w:rPr>
      </w:pPr>
      <w:r w:rsidRPr="0C4D3DF7" w:rsidR="0C4D3DF7">
        <w:rPr>
          <w:rFonts w:ascii="Arial" w:hAnsi="Arial" w:cs="Arial"/>
          <w:b w:val="1"/>
          <w:bCs w:val="1"/>
          <w:smallCaps w:val="1"/>
          <w:sz w:val="22"/>
          <w:szCs w:val="22"/>
        </w:rPr>
        <w:t>(HO-L1201</w:t>
      </w:r>
      <w:r w:rsidRPr="0C4D3DF7" w:rsidR="0C4D3DF7">
        <w:rPr>
          <w:rFonts w:ascii="Arial" w:hAnsi="Arial" w:cs="Arial"/>
          <w:b w:val="1"/>
          <w:bCs w:val="1"/>
          <w:smallCaps w:val="1"/>
          <w:sz w:val="22"/>
          <w:szCs w:val="22"/>
        </w:rPr>
        <w:t xml:space="preserve"> – HO-L1211</w:t>
      </w:r>
      <w:r w:rsidRPr="0C4D3DF7" w:rsidR="0C4D3DF7">
        <w:rPr>
          <w:rFonts w:ascii="Arial" w:hAnsi="Arial" w:cs="Arial"/>
          <w:b w:val="1"/>
          <w:bCs w:val="1"/>
          <w:smallCaps w:val="1"/>
          <w:sz w:val="22"/>
          <w:szCs w:val="22"/>
        </w:rPr>
        <w:t>)</w:t>
      </w:r>
    </w:p>
    <w:p w:rsidRPr="002F341C" w:rsidR="00F97EF2" w:rsidP="00F97EF2" w:rsidRDefault="00F97EF2" w14:paraId="1EB8D43F" w14:textId="77777777">
      <w:pPr>
        <w:tabs>
          <w:tab w:val="left" w:pos="1440"/>
          <w:tab w:val="left" w:pos="3060"/>
        </w:tabs>
        <w:jc w:val="center"/>
        <w:rPr>
          <w:rFonts w:ascii="Arial" w:hAnsi="Arial" w:cs="Arial"/>
          <w:smallCaps/>
          <w:sz w:val="22"/>
          <w:szCs w:val="22"/>
        </w:rPr>
      </w:pPr>
    </w:p>
    <w:p w:rsidRPr="002F341C" w:rsidR="00F97EF2" w:rsidP="00F97EF2" w:rsidRDefault="00F97EF2" w14:paraId="33B33A32" w14:textId="77777777">
      <w:pPr>
        <w:tabs>
          <w:tab w:val="left" w:pos="1440"/>
          <w:tab w:val="left" w:pos="3060"/>
        </w:tabs>
        <w:jc w:val="center"/>
        <w:rPr>
          <w:rFonts w:ascii="Arial" w:hAnsi="Arial" w:cs="Arial"/>
          <w:smallCaps/>
          <w:sz w:val="22"/>
          <w:szCs w:val="22"/>
        </w:rPr>
      </w:pPr>
    </w:p>
    <w:p w:rsidRPr="002F341C" w:rsidR="00F97EF2" w:rsidP="00F97EF2" w:rsidRDefault="00F97EF2" w14:paraId="7DCC6AAD" w14:textId="77777777">
      <w:pPr>
        <w:tabs>
          <w:tab w:val="left" w:pos="1440"/>
          <w:tab w:val="left" w:pos="3060"/>
        </w:tabs>
        <w:jc w:val="center"/>
        <w:rPr>
          <w:rFonts w:ascii="Arial" w:hAnsi="Arial" w:cs="Arial"/>
          <w:smallCaps/>
          <w:sz w:val="22"/>
          <w:szCs w:val="22"/>
        </w:rPr>
      </w:pPr>
    </w:p>
    <w:p w:rsidRPr="002F341C" w:rsidR="00F97EF2" w:rsidP="00F97EF2" w:rsidRDefault="00F97EF2" w14:paraId="262558E0" w14:textId="77777777">
      <w:pPr>
        <w:tabs>
          <w:tab w:val="left" w:pos="1440"/>
          <w:tab w:val="left" w:pos="3060"/>
        </w:tabs>
        <w:jc w:val="center"/>
        <w:rPr>
          <w:rFonts w:ascii="Arial" w:hAnsi="Arial" w:cs="Arial"/>
          <w:smallCaps/>
          <w:sz w:val="22"/>
          <w:szCs w:val="22"/>
        </w:rPr>
      </w:pPr>
    </w:p>
    <w:p w:rsidRPr="002F341C" w:rsidR="00F97EF2" w:rsidP="00F97EF2" w:rsidRDefault="00E67112" w14:paraId="01CF3DC1" w14:textId="6EF80BDF">
      <w:pPr>
        <w:tabs>
          <w:tab w:val="left" w:pos="1440"/>
          <w:tab w:val="left" w:pos="3060"/>
        </w:tabs>
        <w:jc w:val="center"/>
        <w:outlineLvl w:val="0"/>
        <w:rPr>
          <w:rFonts w:ascii="Arial" w:hAnsi="Arial" w:cs="Arial"/>
          <w:b/>
          <w:sz w:val="22"/>
          <w:szCs w:val="22"/>
        </w:rPr>
      </w:pPr>
      <w:bookmarkStart w:name="_Toc17804013" w:id="1"/>
      <w:r w:rsidRPr="002F341C">
        <w:rPr>
          <w:rFonts w:ascii="Arial" w:hAnsi="Arial" w:cs="Arial"/>
          <w:b/>
          <w:smallCaps/>
          <w:sz w:val="22"/>
          <w:szCs w:val="22"/>
        </w:rPr>
        <w:t>Análisis de Demanda</w:t>
      </w:r>
      <w:bookmarkEnd w:id="1"/>
    </w:p>
    <w:p w:rsidRPr="002F341C" w:rsidR="00F97EF2" w:rsidP="00F97EF2" w:rsidRDefault="00F97EF2" w14:paraId="0680C752" w14:textId="77777777">
      <w:pPr>
        <w:tabs>
          <w:tab w:val="left" w:pos="1440"/>
          <w:tab w:val="left" w:pos="3060"/>
        </w:tabs>
        <w:jc w:val="center"/>
        <w:rPr>
          <w:rFonts w:ascii="Arial" w:hAnsi="Arial" w:cs="Arial"/>
          <w:sz w:val="22"/>
          <w:szCs w:val="22"/>
        </w:rPr>
      </w:pPr>
    </w:p>
    <w:p w:rsidRPr="002F341C" w:rsidR="00F97EF2" w:rsidP="00F97EF2" w:rsidRDefault="00F97EF2" w14:paraId="156B3CBB" w14:textId="77777777">
      <w:pPr>
        <w:tabs>
          <w:tab w:val="left" w:pos="1440"/>
          <w:tab w:val="left" w:pos="3060"/>
        </w:tabs>
        <w:jc w:val="center"/>
        <w:rPr>
          <w:rFonts w:ascii="Arial" w:hAnsi="Arial" w:cs="Arial"/>
          <w:sz w:val="22"/>
          <w:szCs w:val="22"/>
        </w:rPr>
      </w:pPr>
    </w:p>
    <w:p w:rsidRPr="002F341C" w:rsidR="00F97EF2" w:rsidP="00F97EF2" w:rsidRDefault="00F97EF2" w14:paraId="4E059549" w14:textId="77777777">
      <w:pPr>
        <w:tabs>
          <w:tab w:val="left" w:pos="1440"/>
          <w:tab w:val="left" w:pos="3060"/>
        </w:tabs>
        <w:jc w:val="center"/>
        <w:rPr>
          <w:rFonts w:ascii="Arial" w:hAnsi="Arial" w:cs="Arial"/>
          <w:sz w:val="22"/>
          <w:szCs w:val="22"/>
        </w:rPr>
      </w:pPr>
    </w:p>
    <w:p w:rsidRPr="002F341C" w:rsidR="00F97EF2" w:rsidP="00F97EF2" w:rsidRDefault="00F97EF2" w14:paraId="473CE76D" w14:textId="77777777">
      <w:pPr>
        <w:tabs>
          <w:tab w:val="left" w:pos="1440"/>
          <w:tab w:val="left" w:pos="3060"/>
        </w:tabs>
        <w:jc w:val="center"/>
        <w:rPr>
          <w:rFonts w:ascii="Arial" w:hAnsi="Arial" w:cs="Arial"/>
          <w:sz w:val="22"/>
          <w:szCs w:val="22"/>
        </w:rPr>
      </w:pPr>
    </w:p>
    <w:p w:rsidRPr="002F341C" w:rsidR="00F97EF2" w:rsidP="00F97EF2" w:rsidRDefault="00F97EF2" w14:paraId="068710ED" w14:textId="77777777">
      <w:pPr>
        <w:tabs>
          <w:tab w:val="left" w:pos="1440"/>
          <w:tab w:val="left" w:pos="3060"/>
        </w:tabs>
        <w:jc w:val="center"/>
        <w:rPr>
          <w:rFonts w:ascii="Arial" w:hAnsi="Arial" w:cs="Arial"/>
          <w:sz w:val="22"/>
          <w:szCs w:val="22"/>
        </w:rPr>
      </w:pPr>
    </w:p>
    <w:p w:rsidRPr="002F341C" w:rsidR="00F97EF2" w:rsidP="00F97EF2" w:rsidRDefault="00F97EF2" w14:paraId="06A0FCCA" w14:textId="77777777">
      <w:pPr>
        <w:tabs>
          <w:tab w:val="left" w:pos="1440"/>
          <w:tab w:val="left" w:pos="3060"/>
        </w:tabs>
        <w:jc w:val="center"/>
        <w:rPr>
          <w:rFonts w:ascii="Arial" w:hAnsi="Arial" w:cs="Arial"/>
          <w:sz w:val="22"/>
          <w:szCs w:val="22"/>
        </w:rPr>
      </w:pPr>
    </w:p>
    <w:p w:rsidRPr="002F341C" w:rsidR="00F97EF2" w:rsidP="00F97EF2" w:rsidRDefault="00F97EF2" w14:paraId="690E76B2" w14:textId="77777777">
      <w:pPr>
        <w:tabs>
          <w:tab w:val="left" w:pos="1440"/>
          <w:tab w:val="left" w:pos="3060"/>
        </w:tabs>
        <w:jc w:val="center"/>
        <w:rPr>
          <w:rFonts w:ascii="Arial" w:hAnsi="Arial" w:cs="Arial"/>
          <w:sz w:val="22"/>
          <w:szCs w:val="22"/>
        </w:rPr>
      </w:pPr>
    </w:p>
    <w:p w:rsidRPr="002F341C" w:rsidR="00F97EF2" w:rsidP="00F97EF2" w:rsidRDefault="00F97EF2" w14:paraId="6AEC7609" w14:textId="77777777">
      <w:pPr>
        <w:tabs>
          <w:tab w:val="left" w:pos="1440"/>
          <w:tab w:val="left" w:pos="3060"/>
        </w:tabs>
        <w:jc w:val="center"/>
        <w:rPr>
          <w:rFonts w:ascii="Arial" w:hAnsi="Arial" w:cs="Arial"/>
          <w:sz w:val="22"/>
          <w:szCs w:val="22"/>
        </w:rPr>
      </w:pPr>
    </w:p>
    <w:p w:rsidRPr="002F341C" w:rsidR="00F97EF2" w:rsidP="00F97EF2" w:rsidRDefault="00F97EF2" w14:paraId="0C791C47" w14:textId="77777777">
      <w:pPr>
        <w:tabs>
          <w:tab w:val="left" w:pos="1440"/>
          <w:tab w:val="left" w:pos="3060"/>
        </w:tabs>
        <w:jc w:val="center"/>
        <w:rPr>
          <w:rFonts w:ascii="Arial" w:hAnsi="Arial" w:cs="Arial"/>
          <w:sz w:val="22"/>
          <w:szCs w:val="22"/>
        </w:rPr>
      </w:pPr>
    </w:p>
    <w:p w:rsidRPr="002F341C" w:rsidR="00F97EF2" w:rsidP="00F97EF2" w:rsidRDefault="00F97EF2" w14:paraId="1D3E7D94" w14:textId="77777777">
      <w:pPr>
        <w:tabs>
          <w:tab w:val="left" w:pos="1440"/>
          <w:tab w:val="left" w:pos="3060"/>
        </w:tabs>
        <w:jc w:val="center"/>
        <w:rPr>
          <w:rFonts w:ascii="Arial" w:hAnsi="Arial" w:cs="Arial"/>
          <w:sz w:val="22"/>
          <w:szCs w:val="22"/>
        </w:rPr>
      </w:pPr>
    </w:p>
    <w:p w:rsidRPr="002F341C" w:rsidR="00F97EF2" w:rsidP="00F97EF2" w:rsidRDefault="00F97EF2" w14:paraId="01644992" w14:textId="77777777">
      <w:pPr>
        <w:tabs>
          <w:tab w:val="left" w:pos="1440"/>
          <w:tab w:val="left" w:pos="3060"/>
        </w:tabs>
        <w:jc w:val="center"/>
        <w:rPr>
          <w:rFonts w:ascii="Arial" w:hAnsi="Arial" w:cs="Arial"/>
          <w:sz w:val="22"/>
          <w:szCs w:val="22"/>
        </w:rPr>
      </w:pPr>
    </w:p>
    <w:p w:rsidRPr="002F341C" w:rsidR="00F97EF2" w:rsidP="00F97EF2" w:rsidRDefault="00F97EF2" w14:paraId="7F671F5B" w14:textId="77777777">
      <w:pPr>
        <w:tabs>
          <w:tab w:val="left" w:pos="1440"/>
          <w:tab w:val="left" w:pos="3060"/>
        </w:tabs>
        <w:jc w:val="center"/>
        <w:rPr>
          <w:rFonts w:ascii="Arial" w:hAnsi="Arial" w:cs="Arial"/>
          <w:sz w:val="22"/>
          <w:szCs w:val="22"/>
        </w:rPr>
      </w:pPr>
    </w:p>
    <w:p w:rsidRPr="002F341C" w:rsidR="00F97EF2" w:rsidP="3B089B2A" w:rsidRDefault="00F97EF2" w14:paraId="322AE48A" w14:textId="0C1BE62C">
      <w:pPr>
        <w:pStyle w:val="BodyText"/>
        <w:pBdr>
          <w:top w:val="single" w:color="auto" w:sz="4" w:space="1"/>
          <w:left w:val="single" w:color="auto" w:sz="4" w:space="4"/>
          <w:bottom w:val="single" w:color="auto" w:sz="4" w:space="1"/>
          <w:right w:val="single" w:color="auto" w:sz="4" w:space="4"/>
        </w:pBdr>
        <w:tabs>
          <w:tab w:val="left" w:pos="1440"/>
        </w:tabs>
        <w:jc w:val="both"/>
        <w:rPr>
          <w:rFonts w:ascii="Arial" w:hAnsi="Arial" w:cs="Arial"/>
          <w:sz w:val="22"/>
          <w:szCs w:val="22"/>
        </w:rPr>
      </w:pPr>
      <w:r w:rsidRPr="3B089B2A" w:rsidR="3B089B2A">
        <w:rPr>
          <w:rFonts w:ascii="Arial" w:hAnsi="Arial" w:cs="Arial"/>
          <w:sz w:val="22"/>
          <w:szCs w:val="22"/>
        </w:rPr>
        <w:t>Este documento fue preparado por Jorge Rodríguez Tijerino, consultor para el Pro</w:t>
      </w:r>
      <w:r w:rsidRPr="3B089B2A" w:rsidR="3B089B2A">
        <w:rPr>
          <w:rFonts w:ascii="Arial" w:hAnsi="Arial" w:cs="Arial"/>
          <w:sz w:val="22"/>
          <w:szCs w:val="22"/>
        </w:rPr>
        <w:t>yecto.</w:t>
      </w:r>
      <w:r w:rsidRPr="3B089B2A" w:rsidR="3B089B2A">
        <w:rPr>
          <w:rFonts w:ascii="Arial" w:hAnsi="Arial" w:cs="Arial"/>
          <w:sz w:val="22"/>
          <w:szCs w:val="22"/>
        </w:rPr>
        <w:t xml:space="preserve"> </w:t>
      </w:r>
    </w:p>
    <w:p w:rsidRPr="002F341C" w:rsidR="00F97EF2" w:rsidP="00F97EF2" w:rsidRDefault="00F97EF2" w14:paraId="328E5887" w14:textId="77777777">
      <w:pPr>
        <w:jc w:val="center"/>
        <w:rPr>
          <w:rFonts w:ascii="Arial" w:hAnsi="Arial" w:cs="Arial"/>
          <w:b/>
          <w:smallCaps/>
          <w:sz w:val="22"/>
          <w:szCs w:val="22"/>
        </w:rPr>
      </w:pPr>
      <w:r w:rsidRPr="002F341C">
        <w:rPr>
          <w:rFonts w:ascii="Arial" w:hAnsi="Arial" w:cs="Arial"/>
          <w:b/>
          <w:smallCaps/>
          <w:sz w:val="22"/>
          <w:szCs w:val="22"/>
        </w:rPr>
        <w:br w:type="page"/>
      </w:r>
    </w:p>
    <w:sdt>
      <w:sdtPr>
        <w:rPr>
          <w:rFonts w:ascii="Times New Roman" w:hAnsi="Times New Roman" w:eastAsia="Times New Roman" w:cs="Times New Roman"/>
          <w:color w:val="auto"/>
          <w:sz w:val="24"/>
          <w:szCs w:val="20"/>
          <w:lang w:val="es-ES_tradnl" w:eastAsia="en-US"/>
        </w:rPr>
        <w:id w:val="-893276473"/>
        <w:docPartObj>
          <w:docPartGallery w:val="Table of Contents"/>
          <w:docPartUnique/>
        </w:docPartObj>
      </w:sdtPr>
      <w:sdtEndPr>
        <w:rPr>
          <w:b/>
          <w:bCs/>
        </w:rPr>
      </w:sdtEndPr>
      <w:sdtContent>
        <w:p w:rsidRPr="002F341C" w:rsidR="0036528E" w:rsidRDefault="0036528E" w14:paraId="12D61DB9" w14:textId="31D221A2">
          <w:pPr>
            <w:pStyle w:val="TOCHeading"/>
            <w:rPr>
              <w:rFonts w:ascii="Arial" w:hAnsi="Arial" w:cs="Arial"/>
              <w:b/>
              <w:bCs/>
              <w:color w:val="auto"/>
              <w:lang w:val="es-ES_tradnl"/>
            </w:rPr>
          </w:pPr>
          <w:r w:rsidRPr="002F341C">
            <w:rPr>
              <w:rFonts w:ascii="Arial" w:hAnsi="Arial" w:cs="Arial"/>
              <w:b/>
              <w:bCs/>
              <w:color w:val="auto"/>
              <w:lang w:val="es-ES_tradnl"/>
            </w:rPr>
            <w:t>Contenido</w:t>
          </w:r>
        </w:p>
        <w:p w:rsidRPr="002F341C" w:rsidR="0036528E" w:rsidP="00DC0F4E" w:rsidRDefault="0036528E" w14:paraId="4E642061" w14:textId="5E56A132">
          <w:pPr>
            <w:pStyle w:val="TOC3"/>
            <w:tabs>
              <w:tab w:val="right" w:leader="dot" w:pos="8630"/>
            </w:tabs>
            <w:rPr>
              <w:rFonts w:asciiTheme="minorHAnsi" w:hAnsiTheme="minorHAnsi" w:eastAsiaTheme="minorEastAsia" w:cstheme="minorBidi"/>
              <w:sz w:val="22"/>
              <w:szCs w:val="22"/>
              <w:lang w:eastAsia="es-MX"/>
            </w:rPr>
          </w:pPr>
          <w:r w:rsidRPr="002F341C">
            <w:fldChar w:fldCharType="begin"/>
          </w:r>
          <w:r w:rsidRPr="002F341C">
            <w:instrText xml:space="preserve"> TOC \o "1-3" \h \z \u </w:instrText>
          </w:r>
          <w:r w:rsidRPr="002F341C">
            <w:fldChar w:fldCharType="separate"/>
          </w:r>
        </w:p>
        <w:p w:rsidRPr="002F341C" w:rsidR="0036528E" w:rsidRDefault="00F016B9" w14:paraId="18D4FAA0"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018">
            <w:r w:rsidRPr="002F341C" w:rsidR="0036528E">
              <w:rPr>
                <w:rStyle w:val="Hyperlink"/>
                <w:rFonts w:ascii="Arial" w:hAnsi="Arial" w:cs="Arial"/>
              </w:rPr>
              <w:t>a.</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Estructura y composición del sistema financiero</w:t>
            </w:r>
            <w:r w:rsidRPr="002F341C" w:rsidR="0036528E">
              <w:rPr>
                <w:webHidden/>
              </w:rPr>
              <w:tab/>
            </w:r>
            <w:r w:rsidRPr="002F341C" w:rsidR="0036528E">
              <w:rPr>
                <w:webHidden/>
              </w:rPr>
              <w:fldChar w:fldCharType="begin"/>
            </w:r>
            <w:r w:rsidRPr="002F341C" w:rsidR="0036528E">
              <w:rPr>
                <w:webHidden/>
              </w:rPr>
              <w:instrText xml:space="preserve"> PAGEREF _Toc17804018 \h </w:instrText>
            </w:r>
            <w:r w:rsidRPr="002F341C" w:rsidR="0036528E">
              <w:rPr>
                <w:webHidden/>
              </w:rPr>
            </w:r>
            <w:r w:rsidRPr="002F341C" w:rsidR="0036528E">
              <w:rPr>
                <w:webHidden/>
              </w:rPr>
              <w:fldChar w:fldCharType="separate"/>
            </w:r>
            <w:r w:rsidRPr="002F341C" w:rsidR="0036528E">
              <w:rPr>
                <w:webHidden/>
              </w:rPr>
              <w:t>2</w:t>
            </w:r>
            <w:r w:rsidRPr="002F341C" w:rsidR="0036528E">
              <w:rPr>
                <w:webHidden/>
              </w:rPr>
              <w:fldChar w:fldCharType="end"/>
            </w:r>
          </w:hyperlink>
        </w:p>
        <w:p w:rsidRPr="002F341C" w:rsidR="0036528E" w:rsidRDefault="00F016B9" w14:paraId="2C0D9BBE"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027">
            <w:r w:rsidRPr="002F341C" w:rsidR="0036528E">
              <w:rPr>
                <w:rStyle w:val="Hyperlink"/>
                <w:rFonts w:ascii="Arial" w:hAnsi="Arial" w:cs="Arial"/>
              </w:rPr>
              <w:t>b.</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Evolución del negocio bancario en Honduras</w:t>
            </w:r>
            <w:r w:rsidRPr="002F341C" w:rsidR="0036528E">
              <w:rPr>
                <w:webHidden/>
              </w:rPr>
              <w:tab/>
            </w:r>
            <w:r w:rsidRPr="002F341C" w:rsidR="0036528E">
              <w:rPr>
                <w:webHidden/>
              </w:rPr>
              <w:fldChar w:fldCharType="begin"/>
            </w:r>
            <w:r w:rsidRPr="002F341C" w:rsidR="0036528E">
              <w:rPr>
                <w:webHidden/>
              </w:rPr>
              <w:instrText xml:space="preserve"> PAGEREF _Toc17804027 \h </w:instrText>
            </w:r>
            <w:r w:rsidRPr="002F341C" w:rsidR="0036528E">
              <w:rPr>
                <w:webHidden/>
              </w:rPr>
            </w:r>
            <w:r w:rsidRPr="002F341C" w:rsidR="0036528E">
              <w:rPr>
                <w:webHidden/>
              </w:rPr>
              <w:fldChar w:fldCharType="separate"/>
            </w:r>
            <w:r w:rsidRPr="002F341C" w:rsidR="0036528E">
              <w:rPr>
                <w:webHidden/>
              </w:rPr>
              <w:t>3</w:t>
            </w:r>
            <w:r w:rsidRPr="002F341C" w:rsidR="0036528E">
              <w:rPr>
                <w:webHidden/>
              </w:rPr>
              <w:fldChar w:fldCharType="end"/>
            </w:r>
          </w:hyperlink>
        </w:p>
        <w:p w:rsidRPr="002F341C" w:rsidR="0036528E" w:rsidRDefault="00F016B9" w14:paraId="4DE7A044"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047">
            <w:r w:rsidRPr="002F341C" w:rsidR="0036528E">
              <w:rPr>
                <w:rStyle w:val="Hyperlink"/>
                <w:rFonts w:ascii="Arial" w:hAnsi="Arial" w:cs="Arial"/>
              </w:rPr>
              <w:t>c.</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Cartera de crédito por distribución geográfica</w:t>
            </w:r>
            <w:r w:rsidRPr="002F341C" w:rsidR="0036528E">
              <w:rPr>
                <w:webHidden/>
              </w:rPr>
              <w:tab/>
            </w:r>
            <w:r w:rsidRPr="002F341C" w:rsidR="0036528E">
              <w:rPr>
                <w:webHidden/>
              </w:rPr>
              <w:fldChar w:fldCharType="begin"/>
            </w:r>
            <w:r w:rsidRPr="002F341C" w:rsidR="0036528E">
              <w:rPr>
                <w:webHidden/>
              </w:rPr>
              <w:instrText xml:space="preserve"> PAGEREF _Toc17804047 \h </w:instrText>
            </w:r>
            <w:r w:rsidRPr="002F341C" w:rsidR="0036528E">
              <w:rPr>
                <w:webHidden/>
              </w:rPr>
            </w:r>
            <w:r w:rsidRPr="002F341C" w:rsidR="0036528E">
              <w:rPr>
                <w:webHidden/>
              </w:rPr>
              <w:fldChar w:fldCharType="separate"/>
            </w:r>
            <w:r w:rsidRPr="002F341C" w:rsidR="0036528E">
              <w:rPr>
                <w:webHidden/>
              </w:rPr>
              <w:t>7</w:t>
            </w:r>
            <w:r w:rsidRPr="002F341C" w:rsidR="0036528E">
              <w:rPr>
                <w:webHidden/>
              </w:rPr>
              <w:fldChar w:fldCharType="end"/>
            </w:r>
          </w:hyperlink>
        </w:p>
        <w:p w:rsidRPr="002F341C" w:rsidR="0036528E" w:rsidRDefault="00F016B9" w14:paraId="3DD340FD"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057">
            <w:r w:rsidRPr="002F341C" w:rsidR="0036528E">
              <w:rPr>
                <w:rStyle w:val="Hyperlink"/>
                <w:rFonts w:ascii="Arial" w:hAnsi="Arial" w:cs="Arial"/>
              </w:rPr>
              <w:t>d.</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Cartera de crédito por actividad económica</w:t>
            </w:r>
            <w:r w:rsidRPr="002F341C" w:rsidR="0036528E">
              <w:rPr>
                <w:webHidden/>
              </w:rPr>
              <w:tab/>
            </w:r>
            <w:r w:rsidRPr="002F341C" w:rsidR="0036528E">
              <w:rPr>
                <w:webHidden/>
              </w:rPr>
              <w:fldChar w:fldCharType="begin"/>
            </w:r>
            <w:r w:rsidRPr="002F341C" w:rsidR="0036528E">
              <w:rPr>
                <w:webHidden/>
              </w:rPr>
              <w:instrText xml:space="preserve"> PAGEREF _Toc17804057 \h </w:instrText>
            </w:r>
            <w:r w:rsidRPr="002F341C" w:rsidR="0036528E">
              <w:rPr>
                <w:webHidden/>
              </w:rPr>
            </w:r>
            <w:r w:rsidRPr="002F341C" w:rsidR="0036528E">
              <w:rPr>
                <w:webHidden/>
              </w:rPr>
              <w:fldChar w:fldCharType="separate"/>
            </w:r>
            <w:r w:rsidRPr="002F341C" w:rsidR="0036528E">
              <w:rPr>
                <w:webHidden/>
              </w:rPr>
              <w:t>9</w:t>
            </w:r>
            <w:r w:rsidRPr="002F341C" w:rsidR="0036528E">
              <w:rPr>
                <w:webHidden/>
              </w:rPr>
              <w:fldChar w:fldCharType="end"/>
            </w:r>
          </w:hyperlink>
        </w:p>
        <w:p w:rsidRPr="002F341C" w:rsidR="0036528E" w:rsidRDefault="00F016B9" w14:paraId="50C2174C"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070">
            <w:r w:rsidRPr="002F341C" w:rsidR="0036528E">
              <w:rPr>
                <w:rStyle w:val="Hyperlink"/>
                <w:rFonts w:ascii="Arial" w:hAnsi="Arial" w:cs="Arial"/>
              </w:rPr>
              <w:t>a.</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Evolución del crédito agropecuario</w:t>
            </w:r>
            <w:r w:rsidRPr="002F341C" w:rsidR="0036528E">
              <w:rPr>
                <w:webHidden/>
              </w:rPr>
              <w:tab/>
            </w:r>
            <w:r w:rsidRPr="002F341C" w:rsidR="0036528E">
              <w:rPr>
                <w:webHidden/>
              </w:rPr>
              <w:fldChar w:fldCharType="begin"/>
            </w:r>
            <w:r w:rsidRPr="002F341C" w:rsidR="0036528E">
              <w:rPr>
                <w:webHidden/>
              </w:rPr>
              <w:instrText xml:space="preserve"> PAGEREF _Toc17804070 \h </w:instrText>
            </w:r>
            <w:r w:rsidRPr="002F341C" w:rsidR="0036528E">
              <w:rPr>
                <w:webHidden/>
              </w:rPr>
            </w:r>
            <w:r w:rsidRPr="002F341C" w:rsidR="0036528E">
              <w:rPr>
                <w:webHidden/>
              </w:rPr>
              <w:fldChar w:fldCharType="separate"/>
            </w:r>
            <w:r w:rsidRPr="002F341C" w:rsidR="0036528E">
              <w:rPr>
                <w:webHidden/>
              </w:rPr>
              <w:t>12</w:t>
            </w:r>
            <w:r w:rsidRPr="002F341C" w:rsidR="0036528E">
              <w:rPr>
                <w:webHidden/>
              </w:rPr>
              <w:fldChar w:fldCharType="end"/>
            </w:r>
          </w:hyperlink>
        </w:p>
        <w:p w:rsidRPr="002F341C" w:rsidR="0036528E" w:rsidRDefault="00F016B9" w14:paraId="37D44321"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081">
            <w:r w:rsidRPr="002F341C" w:rsidR="0036528E">
              <w:rPr>
                <w:rStyle w:val="Hyperlink"/>
                <w:rFonts w:ascii="Arial" w:hAnsi="Arial" w:cs="Arial"/>
              </w:rPr>
              <w:t>b.</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El crédito agrícola: Distribución geográfica</w:t>
            </w:r>
            <w:r w:rsidRPr="002F341C" w:rsidR="0036528E">
              <w:rPr>
                <w:webHidden/>
              </w:rPr>
              <w:tab/>
            </w:r>
            <w:r w:rsidRPr="002F341C" w:rsidR="0036528E">
              <w:rPr>
                <w:webHidden/>
              </w:rPr>
              <w:fldChar w:fldCharType="begin"/>
            </w:r>
            <w:r w:rsidRPr="002F341C" w:rsidR="0036528E">
              <w:rPr>
                <w:webHidden/>
              </w:rPr>
              <w:instrText xml:space="preserve"> PAGEREF _Toc17804081 \h </w:instrText>
            </w:r>
            <w:r w:rsidRPr="002F341C" w:rsidR="0036528E">
              <w:rPr>
                <w:webHidden/>
              </w:rPr>
            </w:r>
            <w:r w:rsidRPr="002F341C" w:rsidR="0036528E">
              <w:rPr>
                <w:webHidden/>
              </w:rPr>
              <w:fldChar w:fldCharType="separate"/>
            </w:r>
            <w:r w:rsidRPr="002F341C" w:rsidR="0036528E">
              <w:rPr>
                <w:webHidden/>
              </w:rPr>
              <w:t>14</w:t>
            </w:r>
            <w:r w:rsidRPr="002F341C" w:rsidR="0036528E">
              <w:rPr>
                <w:webHidden/>
              </w:rPr>
              <w:fldChar w:fldCharType="end"/>
            </w:r>
          </w:hyperlink>
        </w:p>
        <w:p w:rsidRPr="002F341C" w:rsidR="0036528E" w:rsidRDefault="00F016B9" w14:paraId="1D555E84"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090">
            <w:r w:rsidRPr="002F341C" w:rsidR="0036528E">
              <w:rPr>
                <w:rStyle w:val="Hyperlink"/>
                <w:rFonts w:ascii="Arial" w:hAnsi="Arial" w:cs="Arial"/>
              </w:rPr>
              <w:t>c.</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Crédito agrícola: Por tipo de entidad bancaria</w:t>
            </w:r>
            <w:r w:rsidRPr="002F341C" w:rsidR="0036528E">
              <w:rPr>
                <w:webHidden/>
              </w:rPr>
              <w:tab/>
            </w:r>
            <w:r w:rsidRPr="002F341C" w:rsidR="0036528E">
              <w:rPr>
                <w:webHidden/>
              </w:rPr>
              <w:fldChar w:fldCharType="begin"/>
            </w:r>
            <w:r w:rsidRPr="002F341C" w:rsidR="0036528E">
              <w:rPr>
                <w:webHidden/>
              </w:rPr>
              <w:instrText xml:space="preserve"> PAGEREF _Toc17804090 \h </w:instrText>
            </w:r>
            <w:r w:rsidRPr="002F341C" w:rsidR="0036528E">
              <w:rPr>
                <w:webHidden/>
              </w:rPr>
            </w:r>
            <w:r w:rsidRPr="002F341C" w:rsidR="0036528E">
              <w:rPr>
                <w:webHidden/>
              </w:rPr>
              <w:fldChar w:fldCharType="separate"/>
            </w:r>
            <w:r w:rsidRPr="002F341C" w:rsidR="0036528E">
              <w:rPr>
                <w:webHidden/>
              </w:rPr>
              <w:t>15</w:t>
            </w:r>
            <w:r w:rsidRPr="002F341C" w:rsidR="0036528E">
              <w:rPr>
                <w:webHidden/>
              </w:rPr>
              <w:fldChar w:fldCharType="end"/>
            </w:r>
          </w:hyperlink>
        </w:p>
        <w:p w:rsidRPr="002F341C" w:rsidR="0036528E" w:rsidRDefault="00F016B9" w14:paraId="790F647D"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102">
            <w:r w:rsidRPr="002F341C" w:rsidR="0036528E">
              <w:rPr>
                <w:rStyle w:val="Hyperlink"/>
                <w:rFonts w:ascii="Arial" w:hAnsi="Arial" w:cs="Arial"/>
              </w:rPr>
              <w:t>d.</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Barreras al crédito en el corredor seco de Honduras</w:t>
            </w:r>
            <w:r w:rsidRPr="002F341C" w:rsidR="0036528E">
              <w:rPr>
                <w:webHidden/>
              </w:rPr>
              <w:tab/>
            </w:r>
            <w:r w:rsidRPr="002F341C" w:rsidR="0036528E">
              <w:rPr>
                <w:webHidden/>
              </w:rPr>
              <w:fldChar w:fldCharType="begin"/>
            </w:r>
            <w:r w:rsidRPr="002F341C" w:rsidR="0036528E">
              <w:rPr>
                <w:webHidden/>
              </w:rPr>
              <w:instrText xml:space="preserve"> PAGEREF _Toc17804102 \h </w:instrText>
            </w:r>
            <w:r w:rsidRPr="002F341C" w:rsidR="0036528E">
              <w:rPr>
                <w:webHidden/>
              </w:rPr>
            </w:r>
            <w:r w:rsidRPr="002F341C" w:rsidR="0036528E">
              <w:rPr>
                <w:webHidden/>
              </w:rPr>
              <w:fldChar w:fldCharType="separate"/>
            </w:r>
            <w:r w:rsidRPr="002F341C" w:rsidR="0036528E">
              <w:rPr>
                <w:webHidden/>
              </w:rPr>
              <w:t>17</w:t>
            </w:r>
            <w:r w:rsidRPr="002F341C" w:rsidR="0036528E">
              <w:rPr>
                <w:webHidden/>
              </w:rPr>
              <w:fldChar w:fldCharType="end"/>
            </w:r>
          </w:hyperlink>
        </w:p>
        <w:p w:rsidRPr="002F341C" w:rsidR="0036528E" w:rsidRDefault="00F016B9" w14:paraId="6F9105C0" w14:textId="6E10DBFC">
          <w:pPr>
            <w:pStyle w:val="TOC2"/>
            <w:tabs>
              <w:tab w:val="right" w:leader="dot" w:pos="8630"/>
            </w:tabs>
            <w:rPr>
              <w:rFonts w:asciiTheme="minorHAnsi" w:hAnsiTheme="minorHAnsi" w:eastAsiaTheme="minorEastAsia" w:cstheme="minorBidi"/>
              <w:sz w:val="22"/>
              <w:szCs w:val="22"/>
              <w:lang w:eastAsia="es-MX"/>
            </w:rPr>
          </w:pPr>
          <w:hyperlink w:history="1" w:anchor="_Toc17804133">
            <w:r w:rsidRPr="002F341C" w:rsidR="0036528E">
              <w:rPr>
                <w:webHidden/>
              </w:rPr>
              <w:tab/>
            </w:r>
            <w:r w:rsidRPr="002F341C" w:rsidR="0036528E">
              <w:rPr>
                <w:webHidden/>
              </w:rPr>
              <w:fldChar w:fldCharType="begin"/>
            </w:r>
            <w:r w:rsidRPr="002F341C" w:rsidR="0036528E">
              <w:rPr>
                <w:webHidden/>
              </w:rPr>
              <w:instrText xml:space="preserve"> PAGEREF _Toc17804133 \h </w:instrText>
            </w:r>
            <w:r w:rsidRPr="002F341C" w:rsidR="0036528E">
              <w:rPr>
                <w:webHidden/>
              </w:rPr>
            </w:r>
            <w:r w:rsidRPr="002F341C" w:rsidR="0036528E">
              <w:rPr>
                <w:webHidden/>
              </w:rPr>
              <w:fldChar w:fldCharType="separate"/>
            </w:r>
            <w:r w:rsidRPr="002F341C" w:rsidR="0036528E">
              <w:rPr>
                <w:webHidden/>
              </w:rPr>
              <w:t>20</w:t>
            </w:r>
            <w:r w:rsidRPr="002F341C" w:rsidR="0036528E">
              <w:rPr>
                <w:webHidden/>
              </w:rPr>
              <w:fldChar w:fldCharType="end"/>
            </w:r>
          </w:hyperlink>
        </w:p>
        <w:p w:rsidRPr="002F341C" w:rsidR="0036528E" w:rsidRDefault="00F016B9" w14:paraId="29968B91"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134">
            <w:r w:rsidRPr="002F341C" w:rsidR="0036528E">
              <w:rPr>
                <w:rStyle w:val="Hyperlink"/>
                <w:rFonts w:ascii="Arial" w:hAnsi="Arial" w:cs="Arial"/>
              </w:rPr>
              <w:t>e.</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Productos financieros para el financiamiento productivo</w:t>
            </w:r>
            <w:r w:rsidRPr="002F341C" w:rsidR="0036528E">
              <w:rPr>
                <w:webHidden/>
              </w:rPr>
              <w:tab/>
            </w:r>
            <w:r w:rsidRPr="002F341C" w:rsidR="0036528E">
              <w:rPr>
                <w:webHidden/>
              </w:rPr>
              <w:fldChar w:fldCharType="begin"/>
            </w:r>
            <w:r w:rsidRPr="002F341C" w:rsidR="0036528E">
              <w:rPr>
                <w:webHidden/>
              </w:rPr>
              <w:instrText xml:space="preserve"> PAGEREF _Toc17804134 \h </w:instrText>
            </w:r>
            <w:r w:rsidRPr="002F341C" w:rsidR="0036528E">
              <w:rPr>
                <w:webHidden/>
              </w:rPr>
            </w:r>
            <w:r w:rsidRPr="002F341C" w:rsidR="0036528E">
              <w:rPr>
                <w:webHidden/>
              </w:rPr>
              <w:fldChar w:fldCharType="separate"/>
            </w:r>
            <w:r w:rsidRPr="002F341C" w:rsidR="0036528E">
              <w:rPr>
                <w:webHidden/>
              </w:rPr>
              <w:t>20</w:t>
            </w:r>
            <w:r w:rsidRPr="002F341C" w:rsidR="0036528E">
              <w:rPr>
                <w:webHidden/>
              </w:rPr>
              <w:fldChar w:fldCharType="end"/>
            </w:r>
          </w:hyperlink>
        </w:p>
        <w:p w:rsidRPr="002F341C" w:rsidR="0036528E" w:rsidRDefault="00F016B9" w14:paraId="774E2803" w14:textId="77777777">
          <w:pPr>
            <w:pStyle w:val="TOC3"/>
            <w:tabs>
              <w:tab w:val="left" w:pos="880"/>
              <w:tab w:val="right" w:leader="dot" w:pos="8630"/>
            </w:tabs>
            <w:rPr>
              <w:rFonts w:asciiTheme="minorHAnsi" w:hAnsiTheme="minorHAnsi" w:eastAsiaTheme="minorEastAsia" w:cstheme="minorBidi"/>
              <w:sz w:val="22"/>
              <w:szCs w:val="22"/>
              <w:lang w:eastAsia="es-MX"/>
            </w:rPr>
          </w:pPr>
          <w:hyperlink w:history="1" w:anchor="_Toc17804138">
            <w:r w:rsidRPr="002F341C" w:rsidR="0036528E">
              <w:rPr>
                <w:rStyle w:val="Hyperlink"/>
                <w:rFonts w:ascii="Arial" w:hAnsi="Arial" w:cs="Arial"/>
                <w:lang w:eastAsia="es-ES"/>
              </w:rPr>
              <w:t>i.</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lang w:eastAsia="es-ES"/>
              </w:rPr>
              <w:t>Financiamiento para capital de trabajo</w:t>
            </w:r>
            <w:r w:rsidRPr="002F341C" w:rsidR="0036528E">
              <w:rPr>
                <w:webHidden/>
              </w:rPr>
              <w:tab/>
            </w:r>
            <w:r w:rsidRPr="002F341C" w:rsidR="0036528E">
              <w:rPr>
                <w:webHidden/>
              </w:rPr>
              <w:fldChar w:fldCharType="begin"/>
            </w:r>
            <w:r w:rsidRPr="002F341C" w:rsidR="0036528E">
              <w:rPr>
                <w:webHidden/>
              </w:rPr>
              <w:instrText xml:space="preserve"> PAGEREF _Toc17804138 \h </w:instrText>
            </w:r>
            <w:r w:rsidRPr="002F341C" w:rsidR="0036528E">
              <w:rPr>
                <w:webHidden/>
              </w:rPr>
            </w:r>
            <w:r w:rsidRPr="002F341C" w:rsidR="0036528E">
              <w:rPr>
                <w:webHidden/>
              </w:rPr>
              <w:fldChar w:fldCharType="separate"/>
            </w:r>
            <w:r w:rsidRPr="002F341C" w:rsidR="0036528E">
              <w:rPr>
                <w:webHidden/>
              </w:rPr>
              <w:t>21</w:t>
            </w:r>
            <w:r w:rsidRPr="002F341C" w:rsidR="0036528E">
              <w:rPr>
                <w:webHidden/>
              </w:rPr>
              <w:fldChar w:fldCharType="end"/>
            </w:r>
          </w:hyperlink>
        </w:p>
        <w:p w:rsidRPr="002F341C" w:rsidR="0036528E" w:rsidRDefault="00F016B9" w14:paraId="3EEAB78E" w14:textId="77777777">
          <w:pPr>
            <w:pStyle w:val="TOC3"/>
            <w:tabs>
              <w:tab w:val="left" w:pos="1100"/>
              <w:tab w:val="right" w:leader="dot" w:pos="8630"/>
            </w:tabs>
            <w:rPr>
              <w:rFonts w:asciiTheme="minorHAnsi" w:hAnsiTheme="minorHAnsi" w:eastAsiaTheme="minorEastAsia" w:cstheme="minorBidi"/>
              <w:sz w:val="22"/>
              <w:szCs w:val="22"/>
              <w:lang w:eastAsia="es-MX"/>
            </w:rPr>
          </w:pPr>
          <w:hyperlink w:history="1" w:anchor="_Toc17804143">
            <w:r w:rsidRPr="002F341C" w:rsidR="0036528E">
              <w:rPr>
                <w:rStyle w:val="Hyperlink"/>
                <w:rFonts w:ascii="Arial" w:hAnsi="Arial" w:cs="Arial"/>
                <w:lang w:eastAsia="es-ES"/>
              </w:rPr>
              <w:t>ii.</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lang w:eastAsia="es-ES"/>
              </w:rPr>
              <w:t>Financiamiento de inversiones productivas</w:t>
            </w:r>
            <w:r w:rsidRPr="002F341C" w:rsidR="0036528E">
              <w:rPr>
                <w:webHidden/>
              </w:rPr>
              <w:tab/>
            </w:r>
            <w:r w:rsidRPr="002F341C" w:rsidR="0036528E">
              <w:rPr>
                <w:webHidden/>
              </w:rPr>
              <w:fldChar w:fldCharType="begin"/>
            </w:r>
            <w:r w:rsidRPr="002F341C" w:rsidR="0036528E">
              <w:rPr>
                <w:webHidden/>
              </w:rPr>
              <w:instrText xml:space="preserve"> PAGEREF _Toc17804143 \h </w:instrText>
            </w:r>
            <w:r w:rsidRPr="002F341C" w:rsidR="0036528E">
              <w:rPr>
                <w:webHidden/>
              </w:rPr>
            </w:r>
            <w:r w:rsidRPr="002F341C" w:rsidR="0036528E">
              <w:rPr>
                <w:webHidden/>
              </w:rPr>
              <w:fldChar w:fldCharType="separate"/>
            </w:r>
            <w:r w:rsidRPr="002F341C" w:rsidR="0036528E">
              <w:rPr>
                <w:webHidden/>
              </w:rPr>
              <w:t>21</w:t>
            </w:r>
            <w:r w:rsidRPr="002F341C" w:rsidR="0036528E">
              <w:rPr>
                <w:webHidden/>
              </w:rPr>
              <w:fldChar w:fldCharType="end"/>
            </w:r>
          </w:hyperlink>
        </w:p>
        <w:p w:rsidRPr="002F341C" w:rsidR="0036528E" w:rsidRDefault="00F016B9" w14:paraId="696D23BB" w14:textId="77777777">
          <w:pPr>
            <w:pStyle w:val="TOC2"/>
            <w:tabs>
              <w:tab w:val="left" w:pos="660"/>
              <w:tab w:val="right" w:leader="dot" w:pos="8630"/>
            </w:tabs>
            <w:rPr>
              <w:rFonts w:asciiTheme="minorHAnsi" w:hAnsiTheme="minorHAnsi" w:eastAsiaTheme="minorEastAsia" w:cstheme="minorBidi"/>
              <w:sz w:val="22"/>
              <w:szCs w:val="22"/>
              <w:lang w:eastAsia="es-MX"/>
            </w:rPr>
          </w:pPr>
          <w:hyperlink w:history="1" w:anchor="_Toc17804148">
            <w:r w:rsidRPr="002F341C" w:rsidR="0036528E">
              <w:rPr>
                <w:rStyle w:val="Hyperlink"/>
                <w:rFonts w:ascii="Arial" w:hAnsi="Arial" w:cs="Arial"/>
              </w:rPr>
              <w:t>f.</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Destinos o uso de fondos susceptibles de financiamiento</w:t>
            </w:r>
            <w:r w:rsidRPr="002F341C" w:rsidR="0036528E">
              <w:rPr>
                <w:webHidden/>
              </w:rPr>
              <w:tab/>
            </w:r>
            <w:r w:rsidRPr="002F341C" w:rsidR="0036528E">
              <w:rPr>
                <w:webHidden/>
              </w:rPr>
              <w:fldChar w:fldCharType="begin"/>
            </w:r>
            <w:r w:rsidRPr="002F341C" w:rsidR="0036528E">
              <w:rPr>
                <w:webHidden/>
              </w:rPr>
              <w:instrText xml:space="preserve"> PAGEREF _Toc17804148 \h </w:instrText>
            </w:r>
            <w:r w:rsidRPr="002F341C" w:rsidR="0036528E">
              <w:rPr>
                <w:webHidden/>
              </w:rPr>
            </w:r>
            <w:r w:rsidRPr="002F341C" w:rsidR="0036528E">
              <w:rPr>
                <w:webHidden/>
              </w:rPr>
              <w:fldChar w:fldCharType="separate"/>
            </w:r>
            <w:r w:rsidRPr="002F341C" w:rsidR="0036528E">
              <w:rPr>
                <w:webHidden/>
              </w:rPr>
              <w:t>22</w:t>
            </w:r>
            <w:r w:rsidRPr="002F341C" w:rsidR="0036528E">
              <w:rPr>
                <w:webHidden/>
              </w:rPr>
              <w:fldChar w:fldCharType="end"/>
            </w:r>
          </w:hyperlink>
        </w:p>
        <w:p w:rsidRPr="002F341C" w:rsidR="0036528E" w:rsidRDefault="00F016B9" w14:paraId="0605DDA9" w14:textId="77777777">
          <w:pPr>
            <w:pStyle w:val="TOC3"/>
            <w:tabs>
              <w:tab w:val="left" w:pos="880"/>
              <w:tab w:val="right" w:leader="dot" w:pos="8630"/>
            </w:tabs>
            <w:rPr>
              <w:rFonts w:asciiTheme="minorHAnsi" w:hAnsiTheme="minorHAnsi" w:eastAsiaTheme="minorEastAsia" w:cstheme="minorBidi"/>
              <w:sz w:val="22"/>
              <w:szCs w:val="22"/>
              <w:lang w:eastAsia="es-MX"/>
            </w:rPr>
          </w:pPr>
          <w:hyperlink w:history="1" w:anchor="_Toc17804150">
            <w:r w:rsidRPr="002F341C" w:rsidR="0036528E">
              <w:rPr>
                <w:rStyle w:val="Hyperlink"/>
                <w:rFonts w:ascii="Arial" w:hAnsi="Arial" w:cs="Arial"/>
                <w:lang w:eastAsia="es-ES"/>
              </w:rPr>
              <w:t>i.</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lang w:eastAsia="es-ES"/>
              </w:rPr>
              <w:t>Cultivos sujetos de financiamiento</w:t>
            </w:r>
            <w:r w:rsidRPr="002F341C" w:rsidR="0036528E">
              <w:rPr>
                <w:webHidden/>
              </w:rPr>
              <w:tab/>
            </w:r>
            <w:r w:rsidRPr="002F341C" w:rsidR="0036528E">
              <w:rPr>
                <w:webHidden/>
              </w:rPr>
              <w:fldChar w:fldCharType="begin"/>
            </w:r>
            <w:r w:rsidRPr="002F341C" w:rsidR="0036528E">
              <w:rPr>
                <w:webHidden/>
              </w:rPr>
              <w:instrText xml:space="preserve"> PAGEREF _Toc17804150 \h </w:instrText>
            </w:r>
            <w:r w:rsidRPr="002F341C" w:rsidR="0036528E">
              <w:rPr>
                <w:webHidden/>
              </w:rPr>
            </w:r>
            <w:r w:rsidRPr="002F341C" w:rsidR="0036528E">
              <w:rPr>
                <w:webHidden/>
              </w:rPr>
              <w:fldChar w:fldCharType="separate"/>
            </w:r>
            <w:r w:rsidRPr="002F341C" w:rsidR="0036528E">
              <w:rPr>
                <w:webHidden/>
              </w:rPr>
              <w:t>22</w:t>
            </w:r>
            <w:r w:rsidRPr="002F341C" w:rsidR="0036528E">
              <w:rPr>
                <w:webHidden/>
              </w:rPr>
              <w:fldChar w:fldCharType="end"/>
            </w:r>
          </w:hyperlink>
        </w:p>
        <w:p w:rsidRPr="002F341C" w:rsidR="0036528E" w:rsidRDefault="00F016B9" w14:paraId="1B2C0A19" w14:textId="77777777">
          <w:pPr>
            <w:pStyle w:val="TOC3"/>
            <w:tabs>
              <w:tab w:val="left" w:pos="1100"/>
              <w:tab w:val="right" w:leader="dot" w:pos="8630"/>
            </w:tabs>
            <w:rPr>
              <w:rFonts w:asciiTheme="minorHAnsi" w:hAnsiTheme="minorHAnsi" w:eastAsiaTheme="minorEastAsia" w:cstheme="minorBidi"/>
              <w:sz w:val="22"/>
              <w:szCs w:val="22"/>
              <w:lang w:eastAsia="es-MX"/>
            </w:rPr>
          </w:pPr>
          <w:hyperlink w:history="1" w:anchor="_Toc17804153">
            <w:r w:rsidRPr="002F341C" w:rsidR="0036528E">
              <w:rPr>
                <w:rStyle w:val="Hyperlink"/>
                <w:rFonts w:ascii="Arial" w:hAnsi="Arial" w:cs="Arial"/>
                <w:lang w:eastAsia="es-ES"/>
              </w:rPr>
              <w:t>ii.</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lang w:eastAsia="es-ES"/>
              </w:rPr>
              <w:t>Planes de inversión sujetos de financiamiento</w:t>
            </w:r>
            <w:r w:rsidRPr="002F341C" w:rsidR="0036528E">
              <w:rPr>
                <w:webHidden/>
              </w:rPr>
              <w:tab/>
            </w:r>
            <w:r w:rsidRPr="002F341C" w:rsidR="0036528E">
              <w:rPr>
                <w:webHidden/>
              </w:rPr>
              <w:fldChar w:fldCharType="begin"/>
            </w:r>
            <w:r w:rsidRPr="002F341C" w:rsidR="0036528E">
              <w:rPr>
                <w:webHidden/>
              </w:rPr>
              <w:instrText xml:space="preserve"> PAGEREF _Toc17804153 \h </w:instrText>
            </w:r>
            <w:r w:rsidRPr="002F341C" w:rsidR="0036528E">
              <w:rPr>
                <w:webHidden/>
              </w:rPr>
            </w:r>
            <w:r w:rsidRPr="002F341C" w:rsidR="0036528E">
              <w:rPr>
                <w:webHidden/>
              </w:rPr>
              <w:fldChar w:fldCharType="separate"/>
            </w:r>
            <w:r w:rsidRPr="002F341C" w:rsidR="0036528E">
              <w:rPr>
                <w:webHidden/>
              </w:rPr>
              <w:t>22</w:t>
            </w:r>
            <w:r w:rsidRPr="002F341C" w:rsidR="0036528E">
              <w:rPr>
                <w:webHidden/>
              </w:rPr>
              <w:fldChar w:fldCharType="end"/>
            </w:r>
          </w:hyperlink>
        </w:p>
        <w:p w:rsidRPr="002F341C" w:rsidR="0036528E" w:rsidRDefault="00F016B9" w14:paraId="6493D6F0" w14:textId="77777777">
          <w:pPr>
            <w:pStyle w:val="TOC2"/>
            <w:tabs>
              <w:tab w:val="left" w:pos="880"/>
              <w:tab w:val="right" w:leader="dot" w:pos="8630"/>
            </w:tabs>
            <w:rPr>
              <w:rFonts w:asciiTheme="minorHAnsi" w:hAnsiTheme="minorHAnsi" w:eastAsiaTheme="minorEastAsia" w:cstheme="minorBidi"/>
              <w:sz w:val="22"/>
              <w:szCs w:val="22"/>
              <w:lang w:eastAsia="es-MX"/>
            </w:rPr>
          </w:pPr>
          <w:hyperlink w:history="1" w:anchor="_Toc17804160">
            <w:r w:rsidRPr="002F341C" w:rsidR="0036528E">
              <w:rPr>
                <w:rStyle w:val="Hyperlink"/>
                <w:rFonts w:ascii="Arial" w:hAnsi="Arial" w:cs="Arial"/>
              </w:rPr>
              <w:t>g.</w:t>
            </w:r>
            <w:r w:rsidRPr="002F341C" w:rsidR="0036528E">
              <w:rPr>
                <w:rFonts w:asciiTheme="minorHAnsi" w:hAnsiTheme="minorHAnsi" w:eastAsiaTheme="minorEastAsia" w:cstheme="minorBidi"/>
                <w:sz w:val="22"/>
                <w:szCs w:val="22"/>
                <w:lang w:eastAsia="es-MX"/>
              </w:rPr>
              <w:tab/>
            </w:r>
            <w:r w:rsidRPr="002F341C" w:rsidR="0036528E">
              <w:rPr>
                <w:rStyle w:val="Hyperlink"/>
                <w:rFonts w:ascii="Arial" w:hAnsi="Arial" w:cs="Arial"/>
              </w:rPr>
              <w:t>Esquemas de incentivos</w:t>
            </w:r>
            <w:r w:rsidRPr="002F341C" w:rsidR="0036528E">
              <w:rPr>
                <w:webHidden/>
              </w:rPr>
              <w:tab/>
            </w:r>
            <w:r w:rsidRPr="002F341C" w:rsidR="0036528E">
              <w:rPr>
                <w:webHidden/>
              </w:rPr>
              <w:fldChar w:fldCharType="begin"/>
            </w:r>
            <w:r w:rsidRPr="002F341C" w:rsidR="0036528E">
              <w:rPr>
                <w:webHidden/>
              </w:rPr>
              <w:instrText xml:space="preserve"> PAGEREF _Toc17804160 \h </w:instrText>
            </w:r>
            <w:r w:rsidRPr="002F341C" w:rsidR="0036528E">
              <w:rPr>
                <w:webHidden/>
              </w:rPr>
            </w:r>
            <w:r w:rsidRPr="002F341C" w:rsidR="0036528E">
              <w:rPr>
                <w:webHidden/>
              </w:rPr>
              <w:fldChar w:fldCharType="separate"/>
            </w:r>
            <w:r w:rsidRPr="002F341C" w:rsidR="0036528E">
              <w:rPr>
                <w:webHidden/>
              </w:rPr>
              <w:t>22</w:t>
            </w:r>
            <w:r w:rsidRPr="002F341C" w:rsidR="0036528E">
              <w:rPr>
                <w:webHidden/>
              </w:rPr>
              <w:fldChar w:fldCharType="end"/>
            </w:r>
          </w:hyperlink>
        </w:p>
        <w:p w:rsidRPr="002F341C" w:rsidR="0036528E" w:rsidRDefault="0036528E" w14:paraId="3B3EFE3A" w14:textId="47D0D6ED">
          <w:r w:rsidRPr="002F341C">
            <w:rPr>
              <w:b/>
              <w:bCs/>
            </w:rPr>
            <w:fldChar w:fldCharType="end"/>
          </w:r>
        </w:p>
      </w:sdtContent>
    </w:sdt>
    <w:p w:rsidRPr="002F341C" w:rsidR="0036528E" w:rsidP="0036528E" w:rsidRDefault="0036528E" w14:paraId="5581B7C3" w14:textId="77777777">
      <w:pPr>
        <w:jc w:val="both"/>
        <w:rPr>
          <w:rFonts w:ascii="Arial" w:hAnsi="Arial" w:cs="Arial"/>
          <w:b/>
          <w:smallCaps/>
          <w:sz w:val="22"/>
          <w:szCs w:val="22"/>
        </w:rPr>
      </w:pPr>
    </w:p>
    <w:p w:rsidRPr="002F341C" w:rsidR="0036528E" w:rsidP="00F97EF2" w:rsidRDefault="0036528E" w14:paraId="5E7115CB" w14:textId="77777777">
      <w:pPr>
        <w:jc w:val="center"/>
        <w:rPr>
          <w:rFonts w:ascii="Arial" w:hAnsi="Arial" w:cs="Arial"/>
          <w:b/>
          <w:smallCaps/>
          <w:sz w:val="22"/>
          <w:szCs w:val="22"/>
        </w:rPr>
      </w:pPr>
    </w:p>
    <w:p w:rsidRPr="002F341C" w:rsidR="0036528E" w:rsidP="00F97EF2" w:rsidRDefault="0036528E" w14:paraId="0549CE7C" w14:textId="77777777">
      <w:pPr>
        <w:jc w:val="center"/>
        <w:rPr>
          <w:rFonts w:ascii="Arial" w:hAnsi="Arial" w:cs="Arial"/>
          <w:b/>
          <w:smallCaps/>
          <w:sz w:val="22"/>
          <w:szCs w:val="22"/>
        </w:rPr>
      </w:pPr>
    </w:p>
    <w:p w:rsidRPr="002F341C" w:rsidR="0036528E" w:rsidP="00F97EF2" w:rsidRDefault="0036528E" w14:paraId="7B830F62" w14:textId="77777777">
      <w:pPr>
        <w:jc w:val="center"/>
        <w:rPr>
          <w:rFonts w:ascii="Arial" w:hAnsi="Arial" w:cs="Arial"/>
          <w:b/>
          <w:smallCaps/>
          <w:sz w:val="22"/>
          <w:szCs w:val="22"/>
        </w:rPr>
      </w:pPr>
    </w:p>
    <w:p w:rsidRPr="002F341C" w:rsidR="0036528E" w:rsidP="00F97EF2" w:rsidRDefault="0036528E" w14:paraId="6DF22679" w14:textId="77777777">
      <w:pPr>
        <w:jc w:val="center"/>
        <w:rPr>
          <w:rFonts w:ascii="Arial" w:hAnsi="Arial" w:cs="Arial"/>
          <w:b/>
          <w:smallCaps/>
          <w:sz w:val="22"/>
          <w:szCs w:val="22"/>
        </w:rPr>
      </w:pPr>
    </w:p>
    <w:p w:rsidRPr="002F341C" w:rsidR="0036528E" w:rsidRDefault="0036528E" w14:paraId="7DBAE42B" w14:textId="05D03B56">
      <w:pPr>
        <w:rPr>
          <w:rFonts w:ascii="Arial" w:hAnsi="Arial" w:cs="Arial"/>
          <w:b/>
          <w:smallCaps/>
          <w:sz w:val="22"/>
          <w:szCs w:val="22"/>
        </w:rPr>
      </w:pPr>
      <w:r w:rsidRPr="002F341C">
        <w:rPr>
          <w:rFonts w:ascii="Arial" w:hAnsi="Arial" w:cs="Arial"/>
          <w:b/>
          <w:smallCaps/>
          <w:sz w:val="22"/>
          <w:szCs w:val="22"/>
        </w:rPr>
        <w:br w:type="page"/>
      </w:r>
    </w:p>
    <w:p w:rsidRPr="002F341C" w:rsidR="00174AB4" w:rsidP="006A1820" w:rsidRDefault="00E67112" w14:paraId="5DF66059" w14:textId="52CC8E8B">
      <w:pPr>
        <w:pStyle w:val="Chapter"/>
        <w:tabs>
          <w:tab w:val="clear" w:pos="648"/>
          <w:tab w:val="num" w:pos="720"/>
        </w:tabs>
        <w:ind w:firstLine="90"/>
        <w:jc w:val="left"/>
        <w:rPr>
          <w:rFonts w:ascii="Arial" w:hAnsi="Arial" w:cs="Arial"/>
          <w:b w:val="0"/>
          <w:sz w:val="22"/>
          <w:szCs w:val="22"/>
        </w:rPr>
      </w:pPr>
      <w:bookmarkStart w:name="_Hlk506993931" w:id="2"/>
      <w:r w:rsidRPr="002F341C">
        <w:rPr>
          <w:rFonts w:ascii="Arial" w:hAnsi="Arial" w:cs="Arial"/>
          <w:sz w:val="22"/>
          <w:szCs w:val="22"/>
        </w:rPr>
        <w:lastRenderedPageBreak/>
        <w:t>Introducción</w:t>
      </w:r>
    </w:p>
    <w:p w:rsidRPr="002F341C" w:rsidR="00B628E5" w:rsidP="00B628E5" w:rsidRDefault="00B628E5" w14:paraId="43C8F6CA" w14:textId="711255EC">
      <w:pPr>
        <w:pStyle w:val="Paragraph"/>
        <w:ind w:left="720" w:hanging="720"/>
        <w:rPr>
          <w:rFonts w:ascii="Arial" w:hAnsi="Arial" w:cs="Arial"/>
          <w:sz w:val="22"/>
          <w:szCs w:val="22"/>
        </w:rPr>
      </w:pPr>
      <w:bookmarkStart w:name="_Toc17804014" w:id="3"/>
      <w:r w:rsidRPr="002F341C">
        <w:rPr>
          <w:rFonts w:ascii="Arial" w:hAnsi="Arial" w:cs="Arial"/>
          <w:sz w:val="22"/>
          <w:szCs w:val="22"/>
        </w:rPr>
        <w:t>El sector agropecuario de Honduras es un sector prioritario para impulsar la productividad, la inclusión y sostenibilidad del crecimiento del país. Acorde con datos del Banco Central de Honduras, el sector agropecuario, de silvicultura y pesca representa el 14</w:t>
      </w:r>
      <w:r w:rsidRPr="002F341C" w:rsidR="007102F5">
        <w:rPr>
          <w:rFonts w:ascii="Arial" w:hAnsi="Arial" w:cs="Arial"/>
          <w:sz w:val="22"/>
          <w:szCs w:val="22"/>
        </w:rPr>
        <w:t>,</w:t>
      </w:r>
      <w:r w:rsidRPr="002F341C">
        <w:rPr>
          <w:rFonts w:ascii="Arial" w:hAnsi="Arial" w:cs="Arial"/>
          <w:sz w:val="22"/>
          <w:szCs w:val="22"/>
        </w:rPr>
        <w:t>6% del Producto Interno Bruto (PIB); al tiempo que genera un poco más del 50</w:t>
      </w:r>
      <w:r w:rsidRPr="002F341C" w:rsidR="007102F5">
        <w:rPr>
          <w:rFonts w:ascii="Arial" w:hAnsi="Arial" w:cs="Arial"/>
          <w:sz w:val="22"/>
          <w:szCs w:val="22"/>
        </w:rPr>
        <w:t>,</w:t>
      </w:r>
      <w:r w:rsidRPr="002F341C">
        <w:rPr>
          <w:rFonts w:ascii="Arial" w:hAnsi="Arial" w:cs="Arial"/>
          <w:sz w:val="22"/>
          <w:szCs w:val="22"/>
        </w:rPr>
        <w:t>3% de las exportaciones del país (al excluir la maquila y el oro no monetario) y genera empleo para el 30</w:t>
      </w:r>
      <w:r w:rsidRPr="002F341C" w:rsidR="007102F5">
        <w:rPr>
          <w:rFonts w:ascii="Arial" w:hAnsi="Arial" w:cs="Arial"/>
          <w:sz w:val="22"/>
          <w:szCs w:val="22"/>
        </w:rPr>
        <w:t>,</w:t>
      </w:r>
      <w:r w:rsidRPr="002F341C">
        <w:rPr>
          <w:rFonts w:ascii="Arial" w:hAnsi="Arial" w:cs="Arial"/>
          <w:sz w:val="22"/>
          <w:szCs w:val="22"/>
        </w:rPr>
        <w:t>8% de la población económicamente activa.</w:t>
      </w:r>
      <w:bookmarkEnd w:id="3"/>
      <w:r w:rsidRPr="002F341C">
        <w:rPr>
          <w:rFonts w:ascii="Arial" w:hAnsi="Arial" w:cs="Arial"/>
          <w:sz w:val="22"/>
          <w:szCs w:val="22"/>
        </w:rPr>
        <w:t xml:space="preserve"> </w:t>
      </w:r>
    </w:p>
    <w:p w:rsidRPr="002F341C" w:rsidR="00B628E5" w:rsidP="00B628E5" w:rsidRDefault="00B628E5" w14:paraId="0FB07E80" w14:textId="2F0139F1">
      <w:pPr>
        <w:pStyle w:val="Paragraph"/>
        <w:ind w:left="720" w:hanging="720"/>
        <w:rPr>
          <w:rFonts w:ascii="Arial" w:hAnsi="Arial" w:cs="Arial"/>
          <w:sz w:val="22"/>
          <w:szCs w:val="22"/>
        </w:rPr>
      </w:pPr>
      <w:bookmarkStart w:name="_Toc17804015" w:id="4"/>
      <w:r w:rsidRPr="002F341C">
        <w:rPr>
          <w:rFonts w:ascii="Arial" w:hAnsi="Arial" w:cs="Arial"/>
          <w:sz w:val="22"/>
          <w:szCs w:val="22"/>
        </w:rPr>
        <w:t xml:space="preserve">No </w:t>
      </w:r>
      <w:r w:rsidRPr="002F341C" w:rsidR="000442EF">
        <w:rPr>
          <w:rFonts w:ascii="Arial" w:hAnsi="Arial" w:cs="Arial"/>
          <w:sz w:val="22"/>
          <w:szCs w:val="22"/>
        </w:rPr>
        <w:t>obstante,</w:t>
      </w:r>
      <w:r w:rsidRPr="002F341C">
        <w:rPr>
          <w:rFonts w:ascii="Arial" w:hAnsi="Arial" w:cs="Arial"/>
          <w:sz w:val="22"/>
          <w:szCs w:val="22"/>
        </w:rPr>
        <w:t xml:space="preserve"> la relevancia económica del sector, el acceso al crédito representa una importante barrera para impulsar los niveles de productividad; </w:t>
      </w:r>
      <w:r w:rsidRPr="002F341C" w:rsidR="00373B91">
        <w:rPr>
          <w:rFonts w:ascii="Arial" w:hAnsi="Arial" w:cs="Arial"/>
          <w:sz w:val="22"/>
          <w:szCs w:val="22"/>
        </w:rPr>
        <w:t>y,</w:t>
      </w:r>
      <w:r w:rsidRPr="002F341C">
        <w:rPr>
          <w:rFonts w:ascii="Arial" w:hAnsi="Arial" w:cs="Arial"/>
          <w:sz w:val="22"/>
          <w:szCs w:val="22"/>
        </w:rPr>
        <w:t xml:space="preserve"> por ende, fomentar mejoras significativas en la generación de ingresos y en el desarrollo económico de las zonas rurales del país. El potencial de crecimiento del sector es amplio, dado el clima tropical del país que permite cosechar alimentos durante todo el año, el bajo costo de la tierra, niveles salariales competitivos y el acceso a un mercado de más de 450 millones de consumidores (Estados Unidos, Canadá y México) con un alto poder adquisitivo.</w:t>
      </w:r>
      <w:bookmarkEnd w:id="4"/>
    </w:p>
    <w:p w:rsidRPr="002F341C" w:rsidR="00B628E5" w:rsidP="00B628E5" w:rsidRDefault="00B628E5" w14:paraId="00F1A32F" w14:textId="26666B14">
      <w:pPr>
        <w:pStyle w:val="Paragraph"/>
        <w:ind w:left="720" w:hanging="720"/>
        <w:rPr>
          <w:rFonts w:ascii="Arial" w:hAnsi="Arial" w:cs="Arial"/>
          <w:sz w:val="22"/>
          <w:szCs w:val="22"/>
        </w:rPr>
      </w:pPr>
      <w:bookmarkStart w:name="_Toc17804016" w:id="5"/>
      <w:r w:rsidRPr="002F341C">
        <w:rPr>
          <w:rFonts w:ascii="Arial" w:hAnsi="Arial" w:cs="Arial"/>
          <w:sz w:val="22"/>
          <w:szCs w:val="22"/>
        </w:rPr>
        <w:t>En los últimos años, el cambio climático</w:t>
      </w:r>
      <w:r w:rsidRPr="002F341C">
        <w:rPr>
          <w:rStyle w:val="FootnoteReference"/>
          <w:rFonts w:ascii="Arial" w:hAnsi="Arial" w:cs="Arial"/>
          <w:sz w:val="22"/>
          <w:szCs w:val="22"/>
        </w:rPr>
        <w:footnoteReference w:id="2"/>
      </w:r>
      <w:r w:rsidRPr="002F341C">
        <w:rPr>
          <w:rFonts w:ascii="Arial" w:hAnsi="Arial" w:cs="Arial"/>
          <w:sz w:val="22"/>
          <w:szCs w:val="22"/>
        </w:rPr>
        <w:t xml:space="preserve"> se ha convertido en una barrera significativa para impulsar el desarrollo económico en la zona del pacífico del país. El impacto ha sido tal </w:t>
      </w:r>
      <w:r w:rsidRPr="002F341C" w:rsidR="000442EF">
        <w:rPr>
          <w:rFonts w:ascii="Arial" w:hAnsi="Arial" w:cs="Arial"/>
          <w:sz w:val="22"/>
          <w:szCs w:val="22"/>
        </w:rPr>
        <w:t>que,</w:t>
      </w:r>
      <w:r w:rsidRPr="002F341C">
        <w:rPr>
          <w:rFonts w:ascii="Arial" w:hAnsi="Arial" w:cs="Arial"/>
          <w:sz w:val="22"/>
          <w:szCs w:val="22"/>
        </w:rPr>
        <w:t xml:space="preserve"> en los últimos años, se han producido pérdidas de plantaciones de maíz y frijoles, poniendo en riesgo la seguridad alimentaria del país. Acorde con datos publicados por la prensa local</w:t>
      </w:r>
      <w:r w:rsidRPr="002F341C" w:rsidR="00E96ED7">
        <w:rPr>
          <w:rStyle w:val="FootnoteReference"/>
          <w:rFonts w:ascii="Arial" w:hAnsi="Arial" w:cs="Arial"/>
          <w:sz w:val="22"/>
          <w:szCs w:val="22"/>
        </w:rPr>
        <w:footnoteReference w:id="3"/>
      </w:r>
      <w:r w:rsidRPr="002F341C">
        <w:rPr>
          <w:rFonts w:ascii="Arial" w:hAnsi="Arial" w:cs="Arial"/>
          <w:sz w:val="22"/>
          <w:szCs w:val="22"/>
        </w:rPr>
        <w:t xml:space="preserve">, en el presente año la sequía ha impactado en un poco más de 170,000 familias que dependen de la agricultura para su subsistencia; lo que ha sido parcialmente contrarrestado con programas de ayuda impulsados por el </w:t>
      </w:r>
      <w:r w:rsidRPr="002F341C" w:rsidR="007102F5">
        <w:rPr>
          <w:rFonts w:ascii="Arial" w:hAnsi="Arial" w:cs="Arial"/>
          <w:sz w:val="22"/>
          <w:szCs w:val="22"/>
        </w:rPr>
        <w:t>gobierno</w:t>
      </w:r>
      <w:r w:rsidRPr="002F341C">
        <w:rPr>
          <w:rFonts w:ascii="Arial" w:hAnsi="Arial" w:cs="Arial"/>
          <w:sz w:val="22"/>
          <w:szCs w:val="22"/>
        </w:rPr>
        <w:t>.</w:t>
      </w:r>
      <w:bookmarkEnd w:id="5"/>
    </w:p>
    <w:p w:rsidRPr="002F341C" w:rsidR="00B31645" w:rsidP="00B628E5" w:rsidRDefault="00B628E5" w14:paraId="726593CF" w14:textId="62327853">
      <w:pPr>
        <w:pStyle w:val="Paragraph"/>
        <w:ind w:left="720" w:hanging="720"/>
        <w:rPr>
          <w:rFonts w:ascii="Arial" w:hAnsi="Arial" w:cs="Arial"/>
          <w:sz w:val="22"/>
          <w:szCs w:val="22"/>
        </w:rPr>
      </w:pPr>
      <w:bookmarkStart w:name="_Toc17804017" w:id="6"/>
      <w:r w:rsidRPr="002F341C">
        <w:rPr>
          <w:rFonts w:ascii="Arial" w:hAnsi="Arial" w:cs="Arial"/>
          <w:sz w:val="22"/>
          <w:szCs w:val="22"/>
        </w:rPr>
        <w:t xml:space="preserve">En este contexto, el presente documento analiza los hechos estilizados del sistema financiero de Honduras, la evolución del crédito en los últimos años y, en particular, el crédito hacia el sector agropecuario. Asimismo, se analizan las barreras para fomentar </w:t>
      </w:r>
      <w:r w:rsidRPr="002F341C" w:rsidR="000442EF">
        <w:rPr>
          <w:rFonts w:ascii="Arial" w:hAnsi="Arial" w:cs="Arial"/>
          <w:sz w:val="22"/>
          <w:szCs w:val="22"/>
        </w:rPr>
        <w:t>un mayor acceso</w:t>
      </w:r>
      <w:r w:rsidRPr="002F341C">
        <w:rPr>
          <w:rFonts w:ascii="Arial" w:hAnsi="Arial" w:cs="Arial"/>
          <w:sz w:val="22"/>
          <w:szCs w:val="22"/>
        </w:rPr>
        <w:t xml:space="preserve"> al crédito por parte de los pequeños y medianos productores del corredor seco de Honduras</w:t>
      </w:r>
      <w:r w:rsidRPr="002F341C" w:rsidR="00E1515C">
        <w:rPr>
          <w:rStyle w:val="FootnoteReference"/>
          <w:rFonts w:ascii="Arial" w:hAnsi="Arial" w:cs="Arial"/>
          <w:sz w:val="22"/>
          <w:szCs w:val="22"/>
        </w:rPr>
        <w:footnoteReference w:id="4"/>
      </w:r>
      <w:r w:rsidRPr="002F341C">
        <w:rPr>
          <w:rFonts w:ascii="Arial" w:hAnsi="Arial" w:cs="Arial"/>
          <w:sz w:val="22"/>
          <w:szCs w:val="22"/>
        </w:rPr>
        <w:t>; y finalmente, se presenta estimaciones de la demanda potencial de crédito en dicha zona</w:t>
      </w:r>
      <w:r w:rsidRPr="002F341C" w:rsidR="005F19C6">
        <w:rPr>
          <w:rFonts w:ascii="Arial" w:hAnsi="Arial" w:cs="Arial"/>
          <w:sz w:val="22"/>
          <w:szCs w:val="22"/>
        </w:rPr>
        <w:t xml:space="preserve">, al tiempo que </w:t>
      </w:r>
      <w:r w:rsidRPr="002F341C">
        <w:rPr>
          <w:rFonts w:ascii="Arial" w:hAnsi="Arial" w:cs="Arial"/>
          <w:sz w:val="22"/>
          <w:szCs w:val="22"/>
        </w:rPr>
        <w:t>se esbozan las características de debería incluir un programa de fomento del crédito hacia el sector</w:t>
      </w:r>
      <w:r w:rsidRPr="002F341C" w:rsidR="00414683">
        <w:rPr>
          <w:rFonts w:ascii="Arial" w:hAnsi="Arial" w:cs="Arial"/>
          <w:sz w:val="22"/>
          <w:szCs w:val="22"/>
        </w:rPr>
        <w:t>.</w:t>
      </w:r>
      <w:bookmarkEnd w:id="6"/>
    </w:p>
    <w:p w:rsidRPr="002F341C" w:rsidR="00B31645" w:rsidP="006A1820" w:rsidRDefault="00F373AE" w14:paraId="06DBB004" w14:textId="29A4C9C4">
      <w:pPr>
        <w:pStyle w:val="Chapter"/>
        <w:tabs>
          <w:tab w:val="clear" w:pos="648"/>
          <w:tab w:val="num" w:pos="720"/>
        </w:tabs>
        <w:ind w:firstLine="90"/>
        <w:jc w:val="left"/>
        <w:rPr>
          <w:rFonts w:ascii="Arial" w:hAnsi="Arial" w:cs="Arial"/>
          <w:sz w:val="22"/>
          <w:szCs w:val="22"/>
        </w:rPr>
      </w:pPr>
      <w:r w:rsidRPr="002F341C">
        <w:rPr>
          <w:rFonts w:ascii="Arial" w:hAnsi="Arial" w:cs="Arial"/>
          <w:sz w:val="22"/>
          <w:szCs w:val="22"/>
        </w:rPr>
        <w:t>Hechos estilizados del s</w:t>
      </w:r>
      <w:r w:rsidRPr="002F341C" w:rsidR="00B31645">
        <w:rPr>
          <w:rFonts w:ascii="Arial" w:hAnsi="Arial" w:cs="Arial"/>
          <w:sz w:val="22"/>
          <w:szCs w:val="22"/>
        </w:rPr>
        <w:t xml:space="preserve">istema </w:t>
      </w:r>
      <w:r w:rsidRPr="002F341C">
        <w:rPr>
          <w:rFonts w:ascii="Arial" w:hAnsi="Arial" w:cs="Arial"/>
          <w:sz w:val="22"/>
          <w:szCs w:val="22"/>
        </w:rPr>
        <w:t>f</w:t>
      </w:r>
      <w:r w:rsidRPr="002F341C" w:rsidR="00B31645">
        <w:rPr>
          <w:rFonts w:ascii="Arial" w:hAnsi="Arial" w:cs="Arial"/>
          <w:sz w:val="22"/>
          <w:szCs w:val="22"/>
        </w:rPr>
        <w:t xml:space="preserve">inanciero </w:t>
      </w:r>
      <w:r w:rsidRPr="002F341C">
        <w:rPr>
          <w:rFonts w:ascii="Arial" w:hAnsi="Arial" w:cs="Arial"/>
          <w:sz w:val="22"/>
          <w:szCs w:val="22"/>
        </w:rPr>
        <w:t>de Honduras</w:t>
      </w:r>
    </w:p>
    <w:p w:rsidRPr="002F341C" w:rsidR="00B31645" w:rsidP="005E7BFE" w:rsidRDefault="0086469E" w14:paraId="2976CAD5" w14:textId="1117C704">
      <w:pPr>
        <w:pStyle w:val="Paragraph"/>
        <w:numPr>
          <w:ilvl w:val="0"/>
          <w:numId w:val="11"/>
        </w:numPr>
        <w:ind w:hanging="720"/>
        <w:rPr>
          <w:rFonts w:ascii="Arial" w:hAnsi="Arial" w:cs="Arial"/>
          <w:b/>
          <w:sz w:val="22"/>
          <w:szCs w:val="22"/>
        </w:rPr>
      </w:pPr>
      <w:bookmarkStart w:name="_Toc17804018" w:id="7"/>
      <w:r w:rsidRPr="002F341C">
        <w:rPr>
          <w:rFonts w:ascii="Arial" w:hAnsi="Arial" w:cs="Arial"/>
          <w:b/>
          <w:sz w:val="22"/>
          <w:szCs w:val="22"/>
        </w:rPr>
        <w:t xml:space="preserve">Estructura y composición del </w:t>
      </w:r>
      <w:r w:rsidRPr="002F341C" w:rsidR="00F373AE">
        <w:rPr>
          <w:rFonts w:ascii="Arial" w:hAnsi="Arial" w:cs="Arial"/>
          <w:b/>
          <w:sz w:val="22"/>
          <w:szCs w:val="22"/>
        </w:rPr>
        <w:t>s</w:t>
      </w:r>
      <w:r w:rsidRPr="002F341C">
        <w:rPr>
          <w:rFonts w:ascii="Arial" w:hAnsi="Arial" w:cs="Arial"/>
          <w:b/>
          <w:sz w:val="22"/>
          <w:szCs w:val="22"/>
        </w:rPr>
        <w:t xml:space="preserve">istema </w:t>
      </w:r>
      <w:r w:rsidRPr="002F341C" w:rsidR="00F373AE">
        <w:rPr>
          <w:rFonts w:ascii="Arial" w:hAnsi="Arial" w:cs="Arial"/>
          <w:b/>
          <w:sz w:val="22"/>
          <w:szCs w:val="22"/>
        </w:rPr>
        <w:t>f</w:t>
      </w:r>
      <w:r w:rsidRPr="002F341C">
        <w:rPr>
          <w:rFonts w:ascii="Arial" w:hAnsi="Arial" w:cs="Arial"/>
          <w:b/>
          <w:sz w:val="22"/>
          <w:szCs w:val="22"/>
        </w:rPr>
        <w:t>inanciero</w:t>
      </w:r>
      <w:bookmarkEnd w:id="7"/>
    </w:p>
    <w:p w:rsidRPr="002F341C" w:rsidR="00B31645" w:rsidP="006367CB" w:rsidRDefault="0086469E" w14:paraId="67A0412C" w14:textId="1A7607AB">
      <w:pPr>
        <w:pStyle w:val="Paragraph"/>
        <w:ind w:left="720" w:hanging="720"/>
        <w:rPr>
          <w:rFonts w:ascii="Arial" w:hAnsi="Arial" w:cs="Arial"/>
          <w:sz w:val="22"/>
          <w:szCs w:val="22"/>
        </w:rPr>
      </w:pPr>
      <w:bookmarkStart w:name="_Toc17804019" w:id="8"/>
      <w:r w:rsidRPr="002F341C">
        <w:rPr>
          <w:rFonts w:ascii="Arial" w:hAnsi="Arial" w:cs="Arial"/>
          <w:sz w:val="22"/>
          <w:szCs w:val="22"/>
        </w:rPr>
        <w:t xml:space="preserve">El sistema financiero hondureño está conformado por </w:t>
      </w:r>
      <w:r w:rsidRPr="002F341C" w:rsidR="007F256C">
        <w:rPr>
          <w:rFonts w:ascii="Arial" w:hAnsi="Arial" w:cs="Arial"/>
          <w:sz w:val="22"/>
          <w:szCs w:val="22"/>
        </w:rPr>
        <w:t>32 entidades captadoras de depósitos</w:t>
      </w:r>
      <w:r w:rsidRPr="002F341C" w:rsidR="00F373AE">
        <w:rPr>
          <w:rFonts w:ascii="Arial" w:hAnsi="Arial" w:cs="Arial"/>
          <w:sz w:val="22"/>
          <w:szCs w:val="22"/>
        </w:rPr>
        <w:t xml:space="preserve"> e intermediarias de fondos,</w:t>
      </w:r>
      <w:r w:rsidRPr="002F341C" w:rsidR="007F256C">
        <w:rPr>
          <w:rFonts w:ascii="Arial" w:hAnsi="Arial" w:cs="Arial"/>
          <w:sz w:val="22"/>
          <w:szCs w:val="22"/>
        </w:rPr>
        <w:t xml:space="preserve"> entre bancos comerciales, estatales, </w:t>
      </w:r>
      <w:r w:rsidRPr="002F341C">
        <w:rPr>
          <w:rFonts w:ascii="Arial" w:hAnsi="Arial" w:cs="Arial"/>
          <w:sz w:val="22"/>
          <w:szCs w:val="22"/>
        </w:rPr>
        <w:t>sociedades financieras</w:t>
      </w:r>
      <w:r w:rsidRPr="002F341C" w:rsidR="007F256C">
        <w:rPr>
          <w:rFonts w:ascii="Arial" w:hAnsi="Arial" w:cs="Arial"/>
          <w:sz w:val="22"/>
          <w:szCs w:val="22"/>
        </w:rPr>
        <w:t xml:space="preserve"> y </w:t>
      </w:r>
      <w:r w:rsidRPr="002F341C">
        <w:rPr>
          <w:rFonts w:ascii="Arial" w:hAnsi="Arial" w:cs="Arial"/>
          <w:sz w:val="22"/>
          <w:szCs w:val="22"/>
        </w:rPr>
        <w:t>organizaciones privadas de desarrollo financiero</w:t>
      </w:r>
      <w:r w:rsidRPr="002F341C" w:rsidR="00DE5712">
        <w:rPr>
          <w:rFonts w:ascii="Arial" w:hAnsi="Arial" w:cs="Arial"/>
          <w:sz w:val="22"/>
          <w:szCs w:val="22"/>
        </w:rPr>
        <w:t>. Un</w:t>
      </w:r>
      <w:r w:rsidRPr="002F341C" w:rsidR="00F373AE">
        <w:rPr>
          <w:rFonts w:ascii="Arial" w:hAnsi="Arial" w:cs="Arial"/>
          <w:sz w:val="22"/>
          <w:szCs w:val="22"/>
        </w:rPr>
        <w:t xml:space="preserve">a característica </w:t>
      </w:r>
      <w:r w:rsidRPr="002F341C" w:rsidR="00DE5712">
        <w:rPr>
          <w:rFonts w:ascii="Arial" w:hAnsi="Arial" w:cs="Arial"/>
          <w:sz w:val="22"/>
          <w:szCs w:val="22"/>
        </w:rPr>
        <w:t>de</w:t>
      </w:r>
      <w:r w:rsidRPr="002F341C" w:rsidR="00F373AE">
        <w:rPr>
          <w:rFonts w:ascii="Arial" w:hAnsi="Arial" w:cs="Arial"/>
          <w:sz w:val="22"/>
          <w:szCs w:val="22"/>
        </w:rPr>
        <w:t xml:space="preserve">l sistema </w:t>
      </w:r>
      <w:r w:rsidRPr="002F341C" w:rsidR="000442EF">
        <w:rPr>
          <w:rFonts w:ascii="Arial" w:hAnsi="Arial" w:cs="Arial"/>
          <w:sz w:val="22"/>
          <w:szCs w:val="22"/>
        </w:rPr>
        <w:t>bancario</w:t>
      </w:r>
      <w:r w:rsidRPr="002F341C" w:rsidR="00F373AE">
        <w:rPr>
          <w:rFonts w:ascii="Arial" w:hAnsi="Arial" w:cs="Arial"/>
          <w:sz w:val="22"/>
          <w:szCs w:val="22"/>
        </w:rPr>
        <w:t xml:space="preserve"> es la longevidad de sus entidades, las que en </w:t>
      </w:r>
      <w:r w:rsidRPr="002F341C" w:rsidR="00F373AE">
        <w:rPr>
          <w:rFonts w:ascii="Arial" w:hAnsi="Arial" w:cs="Arial"/>
          <w:sz w:val="22"/>
          <w:szCs w:val="22"/>
        </w:rPr>
        <w:lastRenderedPageBreak/>
        <w:t xml:space="preserve">promedio poseen más de </w:t>
      </w:r>
      <w:r w:rsidRPr="002F341C" w:rsidR="006609C8">
        <w:rPr>
          <w:rFonts w:ascii="Arial" w:hAnsi="Arial" w:cs="Arial"/>
          <w:sz w:val="22"/>
          <w:szCs w:val="22"/>
        </w:rPr>
        <w:t>4</w:t>
      </w:r>
      <w:r w:rsidRPr="002F341C" w:rsidR="00F373AE">
        <w:rPr>
          <w:rFonts w:ascii="Arial" w:hAnsi="Arial" w:cs="Arial"/>
          <w:sz w:val="22"/>
          <w:szCs w:val="22"/>
        </w:rPr>
        <w:t>0 años de operación</w:t>
      </w:r>
      <w:r w:rsidRPr="002F341C" w:rsidR="00F373AE">
        <w:rPr>
          <w:rStyle w:val="FootnoteReference"/>
          <w:rFonts w:ascii="Arial" w:hAnsi="Arial" w:cs="Arial"/>
          <w:sz w:val="22"/>
          <w:szCs w:val="22"/>
        </w:rPr>
        <w:footnoteReference w:id="5"/>
      </w:r>
      <w:r w:rsidRPr="002F341C" w:rsidR="00FE4EB5">
        <w:rPr>
          <w:rFonts w:ascii="Arial" w:hAnsi="Arial" w:cs="Arial"/>
          <w:sz w:val="22"/>
          <w:szCs w:val="22"/>
        </w:rPr>
        <w:t>; por lo que cuentan con la experiencia necesaria</w:t>
      </w:r>
      <w:r w:rsidRPr="002F341C" w:rsidR="00DE5712">
        <w:rPr>
          <w:rFonts w:ascii="Arial" w:hAnsi="Arial" w:cs="Arial"/>
          <w:sz w:val="22"/>
          <w:szCs w:val="22"/>
        </w:rPr>
        <w:t xml:space="preserve"> para administrar los riesgos del negocio</w:t>
      </w:r>
      <w:r w:rsidRPr="002F341C" w:rsidR="00FE4EB5">
        <w:rPr>
          <w:rFonts w:ascii="Arial" w:hAnsi="Arial" w:cs="Arial"/>
          <w:sz w:val="22"/>
          <w:szCs w:val="22"/>
        </w:rPr>
        <w:t xml:space="preserve"> banc</w:t>
      </w:r>
      <w:r w:rsidRPr="002F341C" w:rsidR="00DE5712">
        <w:rPr>
          <w:rFonts w:ascii="Arial" w:hAnsi="Arial" w:cs="Arial"/>
          <w:sz w:val="22"/>
          <w:szCs w:val="22"/>
        </w:rPr>
        <w:t>ario.</w:t>
      </w:r>
      <w:bookmarkEnd w:id="8"/>
    </w:p>
    <w:p w:rsidRPr="002F341C" w:rsidR="00590BC2" w:rsidP="009F518F" w:rsidRDefault="009F518F" w14:paraId="508B16CA" w14:textId="14EA4AE8">
      <w:pPr>
        <w:pStyle w:val="Paragraph"/>
        <w:ind w:left="720" w:hanging="720"/>
        <w:rPr>
          <w:rFonts w:ascii="Arial" w:hAnsi="Arial" w:cs="Arial"/>
          <w:sz w:val="22"/>
          <w:szCs w:val="22"/>
        </w:rPr>
      </w:pPr>
      <w:bookmarkStart w:name="_Toc17804020" w:id="9"/>
      <w:r w:rsidRPr="002F341C">
        <w:rPr>
          <w:rFonts w:ascii="Arial" w:hAnsi="Arial" w:cs="Arial"/>
          <w:sz w:val="22"/>
          <w:szCs w:val="22"/>
        </w:rPr>
        <w:t xml:space="preserve">A junio de 2019, el sistema financiero hondureño mantiene activos por </w:t>
      </w:r>
      <w:r w:rsidRPr="002F341C" w:rsidR="007102F5">
        <w:rPr>
          <w:rFonts w:ascii="Arial" w:hAnsi="Arial" w:cs="Arial"/>
          <w:sz w:val="22"/>
          <w:szCs w:val="22"/>
        </w:rPr>
        <w:t>US$</w:t>
      </w:r>
      <w:r w:rsidRPr="002F341C">
        <w:rPr>
          <w:rFonts w:ascii="Arial" w:hAnsi="Arial" w:cs="Arial"/>
          <w:sz w:val="22"/>
          <w:szCs w:val="22"/>
        </w:rPr>
        <w:t>20</w:t>
      </w:r>
      <w:r w:rsidRPr="002F341C" w:rsidR="007102F5">
        <w:rPr>
          <w:rFonts w:ascii="Arial" w:hAnsi="Arial" w:cs="Arial"/>
          <w:sz w:val="22"/>
          <w:szCs w:val="22"/>
        </w:rPr>
        <w:t>.</w:t>
      </w:r>
      <w:r w:rsidRPr="002F341C">
        <w:rPr>
          <w:rFonts w:ascii="Arial" w:hAnsi="Arial" w:cs="Arial"/>
          <w:sz w:val="22"/>
          <w:szCs w:val="22"/>
        </w:rPr>
        <w:t xml:space="preserve">780 millones, de los cuales un 68.4% </w:t>
      </w:r>
      <w:r w:rsidRPr="002F341C" w:rsidR="00FE4EB5">
        <w:rPr>
          <w:rFonts w:ascii="Arial" w:hAnsi="Arial" w:cs="Arial"/>
          <w:sz w:val="22"/>
          <w:szCs w:val="22"/>
        </w:rPr>
        <w:t>son destinados a op</w:t>
      </w:r>
      <w:r w:rsidRPr="002F341C">
        <w:rPr>
          <w:rFonts w:ascii="Arial" w:hAnsi="Arial" w:cs="Arial"/>
          <w:sz w:val="22"/>
          <w:szCs w:val="22"/>
        </w:rPr>
        <w:t xml:space="preserve">eraciones crediticias </w:t>
      </w:r>
      <w:r w:rsidRPr="002F341C" w:rsidR="00FE4EB5">
        <w:rPr>
          <w:rFonts w:ascii="Arial" w:hAnsi="Arial" w:cs="Arial"/>
          <w:sz w:val="22"/>
          <w:szCs w:val="22"/>
        </w:rPr>
        <w:t xml:space="preserve">con el público </w:t>
      </w:r>
      <w:r w:rsidRPr="002F341C">
        <w:rPr>
          <w:rFonts w:ascii="Arial" w:hAnsi="Arial" w:cs="Arial"/>
          <w:sz w:val="22"/>
          <w:szCs w:val="22"/>
        </w:rPr>
        <w:t>(</w:t>
      </w:r>
      <w:r w:rsidRPr="002F341C" w:rsidR="007102F5">
        <w:rPr>
          <w:rFonts w:ascii="Arial" w:hAnsi="Arial" w:cs="Arial"/>
          <w:sz w:val="22"/>
          <w:szCs w:val="22"/>
        </w:rPr>
        <w:t>US$</w:t>
      </w:r>
      <w:r w:rsidRPr="002F341C">
        <w:rPr>
          <w:rFonts w:ascii="Arial" w:hAnsi="Arial" w:cs="Arial"/>
          <w:sz w:val="22"/>
          <w:szCs w:val="22"/>
        </w:rPr>
        <w:t>14</w:t>
      </w:r>
      <w:r w:rsidRPr="002F341C" w:rsidR="007102F5">
        <w:rPr>
          <w:rFonts w:ascii="Arial" w:hAnsi="Arial" w:cs="Arial"/>
          <w:sz w:val="22"/>
          <w:szCs w:val="22"/>
        </w:rPr>
        <w:t>.</w:t>
      </w:r>
      <w:r w:rsidRPr="002F341C">
        <w:rPr>
          <w:rFonts w:ascii="Arial" w:hAnsi="Arial" w:cs="Arial"/>
          <w:sz w:val="22"/>
          <w:szCs w:val="22"/>
        </w:rPr>
        <w:t xml:space="preserve">218 millones). En términos </w:t>
      </w:r>
      <w:r w:rsidRPr="002F341C" w:rsidR="009604D4">
        <w:rPr>
          <w:rFonts w:ascii="Arial" w:hAnsi="Arial" w:cs="Arial"/>
          <w:sz w:val="22"/>
          <w:szCs w:val="22"/>
        </w:rPr>
        <w:t>de rentabilidad, en el primer semestre</w:t>
      </w:r>
      <w:r w:rsidRPr="002F341C" w:rsidR="00FE4EB5">
        <w:rPr>
          <w:rFonts w:ascii="Arial" w:hAnsi="Arial" w:cs="Arial"/>
          <w:sz w:val="22"/>
          <w:szCs w:val="22"/>
        </w:rPr>
        <w:t xml:space="preserve"> de 2019</w:t>
      </w:r>
      <w:r w:rsidRPr="002F341C" w:rsidR="009604D4">
        <w:rPr>
          <w:rFonts w:ascii="Arial" w:hAnsi="Arial" w:cs="Arial"/>
          <w:sz w:val="22"/>
          <w:szCs w:val="22"/>
        </w:rPr>
        <w:t xml:space="preserve">, el sistema financiero reporta utilidades netas por </w:t>
      </w:r>
      <w:r w:rsidRPr="002F341C" w:rsidR="007102F5">
        <w:rPr>
          <w:rFonts w:ascii="Arial" w:hAnsi="Arial" w:cs="Arial"/>
          <w:sz w:val="22"/>
          <w:szCs w:val="22"/>
        </w:rPr>
        <w:t>US$</w:t>
      </w:r>
      <w:r w:rsidRPr="002F341C" w:rsidR="009604D4">
        <w:rPr>
          <w:rFonts w:ascii="Arial" w:hAnsi="Arial" w:cs="Arial"/>
          <w:sz w:val="22"/>
          <w:szCs w:val="22"/>
        </w:rPr>
        <w:t>142 millones</w:t>
      </w:r>
      <w:r w:rsidRPr="002F341C" w:rsidR="00FE4EB5">
        <w:rPr>
          <w:rFonts w:ascii="Arial" w:hAnsi="Arial" w:cs="Arial"/>
          <w:sz w:val="22"/>
          <w:szCs w:val="22"/>
        </w:rPr>
        <w:t xml:space="preserve">; por lo que es plausible esperar que </w:t>
      </w:r>
      <w:r w:rsidRPr="002F341C" w:rsidR="009604D4">
        <w:rPr>
          <w:rFonts w:ascii="Arial" w:hAnsi="Arial" w:cs="Arial"/>
          <w:sz w:val="22"/>
          <w:szCs w:val="22"/>
        </w:rPr>
        <w:t>la rentabilidad a patrimonio se ubi</w:t>
      </w:r>
      <w:r w:rsidRPr="002F341C" w:rsidR="00FE4EB5">
        <w:rPr>
          <w:rFonts w:ascii="Arial" w:hAnsi="Arial" w:cs="Arial"/>
          <w:sz w:val="22"/>
          <w:szCs w:val="22"/>
        </w:rPr>
        <w:t>que a finales de año en alrededor de un 11</w:t>
      </w:r>
      <w:r w:rsidRPr="002F341C" w:rsidR="007102F5">
        <w:rPr>
          <w:rFonts w:ascii="Arial" w:hAnsi="Arial" w:cs="Arial"/>
          <w:sz w:val="22"/>
          <w:szCs w:val="22"/>
        </w:rPr>
        <w:t>,</w:t>
      </w:r>
      <w:r w:rsidRPr="002F341C" w:rsidR="009604D4">
        <w:rPr>
          <w:rFonts w:ascii="Arial" w:hAnsi="Arial" w:cs="Arial"/>
          <w:sz w:val="22"/>
          <w:szCs w:val="22"/>
        </w:rPr>
        <w:t xml:space="preserve">0% </w:t>
      </w:r>
      <w:r w:rsidRPr="002F341C" w:rsidR="00FE4EB5">
        <w:rPr>
          <w:rFonts w:ascii="Arial" w:hAnsi="Arial" w:cs="Arial"/>
          <w:sz w:val="22"/>
          <w:szCs w:val="22"/>
        </w:rPr>
        <w:t>(ligeramente inferior al observado el año pasado)</w:t>
      </w:r>
      <w:r w:rsidRPr="002F341C" w:rsidR="009604D4">
        <w:rPr>
          <w:rFonts w:ascii="Arial" w:hAnsi="Arial" w:cs="Arial"/>
          <w:sz w:val="22"/>
          <w:szCs w:val="22"/>
        </w:rPr>
        <w:t>.</w:t>
      </w:r>
      <w:bookmarkEnd w:id="9"/>
      <w:r w:rsidRPr="002F341C" w:rsidR="009604D4">
        <w:rPr>
          <w:rFonts w:ascii="Arial" w:hAnsi="Arial" w:cs="Arial"/>
          <w:sz w:val="22"/>
          <w:szCs w:val="22"/>
        </w:rPr>
        <w:t xml:space="preserve"> </w:t>
      </w:r>
    </w:p>
    <w:p w:rsidRPr="002F341C" w:rsidR="00520B63" w:rsidP="009F518F" w:rsidRDefault="00FE4EB5" w14:paraId="0116A10B" w14:textId="113CAF51">
      <w:pPr>
        <w:pStyle w:val="Paragraph"/>
        <w:ind w:left="720" w:hanging="720"/>
        <w:rPr>
          <w:rFonts w:ascii="Arial" w:hAnsi="Arial" w:cs="Arial"/>
          <w:sz w:val="22"/>
          <w:szCs w:val="22"/>
        </w:rPr>
      </w:pPr>
      <w:bookmarkStart w:name="_Toc17804021" w:id="10"/>
      <w:r w:rsidRPr="002F341C">
        <w:rPr>
          <w:rFonts w:ascii="Arial" w:hAnsi="Arial" w:cs="Arial"/>
          <w:sz w:val="22"/>
          <w:szCs w:val="22"/>
        </w:rPr>
        <w:t>La principal fuente de fondeo de</w:t>
      </w:r>
      <w:r w:rsidRPr="002F341C" w:rsidR="009604D4">
        <w:rPr>
          <w:rFonts w:ascii="Arial" w:hAnsi="Arial" w:cs="Arial"/>
          <w:sz w:val="22"/>
          <w:szCs w:val="22"/>
        </w:rPr>
        <w:t>l</w:t>
      </w:r>
      <w:r w:rsidRPr="002F341C" w:rsidR="00590BC2">
        <w:rPr>
          <w:rFonts w:ascii="Arial" w:hAnsi="Arial" w:cs="Arial"/>
          <w:sz w:val="22"/>
          <w:szCs w:val="22"/>
        </w:rPr>
        <w:t xml:space="preserve"> sistema,</w:t>
      </w:r>
      <w:r w:rsidRPr="002F341C">
        <w:rPr>
          <w:rFonts w:ascii="Arial" w:hAnsi="Arial" w:cs="Arial"/>
          <w:sz w:val="22"/>
          <w:szCs w:val="22"/>
        </w:rPr>
        <w:t xml:space="preserve"> son los depósitos del público los que cuentan por </w:t>
      </w:r>
      <w:r w:rsidRPr="002F341C" w:rsidR="009604D4">
        <w:rPr>
          <w:rFonts w:ascii="Arial" w:hAnsi="Arial" w:cs="Arial"/>
          <w:sz w:val="22"/>
          <w:szCs w:val="22"/>
        </w:rPr>
        <w:t>77.5% de</w:t>
      </w:r>
      <w:r w:rsidRPr="002F341C" w:rsidR="00590BC2">
        <w:rPr>
          <w:rFonts w:ascii="Arial" w:hAnsi="Arial" w:cs="Arial"/>
          <w:sz w:val="22"/>
          <w:szCs w:val="22"/>
        </w:rPr>
        <w:t xml:space="preserve"> los pasivos</w:t>
      </w:r>
      <w:r w:rsidRPr="002F341C">
        <w:rPr>
          <w:rFonts w:ascii="Arial" w:hAnsi="Arial" w:cs="Arial"/>
          <w:sz w:val="22"/>
          <w:szCs w:val="22"/>
        </w:rPr>
        <w:t xml:space="preserve"> totales</w:t>
      </w:r>
      <w:r w:rsidRPr="002F341C" w:rsidR="00590BC2">
        <w:rPr>
          <w:rFonts w:ascii="Arial" w:hAnsi="Arial" w:cs="Arial"/>
          <w:sz w:val="22"/>
          <w:szCs w:val="22"/>
        </w:rPr>
        <w:t>. Un hecho estilizado del sistema financie</w:t>
      </w:r>
      <w:r w:rsidRPr="002F341C">
        <w:rPr>
          <w:rFonts w:ascii="Arial" w:hAnsi="Arial" w:cs="Arial"/>
          <w:sz w:val="22"/>
          <w:szCs w:val="22"/>
        </w:rPr>
        <w:t xml:space="preserve">ro, y que representa una barrera para la </w:t>
      </w:r>
      <w:r w:rsidRPr="002F341C" w:rsidR="00590BC2">
        <w:rPr>
          <w:rFonts w:ascii="Arial" w:hAnsi="Arial" w:cs="Arial"/>
          <w:sz w:val="22"/>
          <w:szCs w:val="22"/>
        </w:rPr>
        <w:t xml:space="preserve">profundización del financiamiento de largo plazo, es la fuerte concentración </w:t>
      </w:r>
      <w:r w:rsidRPr="002F341C">
        <w:rPr>
          <w:rFonts w:ascii="Arial" w:hAnsi="Arial" w:cs="Arial"/>
          <w:sz w:val="22"/>
          <w:szCs w:val="22"/>
        </w:rPr>
        <w:t xml:space="preserve">en </w:t>
      </w:r>
      <w:r w:rsidRPr="002F341C" w:rsidR="00590BC2">
        <w:rPr>
          <w:rFonts w:ascii="Arial" w:hAnsi="Arial" w:cs="Arial"/>
          <w:sz w:val="22"/>
          <w:szCs w:val="22"/>
        </w:rPr>
        <w:t xml:space="preserve">depósitos </w:t>
      </w:r>
      <w:r w:rsidRPr="002F341C">
        <w:rPr>
          <w:rFonts w:ascii="Arial" w:hAnsi="Arial" w:cs="Arial"/>
          <w:sz w:val="22"/>
          <w:szCs w:val="22"/>
        </w:rPr>
        <w:t xml:space="preserve">a la vista y de ahorro; a junio de 2019, la suma de ambos tipos de depósitos alcanzó un </w:t>
      </w:r>
      <w:r w:rsidRPr="002F341C" w:rsidR="009604D4">
        <w:rPr>
          <w:rFonts w:ascii="Arial" w:hAnsi="Arial" w:cs="Arial"/>
          <w:sz w:val="22"/>
          <w:szCs w:val="22"/>
        </w:rPr>
        <w:t>59.3% del total</w:t>
      </w:r>
      <w:r w:rsidRPr="002F341C" w:rsidR="00E81E32">
        <w:rPr>
          <w:rStyle w:val="FootnoteReference"/>
          <w:rFonts w:ascii="Arial" w:hAnsi="Arial" w:cs="Arial"/>
          <w:sz w:val="22"/>
          <w:szCs w:val="22"/>
        </w:rPr>
        <w:footnoteReference w:id="6"/>
      </w:r>
      <w:r w:rsidRPr="002F341C" w:rsidR="006609C8">
        <w:rPr>
          <w:rFonts w:ascii="Arial" w:hAnsi="Arial" w:cs="Arial"/>
          <w:sz w:val="22"/>
          <w:szCs w:val="22"/>
        </w:rPr>
        <w:t>.</w:t>
      </w:r>
      <w:bookmarkEnd w:id="10"/>
    </w:p>
    <w:p w:rsidRPr="002F341C" w:rsidR="0000082F" w:rsidP="009F518F" w:rsidRDefault="00E81E32" w14:paraId="2033B794" w14:textId="211E3F5C">
      <w:pPr>
        <w:pStyle w:val="Paragraph"/>
        <w:ind w:left="720" w:hanging="720"/>
        <w:rPr>
          <w:rFonts w:ascii="Arial" w:hAnsi="Arial" w:cs="Arial"/>
          <w:sz w:val="22"/>
          <w:szCs w:val="22"/>
        </w:rPr>
      </w:pPr>
      <w:bookmarkStart w:name="_Toc17804022" w:id="11"/>
      <w:r w:rsidRPr="002F341C">
        <w:rPr>
          <w:rFonts w:ascii="Arial" w:hAnsi="Arial" w:cs="Arial"/>
          <w:sz w:val="22"/>
          <w:szCs w:val="22"/>
        </w:rPr>
        <w:t xml:space="preserve">Acorde con estimaciones de indicadores de concentración, </w:t>
      </w:r>
      <w:r w:rsidRPr="002F341C">
        <w:rPr>
          <w:rFonts w:ascii="Arial" w:hAnsi="Arial" w:cs="Arial"/>
          <w:i/>
          <w:iCs/>
          <w:sz w:val="22"/>
          <w:szCs w:val="22"/>
        </w:rPr>
        <w:t>Herfindahl-Hirschman Index</w:t>
      </w:r>
      <w:r w:rsidRPr="002F341C">
        <w:rPr>
          <w:rFonts w:ascii="Arial" w:hAnsi="Arial" w:cs="Arial"/>
          <w:sz w:val="22"/>
          <w:szCs w:val="22"/>
        </w:rPr>
        <w:t xml:space="preserve"> (HHI), el </w:t>
      </w:r>
      <w:r w:rsidRPr="002F341C" w:rsidR="005A7D03">
        <w:rPr>
          <w:rFonts w:ascii="Arial" w:hAnsi="Arial" w:cs="Arial"/>
          <w:sz w:val="22"/>
          <w:szCs w:val="22"/>
        </w:rPr>
        <w:t>sistema financiero hondureño puede catalogarse como un mercado competitivo</w:t>
      </w:r>
      <w:r w:rsidRPr="002F341C" w:rsidR="0000082F">
        <w:rPr>
          <w:rFonts w:ascii="Arial" w:hAnsi="Arial" w:cs="Arial"/>
          <w:sz w:val="22"/>
          <w:szCs w:val="22"/>
        </w:rPr>
        <w:t xml:space="preserve">. En </w:t>
      </w:r>
      <w:r w:rsidRPr="002F341C" w:rsidR="007102F5">
        <w:rPr>
          <w:rFonts w:ascii="Arial" w:hAnsi="Arial" w:cs="Arial"/>
          <w:sz w:val="22"/>
          <w:szCs w:val="22"/>
        </w:rPr>
        <w:t xml:space="preserve">el Cuadro </w:t>
      </w:r>
      <w:r w:rsidRPr="002F341C">
        <w:rPr>
          <w:rFonts w:ascii="Arial" w:hAnsi="Arial" w:cs="Arial"/>
          <w:sz w:val="22"/>
          <w:szCs w:val="22"/>
        </w:rPr>
        <w:t>1</w:t>
      </w:r>
      <w:r w:rsidRPr="002F341C" w:rsidR="0000082F">
        <w:rPr>
          <w:rFonts w:ascii="Arial" w:hAnsi="Arial" w:cs="Arial"/>
          <w:sz w:val="22"/>
          <w:szCs w:val="22"/>
        </w:rPr>
        <w:t xml:space="preserve">, puede observarse que </w:t>
      </w:r>
      <w:r w:rsidRPr="002F341C" w:rsidR="00BD3CEF">
        <w:rPr>
          <w:rFonts w:ascii="Arial" w:hAnsi="Arial" w:cs="Arial"/>
          <w:sz w:val="22"/>
          <w:szCs w:val="22"/>
        </w:rPr>
        <w:t>independientemente</w:t>
      </w:r>
      <w:r w:rsidRPr="002F341C" w:rsidR="00461808">
        <w:rPr>
          <w:rFonts w:ascii="Arial" w:hAnsi="Arial" w:cs="Arial"/>
          <w:sz w:val="22"/>
          <w:szCs w:val="22"/>
        </w:rPr>
        <w:t xml:space="preserve"> de la v</w:t>
      </w:r>
      <w:r w:rsidRPr="002F341C" w:rsidR="00BD3CEF">
        <w:rPr>
          <w:rFonts w:ascii="Arial" w:hAnsi="Arial" w:cs="Arial"/>
          <w:sz w:val="22"/>
          <w:szCs w:val="22"/>
        </w:rPr>
        <w:t>ariable utilizada</w:t>
      </w:r>
      <w:r w:rsidRPr="002F341C">
        <w:rPr>
          <w:rFonts w:ascii="Arial" w:hAnsi="Arial" w:cs="Arial"/>
          <w:sz w:val="22"/>
          <w:szCs w:val="22"/>
        </w:rPr>
        <w:t>,</w:t>
      </w:r>
      <w:r w:rsidRPr="002F341C" w:rsidR="00BD3CEF">
        <w:rPr>
          <w:rFonts w:ascii="Arial" w:hAnsi="Arial" w:cs="Arial"/>
          <w:sz w:val="22"/>
          <w:szCs w:val="22"/>
        </w:rPr>
        <w:t xml:space="preserve"> para medir los niveles de </w:t>
      </w:r>
      <w:r w:rsidRPr="002F341C" w:rsidR="00461808">
        <w:rPr>
          <w:rFonts w:ascii="Arial" w:hAnsi="Arial" w:cs="Arial"/>
          <w:sz w:val="22"/>
          <w:szCs w:val="22"/>
        </w:rPr>
        <w:t>concentración,</w:t>
      </w:r>
      <w:r w:rsidRPr="002F341C" w:rsidR="00BD3CEF">
        <w:rPr>
          <w:rFonts w:ascii="Arial" w:hAnsi="Arial" w:cs="Arial"/>
          <w:sz w:val="22"/>
          <w:szCs w:val="22"/>
        </w:rPr>
        <w:t xml:space="preserve"> el HHI </w:t>
      </w:r>
      <w:r w:rsidRPr="002F341C" w:rsidR="0000082F">
        <w:rPr>
          <w:rFonts w:ascii="Arial" w:hAnsi="Arial" w:cs="Arial"/>
          <w:sz w:val="22"/>
          <w:szCs w:val="22"/>
        </w:rPr>
        <w:t>es menor a los 1,500 puntos</w:t>
      </w:r>
      <w:r w:rsidRPr="002F341C">
        <w:rPr>
          <w:rFonts w:ascii="Arial" w:hAnsi="Arial" w:cs="Arial"/>
          <w:sz w:val="22"/>
          <w:szCs w:val="22"/>
        </w:rPr>
        <w:t>, que es un umbral ampliamente utilizado para diferenciar mercados competitivos de aquellos que no lo son</w:t>
      </w:r>
      <w:r w:rsidRPr="002F341C">
        <w:rPr>
          <w:rStyle w:val="FootnoteReference"/>
          <w:rFonts w:ascii="Arial" w:hAnsi="Arial" w:cs="Arial"/>
          <w:sz w:val="22"/>
          <w:szCs w:val="22"/>
        </w:rPr>
        <w:footnoteReference w:id="7"/>
      </w:r>
      <w:r w:rsidRPr="002F341C">
        <w:rPr>
          <w:rFonts w:ascii="Arial" w:hAnsi="Arial" w:cs="Arial"/>
          <w:sz w:val="22"/>
          <w:szCs w:val="22"/>
        </w:rPr>
        <w:t>.</w:t>
      </w:r>
      <w:bookmarkEnd w:id="11"/>
      <w:r w:rsidRPr="002F341C" w:rsidR="00BD3CEF">
        <w:rPr>
          <w:rFonts w:ascii="Arial" w:hAnsi="Arial" w:cs="Arial"/>
          <w:sz w:val="22"/>
          <w:szCs w:val="22"/>
        </w:rPr>
        <w:t xml:space="preserve"> </w:t>
      </w:r>
    </w:p>
    <w:p w:rsidRPr="002F341C" w:rsidR="00046373" w:rsidP="00046373" w:rsidRDefault="007102F5" w14:paraId="272F99F7" w14:textId="20716598">
      <w:pPr>
        <w:pStyle w:val="Paragraph"/>
        <w:numPr>
          <w:ilvl w:val="0"/>
          <w:numId w:val="0"/>
        </w:numPr>
        <w:ind w:left="720"/>
        <w:jc w:val="center"/>
        <w:rPr>
          <w:rFonts w:ascii="Arial" w:hAnsi="Arial" w:cs="Arial"/>
          <w:b/>
          <w:sz w:val="22"/>
          <w:szCs w:val="22"/>
        </w:rPr>
      </w:pPr>
      <w:bookmarkStart w:name="_Toc17804023" w:id="12"/>
      <w:r w:rsidRPr="002F341C">
        <w:rPr>
          <w:rFonts w:ascii="Arial" w:hAnsi="Arial" w:cs="Arial"/>
          <w:b/>
          <w:sz w:val="22"/>
          <w:szCs w:val="22"/>
        </w:rPr>
        <w:t xml:space="preserve">Cuadro </w:t>
      </w:r>
      <w:r w:rsidRPr="002F341C" w:rsidR="00E81E32">
        <w:rPr>
          <w:rFonts w:ascii="Arial" w:hAnsi="Arial" w:cs="Arial"/>
          <w:b/>
          <w:sz w:val="22"/>
          <w:szCs w:val="22"/>
        </w:rPr>
        <w:t xml:space="preserve">1: </w:t>
      </w:r>
      <w:r w:rsidRPr="002F341C" w:rsidR="00046373">
        <w:rPr>
          <w:rFonts w:ascii="Arial" w:hAnsi="Arial" w:cs="Arial"/>
          <w:b/>
          <w:sz w:val="22"/>
          <w:szCs w:val="22"/>
        </w:rPr>
        <w:t>Índice</w:t>
      </w:r>
      <w:r w:rsidRPr="002F341C" w:rsidR="00E81E32">
        <w:rPr>
          <w:rFonts w:ascii="Arial" w:hAnsi="Arial" w:cs="Arial"/>
          <w:b/>
          <w:sz w:val="22"/>
          <w:szCs w:val="22"/>
        </w:rPr>
        <w:t>s</w:t>
      </w:r>
      <w:r w:rsidRPr="002F341C" w:rsidR="00046373">
        <w:rPr>
          <w:rFonts w:ascii="Arial" w:hAnsi="Arial" w:cs="Arial"/>
          <w:b/>
          <w:sz w:val="22"/>
          <w:szCs w:val="22"/>
        </w:rPr>
        <w:t xml:space="preserve"> de concentración de mercado</w:t>
      </w:r>
      <w:bookmarkEnd w:id="12"/>
    </w:p>
    <w:p w:rsidRPr="002F341C" w:rsidR="00046373" w:rsidP="00046373" w:rsidRDefault="00414683" w14:paraId="450923E9" w14:textId="31DD1B47">
      <w:pPr>
        <w:pStyle w:val="Paragraph"/>
        <w:numPr>
          <w:ilvl w:val="0"/>
          <w:numId w:val="0"/>
        </w:numPr>
        <w:ind w:left="720"/>
        <w:jc w:val="center"/>
        <w:rPr>
          <w:rFonts w:ascii="Arial" w:hAnsi="Arial" w:cs="Arial"/>
          <w:sz w:val="22"/>
          <w:szCs w:val="22"/>
        </w:rPr>
      </w:pPr>
      <w:bookmarkStart w:name="_Toc17804024" w:id="13"/>
      <w:r w:rsidRPr="002F341C">
        <w:rPr>
          <w:rFonts w:ascii="Arial" w:hAnsi="Arial" w:cs="Arial"/>
          <w:sz w:val="22"/>
          <w:szCs w:val="22"/>
        </w:rPr>
        <w:t>(</w:t>
      </w:r>
      <w:r w:rsidRPr="002F341C" w:rsidR="00046373">
        <w:rPr>
          <w:rFonts w:ascii="Arial" w:hAnsi="Arial" w:cs="Arial"/>
          <w:sz w:val="22"/>
          <w:szCs w:val="22"/>
        </w:rPr>
        <w:t xml:space="preserve">Datos a </w:t>
      </w:r>
      <w:r w:rsidRPr="002F341C">
        <w:rPr>
          <w:rFonts w:ascii="Arial" w:hAnsi="Arial" w:cs="Arial"/>
          <w:sz w:val="22"/>
          <w:szCs w:val="22"/>
        </w:rPr>
        <w:t>j</w:t>
      </w:r>
      <w:r w:rsidRPr="002F341C" w:rsidR="00046373">
        <w:rPr>
          <w:rFonts w:ascii="Arial" w:hAnsi="Arial" w:cs="Arial"/>
          <w:sz w:val="22"/>
          <w:szCs w:val="22"/>
        </w:rPr>
        <w:t>unio 2019</w:t>
      </w:r>
      <w:r w:rsidRPr="002F341C">
        <w:rPr>
          <w:rFonts w:ascii="Arial" w:hAnsi="Arial" w:cs="Arial"/>
          <w:sz w:val="22"/>
          <w:szCs w:val="22"/>
        </w:rPr>
        <w:t>)</w:t>
      </w:r>
      <w:bookmarkEnd w:id="13"/>
    </w:p>
    <w:p w:rsidRPr="002F341C" w:rsidR="00046373" w:rsidP="00046373" w:rsidRDefault="002E02F7" w14:paraId="0F0B511E" w14:textId="65B421DF">
      <w:pPr>
        <w:pStyle w:val="Paragraph"/>
        <w:numPr>
          <w:ilvl w:val="0"/>
          <w:numId w:val="0"/>
        </w:numPr>
        <w:ind w:left="720"/>
        <w:jc w:val="center"/>
        <w:rPr>
          <w:rFonts w:ascii="Arial" w:hAnsi="Arial" w:cs="Arial"/>
          <w:sz w:val="22"/>
          <w:szCs w:val="22"/>
        </w:rPr>
      </w:pPr>
      <w:bookmarkStart w:name="_Toc17804025" w:id="14"/>
      <w:r w:rsidRPr="002F341C">
        <w:rPr>
          <w:rFonts w:ascii="Arial" w:hAnsi="Arial" w:cs="Arial"/>
          <w:sz w:val="22"/>
          <w:szCs w:val="22"/>
          <w:lang w:eastAsia="es-MX"/>
        </w:rPr>
        <w:drawing>
          <wp:inline distT="0" distB="0" distL="0" distR="0" wp14:anchorId="69A87D4B" wp14:editId="1C0320B2">
            <wp:extent cx="2594494" cy="1941842"/>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7646" cy="1944201"/>
                    </a:xfrm>
                    <a:prstGeom prst="rect">
                      <a:avLst/>
                    </a:prstGeom>
                    <a:noFill/>
                    <a:ln>
                      <a:noFill/>
                    </a:ln>
                  </pic:spPr>
                </pic:pic>
              </a:graphicData>
            </a:graphic>
          </wp:inline>
        </w:drawing>
      </w:r>
      <w:bookmarkEnd w:id="14"/>
    </w:p>
    <w:p w:rsidRPr="002F341C" w:rsidR="003D4926" w:rsidP="006A1820" w:rsidRDefault="00414683" w14:paraId="1D5FEDB0" w14:textId="719DE003">
      <w:pPr>
        <w:pStyle w:val="Paragraph"/>
        <w:numPr>
          <w:ilvl w:val="0"/>
          <w:numId w:val="0"/>
        </w:numPr>
        <w:ind w:left="720" w:hanging="1296"/>
        <w:rPr>
          <w:rFonts w:ascii="Arial" w:hAnsi="Arial" w:cs="Arial"/>
          <w:sz w:val="18"/>
          <w:szCs w:val="18"/>
        </w:rPr>
      </w:pPr>
      <w:r w:rsidRPr="002F341C">
        <w:rPr>
          <w:rFonts w:ascii="Arial" w:hAnsi="Arial" w:cs="Arial"/>
          <w:sz w:val="18"/>
          <w:szCs w:val="18"/>
        </w:rPr>
        <w:tab/>
      </w:r>
      <w:bookmarkStart w:name="_Toc17804026" w:id="15"/>
      <w:r w:rsidRPr="002F341C" w:rsidR="00046373">
        <w:rPr>
          <w:rFonts w:ascii="Arial" w:hAnsi="Arial" w:cs="Arial"/>
          <w:sz w:val="18"/>
          <w:szCs w:val="18"/>
        </w:rPr>
        <w:t>Nota: Elaboración propia con datos de la Comisión Nacional Bancaria</w:t>
      </w:r>
      <w:r w:rsidRPr="002F341C" w:rsidR="009F74E9">
        <w:rPr>
          <w:rFonts w:ascii="Arial" w:hAnsi="Arial" w:cs="Arial"/>
          <w:sz w:val="18"/>
          <w:szCs w:val="18"/>
        </w:rPr>
        <w:t xml:space="preserve"> y de Seguros (CNBS)</w:t>
      </w:r>
      <w:r w:rsidRPr="002F341C">
        <w:rPr>
          <w:rFonts w:ascii="Arial" w:hAnsi="Arial" w:cs="Arial"/>
          <w:sz w:val="18"/>
          <w:szCs w:val="18"/>
        </w:rPr>
        <w:t>.</w:t>
      </w:r>
      <w:bookmarkEnd w:id="15"/>
    </w:p>
    <w:p w:rsidRPr="002F341C" w:rsidR="006609C8" w:rsidP="00520B63" w:rsidRDefault="006609C8" w14:paraId="27BEB730" w14:textId="77777777">
      <w:pPr>
        <w:pStyle w:val="Paragraph"/>
        <w:numPr>
          <w:ilvl w:val="0"/>
          <w:numId w:val="0"/>
        </w:numPr>
        <w:ind w:left="720"/>
        <w:rPr>
          <w:rFonts w:ascii="Arial" w:hAnsi="Arial" w:cs="Arial"/>
          <w:sz w:val="22"/>
          <w:szCs w:val="22"/>
        </w:rPr>
      </w:pPr>
    </w:p>
    <w:p w:rsidRPr="002F341C" w:rsidR="00520B63" w:rsidP="005E7BFE" w:rsidRDefault="00520B63" w14:paraId="4ACF7A89" w14:textId="69FD9598">
      <w:pPr>
        <w:pStyle w:val="Paragraph"/>
        <w:numPr>
          <w:ilvl w:val="0"/>
          <w:numId w:val="11"/>
        </w:numPr>
        <w:ind w:hanging="720"/>
        <w:rPr>
          <w:rFonts w:ascii="Arial" w:hAnsi="Arial" w:cs="Arial"/>
          <w:b/>
          <w:sz w:val="22"/>
          <w:szCs w:val="22"/>
        </w:rPr>
      </w:pPr>
      <w:bookmarkStart w:name="_Toc17804027" w:id="16"/>
      <w:r w:rsidRPr="002F341C">
        <w:rPr>
          <w:rFonts w:ascii="Arial" w:hAnsi="Arial" w:cs="Arial"/>
          <w:b/>
          <w:sz w:val="22"/>
          <w:szCs w:val="22"/>
        </w:rPr>
        <w:t>Evolución del negocio bancario en Honduras</w:t>
      </w:r>
      <w:bookmarkEnd w:id="16"/>
    </w:p>
    <w:p w:rsidRPr="002F341C" w:rsidR="00F81D1C" w:rsidP="00F81D1C" w:rsidRDefault="00D242FB" w14:paraId="1F0E04E6" w14:textId="2D6F6F7C">
      <w:pPr>
        <w:pStyle w:val="Paragraph"/>
        <w:ind w:left="720" w:hanging="720"/>
        <w:rPr>
          <w:rFonts w:ascii="Arial" w:hAnsi="Arial" w:cs="Arial"/>
          <w:sz w:val="22"/>
          <w:szCs w:val="22"/>
        </w:rPr>
      </w:pPr>
      <w:bookmarkStart w:name="_Toc17804028" w:id="17"/>
      <w:r w:rsidRPr="002F341C">
        <w:rPr>
          <w:rFonts w:ascii="Arial" w:hAnsi="Arial" w:cs="Arial"/>
          <w:sz w:val="22"/>
          <w:szCs w:val="22"/>
        </w:rPr>
        <w:t>E</w:t>
      </w:r>
      <w:r w:rsidRPr="002F341C" w:rsidR="00B817FC">
        <w:rPr>
          <w:rFonts w:ascii="Arial" w:hAnsi="Arial" w:cs="Arial"/>
          <w:sz w:val="22"/>
          <w:szCs w:val="22"/>
        </w:rPr>
        <w:t xml:space="preserve">l </w:t>
      </w:r>
      <w:r w:rsidRPr="002F341C" w:rsidR="007F1E77">
        <w:rPr>
          <w:rFonts w:ascii="Arial" w:hAnsi="Arial" w:cs="Arial"/>
          <w:sz w:val="22"/>
          <w:szCs w:val="22"/>
        </w:rPr>
        <w:t>sistema financiero</w:t>
      </w:r>
      <w:r w:rsidRPr="002F341C">
        <w:rPr>
          <w:rFonts w:ascii="Arial" w:hAnsi="Arial" w:cs="Arial"/>
          <w:sz w:val="22"/>
          <w:szCs w:val="22"/>
        </w:rPr>
        <w:t xml:space="preserve">, en </w:t>
      </w:r>
      <w:r w:rsidRPr="002F341C" w:rsidR="000442EF">
        <w:rPr>
          <w:rFonts w:ascii="Arial" w:hAnsi="Arial" w:cs="Arial"/>
          <w:sz w:val="22"/>
          <w:szCs w:val="22"/>
        </w:rPr>
        <w:t>los</w:t>
      </w:r>
      <w:r w:rsidRPr="002F341C">
        <w:rPr>
          <w:rFonts w:ascii="Arial" w:hAnsi="Arial" w:cs="Arial"/>
          <w:sz w:val="22"/>
          <w:szCs w:val="22"/>
        </w:rPr>
        <w:t xml:space="preserve"> últimos 20 años, </w:t>
      </w:r>
      <w:r w:rsidRPr="002F341C" w:rsidR="00B817FC">
        <w:rPr>
          <w:rFonts w:ascii="Arial" w:hAnsi="Arial" w:cs="Arial"/>
          <w:sz w:val="22"/>
          <w:szCs w:val="22"/>
        </w:rPr>
        <w:t xml:space="preserve">se ha expandido de manera </w:t>
      </w:r>
      <w:r w:rsidRPr="002F341C">
        <w:rPr>
          <w:rFonts w:ascii="Arial" w:hAnsi="Arial" w:cs="Arial"/>
          <w:sz w:val="22"/>
          <w:szCs w:val="22"/>
        </w:rPr>
        <w:t>sostenible</w:t>
      </w:r>
      <w:r w:rsidRPr="002F341C" w:rsidR="00B817FC">
        <w:rPr>
          <w:rFonts w:ascii="Arial" w:hAnsi="Arial" w:cs="Arial"/>
          <w:sz w:val="22"/>
          <w:szCs w:val="22"/>
        </w:rPr>
        <w:t xml:space="preserve">. </w:t>
      </w:r>
      <w:r w:rsidRPr="002F341C" w:rsidR="003E2B7A">
        <w:rPr>
          <w:rFonts w:ascii="Arial" w:hAnsi="Arial" w:cs="Arial"/>
          <w:sz w:val="22"/>
          <w:szCs w:val="22"/>
        </w:rPr>
        <w:t xml:space="preserve">En particular, </w:t>
      </w:r>
      <w:r w:rsidRPr="002F341C" w:rsidR="00B817FC">
        <w:rPr>
          <w:rFonts w:ascii="Arial" w:hAnsi="Arial" w:cs="Arial"/>
          <w:sz w:val="22"/>
          <w:szCs w:val="22"/>
        </w:rPr>
        <w:t>la participación del crédito bancario en el PIB</w:t>
      </w:r>
      <w:r w:rsidRPr="002F341C" w:rsidR="00B817FC">
        <w:rPr>
          <w:rStyle w:val="FootnoteReference"/>
          <w:rFonts w:ascii="Arial" w:hAnsi="Arial" w:cs="Arial"/>
          <w:sz w:val="22"/>
          <w:szCs w:val="22"/>
        </w:rPr>
        <w:footnoteReference w:id="8"/>
      </w:r>
      <w:r w:rsidRPr="002F341C" w:rsidR="00B817FC">
        <w:rPr>
          <w:rFonts w:ascii="Arial" w:hAnsi="Arial" w:cs="Arial"/>
          <w:sz w:val="22"/>
          <w:szCs w:val="22"/>
        </w:rPr>
        <w:t xml:space="preserve"> mue</w:t>
      </w:r>
      <w:r w:rsidRPr="002F341C" w:rsidR="006C3D78">
        <w:rPr>
          <w:rFonts w:ascii="Arial" w:hAnsi="Arial" w:cs="Arial"/>
          <w:sz w:val="22"/>
          <w:szCs w:val="22"/>
        </w:rPr>
        <w:t xml:space="preserve">stra </w:t>
      </w:r>
      <w:r w:rsidRPr="002F341C" w:rsidR="006C3D78">
        <w:rPr>
          <w:rFonts w:ascii="Arial" w:hAnsi="Arial" w:cs="Arial"/>
          <w:sz w:val="22"/>
          <w:szCs w:val="22"/>
        </w:rPr>
        <w:lastRenderedPageBreak/>
        <w:t>una tendencia positiva y se observa un efecto “</w:t>
      </w:r>
      <w:r w:rsidRPr="002F341C" w:rsidR="006C3D78">
        <w:rPr>
          <w:rFonts w:ascii="Arial" w:hAnsi="Arial" w:cs="Arial"/>
          <w:i/>
          <w:sz w:val="22"/>
          <w:szCs w:val="22"/>
        </w:rPr>
        <w:t>catch up</w:t>
      </w:r>
      <w:r w:rsidRPr="002F341C" w:rsidR="006C3D78">
        <w:rPr>
          <w:rFonts w:ascii="Arial" w:hAnsi="Arial" w:cs="Arial"/>
          <w:sz w:val="22"/>
          <w:szCs w:val="22"/>
        </w:rPr>
        <w:t>”</w:t>
      </w:r>
      <w:r w:rsidRPr="002F341C" w:rsidR="00B817FC">
        <w:rPr>
          <w:rFonts w:ascii="Arial" w:hAnsi="Arial" w:cs="Arial"/>
          <w:sz w:val="22"/>
          <w:szCs w:val="22"/>
        </w:rPr>
        <w:t xml:space="preserve"> </w:t>
      </w:r>
      <w:r w:rsidRPr="002F341C" w:rsidR="006C3D78">
        <w:rPr>
          <w:rFonts w:ascii="Arial" w:hAnsi="Arial" w:cs="Arial"/>
          <w:sz w:val="22"/>
          <w:szCs w:val="22"/>
        </w:rPr>
        <w:t>con la región Centroamericana</w:t>
      </w:r>
      <w:r w:rsidRPr="002F341C" w:rsidR="003E2B7A">
        <w:rPr>
          <w:rFonts w:ascii="Arial" w:hAnsi="Arial" w:cs="Arial"/>
          <w:sz w:val="22"/>
          <w:szCs w:val="22"/>
        </w:rPr>
        <w:t xml:space="preserve"> (CA)</w:t>
      </w:r>
      <w:r w:rsidRPr="002F341C" w:rsidR="00BC0BE3">
        <w:rPr>
          <w:rStyle w:val="FootnoteReference"/>
          <w:rFonts w:ascii="Arial" w:hAnsi="Arial" w:cs="Arial"/>
          <w:sz w:val="22"/>
          <w:szCs w:val="22"/>
        </w:rPr>
        <w:footnoteReference w:id="9"/>
      </w:r>
      <w:r w:rsidRPr="002F341C" w:rsidR="00BC0BE3">
        <w:rPr>
          <w:rFonts w:ascii="Arial" w:hAnsi="Arial" w:cs="Arial"/>
          <w:sz w:val="22"/>
          <w:szCs w:val="22"/>
        </w:rPr>
        <w:t xml:space="preserve">, impulsado por </w:t>
      </w:r>
      <w:r w:rsidRPr="002F341C" w:rsidR="003E2B7A">
        <w:rPr>
          <w:rFonts w:ascii="Arial" w:hAnsi="Arial" w:cs="Arial"/>
          <w:sz w:val="22"/>
          <w:szCs w:val="22"/>
        </w:rPr>
        <w:t xml:space="preserve">un </w:t>
      </w:r>
      <w:r w:rsidRPr="002F341C" w:rsidR="00BC0BE3">
        <w:rPr>
          <w:rFonts w:ascii="Arial" w:hAnsi="Arial" w:cs="Arial"/>
          <w:sz w:val="22"/>
          <w:szCs w:val="22"/>
        </w:rPr>
        <w:t xml:space="preserve">entorno macroeconómico </w:t>
      </w:r>
      <w:r w:rsidRPr="002F341C" w:rsidR="00F81D1C">
        <w:rPr>
          <w:rFonts w:ascii="Arial" w:hAnsi="Arial" w:cs="Arial"/>
          <w:sz w:val="22"/>
          <w:szCs w:val="22"/>
        </w:rPr>
        <w:t xml:space="preserve">estable y una menor volatilidad en el </w:t>
      </w:r>
      <w:r w:rsidRPr="002F341C" w:rsidR="00BC0BE3">
        <w:rPr>
          <w:rFonts w:ascii="Arial" w:hAnsi="Arial" w:cs="Arial"/>
          <w:sz w:val="22"/>
          <w:szCs w:val="22"/>
        </w:rPr>
        <w:t xml:space="preserve">crecimiento </w:t>
      </w:r>
      <w:r w:rsidRPr="002F341C" w:rsidR="00F81D1C">
        <w:rPr>
          <w:rFonts w:ascii="Arial" w:hAnsi="Arial" w:cs="Arial"/>
          <w:sz w:val="22"/>
          <w:szCs w:val="22"/>
        </w:rPr>
        <w:t>económico; lo que ha facilitado el clima de negocios y la toma de riesgo por parte de los agentes económicos, al facilitar la estimación de las rentabilidades de los proyectos de inversión</w:t>
      </w:r>
      <w:r w:rsidRPr="002F341C" w:rsidR="00BC0BE3">
        <w:rPr>
          <w:rStyle w:val="FootnoteReference"/>
          <w:rFonts w:ascii="Arial" w:hAnsi="Arial" w:cs="Arial"/>
          <w:sz w:val="22"/>
          <w:szCs w:val="22"/>
        </w:rPr>
        <w:footnoteReference w:id="10"/>
      </w:r>
      <w:r w:rsidRPr="002F341C" w:rsidR="00BC0BE3">
        <w:rPr>
          <w:rFonts w:ascii="Arial" w:hAnsi="Arial" w:cs="Arial"/>
          <w:sz w:val="22"/>
          <w:szCs w:val="22"/>
        </w:rPr>
        <w:t>.</w:t>
      </w:r>
      <w:bookmarkEnd w:id="17"/>
      <w:r w:rsidRPr="002F341C" w:rsidR="00F81D1C">
        <w:rPr>
          <w:rFonts w:ascii="Arial" w:hAnsi="Arial" w:cs="Arial"/>
          <w:sz w:val="22"/>
          <w:szCs w:val="22"/>
        </w:rPr>
        <w:t xml:space="preserve"> </w:t>
      </w:r>
    </w:p>
    <w:p w:rsidRPr="002F341C" w:rsidR="00F554F8" w:rsidP="00F554F8" w:rsidRDefault="00F554F8" w14:paraId="53C7EB9E" w14:textId="3679E992">
      <w:pPr>
        <w:pStyle w:val="Paragraph"/>
        <w:numPr>
          <w:ilvl w:val="0"/>
          <w:numId w:val="0"/>
        </w:numPr>
        <w:ind w:left="720"/>
        <w:jc w:val="center"/>
        <w:rPr>
          <w:rFonts w:ascii="Arial" w:hAnsi="Arial" w:cs="Arial"/>
          <w:sz w:val="22"/>
          <w:szCs w:val="22"/>
        </w:rPr>
      </w:pPr>
      <w:bookmarkStart w:name="_Toc17804029" w:id="18"/>
      <w:r w:rsidRPr="002F341C">
        <w:rPr>
          <w:rFonts w:ascii="Arial" w:hAnsi="Arial" w:cs="Arial"/>
          <w:sz w:val="22"/>
          <w:szCs w:val="22"/>
          <w:lang w:eastAsia="es-MX"/>
        </w:rPr>
        <w:drawing>
          <wp:inline distT="0" distB="0" distL="0" distR="0" wp14:anchorId="7E025EAD" wp14:editId="79EB6B9B">
            <wp:extent cx="3787440" cy="2131093"/>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8"/>
    </w:p>
    <w:p w:rsidRPr="002F341C" w:rsidR="005F1107" w:rsidP="006A1820" w:rsidRDefault="00414683" w14:paraId="66EDE6D9" w14:textId="21C75C2A">
      <w:pPr>
        <w:pStyle w:val="Paragraph"/>
        <w:numPr>
          <w:ilvl w:val="0"/>
          <w:numId w:val="0"/>
        </w:numPr>
        <w:ind w:left="720"/>
        <w:jc w:val="left"/>
        <w:rPr>
          <w:rFonts w:ascii="Arial" w:hAnsi="Arial" w:cs="Arial"/>
          <w:sz w:val="18"/>
          <w:szCs w:val="18"/>
        </w:rPr>
      </w:pPr>
      <w:bookmarkStart w:name="_Toc17804030" w:id="19"/>
      <w:r w:rsidRPr="002F341C">
        <w:rPr>
          <w:rFonts w:ascii="Arial" w:hAnsi="Arial" w:cs="Arial"/>
          <w:sz w:val="18"/>
          <w:szCs w:val="18"/>
        </w:rPr>
        <w:t>Fuente:</w:t>
      </w:r>
      <w:r w:rsidRPr="002F341C" w:rsidR="009F74E9">
        <w:rPr>
          <w:rFonts w:ascii="Arial" w:hAnsi="Arial" w:cs="Arial"/>
          <w:sz w:val="18"/>
          <w:szCs w:val="18"/>
        </w:rPr>
        <w:t xml:space="preserve"> Elaboración propia con datos de la CNBS y el Consejo Monetario Centroamericano (SECMCA)</w:t>
      </w:r>
      <w:bookmarkEnd w:id="19"/>
    </w:p>
    <w:p w:rsidRPr="002F341C" w:rsidR="002F5346" w:rsidP="00414683" w:rsidRDefault="002F5346" w14:paraId="390836D5" w14:textId="77777777">
      <w:pPr>
        <w:pStyle w:val="Paragraph"/>
        <w:numPr>
          <w:ilvl w:val="0"/>
          <w:numId w:val="0"/>
        </w:numPr>
        <w:ind w:left="720"/>
        <w:rPr>
          <w:rFonts w:ascii="Arial" w:hAnsi="Arial" w:cs="Arial"/>
          <w:sz w:val="22"/>
          <w:szCs w:val="22"/>
        </w:rPr>
      </w:pPr>
    </w:p>
    <w:p w:rsidRPr="002F341C" w:rsidR="005F1107" w:rsidP="002F5346" w:rsidRDefault="00F81D1C" w14:paraId="55111144" w14:textId="129C96DC">
      <w:pPr>
        <w:pStyle w:val="Paragraph"/>
        <w:ind w:left="720" w:hanging="720"/>
        <w:rPr>
          <w:rFonts w:ascii="Arial" w:hAnsi="Arial" w:cs="Arial"/>
          <w:sz w:val="22"/>
          <w:szCs w:val="22"/>
        </w:rPr>
      </w:pPr>
      <w:bookmarkStart w:name="_Toc17804031" w:id="20"/>
      <w:r w:rsidRPr="002F341C">
        <w:rPr>
          <w:rFonts w:ascii="Arial" w:hAnsi="Arial" w:cs="Arial"/>
          <w:sz w:val="22"/>
          <w:szCs w:val="22"/>
        </w:rPr>
        <w:t xml:space="preserve">En particular, en la banca, los menores niveles de incertidumbre han favorecido un entorno más previsible, lo que ha generado un efecto positivo en la percepción del nivel de riesgo de los planes de inversión de sus clientes. En este contexto, en la presente década, el crédito se ha expandido a una tasa de crecimiento media de </w:t>
      </w:r>
      <w:r w:rsidRPr="002F341C" w:rsidR="00BC0BE3">
        <w:rPr>
          <w:rFonts w:ascii="Arial" w:hAnsi="Arial" w:cs="Arial"/>
          <w:sz w:val="22"/>
          <w:szCs w:val="22"/>
        </w:rPr>
        <w:t>10.</w:t>
      </w:r>
      <w:r w:rsidRPr="002F341C">
        <w:rPr>
          <w:rFonts w:ascii="Arial" w:hAnsi="Arial" w:cs="Arial"/>
          <w:sz w:val="22"/>
          <w:szCs w:val="22"/>
        </w:rPr>
        <w:t>3</w:t>
      </w:r>
      <w:r w:rsidRPr="002F341C" w:rsidR="00BC0BE3">
        <w:rPr>
          <w:rFonts w:ascii="Arial" w:hAnsi="Arial" w:cs="Arial"/>
          <w:sz w:val="22"/>
          <w:szCs w:val="22"/>
        </w:rPr>
        <w:t>%</w:t>
      </w:r>
      <w:r w:rsidRPr="002F341C">
        <w:rPr>
          <w:rFonts w:ascii="Arial" w:hAnsi="Arial" w:cs="Arial"/>
          <w:sz w:val="22"/>
          <w:szCs w:val="22"/>
        </w:rPr>
        <w:t>;</w:t>
      </w:r>
      <w:r w:rsidRPr="002F341C" w:rsidR="002204D4">
        <w:rPr>
          <w:rFonts w:ascii="Arial" w:hAnsi="Arial" w:cs="Arial"/>
          <w:sz w:val="22"/>
          <w:szCs w:val="22"/>
        </w:rPr>
        <w:t xml:space="preserve"> al tiempo que </w:t>
      </w:r>
      <w:r w:rsidRPr="002F341C" w:rsidR="00BC0BE3">
        <w:rPr>
          <w:rFonts w:ascii="Arial" w:hAnsi="Arial" w:cs="Arial"/>
          <w:sz w:val="22"/>
          <w:szCs w:val="22"/>
        </w:rPr>
        <w:t>su calidad</w:t>
      </w:r>
      <w:r w:rsidRPr="002F341C" w:rsidR="009F74E9">
        <w:rPr>
          <w:rStyle w:val="FootnoteReference"/>
          <w:rFonts w:ascii="Arial" w:hAnsi="Arial" w:cs="Arial"/>
          <w:sz w:val="22"/>
          <w:szCs w:val="22"/>
        </w:rPr>
        <w:footnoteReference w:id="11"/>
      </w:r>
      <w:r w:rsidRPr="002F341C" w:rsidR="00BC0BE3">
        <w:rPr>
          <w:rFonts w:ascii="Arial" w:hAnsi="Arial" w:cs="Arial"/>
          <w:sz w:val="22"/>
          <w:szCs w:val="22"/>
        </w:rPr>
        <w:t xml:space="preserve"> ha mejorado sig</w:t>
      </w:r>
      <w:r w:rsidRPr="002F341C" w:rsidR="005F1107">
        <w:rPr>
          <w:rFonts w:ascii="Arial" w:hAnsi="Arial" w:cs="Arial"/>
          <w:sz w:val="22"/>
          <w:szCs w:val="22"/>
        </w:rPr>
        <w:t>nificativamente</w:t>
      </w:r>
      <w:r w:rsidRPr="002F341C" w:rsidR="00BC0BE3">
        <w:rPr>
          <w:rFonts w:ascii="Arial" w:hAnsi="Arial" w:cs="Arial"/>
          <w:sz w:val="22"/>
          <w:szCs w:val="22"/>
        </w:rPr>
        <w:t>.</w:t>
      </w:r>
      <w:bookmarkEnd w:id="20"/>
    </w:p>
    <w:p w:rsidRPr="002F341C" w:rsidR="005F1107" w:rsidP="005F1107" w:rsidRDefault="005F1107" w14:paraId="0AD0470E" w14:textId="4DBCC9D1">
      <w:pPr>
        <w:pStyle w:val="Paragraph"/>
        <w:numPr>
          <w:ilvl w:val="0"/>
          <w:numId w:val="0"/>
        </w:numPr>
        <w:ind w:left="720"/>
        <w:jc w:val="center"/>
        <w:rPr>
          <w:rFonts w:ascii="Arial" w:hAnsi="Arial" w:cs="Arial"/>
          <w:sz w:val="22"/>
          <w:szCs w:val="22"/>
        </w:rPr>
      </w:pPr>
      <w:bookmarkStart w:name="_Toc17804032" w:id="21"/>
      <w:r w:rsidRPr="002F341C">
        <w:rPr>
          <w:rFonts w:ascii="Arial" w:hAnsi="Arial" w:cs="Arial"/>
          <w:sz w:val="22"/>
          <w:szCs w:val="22"/>
          <w:lang w:eastAsia="es-MX"/>
        </w:rPr>
        <w:drawing>
          <wp:inline distT="0" distB="0" distL="0" distR="0" wp14:anchorId="66101A6D" wp14:editId="4781A6DF">
            <wp:extent cx="3654425" cy="2231906"/>
            <wp:effectExtent l="0" t="0" r="0" b="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21"/>
    </w:p>
    <w:p w:rsidRPr="002F341C" w:rsidR="00414683" w:rsidP="00414683" w:rsidRDefault="00414683" w14:paraId="26B4E3D0" w14:textId="202261D6">
      <w:pPr>
        <w:pStyle w:val="Paragraph"/>
        <w:numPr>
          <w:ilvl w:val="0"/>
          <w:numId w:val="0"/>
        </w:numPr>
        <w:ind w:left="720"/>
        <w:jc w:val="left"/>
        <w:rPr>
          <w:rFonts w:ascii="Arial" w:hAnsi="Arial" w:cs="Arial"/>
          <w:sz w:val="18"/>
          <w:szCs w:val="18"/>
        </w:rPr>
      </w:pPr>
      <w:bookmarkStart w:name="_Toc17804033" w:id="22"/>
      <w:r w:rsidRPr="002F341C">
        <w:rPr>
          <w:rFonts w:ascii="Arial" w:hAnsi="Arial" w:cs="Arial"/>
          <w:sz w:val="18"/>
          <w:szCs w:val="18"/>
        </w:rPr>
        <w:lastRenderedPageBreak/>
        <w:t>Fuente:</w:t>
      </w:r>
      <w:r w:rsidRPr="002F341C" w:rsidR="009F74E9">
        <w:rPr>
          <w:rFonts w:ascii="Arial" w:hAnsi="Arial" w:cs="Arial"/>
          <w:sz w:val="18"/>
          <w:szCs w:val="18"/>
        </w:rPr>
        <w:t xml:space="preserve"> Elaboración propia con datos de la CNBS y el Consejo Monetario Centroamericano (SECMCA)</w:t>
      </w:r>
      <w:bookmarkEnd w:id="22"/>
    </w:p>
    <w:p w:rsidRPr="002F341C" w:rsidR="005F1107" w:rsidP="005F1107" w:rsidRDefault="005F1107" w14:paraId="556F3B21" w14:textId="52953175">
      <w:pPr>
        <w:pStyle w:val="Paragraph"/>
        <w:numPr>
          <w:ilvl w:val="0"/>
          <w:numId w:val="0"/>
        </w:numPr>
        <w:ind w:left="720"/>
        <w:jc w:val="center"/>
        <w:rPr>
          <w:rFonts w:ascii="Arial" w:hAnsi="Arial" w:cs="Arial"/>
          <w:sz w:val="22"/>
          <w:szCs w:val="22"/>
        </w:rPr>
      </w:pPr>
      <w:bookmarkStart w:name="_Toc17804034" w:id="23"/>
      <w:r w:rsidRPr="002F341C">
        <w:rPr>
          <w:rFonts w:ascii="Arial" w:hAnsi="Arial" w:cs="Arial"/>
          <w:sz w:val="22"/>
          <w:szCs w:val="22"/>
          <w:lang w:eastAsia="es-MX"/>
        </w:rPr>
        <w:drawing>
          <wp:inline distT="0" distB="0" distL="0" distR="0" wp14:anchorId="003A8B75" wp14:editId="3551EB26">
            <wp:extent cx="3664585" cy="2226250"/>
            <wp:effectExtent l="0" t="0" r="0" b="0"/>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23"/>
    </w:p>
    <w:p w:rsidRPr="002F341C" w:rsidR="009F74E9" w:rsidP="009F74E9" w:rsidRDefault="00414683" w14:paraId="68F04823" w14:textId="77777777">
      <w:pPr>
        <w:pStyle w:val="Paragraph"/>
        <w:numPr>
          <w:ilvl w:val="0"/>
          <w:numId w:val="0"/>
        </w:numPr>
        <w:ind w:left="720"/>
        <w:jc w:val="left"/>
        <w:rPr>
          <w:rFonts w:ascii="Arial" w:hAnsi="Arial" w:cs="Arial"/>
          <w:sz w:val="18"/>
          <w:szCs w:val="18"/>
        </w:rPr>
      </w:pPr>
      <w:bookmarkStart w:name="_Toc17804035" w:id="24"/>
      <w:r w:rsidRPr="002F341C">
        <w:rPr>
          <w:rFonts w:ascii="Arial" w:hAnsi="Arial" w:cs="Arial"/>
          <w:sz w:val="18"/>
          <w:szCs w:val="18"/>
        </w:rPr>
        <w:t>Fuente:</w:t>
      </w:r>
      <w:r w:rsidRPr="002F341C" w:rsidR="009F74E9">
        <w:rPr>
          <w:rFonts w:ascii="Arial" w:hAnsi="Arial" w:cs="Arial"/>
          <w:sz w:val="18"/>
          <w:szCs w:val="18"/>
        </w:rPr>
        <w:t xml:space="preserve"> Elaboración propia con datos de la CNBS y el Consejo Monetario Centroamericano (SECMCA)</w:t>
      </w:r>
      <w:bookmarkEnd w:id="24"/>
    </w:p>
    <w:p w:rsidRPr="002F341C" w:rsidR="00414683" w:rsidP="00414683" w:rsidRDefault="00414683" w14:paraId="3AAC0C40" w14:textId="3A5EFBD7">
      <w:pPr>
        <w:pStyle w:val="Paragraph"/>
        <w:numPr>
          <w:ilvl w:val="0"/>
          <w:numId w:val="0"/>
        </w:numPr>
        <w:ind w:left="720"/>
        <w:jc w:val="left"/>
        <w:rPr>
          <w:rFonts w:ascii="Arial" w:hAnsi="Arial" w:cs="Arial"/>
          <w:sz w:val="18"/>
          <w:szCs w:val="18"/>
        </w:rPr>
      </w:pPr>
    </w:p>
    <w:p w:rsidRPr="002F341C" w:rsidR="00414683" w:rsidP="002F5346" w:rsidRDefault="00544EE4" w14:paraId="415F949E" w14:textId="1C543FE1">
      <w:pPr>
        <w:pStyle w:val="Paragraph"/>
        <w:numPr>
          <w:ilvl w:val="0"/>
          <w:numId w:val="0"/>
        </w:numPr>
        <w:ind w:left="720"/>
        <w:jc w:val="center"/>
        <w:rPr>
          <w:rFonts w:ascii="Arial" w:hAnsi="Arial" w:cs="Arial"/>
          <w:sz w:val="18"/>
          <w:szCs w:val="18"/>
        </w:rPr>
      </w:pPr>
      <w:bookmarkStart w:name="_Toc17804036" w:id="25"/>
      <w:r w:rsidRPr="002F341C">
        <w:rPr>
          <w:rFonts w:ascii="Arial" w:hAnsi="Arial" w:cs="Arial"/>
          <w:sz w:val="22"/>
          <w:szCs w:val="22"/>
          <w:lang w:eastAsia="es-MX"/>
        </w:rPr>
        <w:drawing>
          <wp:inline distT="0" distB="0" distL="0" distR="0" wp14:anchorId="44A68192" wp14:editId="45A1B835">
            <wp:extent cx="3916393" cy="2242868"/>
            <wp:effectExtent l="0" t="0" r="0" b="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25"/>
    </w:p>
    <w:p w:rsidRPr="002F341C" w:rsidR="009F74E9" w:rsidP="009F74E9" w:rsidRDefault="00414683" w14:paraId="235FEA63" w14:textId="6650688D">
      <w:pPr>
        <w:pStyle w:val="Paragraph"/>
        <w:numPr>
          <w:ilvl w:val="0"/>
          <w:numId w:val="0"/>
        </w:numPr>
        <w:ind w:left="720"/>
        <w:jc w:val="left"/>
        <w:rPr>
          <w:rFonts w:ascii="Arial" w:hAnsi="Arial" w:cs="Arial"/>
          <w:sz w:val="18"/>
          <w:szCs w:val="18"/>
        </w:rPr>
      </w:pPr>
      <w:bookmarkStart w:name="_Toc17804037" w:id="26"/>
      <w:r w:rsidRPr="002F341C">
        <w:rPr>
          <w:rFonts w:ascii="Arial" w:hAnsi="Arial" w:cs="Arial"/>
          <w:sz w:val="18"/>
          <w:szCs w:val="18"/>
        </w:rPr>
        <w:t>Fuente:</w:t>
      </w:r>
      <w:r w:rsidRPr="002F341C" w:rsidR="009F74E9">
        <w:rPr>
          <w:rFonts w:ascii="Arial" w:hAnsi="Arial" w:cs="Arial"/>
          <w:sz w:val="18"/>
          <w:szCs w:val="18"/>
        </w:rPr>
        <w:t xml:space="preserve"> Elaboración propia con datos del Banco Central de Hondura (BCH)</w:t>
      </w:r>
      <w:bookmarkEnd w:id="26"/>
    </w:p>
    <w:p w:rsidRPr="002F341C" w:rsidR="00414683" w:rsidP="00414683" w:rsidRDefault="00414683" w14:paraId="6E3EB45C" w14:textId="650C492B">
      <w:pPr>
        <w:pStyle w:val="Paragraph"/>
        <w:numPr>
          <w:ilvl w:val="0"/>
          <w:numId w:val="0"/>
        </w:numPr>
        <w:ind w:left="720"/>
        <w:jc w:val="left"/>
        <w:rPr>
          <w:rFonts w:ascii="Arial" w:hAnsi="Arial" w:cs="Arial"/>
          <w:sz w:val="18"/>
          <w:szCs w:val="18"/>
        </w:rPr>
      </w:pPr>
    </w:p>
    <w:p w:rsidRPr="002F341C" w:rsidR="0000157A" w:rsidP="00181E84" w:rsidRDefault="00F81D1C" w14:paraId="23120F0B" w14:textId="1E60E543">
      <w:pPr>
        <w:pStyle w:val="Paragraph"/>
        <w:ind w:left="720" w:hanging="720"/>
        <w:rPr>
          <w:rFonts w:ascii="Arial" w:hAnsi="Arial" w:cs="Arial"/>
          <w:sz w:val="22"/>
          <w:szCs w:val="22"/>
        </w:rPr>
      </w:pPr>
      <w:bookmarkStart w:name="_Toc17804038" w:id="27"/>
      <w:r w:rsidRPr="002F341C">
        <w:rPr>
          <w:rFonts w:ascii="Arial" w:hAnsi="Arial" w:cs="Arial"/>
          <w:sz w:val="22"/>
          <w:szCs w:val="22"/>
        </w:rPr>
        <w:t>El principal destino de</w:t>
      </w:r>
      <w:r w:rsidRPr="002F341C" w:rsidR="00181E84">
        <w:rPr>
          <w:rFonts w:ascii="Arial" w:hAnsi="Arial" w:cs="Arial"/>
          <w:sz w:val="22"/>
          <w:szCs w:val="22"/>
        </w:rPr>
        <w:t>l</w:t>
      </w:r>
      <w:r w:rsidRPr="002F341C">
        <w:rPr>
          <w:rFonts w:ascii="Arial" w:hAnsi="Arial" w:cs="Arial"/>
          <w:sz w:val="22"/>
          <w:szCs w:val="22"/>
        </w:rPr>
        <w:t xml:space="preserve"> crédito</w:t>
      </w:r>
      <w:r w:rsidRPr="002F341C" w:rsidR="004B2ABB">
        <w:rPr>
          <w:rFonts w:ascii="Arial" w:hAnsi="Arial" w:cs="Arial"/>
          <w:sz w:val="22"/>
          <w:szCs w:val="22"/>
        </w:rPr>
        <w:t>, en estos años,</w:t>
      </w:r>
      <w:r w:rsidRPr="002F341C">
        <w:rPr>
          <w:rFonts w:ascii="Arial" w:hAnsi="Arial" w:cs="Arial"/>
          <w:sz w:val="22"/>
          <w:szCs w:val="22"/>
        </w:rPr>
        <w:t xml:space="preserve"> ha sido el financiamiento </w:t>
      </w:r>
      <w:r w:rsidRPr="002F341C" w:rsidR="004B2ABB">
        <w:rPr>
          <w:rFonts w:ascii="Arial" w:hAnsi="Arial" w:cs="Arial"/>
          <w:sz w:val="22"/>
          <w:szCs w:val="22"/>
        </w:rPr>
        <w:t>al consumo, comercio y servicios (</w:t>
      </w:r>
      <w:r w:rsidRPr="002F341C" w:rsidR="002204D4">
        <w:rPr>
          <w:rFonts w:ascii="Arial" w:hAnsi="Arial" w:cs="Arial"/>
          <w:sz w:val="22"/>
          <w:szCs w:val="22"/>
        </w:rPr>
        <w:t>58.4% de</w:t>
      </w:r>
      <w:r w:rsidRPr="002F341C" w:rsidR="00181E84">
        <w:rPr>
          <w:rFonts w:ascii="Arial" w:hAnsi="Arial" w:cs="Arial"/>
          <w:sz w:val="22"/>
          <w:szCs w:val="22"/>
        </w:rPr>
        <w:t xml:space="preserve">l total); no </w:t>
      </w:r>
      <w:r w:rsidRPr="002F341C" w:rsidR="002204D4">
        <w:rPr>
          <w:rFonts w:ascii="Arial" w:hAnsi="Arial" w:cs="Arial"/>
          <w:sz w:val="22"/>
          <w:szCs w:val="22"/>
        </w:rPr>
        <w:t xml:space="preserve">obstante, </w:t>
      </w:r>
      <w:r w:rsidRPr="002F341C" w:rsidR="00181E84">
        <w:rPr>
          <w:rFonts w:ascii="Arial" w:hAnsi="Arial" w:cs="Arial"/>
          <w:sz w:val="22"/>
          <w:szCs w:val="22"/>
        </w:rPr>
        <w:t>como parte del entorno antes mencionado, la banca ha destino a su vez más fondos hacia actividades con un mayor perfil de riesgo, tal como el sector agropecuario.</w:t>
      </w:r>
      <w:r w:rsidRPr="002F341C" w:rsidR="0000157A">
        <w:rPr>
          <w:rFonts w:ascii="Arial" w:hAnsi="Arial" w:cs="Arial"/>
          <w:sz w:val="22"/>
          <w:szCs w:val="22"/>
        </w:rPr>
        <w:t xml:space="preserve"> A junio de 2019, </w:t>
      </w:r>
      <w:r w:rsidRPr="002F341C" w:rsidR="00181E84">
        <w:rPr>
          <w:rFonts w:ascii="Arial" w:hAnsi="Arial" w:cs="Arial"/>
          <w:sz w:val="22"/>
          <w:szCs w:val="22"/>
        </w:rPr>
        <w:t xml:space="preserve">el crédito al sector primario </w:t>
      </w:r>
      <w:r w:rsidRPr="002F341C" w:rsidR="0000157A">
        <w:rPr>
          <w:rFonts w:ascii="Arial" w:hAnsi="Arial" w:cs="Arial"/>
          <w:sz w:val="22"/>
          <w:szCs w:val="22"/>
        </w:rPr>
        <w:t xml:space="preserve">representó el 7.6% de la cartera de crédito (5.3% en 2009), crecimiento </w:t>
      </w:r>
      <w:r w:rsidRPr="002F341C" w:rsidR="00181E84">
        <w:rPr>
          <w:rFonts w:ascii="Arial" w:hAnsi="Arial" w:cs="Arial"/>
          <w:sz w:val="22"/>
          <w:szCs w:val="22"/>
        </w:rPr>
        <w:t>que a su vez ha estado correlacionado co</w:t>
      </w:r>
      <w:r w:rsidRPr="002F341C" w:rsidR="0000157A">
        <w:rPr>
          <w:rFonts w:ascii="Arial" w:hAnsi="Arial" w:cs="Arial"/>
          <w:sz w:val="22"/>
          <w:szCs w:val="22"/>
        </w:rPr>
        <w:t xml:space="preserve">n el </w:t>
      </w:r>
      <w:r w:rsidRPr="002F341C" w:rsidR="00181E84">
        <w:rPr>
          <w:rFonts w:ascii="Arial" w:hAnsi="Arial" w:cs="Arial"/>
          <w:sz w:val="22"/>
          <w:szCs w:val="22"/>
        </w:rPr>
        <w:t xml:space="preserve">mayor dinamismo en la producción de cultivos como el </w:t>
      </w:r>
      <w:r w:rsidRPr="002F341C" w:rsidR="0000157A">
        <w:rPr>
          <w:rFonts w:ascii="Arial" w:hAnsi="Arial" w:cs="Arial"/>
          <w:sz w:val="22"/>
          <w:szCs w:val="22"/>
        </w:rPr>
        <w:t>café, banano, hortalizas, ganadería, palma africana, pesca, entre otros</w:t>
      </w:r>
      <w:r w:rsidRPr="002F341C" w:rsidR="0000157A">
        <w:rPr>
          <w:rStyle w:val="FootnoteReference"/>
          <w:rFonts w:ascii="Arial" w:hAnsi="Arial" w:cs="Arial"/>
          <w:sz w:val="22"/>
          <w:szCs w:val="22"/>
        </w:rPr>
        <w:footnoteReference w:id="12"/>
      </w:r>
      <w:r w:rsidRPr="002F341C" w:rsidR="0000157A">
        <w:rPr>
          <w:rFonts w:ascii="Arial" w:hAnsi="Arial" w:cs="Arial"/>
          <w:sz w:val="22"/>
          <w:szCs w:val="22"/>
        </w:rPr>
        <w:t>.</w:t>
      </w:r>
      <w:bookmarkEnd w:id="27"/>
    </w:p>
    <w:p w:rsidRPr="002F341C" w:rsidR="006367CB" w:rsidP="006A1820" w:rsidRDefault="00C95FCA" w14:paraId="103FF691" w14:textId="54B7ABBB">
      <w:pPr>
        <w:pStyle w:val="Chapter"/>
        <w:tabs>
          <w:tab w:val="clear" w:pos="648"/>
          <w:tab w:val="num" w:pos="720"/>
        </w:tabs>
        <w:ind w:firstLine="90"/>
        <w:jc w:val="left"/>
        <w:rPr>
          <w:rFonts w:ascii="Arial" w:hAnsi="Arial" w:cs="Arial"/>
          <w:sz w:val="22"/>
          <w:szCs w:val="22"/>
        </w:rPr>
      </w:pPr>
      <w:r w:rsidRPr="002F341C">
        <w:rPr>
          <w:rFonts w:ascii="Arial" w:hAnsi="Arial" w:cs="Arial"/>
          <w:sz w:val="22"/>
          <w:szCs w:val="22"/>
        </w:rPr>
        <w:t>Evolución del crédito en el sector financiero</w:t>
      </w:r>
    </w:p>
    <w:p w:rsidRPr="002F341C" w:rsidR="006367CB" w:rsidP="00DD4E1F" w:rsidRDefault="00624DEA" w14:paraId="1B5C7724" w14:textId="74AC7B61">
      <w:pPr>
        <w:pStyle w:val="Paragraph"/>
        <w:ind w:left="720" w:hanging="720"/>
        <w:rPr>
          <w:rFonts w:ascii="Arial" w:hAnsi="Arial" w:cs="Arial"/>
          <w:sz w:val="22"/>
          <w:szCs w:val="22"/>
        </w:rPr>
      </w:pPr>
      <w:bookmarkStart w:name="_Toc17804039" w:id="28"/>
      <w:bookmarkEnd w:id="2"/>
      <w:r w:rsidRPr="002F341C">
        <w:rPr>
          <w:rFonts w:ascii="Arial" w:hAnsi="Arial" w:cs="Arial"/>
          <w:sz w:val="22"/>
          <w:szCs w:val="22"/>
        </w:rPr>
        <w:lastRenderedPageBreak/>
        <w:t xml:space="preserve">A </w:t>
      </w:r>
      <w:r w:rsidRPr="002F341C" w:rsidR="00CF6E5B">
        <w:rPr>
          <w:rFonts w:ascii="Arial" w:hAnsi="Arial" w:cs="Arial"/>
          <w:sz w:val="22"/>
          <w:szCs w:val="22"/>
        </w:rPr>
        <w:t>junio</w:t>
      </w:r>
      <w:r w:rsidRPr="002F341C">
        <w:rPr>
          <w:rFonts w:ascii="Arial" w:hAnsi="Arial" w:cs="Arial"/>
          <w:sz w:val="22"/>
          <w:szCs w:val="22"/>
        </w:rPr>
        <w:t xml:space="preserve"> de 2019</w:t>
      </w:r>
      <w:r w:rsidRPr="002F341C" w:rsidR="00C95FCA">
        <w:rPr>
          <w:rFonts w:ascii="Arial" w:hAnsi="Arial" w:cs="Arial"/>
          <w:sz w:val="22"/>
          <w:szCs w:val="22"/>
        </w:rPr>
        <w:t xml:space="preserve">, la cartera de crédito otorgado </w:t>
      </w:r>
      <w:r w:rsidRPr="002F341C">
        <w:rPr>
          <w:rFonts w:ascii="Arial" w:hAnsi="Arial" w:cs="Arial"/>
          <w:sz w:val="22"/>
          <w:szCs w:val="22"/>
        </w:rPr>
        <w:t xml:space="preserve">por el sistema financiero </w:t>
      </w:r>
      <w:r w:rsidRPr="002F341C" w:rsidR="00C95FCA">
        <w:rPr>
          <w:rFonts w:ascii="Arial" w:hAnsi="Arial" w:cs="Arial"/>
          <w:sz w:val="22"/>
          <w:szCs w:val="22"/>
        </w:rPr>
        <w:t>alcanz</w:t>
      </w:r>
      <w:r w:rsidRPr="002F341C" w:rsidR="00494625">
        <w:rPr>
          <w:rFonts w:ascii="Arial" w:hAnsi="Arial" w:cs="Arial"/>
          <w:sz w:val="22"/>
          <w:szCs w:val="22"/>
        </w:rPr>
        <w:t>ó</w:t>
      </w:r>
      <w:r w:rsidRPr="002F341C" w:rsidR="00C95FCA">
        <w:rPr>
          <w:rFonts w:ascii="Arial" w:hAnsi="Arial" w:cs="Arial"/>
          <w:sz w:val="22"/>
          <w:szCs w:val="22"/>
        </w:rPr>
        <w:t xml:space="preserve"> los U</w:t>
      </w:r>
      <w:r w:rsidRPr="002F341C">
        <w:rPr>
          <w:rFonts w:ascii="Arial" w:hAnsi="Arial" w:cs="Arial"/>
          <w:sz w:val="22"/>
          <w:szCs w:val="22"/>
        </w:rPr>
        <w:t>SD 14,246 millones, siendo la banca el principal actor en el negocio de intermediación</w:t>
      </w:r>
      <w:r w:rsidRPr="002F341C" w:rsidR="00C95FCA">
        <w:rPr>
          <w:rFonts w:ascii="Arial" w:hAnsi="Arial" w:cs="Arial"/>
          <w:sz w:val="22"/>
          <w:szCs w:val="22"/>
        </w:rPr>
        <w:t xml:space="preserve"> financiara</w:t>
      </w:r>
      <w:r w:rsidRPr="002F341C">
        <w:rPr>
          <w:rFonts w:ascii="Arial" w:hAnsi="Arial" w:cs="Arial"/>
          <w:sz w:val="22"/>
          <w:szCs w:val="22"/>
        </w:rPr>
        <w:t xml:space="preserve">. En términos </w:t>
      </w:r>
      <w:r w:rsidRPr="002F341C" w:rsidR="00C95FCA">
        <w:rPr>
          <w:rFonts w:ascii="Arial" w:hAnsi="Arial" w:cs="Arial"/>
          <w:sz w:val="22"/>
          <w:szCs w:val="22"/>
        </w:rPr>
        <w:t xml:space="preserve">de participación, el crédito otorgado por la banca comercial representó el </w:t>
      </w:r>
      <w:r w:rsidRPr="002F341C">
        <w:rPr>
          <w:rFonts w:ascii="Arial" w:hAnsi="Arial" w:cs="Arial"/>
          <w:sz w:val="22"/>
          <w:szCs w:val="22"/>
        </w:rPr>
        <w:t>95.5% del total</w:t>
      </w:r>
      <w:r w:rsidRPr="002F341C" w:rsidR="00C95FCA">
        <w:rPr>
          <w:rFonts w:ascii="Arial" w:hAnsi="Arial" w:cs="Arial"/>
          <w:sz w:val="22"/>
          <w:szCs w:val="22"/>
        </w:rPr>
        <w:t xml:space="preserve">, </w:t>
      </w:r>
      <w:r w:rsidRPr="002F341C">
        <w:rPr>
          <w:rFonts w:ascii="Arial" w:hAnsi="Arial" w:cs="Arial"/>
          <w:sz w:val="22"/>
          <w:szCs w:val="22"/>
        </w:rPr>
        <w:t xml:space="preserve">seguido de </w:t>
      </w:r>
      <w:r w:rsidRPr="002F341C" w:rsidR="00CF6E5B">
        <w:rPr>
          <w:rFonts w:ascii="Arial" w:hAnsi="Arial" w:cs="Arial"/>
          <w:sz w:val="22"/>
          <w:szCs w:val="22"/>
        </w:rPr>
        <w:t>las sociedades financieras</w:t>
      </w:r>
      <w:r w:rsidRPr="002F341C">
        <w:rPr>
          <w:rFonts w:ascii="Arial" w:hAnsi="Arial" w:cs="Arial"/>
          <w:sz w:val="22"/>
          <w:szCs w:val="22"/>
        </w:rPr>
        <w:t xml:space="preserve"> (2.7%), </w:t>
      </w:r>
      <w:r w:rsidRPr="002F341C" w:rsidR="002F5346">
        <w:rPr>
          <w:rFonts w:ascii="Arial" w:hAnsi="Arial" w:cs="Arial"/>
          <w:sz w:val="22"/>
          <w:szCs w:val="22"/>
        </w:rPr>
        <w:t xml:space="preserve">organizaciones privadas de desarrollo financiero </w:t>
      </w:r>
      <w:r w:rsidRPr="002F341C">
        <w:rPr>
          <w:rFonts w:ascii="Arial" w:hAnsi="Arial" w:cs="Arial"/>
          <w:sz w:val="22"/>
          <w:szCs w:val="22"/>
        </w:rPr>
        <w:t>(0.9%), banca estatal (0.8%) y oficinas de representaci</w:t>
      </w:r>
      <w:r w:rsidRPr="002F341C" w:rsidR="00366AA2">
        <w:rPr>
          <w:rFonts w:ascii="Arial" w:hAnsi="Arial" w:cs="Arial"/>
          <w:sz w:val="22"/>
          <w:szCs w:val="22"/>
        </w:rPr>
        <w:t>ón (0.1%).</w:t>
      </w:r>
      <w:bookmarkEnd w:id="28"/>
      <w:r w:rsidRPr="002F341C">
        <w:rPr>
          <w:rFonts w:ascii="Arial" w:hAnsi="Arial" w:cs="Arial"/>
          <w:sz w:val="22"/>
          <w:szCs w:val="22"/>
        </w:rPr>
        <w:t xml:space="preserve"> </w:t>
      </w:r>
    </w:p>
    <w:p w:rsidRPr="002F341C" w:rsidR="008C171A" w:rsidP="002F5346" w:rsidRDefault="008C171A" w14:paraId="359BF83D" w14:textId="1752D6A3">
      <w:pPr>
        <w:pStyle w:val="Paragraph"/>
        <w:numPr>
          <w:ilvl w:val="0"/>
          <w:numId w:val="0"/>
        </w:numPr>
        <w:ind w:left="720"/>
        <w:jc w:val="center"/>
        <w:rPr>
          <w:rFonts w:ascii="Arial" w:hAnsi="Arial" w:cs="Arial"/>
          <w:sz w:val="22"/>
          <w:szCs w:val="22"/>
        </w:rPr>
      </w:pPr>
      <w:bookmarkStart w:name="_Toc17804040" w:id="29"/>
      <w:r w:rsidRPr="002F341C">
        <w:rPr>
          <w:rFonts w:ascii="Arial" w:hAnsi="Arial" w:cs="Arial"/>
          <w:sz w:val="22"/>
          <w:szCs w:val="22"/>
          <w:lang w:eastAsia="es-MX"/>
        </w:rPr>
        <w:drawing>
          <wp:inline distT="0" distB="0" distL="0" distR="0" wp14:anchorId="6000F445" wp14:editId="7A673868">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29"/>
    </w:p>
    <w:p w:rsidRPr="002F341C" w:rsidR="00414683" w:rsidP="00414683" w:rsidRDefault="00414683" w14:paraId="632E4822" w14:textId="4430863D">
      <w:pPr>
        <w:pStyle w:val="Paragraph"/>
        <w:numPr>
          <w:ilvl w:val="0"/>
          <w:numId w:val="0"/>
        </w:numPr>
        <w:ind w:left="720"/>
        <w:jc w:val="left"/>
        <w:rPr>
          <w:rFonts w:ascii="Arial" w:hAnsi="Arial" w:cs="Arial"/>
          <w:sz w:val="18"/>
          <w:szCs w:val="18"/>
        </w:rPr>
      </w:pPr>
      <w:bookmarkStart w:name="_Toc17804041" w:id="30"/>
      <w:r w:rsidRPr="002F341C">
        <w:rPr>
          <w:rFonts w:ascii="Arial" w:hAnsi="Arial" w:cs="Arial"/>
          <w:sz w:val="18"/>
          <w:szCs w:val="18"/>
        </w:rPr>
        <w:t>Fuente:</w:t>
      </w:r>
      <w:r w:rsidRPr="002F341C" w:rsidR="002F5346">
        <w:rPr>
          <w:rFonts w:ascii="Arial" w:hAnsi="Arial" w:cs="Arial"/>
          <w:sz w:val="18"/>
          <w:szCs w:val="18"/>
        </w:rPr>
        <w:t xml:space="preserve"> Elaboración propia con datos de la CNBS</w:t>
      </w:r>
      <w:bookmarkEnd w:id="30"/>
    </w:p>
    <w:p w:rsidRPr="002F341C" w:rsidR="002F5346" w:rsidP="00414683" w:rsidRDefault="002F5346" w14:paraId="0BD0F8AB" w14:textId="77777777">
      <w:pPr>
        <w:pStyle w:val="Paragraph"/>
        <w:numPr>
          <w:ilvl w:val="0"/>
          <w:numId w:val="0"/>
        </w:numPr>
        <w:ind w:left="720"/>
        <w:jc w:val="left"/>
        <w:rPr>
          <w:rFonts w:ascii="Arial" w:hAnsi="Arial" w:cs="Arial"/>
          <w:sz w:val="18"/>
          <w:szCs w:val="18"/>
        </w:rPr>
      </w:pPr>
    </w:p>
    <w:p w:rsidRPr="002F341C" w:rsidR="00BD5BB5" w:rsidP="00DD4E1F" w:rsidRDefault="008C171A" w14:paraId="6DBFD61F" w14:textId="1F32A50D">
      <w:pPr>
        <w:pStyle w:val="Paragraph"/>
        <w:ind w:left="720" w:hanging="720"/>
        <w:rPr>
          <w:rFonts w:ascii="Arial" w:hAnsi="Arial" w:cs="Arial"/>
          <w:sz w:val="22"/>
          <w:szCs w:val="22"/>
        </w:rPr>
      </w:pPr>
      <w:bookmarkStart w:name="_Toc17804042" w:id="31"/>
      <w:r w:rsidRPr="002F341C">
        <w:rPr>
          <w:rFonts w:ascii="Arial" w:hAnsi="Arial" w:cs="Arial"/>
          <w:sz w:val="22"/>
          <w:szCs w:val="22"/>
        </w:rPr>
        <w:t xml:space="preserve">En términos de concentración, a nivel de tipo de entidad, </w:t>
      </w:r>
      <w:r w:rsidRPr="002F341C" w:rsidR="005E67F9">
        <w:rPr>
          <w:rFonts w:ascii="Arial" w:hAnsi="Arial" w:cs="Arial"/>
          <w:sz w:val="22"/>
          <w:szCs w:val="22"/>
        </w:rPr>
        <w:t>la cartera de crédito</w:t>
      </w:r>
      <w:r w:rsidRPr="002F341C" w:rsidR="00DD4FF6">
        <w:rPr>
          <w:rFonts w:ascii="Arial" w:hAnsi="Arial" w:cs="Arial"/>
          <w:sz w:val="22"/>
          <w:szCs w:val="22"/>
        </w:rPr>
        <w:t xml:space="preserve"> </w:t>
      </w:r>
      <w:r w:rsidRPr="002F341C">
        <w:rPr>
          <w:rFonts w:ascii="Arial" w:hAnsi="Arial" w:cs="Arial"/>
          <w:sz w:val="22"/>
          <w:szCs w:val="22"/>
        </w:rPr>
        <w:t>muestra índices de concentración acordes con mercados competitivos a nivel de los bancos</w:t>
      </w:r>
      <w:r w:rsidRPr="002F341C" w:rsidR="00F95924">
        <w:rPr>
          <w:rFonts w:ascii="Arial" w:hAnsi="Arial" w:cs="Arial"/>
          <w:sz w:val="22"/>
          <w:szCs w:val="22"/>
        </w:rPr>
        <w:t xml:space="preserve">; no obstante, </w:t>
      </w:r>
      <w:r w:rsidRPr="002F341C" w:rsidR="00293A7C">
        <w:rPr>
          <w:rFonts w:ascii="Arial" w:hAnsi="Arial" w:cs="Arial"/>
          <w:sz w:val="22"/>
          <w:szCs w:val="22"/>
        </w:rPr>
        <w:t>la concentración a nivel s</w:t>
      </w:r>
      <w:r w:rsidRPr="002F341C" w:rsidR="00DD4FF6">
        <w:rPr>
          <w:rFonts w:ascii="Arial" w:hAnsi="Arial" w:cs="Arial"/>
          <w:sz w:val="22"/>
          <w:szCs w:val="22"/>
        </w:rPr>
        <w:t xml:space="preserve">ociedades financieras y </w:t>
      </w:r>
      <w:r w:rsidRPr="002F341C">
        <w:rPr>
          <w:rFonts w:ascii="Arial" w:hAnsi="Arial" w:cs="Arial"/>
          <w:sz w:val="22"/>
          <w:szCs w:val="22"/>
        </w:rPr>
        <w:t>OPDF</w:t>
      </w:r>
      <w:r w:rsidRPr="002F341C" w:rsidR="00293A7C">
        <w:rPr>
          <w:rFonts w:ascii="Arial" w:hAnsi="Arial" w:cs="Arial"/>
          <w:sz w:val="22"/>
          <w:szCs w:val="22"/>
        </w:rPr>
        <w:t xml:space="preserve"> es de un mercado moderadamente concentrado</w:t>
      </w:r>
      <w:r w:rsidRPr="002F341C">
        <w:rPr>
          <w:rFonts w:ascii="Arial" w:hAnsi="Arial" w:cs="Arial"/>
          <w:sz w:val="22"/>
          <w:szCs w:val="22"/>
        </w:rPr>
        <w:t>.</w:t>
      </w:r>
      <w:bookmarkEnd w:id="31"/>
      <w:r w:rsidRPr="002F341C" w:rsidR="00773735">
        <w:rPr>
          <w:rFonts w:ascii="Arial" w:hAnsi="Arial" w:cs="Arial"/>
          <w:sz w:val="22"/>
          <w:szCs w:val="22"/>
        </w:rPr>
        <w:t xml:space="preserve"> </w:t>
      </w:r>
    </w:p>
    <w:bookmarkStart w:name="_Toc17804043" w:id="32"/>
    <w:p w:rsidRPr="002F341C" w:rsidR="00366AA2" w:rsidP="00F554F8" w:rsidRDefault="00BD5BB5" w14:paraId="1878DC21" w14:textId="582972AF">
      <w:pPr>
        <w:pStyle w:val="Paragraph"/>
        <w:numPr>
          <w:ilvl w:val="0"/>
          <w:numId w:val="0"/>
        </w:numPr>
        <w:ind w:left="720"/>
        <w:jc w:val="center"/>
        <w:rPr>
          <w:rFonts w:ascii="Arial" w:hAnsi="Arial" w:cs="Arial"/>
          <w:sz w:val="22"/>
          <w:szCs w:val="22"/>
        </w:rPr>
      </w:pPr>
      <w:r w:rsidRPr="002F341C">
        <w:rPr>
          <w:rFonts w:ascii="Arial" w:hAnsi="Arial" w:cs="Arial"/>
          <w:sz w:val="22"/>
          <w:szCs w:val="22"/>
          <w:lang w:eastAsia="es-MX"/>
        </w:rPr>
        <mc:AlternateContent>
          <mc:Choice Requires="wps">
            <w:drawing>
              <wp:anchor distT="0" distB="0" distL="114300" distR="114300" simplePos="0" relativeHeight="251659264" behindDoc="0" locked="0" layoutInCell="1" allowOverlap="1" wp14:anchorId="7A8F9802" wp14:editId="10580AA9">
                <wp:simplePos x="0" y="0"/>
                <wp:positionH relativeFrom="margin">
                  <wp:align>right</wp:align>
                </wp:positionH>
                <wp:positionV relativeFrom="paragraph">
                  <wp:posOffset>871855</wp:posOffset>
                </wp:positionV>
                <wp:extent cx="1576917" cy="529167"/>
                <wp:effectExtent l="0" t="0" r="23495" b="23495"/>
                <wp:wrapNone/>
                <wp:docPr id="4" name="CuadroTexto 3"/>
                <wp:cNvGraphicFramePr/>
                <a:graphic xmlns:a="http://schemas.openxmlformats.org/drawingml/2006/main">
                  <a:graphicData uri="http://schemas.microsoft.com/office/word/2010/wordprocessingShape">
                    <wps:wsp>
                      <wps:cNvSpPr txBox="1"/>
                      <wps:spPr>
                        <a:xfrm>
                          <a:off x="0" y="0"/>
                          <a:ext cx="1576917" cy="529167"/>
                        </a:xfrm>
                        <a:prstGeom prst="rect">
                          <a:avLst/>
                        </a:prstGeom>
                        <a:no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rsidRPr="00293A7C" w:rsidR="0036528E" w:rsidP="00293A7C" w:rsidRDefault="0036528E" w14:paraId="1C4E5A3D" w14:textId="67637657">
                            <w:pPr>
                              <w:pStyle w:val="NormalWeb"/>
                              <w:spacing w:before="0" w:beforeAutospacing="0" w:after="0" w:afterAutospacing="0"/>
                              <w:rPr>
                                <w:sz w:val="22"/>
                              </w:rPr>
                            </w:pPr>
                            <w:r w:rsidRPr="00293A7C">
                              <w:rPr>
                                <w:rFonts w:hAnsi="Calibri" w:asciiTheme="minorHAnsi" w:cstheme="minorBidi"/>
                                <w:b/>
                                <w:bCs/>
                                <w:color w:val="000000" w:themeColor="dark1"/>
                                <w:sz w:val="22"/>
                              </w:rPr>
                              <w:t xml:space="preserve">HHI </w:t>
                            </w:r>
                            <w:proofErr w:type="spellStart"/>
                            <w:r w:rsidRPr="00293A7C">
                              <w:rPr>
                                <w:rFonts w:hAnsi="Calibri" w:asciiTheme="minorHAnsi" w:cstheme="minorBidi"/>
                                <w:b/>
                                <w:bCs/>
                                <w:color w:val="000000" w:themeColor="dark1"/>
                                <w:sz w:val="22"/>
                              </w:rPr>
                              <w:t>bancos</w:t>
                            </w:r>
                            <w:proofErr w:type="spellEnd"/>
                            <w:r w:rsidRPr="00293A7C">
                              <w:rPr>
                                <w:rFonts w:hAnsi="Calibri" w:asciiTheme="minorHAnsi" w:cstheme="minorBidi"/>
                                <w:b/>
                                <w:bCs/>
                                <w:color w:val="000000" w:themeColor="dark1"/>
                                <w:sz w:val="22"/>
                              </w:rPr>
                              <w:t xml:space="preserve">: </w:t>
                            </w:r>
                            <w:r w:rsidRPr="00293A7C">
                              <w:rPr>
                                <w:rFonts w:hAnsi="Calibri" w:asciiTheme="minorHAnsi" w:cstheme="minorBidi"/>
                                <w:bCs/>
                                <w:color w:val="000000" w:themeColor="dark1"/>
                                <w:sz w:val="22"/>
                              </w:rPr>
                              <w:t>1,298</w:t>
                            </w:r>
                          </w:p>
                        </w:txbxContent>
                      </wps:txbx>
                      <wps:bodyPr vertOverflow="clip" horzOverflow="clip" wrap="square" rtlCol="0" anchor="t"/>
                    </wps:wsp>
                  </a:graphicData>
                </a:graphic>
              </wp:anchor>
            </w:drawing>
          </mc:Choice>
          <mc:Fallback>
            <w:pict>
              <v:shapetype id="_x0000_t202" coordsize="21600,21600" o:spt="202" path="m,l,21600r21600,l21600,xe" w14:anchorId="7A8F9802">
                <v:stroke joinstyle="miter"/>
                <v:path gradientshapeok="t" o:connecttype="rect"/>
              </v:shapetype>
              <v:shape id="CuadroTexto 3" style="position:absolute;left:0;text-align:left;margin-left:72.95pt;margin-top:68.65pt;width:124.15pt;height:41.65pt;z-index:251659264;visibility:visible;mso-wrap-style:square;mso-wrap-distance-left:9pt;mso-wrap-distance-top:0;mso-wrap-distance-right:9pt;mso-wrap-distance-bottom:0;mso-position-horizontal:right;mso-position-horizontal-relative:margin;mso-position-vertical:absolute;mso-position-vertical-relative:text;v-text-anchor:top" o:spid="_x0000_s1026"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">
                <v:textbox>
                  <w:txbxContent>
                    <w:p w:rsidRPr="00293A7C" w:rsidR="0036528E" w:rsidP="00293A7C" w:rsidRDefault="0036528E" w14:paraId="1C4E5A3D" w14:textId="67637657">
                      <w:pPr>
                        <w:pStyle w:val="NormalWeb"/>
                        <w:spacing w:before="0" w:beforeAutospacing="0" w:after="0" w:afterAutospacing="0"/>
                        <w:rPr>
                          <w:sz w:val="22"/>
                        </w:rPr>
                      </w:pPr>
                      <w:r w:rsidRPr="00293A7C">
                        <w:rPr>
                          <w:rFonts w:hAnsi="Calibri" w:asciiTheme="minorHAnsi" w:cstheme="minorBidi"/>
                          <w:b/>
                          <w:bCs/>
                          <w:color w:val="000000" w:themeColor="dark1"/>
                          <w:sz w:val="22"/>
                        </w:rPr>
                        <w:t xml:space="preserve">HHI </w:t>
                      </w:r>
                      <w:proofErr w:type="spellStart"/>
                      <w:r w:rsidRPr="00293A7C">
                        <w:rPr>
                          <w:rFonts w:hAnsi="Calibri" w:asciiTheme="minorHAnsi" w:cstheme="minorBidi"/>
                          <w:b/>
                          <w:bCs/>
                          <w:color w:val="000000" w:themeColor="dark1"/>
                          <w:sz w:val="22"/>
                        </w:rPr>
                        <w:t>bancos</w:t>
                      </w:r>
                      <w:proofErr w:type="spellEnd"/>
                      <w:r w:rsidRPr="00293A7C">
                        <w:rPr>
                          <w:rFonts w:hAnsi="Calibri" w:asciiTheme="minorHAnsi" w:cstheme="minorBidi"/>
                          <w:b/>
                          <w:bCs/>
                          <w:color w:val="000000" w:themeColor="dark1"/>
                          <w:sz w:val="22"/>
                        </w:rPr>
                        <w:t xml:space="preserve">: </w:t>
                      </w:r>
                      <w:r w:rsidRPr="00293A7C">
                        <w:rPr>
                          <w:rFonts w:hAnsi="Calibri" w:asciiTheme="minorHAnsi" w:cstheme="minorBidi"/>
                          <w:bCs/>
                          <w:color w:val="000000" w:themeColor="dark1"/>
                          <w:sz w:val="22"/>
                        </w:rPr>
                        <w:t>1,298</w:t>
                      </w:r>
                    </w:p>
                  </w:txbxContent>
                </v:textbox>
                <w10:wrap anchorx="margin"/>
              </v:shape>
            </w:pict>
          </mc:Fallback>
        </mc:AlternateContent>
      </w:r>
      <w:r w:rsidRPr="002F341C">
        <w:rPr>
          <w:rFonts w:ascii="Arial" w:hAnsi="Arial" w:cs="Arial"/>
          <w:sz w:val="22"/>
          <w:szCs w:val="22"/>
          <w:lang w:eastAsia="es-MX"/>
        </w:rPr>
        <w:drawing>
          <wp:inline distT="0" distB="0" distL="0" distR="0" wp14:anchorId="3F2C8199" wp14:editId="64EBD9D3">
            <wp:extent cx="4788000" cy="2839453"/>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32"/>
    </w:p>
    <w:p w:rsidRPr="002F341C" w:rsidR="002F5346" w:rsidP="002F5346" w:rsidRDefault="00414683" w14:paraId="3F3BF65E" w14:textId="77777777">
      <w:pPr>
        <w:pStyle w:val="Paragraph"/>
        <w:numPr>
          <w:ilvl w:val="0"/>
          <w:numId w:val="0"/>
        </w:numPr>
        <w:ind w:left="720"/>
        <w:jc w:val="left"/>
        <w:rPr>
          <w:rFonts w:ascii="Arial" w:hAnsi="Arial" w:cs="Arial"/>
          <w:sz w:val="18"/>
          <w:szCs w:val="18"/>
        </w:rPr>
      </w:pPr>
      <w:bookmarkStart w:name="_Toc17804044" w:id="33"/>
      <w:r w:rsidRPr="002F341C">
        <w:rPr>
          <w:rFonts w:ascii="Arial" w:hAnsi="Arial" w:cs="Arial"/>
          <w:sz w:val="18"/>
          <w:szCs w:val="18"/>
        </w:rPr>
        <w:t>Fuente:</w:t>
      </w:r>
      <w:r w:rsidRPr="002F341C" w:rsidR="002F5346">
        <w:rPr>
          <w:rFonts w:ascii="Arial" w:hAnsi="Arial" w:cs="Arial"/>
          <w:sz w:val="18"/>
          <w:szCs w:val="18"/>
        </w:rPr>
        <w:t xml:space="preserve"> Elaboración propia con datos de la CNBS</w:t>
      </w:r>
      <w:bookmarkEnd w:id="33"/>
    </w:p>
    <w:p w:rsidRPr="002F341C" w:rsidR="00414683" w:rsidP="00414683" w:rsidRDefault="00414683" w14:paraId="1A488AF0" w14:textId="6AE0702A">
      <w:pPr>
        <w:pStyle w:val="Paragraph"/>
        <w:numPr>
          <w:ilvl w:val="0"/>
          <w:numId w:val="0"/>
        </w:numPr>
        <w:ind w:left="720"/>
        <w:jc w:val="left"/>
        <w:rPr>
          <w:rFonts w:ascii="Arial" w:hAnsi="Arial" w:cs="Arial"/>
          <w:sz w:val="18"/>
          <w:szCs w:val="18"/>
        </w:rPr>
      </w:pPr>
    </w:p>
    <w:bookmarkStart w:name="_Toc17804045" w:id="34"/>
    <w:p w:rsidRPr="002F341C" w:rsidR="00333787" w:rsidP="00333787" w:rsidRDefault="00F95924" w14:paraId="1D4DE36F" w14:textId="1A5E5033">
      <w:pPr>
        <w:pStyle w:val="Paragraph"/>
        <w:numPr>
          <w:ilvl w:val="0"/>
          <w:numId w:val="0"/>
        </w:numPr>
        <w:ind w:left="720"/>
        <w:jc w:val="center"/>
        <w:rPr>
          <w:rFonts w:ascii="Arial" w:hAnsi="Arial" w:cs="Arial"/>
          <w:sz w:val="22"/>
          <w:szCs w:val="22"/>
        </w:rPr>
      </w:pPr>
      <w:r w:rsidRPr="002F341C">
        <w:rPr>
          <w:rFonts w:ascii="Arial" w:hAnsi="Arial" w:cs="Arial"/>
          <w:sz w:val="22"/>
          <w:szCs w:val="22"/>
          <w:lang w:eastAsia="es-MX"/>
        </w:rPr>
        <mc:AlternateContent>
          <mc:Choice Requires="wps">
            <w:drawing>
              <wp:anchor distT="0" distB="0" distL="114300" distR="114300" simplePos="0" relativeHeight="251661312" behindDoc="0" locked="0" layoutInCell="1" allowOverlap="1" wp14:anchorId="6A737A1C" wp14:editId="042AF554">
                <wp:simplePos x="0" y="0"/>
                <wp:positionH relativeFrom="column">
                  <wp:posOffset>3809365</wp:posOffset>
                </wp:positionH>
                <wp:positionV relativeFrom="paragraph">
                  <wp:posOffset>504825</wp:posOffset>
                </wp:positionV>
                <wp:extent cx="1400175" cy="695325"/>
                <wp:effectExtent l="0" t="0" r="28575" b="28575"/>
                <wp:wrapNone/>
                <wp:docPr id="47" name="CuadroTexto 3"/>
                <wp:cNvGraphicFramePr/>
                <a:graphic xmlns:a="http://schemas.openxmlformats.org/drawingml/2006/main">
                  <a:graphicData uri="http://schemas.microsoft.com/office/word/2010/wordprocessingShape">
                    <wps:wsp>
                      <wps:cNvSpPr txBox="1"/>
                      <wps:spPr>
                        <a:xfrm>
                          <a:off x="0" y="0"/>
                          <a:ext cx="1400175" cy="695325"/>
                        </a:xfrm>
                        <a:prstGeom prst="rect">
                          <a:avLst/>
                        </a:prstGeom>
                        <a:no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rsidRPr="00293A7C" w:rsidR="0036528E" w:rsidP="00293A7C" w:rsidRDefault="0036528E" w14:paraId="74F2B445" w14:textId="31F276BB">
                            <w:pPr>
                              <w:pStyle w:val="NormalWeb"/>
                              <w:spacing w:before="0" w:beforeAutospacing="0" w:after="0" w:afterAutospacing="0"/>
                              <w:rPr>
                                <w:rFonts w:hAnsi="Calibri" w:asciiTheme="minorHAnsi" w:cstheme="minorBidi"/>
                                <w:bCs/>
                                <w:color w:val="000000" w:themeColor="dark1"/>
                                <w:sz w:val="20"/>
                              </w:rPr>
                            </w:pPr>
                            <w:r w:rsidRPr="00293A7C">
                              <w:rPr>
                                <w:rFonts w:hAnsi="Calibri" w:asciiTheme="minorHAnsi" w:cstheme="minorBidi"/>
                                <w:b/>
                                <w:bCs/>
                                <w:color w:val="000000" w:themeColor="dark1"/>
                                <w:sz w:val="20"/>
                              </w:rPr>
                              <w:t>HHI SF:</w:t>
                            </w:r>
                            <w:r>
                              <w:rPr>
                                <w:rFonts w:hAnsi="Calibri" w:asciiTheme="minorHAnsi" w:cstheme="minorBidi"/>
                                <w:bCs/>
                                <w:color w:val="000000" w:themeColor="dark1"/>
                                <w:sz w:val="20"/>
                              </w:rPr>
                              <w:t xml:space="preserve"> </w:t>
                            </w:r>
                            <w:r w:rsidRPr="00293A7C">
                              <w:rPr>
                                <w:rFonts w:hAnsi="Calibri" w:asciiTheme="minorHAnsi" w:cstheme="minorBidi"/>
                                <w:bCs/>
                                <w:color w:val="000000" w:themeColor="dark1"/>
                                <w:sz w:val="20"/>
                              </w:rPr>
                              <w:t>1,940</w:t>
                            </w:r>
                          </w:p>
                          <w:p w:rsidRPr="00293A7C" w:rsidR="0036528E" w:rsidP="00293A7C" w:rsidRDefault="0036528E" w14:paraId="57572CA9" w14:textId="69070081">
                            <w:pPr>
                              <w:pStyle w:val="NormalWeb"/>
                              <w:spacing w:before="0" w:beforeAutospacing="0" w:after="0" w:afterAutospacing="0"/>
                              <w:rPr>
                                <w:rFonts w:hAnsi="Calibri" w:asciiTheme="minorHAnsi" w:cstheme="minorBidi"/>
                                <w:bCs/>
                                <w:color w:val="000000" w:themeColor="dark1"/>
                                <w:sz w:val="20"/>
                              </w:rPr>
                            </w:pPr>
                            <w:r w:rsidRPr="00293A7C">
                              <w:rPr>
                                <w:rFonts w:hAnsi="Calibri" w:asciiTheme="minorHAnsi" w:cstheme="minorBidi"/>
                                <w:b/>
                                <w:bCs/>
                                <w:color w:val="000000" w:themeColor="dark1"/>
                                <w:sz w:val="20"/>
                              </w:rPr>
                              <w:t>HHI OPDF:</w:t>
                            </w:r>
                            <w:r w:rsidRPr="00293A7C">
                              <w:rPr>
                                <w:rFonts w:hAnsi="Calibri" w:asciiTheme="minorHAnsi" w:cstheme="minorBidi"/>
                                <w:bCs/>
                                <w:color w:val="000000" w:themeColor="dark1"/>
                                <w:sz w:val="20"/>
                              </w:rPr>
                              <w:t xml:space="preserve"> 2,140</w:t>
                            </w:r>
                          </w:p>
                          <w:p w:rsidRPr="00293A7C" w:rsidR="0036528E" w:rsidP="00293A7C" w:rsidRDefault="0036528E" w14:paraId="0B786ED8" w14:textId="6489D010">
                            <w:pPr>
                              <w:pStyle w:val="NormalWeb"/>
                              <w:spacing w:before="0" w:beforeAutospacing="0" w:after="0" w:afterAutospacing="0"/>
                              <w:rPr>
                                <w:rFonts w:hAnsi="Calibri" w:asciiTheme="minorHAnsi" w:cstheme="minorBidi"/>
                                <w:bCs/>
                                <w:color w:val="000000" w:themeColor="dark1"/>
                                <w:sz w:val="20"/>
                              </w:rPr>
                            </w:pPr>
                            <w:r w:rsidRPr="00293A7C">
                              <w:rPr>
                                <w:rFonts w:hAnsi="Calibri" w:asciiTheme="minorHAnsi" w:cstheme="minorBidi"/>
                                <w:b/>
                                <w:bCs/>
                                <w:color w:val="000000" w:themeColor="dark1"/>
                                <w:sz w:val="20"/>
                              </w:rPr>
                              <w:t>HHI SF + OPDF:</w:t>
                            </w:r>
                            <w:r w:rsidRPr="00293A7C">
                              <w:rPr>
                                <w:rFonts w:hAnsi="Calibri" w:asciiTheme="minorHAnsi" w:cstheme="minorBidi"/>
                                <w:bCs/>
                                <w:color w:val="000000" w:themeColor="dark1"/>
                                <w:sz w:val="20"/>
                              </w:rPr>
                              <w:t xml:space="preserve"> 1,269</w:t>
                            </w:r>
                          </w:p>
                          <w:p w:rsidRPr="00293A7C" w:rsidR="0036528E" w:rsidP="00293A7C" w:rsidRDefault="0036528E" w14:paraId="4CAB3692" w14:textId="77777777">
                            <w:pPr>
                              <w:pStyle w:val="NormalWeb"/>
                              <w:spacing w:before="0" w:beforeAutospacing="0" w:after="0" w:afterAutospacing="0"/>
                              <w:rPr>
                                <w:rFonts w:hAnsi="Calibri" w:asciiTheme="minorHAnsi" w:cstheme="minorBidi"/>
                                <w:bCs/>
                                <w:color w:val="000000" w:themeColor="dark1"/>
                                <w:sz w:val="20"/>
                              </w:rPr>
                            </w:pPr>
                          </w:p>
                          <w:p w:rsidRPr="00293A7C" w:rsidR="0036528E" w:rsidP="00293A7C" w:rsidRDefault="0036528E" w14:paraId="12412A78" w14:textId="77777777">
                            <w:pPr>
                              <w:pStyle w:val="NormalWeb"/>
                              <w:spacing w:before="0" w:beforeAutospacing="0" w:after="0" w:afterAutospacing="0"/>
                              <w:rPr>
                                <w:sz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299.95pt;margin-top:39.75pt;width:110.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" w14:anchorId="6A737A1C">
                <v:textbox>
                  <w:txbxContent>
                    <w:p w:rsidRPr="00293A7C" w:rsidR="0036528E" w:rsidP="00293A7C" w:rsidRDefault="0036528E" w14:paraId="74F2B445" w14:textId="31F276BB">
                      <w:pPr>
                        <w:pStyle w:val="NormalWeb"/>
                        <w:spacing w:before="0" w:beforeAutospacing="0" w:after="0" w:afterAutospacing="0"/>
                        <w:rPr>
                          <w:rFonts w:hAnsi="Calibri" w:asciiTheme="minorHAnsi" w:cstheme="minorBidi"/>
                          <w:bCs/>
                          <w:color w:val="000000" w:themeColor="dark1"/>
                          <w:sz w:val="20"/>
                        </w:rPr>
                      </w:pPr>
                      <w:r w:rsidRPr="00293A7C">
                        <w:rPr>
                          <w:rFonts w:hAnsi="Calibri" w:asciiTheme="minorHAnsi" w:cstheme="minorBidi"/>
                          <w:b/>
                          <w:bCs/>
                          <w:color w:val="000000" w:themeColor="dark1"/>
                          <w:sz w:val="20"/>
                        </w:rPr>
                        <w:t>HHI SF:</w:t>
                      </w:r>
                      <w:r>
                        <w:rPr>
                          <w:rFonts w:hAnsi="Calibri" w:asciiTheme="minorHAnsi" w:cstheme="minorBidi"/>
                          <w:bCs/>
                          <w:color w:val="000000" w:themeColor="dark1"/>
                          <w:sz w:val="20"/>
                        </w:rPr>
                        <w:t xml:space="preserve"> </w:t>
                      </w:r>
                      <w:r w:rsidRPr="00293A7C">
                        <w:rPr>
                          <w:rFonts w:hAnsi="Calibri" w:asciiTheme="minorHAnsi" w:cstheme="minorBidi"/>
                          <w:bCs/>
                          <w:color w:val="000000" w:themeColor="dark1"/>
                          <w:sz w:val="20"/>
                        </w:rPr>
                        <w:t>1,940</w:t>
                      </w:r>
                    </w:p>
                    <w:p w:rsidRPr="00293A7C" w:rsidR="0036528E" w:rsidP="00293A7C" w:rsidRDefault="0036528E" w14:paraId="57572CA9" w14:textId="69070081">
                      <w:pPr>
                        <w:pStyle w:val="NormalWeb"/>
                        <w:spacing w:before="0" w:beforeAutospacing="0" w:after="0" w:afterAutospacing="0"/>
                        <w:rPr>
                          <w:rFonts w:hAnsi="Calibri" w:asciiTheme="minorHAnsi" w:cstheme="minorBidi"/>
                          <w:bCs/>
                          <w:color w:val="000000" w:themeColor="dark1"/>
                          <w:sz w:val="20"/>
                        </w:rPr>
                      </w:pPr>
                      <w:r w:rsidRPr="00293A7C">
                        <w:rPr>
                          <w:rFonts w:hAnsi="Calibri" w:asciiTheme="minorHAnsi" w:cstheme="minorBidi"/>
                          <w:b/>
                          <w:bCs/>
                          <w:color w:val="000000" w:themeColor="dark1"/>
                          <w:sz w:val="20"/>
                        </w:rPr>
                        <w:t>HHI OPDF:</w:t>
                      </w:r>
                      <w:r w:rsidRPr="00293A7C">
                        <w:rPr>
                          <w:rFonts w:hAnsi="Calibri" w:asciiTheme="minorHAnsi" w:cstheme="minorBidi"/>
                          <w:bCs/>
                          <w:color w:val="000000" w:themeColor="dark1"/>
                          <w:sz w:val="20"/>
                        </w:rPr>
                        <w:t xml:space="preserve"> 2,140</w:t>
                      </w:r>
                    </w:p>
                    <w:p w:rsidRPr="00293A7C" w:rsidR="0036528E" w:rsidP="00293A7C" w:rsidRDefault="0036528E" w14:paraId="0B786ED8" w14:textId="6489D010">
                      <w:pPr>
                        <w:pStyle w:val="NormalWeb"/>
                        <w:spacing w:before="0" w:beforeAutospacing="0" w:after="0" w:afterAutospacing="0"/>
                        <w:rPr>
                          <w:rFonts w:hAnsi="Calibri" w:asciiTheme="minorHAnsi" w:cstheme="minorBidi"/>
                          <w:bCs/>
                          <w:color w:val="000000" w:themeColor="dark1"/>
                          <w:sz w:val="20"/>
                        </w:rPr>
                      </w:pPr>
                      <w:r w:rsidRPr="00293A7C">
                        <w:rPr>
                          <w:rFonts w:hAnsi="Calibri" w:asciiTheme="minorHAnsi" w:cstheme="minorBidi"/>
                          <w:b/>
                          <w:bCs/>
                          <w:color w:val="000000" w:themeColor="dark1"/>
                          <w:sz w:val="20"/>
                        </w:rPr>
                        <w:t>HHI SF + OPDF:</w:t>
                      </w:r>
                      <w:r w:rsidRPr="00293A7C">
                        <w:rPr>
                          <w:rFonts w:hAnsi="Calibri" w:asciiTheme="minorHAnsi" w:cstheme="minorBidi"/>
                          <w:bCs/>
                          <w:color w:val="000000" w:themeColor="dark1"/>
                          <w:sz w:val="20"/>
                        </w:rPr>
                        <w:t xml:space="preserve"> 1,269</w:t>
                      </w:r>
                    </w:p>
                    <w:p w:rsidRPr="00293A7C" w:rsidR="0036528E" w:rsidP="00293A7C" w:rsidRDefault="0036528E" w14:paraId="4CAB3692" w14:textId="77777777">
                      <w:pPr>
                        <w:pStyle w:val="NormalWeb"/>
                        <w:spacing w:before="0" w:beforeAutospacing="0" w:after="0" w:afterAutospacing="0"/>
                        <w:rPr>
                          <w:rFonts w:hAnsi="Calibri" w:asciiTheme="minorHAnsi" w:cstheme="minorBidi"/>
                          <w:bCs/>
                          <w:color w:val="000000" w:themeColor="dark1"/>
                          <w:sz w:val="20"/>
                        </w:rPr>
                      </w:pPr>
                    </w:p>
                    <w:p w:rsidRPr="00293A7C" w:rsidR="0036528E" w:rsidP="00293A7C" w:rsidRDefault="0036528E" w14:paraId="12412A78" w14:textId="77777777">
                      <w:pPr>
                        <w:pStyle w:val="NormalWeb"/>
                        <w:spacing w:before="0" w:beforeAutospacing="0" w:after="0" w:afterAutospacing="0"/>
                        <w:rPr>
                          <w:sz w:val="20"/>
                        </w:rPr>
                      </w:pPr>
                    </w:p>
                  </w:txbxContent>
                </v:textbox>
              </v:shape>
            </w:pict>
          </mc:Fallback>
        </mc:AlternateContent>
      </w:r>
      <w:r w:rsidRPr="002F341C" w:rsidR="00333787">
        <w:rPr>
          <w:rFonts w:ascii="Arial" w:hAnsi="Arial" w:cs="Arial"/>
          <w:sz w:val="22"/>
          <w:szCs w:val="22"/>
          <w:lang w:eastAsia="es-MX"/>
        </w:rPr>
        <w:drawing>
          <wp:inline distT="0" distB="0" distL="0" distR="0" wp14:anchorId="79679E40" wp14:editId="0F29CB49">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34"/>
    </w:p>
    <w:p w:rsidRPr="002F341C" w:rsidR="00414683" w:rsidP="00414683" w:rsidRDefault="00414683" w14:paraId="415A9FA9" w14:textId="2F11C6A2">
      <w:pPr>
        <w:pStyle w:val="Paragraph"/>
        <w:numPr>
          <w:ilvl w:val="0"/>
          <w:numId w:val="0"/>
        </w:numPr>
        <w:ind w:left="720"/>
        <w:jc w:val="left"/>
        <w:rPr>
          <w:rFonts w:ascii="Arial" w:hAnsi="Arial" w:cs="Arial"/>
          <w:sz w:val="18"/>
          <w:szCs w:val="18"/>
        </w:rPr>
      </w:pPr>
      <w:bookmarkStart w:name="_Toc17804046" w:id="35"/>
      <w:r w:rsidRPr="002F341C">
        <w:rPr>
          <w:rFonts w:ascii="Arial" w:hAnsi="Arial" w:cs="Arial"/>
          <w:sz w:val="18"/>
          <w:szCs w:val="18"/>
        </w:rPr>
        <w:t>Fuente:</w:t>
      </w:r>
      <w:r w:rsidRPr="002F341C" w:rsidR="00E1515C">
        <w:rPr>
          <w:rFonts w:ascii="Arial" w:hAnsi="Arial" w:cs="Arial"/>
          <w:sz w:val="18"/>
          <w:szCs w:val="18"/>
        </w:rPr>
        <w:t xml:space="preserve"> Elaboración propia con datos de CNBS</w:t>
      </w:r>
      <w:bookmarkEnd w:id="35"/>
    </w:p>
    <w:p w:rsidRPr="002F341C" w:rsidR="0024134E" w:rsidP="005E7BFE" w:rsidRDefault="0024134E" w14:paraId="38CE7B35" w14:textId="1D366DE3">
      <w:pPr>
        <w:pStyle w:val="Paragraph"/>
        <w:numPr>
          <w:ilvl w:val="0"/>
          <w:numId w:val="11"/>
        </w:numPr>
        <w:ind w:hanging="720"/>
        <w:rPr>
          <w:rFonts w:ascii="Arial" w:hAnsi="Arial" w:cs="Arial"/>
          <w:b/>
          <w:sz w:val="22"/>
          <w:szCs w:val="22"/>
        </w:rPr>
      </w:pPr>
      <w:bookmarkStart w:name="_Toc17804047" w:id="36"/>
      <w:r w:rsidRPr="002F341C">
        <w:rPr>
          <w:rFonts w:ascii="Arial" w:hAnsi="Arial" w:cs="Arial"/>
          <w:b/>
          <w:sz w:val="22"/>
          <w:szCs w:val="22"/>
        </w:rPr>
        <w:t>Cartera de crédito por distribución geográfica</w:t>
      </w:r>
      <w:bookmarkEnd w:id="36"/>
    </w:p>
    <w:p w:rsidRPr="002F341C" w:rsidR="00B606E6" w:rsidP="00773735" w:rsidRDefault="009C53CC" w14:paraId="335469BF" w14:textId="77777777">
      <w:pPr>
        <w:pStyle w:val="Paragraph"/>
        <w:ind w:left="720" w:hanging="720"/>
        <w:rPr>
          <w:rFonts w:ascii="Arial" w:hAnsi="Arial" w:cs="Arial"/>
          <w:sz w:val="22"/>
          <w:szCs w:val="22"/>
        </w:rPr>
      </w:pPr>
      <w:bookmarkStart w:name="_Toc17804048" w:id="37"/>
      <w:r w:rsidRPr="002F341C">
        <w:rPr>
          <w:rFonts w:ascii="Arial" w:hAnsi="Arial" w:cs="Arial"/>
          <w:sz w:val="22"/>
          <w:szCs w:val="22"/>
        </w:rPr>
        <w:t>L</w:t>
      </w:r>
      <w:r w:rsidRPr="002F341C" w:rsidR="00773735">
        <w:rPr>
          <w:rFonts w:ascii="Arial" w:hAnsi="Arial" w:cs="Arial"/>
          <w:sz w:val="22"/>
          <w:szCs w:val="22"/>
        </w:rPr>
        <w:t>a distribución de la cartera de crédito,</w:t>
      </w:r>
      <w:r w:rsidRPr="002F341C">
        <w:rPr>
          <w:rFonts w:ascii="Arial" w:hAnsi="Arial" w:cs="Arial"/>
          <w:sz w:val="22"/>
          <w:szCs w:val="22"/>
        </w:rPr>
        <w:t xml:space="preserve"> a nivel de departamento,</w:t>
      </w:r>
      <w:r w:rsidRPr="002F341C" w:rsidR="00773735">
        <w:rPr>
          <w:rFonts w:ascii="Arial" w:hAnsi="Arial" w:cs="Arial"/>
          <w:sz w:val="22"/>
          <w:szCs w:val="22"/>
        </w:rPr>
        <w:t xml:space="preserve"> mu</w:t>
      </w:r>
      <w:r w:rsidRPr="002F341C">
        <w:rPr>
          <w:rFonts w:ascii="Arial" w:hAnsi="Arial" w:cs="Arial"/>
          <w:sz w:val="22"/>
          <w:szCs w:val="22"/>
        </w:rPr>
        <w:t xml:space="preserve">estra una alta concentración en </w:t>
      </w:r>
      <w:r w:rsidRPr="002F341C" w:rsidR="00773735">
        <w:rPr>
          <w:rFonts w:ascii="Arial" w:hAnsi="Arial" w:cs="Arial"/>
          <w:sz w:val="22"/>
          <w:szCs w:val="22"/>
        </w:rPr>
        <w:t xml:space="preserve">dos </w:t>
      </w:r>
      <w:r w:rsidRPr="002F341C" w:rsidR="0044157D">
        <w:rPr>
          <w:rFonts w:ascii="Arial" w:hAnsi="Arial" w:cs="Arial"/>
          <w:sz w:val="22"/>
          <w:szCs w:val="22"/>
        </w:rPr>
        <w:t>cen</w:t>
      </w:r>
      <w:r w:rsidRPr="002F341C" w:rsidR="00773735">
        <w:rPr>
          <w:rFonts w:ascii="Arial" w:hAnsi="Arial" w:cs="Arial"/>
          <w:sz w:val="22"/>
          <w:szCs w:val="22"/>
        </w:rPr>
        <w:t xml:space="preserve">tros poblacionales </w:t>
      </w:r>
      <w:r w:rsidRPr="002F341C">
        <w:rPr>
          <w:rFonts w:ascii="Arial" w:hAnsi="Arial" w:cs="Arial"/>
          <w:sz w:val="22"/>
          <w:szCs w:val="22"/>
        </w:rPr>
        <w:t>del país (Francisco Morazán y Corté</w:t>
      </w:r>
      <w:r w:rsidRPr="002F341C" w:rsidR="00773735">
        <w:rPr>
          <w:rFonts w:ascii="Arial" w:hAnsi="Arial" w:cs="Arial"/>
          <w:sz w:val="22"/>
          <w:szCs w:val="22"/>
        </w:rPr>
        <w:t>s)</w:t>
      </w:r>
      <w:r w:rsidRPr="002F341C" w:rsidR="0044157D">
        <w:rPr>
          <w:rFonts w:ascii="Arial" w:hAnsi="Arial" w:cs="Arial"/>
          <w:sz w:val="22"/>
          <w:szCs w:val="22"/>
        </w:rPr>
        <w:t>, lo cual puede ser el resultado de los niveles de concentración del ingreso presente en el país</w:t>
      </w:r>
      <w:r w:rsidRPr="002F341C" w:rsidR="0044157D">
        <w:rPr>
          <w:rStyle w:val="FootnoteReference"/>
          <w:rFonts w:ascii="Arial" w:hAnsi="Arial" w:cs="Arial"/>
          <w:sz w:val="22"/>
          <w:szCs w:val="22"/>
        </w:rPr>
        <w:footnoteReference w:id="13"/>
      </w:r>
      <w:r w:rsidRPr="002F341C" w:rsidR="0044157D">
        <w:rPr>
          <w:rFonts w:ascii="Arial" w:hAnsi="Arial" w:cs="Arial"/>
          <w:sz w:val="22"/>
          <w:szCs w:val="22"/>
        </w:rPr>
        <w:t>.</w:t>
      </w:r>
      <w:bookmarkEnd w:id="37"/>
      <w:r w:rsidRPr="002F341C" w:rsidR="0044157D">
        <w:rPr>
          <w:rFonts w:ascii="Arial" w:hAnsi="Arial" w:cs="Arial"/>
          <w:sz w:val="22"/>
          <w:szCs w:val="22"/>
        </w:rPr>
        <w:t xml:space="preserve"> </w:t>
      </w:r>
    </w:p>
    <w:p w:rsidRPr="002F341C" w:rsidR="00B606E6" w:rsidP="00B606E6" w:rsidRDefault="00B606E6" w14:paraId="2E3055A0" w14:textId="0F519DF7">
      <w:pPr>
        <w:pStyle w:val="Paragraph"/>
        <w:numPr>
          <w:ilvl w:val="0"/>
          <w:numId w:val="0"/>
        </w:numPr>
        <w:ind w:left="720"/>
        <w:jc w:val="center"/>
        <w:rPr>
          <w:rFonts w:ascii="Arial" w:hAnsi="Arial" w:cs="Arial"/>
          <w:sz w:val="22"/>
          <w:szCs w:val="22"/>
        </w:rPr>
      </w:pPr>
      <w:bookmarkStart w:name="_Toc17804049" w:id="38"/>
      <w:r w:rsidRPr="002F341C">
        <w:rPr>
          <w:rFonts w:ascii="Arial" w:hAnsi="Arial" w:cs="Arial"/>
          <w:sz w:val="22"/>
          <w:szCs w:val="22"/>
          <w:lang w:eastAsia="es-MX"/>
        </w:rPr>
        <w:drawing>
          <wp:inline distT="0" distB="0" distL="0" distR="0" wp14:anchorId="4925C11B" wp14:editId="57025684">
            <wp:extent cx="4603750" cy="2640012"/>
            <wp:effectExtent l="0" t="0" r="6350" b="825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38"/>
    </w:p>
    <w:p w:rsidRPr="002F341C" w:rsidR="002F2DE4" w:rsidP="002F2DE4" w:rsidRDefault="002F2DE4" w14:paraId="03454DE7" w14:textId="6835C2D8">
      <w:pPr>
        <w:pStyle w:val="Paragraph"/>
        <w:numPr>
          <w:ilvl w:val="0"/>
          <w:numId w:val="0"/>
        </w:numPr>
        <w:ind w:left="720"/>
        <w:jc w:val="left"/>
        <w:rPr>
          <w:rFonts w:ascii="Arial" w:hAnsi="Arial" w:cs="Arial"/>
          <w:sz w:val="18"/>
          <w:szCs w:val="18"/>
        </w:rPr>
      </w:pPr>
      <w:bookmarkStart w:name="_Toc17804050" w:id="39"/>
      <w:r w:rsidRPr="002F341C">
        <w:rPr>
          <w:rFonts w:ascii="Arial" w:hAnsi="Arial" w:cs="Arial"/>
          <w:sz w:val="18"/>
          <w:szCs w:val="18"/>
        </w:rPr>
        <w:t>Fuente:</w:t>
      </w:r>
      <w:r w:rsidRPr="002F341C" w:rsidR="00E1515C">
        <w:rPr>
          <w:rFonts w:ascii="Arial" w:hAnsi="Arial" w:cs="Arial"/>
          <w:sz w:val="18"/>
          <w:szCs w:val="18"/>
        </w:rPr>
        <w:t xml:space="preserve"> Elaboración propia con datos de CNBS</w:t>
      </w:r>
      <w:bookmarkEnd w:id="39"/>
    </w:p>
    <w:p w:rsidRPr="002F341C" w:rsidR="007333B8" w:rsidP="00773735" w:rsidRDefault="0044157D" w14:paraId="0945AE8F" w14:textId="149E2598">
      <w:pPr>
        <w:pStyle w:val="Paragraph"/>
        <w:ind w:left="720" w:hanging="720"/>
        <w:rPr>
          <w:rFonts w:ascii="Arial" w:hAnsi="Arial" w:cs="Arial"/>
          <w:sz w:val="22"/>
          <w:szCs w:val="22"/>
        </w:rPr>
      </w:pPr>
      <w:bookmarkStart w:name="_Toc17804051" w:id="40"/>
      <w:r w:rsidRPr="002F341C">
        <w:rPr>
          <w:rFonts w:ascii="Arial" w:hAnsi="Arial" w:cs="Arial"/>
          <w:sz w:val="22"/>
          <w:szCs w:val="22"/>
        </w:rPr>
        <w:t xml:space="preserve">En términos del crédito otorgado por habitante, se puede observar fuertes disparidades entre los diferentes departamentos; ya que mientras </w:t>
      </w:r>
      <w:r w:rsidRPr="002F341C" w:rsidR="00B606E6">
        <w:rPr>
          <w:rFonts w:ascii="Arial" w:hAnsi="Arial" w:cs="Arial"/>
          <w:sz w:val="22"/>
          <w:szCs w:val="22"/>
        </w:rPr>
        <w:t xml:space="preserve">en tres </w:t>
      </w:r>
      <w:r w:rsidRPr="002F341C" w:rsidR="00B606E6">
        <w:rPr>
          <w:rFonts w:ascii="Arial" w:hAnsi="Arial" w:cs="Arial"/>
          <w:sz w:val="22"/>
          <w:szCs w:val="22"/>
        </w:rPr>
        <w:lastRenderedPageBreak/>
        <w:t xml:space="preserve">departamentos el crédito por habitante excede el PIB per </w:t>
      </w:r>
      <w:r w:rsidRPr="002F341C" w:rsidR="00CF6E5B">
        <w:rPr>
          <w:rFonts w:ascii="Arial" w:hAnsi="Arial" w:cs="Arial"/>
          <w:sz w:val="22"/>
          <w:szCs w:val="22"/>
        </w:rPr>
        <w:t>cápita</w:t>
      </w:r>
      <w:r w:rsidRPr="002F341C" w:rsidR="0017745F">
        <w:rPr>
          <w:rStyle w:val="FootnoteReference"/>
          <w:rFonts w:ascii="Arial" w:hAnsi="Arial" w:cs="Arial"/>
          <w:sz w:val="22"/>
          <w:szCs w:val="22"/>
        </w:rPr>
        <w:footnoteReference w:id="14"/>
      </w:r>
      <w:r w:rsidRPr="002F341C" w:rsidR="00B606E6">
        <w:rPr>
          <w:rFonts w:ascii="Arial" w:hAnsi="Arial" w:cs="Arial"/>
          <w:sz w:val="22"/>
          <w:szCs w:val="22"/>
        </w:rPr>
        <w:t xml:space="preserve"> (Francisco Morazán, Cort</w:t>
      </w:r>
      <w:r w:rsidRPr="002F341C" w:rsidR="00953400">
        <w:rPr>
          <w:rFonts w:ascii="Arial" w:hAnsi="Arial" w:cs="Arial"/>
          <w:sz w:val="22"/>
          <w:szCs w:val="22"/>
        </w:rPr>
        <w:t>és e Intibucá</w:t>
      </w:r>
      <w:r w:rsidRPr="002F341C" w:rsidR="00B606E6">
        <w:rPr>
          <w:rFonts w:ascii="Arial" w:hAnsi="Arial" w:cs="Arial"/>
          <w:sz w:val="22"/>
          <w:szCs w:val="22"/>
        </w:rPr>
        <w:t xml:space="preserve">), existen 12 departamentos en donde el crédito por habitante es menor al 10% del PIB per </w:t>
      </w:r>
      <w:r w:rsidRPr="002F341C" w:rsidR="00CF6E5B">
        <w:rPr>
          <w:rFonts w:ascii="Arial" w:hAnsi="Arial" w:cs="Arial"/>
          <w:sz w:val="22"/>
          <w:szCs w:val="22"/>
        </w:rPr>
        <w:t>cápita</w:t>
      </w:r>
      <w:r w:rsidRPr="002F341C" w:rsidR="00B606E6">
        <w:rPr>
          <w:rFonts w:ascii="Arial" w:hAnsi="Arial" w:cs="Arial"/>
          <w:sz w:val="22"/>
          <w:szCs w:val="22"/>
        </w:rPr>
        <w:t xml:space="preserve"> del país; inclusive en el departamento de Gracias a Dios no existen créditos reportados por el sistema financiero</w:t>
      </w:r>
      <w:r w:rsidRPr="002F341C" w:rsidR="00953400">
        <w:rPr>
          <w:rStyle w:val="FootnoteReference"/>
          <w:rFonts w:ascii="Arial" w:hAnsi="Arial" w:cs="Arial"/>
          <w:sz w:val="22"/>
          <w:szCs w:val="22"/>
        </w:rPr>
        <w:footnoteReference w:id="15"/>
      </w:r>
      <w:r w:rsidRPr="002F341C" w:rsidR="00B606E6">
        <w:rPr>
          <w:rFonts w:ascii="Arial" w:hAnsi="Arial" w:cs="Arial"/>
          <w:sz w:val="22"/>
          <w:szCs w:val="22"/>
        </w:rPr>
        <w:t>.</w:t>
      </w:r>
      <w:bookmarkEnd w:id="40"/>
    </w:p>
    <w:p w:rsidRPr="002F341C" w:rsidR="00B606E6" w:rsidP="00B606E6" w:rsidRDefault="0017745F" w14:paraId="0749F71E" w14:textId="3BAB4C3A">
      <w:pPr>
        <w:pStyle w:val="Paragraph"/>
        <w:numPr>
          <w:ilvl w:val="0"/>
          <w:numId w:val="0"/>
        </w:numPr>
        <w:ind w:left="720"/>
        <w:rPr>
          <w:rFonts w:ascii="Arial" w:hAnsi="Arial" w:cs="Arial"/>
          <w:sz w:val="22"/>
          <w:szCs w:val="22"/>
        </w:rPr>
      </w:pPr>
      <w:bookmarkStart w:name="_Toc17804052" w:id="41"/>
      <w:r w:rsidRPr="002F341C">
        <w:rPr>
          <w:rFonts w:ascii="Arial" w:hAnsi="Arial" w:cs="Arial"/>
          <w:sz w:val="22"/>
          <w:szCs w:val="22"/>
          <w:lang w:eastAsia="es-MX"/>
        </w:rPr>
        <w:drawing>
          <wp:inline distT="0" distB="0" distL="0" distR="0" wp14:anchorId="35981899" wp14:editId="03B5D163">
            <wp:extent cx="4572000" cy="2743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41"/>
    </w:p>
    <w:p w:rsidRPr="002F341C" w:rsidR="002F2DE4" w:rsidP="002F2DE4" w:rsidRDefault="002F2DE4" w14:paraId="374C66FA" w14:textId="486C0758">
      <w:pPr>
        <w:pStyle w:val="Paragraph"/>
        <w:numPr>
          <w:ilvl w:val="0"/>
          <w:numId w:val="0"/>
        </w:numPr>
        <w:ind w:left="720"/>
        <w:jc w:val="left"/>
        <w:rPr>
          <w:rFonts w:ascii="Arial" w:hAnsi="Arial" w:cs="Arial"/>
          <w:sz w:val="18"/>
          <w:szCs w:val="18"/>
        </w:rPr>
      </w:pPr>
      <w:bookmarkStart w:name="_Toc17804053" w:id="42"/>
      <w:r w:rsidRPr="002F341C">
        <w:rPr>
          <w:rFonts w:ascii="Arial" w:hAnsi="Arial" w:cs="Arial"/>
          <w:sz w:val="18"/>
          <w:szCs w:val="18"/>
        </w:rPr>
        <w:t>Fuente:</w:t>
      </w:r>
      <w:r w:rsidRPr="002F341C" w:rsidR="00E1515C">
        <w:rPr>
          <w:rFonts w:ascii="Arial" w:hAnsi="Arial" w:cs="Arial"/>
          <w:sz w:val="18"/>
          <w:szCs w:val="18"/>
        </w:rPr>
        <w:t xml:space="preserve"> Elaboración propia con datos de CNBS</w:t>
      </w:r>
      <w:bookmarkEnd w:id="42"/>
    </w:p>
    <w:p w:rsidRPr="002F341C" w:rsidR="00E937FA" w:rsidP="00773735" w:rsidRDefault="002972EF" w14:paraId="2F6E1A69" w14:textId="0620B8D7">
      <w:pPr>
        <w:pStyle w:val="Paragraph"/>
        <w:ind w:left="720" w:hanging="720"/>
        <w:rPr>
          <w:rFonts w:ascii="Arial" w:hAnsi="Arial" w:cs="Arial"/>
          <w:sz w:val="22"/>
          <w:szCs w:val="22"/>
        </w:rPr>
      </w:pPr>
      <w:bookmarkStart w:name="_Toc17804054" w:id="43"/>
      <w:r w:rsidRPr="002F341C">
        <w:rPr>
          <w:rFonts w:ascii="Arial" w:hAnsi="Arial" w:cs="Arial"/>
          <w:sz w:val="22"/>
          <w:szCs w:val="22"/>
        </w:rPr>
        <w:t xml:space="preserve">El comportamiento antes señalado, podría obedecer a las estructuras económicas de los mismos departamentos; </w:t>
      </w:r>
      <w:r w:rsidRPr="002F341C" w:rsidR="00A508D7">
        <w:rPr>
          <w:rFonts w:ascii="Arial" w:hAnsi="Arial" w:cs="Arial"/>
          <w:sz w:val="22"/>
          <w:szCs w:val="22"/>
        </w:rPr>
        <w:t>ya que,</w:t>
      </w:r>
      <w:r w:rsidRPr="002F341C">
        <w:rPr>
          <w:rFonts w:ascii="Arial" w:hAnsi="Arial" w:cs="Arial"/>
          <w:sz w:val="22"/>
          <w:szCs w:val="22"/>
        </w:rPr>
        <w:t xml:space="preserve"> exceptuando Intibucá, todos los departamentos con un índice de crédito a habitante menor a </w:t>
      </w:r>
      <w:r w:rsidRPr="002F341C" w:rsidR="007102F5">
        <w:rPr>
          <w:rFonts w:ascii="Arial" w:hAnsi="Arial" w:cs="Arial"/>
          <w:sz w:val="22"/>
          <w:szCs w:val="22"/>
        </w:rPr>
        <w:t>US$</w:t>
      </w:r>
      <w:r w:rsidRPr="002F341C">
        <w:rPr>
          <w:rFonts w:ascii="Arial" w:hAnsi="Arial" w:cs="Arial"/>
          <w:sz w:val="22"/>
          <w:szCs w:val="22"/>
        </w:rPr>
        <w:t>1</w:t>
      </w:r>
      <w:r w:rsidRPr="002F341C" w:rsidR="007102F5">
        <w:rPr>
          <w:rFonts w:ascii="Arial" w:hAnsi="Arial" w:cs="Arial"/>
          <w:sz w:val="22"/>
          <w:szCs w:val="22"/>
        </w:rPr>
        <w:t>.</w:t>
      </w:r>
      <w:r w:rsidRPr="002F341C">
        <w:rPr>
          <w:rFonts w:ascii="Arial" w:hAnsi="Arial" w:cs="Arial"/>
          <w:sz w:val="22"/>
          <w:szCs w:val="22"/>
        </w:rPr>
        <w:t>000 se caracterizan por poseer una población mayoritariamente rural; es decir, que presumiblemente son departamentos donde la principal actividad económica es agropecuaria</w:t>
      </w:r>
      <w:r w:rsidRPr="002F341C" w:rsidR="0090183F">
        <w:rPr>
          <w:rFonts w:ascii="Arial" w:hAnsi="Arial" w:cs="Arial"/>
          <w:sz w:val="22"/>
          <w:szCs w:val="22"/>
        </w:rPr>
        <w:t>.</w:t>
      </w:r>
      <w:bookmarkEnd w:id="43"/>
    </w:p>
    <w:p w:rsidRPr="002F341C" w:rsidR="00E937FA" w:rsidP="00E937FA" w:rsidRDefault="00E937FA" w14:paraId="1DA2BCA7" w14:textId="6D2F2451">
      <w:pPr>
        <w:pStyle w:val="Paragraph"/>
        <w:numPr>
          <w:ilvl w:val="0"/>
          <w:numId w:val="0"/>
        </w:numPr>
        <w:ind w:left="720"/>
        <w:jc w:val="center"/>
        <w:rPr>
          <w:rFonts w:ascii="Arial" w:hAnsi="Arial" w:cs="Arial"/>
          <w:sz w:val="22"/>
          <w:szCs w:val="22"/>
        </w:rPr>
      </w:pPr>
      <w:bookmarkStart w:name="_Toc17804055" w:id="44"/>
      <w:r w:rsidRPr="002F341C">
        <w:rPr>
          <w:rFonts w:ascii="Arial" w:hAnsi="Arial" w:cs="Arial"/>
          <w:sz w:val="22"/>
          <w:szCs w:val="22"/>
          <w:lang w:eastAsia="es-MX"/>
        </w:rPr>
        <w:lastRenderedPageBreak/>
        <w:drawing>
          <wp:inline distT="0" distB="0" distL="0" distR="0" wp14:anchorId="44912AF7" wp14:editId="2CA0F716">
            <wp:extent cx="4587875" cy="2817283"/>
            <wp:effectExtent l="0" t="0" r="3175" b="254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44"/>
    </w:p>
    <w:p w:rsidRPr="002F341C" w:rsidR="002F2DE4" w:rsidP="002F2DE4" w:rsidRDefault="002F2DE4" w14:paraId="11B14935" w14:textId="29DF24C2">
      <w:pPr>
        <w:pStyle w:val="Paragraph"/>
        <w:numPr>
          <w:ilvl w:val="0"/>
          <w:numId w:val="0"/>
        </w:numPr>
        <w:ind w:left="720"/>
        <w:jc w:val="left"/>
        <w:rPr>
          <w:rFonts w:ascii="Arial" w:hAnsi="Arial" w:cs="Arial"/>
          <w:sz w:val="18"/>
          <w:szCs w:val="18"/>
        </w:rPr>
      </w:pPr>
      <w:bookmarkStart w:name="_Toc17804056" w:id="45"/>
      <w:r w:rsidRPr="002F341C">
        <w:rPr>
          <w:rFonts w:ascii="Arial" w:hAnsi="Arial" w:cs="Arial"/>
          <w:sz w:val="18"/>
          <w:szCs w:val="18"/>
        </w:rPr>
        <w:t>Fuente:</w:t>
      </w:r>
      <w:r w:rsidRPr="002F341C" w:rsidR="00E1515C">
        <w:rPr>
          <w:rFonts w:ascii="Arial" w:hAnsi="Arial" w:cs="Arial"/>
          <w:sz w:val="18"/>
          <w:szCs w:val="18"/>
        </w:rPr>
        <w:t xml:space="preserve"> Elaboración propia con datos de CNBS</w:t>
      </w:r>
      <w:bookmarkEnd w:id="45"/>
    </w:p>
    <w:p w:rsidRPr="002F341C" w:rsidR="00787AD4" w:rsidP="002F2DE4" w:rsidRDefault="00787AD4" w14:paraId="58657E69" w14:textId="77777777">
      <w:pPr>
        <w:pStyle w:val="Paragraph"/>
        <w:numPr>
          <w:ilvl w:val="0"/>
          <w:numId w:val="0"/>
        </w:numPr>
        <w:ind w:left="720"/>
        <w:jc w:val="left"/>
        <w:rPr>
          <w:rFonts w:ascii="Arial" w:hAnsi="Arial" w:cs="Arial"/>
          <w:sz w:val="18"/>
          <w:szCs w:val="18"/>
        </w:rPr>
      </w:pPr>
    </w:p>
    <w:p w:rsidRPr="002F341C" w:rsidR="0019654C" w:rsidP="005E7BFE" w:rsidRDefault="0019654C" w14:paraId="5F90FA75" w14:textId="7000365C">
      <w:pPr>
        <w:pStyle w:val="Paragraph"/>
        <w:numPr>
          <w:ilvl w:val="0"/>
          <w:numId w:val="11"/>
        </w:numPr>
        <w:ind w:hanging="720"/>
        <w:rPr>
          <w:rFonts w:ascii="Arial" w:hAnsi="Arial" w:cs="Arial"/>
          <w:b/>
          <w:sz w:val="22"/>
          <w:szCs w:val="22"/>
        </w:rPr>
      </w:pPr>
      <w:bookmarkStart w:name="_Toc17804057" w:id="46"/>
      <w:r w:rsidRPr="002F341C">
        <w:rPr>
          <w:rFonts w:ascii="Arial" w:hAnsi="Arial" w:cs="Arial"/>
          <w:b/>
          <w:sz w:val="22"/>
          <w:szCs w:val="22"/>
        </w:rPr>
        <w:t>Cartera de crédito por actividad económica</w:t>
      </w:r>
      <w:bookmarkEnd w:id="46"/>
    </w:p>
    <w:p w:rsidRPr="002F341C" w:rsidR="006572CF" w:rsidP="00D11A14" w:rsidRDefault="006572CF" w14:paraId="6F05D86A" w14:textId="7B5FA03A">
      <w:pPr>
        <w:pStyle w:val="Paragraph"/>
        <w:ind w:left="720" w:hanging="720"/>
        <w:rPr>
          <w:rFonts w:ascii="Arial" w:hAnsi="Arial" w:cs="Arial"/>
          <w:sz w:val="22"/>
          <w:szCs w:val="22"/>
        </w:rPr>
      </w:pPr>
      <w:bookmarkStart w:name="_Toc17804058" w:id="47"/>
      <w:r w:rsidRPr="002F341C">
        <w:rPr>
          <w:rFonts w:ascii="Arial" w:hAnsi="Arial" w:cs="Arial"/>
          <w:sz w:val="22"/>
          <w:szCs w:val="22"/>
        </w:rPr>
        <w:t>A junio de 2019, el s</w:t>
      </w:r>
      <w:r w:rsidRPr="002F341C" w:rsidR="0063188D">
        <w:rPr>
          <w:rFonts w:ascii="Arial" w:hAnsi="Arial" w:cs="Arial"/>
          <w:sz w:val="22"/>
          <w:szCs w:val="22"/>
        </w:rPr>
        <w:t>i</w:t>
      </w:r>
      <w:r w:rsidRPr="002F341C">
        <w:rPr>
          <w:rFonts w:ascii="Arial" w:hAnsi="Arial" w:cs="Arial"/>
          <w:sz w:val="22"/>
          <w:szCs w:val="22"/>
        </w:rPr>
        <w:t>stema financiero concentr</w:t>
      </w:r>
      <w:r w:rsidRPr="002F341C" w:rsidR="00C50664">
        <w:rPr>
          <w:rFonts w:ascii="Arial" w:hAnsi="Arial" w:cs="Arial"/>
          <w:sz w:val="22"/>
          <w:szCs w:val="22"/>
        </w:rPr>
        <w:t>ó</w:t>
      </w:r>
      <w:r w:rsidRPr="002F341C">
        <w:rPr>
          <w:rFonts w:ascii="Arial" w:hAnsi="Arial" w:cs="Arial"/>
          <w:sz w:val="22"/>
          <w:szCs w:val="22"/>
        </w:rPr>
        <w:t xml:space="preserve"> </w:t>
      </w:r>
      <w:r w:rsidRPr="002F341C" w:rsidR="0063188D">
        <w:rPr>
          <w:rFonts w:ascii="Arial" w:hAnsi="Arial" w:cs="Arial"/>
          <w:sz w:val="22"/>
          <w:szCs w:val="22"/>
        </w:rPr>
        <w:t>el 8</w:t>
      </w:r>
      <w:r w:rsidRPr="002F341C">
        <w:rPr>
          <w:rFonts w:ascii="Arial" w:hAnsi="Arial" w:cs="Arial"/>
          <w:sz w:val="22"/>
          <w:szCs w:val="22"/>
        </w:rPr>
        <w:t>3.1</w:t>
      </w:r>
      <w:r w:rsidRPr="002F341C" w:rsidR="0063188D">
        <w:rPr>
          <w:rFonts w:ascii="Arial" w:hAnsi="Arial" w:cs="Arial"/>
          <w:sz w:val="22"/>
          <w:szCs w:val="22"/>
        </w:rPr>
        <w:t xml:space="preserve">% </w:t>
      </w:r>
      <w:r w:rsidRPr="002F341C">
        <w:rPr>
          <w:rFonts w:ascii="Arial" w:hAnsi="Arial" w:cs="Arial"/>
          <w:sz w:val="22"/>
          <w:szCs w:val="22"/>
        </w:rPr>
        <w:t xml:space="preserve">de su cartera </w:t>
      </w:r>
      <w:r w:rsidRPr="002F341C" w:rsidR="00C50664">
        <w:rPr>
          <w:rFonts w:ascii="Arial" w:hAnsi="Arial" w:cs="Arial"/>
          <w:sz w:val="22"/>
          <w:szCs w:val="22"/>
        </w:rPr>
        <w:t>e</w:t>
      </w:r>
      <w:r w:rsidRPr="002F341C">
        <w:rPr>
          <w:rFonts w:ascii="Arial" w:hAnsi="Arial" w:cs="Arial"/>
          <w:sz w:val="22"/>
          <w:szCs w:val="22"/>
        </w:rPr>
        <w:t xml:space="preserve">n </w:t>
      </w:r>
      <w:r w:rsidRPr="002F341C" w:rsidR="0063188D">
        <w:rPr>
          <w:rFonts w:ascii="Arial" w:hAnsi="Arial" w:cs="Arial"/>
          <w:sz w:val="22"/>
          <w:szCs w:val="22"/>
        </w:rPr>
        <w:t xml:space="preserve">cinco actividades económicas: Financiamiento para </w:t>
      </w:r>
      <w:r w:rsidRPr="002F341C">
        <w:rPr>
          <w:rFonts w:ascii="Arial" w:hAnsi="Arial" w:cs="Arial"/>
          <w:sz w:val="22"/>
          <w:szCs w:val="22"/>
        </w:rPr>
        <w:t xml:space="preserve">la </w:t>
      </w:r>
      <w:r w:rsidRPr="002F341C" w:rsidR="0063188D">
        <w:rPr>
          <w:rFonts w:ascii="Arial" w:hAnsi="Arial" w:cs="Arial"/>
          <w:sz w:val="22"/>
          <w:szCs w:val="22"/>
        </w:rPr>
        <w:t xml:space="preserve">adquisición de activos </w:t>
      </w:r>
      <w:r w:rsidRPr="002F341C">
        <w:rPr>
          <w:rFonts w:ascii="Arial" w:hAnsi="Arial" w:cs="Arial"/>
          <w:sz w:val="22"/>
          <w:szCs w:val="22"/>
        </w:rPr>
        <w:t xml:space="preserve">fijos </w:t>
      </w:r>
      <w:r w:rsidRPr="002F341C" w:rsidR="0063188D">
        <w:rPr>
          <w:rFonts w:ascii="Arial" w:hAnsi="Arial" w:cs="Arial"/>
          <w:sz w:val="22"/>
          <w:szCs w:val="22"/>
        </w:rPr>
        <w:t>(</w:t>
      </w:r>
      <w:r w:rsidRPr="002F341C">
        <w:rPr>
          <w:rFonts w:ascii="Arial" w:hAnsi="Arial" w:cs="Arial"/>
          <w:sz w:val="22"/>
          <w:szCs w:val="22"/>
        </w:rPr>
        <w:t>22.7</w:t>
      </w:r>
      <w:r w:rsidRPr="002F341C" w:rsidR="0063188D">
        <w:rPr>
          <w:rFonts w:ascii="Arial" w:hAnsi="Arial" w:cs="Arial"/>
          <w:sz w:val="22"/>
          <w:szCs w:val="22"/>
        </w:rPr>
        <w:t>%), consumo (</w:t>
      </w:r>
      <w:r w:rsidRPr="002F341C">
        <w:rPr>
          <w:rFonts w:ascii="Arial" w:hAnsi="Arial" w:cs="Arial"/>
          <w:sz w:val="22"/>
          <w:szCs w:val="22"/>
        </w:rPr>
        <w:t>21.3</w:t>
      </w:r>
      <w:r w:rsidRPr="002F341C" w:rsidR="0063188D">
        <w:rPr>
          <w:rFonts w:ascii="Arial" w:hAnsi="Arial" w:cs="Arial"/>
          <w:sz w:val="22"/>
          <w:szCs w:val="22"/>
        </w:rPr>
        <w:t>%), comercio (</w:t>
      </w:r>
      <w:r w:rsidRPr="002F341C">
        <w:rPr>
          <w:rFonts w:ascii="Arial" w:hAnsi="Arial" w:cs="Arial"/>
          <w:sz w:val="22"/>
          <w:szCs w:val="22"/>
        </w:rPr>
        <w:t>15.0</w:t>
      </w:r>
      <w:r w:rsidRPr="002F341C" w:rsidR="0063188D">
        <w:rPr>
          <w:rFonts w:ascii="Arial" w:hAnsi="Arial" w:cs="Arial"/>
          <w:sz w:val="22"/>
          <w:szCs w:val="22"/>
        </w:rPr>
        <w:t xml:space="preserve">%), </w:t>
      </w:r>
      <w:r w:rsidRPr="002F341C">
        <w:rPr>
          <w:rFonts w:ascii="Arial" w:hAnsi="Arial" w:cs="Arial"/>
          <w:sz w:val="22"/>
          <w:szCs w:val="22"/>
        </w:rPr>
        <w:t>servicios (13.6%) e industria (10.5%).</w:t>
      </w:r>
      <w:r w:rsidRPr="002F341C" w:rsidR="0063188D">
        <w:rPr>
          <w:rFonts w:ascii="Arial" w:hAnsi="Arial" w:cs="Arial"/>
          <w:sz w:val="22"/>
          <w:szCs w:val="22"/>
        </w:rPr>
        <w:t xml:space="preserve"> El resto de </w:t>
      </w:r>
      <w:r w:rsidRPr="002F341C" w:rsidR="00A508D7">
        <w:rPr>
          <w:rFonts w:ascii="Arial" w:hAnsi="Arial" w:cs="Arial"/>
          <w:sz w:val="22"/>
          <w:szCs w:val="22"/>
        </w:rPr>
        <w:t>las actividades</w:t>
      </w:r>
      <w:r w:rsidRPr="002F341C" w:rsidR="0063188D">
        <w:rPr>
          <w:rFonts w:ascii="Arial" w:hAnsi="Arial" w:cs="Arial"/>
          <w:sz w:val="22"/>
          <w:szCs w:val="22"/>
        </w:rPr>
        <w:t>, exceptuando el sector primario</w:t>
      </w:r>
      <w:r w:rsidRPr="002F341C" w:rsidR="0063188D">
        <w:rPr>
          <w:rStyle w:val="FootnoteReference"/>
          <w:rFonts w:ascii="Arial" w:hAnsi="Arial" w:cs="Arial"/>
          <w:sz w:val="22"/>
          <w:szCs w:val="22"/>
        </w:rPr>
        <w:footnoteReference w:id="16"/>
      </w:r>
      <w:r w:rsidRPr="002F341C" w:rsidR="0063188D">
        <w:rPr>
          <w:rFonts w:ascii="Arial" w:hAnsi="Arial" w:cs="Arial"/>
          <w:sz w:val="22"/>
          <w:szCs w:val="22"/>
        </w:rPr>
        <w:t>, mantienen una participación menor al 5.0%</w:t>
      </w:r>
      <w:r w:rsidRPr="002F341C">
        <w:rPr>
          <w:rFonts w:ascii="Arial" w:hAnsi="Arial" w:cs="Arial"/>
          <w:sz w:val="22"/>
          <w:szCs w:val="22"/>
        </w:rPr>
        <w:t>.</w:t>
      </w:r>
      <w:bookmarkEnd w:id="47"/>
    </w:p>
    <w:p w:rsidRPr="002F341C" w:rsidR="00E95517" w:rsidP="00E95517" w:rsidRDefault="00E95517" w14:paraId="7CFF8BF0" w14:textId="0DFF6273">
      <w:pPr>
        <w:pStyle w:val="Paragraph"/>
        <w:numPr>
          <w:ilvl w:val="0"/>
          <w:numId w:val="0"/>
        </w:numPr>
        <w:ind w:left="720"/>
        <w:jc w:val="center"/>
        <w:rPr>
          <w:rFonts w:ascii="Arial" w:hAnsi="Arial" w:cs="Arial"/>
          <w:sz w:val="22"/>
          <w:szCs w:val="22"/>
        </w:rPr>
      </w:pPr>
      <w:bookmarkStart w:name="_Toc17804059" w:id="48"/>
      <w:r w:rsidRPr="002F341C">
        <w:rPr>
          <w:rFonts w:ascii="Arial" w:hAnsi="Arial" w:cs="Arial"/>
          <w:sz w:val="22"/>
          <w:szCs w:val="22"/>
          <w:lang w:eastAsia="es-MX"/>
        </w:rPr>
        <w:drawing>
          <wp:inline distT="0" distB="0" distL="0" distR="0" wp14:anchorId="3719BE36" wp14:editId="5EED9427">
            <wp:extent cx="4572000" cy="27432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48"/>
    </w:p>
    <w:p w:rsidRPr="002F341C" w:rsidR="002F2DE4" w:rsidP="002F2DE4" w:rsidRDefault="002F2DE4" w14:paraId="49409F80" w14:textId="0EA8A4F6">
      <w:pPr>
        <w:pStyle w:val="Paragraph"/>
        <w:numPr>
          <w:ilvl w:val="0"/>
          <w:numId w:val="0"/>
        </w:numPr>
        <w:ind w:left="720"/>
        <w:jc w:val="left"/>
        <w:rPr>
          <w:rFonts w:ascii="Arial" w:hAnsi="Arial" w:cs="Arial"/>
          <w:sz w:val="18"/>
          <w:szCs w:val="18"/>
        </w:rPr>
      </w:pPr>
      <w:bookmarkStart w:name="_Toc17804060" w:id="49"/>
      <w:r w:rsidRPr="002F341C">
        <w:rPr>
          <w:rFonts w:ascii="Arial" w:hAnsi="Arial" w:cs="Arial"/>
          <w:sz w:val="18"/>
          <w:szCs w:val="18"/>
        </w:rPr>
        <w:t>Fuente:</w:t>
      </w:r>
      <w:r w:rsidRPr="002F341C" w:rsidR="00787AD4">
        <w:rPr>
          <w:rFonts w:ascii="Arial" w:hAnsi="Arial" w:cs="Arial"/>
          <w:sz w:val="18"/>
          <w:szCs w:val="18"/>
        </w:rPr>
        <w:t xml:space="preserve"> Elaboración propia con datos de CNBS</w:t>
      </w:r>
      <w:bookmarkEnd w:id="49"/>
    </w:p>
    <w:p w:rsidRPr="002F341C" w:rsidR="00787AD4" w:rsidP="002F2DE4" w:rsidRDefault="00787AD4" w14:paraId="76CD3852" w14:textId="77777777">
      <w:pPr>
        <w:pStyle w:val="Paragraph"/>
        <w:numPr>
          <w:ilvl w:val="0"/>
          <w:numId w:val="0"/>
        </w:numPr>
        <w:ind w:left="720"/>
        <w:jc w:val="left"/>
        <w:rPr>
          <w:rFonts w:ascii="Arial" w:hAnsi="Arial" w:cs="Arial"/>
          <w:sz w:val="18"/>
          <w:szCs w:val="18"/>
        </w:rPr>
      </w:pPr>
    </w:p>
    <w:p w:rsidRPr="002F341C" w:rsidR="00CA074D" w:rsidP="00666ED7" w:rsidRDefault="00666ED7" w14:paraId="0852F71A" w14:textId="01C6985B">
      <w:pPr>
        <w:pStyle w:val="Paragraph"/>
        <w:ind w:left="720" w:hanging="720"/>
        <w:rPr>
          <w:rFonts w:ascii="Arial" w:hAnsi="Arial" w:cs="Arial"/>
          <w:sz w:val="22"/>
          <w:szCs w:val="22"/>
        </w:rPr>
      </w:pPr>
      <w:bookmarkStart w:name="_Toc17804061" w:id="50"/>
      <w:r w:rsidRPr="002F341C">
        <w:rPr>
          <w:rFonts w:ascii="Arial" w:hAnsi="Arial" w:cs="Arial"/>
          <w:sz w:val="22"/>
          <w:szCs w:val="22"/>
        </w:rPr>
        <w:lastRenderedPageBreak/>
        <w:t xml:space="preserve">Esta estructura del portafolio del sistema </w:t>
      </w:r>
      <w:r w:rsidRPr="002F341C" w:rsidR="00A508D7">
        <w:rPr>
          <w:rFonts w:ascii="Arial" w:hAnsi="Arial" w:cs="Arial"/>
          <w:sz w:val="22"/>
          <w:szCs w:val="22"/>
        </w:rPr>
        <w:t>financiero</w:t>
      </w:r>
      <w:r w:rsidRPr="002F341C">
        <w:rPr>
          <w:rFonts w:ascii="Arial" w:hAnsi="Arial" w:cs="Arial"/>
          <w:sz w:val="22"/>
          <w:szCs w:val="22"/>
        </w:rPr>
        <w:t xml:space="preserve"> se ha mantenido en los últimos; aunque si existe una recomposición entre las mismas actividades. En particular, el crédito hipotecario ha disminuido su participación en un 11.1%</w:t>
      </w:r>
      <w:r w:rsidRPr="002F341C" w:rsidR="00290473">
        <w:rPr>
          <w:rFonts w:ascii="Arial" w:hAnsi="Arial" w:cs="Arial"/>
          <w:sz w:val="22"/>
          <w:szCs w:val="22"/>
        </w:rPr>
        <w:t xml:space="preserve">; </w:t>
      </w:r>
      <w:r w:rsidRPr="002F341C">
        <w:rPr>
          <w:rFonts w:ascii="Arial" w:hAnsi="Arial" w:cs="Arial"/>
          <w:sz w:val="22"/>
          <w:szCs w:val="22"/>
        </w:rPr>
        <w:t>así como la industria (</w:t>
      </w:r>
      <w:r w:rsidRPr="002F341C" w:rsidR="00CA074D">
        <w:rPr>
          <w:rFonts w:ascii="Arial" w:hAnsi="Arial" w:cs="Arial"/>
          <w:sz w:val="22"/>
          <w:szCs w:val="22"/>
        </w:rPr>
        <w:t>-2.9%), exportación de bie</w:t>
      </w:r>
      <w:r w:rsidRPr="002F341C" w:rsidR="00290473">
        <w:rPr>
          <w:rFonts w:ascii="Arial" w:hAnsi="Arial" w:cs="Arial"/>
          <w:sz w:val="22"/>
          <w:szCs w:val="22"/>
        </w:rPr>
        <w:t>nes (-0.8%) y ganadería (-0.3%). Por el contrario, el financiami</w:t>
      </w:r>
      <w:r w:rsidRPr="002F341C" w:rsidR="002A3F0C">
        <w:rPr>
          <w:rFonts w:ascii="Arial" w:hAnsi="Arial" w:cs="Arial"/>
          <w:sz w:val="22"/>
          <w:szCs w:val="22"/>
        </w:rPr>
        <w:t xml:space="preserve">ento al </w:t>
      </w:r>
      <w:r w:rsidRPr="002F341C" w:rsidR="00CA074D">
        <w:rPr>
          <w:rFonts w:ascii="Arial" w:hAnsi="Arial" w:cs="Arial"/>
          <w:sz w:val="22"/>
          <w:szCs w:val="22"/>
        </w:rPr>
        <w:t>consumo</w:t>
      </w:r>
      <w:r w:rsidRPr="002F341C" w:rsidR="002A3F0C">
        <w:rPr>
          <w:rFonts w:ascii="Arial" w:hAnsi="Arial" w:cs="Arial"/>
          <w:sz w:val="22"/>
          <w:szCs w:val="22"/>
        </w:rPr>
        <w:t xml:space="preserve"> (4.5%), servicio (2.8%), agricultura (2.4%) y comercio (2.0%) se han incrementado</w:t>
      </w:r>
      <w:r w:rsidRPr="002F341C" w:rsidR="00B55096">
        <w:rPr>
          <w:rStyle w:val="FootnoteReference"/>
          <w:rFonts w:ascii="Arial" w:hAnsi="Arial" w:cs="Arial"/>
          <w:sz w:val="22"/>
          <w:szCs w:val="22"/>
        </w:rPr>
        <w:footnoteReference w:id="17"/>
      </w:r>
      <w:r w:rsidRPr="002F341C" w:rsidR="00CA074D">
        <w:rPr>
          <w:rFonts w:ascii="Arial" w:hAnsi="Arial" w:cs="Arial"/>
          <w:sz w:val="22"/>
          <w:szCs w:val="22"/>
        </w:rPr>
        <w:t>.</w:t>
      </w:r>
      <w:bookmarkEnd w:id="50"/>
    </w:p>
    <w:p w:rsidRPr="002F341C" w:rsidR="008C5AA5" w:rsidP="008C5AA5" w:rsidRDefault="008C5AA5" w14:paraId="2981CBDB" w14:textId="5C4B9335">
      <w:pPr>
        <w:pStyle w:val="Paragraph"/>
        <w:numPr>
          <w:ilvl w:val="0"/>
          <w:numId w:val="0"/>
        </w:numPr>
        <w:ind w:left="720"/>
        <w:jc w:val="center"/>
        <w:rPr>
          <w:rFonts w:ascii="Arial" w:hAnsi="Arial" w:cs="Arial"/>
          <w:sz w:val="22"/>
          <w:szCs w:val="22"/>
        </w:rPr>
      </w:pPr>
      <w:bookmarkStart w:name="_Toc17804062" w:id="51"/>
      <w:r w:rsidRPr="002F341C">
        <w:rPr>
          <w:rFonts w:ascii="Arial" w:hAnsi="Arial" w:cs="Arial"/>
          <w:sz w:val="22"/>
          <w:szCs w:val="22"/>
          <w:lang w:eastAsia="es-MX"/>
        </w:rPr>
        <w:drawing>
          <wp:inline distT="0" distB="0" distL="0" distR="0" wp14:anchorId="5A5B511D" wp14:editId="580FBFE5">
            <wp:extent cx="4541075" cy="27432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51"/>
    </w:p>
    <w:p w:rsidRPr="002F341C" w:rsidR="002F2DE4" w:rsidP="002F2DE4" w:rsidRDefault="002F2DE4" w14:paraId="54D49E05" w14:textId="1FBF2208">
      <w:pPr>
        <w:pStyle w:val="Paragraph"/>
        <w:numPr>
          <w:ilvl w:val="0"/>
          <w:numId w:val="0"/>
        </w:numPr>
        <w:ind w:left="720"/>
        <w:jc w:val="left"/>
        <w:rPr>
          <w:rFonts w:ascii="Arial" w:hAnsi="Arial" w:cs="Arial"/>
          <w:sz w:val="18"/>
          <w:szCs w:val="18"/>
        </w:rPr>
      </w:pPr>
      <w:bookmarkStart w:name="_Toc17804063" w:id="52"/>
      <w:r w:rsidRPr="002F341C">
        <w:rPr>
          <w:rFonts w:ascii="Arial" w:hAnsi="Arial" w:cs="Arial"/>
          <w:sz w:val="18"/>
          <w:szCs w:val="18"/>
        </w:rPr>
        <w:t>Fuente:</w:t>
      </w:r>
      <w:r w:rsidRPr="002F341C" w:rsidR="00787AD4">
        <w:rPr>
          <w:rFonts w:ascii="Arial" w:hAnsi="Arial" w:cs="Arial"/>
          <w:sz w:val="18"/>
          <w:szCs w:val="18"/>
        </w:rPr>
        <w:t xml:space="preserve"> Elaboración propia con datos de la CNBS</w:t>
      </w:r>
      <w:bookmarkEnd w:id="52"/>
    </w:p>
    <w:p w:rsidRPr="002F341C" w:rsidR="00787AD4" w:rsidP="002F2DE4" w:rsidRDefault="00787AD4" w14:paraId="1B6228AC" w14:textId="77777777">
      <w:pPr>
        <w:pStyle w:val="Paragraph"/>
        <w:numPr>
          <w:ilvl w:val="0"/>
          <w:numId w:val="0"/>
        </w:numPr>
        <w:ind w:left="720"/>
        <w:jc w:val="left"/>
        <w:rPr>
          <w:rFonts w:ascii="Arial" w:hAnsi="Arial" w:cs="Arial"/>
          <w:sz w:val="18"/>
          <w:szCs w:val="18"/>
        </w:rPr>
      </w:pPr>
    </w:p>
    <w:p w:rsidRPr="002F341C" w:rsidR="00E357F7" w:rsidP="00D11A14" w:rsidRDefault="00E357F7" w14:paraId="5548568F" w14:textId="61387147">
      <w:pPr>
        <w:pStyle w:val="Paragraph"/>
        <w:ind w:left="720" w:hanging="720"/>
        <w:rPr>
          <w:rFonts w:ascii="Arial" w:hAnsi="Arial" w:cs="Arial"/>
          <w:sz w:val="22"/>
          <w:szCs w:val="22"/>
        </w:rPr>
      </w:pPr>
      <w:bookmarkStart w:name="_Toc17804064" w:id="53"/>
      <w:r w:rsidRPr="002F341C">
        <w:rPr>
          <w:rFonts w:ascii="Arial" w:hAnsi="Arial" w:cs="Arial"/>
          <w:sz w:val="22"/>
          <w:szCs w:val="22"/>
        </w:rPr>
        <w:t>La dinámica del crédito, en los últimos años, parece ser el reflejo de diversos factores tales que han incentivado dicha recomposición. Por ejemplo, el sector agrícola</w:t>
      </w:r>
      <w:r w:rsidRPr="002F341C" w:rsidR="0078700F">
        <w:rPr>
          <w:rFonts w:ascii="Arial" w:hAnsi="Arial" w:cs="Arial"/>
          <w:sz w:val="22"/>
          <w:szCs w:val="22"/>
        </w:rPr>
        <w:t xml:space="preserve"> ha sido en los últimos años el sector más dinámico de la economía al expandirse a una tasa de crecimiento real del 5.1%; no obstante, es un sector con mucha mayor volatilidad que el gasto de consumo y del sector de comercial y servicios; lo que podría explicar el porqué de la colocación de fondos hacia estos sectores económicos.</w:t>
      </w:r>
      <w:bookmarkEnd w:id="53"/>
    </w:p>
    <w:p w:rsidRPr="002F341C" w:rsidR="0078700F" w:rsidP="00D11A14" w:rsidRDefault="0078700F" w14:paraId="4D5E9545" w14:textId="7414685B">
      <w:pPr>
        <w:pStyle w:val="Paragraph"/>
        <w:ind w:left="720" w:hanging="720"/>
        <w:rPr>
          <w:rFonts w:ascii="Arial" w:hAnsi="Arial" w:cs="Arial"/>
          <w:sz w:val="22"/>
          <w:szCs w:val="22"/>
        </w:rPr>
      </w:pPr>
      <w:bookmarkStart w:name="_Toc17804065" w:id="54"/>
      <w:r w:rsidRPr="002F341C">
        <w:rPr>
          <w:rFonts w:ascii="Arial" w:hAnsi="Arial" w:cs="Arial"/>
          <w:sz w:val="22"/>
          <w:szCs w:val="22"/>
        </w:rPr>
        <w:t>Por otra parte, como se mencionó previamente, la alta concentración del fondeo</w:t>
      </w:r>
      <w:r w:rsidRPr="002F341C" w:rsidR="002E6CE9">
        <w:rPr>
          <w:rFonts w:ascii="Arial" w:hAnsi="Arial" w:cs="Arial"/>
          <w:sz w:val="22"/>
          <w:szCs w:val="22"/>
        </w:rPr>
        <w:t xml:space="preserve"> -</w:t>
      </w:r>
      <w:r w:rsidRPr="002F341C">
        <w:rPr>
          <w:rFonts w:ascii="Arial" w:hAnsi="Arial" w:cs="Arial"/>
          <w:sz w:val="22"/>
          <w:szCs w:val="22"/>
        </w:rPr>
        <w:t>en pasivo</w:t>
      </w:r>
      <w:r w:rsidRPr="002F341C" w:rsidR="002E6CE9">
        <w:rPr>
          <w:rFonts w:ascii="Arial" w:hAnsi="Arial" w:cs="Arial"/>
          <w:sz w:val="22"/>
          <w:szCs w:val="22"/>
        </w:rPr>
        <w:t>s de muy corto plazo-, así como una posible política crediticia más conservadora; puede ser las razones que han motivado al sector financiero a limitar el otorgamiento para el sector hipotecario.</w:t>
      </w:r>
      <w:bookmarkEnd w:id="54"/>
    </w:p>
    <w:p w:rsidRPr="002F341C" w:rsidR="00302051" w:rsidP="00302051" w:rsidRDefault="00302051" w14:paraId="7305D5E1" w14:textId="51EFC373">
      <w:pPr>
        <w:pStyle w:val="Paragraph"/>
        <w:numPr>
          <w:ilvl w:val="0"/>
          <w:numId w:val="0"/>
        </w:numPr>
        <w:ind w:left="720"/>
        <w:jc w:val="center"/>
        <w:rPr>
          <w:rFonts w:ascii="Arial" w:hAnsi="Arial" w:cs="Arial"/>
          <w:sz w:val="22"/>
          <w:szCs w:val="22"/>
        </w:rPr>
      </w:pPr>
      <w:bookmarkStart w:name="_Toc17804066" w:id="55"/>
      <w:r w:rsidRPr="002F341C">
        <w:rPr>
          <w:rFonts w:ascii="Arial" w:hAnsi="Arial" w:cs="Arial"/>
          <w:sz w:val="22"/>
          <w:szCs w:val="22"/>
          <w:lang w:eastAsia="es-MX"/>
        </w:rPr>
        <w:lastRenderedPageBreak/>
        <w:drawing>
          <wp:inline distT="0" distB="0" distL="0" distR="0" wp14:anchorId="7361677D" wp14:editId="56274201">
            <wp:extent cx="4572000" cy="2719387"/>
            <wp:effectExtent l="0" t="0" r="0" b="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55"/>
    </w:p>
    <w:p w:rsidRPr="002F341C" w:rsidR="002F2DE4" w:rsidP="002F2DE4" w:rsidRDefault="002F2DE4" w14:paraId="41EB751F" w14:textId="090257D0">
      <w:pPr>
        <w:pStyle w:val="Paragraph"/>
        <w:numPr>
          <w:ilvl w:val="0"/>
          <w:numId w:val="0"/>
        </w:numPr>
        <w:ind w:left="720"/>
        <w:jc w:val="left"/>
        <w:rPr>
          <w:rFonts w:ascii="Arial" w:hAnsi="Arial" w:cs="Arial"/>
          <w:sz w:val="18"/>
          <w:szCs w:val="18"/>
        </w:rPr>
      </w:pPr>
      <w:bookmarkStart w:name="_Toc17804067" w:id="56"/>
      <w:r w:rsidRPr="002F341C">
        <w:rPr>
          <w:rFonts w:ascii="Arial" w:hAnsi="Arial" w:cs="Arial"/>
          <w:sz w:val="18"/>
          <w:szCs w:val="18"/>
        </w:rPr>
        <w:t>Fuente:</w:t>
      </w:r>
      <w:r w:rsidRPr="002F341C" w:rsidR="00787AD4">
        <w:rPr>
          <w:rFonts w:ascii="Arial" w:hAnsi="Arial" w:cs="Arial"/>
          <w:sz w:val="18"/>
          <w:szCs w:val="18"/>
        </w:rPr>
        <w:t xml:space="preserve"> Elaboración propia con datos del BCH</w:t>
      </w:r>
      <w:bookmarkEnd w:id="56"/>
    </w:p>
    <w:p w:rsidRPr="002F341C" w:rsidR="00787AD4" w:rsidP="002F2DE4" w:rsidRDefault="00787AD4" w14:paraId="39EF89EC" w14:textId="77777777">
      <w:pPr>
        <w:pStyle w:val="Paragraph"/>
        <w:numPr>
          <w:ilvl w:val="0"/>
          <w:numId w:val="0"/>
        </w:numPr>
        <w:ind w:left="720"/>
        <w:jc w:val="left"/>
        <w:rPr>
          <w:rFonts w:ascii="Arial" w:hAnsi="Arial" w:cs="Arial"/>
          <w:sz w:val="18"/>
          <w:szCs w:val="18"/>
        </w:rPr>
      </w:pPr>
    </w:p>
    <w:p w:rsidRPr="002F341C" w:rsidR="0078700F" w:rsidP="00302051" w:rsidRDefault="0078700F" w14:paraId="799270C7" w14:textId="68241EFD">
      <w:pPr>
        <w:pStyle w:val="Paragraph"/>
        <w:numPr>
          <w:ilvl w:val="0"/>
          <w:numId w:val="0"/>
        </w:numPr>
        <w:ind w:left="720"/>
        <w:jc w:val="center"/>
        <w:rPr>
          <w:rFonts w:ascii="Arial" w:hAnsi="Arial" w:cs="Arial"/>
          <w:sz w:val="22"/>
          <w:szCs w:val="22"/>
        </w:rPr>
      </w:pPr>
      <w:bookmarkStart w:name="_Toc17804068" w:id="57"/>
      <w:r w:rsidRPr="002F341C">
        <w:rPr>
          <w:rFonts w:ascii="Arial" w:hAnsi="Arial" w:cs="Arial"/>
          <w:sz w:val="22"/>
          <w:szCs w:val="22"/>
          <w:lang w:eastAsia="es-MX"/>
        </w:rPr>
        <w:drawing>
          <wp:inline distT="0" distB="0" distL="0" distR="0" wp14:anchorId="4CC5CB51" wp14:editId="13BC71F0">
            <wp:extent cx="4572000" cy="2743200"/>
            <wp:effectExtent l="0" t="0" r="0" b="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57"/>
    </w:p>
    <w:p w:rsidRPr="002F341C" w:rsidR="002F2DE4" w:rsidP="002F2DE4" w:rsidRDefault="002F2DE4" w14:paraId="0BB96ED9" w14:textId="4F2AB06D">
      <w:pPr>
        <w:pStyle w:val="Paragraph"/>
        <w:numPr>
          <w:ilvl w:val="0"/>
          <w:numId w:val="0"/>
        </w:numPr>
        <w:ind w:left="720"/>
        <w:jc w:val="left"/>
        <w:rPr>
          <w:rFonts w:ascii="Arial" w:hAnsi="Arial" w:cs="Arial"/>
          <w:sz w:val="18"/>
          <w:szCs w:val="18"/>
        </w:rPr>
      </w:pPr>
      <w:bookmarkStart w:name="_Toc17804069" w:id="58"/>
      <w:r w:rsidRPr="002F341C">
        <w:rPr>
          <w:rFonts w:ascii="Arial" w:hAnsi="Arial" w:cs="Arial"/>
          <w:sz w:val="18"/>
          <w:szCs w:val="18"/>
        </w:rPr>
        <w:t>Fuente:</w:t>
      </w:r>
      <w:r w:rsidRPr="002F341C" w:rsidR="00787AD4">
        <w:rPr>
          <w:rFonts w:ascii="Arial" w:hAnsi="Arial" w:cs="Arial"/>
          <w:sz w:val="18"/>
          <w:szCs w:val="18"/>
        </w:rPr>
        <w:t xml:space="preserve"> Elaboración propia con datos de BCH</w:t>
      </w:r>
      <w:bookmarkEnd w:id="58"/>
    </w:p>
    <w:p w:rsidRPr="002F341C" w:rsidR="00B005BB" w:rsidP="006A1820" w:rsidRDefault="00B005BB" w14:paraId="7245369C" w14:textId="1214F0A5">
      <w:pPr>
        <w:pStyle w:val="Chapter"/>
        <w:tabs>
          <w:tab w:val="clear" w:pos="648"/>
          <w:tab w:val="num" w:pos="720"/>
        </w:tabs>
        <w:ind w:left="720" w:hanging="630"/>
        <w:jc w:val="left"/>
        <w:rPr>
          <w:rFonts w:ascii="Arial" w:hAnsi="Arial" w:cs="Arial"/>
          <w:sz w:val="22"/>
          <w:szCs w:val="22"/>
        </w:rPr>
      </w:pPr>
      <w:r w:rsidRPr="002F341C">
        <w:rPr>
          <w:rFonts w:ascii="Arial" w:hAnsi="Arial" w:cs="Arial"/>
          <w:sz w:val="22"/>
          <w:szCs w:val="22"/>
        </w:rPr>
        <w:t xml:space="preserve">Crédito al sector agropecuario: </w:t>
      </w:r>
      <w:r w:rsidRPr="002F341C" w:rsidR="005101E6">
        <w:rPr>
          <w:rFonts w:ascii="Arial" w:hAnsi="Arial" w:cs="Arial"/>
          <w:sz w:val="22"/>
          <w:szCs w:val="22"/>
        </w:rPr>
        <w:t>E</w:t>
      </w:r>
      <w:r w:rsidRPr="002F341C">
        <w:rPr>
          <w:rFonts w:ascii="Arial" w:hAnsi="Arial" w:cs="Arial"/>
          <w:sz w:val="22"/>
          <w:szCs w:val="22"/>
        </w:rPr>
        <w:t>volución</w:t>
      </w:r>
      <w:r w:rsidRPr="002F341C" w:rsidR="00166E9A">
        <w:rPr>
          <w:rFonts w:ascii="Arial" w:hAnsi="Arial" w:cs="Arial"/>
          <w:sz w:val="22"/>
          <w:szCs w:val="22"/>
        </w:rPr>
        <w:t xml:space="preserve">, principales actividades </w:t>
      </w:r>
      <w:r w:rsidRPr="002F341C" w:rsidR="002F2DE4">
        <w:rPr>
          <w:rFonts w:ascii="Arial" w:hAnsi="Arial" w:cs="Arial"/>
          <w:sz w:val="22"/>
          <w:szCs w:val="22"/>
        </w:rPr>
        <w:t xml:space="preserve">  </w:t>
      </w:r>
      <w:r w:rsidRPr="002F341C" w:rsidR="00166E9A">
        <w:rPr>
          <w:rFonts w:ascii="Arial" w:hAnsi="Arial" w:cs="Arial"/>
          <w:sz w:val="22"/>
          <w:szCs w:val="22"/>
        </w:rPr>
        <w:t>financiadas y barreras al acceso al crédito</w:t>
      </w:r>
    </w:p>
    <w:p w:rsidRPr="002F341C" w:rsidR="00E67112" w:rsidP="005E7BFE" w:rsidRDefault="008C5AA5" w14:paraId="5521EBA8" w14:textId="5E709B48">
      <w:pPr>
        <w:pStyle w:val="Paragraph"/>
        <w:numPr>
          <w:ilvl w:val="0"/>
          <w:numId w:val="12"/>
        </w:numPr>
        <w:ind w:hanging="720"/>
        <w:rPr>
          <w:rFonts w:ascii="Arial" w:hAnsi="Arial" w:cs="Arial"/>
          <w:b/>
          <w:sz w:val="22"/>
          <w:szCs w:val="22"/>
        </w:rPr>
      </w:pPr>
      <w:bookmarkStart w:name="_Toc17804070" w:id="59"/>
      <w:r w:rsidRPr="002F341C">
        <w:rPr>
          <w:rFonts w:ascii="Arial" w:hAnsi="Arial" w:cs="Arial"/>
          <w:b/>
          <w:sz w:val="22"/>
          <w:szCs w:val="22"/>
        </w:rPr>
        <w:t>Evolución del crédito agropecuario</w:t>
      </w:r>
      <w:bookmarkEnd w:id="59"/>
    </w:p>
    <w:p w:rsidRPr="002F341C" w:rsidR="00CD3896" w:rsidP="00423D1D" w:rsidRDefault="008C5AA5" w14:paraId="187FAC41" w14:textId="65BCC75C">
      <w:pPr>
        <w:pStyle w:val="Paragraph"/>
        <w:ind w:left="720" w:hanging="720"/>
        <w:rPr>
          <w:rFonts w:ascii="Arial" w:hAnsi="Arial" w:cs="Arial"/>
          <w:b/>
          <w:sz w:val="22"/>
          <w:szCs w:val="22"/>
        </w:rPr>
      </w:pPr>
      <w:bookmarkStart w:name="_Toc17804071" w:id="60"/>
      <w:r w:rsidRPr="002F341C">
        <w:rPr>
          <w:rFonts w:ascii="Arial" w:hAnsi="Arial" w:cs="Arial"/>
          <w:sz w:val="22"/>
          <w:szCs w:val="22"/>
          <w:lang w:eastAsia="es-ES"/>
        </w:rPr>
        <w:t xml:space="preserve">El crédito al sector agropecuario, </w:t>
      </w:r>
      <w:r w:rsidRPr="002F341C" w:rsidR="00166E9A">
        <w:rPr>
          <w:rFonts w:ascii="Arial" w:hAnsi="Arial" w:cs="Arial"/>
          <w:sz w:val="22"/>
          <w:szCs w:val="22"/>
          <w:lang w:eastAsia="es-ES"/>
        </w:rPr>
        <w:t xml:space="preserve">tal como se ha analizado </w:t>
      </w:r>
      <w:r w:rsidRPr="002F341C">
        <w:rPr>
          <w:rFonts w:ascii="Arial" w:hAnsi="Arial" w:cs="Arial"/>
          <w:sz w:val="22"/>
          <w:szCs w:val="22"/>
          <w:lang w:eastAsia="es-ES"/>
        </w:rPr>
        <w:t xml:space="preserve">en sección previa, se </w:t>
      </w:r>
      <w:r w:rsidRPr="002F341C" w:rsidR="00C4163B">
        <w:rPr>
          <w:rFonts w:ascii="Arial" w:hAnsi="Arial" w:cs="Arial"/>
          <w:sz w:val="22"/>
          <w:szCs w:val="22"/>
          <w:lang w:eastAsia="es-ES"/>
        </w:rPr>
        <w:t xml:space="preserve">ha incrementado </w:t>
      </w:r>
      <w:r w:rsidRPr="002F341C" w:rsidR="00CD3896">
        <w:rPr>
          <w:rFonts w:ascii="Arial" w:hAnsi="Arial" w:cs="Arial"/>
          <w:sz w:val="22"/>
          <w:szCs w:val="22"/>
          <w:lang w:eastAsia="es-ES"/>
        </w:rPr>
        <w:t>a partir del 2014, impulsado por mayores colocaciones de crédito en los cultivos de caña de azúcar, café y otros cultivos (incluye palma africana). No obstante, a partir de 2018, se observa una desaceleración en el crédito hacia este sector producto de las menores colocaciones en el sector café.</w:t>
      </w:r>
      <w:bookmarkEnd w:id="60"/>
    </w:p>
    <w:p w:rsidRPr="002F341C" w:rsidR="003D24DE" w:rsidP="003D24DE" w:rsidRDefault="003D24DE" w14:paraId="492E1992" w14:textId="77777777">
      <w:pPr>
        <w:pStyle w:val="Paragraph"/>
        <w:numPr>
          <w:ilvl w:val="0"/>
          <w:numId w:val="0"/>
        </w:numPr>
        <w:ind w:left="720"/>
        <w:rPr>
          <w:rFonts w:ascii="Arial" w:hAnsi="Arial" w:cs="Arial"/>
          <w:b/>
          <w:sz w:val="22"/>
          <w:szCs w:val="22"/>
        </w:rPr>
      </w:pPr>
    </w:p>
    <w:p w:rsidRPr="002F341C" w:rsidR="00CD3896" w:rsidP="003D24DE" w:rsidRDefault="00CD3896" w14:paraId="643AAF46" w14:textId="297058AB">
      <w:pPr>
        <w:pStyle w:val="Paragraph"/>
        <w:numPr>
          <w:ilvl w:val="0"/>
          <w:numId w:val="0"/>
        </w:numPr>
        <w:ind w:left="720"/>
        <w:jc w:val="center"/>
        <w:rPr>
          <w:rFonts w:ascii="Arial" w:hAnsi="Arial" w:cs="Arial"/>
          <w:sz w:val="22"/>
          <w:szCs w:val="22"/>
          <w:lang w:eastAsia="es-MX"/>
        </w:rPr>
      </w:pPr>
      <w:bookmarkStart w:name="_Toc17804072" w:id="61"/>
      <w:r w:rsidRPr="002F341C">
        <w:rPr>
          <w:rFonts w:ascii="Arial" w:hAnsi="Arial" w:cs="Arial"/>
          <w:sz w:val="22"/>
          <w:szCs w:val="22"/>
          <w:lang w:eastAsia="es-MX"/>
        </w:rPr>
        <w:lastRenderedPageBreak/>
        <w:drawing>
          <wp:inline distT="0" distB="0" distL="0" distR="0" wp14:anchorId="72DAF43F" wp14:editId="0E035F37">
            <wp:extent cx="4572000" cy="27432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61"/>
    </w:p>
    <w:p w:rsidRPr="002F341C" w:rsidR="002F2DE4" w:rsidP="002F2DE4" w:rsidRDefault="002F2DE4" w14:paraId="3F8835B7" w14:textId="042FDDCF">
      <w:pPr>
        <w:pStyle w:val="Paragraph"/>
        <w:numPr>
          <w:ilvl w:val="0"/>
          <w:numId w:val="0"/>
        </w:numPr>
        <w:ind w:left="720"/>
        <w:jc w:val="left"/>
        <w:rPr>
          <w:rFonts w:ascii="Arial" w:hAnsi="Arial" w:cs="Arial"/>
          <w:sz w:val="18"/>
          <w:szCs w:val="18"/>
        </w:rPr>
      </w:pPr>
      <w:bookmarkStart w:name="_Toc17804073" w:id="62"/>
      <w:r w:rsidRPr="002F341C">
        <w:rPr>
          <w:rFonts w:ascii="Arial" w:hAnsi="Arial" w:cs="Arial"/>
          <w:sz w:val="18"/>
          <w:szCs w:val="18"/>
        </w:rPr>
        <w:t>Fuente:</w:t>
      </w:r>
      <w:r w:rsidRPr="002F341C" w:rsidR="00A52C01">
        <w:rPr>
          <w:rFonts w:ascii="Arial" w:hAnsi="Arial" w:cs="Arial"/>
          <w:sz w:val="18"/>
          <w:szCs w:val="18"/>
        </w:rPr>
        <w:t xml:space="preserve"> Elaboración propia con datos de la CNBS</w:t>
      </w:r>
      <w:bookmarkEnd w:id="62"/>
    </w:p>
    <w:p w:rsidRPr="002F341C" w:rsidR="003D24DE" w:rsidP="002F2DE4" w:rsidRDefault="003D24DE" w14:paraId="0897DE7E" w14:textId="77777777">
      <w:pPr>
        <w:pStyle w:val="Paragraph"/>
        <w:numPr>
          <w:ilvl w:val="0"/>
          <w:numId w:val="0"/>
        </w:numPr>
        <w:ind w:left="720"/>
        <w:jc w:val="left"/>
        <w:rPr>
          <w:rFonts w:ascii="Arial" w:hAnsi="Arial" w:cs="Arial"/>
          <w:sz w:val="18"/>
          <w:szCs w:val="18"/>
        </w:rPr>
      </w:pPr>
    </w:p>
    <w:p w:rsidRPr="002F341C" w:rsidR="003D24DE" w:rsidP="003D24DE" w:rsidRDefault="003D24DE" w14:paraId="5C1F70FB" w14:textId="445CCF8D">
      <w:pPr>
        <w:pStyle w:val="Paragraph"/>
        <w:ind w:left="720" w:hanging="720"/>
        <w:rPr>
          <w:rFonts w:ascii="Arial" w:hAnsi="Arial" w:cs="Arial"/>
          <w:sz w:val="22"/>
          <w:szCs w:val="22"/>
        </w:rPr>
      </w:pPr>
      <w:bookmarkStart w:name="_Toc17804074" w:id="63"/>
      <w:r w:rsidRPr="002F341C">
        <w:rPr>
          <w:rFonts w:ascii="Arial" w:hAnsi="Arial" w:cs="Arial"/>
          <w:sz w:val="22"/>
          <w:szCs w:val="22"/>
          <w:lang w:eastAsia="es-ES"/>
        </w:rPr>
        <w:t>Como observaremos en la siguiente gráfica, las</w:t>
      </w:r>
      <w:r w:rsidRPr="002F341C" w:rsidR="00EC1A34">
        <w:rPr>
          <w:rFonts w:ascii="Arial" w:hAnsi="Arial" w:cs="Arial"/>
          <w:sz w:val="22"/>
          <w:szCs w:val="22"/>
          <w:lang w:eastAsia="es-ES"/>
        </w:rPr>
        <w:t xml:space="preserve"> colocaciones de</w:t>
      </w:r>
      <w:r w:rsidRPr="002F341C">
        <w:rPr>
          <w:rFonts w:ascii="Arial" w:hAnsi="Arial" w:cs="Arial"/>
          <w:sz w:val="22"/>
          <w:szCs w:val="22"/>
          <w:lang w:eastAsia="es-ES"/>
        </w:rPr>
        <w:t xml:space="preserve"> crédito en el sector agrícola estén correlacionadas con el tamaño de las actividades agrícolas. </w:t>
      </w:r>
      <w:r w:rsidRPr="002F341C" w:rsidR="00A508D7">
        <w:rPr>
          <w:rFonts w:ascii="Arial" w:hAnsi="Arial" w:cs="Arial"/>
          <w:sz w:val="22"/>
          <w:szCs w:val="22"/>
          <w:lang w:eastAsia="es-ES"/>
        </w:rPr>
        <w:t>Así,</w:t>
      </w:r>
      <w:r w:rsidRPr="002F341C">
        <w:rPr>
          <w:rFonts w:ascii="Arial" w:hAnsi="Arial" w:cs="Arial"/>
          <w:sz w:val="22"/>
          <w:szCs w:val="22"/>
          <w:lang w:eastAsia="es-ES"/>
        </w:rPr>
        <w:t xml:space="preserve"> por ejemplo, el café y la caña de azúcar concentran buena parte del crédito; lo cual es congruente con la participación de dichos cultivos en el PIB agrícola. El café es </w:t>
      </w:r>
      <w:r w:rsidRPr="002F341C">
        <w:rPr>
          <w:rFonts w:ascii="Arial" w:hAnsi="Arial" w:cs="Arial"/>
          <w:sz w:val="22"/>
          <w:szCs w:val="22"/>
        </w:rPr>
        <w:t>el principal producto agrícola del país</w:t>
      </w:r>
      <w:r w:rsidRPr="002F341C">
        <w:rPr>
          <w:rStyle w:val="FootnoteReference"/>
          <w:rFonts w:ascii="Arial" w:hAnsi="Arial" w:cs="Arial"/>
          <w:sz w:val="22"/>
          <w:szCs w:val="22"/>
        </w:rPr>
        <w:footnoteReference w:id="18"/>
      </w:r>
      <w:r w:rsidRPr="002F341C">
        <w:rPr>
          <w:rFonts w:ascii="Arial" w:hAnsi="Arial" w:cs="Arial"/>
          <w:sz w:val="22"/>
          <w:szCs w:val="22"/>
        </w:rPr>
        <w:t>, en 2018, la producción del café representó el 29.2% del PIB agrícola. Otros cultivos de relevancia, dentro del PIB agrícola, son: banano (15.3%), tubérculos, hortalizas, legumbres y frutas (14.4%), ganadería (10.8%), caña de azúcar, tabaco, servicios agropecuarios y otras actividades (9.1%), granos básicos (8.1%), entre otros.</w:t>
      </w:r>
      <w:bookmarkEnd w:id="63"/>
      <w:r w:rsidRPr="002F341C">
        <w:rPr>
          <w:rFonts w:ascii="Arial" w:hAnsi="Arial" w:cs="Arial"/>
          <w:sz w:val="22"/>
          <w:szCs w:val="22"/>
        </w:rPr>
        <w:t xml:space="preserve">  </w:t>
      </w:r>
    </w:p>
    <w:p w:rsidRPr="002F341C" w:rsidR="003D24DE" w:rsidP="003D24DE" w:rsidRDefault="003D24DE" w14:paraId="27018A37" w14:textId="7DCFD483">
      <w:pPr>
        <w:pStyle w:val="Paragraph"/>
        <w:numPr>
          <w:ilvl w:val="0"/>
          <w:numId w:val="0"/>
        </w:numPr>
        <w:ind w:left="720"/>
        <w:rPr>
          <w:rFonts w:ascii="Arial" w:hAnsi="Arial" w:cs="Arial"/>
          <w:b/>
          <w:sz w:val="22"/>
          <w:szCs w:val="22"/>
        </w:rPr>
      </w:pPr>
    </w:p>
    <w:p w:rsidRPr="002F341C" w:rsidR="003D24DE" w:rsidP="002F2DE4" w:rsidRDefault="003D24DE" w14:paraId="453F4331" w14:textId="77777777">
      <w:pPr>
        <w:pStyle w:val="Paragraph"/>
        <w:numPr>
          <w:ilvl w:val="0"/>
          <w:numId w:val="0"/>
        </w:numPr>
        <w:ind w:left="720"/>
        <w:jc w:val="left"/>
        <w:rPr>
          <w:rFonts w:ascii="Arial" w:hAnsi="Arial" w:cs="Arial"/>
          <w:sz w:val="18"/>
          <w:szCs w:val="18"/>
        </w:rPr>
      </w:pPr>
    </w:p>
    <w:p w:rsidRPr="002F341C" w:rsidR="00CD3896" w:rsidP="00EC1A34" w:rsidRDefault="00CD3896" w14:paraId="6C9821AC" w14:textId="3A62FEF3">
      <w:pPr>
        <w:pStyle w:val="Paragraph"/>
        <w:numPr>
          <w:ilvl w:val="0"/>
          <w:numId w:val="0"/>
        </w:numPr>
        <w:ind w:left="720"/>
        <w:jc w:val="center"/>
        <w:rPr>
          <w:rFonts w:ascii="Arial" w:hAnsi="Arial" w:cs="Arial"/>
          <w:b/>
          <w:sz w:val="22"/>
          <w:szCs w:val="22"/>
        </w:rPr>
      </w:pPr>
      <w:bookmarkStart w:name="_Toc17804075" w:id="64"/>
      <w:r w:rsidRPr="002F341C">
        <w:rPr>
          <w:rFonts w:ascii="Arial" w:hAnsi="Arial" w:cs="Arial"/>
          <w:sz w:val="22"/>
          <w:szCs w:val="22"/>
          <w:lang w:eastAsia="es-MX"/>
        </w:rPr>
        <w:lastRenderedPageBreak/>
        <w:drawing>
          <wp:inline distT="0" distB="0" distL="0" distR="0" wp14:anchorId="1C9031D6" wp14:editId="364BEAF6">
            <wp:extent cx="4572000" cy="2743200"/>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64"/>
    </w:p>
    <w:p w:rsidRPr="002F341C" w:rsidR="002F2DE4" w:rsidP="002F2DE4" w:rsidRDefault="002F2DE4" w14:paraId="25BC4395" w14:textId="686C8760">
      <w:pPr>
        <w:pStyle w:val="Paragraph"/>
        <w:numPr>
          <w:ilvl w:val="0"/>
          <w:numId w:val="0"/>
        </w:numPr>
        <w:ind w:left="720"/>
        <w:jc w:val="left"/>
        <w:rPr>
          <w:rFonts w:ascii="Arial" w:hAnsi="Arial" w:cs="Arial"/>
          <w:sz w:val="18"/>
          <w:szCs w:val="18"/>
        </w:rPr>
      </w:pPr>
      <w:bookmarkStart w:name="_Toc17804076" w:id="65"/>
      <w:r w:rsidRPr="002F341C">
        <w:rPr>
          <w:rFonts w:ascii="Arial" w:hAnsi="Arial" w:cs="Arial"/>
          <w:sz w:val="18"/>
          <w:szCs w:val="18"/>
        </w:rPr>
        <w:t>Fuente:</w:t>
      </w:r>
      <w:r w:rsidRPr="002F341C" w:rsidR="00EC1A34">
        <w:rPr>
          <w:rFonts w:ascii="Arial" w:hAnsi="Arial" w:cs="Arial"/>
          <w:sz w:val="18"/>
          <w:szCs w:val="18"/>
        </w:rPr>
        <w:t xml:space="preserve"> Elaboración propia con datos de la CNBS</w:t>
      </w:r>
      <w:bookmarkEnd w:id="65"/>
    </w:p>
    <w:p w:rsidRPr="002F341C" w:rsidR="004D3761" w:rsidP="00CD3896" w:rsidRDefault="003D24DE" w14:paraId="11B8FC68" w14:textId="3C1FEDE9">
      <w:pPr>
        <w:pStyle w:val="Paragraph"/>
        <w:ind w:left="720" w:hanging="720"/>
        <w:rPr>
          <w:rFonts w:ascii="Arial" w:hAnsi="Arial" w:cs="Arial"/>
          <w:b/>
          <w:sz w:val="22"/>
          <w:szCs w:val="22"/>
        </w:rPr>
      </w:pPr>
      <w:bookmarkStart w:name="_Toc17804077" w:id="66"/>
      <w:r w:rsidRPr="002F341C">
        <w:rPr>
          <w:rFonts w:ascii="Arial" w:hAnsi="Arial" w:cs="Arial"/>
          <w:sz w:val="22"/>
          <w:szCs w:val="22"/>
          <w:lang w:eastAsia="es-ES"/>
        </w:rPr>
        <w:t xml:space="preserve">La disminución del crédito, </w:t>
      </w:r>
      <w:r w:rsidRPr="002F341C" w:rsidR="00CD3896">
        <w:rPr>
          <w:rFonts w:ascii="Arial" w:hAnsi="Arial" w:cs="Arial"/>
          <w:sz w:val="22"/>
          <w:szCs w:val="22"/>
          <w:lang w:eastAsia="es-ES"/>
        </w:rPr>
        <w:t xml:space="preserve">hacia el sector cafetalero, presumiblemente </w:t>
      </w:r>
      <w:r w:rsidRPr="002F341C">
        <w:rPr>
          <w:rFonts w:ascii="Arial" w:hAnsi="Arial" w:cs="Arial"/>
          <w:sz w:val="22"/>
          <w:szCs w:val="22"/>
          <w:lang w:eastAsia="es-ES"/>
        </w:rPr>
        <w:t xml:space="preserve">puede </w:t>
      </w:r>
      <w:r w:rsidRPr="002F341C" w:rsidR="00CD3896">
        <w:rPr>
          <w:rFonts w:ascii="Arial" w:hAnsi="Arial" w:cs="Arial"/>
          <w:sz w:val="22"/>
          <w:szCs w:val="22"/>
          <w:lang w:eastAsia="es-ES"/>
        </w:rPr>
        <w:t>obedece</w:t>
      </w:r>
      <w:r w:rsidRPr="002F341C">
        <w:rPr>
          <w:rFonts w:ascii="Arial" w:hAnsi="Arial" w:cs="Arial"/>
          <w:sz w:val="22"/>
          <w:szCs w:val="22"/>
          <w:lang w:eastAsia="es-ES"/>
        </w:rPr>
        <w:t>r</w:t>
      </w:r>
      <w:r w:rsidRPr="002F341C" w:rsidR="00CD3896">
        <w:rPr>
          <w:rFonts w:ascii="Arial" w:hAnsi="Arial" w:cs="Arial"/>
          <w:sz w:val="22"/>
          <w:szCs w:val="22"/>
          <w:lang w:eastAsia="es-ES"/>
        </w:rPr>
        <w:t xml:space="preserve"> a </w:t>
      </w:r>
      <w:r w:rsidRPr="002F341C" w:rsidR="00581B8C">
        <w:rPr>
          <w:rFonts w:ascii="Arial" w:hAnsi="Arial" w:cs="Arial"/>
          <w:sz w:val="22"/>
          <w:szCs w:val="22"/>
          <w:lang w:eastAsia="es-ES"/>
        </w:rPr>
        <w:t>temas de gestión de riesgo</w:t>
      </w:r>
      <w:r w:rsidRPr="002F341C" w:rsidR="004D3761">
        <w:rPr>
          <w:rFonts w:ascii="Arial" w:hAnsi="Arial" w:cs="Arial"/>
          <w:sz w:val="22"/>
          <w:szCs w:val="22"/>
          <w:lang w:eastAsia="es-ES"/>
        </w:rPr>
        <w:t>,</w:t>
      </w:r>
      <w:r w:rsidRPr="002F341C" w:rsidR="00CD3896">
        <w:rPr>
          <w:rFonts w:ascii="Arial" w:hAnsi="Arial" w:cs="Arial"/>
          <w:sz w:val="22"/>
          <w:szCs w:val="22"/>
          <w:lang w:eastAsia="es-ES"/>
        </w:rPr>
        <w:t xml:space="preserve"> dado el impacto que ha sufrido el sector producto de los menores precios internacionales; así como por los efectos del cambio climático que ha afectado </w:t>
      </w:r>
      <w:r w:rsidRPr="002F341C" w:rsidR="00421698">
        <w:rPr>
          <w:rFonts w:ascii="Arial" w:hAnsi="Arial" w:cs="Arial"/>
          <w:sz w:val="22"/>
          <w:szCs w:val="22"/>
          <w:lang w:eastAsia="es-ES"/>
        </w:rPr>
        <w:t>la producción</w:t>
      </w:r>
      <w:r w:rsidRPr="002F341C">
        <w:rPr>
          <w:rFonts w:ascii="Arial" w:hAnsi="Arial" w:cs="Arial"/>
          <w:sz w:val="22"/>
          <w:szCs w:val="22"/>
          <w:lang w:eastAsia="es-ES"/>
        </w:rPr>
        <w:t xml:space="preserve"> y </w:t>
      </w:r>
      <w:r w:rsidRPr="002F341C" w:rsidR="00421698">
        <w:rPr>
          <w:rFonts w:ascii="Arial" w:hAnsi="Arial" w:cs="Arial"/>
          <w:sz w:val="22"/>
          <w:szCs w:val="22"/>
          <w:lang w:eastAsia="es-ES"/>
        </w:rPr>
        <w:t>la c</w:t>
      </w:r>
      <w:r w:rsidRPr="002F341C" w:rsidR="00CD3896">
        <w:rPr>
          <w:rFonts w:ascii="Arial" w:hAnsi="Arial" w:cs="Arial"/>
          <w:sz w:val="22"/>
          <w:szCs w:val="22"/>
          <w:lang w:eastAsia="es-ES"/>
        </w:rPr>
        <w:t>alidad del grano.</w:t>
      </w:r>
      <w:r w:rsidRPr="002F341C">
        <w:rPr>
          <w:rFonts w:ascii="Arial" w:hAnsi="Arial" w:cs="Arial"/>
          <w:sz w:val="22"/>
          <w:szCs w:val="22"/>
          <w:lang w:eastAsia="es-ES"/>
        </w:rPr>
        <w:t xml:space="preserve"> No obstante, también puede explicarse por la etapa del cultivo a la fecha del análisis.</w:t>
      </w:r>
      <w:bookmarkEnd w:id="66"/>
    </w:p>
    <w:p w:rsidRPr="002F341C" w:rsidR="004D3761" w:rsidP="00421698" w:rsidRDefault="00421698" w14:paraId="356A8D8D" w14:textId="78DAB72A">
      <w:pPr>
        <w:pStyle w:val="Paragraph"/>
        <w:ind w:left="720" w:hanging="720"/>
        <w:rPr>
          <w:rFonts w:ascii="Arial" w:hAnsi="Arial" w:cs="Arial"/>
          <w:b/>
          <w:sz w:val="22"/>
          <w:szCs w:val="22"/>
        </w:rPr>
      </w:pPr>
      <w:bookmarkStart w:name="_Toc17804078" w:id="67"/>
      <w:r w:rsidRPr="002F341C">
        <w:rPr>
          <w:rFonts w:ascii="Arial" w:hAnsi="Arial" w:cs="Arial"/>
          <w:sz w:val="22"/>
          <w:szCs w:val="22"/>
        </w:rPr>
        <w:t xml:space="preserve">En términos de concentración, en los últimos años, la banca no ha modificado sus niveles de colaciones hacia otros cultivos; por lo que es crédito agrícola en Honduras sigue siendo un crédito concentrado en pocos cultivos. Una posible razón de este </w:t>
      </w:r>
      <w:r w:rsidRPr="002F341C" w:rsidR="00A508D7">
        <w:rPr>
          <w:rFonts w:ascii="Arial" w:hAnsi="Arial" w:cs="Arial"/>
          <w:sz w:val="22"/>
          <w:szCs w:val="22"/>
        </w:rPr>
        <w:t>comportamiento</w:t>
      </w:r>
      <w:r w:rsidRPr="002F341C">
        <w:rPr>
          <w:rFonts w:ascii="Arial" w:hAnsi="Arial" w:cs="Arial"/>
          <w:sz w:val="22"/>
          <w:szCs w:val="22"/>
        </w:rPr>
        <w:t xml:space="preserve"> es que el crédito es destinado hacia aquellos sectores que </w:t>
      </w:r>
      <w:r w:rsidRPr="002F341C">
        <w:rPr>
          <w:rFonts w:ascii="Arial" w:hAnsi="Arial" w:cs="Arial"/>
          <w:sz w:val="22"/>
          <w:szCs w:val="22"/>
          <w:lang w:eastAsia="es-ES"/>
        </w:rPr>
        <w:t>cuentan con</w:t>
      </w:r>
      <w:r w:rsidRPr="002F341C" w:rsidR="00CA444F">
        <w:rPr>
          <w:rFonts w:ascii="Arial" w:hAnsi="Arial" w:cs="Arial"/>
          <w:sz w:val="22"/>
          <w:szCs w:val="22"/>
          <w:lang w:eastAsia="es-ES"/>
        </w:rPr>
        <w:t xml:space="preserve"> cadenas productivas </w:t>
      </w:r>
      <w:r w:rsidRPr="002F341C">
        <w:rPr>
          <w:rFonts w:ascii="Arial" w:hAnsi="Arial" w:cs="Arial"/>
          <w:sz w:val="22"/>
          <w:szCs w:val="22"/>
          <w:lang w:eastAsia="es-ES"/>
        </w:rPr>
        <w:t xml:space="preserve">más desarrolladas (café, caña de azúcar, palma africana, entre otras), y con vínculos más estrechos con el </w:t>
      </w:r>
      <w:r w:rsidRPr="002F341C" w:rsidR="00CA444F">
        <w:rPr>
          <w:rFonts w:ascii="Arial" w:hAnsi="Arial" w:cs="Arial"/>
          <w:sz w:val="22"/>
          <w:szCs w:val="22"/>
          <w:lang w:eastAsia="es-ES"/>
        </w:rPr>
        <w:t>aparato industrial o el sector exportador.</w:t>
      </w:r>
      <w:bookmarkEnd w:id="67"/>
    </w:p>
    <w:p w:rsidRPr="002F341C" w:rsidR="00B9277A" w:rsidP="00B9277A" w:rsidRDefault="00DE16D7" w14:paraId="5F72A946" w14:textId="43E06964">
      <w:pPr>
        <w:pStyle w:val="Paragraph"/>
        <w:numPr>
          <w:ilvl w:val="0"/>
          <w:numId w:val="0"/>
        </w:numPr>
        <w:ind w:left="720"/>
        <w:rPr>
          <w:rFonts w:ascii="Arial" w:hAnsi="Arial" w:cs="Arial"/>
          <w:b/>
          <w:sz w:val="22"/>
          <w:szCs w:val="22"/>
        </w:rPr>
      </w:pPr>
      <w:bookmarkStart w:name="_Toc17804079" w:id="68"/>
      <w:r w:rsidRPr="002F341C">
        <w:rPr>
          <w:rFonts w:ascii="Arial" w:hAnsi="Arial" w:cs="Arial"/>
          <w:sz w:val="22"/>
          <w:szCs w:val="22"/>
          <w:lang w:eastAsia="es-MX"/>
        </w:rPr>
        <w:drawing>
          <wp:inline distT="0" distB="0" distL="0" distR="0" wp14:anchorId="480D359F" wp14:editId="13580A5A">
            <wp:extent cx="4572000" cy="2806700"/>
            <wp:effectExtent l="0" t="0" r="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68"/>
    </w:p>
    <w:p w:rsidRPr="002F341C" w:rsidR="002F2DE4" w:rsidP="002F2DE4" w:rsidRDefault="002F2DE4" w14:paraId="72FAC938" w14:textId="46B218CE">
      <w:pPr>
        <w:pStyle w:val="Paragraph"/>
        <w:numPr>
          <w:ilvl w:val="0"/>
          <w:numId w:val="0"/>
        </w:numPr>
        <w:ind w:left="720"/>
        <w:jc w:val="left"/>
        <w:rPr>
          <w:rFonts w:ascii="Arial" w:hAnsi="Arial" w:cs="Arial"/>
          <w:sz w:val="18"/>
          <w:szCs w:val="18"/>
        </w:rPr>
      </w:pPr>
      <w:bookmarkStart w:name="_Toc17804080" w:id="69"/>
      <w:r w:rsidRPr="002F341C">
        <w:rPr>
          <w:rFonts w:ascii="Arial" w:hAnsi="Arial" w:cs="Arial"/>
          <w:sz w:val="18"/>
          <w:szCs w:val="18"/>
        </w:rPr>
        <w:t>Fuente:</w:t>
      </w:r>
      <w:r w:rsidRPr="002F341C" w:rsidR="00EC1A34">
        <w:rPr>
          <w:rFonts w:ascii="Arial" w:hAnsi="Arial" w:cs="Arial"/>
          <w:sz w:val="18"/>
          <w:szCs w:val="18"/>
        </w:rPr>
        <w:t xml:space="preserve"> Elaboración propia con datos de la CNBS</w:t>
      </w:r>
      <w:bookmarkEnd w:id="69"/>
    </w:p>
    <w:p w:rsidRPr="002F341C" w:rsidR="00B9277A" w:rsidP="005E7BFE" w:rsidRDefault="00B9277A" w14:paraId="792C37EE" w14:textId="1DB55D6F">
      <w:pPr>
        <w:pStyle w:val="Paragraph"/>
        <w:numPr>
          <w:ilvl w:val="0"/>
          <w:numId w:val="12"/>
        </w:numPr>
        <w:ind w:hanging="720"/>
        <w:rPr>
          <w:rFonts w:ascii="Arial" w:hAnsi="Arial" w:cs="Arial"/>
          <w:b/>
          <w:sz w:val="22"/>
          <w:szCs w:val="22"/>
        </w:rPr>
      </w:pPr>
      <w:bookmarkStart w:name="_Toc17804081" w:id="70"/>
      <w:r w:rsidRPr="002F341C">
        <w:rPr>
          <w:rFonts w:ascii="Arial" w:hAnsi="Arial" w:cs="Arial"/>
          <w:b/>
          <w:sz w:val="22"/>
          <w:szCs w:val="22"/>
        </w:rPr>
        <w:lastRenderedPageBreak/>
        <w:t>El crédito agrícola: Distribución geográfica</w:t>
      </w:r>
      <w:bookmarkEnd w:id="70"/>
    </w:p>
    <w:p w:rsidRPr="002F341C" w:rsidR="00716C41" w:rsidP="3B089B2A" w:rsidRDefault="00A03CC7" w14:paraId="647EA536" w14:textId="2683DF43">
      <w:pPr>
        <w:pStyle w:val="Paragraph"/>
        <w:ind w:left="720" w:hanging="720"/>
        <w:rPr>
          <w:rFonts w:ascii="Arial" w:hAnsi="Arial" w:cs="Arial"/>
          <w:sz w:val="22"/>
          <w:szCs w:val="22"/>
        </w:rPr>
      </w:pPr>
      <w:bookmarkStart w:name="_Toc17804082" w:id="71"/>
      <w:r w:rsidRPr="002F341C">
        <w:rPr>
          <w:rFonts w:ascii="Arial" w:hAnsi="Arial" w:cs="Arial"/>
          <w:sz w:val="22"/>
          <w:szCs w:val="22"/>
        </w:rPr>
        <w:t xml:space="preserve">El crédito agrícola, </w:t>
      </w:r>
      <w:r w:rsidRPr="002F341C" w:rsidR="00D81EA1">
        <w:rPr>
          <w:rFonts w:ascii="Arial" w:hAnsi="Arial" w:cs="Arial"/>
          <w:sz w:val="22"/>
          <w:szCs w:val="22"/>
        </w:rPr>
        <w:t>similar</w:t>
      </w:r>
      <w:r w:rsidRPr="002F341C">
        <w:rPr>
          <w:rFonts w:ascii="Arial" w:hAnsi="Arial" w:cs="Arial"/>
          <w:sz w:val="22"/>
          <w:szCs w:val="22"/>
        </w:rPr>
        <w:t xml:space="preserve"> el comportamiento </w:t>
      </w:r>
      <w:r w:rsidRPr="002F341C" w:rsidR="00B9277A">
        <w:rPr>
          <w:rFonts w:ascii="Arial" w:hAnsi="Arial" w:cs="Arial"/>
          <w:sz w:val="22"/>
          <w:szCs w:val="22"/>
        </w:rPr>
        <w:t xml:space="preserve">del crédito general, </w:t>
      </w:r>
      <w:r w:rsidRPr="002F341C" w:rsidR="00D81EA1">
        <w:rPr>
          <w:rFonts w:ascii="Arial" w:hAnsi="Arial" w:cs="Arial"/>
          <w:sz w:val="22"/>
          <w:szCs w:val="22"/>
        </w:rPr>
        <w:t xml:space="preserve">se concentra en </w:t>
      </w:r>
      <w:r w:rsidRPr="002F341C" w:rsidR="00B9277A">
        <w:rPr>
          <w:rFonts w:ascii="Arial" w:hAnsi="Arial" w:cs="Arial"/>
          <w:sz w:val="22"/>
          <w:szCs w:val="22"/>
        </w:rPr>
        <w:t>cuatro departamentos: Francisco Morazán (46</w:t>
      </w:r>
      <w:r w:rsidRPr="002F341C" w:rsidR="002F75E5">
        <w:rPr>
          <w:rFonts w:ascii="Arial" w:hAnsi="Arial" w:cs="Arial"/>
          <w:sz w:val="22"/>
          <w:szCs w:val="22"/>
        </w:rPr>
        <w:t>,</w:t>
      </w:r>
      <w:r w:rsidRPr="002F341C" w:rsidR="00B9277A">
        <w:rPr>
          <w:rFonts w:ascii="Arial" w:hAnsi="Arial" w:cs="Arial"/>
          <w:sz w:val="22"/>
          <w:szCs w:val="22"/>
        </w:rPr>
        <w:t>2%), Cortés (26</w:t>
      </w:r>
      <w:r w:rsidRPr="002F341C" w:rsidR="002F75E5">
        <w:rPr>
          <w:rFonts w:ascii="Arial" w:hAnsi="Arial" w:cs="Arial"/>
          <w:sz w:val="22"/>
          <w:szCs w:val="22"/>
        </w:rPr>
        <w:t>,</w:t>
      </w:r>
      <w:r w:rsidRPr="002F341C" w:rsidR="00B9277A">
        <w:rPr>
          <w:rFonts w:ascii="Arial" w:hAnsi="Arial" w:cs="Arial"/>
          <w:sz w:val="22"/>
          <w:szCs w:val="22"/>
        </w:rPr>
        <w:t>0%), Intibucá (16</w:t>
      </w:r>
      <w:r w:rsidRPr="002F341C" w:rsidR="002F75E5">
        <w:rPr>
          <w:rFonts w:ascii="Arial" w:hAnsi="Arial" w:cs="Arial"/>
          <w:sz w:val="22"/>
          <w:szCs w:val="22"/>
        </w:rPr>
        <w:t>,</w:t>
      </w:r>
      <w:r w:rsidRPr="002F341C" w:rsidR="00B9277A">
        <w:rPr>
          <w:rFonts w:ascii="Arial" w:hAnsi="Arial" w:cs="Arial"/>
          <w:sz w:val="22"/>
          <w:szCs w:val="22"/>
        </w:rPr>
        <w:t>2%) y Atlántida (4</w:t>
      </w:r>
      <w:r w:rsidRPr="002F341C" w:rsidR="002F75E5">
        <w:rPr>
          <w:rFonts w:ascii="Arial" w:hAnsi="Arial" w:cs="Arial"/>
          <w:sz w:val="22"/>
          <w:szCs w:val="22"/>
        </w:rPr>
        <w:t>,</w:t>
      </w:r>
      <w:r w:rsidRPr="002F341C" w:rsidR="00B9277A">
        <w:rPr>
          <w:rFonts w:ascii="Arial" w:hAnsi="Arial" w:cs="Arial"/>
          <w:sz w:val="22"/>
          <w:szCs w:val="22"/>
        </w:rPr>
        <w:t>4%). El resto del país participa con un 7</w:t>
      </w:r>
      <w:r w:rsidRPr="002F341C" w:rsidR="002F75E5">
        <w:rPr>
          <w:rFonts w:ascii="Arial" w:hAnsi="Arial" w:cs="Arial"/>
          <w:sz w:val="22"/>
          <w:szCs w:val="22"/>
        </w:rPr>
        <w:t>,</w:t>
      </w:r>
      <w:r w:rsidRPr="002F341C" w:rsidR="00B9277A">
        <w:rPr>
          <w:rFonts w:ascii="Arial" w:hAnsi="Arial" w:cs="Arial"/>
          <w:sz w:val="22"/>
          <w:szCs w:val="22"/>
        </w:rPr>
        <w:t>2% del crédit</w:t>
      </w:r>
      <w:r w:rsidRPr="002F341C" w:rsidR="00D81EA1">
        <w:rPr>
          <w:rFonts w:ascii="Arial" w:hAnsi="Arial" w:cs="Arial"/>
          <w:sz w:val="22"/>
          <w:szCs w:val="22"/>
        </w:rPr>
        <w:t>o</w:t>
      </w:r>
      <w:r w:rsidRPr="002F341C" w:rsidR="00FB55DB">
        <w:rPr>
          <w:rFonts w:ascii="Arial" w:hAnsi="Arial" w:cs="Arial"/>
          <w:sz w:val="22"/>
          <w:szCs w:val="22"/>
        </w:rPr>
        <w:t>.</w:t>
      </w:r>
      <w:r w:rsidRPr="002F341C" w:rsidR="00D81EA1">
        <w:rPr>
          <w:rFonts w:ascii="Arial" w:hAnsi="Arial" w:cs="Arial"/>
          <w:sz w:val="22"/>
          <w:szCs w:val="22"/>
        </w:rPr>
        <w:t xml:space="preserve"> </w:t>
      </w:r>
      <w:r w:rsidRPr="002F341C" w:rsidR="009259DD">
        <w:rPr>
          <w:rFonts w:ascii="Arial" w:hAnsi="Arial" w:cs="Arial"/>
          <w:sz w:val="22"/>
          <w:szCs w:val="22"/>
        </w:rPr>
        <w:t xml:space="preserve">En la zona de influencia del </w:t>
      </w:r>
      <w:r w:rsidRPr="002F341C" w:rsidR="009259DD">
        <w:rPr>
          <w:rFonts w:ascii="Arial" w:hAnsi="Arial" w:cs="Arial"/>
          <w:sz w:val="22"/>
          <w:szCs w:val="22"/>
        </w:rPr>
        <w:t xml:space="preserve">proyecto</w:t>
      </w:r>
      <w:r w:rsidRPr="3B089B2A" w:rsidR="009259DD">
        <w:rPr>
          <w:rFonts w:ascii="Arial" w:hAnsi="Arial"/>
          <w:sz w:val="22"/>
          <w:szCs w:val="22"/>
          <w:vertAlign w:val="superscript"/>
        </w:rPr>
        <w:footnoteReference w:id="19"/>
      </w:r>
      <w:r w:rsidRPr="002F341C" w:rsidR="009259DD">
        <w:rPr>
          <w:rFonts w:ascii="Arial" w:hAnsi="Arial" w:cs="Arial"/>
          <w:sz w:val="22"/>
          <w:szCs w:val="22"/>
        </w:rPr>
        <w:t xml:space="preserve">, el crédito asciende a </w:t>
      </w:r>
      <w:r w:rsidRPr="002F341C" w:rsidR="002F75E5">
        <w:rPr>
          <w:rFonts w:ascii="Arial" w:hAnsi="Arial" w:cs="Arial"/>
          <w:sz w:val="22"/>
          <w:szCs w:val="22"/>
        </w:rPr>
        <w:t>US$</w:t>
      </w:r>
      <w:r w:rsidRPr="002F341C" w:rsidR="009259DD">
        <w:rPr>
          <w:rFonts w:ascii="Arial" w:hAnsi="Arial" w:cs="Arial"/>
          <w:sz w:val="22"/>
          <w:szCs w:val="22"/>
        </w:rPr>
        <w:t>22</w:t>
      </w:r>
      <w:r w:rsidRPr="002F341C" w:rsidR="002F75E5">
        <w:rPr>
          <w:rFonts w:ascii="Arial" w:hAnsi="Arial" w:cs="Arial"/>
          <w:sz w:val="22"/>
          <w:szCs w:val="22"/>
        </w:rPr>
        <w:t>,</w:t>
      </w:r>
      <w:r w:rsidRPr="002F341C" w:rsidR="009259DD">
        <w:rPr>
          <w:rFonts w:ascii="Arial" w:hAnsi="Arial" w:cs="Arial"/>
          <w:sz w:val="22"/>
          <w:szCs w:val="22"/>
        </w:rPr>
        <w:t>5 millones (3</w:t>
      </w:r>
      <w:r w:rsidRPr="002F341C" w:rsidR="002F75E5">
        <w:rPr>
          <w:rFonts w:ascii="Arial" w:hAnsi="Arial" w:cs="Arial"/>
          <w:sz w:val="22"/>
          <w:szCs w:val="22"/>
        </w:rPr>
        <w:t>,</w:t>
      </w:r>
      <w:r w:rsidRPr="002F341C" w:rsidR="009259DD">
        <w:rPr>
          <w:rFonts w:ascii="Arial" w:hAnsi="Arial" w:cs="Arial"/>
          <w:sz w:val="22"/>
          <w:szCs w:val="22"/>
        </w:rPr>
        <w:t>0% de participación en el crédito total).</w:t>
      </w:r>
      <w:bookmarkEnd w:id="71"/>
    </w:p>
    <w:p w:rsidRPr="002F341C" w:rsidR="00EC1A34" w:rsidP="00716C41" w:rsidRDefault="009259DD" w14:paraId="72953804" w14:textId="6994FC01">
      <w:pPr>
        <w:pStyle w:val="Paragraph"/>
        <w:ind w:left="720" w:hanging="720"/>
        <w:rPr>
          <w:rFonts w:ascii="Arial" w:hAnsi="Arial" w:cs="Arial"/>
          <w:sz w:val="22"/>
          <w:szCs w:val="22"/>
        </w:rPr>
      </w:pPr>
      <w:bookmarkStart w:name="_Toc17804083" w:id="72"/>
      <w:r w:rsidRPr="002F341C">
        <w:rPr>
          <w:rFonts w:ascii="Arial" w:hAnsi="Arial" w:cs="Arial"/>
          <w:sz w:val="22"/>
          <w:szCs w:val="22"/>
        </w:rPr>
        <w:t>El</w:t>
      </w:r>
      <w:r w:rsidRPr="002F341C" w:rsidR="00D81EA1">
        <w:rPr>
          <w:rFonts w:ascii="Arial" w:hAnsi="Arial" w:cs="Arial"/>
          <w:sz w:val="22"/>
          <w:szCs w:val="22"/>
        </w:rPr>
        <w:t xml:space="preserve"> comportamiento </w:t>
      </w:r>
      <w:r w:rsidRPr="002F341C">
        <w:rPr>
          <w:rFonts w:ascii="Arial" w:hAnsi="Arial" w:cs="Arial"/>
          <w:sz w:val="22"/>
          <w:szCs w:val="22"/>
        </w:rPr>
        <w:t xml:space="preserve">antes descrito, </w:t>
      </w:r>
      <w:r w:rsidRPr="002F341C" w:rsidR="00D81EA1">
        <w:rPr>
          <w:rFonts w:ascii="Arial" w:hAnsi="Arial" w:cs="Arial"/>
          <w:sz w:val="22"/>
          <w:szCs w:val="22"/>
        </w:rPr>
        <w:t xml:space="preserve">es replicado en el </w:t>
      </w:r>
      <w:r w:rsidRPr="002F341C" w:rsidR="009D1DA0">
        <w:rPr>
          <w:rFonts w:ascii="Arial" w:hAnsi="Arial" w:cs="Arial"/>
          <w:sz w:val="22"/>
          <w:szCs w:val="22"/>
        </w:rPr>
        <w:t>resto d</w:t>
      </w:r>
      <w:r w:rsidRPr="002F341C" w:rsidR="00D81EA1">
        <w:rPr>
          <w:rFonts w:ascii="Arial" w:hAnsi="Arial" w:cs="Arial"/>
          <w:sz w:val="22"/>
          <w:szCs w:val="22"/>
        </w:rPr>
        <w:t xml:space="preserve">e las actividades agropecuarias; con la excepción que en el crédito ganadero Olancho es uno de los departamentos con mayor participación; y </w:t>
      </w:r>
      <w:r w:rsidRPr="002F341C" w:rsidR="009D1DA0">
        <w:rPr>
          <w:rFonts w:ascii="Arial" w:hAnsi="Arial" w:cs="Arial"/>
          <w:sz w:val="22"/>
          <w:szCs w:val="22"/>
        </w:rPr>
        <w:t>Choluteca</w:t>
      </w:r>
      <w:r w:rsidRPr="002F341C" w:rsidR="00D81EA1">
        <w:rPr>
          <w:rFonts w:ascii="Arial" w:hAnsi="Arial" w:cs="Arial"/>
          <w:sz w:val="22"/>
          <w:szCs w:val="22"/>
        </w:rPr>
        <w:t xml:space="preserve"> dentro del financiamiento hacia otros sectores primarios </w:t>
      </w:r>
      <w:r w:rsidRPr="002F341C" w:rsidR="009D1DA0">
        <w:rPr>
          <w:rFonts w:ascii="Arial" w:hAnsi="Arial" w:cs="Arial"/>
          <w:sz w:val="22"/>
          <w:szCs w:val="22"/>
        </w:rPr>
        <w:t>(</w:t>
      </w:r>
      <w:r w:rsidRPr="002F341C" w:rsidR="00D81EA1">
        <w:rPr>
          <w:rFonts w:ascii="Arial" w:hAnsi="Arial" w:cs="Arial"/>
          <w:sz w:val="22"/>
          <w:szCs w:val="22"/>
        </w:rPr>
        <w:t>pesca)</w:t>
      </w:r>
      <w:r w:rsidRPr="002F341C" w:rsidR="00FB55DB">
        <w:rPr>
          <w:rFonts w:ascii="Arial" w:hAnsi="Arial" w:cs="Arial"/>
          <w:sz w:val="22"/>
          <w:szCs w:val="22"/>
        </w:rPr>
        <w:t>.</w:t>
      </w:r>
      <w:bookmarkEnd w:id="72"/>
      <w:r w:rsidRPr="002F341C" w:rsidR="00D81EA1">
        <w:rPr>
          <w:rFonts w:ascii="Arial" w:hAnsi="Arial" w:cs="Arial"/>
          <w:sz w:val="22"/>
          <w:szCs w:val="22"/>
        </w:rPr>
        <w:t xml:space="preserve"> </w:t>
      </w:r>
    </w:p>
    <w:p w:rsidRPr="002F341C" w:rsidR="00716C41" w:rsidP="0036528E" w:rsidRDefault="00716C41" w14:paraId="74BF7250" w14:textId="77777777">
      <w:pPr>
        <w:pStyle w:val="Paragraph"/>
        <w:numPr>
          <w:ilvl w:val="0"/>
          <w:numId w:val="0"/>
        </w:numPr>
        <w:ind w:left="720"/>
        <w:rPr>
          <w:rFonts w:ascii="Arial" w:hAnsi="Arial" w:cs="Arial"/>
          <w:b/>
          <w:sz w:val="22"/>
          <w:szCs w:val="22"/>
        </w:rPr>
      </w:pPr>
    </w:p>
    <w:p w:rsidRPr="002F341C" w:rsidR="000B423A" w:rsidP="00F35729" w:rsidRDefault="00D81EA1" w14:paraId="5C6D374A" w14:textId="182C6CA0">
      <w:pPr>
        <w:pStyle w:val="Paragraph"/>
        <w:numPr>
          <w:ilvl w:val="0"/>
          <w:numId w:val="0"/>
        </w:numPr>
        <w:ind w:left="720"/>
        <w:jc w:val="center"/>
        <w:rPr>
          <w:rFonts w:ascii="Arial" w:hAnsi="Arial" w:cs="Arial"/>
          <w:b/>
          <w:sz w:val="22"/>
          <w:szCs w:val="22"/>
        </w:rPr>
      </w:pPr>
      <w:bookmarkStart w:name="_Toc17804084" w:id="73"/>
      <w:r w:rsidRPr="002F341C">
        <w:rPr>
          <w:rFonts w:ascii="Arial" w:hAnsi="Arial" w:cs="Arial"/>
          <w:sz w:val="22"/>
          <w:szCs w:val="22"/>
          <w:lang w:eastAsia="es-MX"/>
        </w:rPr>
        <w:drawing>
          <wp:inline distT="0" distB="0" distL="0" distR="0" wp14:anchorId="1D6A4C4D" wp14:editId="74356505">
            <wp:extent cx="4172016" cy="2497825"/>
            <wp:effectExtent l="0" t="0" r="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73"/>
    </w:p>
    <w:p w:rsidRPr="002F341C" w:rsidR="002F2DE4" w:rsidP="002F2DE4" w:rsidRDefault="002F2DE4" w14:paraId="1AD25D9F" w14:textId="5FE7F65D">
      <w:pPr>
        <w:pStyle w:val="Paragraph"/>
        <w:numPr>
          <w:ilvl w:val="0"/>
          <w:numId w:val="0"/>
        </w:numPr>
        <w:ind w:left="720"/>
        <w:jc w:val="left"/>
        <w:rPr>
          <w:rFonts w:ascii="Arial" w:hAnsi="Arial" w:cs="Arial"/>
          <w:sz w:val="18"/>
          <w:szCs w:val="18"/>
        </w:rPr>
      </w:pPr>
      <w:bookmarkStart w:name="_Toc17804085" w:id="74"/>
      <w:r w:rsidRPr="002F341C">
        <w:rPr>
          <w:rFonts w:ascii="Arial" w:hAnsi="Arial" w:cs="Arial"/>
          <w:sz w:val="18"/>
          <w:szCs w:val="18"/>
        </w:rPr>
        <w:t>Fuente:</w:t>
      </w:r>
      <w:r w:rsidRPr="002F341C" w:rsidR="00EC1A34">
        <w:rPr>
          <w:rFonts w:ascii="Arial" w:hAnsi="Arial" w:cs="Arial"/>
          <w:sz w:val="18"/>
          <w:szCs w:val="18"/>
        </w:rPr>
        <w:t xml:space="preserve"> Elaboración propia con datos de la CNBS</w:t>
      </w:r>
      <w:bookmarkEnd w:id="74"/>
    </w:p>
    <w:p w:rsidRPr="002F341C" w:rsidR="00EC1A34" w:rsidP="002F2DE4" w:rsidRDefault="00EC1A34" w14:paraId="5E00C471" w14:textId="77777777">
      <w:pPr>
        <w:pStyle w:val="Paragraph"/>
        <w:numPr>
          <w:ilvl w:val="0"/>
          <w:numId w:val="0"/>
        </w:numPr>
        <w:ind w:left="720"/>
        <w:jc w:val="left"/>
        <w:rPr>
          <w:rFonts w:ascii="Arial" w:hAnsi="Arial" w:cs="Arial"/>
          <w:sz w:val="18"/>
          <w:szCs w:val="18"/>
        </w:rPr>
      </w:pPr>
    </w:p>
    <w:p w:rsidRPr="002F341C" w:rsidR="00D81EA1" w:rsidP="00D81EA1" w:rsidRDefault="00D81EA1" w14:paraId="708AFEF2" w14:textId="106A1D7F">
      <w:pPr>
        <w:pStyle w:val="Paragraph"/>
        <w:numPr>
          <w:ilvl w:val="0"/>
          <w:numId w:val="0"/>
        </w:numPr>
        <w:ind w:left="720"/>
        <w:jc w:val="center"/>
        <w:rPr>
          <w:rFonts w:ascii="Arial" w:hAnsi="Arial" w:cs="Arial"/>
          <w:b/>
          <w:sz w:val="22"/>
          <w:szCs w:val="22"/>
        </w:rPr>
      </w:pPr>
      <w:bookmarkStart w:name="_Toc17804086" w:id="75"/>
      <w:r w:rsidRPr="002F341C">
        <w:rPr>
          <w:rFonts w:ascii="Arial" w:hAnsi="Arial" w:cs="Arial"/>
          <w:sz w:val="22"/>
          <w:szCs w:val="22"/>
          <w:lang w:eastAsia="es-MX"/>
        </w:rPr>
        <w:drawing>
          <wp:inline distT="0" distB="0" distL="0" distR="0" wp14:anchorId="2F0ADE94" wp14:editId="17480D82">
            <wp:extent cx="4241620" cy="2462956"/>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bookmarkEnd w:id="75"/>
    </w:p>
    <w:p w:rsidRPr="002F341C" w:rsidR="002F2DE4" w:rsidP="002F2DE4" w:rsidRDefault="002F2DE4" w14:paraId="7552DFED" w14:textId="20F7D05A">
      <w:pPr>
        <w:pStyle w:val="Paragraph"/>
        <w:numPr>
          <w:ilvl w:val="0"/>
          <w:numId w:val="0"/>
        </w:numPr>
        <w:ind w:left="720"/>
        <w:jc w:val="left"/>
        <w:rPr>
          <w:rFonts w:ascii="Arial" w:hAnsi="Arial" w:cs="Arial"/>
          <w:sz w:val="18"/>
          <w:szCs w:val="18"/>
        </w:rPr>
      </w:pPr>
      <w:bookmarkStart w:name="_Toc17804087" w:id="76"/>
      <w:r w:rsidRPr="002F341C">
        <w:rPr>
          <w:rFonts w:ascii="Arial" w:hAnsi="Arial" w:cs="Arial"/>
          <w:sz w:val="18"/>
          <w:szCs w:val="18"/>
        </w:rPr>
        <w:t>Fuente:</w:t>
      </w:r>
      <w:r w:rsidRPr="002F341C" w:rsidR="00EC1A34">
        <w:rPr>
          <w:rFonts w:ascii="Arial" w:hAnsi="Arial" w:cs="Arial"/>
          <w:sz w:val="18"/>
          <w:szCs w:val="18"/>
        </w:rPr>
        <w:t xml:space="preserve"> Elaboración propia con datos de la CNBS</w:t>
      </w:r>
      <w:bookmarkEnd w:id="76"/>
    </w:p>
    <w:p w:rsidRPr="002F341C" w:rsidR="00D81EA1" w:rsidP="00D81EA1" w:rsidRDefault="00D81EA1" w14:paraId="285D128D" w14:textId="583DD542">
      <w:pPr>
        <w:pStyle w:val="Paragraph"/>
        <w:numPr>
          <w:ilvl w:val="0"/>
          <w:numId w:val="0"/>
        </w:numPr>
        <w:ind w:left="720"/>
        <w:rPr>
          <w:rFonts w:ascii="Arial" w:hAnsi="Arial" w:cs="Arial"/>
          <w:b/>
          <w:sz w:val="22"/>
          <w:szCs w:val="22"/>
        </w:rPr>
      </w:pPr>
      <w:bookmarkStart w:name="_Toc17804088" w:id="77"/>
      <w:r w:rsidRPr="002F341C">
        <w:rPr>
          <w:rFonts w:ascii="Arial" w:hAnsi="Arial" w:cs="Arial"/>
          <w:sz w:val="22"/>
          <w:szCs w:val="22"/>
          <w:lang w:eastAsia="es-MX"/>
        </w:rPr>
        <w:lastRenderedPageBreak/>
        <w:drawing>
          <wp:inline distT="0" distB="0" distL="0" distR="0" wp14:anchorId="572B27F5" wp14:editId="1B4497DA">
            <wp:extent cx="4394579" cy="2511188"/>
            <wp:effectExtent l="0" t="0" r="6350" b="381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bookmarkEnd w:id="77"/>
    </w:p>
    <w:p w:rsidRPr="002F341C" w:rsidR="002F2DE4" w:rsidP="002F2DE4" w:rsidRDefault="002F2DE4" w14:paraId="2676A4B0" w14:textId="58BEC798">
      <w:pPr>
        <w:pStyle w:val="Paragraph"/>
        <w:numPr>
          <w:ilvl w:val="0"/>
          <w:numId w:val="0"/>
        </w:numPr>
        <w:ind w:left="720"/>
        <w:jc w:val="left"/>
        <w:rPr>
          <w:rFonts w:ascii="Arial" w:hAnsi="Arial" w:cs="Arial"/>
          <w:sz w:val="18"/>
          <w:szCs w:val="18"/>
        </w:rPr>
      </w:pPr>
      <w:bookmarkStart w:name="_Toc17804089" w:id="78"/>
      <w:r w:rsidRPr="002F341C">
        <w:rPr>
          <w:rFonts w:ascii="Arial" w:hAnsi="Arial" w:cs="Arial"/>
          <w:sz w:val="18"/>
          <w:szCs w:val="18"/>
        </w:rPr>
        <w:t>Fuente:</w:t>
      </w:r>
      <w:r w:rsidRPr="002F341C" w:rsidR="009259DD">
        <w:rPr>
          <w:rFonts w:ascii="Arial" w:hAnsi="Arial" w:cs="Arial"/>
          <w:sz w:val="18"/>
          <w:szCs w:val="18"/>
        </w:rPr>
        <w:t xml:space="preserve"> Elaboración propia con datos de la CNBS</w:t>
      </w:r>
      <w:bookmarkEnd w:id="78"/>
    </w:p>
    <w:p w:rsidRPr="002F341C" w:rsidR="009259DD" w:rsidP="002F2DE4" w:rsidRDefault="009259DD" w14:paraId="29FBE59E" w14:textId="77777777">
      <w:pPr>
        <w:pStyle w:val="Paragraph"/>
        <w:numPr>
          <w:ilvl w:val="0"/>
          <w:numId w:val="0"/>
        </w:numPr>
        <w:ind w:left="720"/>
        <w:jc w:val="left"/>
        <w:rPr>
          <w:rFonts w:ascii="Arial" w:hAnsi="Arial" w:cs="Arial"/>
          <w:sz w:val="18"/>
          <w:szCs w:val="18"/>
        </w:rPr>
      </w:pPr>
    </w:p>
    <w:p w:rsidRPr="002F341C" w:rsidR="00997F24" w:rsidP="005E7BFE" w:rsidRDefault="006E1767" w14:paraId="47A0D06D" w14:textId="775CE9A9">
      <w:pPr>
        <w:pStyle w:val="Paragraph"/>
        <w:numPr>
          <w:ilvl w:val="0"/>
          <w:numId w:val="12"/>
        </w:numPr>
        <w:ind w:hanging="720"/>
        <w:rPr>
          <w:rFonts w:ascii="Arial" w:hAnsi="Arial" w:cs="Arial"/>
          <w:b/>
          <w:sz w:val="22"/>
          <w:szCs w:val="22"/>
        </w:rPr>
      </w:pPr>
      <w:bookmarkStart w:name="_Toc17804090" w:id="79"/>
      <w:r w:rsidRPr="002F341C">
        <w:rPr>
          <w:rFonts w:ascii="Arial" w:hAnsi="Arial" w:cs="Arial"/>
          <w:b/>
          <w:sz w:val="22"/>
          <w:szCs w:val="22"/>
        </w:rPr>
        <w:t>Crédito agrícola: Por tipo de entidad bancaria</w:t>
      </w:r>
      <w:bookmarkEnd w:id="79"/>
    </w:p>
    <w:p w:rsidRPr="002F341C" w:rsidR="00BF4108" w:rsidP="00BF4108" w:rsidRDefault="00BF4108" w14:paraId="197D41B1" w14:textId="1B0F55F8">
      <w:pPr>
        <w:pStyle w:val="Paragraph"/>
        <w:ind w:left="720" w:hanging="720"/>
        <w:rPr>
          <w:rFonts w:ascii="Arial" w:hAnsi="Arial" w:cs="Arial"/>
          <w:sz w:val="22"/>
          <w:szCs w:val="22"/>
          <w:lang w:eastAsia="es-ES"/>
        </w:rPr>
      </w:pPr>
      <w:bookmarkStart w:name="_Toc17804091" w:id="80"/>
      <w:r w:rsidRPr="002F341C">
        <w:rPr>
          <w:rFonts w:ascii="Arial" w:hAnsi="Arial" w:cs="Arial"/>
          <w:sz w:val="22"/>
          <w:szCs w:val="22"/>
          <w:lang w:eastAsia="es-ES"/>
        </w:rPr>
        <w:t xml:space="preserve">El sector agrícola es atendido por </w:t>
      </w:r>
      <w:r w:rsidRPr="002F341C" w:rsidR="00532D99">
        <w:rPr>
          <w:rFonts w:ascii="Arial" w:hAnsi="Arial" w:cs="Arial"/>
          <w:sz w:val="22"/>
          <w:szCs w:val="22"/>
          <w:lang w:eastAsia="es-ES"/>
        </w:rPr>
        <w:t>la may</w:t>
      </w:r>
      <w:r w:rsidRPr="002F341C">
        <w:rPr>
          <w:rFonts w:ascii="Arial" w:hAnsi="Arial" w:cs="Arial"/>
          <w:sz w:val="22"/>
          <w:szCs w:val="22"/>
          <w:lang w:eastAsia="es-ES"/>
        </w:rPr>
        <w:t>oría de los bancos. A junio de 2019, Banco Ficohsa es el principal fondeador del sector</w:t>
      </w:r>
      <w:r w:rsidRPr="002F341C" w:rsidR="00532D99">
        <w:rPr>
          <w:rFonts w:ascii="Arial" w:hAnsi="Arial" w:cs="Arial"/>
          <w:sz w:val="22"/>
          <w:szCs w:val="22"/>
          <w:lang w:eastAsia="es-ES"/>
        </w:rPr>
        <w:t>,</w:t>
      </w:r>
      <w:r w:rsidRPr="002F341C">
        <w:rPr>
          <w:rFonts w:ascii="Arial" w:hAnsi="Arial" w:cs="Arial"/>
          <w:sz w:val="22"/>
          <w:szCs w:val="22"/>
          <w:lang w:eastAsia="es-ES"/>
        </w:rPr>
        <w:t xml:space="preserve"> seguido por Banpaís, Banrural, Atlántida y Occidente. En el caso de </w:t>
      </w:r>
      <w:r w:rsidRPr="002F341C" w:rsidR="00562DBE">
        <w:rPr>
          <w:rFonts w:ascii="Arial" w:hAnsi="Arial" w:cs="Arial"/>
          <w:sz w:val="22"/>
          <w:szCs w:val="22"/>
          <w:lang w:eastAsia="es-ES"/>
        </w:rPr>
        <w:t>las sociedades financieras</w:t>
      </w:r>
      <w:r w:rsidRPr="002F341C" w:rsidR="00532D99">
        <w:rPr>
          <w:rFonts w:ascii="Arial" w:hAnsi="Arial" w:cs="Arial"/>
          <w:sz w:val="22"/>
          <w:szCs w:val="22"/>
          <w:lang w:eastAsia="es-ES"/>
        </w:rPr>
        <w:t xml:space="preserve">, el 97.1% del crédito al sector agrícola se concentra en </w:t>
      </w:r>
      <w:r w:rsidRPr="002F341C" w:rsidR="00562DBE">
        <w:rPr>
          <w:rFonts w:ascii="Arial" w:hAnsi="Arial" w:cs="Arial"/>
          <w:sz w:val="22"/>
          <w:szCs w:val="22"/>
          <w:lang w:eastAsia="es-ES"/>
        </w:rPr>
        <w:t>OD</w:t>
      </w:r>
      <w:r w:rsidRPr="002F341C" w:rsidR="00532D99">
        <w:rPr>
          <w:rFonts w:ascii="Arial" w:hAnsi="Arial" w:cs="Arial"/>
          <w:sz w:val="22"/>
          <w:szCs w:val="22"/>
          <w:lang w:eastAsia="es-ES"/>
        </w:rPr>
        <w:t xml:space="preserve">EF, </w:t>
      </w:r>
      <w:r w:rsidRPr="002F341C" w:rsidR="00562DBE">
        <w:rPr>
          <w:rFonts w:ascii="Arial" w:hAnsi="Arial" w:cs="Arial"/>
          <w:sz w:val="22"/>
          <w:szCs w:val="22"/>
          <w:lang w:eastAsia="es-ES"/>
        </w:rPr>
        <w:t>Credit Q y.</w:t>
      </w:r>
      <w:bookmarkEnd w:id="80"/>
    </w:p>
    <w:p w:rsidRPr="002F341C" w:rsidR="00852EB8" w:rsidP="00BF4108" w:rsidRDefault="00BD6539" w14:paraId="68892050" w14:textId="4AA0E9FC">
      <w:pPr>
        <w:pStyle w:val="Paragraph"/>
        <w:ind w:left="720" w:hanging="720"/>
        <w:rPr>
          <w:rFonts w:ascii="Arial" w:hAnsi="Arial" w:cs="Arial"/>
          <w:sz w:val="22"/>
          <w:szCs w:val="22"/>
          <w:lang w:eastAsia="es-ES"/>
        </w:rPr>
      </w:pPr>
      <w:bookmarkStart w:name="_Toc17804092" w:id="81"/>
      <w:r w:rsidRPr="002F341C">
        <w:rPr>
          <w:rFonts w:ascii="Arial" w:hAnsi="Arial" w:cs="Arial"/>
          <w:sz w:val="22"/>
          <w:szCs w:val="22"/>
          <w:lang w:eastAsia="es-ES"/>
        </w:rPr>
        <w:t xml:space="preserve">Al analizar las carteras agrícolas por entidades, se observa que los bancos que atienden a clientes corporativos tienden a concentrar sus carteras en el cultivo de la caña de azúcar y otros </w:t>
      </w:r>
      <w:r w:rsidRPr="002F341C" w:rsidR="00852EB8">
        <w:rPr>
          <w:rFonts w:ascii="Arial" w:hAnsi="Arial" w:cs="Arial"/>
          <w:sz w:val="22"/>
          <w:szCs w:val="22"/>
          <w:lang w:eastAsia="es-ES"/>
        </w:rPr>
        <w:t>cultivos (que incluye la palma africana);</w:t>
      </w:r>
      <w:r w:rsidRPr="002F341C">
        <w:rPr>
          <w:rFonts w:ascii="Arial" w:hAnsi="Arial" w:cs="Arial"/>
          <w:sz w:val="22"/>
          <w:szCs w:val="22"/>
          <w:lang w:eastAsia="es-ES"/>
        </w:rPr>
        <w:t xml:space="preserve"> que son justamente </w:t>
      </w:r>
      <w:r w:rsidRPr="002F341C" w:rsidR="00852EB8">
        <w:rPr>
          <w:rFonts w:ascii="Arial" w:hAnsi="Arial" w:cs="Arial"/>
          <w:sz w:val="22"/>
          <w:szCs w:val="22"/>
          <w:lang w:eastAsia="es-ES"/>
        </w:rPr>
        <w:t xml:space="preserve">cultivos </w:t>
      </w:r>
      <w:r w:rsidRPr="002F341C" w:rsidR="005D43D6">
        <w:rPr>
          <w:rFonts w:ascii="Arial" w:hAnsi="Arial" w:cs="Arial"/>
          <w:sz w:val="22"/>
          <w:szCs w:val="22"/>
          <w:lang w:eastAsia="es-ES"/>
        </w:rPr>
        <w:t>en donde la participación de la producción se concentra en corp</w:t>
      </w:r>
      <w:r w:rsidRPr="002F341C">
        <w:rPr>
          <w:rFonts w:ascii="Arial" w:hAnsi="Arial" w:cs="Arial"/>
          <w:sz w:val="22"/>
          <w:szCs w:val="22"/>
          <w:lang w:eastAsia="es-ES"/>
        </w:rPr>
        <w:t>oraciones o grandes productores; lo cual explicaría la participación de la banca corporativa dentro del crédito agrícola.</w:t>
      </w:r>
      <w:r w:rsidRPr="002F341C" w:rsidR="005D43D6">
        <w:rPr>
          <w:rFonts w:ascii="Arial" w:hAnsi="Arial" w:cs="Arial"/>
          <w:sz w:val="22"/>
          <w:szCs w:val="22"/>
          <w:lang w:eastAsia="es-ES"/>
        </w:rPr>
        <w:t xml:space="preserve"> Por ejemplo, Banco Ficohsa</w:t>
      </w:r>
      <w:r w:rsidRPr="002F341C">
        <w:rPr>
          <w:rFonts w:ascii="Arial" w:hAnsi="Arial" w:cs="Arial"/>
          <w:sz w:val="22"/>
          <w:szCs w:val="22"/>
          <w:lang w:eastAsia="es-ES"/>
        </w:rPr>
        <w:t xml:space="preserve"> concentra su </w:t>
      </w:r>
      <w:r w:rsidRPr="002F341C" w:rsidR="001B43CB">
        <w:rPr>
          <w:rFonts w:ascii="Arial" w:hAnsi="Arial" w:cs="Arial"/>
          <w:sz w:val="22"/>
          <w:szCs w:val="22"/>
          <w:lang w:eastAsia="es-ES"/>
        </w:rPr>
        <w:t>crédito en e</w:t>
      </w:r>
      <w:r w:rsidRPr="002F341C" w:rsidR="005D43D6">
        <w:rPr>
          <w:rFonts w:ascii="Arial" w:hAnsi="Arial" w:cs="Arial"/>
          <w:sz w:val="22"/>
          <w:szCs w:val="22"/>
          <w:lang w:eastAsia="es-ES"/>
        </w:rPr>
        <w:t xml:space="preserve">l cultivo de la caña </w:t>
      </w:r>
      <w:r w:rsidRPr="002F341C" w:rsidR="001B43CB">
        <w:rPr>
          <w:rFonts w:ascii="Arial" w:hAnsi="Arial" w:cs="Arial"/>
          <w:sz w:val="22"/>
          <w:szCs w:val="22"/>
          <w:lang w:eastAsia="es-ES"/>
        </w:rPr>
        <w:t>de azúcar (41</w:t>
      </w:r>
      <w:r w:rsidRPr="002F341C" w:rsidR="005D43D6">
        <w:rPr>
          <w:rFonts w:ascii="Arial" w:hAnsi="Arial" w:cs="Arial"/>
          <w:sz w:val="22"/>
          <w:szCs w:val="22"/>
          <w:lang w:eastAsia="es-ES"/>
        </w:rPr>
        <w:t>.2%</w:t>
      </w:r>
      <w:r w:rsidRPr="002F341C" w:rsidR="001B43CB">
        <w:rPr>
          <w:rFonts w:ascii="Arial" w:hAnsi="Arial" w:cs="Arial"/>
          <w:sz w:val="22"/>
          <w:szCs w:val="22"/>
          <w:lang w:eastAsia="es-ES"/>
        </w:rPr>
        <w:t>) y otros cultivos (</w:t>
      </w:r>
      <w:r w:rsidRPr="002F341C" w:rsidR="005D43D6">
        <w:rPr>
          <w:rFonts w:ascii="Arial" w:hAnsi="Arial" w:cs="Arial"/>
          <w:sz w:val="22"/>
          <w:szCs w:val="22"/>
          <w:lang w:eastAsia="es-ES"/>
        </w:rPr>
        <w:t>50.9%).</w:t>
      </w:r>
      <w:bookmarkEnd w:id="81"/>
    </w:p>
    <w:p w:rsidRPr="002F341C" w:rsidR="005D43D6" w:rsidP="00BF4108" w:rsidRDefault="005D43D6" w14:paraId="35C7E9F3" w14:textId="331A79FF">
      <w:pPr>
        <w:pStyle w:val="Paragraph"/>
        <w:ind w:left="720" w:hanging="720"/>
        <w:rPr>
          <w:rFonts w:ascii="Arial" w:hAnsi="Arial" w:cs="Arial"/>
          <w:sz w:val="22"/>
          <w:szCs w:val="22"/>
          <w:lang w:eastAsia="es-ES"/>
        </w:rPr>
      </w:pPr>
      <w:bookmarkStart w:name="_Toc17804093" w:id="82"/>
      <w:r w:rsidRPr="002F341C">
        <w:rPr>
          <w:rFonts w:ascii="Arial" w:hAnsi="Arial" w:cs="Arial"/>
          <w:sz w:val="22"/>
          <w:szCs w:val="22"/>
          <w:lang w:eastAsia="es-ES"/>
        </w:rPr>
        <w:t>Por el contrario, en las financieras el café</w:t>
      </w:r>
      <w:r w:rsidRPr="002F341C" w:rsidR="00F706C1">
        <w:rPr>
          <w:rStyle w:val="FootnoteReference"/>
          <w:rFonts w:ascii="Arial" w:hAnsi="Arial" w:cs="Arial"/>
          <w:sz w:val="22"/>
          <w:szCs w:val="22"/>
          <w:lang w:eastAsia="es-ES"/>
        </w:rPr>
        <w:footnoteReference w:id="20"/>
      </w:r>
      <w:r w:rsidRPr="002F341C">
        <w:rPr>
          <w:rFonts w:ascii="Arial" w:hAnsi="Arial" w:cs="Arial"/>
          <w:sz w:val="22"/>
          <w:szCs w:val="22"/>
          <w:lang w:eastAsia="es-ES"/>
        </w:rPr>
        <w:t xml:space="preserve"> representa el cultivo </w:t>
      </w:r>
      <w:r w:rsidRPr="002F341C" w:rsidR="00F706C1">
        <w:rPr>
          <w:rFonts w:ascii="Arial" w:hAnsi="Arial" w:cs="Arial"/>
          <w:sz w:val="22"/>
          <w:szCs w:val="22"/>
          <w:lang w:eastAsia="es-ES"/>
        </w:rPr>
        <w:t>con mayor participación (70.7%); mientras que</w:t>
      </w:r>
      <w:r w:rsidRPr="002F341C">
        <w:rPr>
          <w:rFonts w:ascii="Arial" w:hAnsi="Arial" w:cs="Arial"/>
          <w:sz w:val="22"/>
          <w:szCs w:val="22"/>
          <w:lang w:eastAsia="es-ES"/>
        </w:rPr>
        <w:t xml:space="preserve"> el remanente se distribuye entre hortalizas, tubérculos y frutas (9.1%), granos básicos (7.1%) y otro</w:t>
      </w:r>
      <w:r w:rsidRPr="002F341C" w:rsidR="00FF4F6A">
        <w:rPr>
          <w:rFonts w:ascii="Arial" w:hAnsi="Arial" w:cs="Arial"/>
          <w:sz w:val="22"/>
          <w:szCs w:val="22"/>
          <w:lang w:eastAsia="es-ES"/>
        </w:rPr>
        <w:t xml:space="preserve">s cultivos (13.0%). Una característica de </w:t>
      </w:r>
      <w:r w:rsidRPr="002F341C" w:rsidR="00A508D7">
        <w:rPr>
          <w:rFonts w:ascii="Arial" w:hAnsi="Arial" w:cs="Arial"/>
          <w:sz w:val="22"/>
          <w:szCs w:val="22"/>
          <w:lang w:eastAsia="es-ES"/>
        </w:rPr>
        <w:t>éstos</w:t>
      </w:r>
      <w:r w:rsidRPr="002F341C" w:rsidR="00FF4F6A">
        <w:rPr>
          <w:rFonts w:ascii="Arial" w:hAnsi="Arial" w:cs="Arial"/>
          <w:sz w:val="22"/>
          <w:szCs w:val="22"/>
          <w:lang w:eastAsia="es-ES"/>
        </w:rPr>
        <w:t xml:space="preserve"> es que son cultivados por pequeños productores.</w:t>
      </w:r>
      <w:bookmarkEnd w:id="82"/>
    </w:p>
    <w:p w:rsidRPr="002F341C" w:rsidR="002F2DE4" w:rsidP="005B27E4" w:rsidRDefault="00BF4108" w14:paraId="45714FA6" w14:textId="77777777">
      <w:pPr>
        <w:pStyle w:val="Paragraph"/>
        <w:numPr>
          <w:ilvl w:val="0"/>
          <w:numId w:val="0"/>
        </w:numPr>
        <w:ind w:left="720"/>
        <w:jc w:val="center"/>
        <w:rPr>
          <w:rFonts w:ascii="Arial" w:hAnsi="Arial" w:cs="Arial"/>
          <w:b/>
          <w:sz w:val="22"/>
          <w:szCs w:val="22"/>
        </w:rPr>
      </w:pPr>
      <w:bookmarkStart w:name="_Toc17804094" w:id="83"/>
      <w:r w:rsidRPr="002F341C">
        <w:rPr>
          <w:rFonts w:ascii="Arial" w:hAnsi="Arial" w:cs="Arial"/>
          <w:sz w:val="22"/>
          <w:szCs w:val="22"/>
          <w:lang w:eastAsia="es-MX"/>
        </w:rPr>
        <w:lastRenderedPageBreak/>
        <w:drawing>
          <wp:inline distT="0" distB="0" distL="0" distR="0" wp14:anchorId="14187F21" wp14:editId="154A92A7">
            <wp:extent cx="4106173" cy="2432649"/>
            <wp:effectExtent l="0" t="0" r="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bookmarkEnd w:id="83"/>
    </w:p>
    <w:p w:rsidRPr="002F341C" w:rsidR="002F2DE4" w:rsidP="002F2DE4" w:rsidRDefault="002F2DE4" w14:paraId="270975FD" w14:textId="207D238B">
      <w:pPr>
        <w:pStyle w:val="Paragraph"/>
        <w:numPr>
          <w:ilvl w:val="0"/>
          <w:numId w:val="0"/>
        </w:numPr>
        <w:ind w:left="720"/>
        <w:jc w:val="left"/>
        <w:rPr>
          <w:rFonts w:ascii="Arial" w:hAnsi="Arial" w:cs="Arial"/>
          <w:sz w:val="18"/>
          <w:szCs w:val="18"/>
        </w:rPr>
      </w:pPr>
      <w:bookmarkStart w:name="_Toc17804095" w:id="84"/>
      <w:r w:rsidRPr="002F341C">
        <w:rPr>
          <w:rFonts w:ascii="Arial" w:hAnsi="Arial" w:cs="Arial"/>
          <w:sz w:val="18"/>
          <w:szCs w:val="18"/>
        </w:rPr>
        <w:t>Fuente:</w:t>
      </w:r>
      <w:r w:rsidRPr="002F341C" w:rsidR="00716C41">
        <w:rPr>
          <w:rFonts w:ascii="Arial" w:hAnsi="Arial" w:cs="Arial"/>
          <w:sz w:val="18"/>
          <w:szCs w:val="18"/>
        </w:rPr>
        <w:t xml:space="preserve"> Elaboración propia con datos de CNBS</w:t>
      </w:r>
      <w:bookmarkEnd w:id="84"/>
    </w:p>
    <w:p w:rsidRPr="002F341C" w:rsidR="002F2DE4" w:rsidP="005B27E4" w:rsidRDefault="00AD3A79" w14:paraId="372E5064" w14:textId="77777777">
      <w:pPr>
        <w:pStyle w:val="Paragraph"/>
        <w:numPr>
          <w:ilvl w:val="0"/>
          <w:numId w:val="0"/>
        </w:numPr>
        <w:ind w:left="720"/>
        <w:jc w:val="center"/>
        <w:rPr>
          <w:rFonts w:ascii="Arial" w:hAnsi="Arial" w:cs="Arial"/>
          <w:b/>
          <w:sz w:val="22"/>
          <w:szCs w:val="22"/>
        </w:rPr>
      </w:pPr>
      <w:bookmarkStart w:name="_Toc17804096" w:id="85"/>
      <w:r w:rsidRPr="002F341C">
        <w:rPr>
          <w:rFonts w:ascii="Arial" w:hAnsi="Arial" w:cs="Arial"/>
          <w:sz w:val="22"/>
          <w:szCs w:val="22"/>
          <w:lang w:eastAsia="es-MX"/>
        </w:rPr>
        <w:drawing>
          <wp:inline distT="0" distB="0" distL="0" distR="0" wp14:anchorId="6E00B8AA" wp14:editId="6398EE88">
            <wp:extent cx="3925019" cy="2346205"/>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bookmarkEnd w:id="85"/>
    </w:p>
    <w:p w:rsidRPr="002F341C" w:rsidR="004A69E1" w:rsidP="004A69E1" w:rsidRDefault="002F2DE4" w14:paraId="1BF97752" w14:textId="77777777">
      <w:pPr>
        <w:pStyle w:val="Paragraph"/>
        <w:numPr>
          <w:ilvl w:val="0"/>
          <w:numId w:val="0"/>
        </w:numPr>
        <w:ind w:left="720"/>
        <w:jc w:val="left"/>
        <w:rPr>
          <w:rFonts w:ascii="Arial" w:hAnsi="Arial" w:cs="Arial"/>
          <w:sz w:val="18"/>
          <w:szCs w:val="18"/>
        </w:rPr>
      </w:pPr>
      <w:bookmarkStart w:name="_Toc17804097" w:id="86"/>
      <w:r w:rsidRPr="002F341C">
        <w:rPr>
          <w:rFonts w:ascii="Arial" w:hAnsi="Arial" w:cs="Arial"/>
          <w:sz w:val="18"/>
          <w:szCs w:val="18"/>
        </w:rPr>
        <w:t>Fuente:</w:t>
      </w:r>
      <w:r w:rsidRPr="002F341C" w:rsidR="004A69E1">
        <w:rPr>
          <w:rFonts w:ascii="Arial" w:hAnsi="Arial" w:cs="Arial"/>
          <w:sz w:val="18"/>
          <w:szCs w:val="18"/>
        </w:rPr>
        <w:t xml:space="preserve"> Elaboración propia con datos de CNBS</w:t>
      </w:r>
      <w:bookmarkEnd w:id="86"/>
    </w:p>
    <w:p w:rsidRPr="002F341C" w:rsidR="002F2DE4" w:rsidP="002F2DE4" w:rsidRDefault="002F2DE4" w14:paraId="23AB67CD" w14:textId="1C2847B1">
      <w:pPr>
        <w:pStyle w:val="Paragraph"/>
        <w:numPr>
          <w:ilvl w:val="0"/>
          <w:numId w:val="0"/>
        </w:numPr>
        <w:ind w:left="720"/>
        <w:jc w:val="left"/>
        <w:rPr>
          <w:rFonts w:ascii="Arial" w:hAnsi="Arial" w:cs="Arial"/>
          <w:sz w:val="18"/>
          <w:szCs w:val="18"/>
        </w:rPr>
      </w:pPr>
    </w:p>
    <w:p w:rsidRPr="002F341C" w:rsidR="002F2DE4" w:rsidP="00EA16E6" w:rsidRDefault="00BF4108" w14:paraId="3A9A91EE" w14:textId="77777777">
      <w:pPr>
        <w:pStyle w:val="Paragraph"/>
        <w:numPr>
          <w:ilvl w:val="0"/>
          <w:numId w:val="0"/>
        </w:numPr>
        <w:ind w:left="720"/>
        <w:jc w:val="left"/>
        <w:rPr>
          <w:rFonts w:ascii="Arial" w:hAnsi="Arial" w:cs="Arial"/>
          <w:b/>
          <w:sz w:val="22"/>
          <w:szCs w:val="22"/>
        </w:rPr>
      </w:pPr>
      <w:bookmarkStart w:name="_Toc17804098" w:id="87"/>
      <w:r w:rsidRPr="002F341C">
        <w:rPr>
          <w:rFonts w:ascii="Arial" w:hAnsi="Arial" w:cs="Arial"/>
          <w:sz w:val="22"/>
          <w:szCs w:val="22"/>
          <w:lang w:eastAsia="es-MX"/>
        </w:rPr>
        <w:drawing>
          <wp:inline distT="0" distB="0" distL="0" distR="0" wp14:anchorId="40BB1E5D" wp14:editId="4894F8DB">
            <wp:extent cx="4140679" cy="2467155"/>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bookmarkEnd w:id="87"/>
    </w:p>
    <w:p w:rsidRPr="002F341C" w:rsidR="004A69E1" w:rsidP="004A69E1" w:rsidRDefault="00EA16E6" w14:paraId="5702C57F" w14:textId="77777777">
      <w:pPr>
        <w:pStyle w:val="Paragraph"/>
        <w:numPr>
          <w:ilvl w:val="0"/>
          <w:numId w:val="0"/>
        </w:numPr>
        <w:ind w:left="720"/>
        <w:jc w:val="left"/>
        <w:rPr>
          <w:rFonts w:ascii="Arial" w:hAnsi="Arial" w:cs="Arial"/>
          <w:sz w:val="18"/>
          <w:szCs w:val="18"/>
        </w:rPr>
      </w:pPr>
      <w:bookmarkStart w:name="_Toc17804099" w:id="88"/>
      <w:r w:rsidRPr="002F341C">
        <w:rPr>
          <w:rFonts w:ascii="Arial" w:hAnsi="Arial" w:cs="Arial"/>
          <w:sz w:val="18"/>
          <w:szCs w:val="18"/>
        </w:rPr>
        <w:t>Fuente:</w:t>
      </w:r>
      <w:r w:rsidRPr="002F341C" w:rsidR="004A69E1">
        <w:rPr>
          <w:rFonts w:ascii="Arial" w:hAnsi="Arial" w:cs="Arial"/>
          <w:sz w:val="18"/>
          <w:szCs w:val="18"/>
        </w:rPr>
        <w:t xml:space="preserve"> Elaboración propia con datos de CNBS</w:t>
      </w:r>
      <w:bookmarkEnd w:id="88"/>
    </w:p>
    <w:p w:rsidRPr="002F341C" w:rsidR="00EA16E6" w:rsidP="00EA16E6" w:rsidRDefault="00EA16E6" w14:paraId="23AF8DE3" w14:textId="645CCBC9">
      <w:pPr>
        <w:pStyle w:val="Paragraph"/>
        <w:numPr>
          <w:ilvl w:val="0"/>
          <w:numId w:val="0"/>
        </w:numPr>
        <w:ind w:left="720"/>
        <w:jc w:val="left"/>
        <w:rPr>
          <w:rFonts w:ascii="Arial" w:hAnsi="Arial" w:cs="Arial"/>
          <w:sz w:val="18"/>
          <w:szCs w:val="18"/>
        </w:rPr>
      </w:pPr>
    </w:p>
    <w:p w:rsidRPr="002F341C" w:rsidR="00BF4108" w:rsidP="00EA16E6" w:rsidRDefault="005D43D6" w14:paraId="5C98FF7C" w14:textId="3E95CE76">
      <w:pPr>
        <w:pStyle w:val="Paragraph"/>
        <w:numPr>
          <w:ilvl w:val="0"/>
          <w:numId w:val="0"/>
        </w:numPr>
        <w:ind w:left="720"/>
        <w:jc w:val="left"/>
        <w:rPr>
          <w:rFonts w:ascii="Arial" w:hAnsi="Arial" w:cs="Arial"/>
          <w:b/>
          <w:sz w:val="22"/>
          <w:szCs w:val="22"/>
        </w:rPr>
      </w:pPr>
      <w:bookmarkStart w:name="_Toc17804100" w:id="89"/>
      <w:r w:rsidRPr="002F341C">
        <w:rPr>
          <w:rFonts w:ascii="Arial" w:hAnsi="Arial" w:cs="Arial"/>
          <w:sz w:val="22"/>
          <w:szCs w:val="22"/>
          <w:lang w:eastAsia="es-MX"/>
        </w:rPr>
        <w:drawing>
          <wp:inline distT="0" distB="0" distL="0" distR="0" wp14:anchorId="586775CA" wp14:editId="6902842B">
            <wp:extent cx="4175185" cy="2493034"/>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bookmarkEnd w:id="89"/>
    </w:p>
    <w:p w:rsidRPr="002F341C" w:rsidR="004A69E1" w:rsidP="004A69E1" w:rsidRDefault="00EA16E6" w14:paraId="1EB7FE18" w14:textId="77777777">
      <w:pPr>
        <w:pStyle w:val="Paragraph"/>
        <w:numPr>
          <w:ilvl w:val="0"/>
          <w:numId w:val="0"/>
        </w:numPr>
        <w:ind w:left="720"/>
        <w:jc w:val="left"/>
        <w:rPr>
          <w:rFonts w:ascii="Arial" w:hAnsi="Arial" w:cs="Arial"/>
          <w:sz w:val="18"/>
          <w:szCs w:val="18"/>
        </w:rPr>
      </w:pPr>
      <w:bookmarkStart w:name="_Toc17804101" w:id="90"/>
      <w:r w:rsidRPr="002F341C">
        <w:rPr>
          <w:rFonts w:ascii="Arial" w:hAnsi="Arial" w:cs="Arial"/>
          <w:sz w:val="18"/>
          <w:szCs w:val="18"/>
        </w:rPr>
        <w:t>Fuente:</w:t>
      </w:r>
      <w:r w:rsidRPr="002F341C" w:rsidR="004A69E1">
        <w:rPr>
          <w:rFonts w:ascii="Arial" w:hAnsi="Arial" w:cs="Arial"/>
          <w:sz w:val="18"/>
          <w:szCs w:val="18"/>
        </w:rPr>
        <w:t xml:space="preserve"> Elaboración propia con datos de CNBS</w:t>
      </w:r>
      <w:bookmarkEnd w:id="90"/>
    </w:p>
    <w:p w:rsidRPr="002F341C" w:rsidR="00EA16E6" w:rsidP="00EA16E6" w:rsidRDefault="00EA16E6" w14:paraId="79B5340C" w14:textId="209567B3">
      <w:pPr>
        <w:pStyle w:val="Paragraph"/>
        <w:numPr>
          <w:ilvl w:val="0"/>
          <w:numId w:val="0"/>
        </w:numPr>
        <w:ind w:left="720"/>
        <w:jc w:val="left"/>
        <w:rPr>
          <w:rFonts w:ascii="Arial" w:hAnsi="Arial" w:cs="Arial"/>
          <w:sz w:val="18"/>
          <w:szCs w:val="18"/>
        </w:rPr>
      </w:pPr>
    </w:p>
    <w:p w:rsidRPr="002F341C" w:rsidR="005E7148" w:rsidP="005E7BFE" w:rsidRDefault="00055E7F" w14:paraId="30DA709D" w14:textId="2C157539">
      <w:pPr>
        <w:pStyle w:val="Paragraph"/>
        <w:numPr>
          <w:ilvl w:val="0"/>
          <w:numId w:val="12"/>
        </w:numPr>
        <w:ind w:hanging="720"/>
        <w:rPr>
          <w:rFonts w:ascii="Arial" w:hAnsi="Arial" w:cs="Arial"/>
          <w:b/>
          <w:sz w:val="22"/>
          <w:szCs w:val="22"/>
        </w:rPr>
      </w:pPr>
      <w:bookmarkStart w:name="_Toc17804102" w:id="91"/>
      <w:r w:rsidRPr="002F341C">
        <w:rPr>
          <w:rFonts w:ascii="Arial" w:hAnsi="Arial" w:cs="Arial"/>
          <w:b/>
          <w:sz w:val="22"/>
          <w:szCs w:val="22"/>
        </w:rPr>
        <w:t>Barreras al crédito en e</w:t>
      </w:r>
      <w:r w:rsidRPr="002F341C" w:rsidR="005E7148">
        <w:rPr>
          <w:rFonts w:ascii="Arial" w:hAnsi="Arial" w:cs="Arial"/>
          <w:b/>
          <w:sz w:val="22"/>
          <w:szCs w:val="22"/>
        </w:rPr>
        <w:t>l corredor seco</w:t>
      </w:r>
      <w:r w:rsidRPr="002F341C">
        <w:rPr>
          <w:rFonts w:ascii="Arial" w:hAnsi="Arial" w:cs="Arial"/>
          <w:b/>
          <w:sz w:val="22"/>
          <w:szCs w:val="22"/>
        </w:rPr>
        <w:t xml:space="preserve"> de Honduras</w:t>
      </w:r>
      <w:bookmarkEnd w:id="91"/>
    </w:p>
    <w:p w:rsidRPr="002F341C" w:rsidR="00C84416" w:rsidP="00423D1D" w:rsidRDefault="00A27DEC" w14:paraId="73054A20" w14:textId="010203D4">
      <w:pPr>
        <w:pStyle w:val="Paragraph"/>
        <w:ind w:left="720" w:hanging="720"/>
        <w:rPr>
          <w:rFonts w:ascii="Arial" w:hAnsi="Arial" w:cs="Arial"/>
          <w:sz w:val="22"/>
          <w:szCs w:val="22"/>
          <w:lang w:eastAsia="es-ES"/>
        </w:rPr>
      </w:pPr>
      <w:bookmarkStart w:name="_Toc17804103" w:id="92"/>
      <w:r w:rsidRPr="002F341C">
        <w:rPr>
          <w:rFonts w:ascii="Arial" w:hAnsi="Arial" w:cs="Arial"/>
          <w:sz w:val="22"/>
          <w:szCs w:val="22"/>
          <w:lang w:eastAsia="es-ES"/>
        </w:rPr>
        <w:t>Acorde con datos de Swisscontact</w:t>
      </w:r>
      <w:r w:rsidRPr="002F341C" w:rsidR="004A69E1">
        <w:rPr>
          <w:rStyle w:val="FootnoteReference"/>
          <w:rFonts w:ascii="Arial" w:hAnsi="Arial" w:cs="Arial"/>
          <w:sz w:val="22"/>
          <w:szCs w:val="22"/>
          <w:lang w:eastAsia="es-ES"/>
        </w:rPr>
        <w:footnoteReference w:id="21"/>
      </w:r>
      <w:r w:rsidRPr="002F341C">
        <w:rPr>
          <w:rFonts w:ascii="Arial" w:hAnsi="Arial" w:cs="Arial"/>
          <w:sz w:val="22"/>
          <w:szCs w:val="22"/>
          <w:lang w:eastAsia="es-ES"/>
        </w:rPr>
        <w:t>, e</w:t>
      </w:r>
      <w:r w:rsidRPr="002F341C" w:rsidR="003617DF">
        <w:rPr>
          <w:rFonts w:ascii="Arial" w:hAnsi="Arial" w:cs="Arial"/>
          <w:sz w:val="22"/>
          <w:szCs w:val="22"/>
          <w:lang w:eastAsia="es-ES"/>
        </w:rPr>
        <w:t>l corredor seco de Honduras es una de las zonas más pobres del pa</w:t>
      </w:r>
      <w:r w:rsidRPr="002F341C">
        <w:rPr>
          <w:rFonts w:ascii="Arial" w:hAnsi="Arial" w:cs="Arial"/>
          <w:sz w:val="22"/>
          <w:szCs w:val="22"/>
          <w:lang w:eastAsia="es-ES"/>
        </w:rPr>
        <w:t>ís. En esta región el 65% de l</w:t>
      </w:r>
      <w:r w:rsidRPr="002F341C" w:rsidR="003A08B8">
        <w:rPr>
          <w:rFonts w:ascii="Arial" w:hAnsi="Arial" w:cs="Arial"/>
          <w:sz w:val="22"/>
          <w:szCs w:val="22"/>
          <w:lang w:eastAsia="es-ES"/>
        </w:rPr>
        <w:t xml:space="preserve">os hogares viven por debajo de la línea de la pobreza, y un 48% viven en extrema pobreza. </w:t>
      </w:r>
      <w:r w:rsidRPr="002F341C" w:rsidR="00C84416">
        <w:rPr>
          <w:rFonts w:ascii="Arial" w:hAnsi="Arial" w:cs="Arial"/>
          <w:sz w:val="22"/>
          <w:szCs w:val="22"/>
          <w:lang w:eastAsia="es-ES"/>
        </w:rPr>
        <w:t xml:space="preserve">Estos índices de </w:t>
      </w:r>
      <w:r w:rsidRPr="002F341C" w:rsidR="00A508D7">
        <w:rPr>
          <w:rFonts w:ascii="Arial" w:hAnsi="Arial" w:cs="Arial"/>
          <w:sz w:val="22"/>
          <w:szCs w:val="22"/>
          <w:lang w:eastAsia="es-ES"/>
        </w:rPr>
        <w:t>pobreza</w:t>
      </w:r>
      <w:r w:rsidRPr="002F341C" w:rsidR="00C84416">
        <w:rPr>
          <w:rFonts w:ascii="Arial" w:hAnsi="Arial" w:cs="Arial"/>
          <w:sz w:val="22"/>
          <w:szCs w:val="22"/>
          <w:lang w:eastAsia="es-ES"/>
        </w:rPr>
        <w:t xml:space="preserve"> </w:t>
      </w:r>
      <w:r w:rsidRPr="002F341C">
        <w:rPr>
          <w:rFonts w:ascii="Arial" w:hAnsi="Arial" w:cs="Arial"/>
          <w:sz w:val="22"/>
          <w:szCs w:val="22"/>
          <w:lang w:eastAsia="es-ES"/>
        </w:rPr>
        <w:t>pueden explicarse un</w:t>
      </w:r>
      <w:r w:rsidRPr="002F341C" w:rsidR="00C84416">
        <w:rPr>
          <w:rFonts w:ascii="Arial" w:hAnsi="Arial" w:cs="Arial"/>
          <w:sz w:val="22"/>
          <w:szCs w:val="22"/>
          <w:lang w:eastAsia="es-ES"/>
        </w:rPr>
        <w:t xml:space="preserve">a estructura económica </w:t>
      </w:r>
      <w:r w:rsidRPr="002F341C">
        <w:rPr>
          <w:rFonts w:ascii="Arial" w:hAnsi="Arial" w:cs="Arial"/>
          <w:sz w:val="22"/>
          <w:szCs w:val="22"/>
          <w:lang w:eastAsia="es-ES"/>
        </w:rPr>
        <w:t>en predomina l</w:t>
      </w:r>
      <w:r w:rsidRPr="002F341C" w:rsidR="00C84416">
        <w:rPr>
          <w:rFonts w:ascii="Arial" w:hAnsi="Arial" w:cs="Arial"/>
          <w:sz w:val="22"/>
          <w:szCs w:val="22"/>
          <w:lang w:eastAsia="es-ES"/>
        </w:rPr>
        <w:t>a agricultura de pequeña escala, con sistemas de producción poco tecnificados y altamente susceptible al cambio climático.</w:t>
      </w:r>
      <w:bookmarkEnd w:id="92"/>
    </w:p>
    <w:p w:rsidRPr="002F341C" w:rsidR="008E5925" w:rsidP="008E5925" w:rsidRDefault="00C84416" w14:paraId="7858DB01" w14:textId="77777777">
      <w:pPr>
        <w:pStyle w:val="Paragraph"/>
        <w:ind w:left="720" w:hanging="720"/>
        <w:rPr>
          <w:rFonts w:ascii="Arial" w:hAnsi="Arial" w:cs="Arial"/>
          <w:sz w:val="22"/>
          <w:szCs w:val="22"/>
          <w:lang w:eastAsia="es-ES"/>
        </w:rPr>
      </w:pPr>
      <w:bookmarkStart w:name="_Toc17804104" w:id="93"/>
      <w:r w:rsidRPr="002F341C">
        <w:rPr>
          <w:rFonts w:ascii="Arial" w:hAnsi="Arial" w:cs="Arial"/>
          <w:sz w:val="22"/>
          <w:szCs w:val="22"/>
          <w:lang w:eastAsia="es-ES"/>
        </w:rPr>
        <w:t xml:space="preserve">En este contexto, en </w:t>
      </w:r>
      <w:r w:rsidRPr="002F341C" w:rsidR="00055E7F">
        <w:rPr>
          <w:rFonts w:ascii="Arial" w:hAnsi="Arial" w:cs="Arial"/>
          <w:sz w:val="22"/>
          <w:szCs w:val="22"/>
          <w:lang w:eastAsia="es-ES"/>
        </w:rPr>
        <w:t xml:space="preserve">los últimos </w:t>
      </w:r>
      <w:r w:rsidRPr="002F341C" w:rsidR="005438DF">
        <w:rPr>
          <w:rFonts w:ascii="Arial" w:hAnsi="Arial" w:cs="Arial"/>
          <w:sz w:val="22"/>
          <w:szCs w:val="22"/>
          <w:lang w:eastAsia="es-ES"/>
        </w:rPr>
        <w:t>años, el Gobierno y la Comunidad Internacional ha</w:t>
      </w:r>
      <w:r w:rsidRPr="002F341C">
        <w:rPr>
          <w:rFonts w:ascii="Arial" w:hAnsi="Arial" w:cs="Arial"/>
          <w:sz w:val="22"/>
          <w:szCs w:val="22"/>
          <w:lang w:eastAsia="es-ES"/>
        </w:rPr>
        <w:t>n</w:t>
      </w:r>
      <w:r w:rsidRPr="002F341C" w:rsidR="005438DF">
        <w:rPr>
          <w:rFonts w:ascii="Arial" w:hAnsi="Arial" w:cs="Arial"/>
          <w:sz w:val="22"/>
          <w:szCs w:val="22"/>
          <w:lang w:eastAsia="es-ES"/>
        </w:rPr>
        <w:t xml:space="preserve"> impulsado </w:t>
      </w:r>
      <w:r w:rsidRPr="002F341C">
        <w:rPr>
          <w:rFonts w:ascii="Arial" w:hAnsi="Arial" w:cs="Arial"/>
          <w:sz w:val="22"/>
          <w:szCs w:val="22"/>
          <w:lang w:eastAsia="es-ES"/>
        </w:rPr>
        <w:t>una serie de programas</w:t>
      </w:r>
      <w:r w:rsidRPr="002F341C" w:rsidR="00791D24">
        <w:rPr>
          <w:rFonts w:ascii="Arial" w:hAnsi="Arial" w:cs="Arial"/>
          <w:sz w:val="22"/>
          <w:szCs w:val="22"/>
          <w:lang w:eastAsia="es-ES"/>
        </w:rPr>
        <w:t xml:space="preserve"> con la finalidad de reducir los niveles de pobreza y la vulnerabilidad de la población a</w:t>
      </w:r>
      <w:r w:rsidRPr="002F341C" w:rsidR="008E5925">
        <w:rPr>
          <w:rFonts w:ascii="Arial" w:hAnsi="Arial" w:cs="Arial"/>
          <w:sz w:val="22"/>
          <w:szCs w:val="22"/>
          <w:lang w:eastAsia="es-ES"/>
        </w:rPr>
        <w:t xml:space="preserve"> </w:t>
      </w:r>
      <w:r w:rsidRPr="002F341C" w:rsidR="00791D24">
        <w:rPr>
          <w:rFonts w:ascii="Arial" w:hAnsi="Arial" w:cs="Arial"/>
          <w:sz w:val="22"/>
          <w:szCs w:val="22"/>
          <w:lang w:eastAsia="es-ES"/>
        </w:rPr>
        <w:t>l</w:t>
      </w:r>
      <w:r w:rsidRPr="002F341C" w:rsidR="008E5925">
        <w:rPr>
          <w:rFonts w:ascii="Arial" w:hAnsi="Arial" w:cs="Arial"/>
          <w:sz w:val="22"/>
          <w:szCs w:val="22"/>
          <w:lang w:eastAsia="es-ES"/>
        </w:rPr>
        <w:t>os efectos del</w:t>
      </w:r>
      <w:r w:rsidRPr="002F341C" w:rsidR="00791D24">
        <w:rPr>
          <w:rFonts w:ascii="Arial" w:hAnsi="Arial" w:cs="Arial"/>
          <w:sz w:val="22"/>
          <w:szCs w:val="22"/>
          <w:lang w:eastAsia="es-ES"/>
        </w:rPr>
        <w:t xml:space="preserve"> cambio clim</w:t>
      </w:r>
      <w:r w:rsidRPr="002F341C" w:rsidR="008E5925">
        <w:rPr>
          <w:rFonts w:ascii="Arial" w:hAnsi="Arial" w:cs="Arial"/>
          <w:sz w:val="22"/>
          <w:szCs w:val="22"/>
          <w:lang w:eastAsia="es-ES"/>
        </w:rPr>
        <w:t>ático; para los cual, dichos programas están promoviendo:</w:t>
      </w:r>
      <w:bookmarkEnd w:id="93"/>
    </w:p>
    <w:p w:rsidRPr="002F341C" w:rsidR="008E5925" w:rsidP="005E7BFE" w:rsidRDefault="008E5925" w14:paraId="40E6AF52" w14:textId="77777777">
      <w:pPr>
        <w:pStyle w:val="Paragraph"/>
        <w:numPr>
          <w:ilvl w:val="0"/>
          <w:numId w:val="4"/>
        </w:numPr>
        <w:rPr>
          <w:rFonts w:ascii="Arial" w:hAnsi="Arial" w:cs="Arial"/>
          <w:sz w:val="22"/>
          <w:szCs w:val="22"/>
          <w:lang w:eastAsia="es-ES"/>
        </w:rPr>
      </w:pPr>
      <w:bookmarkStart w:name="_Toc17804105" w:id="94"/>
      <w:r w:rsidRPr="002F341C">
        <w:rPr>
          <w:rFonts w:ascii="Arial" w:hAnsi="Arial" w:cs="Arial"/>
          <w:sz w:val="22"/>
          <w:szCs w:val="22"/>
          <w:lang w:eastAsia="es-ES"/>
        </w:rPr>
        <w:t xml:space="preserve">La introducción de nuevos cultivos con el objetivo de </w:t>
      </w:r>
      <w:r w:rsidRPr="002F341C" w:rsidR="00C84416">
        <w:rPr>
          <w:rFonts w:ascii="Arial" w:hAnsi="Arial" w:cs="Arial"/>
          <w:sz w:val="22"/>
          <w:szCs w:val="22"/>
          <w:lang w:eastAsia="es-ES"/>
        </w:rPr>
        <w:t>diversificar las fuentes de ingresos</w:t>
      </w:r>
      <w:r w:rsidRPr="002F341C">
        <w:rPr>
          <w:rFonts w:ascii="Arial" w:hAnsi="Arial" w:cs="Arial"/>
          <w:sz w:val="22"/>
          <w:szCs w:val="22"/>
          <w:lang w:eastAsia="es-ES"/>
        </w:rPr>
        <w:t>;</w:t>
      </w:r>
      <w:bookmarkEnd w:id="94"/>
    </w:p>
    <w:p w:rsidRPr="002F341C" w:rsidR="00B96365" w:rsidP="005E7BFE" w:rsidRDefault="00B96365" w14:paraId="6E4C20C0" w14:textId="77777777">
      <w:pPr>
        <w:pStyle w:val="Paragraph"/>
        <w:numPr>
          <w:ilvl w:val="0"/>
          <w:numId w:val="4"/>
        </w:numPr>
        <w:rPr>
          <w:rFonts w:ascii="Arial" w:hAnsi="Arial" w:cs="Arial"/>
          <w:sz w:val="22"/>
          <w:szCs w:val="22"/>
          <w:lang w:eastAsia="es-ES"/>
        </w:rPr>
      </w:pPr>
      <w:bookmarkStart w:name="_Toc17804106" w:id="95"/>
      <w:r w:rsidRPr="002F341C">
        <w:rPr>
          <w:rFonts w:ascii="Arial" w:hAnsi="Arial" w:cs="Arial"/>
          <w:sz w:val="22"/>
          <w:szCs w:val="22"/>
          <w:lang w:eastAsia="es-ES"/>
        </w:rPr>
        <w:t>La tecnificación en el manejo de cultivos a través de la introducción de nuevas tecnologías e implementación de nuevas prácticas</w:t>
      </w:r>
      <w:bookmarkEnd w:id="95"/>
    </w:p>
    <w:p w:rsidRPr="002F341C" w:rsidR="008E5925" w:rsidP="005E7BFE" w:rsidRDefault="008E5925" w14:paraId="73B969EA" w14:textId="4BB63A6A">
      <w:pPr>
        <w:pStyle w:val="Paragraph"/>
        <w:numPr>
          <w:ilvl w:val="0"/>
          <w:numId w:val="4"/>
        </w:numPr>
        <w:rPr>
          <w:rFonts w:ascii="Arial" w:hAnsi="Arial" w:cs="Arial"/>
          <w:sz w:val="22"/>
          <w:szCs w:val="22"/>
          <w:lang w:eastAsia="es-ES"/>
        </w:rPr>
      </w:pPr>
      <w:bookmarkStart w:name="_Toc17804107" w:id="96"/>
      <w:r w:rsidRPr="002F341C">
        <w:rPr>
          <w:rFonts w:ascii="Arial" w:hAnsi="Arial" w:cs="Arial"/>
          <w:sz w:val="22"/>
          <w:szCs w:val="22"/>
          <w:lang w:eastAsia="es-ES"/>
        </w:rPr>
        <w:t xml:space="preserve">El fortalecimiento de las cadenas productivas para asegurar que los pequeños y medianos productores tengan un </w:t>
      </w:r>
      <w:r w:rsidRPr="002F341C" w:rsidR="001C2BBF">
        <w:rPr>
          <w:rFonts w:ascii="Arial" w:hAnsi="Arial" w:cs="Arial"/>
          <w:sz w:val="22"/>
          <w:szCs w:val="22"/>
          <w:lang w:eastAsia="es-ES"/>
        </w:rPr>
        <w:t>mayor</w:t>
      </w:r>
      <w:r w:rsidRPr="002F341C">
        <w:rPr>
          <w:rFonts w:ascii="Arial" w:hAnsi="Arial" w:cs="Arial"/>
          <w:sz w:val="22"/>
          <w:szCs w:val="22"/>
          <w:lang w:eastAsia="es-ES"/>
        </w:rPr>
        <w:t xml:space="preserve"> acceso al mercado</w:t>
      </w:r>
      <w:bookmarkEnd w:id="96"/>
    </w:p>
    <w:p w:rsidRPr="002F341C" w:rsidR="00055E7F" w:rsidP="005E7BFE" w:rsidRDefault="00B96365" w14:paraId="4E3EE1CD" w14:textId="227B0257">
      <w:pPr>
        <w:pStyle w:val="Paragraph"/>
        <w:numPr>
          <w:ilvl w:val="0"/>
          <w:numId w:val="4"/>
        </w:numPr>
        <w:rPr>
          <w:rFonts w:ascii="Arial" w:hAnsi="Arial" w:cs="Arial"/>
          <w:sz w:val="22"/>
          <w:szCs w:val="22"/>
          <w:lang w:eastAsia="es-ES"/>
        </w:rPr>
      </w:pPr>
      <w:bookmarkStart w:name="_Toc17804108" w:id="97"/>
      <w:r w:rsidRPr="002F341C">
        <w:rPr>
          <w:rFonts w:ascii="Arial" w:hAnsi="Arial" w:cs="Arial"/>
          <w:sz w:val="22"/>
          <w:szCs w:val="22"/>
          <w:lang w:eastAsia="es-ES"/>
        </w:rPr>
        <w:t>La educación en temas nutricionales y de salud para reducir las incidencias de enfermedades y la desnutrición en los niños</w:t>
      </w:r>
      <w:bookmarkEnd w:id="97"/>
    </w:p>
    <w:p w:rsidRPr="002F341C" w:rsidR="00F56A18" w:rsidP="00423D1D" w:rsidRDefault="00B96365" w14:paraId="21BC1B20" w14:textId="22A261EB">
      <w:pPr>
        <w:pStyle w:val="Paragraph"/>
        <w:ind w:left="720" w:hanging="720"/>
        <w:rPr>
          <w:rFonts w:ascii="Arial" w:hAnsi="Arial" w:cs="Arial"/>
          <w:b/>
          <w:sz w:val="22"/>
          <w:szCs w:val="22"/>
        </w:rPr>
      </w:pPr>
      <w:bookmarkStart w:name="_Toc17804109" w:id="98"/>
      <w:r w:rsidRPr="002F341C">
        <w:rPr>
          <w:rFonts w:ascii="Arial" w:hAnsi="Arial" w:cs="Arial"/>
          <w:sz w:val="22"/>
          <w:szCs w:val="22"/>
          <w:lang w:eastAsia="es-ES"/>
        </w:rPr>
        <w:t>Dichos proyectos, han dotado de infraestructura</w:t>
      </w:r>
      <w:r w:rsidRPr="002F341C" w:rsidR="00125883">
        <w:rPr>
          <w:rFonts w:ascii="Arial" w:hAnsi="Arial" w:cs="Arial"/>
          <w:sz w:val="22"/>
          <w:szCs w:val="22"/>
          <w:lang w:eastAsia="es-ES"/>
        </w:rPr>
        <w:t xml:space="preserve"> productiva</w:t>
      </w:r>
      <w:r w:rsidRPr="002F341C">
        <w:rPr>
          <w:rFonts w:ascii="Arial" w:hAnsi="Arial" w:cs="Arial"/>
          <w:sz w:val="22"/>
          <w:szCs w:val="22"/>
          <w:lang w:eastAsia="es-ES"/>
        </w:rPr>
        <w:t xml:space="preserve"> tanto a los pequeños productores, como a empresas anclas</w:t>
      </w:r>
      <w:r w:rsidRPr="002F341C" w:rsidR="00125883">
        <w:rPr>
          <w:rFonts w:ascii="Arial" w:hAnsi="Arial" w:cs="Arial"/>
          <w:sz w:val="22"/>
          <w:szCs w:val="22"/>
          <w:lang w:eastAsia="es-ES"/>
        </w:rPr>
        <w:t xml:space="preserve">; al tiempo que han implementado programas de asistencia técnica. No </w:t>
      </w:r>
      <w:r w:rsidRPr="002F341C" w:rsidR="00A508D7">
        <w:rPr>
          <w:rFonts w:ascii="Arial" w:hAnsi="Arial" w:cs="Arial"/>
          <w:sz w:val="22"/>
          <w:szCs w:val="22"/>
          <w:lang w:eastAsia="es-ES"/>
        </w:rPr>
        <w:t>obstante,</w:t>
      </w:r>
      <w:r w:rsidRPr="002F341C" w:rsidR="00125883">
        <w:rPr>
          <w:rFonts w:ascii="Arial" w:hAnsi="Arial" w:cs="Arial"/>
          <w:sz w:val="22"/>
          <w:szCs w:val="22"/>
          <w:lang w:eastAsia="es-ES"/>
        </w:rPr>
        <w:t xml:space="preserve"> estos esfuerzos, la expansión de las actividades económicas requiere de mayores recursos financieros</w:t>
      </w:r>
      <w:r w:rsidRPr="002F341C" w:rsidR="00F56A18">
        <w:rPr>
          <w:rFonts w:ascii="Arial" w:hAnsi="Arial" w:cs="Arial"/>
          <w:sz w:val="22"/>
          <w:szCs w:val="22"/>
          <w:lang w:eastAsia="es-ES"/>
        </w:rPr>
        <w:t xml:space="preserve"> que </w:t>
      </w:r>
      <w:r w:rsidRPr="002F341C" w:rsidR="001C2BBF">
        <w:rPr>
          <w:rFonts w:ascii="Arial" w:hAnsi="Arial" w:cs="Arial"/>
          <w:sz w:val="22"/>
          <w:szCs w:val="22"/>
          <w:lang w:eastAsia="es-ES"/>
        </w:rPr>
        <w:t>los que pueden movilizar el sector público</w:t>
      </w:r>
      <w:r w:rsidRPr="002F341C" w:rsidR="003572A4">
        <w:rPr>
          <w:rFonts w:ascii="Arial" w:hAnsi="Arial" w:cs="Arial"/>
          <w:sz w:val="22"/>
          <w:szCs w:val="22"/>
          <w:lang w:eastAsia="es-ES"/>
        </w:rPr>
        <w:t>.</w:t>
      </w:r>
      <w:r w:rsidRPr="002F341C" w:rsidR="00F56A18">
        <w:rPr>
          <w:rFonts w:ascii="Arial" w:hAnsi="Arial" w:cs="Arial"/>
          <w:sz w:val="22"/>
          <w:szCs w:val="22"/>
          <w:lang w:eastAsia="es-ES"/>
        </w:rPr>
        <w:t xml:space="preserve"> En</w:t>
      </w:r>
      <w:r w:rsidRPr="002F341C" w:rsidR="001C2BBF">
        <w:rPr>
          <w:rFonts w:ascii="Arial" w:hAnsi="Arial" w:cs="Arial"/>
          <w:sz w:val="22"/>
          <w:szCs w:val="22"/>
          <w:lang w:eastAsia="es-ES"/>
        </w:rPr>
        <w:t xml:space="preserve"> este sentido, el fomentar un ma</w:t>
      </w:r>
      <w:r w:rsidRPr="002F341C" w:rsidR="00F56A18">
        <w:rPr>
          <w:rFonts w:ascii="Arial" w:hAnsi="Arial" w:cs="Arial"/>
          <w:sz w:val="22"/>
          <w:szCs w:val="22"/>
          <w:lang w:eastAsia="es-ES"/>
        </w:rPr>
        <w:t xml:space="preserve">yor acceso </w:t>
      </w:r>
      <w:r w:rsidRPr="002F341C" w:rsidR="00F56A18">
        <w:rPr>
          <w:rFonts w:ascii="Arial" w:hAnsi="Arial" w:cs="Arial"/>
          <w:sz w:val="22"/>
          <w:szCs w:val="22"/>
          <w:lang w:eastAsia="es-ES"/>
        </w:rPr>
        <w:lastRenderedPageBreak/>
        <w:t>al crédito</w:t>
      </w:r>
      <w:r w:rsidRPr="002F341C" w:rsidR="001C2BBF">
        <w:rPr>
          <w:rFonts w:ascii="Arial" w:hAnsi="Arial" w:cs="Arial"/>
          <w:sz w:val="22"/>
          <w:szCs w:val="22"/>
          <w:lang w:eastAsia="es-ES"/>
        </w:rPr>
        <w:t xml:space="preserve"> es una condición necesaria para impulsar el desarrollo económico de la zona</w:t>
      </w:r>
      <w:r w:rsidRPr="002F341C" w:rsidR="00C86E98">
        <w:rPr>
          <w:rFonts w:ascii="Arial" w:hAnsi="Arial" w:cs="Arial"/>
          <w:sz w:val="22"/>
          <w:szCs w:val="22"/>
          <w:lang w:eastAsia="es-ES"/>
        </w:rPr>
        <w:t>.</w:t>
      </w:r>
      <w:bookmarkEnd w:id="98"/>
    </w:p>
    <w:p w:rsidRPr="002F341C" w:rsidR="00304A67" w:rsidP="002F2DE4" w:rsidRDefault="001C2BBF" w14:paraId="211493FB" w14:textId="2FAA7255">
      <w:pPr>
        <w:pStyle w:val="Paragraph"/>
        <w:ind w:left="720" w:hanging="720"/>
        <w:rPr>
          <w:rFonts w:ascii="Arial" w:hAnsi="Arial" w:cs="Arial"/>
          <w:b/>
          <w:sz w:val="22"/>
          <w:szCs w:val="22"/>
        </w:rPr>
      </w:pPr>
      <w:bookmarkStart w:name="_Toc17804110" w:id="99"/>
      <w:r w:rsidRPr="002F341C">
        <w:rPr>
          <w:rFonts w:ascii="Arial" w:hAnsi="Arial" w:cs="Arial"/>
          <w:sz w:val="22"/>
          <w:szCs w:val="22"/>
          <w:lang w:eastAsia="es-ES"/>
        </w:rPr>
        <w:t xml:space="preserve">Tal como se ha analizado ampliamente, en secciones previas, el crédito en esta región es escaso e inexistente para ciertos cultivos. </w:t>
      </w:r>
      <w:r w:rsidRPr="002F341C" w:rsidR="00273226">
        <w:rPr>
          <w:rFonts w:ascii="Arial" w:hAnsi="Arial" w:cs="Arial"/>
          <w:sz w:val="22"/>
          <w:szCs w:val="22"/>
          <w:lang w:eastAsia="es-ES"/>
        </w:rPr>
        <w:t>Por ej</w:t>
      </w:r>
      <w:r w:rsidRPr="002F341C" w:rsidR="00304A67">
        <w:rPr>
          <w:rFonts w:ascii="Arial" w:hAnsi="Arial" w:cs="Arial"/>
          <w:sz w:val="22"/>
          <w:szCs w:val="22"/>
          <w:lang w:eastAsia="es-ES"/>
        </w:rPr>
        <w:t>e</w:t>
      </w:r>
      <w:r w:rsidRPr="002F341C" w:rsidR="00273226">
        <w:rPr>
          <w:rFonts w:ascii="Arial" w:hAnsi="Arial" w:cs="Arial"/>
          <w:sz w:val="22"/>
          <w:szCs w:val="22"/>
          <w:lang w:eastAsia="es-ES"/>
        </w:rPr>
        <w:t>m</w:t>
      </w:r>
      <w:r w:rsidRPr="002F341C" w:rsidR="00304A67">
        <w:rPr>
          <w:rFonts w:ascii="Arial" w:hAnsi="Arial" w:cs="Arial"/>
          <w:sz w:val="22"/>
          <w:szCs w:val="22"/>
          <w:lang w:eastAsia="es-ES"/>
        </w:rPr>
        <w:t xml:space="preserve">plo, en el caso de los granos básicos, </w:t>
      </w:r>
      <w:r w:rsidRPr="002F341C" w:rsidR="00273226">
        <w:rPr>
          <w:rFonts w:ascii="Arial" w:hAnsi="Arial" w:cs="Arial"/>
          <w:sz w:val="22"/>
          <w:szCs w:val="22"/>
          <w:lang w:eastAsia="es-ES"/>
        </w:rPr>
        <w:t xml:space="preserve">el </w:t>
      </w:r>
      <w:r w:rsidRPr="002F341C">
        <w:rPr>
          <w:rFonts w:ascii="Arial" w:hAnsi="Arial" w:cs="Arial"/>
          <w:sz w:val="22"/>
          <w:szCs w:val="22"/>
          <w:lang w:eastAsia="es-ES"/>
        </w:rPr>
        <w:t xml:space="preserve">crédito otorgado por el sistema financiero </w:t>
      </w:r>
      <w:r w:rsidRPr="002F341C" w:rsidR="00304A67">
        <w:rPr>
          <w:rFonts w:ascii="Arial" w:hAnsi="Arial" w:cs="Arial"/>
          <w:sz w:val="22"/>
          <w:szCs w:val="22"/>
          <w:lang w:eastAsia="es-ES"/>
        </w:rPr>
        <w:t>a</w:t>
      </w:r>
      <w:r w:rsidRPr="002F341C">
        <w:rPr>
          <w:rFonts w:ascii="Arial" w:hAnsi="Arial" w:cs="Arial"/>
          <w:sz w:val="22"/>
          <w:szCs w:val="22"/>
          <w:lang w:eastAsia="es-ES"/>
        </w:rPr>
        <w:t>sciende a</w:t>
      </w:r>
      <w:r w:rsidRPr="002F341C" w:rsidR="00304A67">
        <w:rPr>
          <w:rFonts w:ascii="Arial" w:hAnsi="Arial" w:cs="Arial"/>
          <w:sz w:val="22"/>
          <w:szCs w:val="22"/>
          <w:lang w:eastAsia="es-ES"/>
        </w:rPr>
        <w:t xml:space="preserve"> </w:t>
      </w:r>
      <w:r w:rsidRPr="002F341C" w:rsidR="002F75E5">
        <w:rPr>
          <w:rFonts w:ascii="Arial" w:hAnsi="Arial" w:cs="Arial"/>
          <w:sz w:val="22"/>
          <w:szCs w:val="22"/>
          <w:lang w:eastAsia="es-ES"/>
        </w:rPr>
        <w:t>US$</w:t>
      </w:r>
      <w:r w:rsidRPr="002F341C" w:rsidR="00304A67">
        <w:rPr>
          <w:rFonts w:ascii="Arial" w:hAnsi="Arial" w:cs="Arial"/>
          <w:sz w:val="22"/>
          <w:szCs w:val="22"/>
          <w:lang w:eastAsia="es-ES"/>
        </w:rPr>
        <w:t>8</w:t>
      </w:r>
      <w:r w:rsidRPr="002F341C" w:rsidR="002F75E5">
        <w:rPr>
          <w:rFonts w:ascii="Arial" w:hAnsi="Arial" w:cs="Arial"/>
          <w:sz w:val="22"/>
          <w:szCs w:val="22"/>
          <w:lang w:eastAsia="es-ES"/>
        </w:rPr>
        <w:t>,</w:t>
      </w:r>
      <w:r w:rsidRPr="002F341C" w:rsidR="00304A67">
        <w:rPr>
          <w:rFonts w:ascii="Arial" w:hAnsi="Arial" w:cs="Arial"/>
          <w:sz w:val="22"/>
          <w:szCs w:val="22"/>
          <w:lang w:eastAsia="es-ES"/>
        </w:rPr>
        <w:t>2 millones, monto que al compararlo con el valor agregado bruto</w:t>
      </w:r>
      <w:r w:rsidRPr="002F341C">
        <w:rPr>
          <w:rFonts w:ascii="Arial" w:hAnsi="Arial" w:cs="Arial"/>
          <w:sz w:val="22"/>
          <w:szCs w:val="22"/>
          <w:lang w:eastAsia="es-ES"/>
        </w:rPr>
        <w:t xml:space="preserve"> generado por el sector </w:t>
      </w:r>
      <w:r w:rsidRPr="002F341C" w:rsidR="00304A67">
        <w:rPr>
          <w:rFonts w:ascii="Arial" w:hAnsi="Arial" w:cs="Arial"/>
          <w:sz w:val="22"/>
          <w:szCs w:val="22"/>
          <w:lang w:eastAsia="es-ES"/>
        </w:rPr>
        <w:t>(</w:t>
      </w:r>
      <w:r w:rsidRPr="002F341C" w:rsidR="002F75E5">
        <w:rPr>
          <w:rFonts w:ascii="Arial" w:hAnsi="Arial" w:cs="Arial"/>
          <w:sz w:val="22"/>
          <w:szCs w:val="22"/>
          <w:lang w:eastAsia="es-ES"/>
        </w:rPr>
        <w:t>US$</w:t>
      </w:r>
      <w:r w:rsidRPr="002F341C" w:rsidR="00304A67">
        <w:rPr>
          <w:rFonts w:ascii="Arial" w:hAnsi="Arial" w:cs="Arial"/>
          <w:sz w:val="22"/>
          <w:szCs w:val="22"/>
          <w:lang w:eastAsia="es-ES"/>
        </w:rPr>
        <w:t>223</w:t>
      </w:r>
      <w:r w:rsidRPr="002F341C" w:rsidR="002F75E5">
        <w:rPr>
          <w:rFonts w:ascii="Arial" w:hAnsi="Arial" w:cs="Arial"/>
          <w:sz w:val="22"/>
          <w:szCs w:val="22"/>
          <w:lang w:eastAsia="es-ES"/>
        </w:rPr>
        <w:t>,</w:t>
      </w:r>
      <w:r w:rsidRPr="002F341C" w:rsidR="00304A67">
        <w:rPr>
          <w:rFonts w:ascii="Arial" w:hAnsi="Arial" w:cs="Arial"/>
          <w:sz w:val="22"/>
          <w:szCs w:val="22"/>
          <w:lang w:eastAsia="es-ES"/>
        </w:rPr>
        <w:t>4 millones)</w:t>
      </w:r>
      <w:r w:rsidRPr="002F341C" w:rsidR="00273226">
        <w:rPr>
          <w:rFonts w:ascii="Arial" w:hAnsi="Arial" w:cs="Arial"/>
          <w:sz w:val="22"/>
          <w:szCs w:val="22"/>
          <w:lang w:eastAsia="es-ES"/>
        </w:rPr>
        <w:t xml:space="preserve">, y </w:t>
      </w:r>
      <w:r w:rsidRPr="002F341C" w:rsidR="00386B1F">
        <w:rPr>
          <w:rFonts w:ascii="Arial" w:hAnsi="Arial" w:cs="Arial"/>
          <w:sz w:val="22"/>
          <w:szCs w:val="22"/>
          <w:lang w:eastAsia="es-ES"/>
        </w:rPr>
        <w:t xml:space="preserve">con </w:t>
      </w:r>
      <w:r w:rsidRPr="002F341C" w:rsidR="00273226">
        <w:rPr>
          <w:rFonts w:ascii="Arial" w:hAnsi="Arial" w:cs="Arial"/>
          <w:sz w:val="22"/>
          <w:szCs w:val="22"/>
          <w:lang w:eastAsia="es-ES"/>
        </w:rPr>
        <w:t xml:space="preserve">la relevancia </w:t>
      </w:r>
      <w:r w:rsidRPr="002F341C" w:rsidR="00386B1F">
        <w:rPr>
          <w:rFonts w:ascii="Arial" w:hAnsi="Arial" w:cs="Arial"/>
          <w:sz w:val="22"/>
          <w:szCs w:val="22"/>
          <w:lang w:eastAsia="es-ES"/>
        </w:rPr>
        <w:t>p</w:t>
      </w:r>
      <w:r w:rsidRPr="002F341C" w:rsidR="00273226">
        <w:rPr>
          <w:rFonts w:ascii="Arial" w:hAnsi="Arial" w:cs="Arial"/>
          <w:sz w:val="22"/>
          <w:szCs w:val="22"/>
          <w:lang w:eastAsia="es-ES"/>
        </w:rPr>
        <w:t>ara la seguridad alimentaria del país</w:t>
      </w:r>
      <w:r w:rsidRPr="002F341C" w:rsidR="00386B1F">
        <w:rPr>
          <w:rFonts w:ascii="Arial" w:hAnsi="Arial" w:cs="Arial"/>
          <w:sz w:val="22"/>
          <w:szCs w:val="22"/>
          <w:lang w:eastAsia="es-ES"/>
        </w:rPr>
        <w:t xml:space="preserve"> es insuficiente.</w:t>
      </w:r>
      <w:bookmarkEnd w:id="99"/>
    </w:p>
    <w:p w:rsidRPr="002F341C" w:rsidR="00FF05A6" w:rsidP="00423D1D" w:rsidRDefault="00FF05A6" w14:paraId="6F821527" w14:textId="5579B6CB">
      <w:pPr>
        <w:pStyle w:val="Paragraph"/>
        <w:ind w:left="720" w:hanging="720"/>
        <w:rPr>
          <w:rFonts w:ascii="Arial" w:hAnsi="Arial" w:cs="Arial"/>
          <w:b/>
          <w:sz w:val="22"/>
          <w:szCs w:val="22"/>
        </w:rPr>
      </w:pPr>
      <w:bookmarkStart w:name="_Toc17804111" w:id="100"/>
      <w:r w:rsidRPr="002F341C">
        <w:rPr>
          <w:rFonts w:ascii="Arial" w:hAnsi="Arial" w:cs="Arial"/>
          <w:sz w:val="22"/>
          <w:szCs w:val="22"/>
          <w:lang w:eastAsia="es-ES"/>
        </w:rPr>
        <w:t>Probablemente el escaso nivel de crédito, en los cultivos tradicionales, puede explicarse por la falta de previsibilidad en la rentabilidad de los cultivos</w:t>
      </w:r>
      <w:r w:rsidRPr="002F341C" w:rsidR="001C2BBF">
        <w:rPr>
          <w:rFonts w:ascii="Arial" w:hAnsi="Arial" w:cs="Arial"/>
          <w:sz w:val="22"/>
          <w:szCs w:val="22"/>
          <w:lang w:eastAsia="es-ES"/>
        </w:rPr>
        <w:t>;</w:t>
      </w:r>
      <w:r w:rsidRPr="002F341C">
        <w:rPr>
          <w:rFonts w:ascii="Arial" w:hAnsi="Arial" w:cs="Arial"/>
          <w:sz w:val="22"/>
          <w:szCs w:val="22"/>
          <w:lang w:eastAsia="es-ES"/>
        </w:rPr>
        <w:t xml:space="preserve"> así como </w:t>
      </w:r>
      <w:r w:rsidRPr="002F341C" w:rsidR="001C2BBF">
        <w:rPr>
          <w:rFonts w:ascii="Arial" w:hAnsi="Arial" w:cs="Arial"/>
          <w:sz w:val="22"/>
          <w:szCs w:val="22"/>
          <w:lang w:eastAsia="es-ES"/>
        </w:rPr>
        <w:t xml:space="preserve">en </w:t>
      </w:r>
      <w:r w:rsidRPr="002F341C">
        <w:rPr>
          <w:rFonts w:ascii="Arial" w:hAnsi="Arial" w:cs="Arial"/>
          <w:sz w:val="22"/>
          <w:szCs w:val="22"/>
          <w:lang w:eastAsia="es-ES"/>
        </w:rPr>
        <w:t>el tamaño mismo de las operaciones</w:t>
      </w:r>
      <w:r w:rsidRPr="002F341C" w:rsidR="00376E53">
        <w:rPr>
          <w:rFonts w:ascii="Arial" w:hAnsi="Arial" w:cs="Arial"/>
          <w:sz w:val="22"/>
          <w:szCs w:val="22"/>
          <w:lang w:eastAsia="es-ES"/>
        </w:rPr>
        <w:t xml:space="preserve"> de los productores</w:t>
      </w:r>
      <w:r w:rsidRPr="002F341C" w:rsidR="00115B06">
        <w:rPr>
          <w:rFonts w:ascii="Arial" w:hAnsi="Arial" w:cs="Arial"/>
          <w:sz w:val="22"/>
          <w:szCs w:val="22"/>
          <w:lang w:eastAsia="es-ES"/>
        </w:rPr>
        <w:t xml:space="preserve">, </w:t>
      </w:r>
      <w:r w:rsidRPr="002F341C" w:rsidR="00376E53">
        <w:rPr>
          <w:rFonts w:ascii="Arial" w:hAnsi="Arial" w:cs="Arial"/>
          <w:sz w:val="22"/>
          <w:szCs w:val="22"/>
          <w:lang w:eastAsia="es-ES"/>
        </w:rPr>
        <w:t xml:space="preserve">lo </w:t>
      </w:r>
      <w:r w:rsidRPr="002F341C">
        <w:rPr>
          <w:rFonts w:ascii="Arial" w:hAnsi="Arial" w:cs="Arial"/>
          <w:sz w:val="22"/>
          <w:szCs w:val="22"/>
          <w:lang w:eastAsia="es-ES"/>
        </w:rPr>
        <w:t>que puede suponer una barrera importante para la banca en términos de costo</w:t>
      </w:r>
      <w:r w:rsidRPr="002F341C" w:rsidR="00376E53">
        <w:rPr>
          <w:rFonts w:ascii="Arial" w:hAnsi="Arial" w:cs="Arial"/>
          <w:sz w:val="22"/>
          <w:szCs w:val="22"/>
          <w:lang w:eastAsia="es-ES"/>
        </w:rPr>
        <w:t xml:space="preserve"> operativos</w:t>
      </w:r>
      <w:r w:rsidRPr="002F341C">
        <w:rPr>
          <w:rFonts w:ascii="Arial" w:hAnsi="Arial" w:cs="Arial"/>
          <w:sz w:val="22"/>
          <w:szCs w:val="22"/>
          <w:lang w:eastAsia="es-ES"/>
        </w:rPr>
        <w:t xml:space="preserve"> y </w:t>
      </w:r>
      <w:r w:rsidRPr="002F341C" w:rsidR="00376E53">
        <w:rPr>
          <w:rFonts w:ascii="Arial" w:hAnsi="Arial" w:cs="Arial"/>
          <w:sz w:val="22"/>
          <w:szCs w:val="22"/>
          <w:lang w:eastAsia="es-ES"/>
        </w:rPr>
        <w:t xml:space="preserve">nivel </w:t>
      </w:r>
      <w:r w:rsidRPr="002F341C">
        <w:rPr>
          <w:rFonts w:ascii="Arial" w:hAnsi="Arial" w:cs="Arial"/>
          <w:sz w:val="22"/>
          <w:szCs w:val="22"/>
          <w:lang w:eastAsia="es-ES"/>
        </w:rPr>
        <w:t xml:space="preserve">de riesgo. </w:t>
      </w:r>
      <w:r w:rsidRPr="002F341C" w:rsidR="00376E53">
        <w:rPr>
          <w:rFonts w:ascii="Arial" w:hAnsi="Arial" w:cs="Arial"/>
          <w:sz w:val="22"/>
          <w:szCs w:val="22"/>
          <w:lang w:eastAsia="es-ES"/>
        </w:rPr>
        <w:t>Lo anterior</w:t>
      </w:r>
      <w:r w:rsidRPr="002F341C">
        <w:rPr>
          <w:rFonts w:ascii="Arial" w:hAnsi="Arial" w:cs="Arial"/>
          <w:sz w:val="22"/>
          <w:szCs w:val="22"/>
          <w:lang w:eastAsia="es-ES"/>
        </w:rPr>
        <w:t xml:space="preserve">, probablemente podría inclusive </w:t>
      </w:r>
      <w:r w:rsidRPr="002F341C" w:rsidR="00E56BB9">
        <w:rPr>
          <w:rFonts w:ascii="Arial" w:hAnsi="Arial" w:cs="Arial"/>
          <w:sz w:val="22"/>
          <w:szCs w:val="22"/>
          <w:lang w:eastAsia="es-ES"/>
        </w:rPr>
        <w:t>ser una barrera más relevante qu</w:t>
      </w:r>
      <w:r w:rsidRPr="002F341C">
        <w:rPr>
          <w:rFonts w:ascii="Arial" w:hAnsi="Arial" w:cs="Arial"/>
          <w:sz w:val="22"/>
          <w:szCs w:val="22"/>
          <w:lang w:eastAsia="es-ES"/>
        </w:rPr>
        <w:t>e la falta de garantías reales por parte de los potenciales clientes</w:t>
      </w:r>
      <w:r w:rsidRPr="002F341C" w:rsidR="005432C6">
        <w:rPr>
          <w:rStyle w:val="FootnoteReference"/>
          <w:rFonts w:ascii="Arial" w:hAnsi="Arial" w:cs="Arial"/>
          <w:sz w:val="22"/>
          <w:szCs w:val="22"/>
          <w:lang w:eastAsia="es-ES"/>
        </w:rPr>
        <w:footnoteReference w:id="22"/>
      </w:r>
      <w:r w:rsidRPr="002F341C">
        <w:rPr>
          <w:rFonts w:ascii="Arial" w:hAnsi="Arial" w:cs="Arial"/>
          <w:sz w:val="22"/>
          <w:szCs w:val="22"/>
          <w:lang w:eastAsia="es-ES"/>
        </w:rPr>
        <w:t>.</w:t>
      </w:r>
      <w:bookmarkEnd w:id="100"/>
    </w:p>
    <w:p w:rsidRPr="002F341C" w:rsidR="00FF05A6" w:rsidP="00423D1D" w:rsidRDefault="00FF05A6" w14:paraId="20C9BF86" w14:textId="334A351B">
      <w:pPr>
        <w:pStyle w:val="Paragraph"/>
        <w:ind w:left="720" w:hanging="720"/>
        <w:rPr>
          <w:rFonts w:ascii="Arial" w:hAnsi="Arial" w:cs="Arial"/>
          <w:b/>
          <w:sz w:val="22"/>
          <w:szCs w:val="22"/>
        </w:rPr>
      </w:pPr>
      <w:bookmarkStart w:name="_Toc17804112" w:id="101"/>
      <w:r w:rsidRPr="002F341C">
        <w:rPr>
          <w:rFonts w:ascii="Arial" w:hAnsi="Arial" w:cs="Arial"/>
          <w:sz w:val="22"/>
          <w:szCs w:val="22"/>
          <w:lang w:eastAsia="es-ES"/>
        </w:rPr>
        <w:t xml:space="preserve">En este sentido, </w:t>
      </w:r>
      <w:r w:rsidRPr="002F341C" w:rsidR="005432C6">
        <w:rPr>
          <w:rFonts w:ascii="Arial" w:hAnsi="Arial" w:cs="Arial"/>
          <w:sz w:val="22"/>
          <w:szCs w:val="22"/>
          <w:lang w:eastAsia="es-ES"/>
        </w:rPr>
        <w:t>el acceso al crédito es restringido por las mismas causas que imposibilitan el desarrollo de la zona, tales como:</w:t>
      </w:r>
      <w:bookmarkEnd w:id="101"/>
    </w:p>
    <w:p w:rsidRPr="002F341C" w:rsidR="005432C6" w:rsidP="005E7BFE" w:rsidRDefault="005432C6" w14:paraId="64DDFD45" w14:textId="29D6AA4F">
      <w:pPr>
        <w:pStyle w:val="Paragraph"/>
        <w:numPr>
          <w:ilvl w:val="0"/>
          <w:numId w:val="5"/>
        </w:numPr>
        <w:rPr>
          <w:rFonts w:ascii="Arial" w:hAnsi="Arial" w:cs="Arial"/>
          <w:sz w:val="22"/>
          <w:szCs w:val="22"/>
        </w:rPr>
      </w:pPr>
      <w:bookmarkStart w:name="_Toc17804113" w:id="102"/>
      <w:r w:rsidRPr="002F341C">
        <w:rPr>
          <w:rFonts w:ascii="Arial" w:hAnsi="Arial" w:cs="Arial"/>
          <w:sz w:val="22"/>
          <w:szCs w:val="22"/>
        </w:rPr>
        <w:t>Cultivos de muy pequeña escala, con bajos niveles de rentabilidad</w:t>
      </w:r>
      <w:bookmarkEnd w:id="102"/>
      <w:r w:rsidRPr="002F341C" w:rsidR="00FF7FAC">
        <w:rPr>
          <w:rFonts w:ascii="Arial" w:hAnsi="Arial" w:cs="Arial"/>
          <w:sz w:val="22"/>
          <w:szCs w:val="22"/>
        </w:rPr>
        <w:t xml:space="preserve"> </w:t>
      </w:r>
    </w:p>
    <w:p w:rsidRPr="002F341C" w:rsidR="005432C6" w:rsidP="005E7BFE" w:rsidRDefault="005432C6" w14:paraId="0C3417F8" w14:textId="2EC72B58">
      <w:pPr>
        <w:pStyle w:val="Paragraph"/>
        <w:numPr>
          <w:ilvl w:val="0"/>
          <w:numId w:val="5"/>
        </w:numPr>
        <w:rPr>
          <w:rFonts w:ascii="Arial" w:hAnsi="Arial" w:cs="Arial"/>
          <w:sz w:val="22"/>
          <w:szCs w:val="22"/>
        </w:rPr>
      </w:pPr>
      <w:bookmarkStart w:name="_Toc17804114" w:id="103"/>
      <w:r w:rsidRPr="002F341C">
        <w:rPr>
          <w:rFonts w:ascii="Arial" w:hAnsi="Arial" w:cs="Arial"/>
          <w:sz w:val="22"/>
          <w:szCs w:val="22"/>
        </w:rPr>
        <w:t>Alta volatilidad en los ingresos</w:t>
      </w:r>
      <w:r w:rsidRPr="002F341C" w:rsidR="00FF7FAC">
        <w:rPr>
          <w:rFonts w:ascii="Arial" w:hAnsi="Arial" w:cs="Arial"/>
          <w:sz w:val="22"/>
          <w:szCs w:val="22"/>
        </w:rPr>
        <w:t>, producto de variaciones de precio o como efecto del cambio climático</w:t>
      </w:r>
      <w:bookmarkEnd w:id="103"/>
    </w:p>
    <w:p w:rsidRPr="002F341C" w:rsidR="005432C6" w:rsidP="005E7BFE" w:rsidRDefault="005432C6" w14:paraId="140660B3" w14:textId="41013A8B">
      <w:pPr>
        <w:pStyle w:val="Paragraph"/>
        <w:numPr>
          <w:ilvl w:val="0"/>
          <w:numId w:val="5"/>
        </w:numPr>
        <w:rPr>
          <w:rFonts w:ascii="Arial" w:hAnsi="Arial" w:cs="Arial"/>
          <w:sz w:val="22"/>
          <w:szCs w:val="22"/>
        </w:rPr>
      </w:pPr>
      <w:bookmarkStart w:name="_Toc17804115" w:id="104"/>
      <w:r w:rsidRPr="002F341C">
        <w:rPr>
          <w:rFonts w:ascii="Arial" w:hAnsi="Arial" w:cs="Arial"/>
          <w:sz w:val="22"/>
          <w:szCs w:val="22"/>
        </w:rPr>
        <w:t xml:space="preserve">Altos costos operativos dentro de la banca, que hacen poco rentable el otorgar créditos de </w:t>
      </w:r>
      <w:r w:rsidRPr="002F341C" w:rsidR="00FF7FAC">
        <w:rPr>
          <w:rFonts w:ascii="Arial" w:hAnsi="Arial" w:cs="Arial"/>
          <w:sz w:val="22"/>
          <w:szCs w:val="22"/>
        </w:rPr>
        <w:t>bajos montos</w:t>
      </w:r>
      <w:bookmarkEnd w:id="104"/>
    </w:p>
    <w:p w:rsidRPr="002F341C" w:rsidR="005432C6" w:rsidP="005E7BFE" w:rsidRDefault="00FF7FAC" w14:paraId="37571E13" w14:textId="44F13037">
      <w:pPr>
        <w:pStyle w:val="Paragraph"/>
        <w:numPr>
          <w:ilvl w:val="0"/>
          <w:numId w:val="5"/>
        </w:numPr>
        <w:rPr>
          <w:rFonts w:ascii="Arial" w:hAnsi="Arial" w:cs="Arial"/>
          <w:sz w:val="22"/>
          <w:szCs w:val="22"/>
        </w:rPr>
      </w:pPr>
      <w:bookmarkStart w:name="_Toc17804116" w:id="105"/>
      <w:r w:rsidRPr="002F341C">
        <w:rPr>
          <w:rFonts w:ascii="Arial" w:hAnsi="Arial" w:cs="Arial"/>
          <w:sz w:val="22"/>
          <w:szCs w:val="22"/>
        </w:rPr>
        <w:t>Falta de encadenamiento de los pequeños y medianos productores con los mercados.</w:t>
      </w:r>
      <w:bookmarkEnd w:id="105"/>
    </w:p>
    <w:p w:rsidRPr="002F341C" w:rsidR="00FF7FAC" w:rsidP="005E7BFE" w:rsidRDefault="00FF7FAC" w14:paraId="2B505C49" w14:textId="59B00690">
      <w:pPr>
        <w:pStyle w:val="Paragraph"/>
        <w:numPr>
          <w:ilvl w:val="0"/>
          <w:numId w:val="5"/>
        </w:numPr>
        <w:rPr>
          <w:rFonts w:ascii="Arial" w:hAnsi="Arial" w:cs="Arial"/>
          <w:sz w:val="22"/>
          <w:szCs w:val="22"/>
        </w:rPr>
      </w:pPr>
      <w:bookmarkStart w:name="_Toc17804117" w:id="106"/>
      <w:r w:rsidRPr="002F341C">
        <w:rPr>
          <w:rFonts w:ascii="Arial" w:hAnsi="Arial" w:cs="Arial"/>
          <w:sz w:val="22"/>
          <w:szCs w:val="22"/>
        </w:rPr>
        <w:t>Falta de productos crediticios que sean acordes con la generación de ingresos de los cultivos</w:t>
      </w:r>
      <w:bookmarkEnd w:id="106"/>
    </w:p>
    <w:p w:rsidRPr="002F341C" w:rsidR="005C1785" w:rsidP="3B089B2A" w:rsidRDefault="005C1785" w14:paraId="61403271" w14:textId="70AB09CB">
      <w:pPr>
        <w:pStyle w:val="Paragraph"/>
        <w:ind w:left="720" w:hanging="720"/>
        <w:rPr>
          <w:rFonts w:ascii="Arial" w:hAnsi="Arial" w:cs="Arial"/>
          <w:b w:val="1"/>
          <w:bCs w:val="1"/>
          <w:sz w:val="22"/>
          <w:szCs w:val="22"/>
          <w:lang w:eastAsia="es-ES"/>
        </w:rPr>
      </w:pPr>
      <w:bookmarkStart w:name="_Toc17804118" w:id="107"/>
      <w:r w:rsidRPr="002F341C">
        <w:rPr>
          <w:rFonts w:ascii="Arial" w:hAnsi="Arial" w:cs="Arial"/>
          <w:sz w:val="22"/>
          <w:szCs w:val="22"/>
          <w:lang w:eastAsia="es-ES"/>
        </w:rPr>
        <w:t xml:space="preserve">Dado este contexto, el Pro</w:t>
      </w:r>
      <w:r w:rsidRPr="002F341C">
        <w:rPr>
          <w:rFonts w:ascii="Arial" w:hAnsi="Arial" w:cs="Arial"/>
          <w:sz w:val="22"/>
          <w:szCs w:val="22"/>
          <w:lang w:eastAsia="es-ES"/>
        </w:rPr>
        <w:t xml:space="preserve">yecto</w:t>
      </w:r>
      <w:r w:rsidRPr="002F341C">
        <w:rPr>
          <w:rFonts w:ascii="Arial" w:hAnsi="Arial" w:cs="Arial"/>
          <w:sz w:val="22"/>
          <w:szCs w:val="22"/>
          <w:lang w:eastAsia="es-ES"/>
        </w:rPr>
        <w:t xml:space="preserve"> fomentará </w:t>
      </w:r>
      <w:r w:rsidRPr="002F341C" w:rsidR="00E43EF9">
        <w:rPr>
          <w:rFonts w:ascii="Arial" w:hAnsi="Arial" w:cs="Arial"/>
          <w:sz w:val="22"/>
          <w:szCs w:val="22"/>
          <w:lang w:eastAsia="es-ES"/>
        </w:rPr>
        <w:t xml:space="preserve">productos crediticios que permitan </w:t>
      </w:r>
      <w:r w:rsidRPr="002F341C">
        <w:rPr>
          <w:rFonts w:ascii="Arial" w:hAnsi="Arial" w:cs="Arial"/>
          <w:sz w:val="22"/>
          <w:szCs w:val="22"/>
          <w:lang w:eastAsia="es-ES"/>
        </w:rPr>
        <w:t>la adopción de</w:t>
      </w:r>
      <w:r w:rsidRPr="002F341C" w:rsidR="00E43EF9">
        <w:rPr>
          <w:rFonts w:ascii="Arial" w:hAnsi="Arial" w:cs="Arial"/>
          <w:sz w:val="22"/>
          <w:szCs w:val="22"/>
          <w:lang w:eastAsia="es-ES"/>
        </w:rPr>
        <w:t xml:space="preserve"> nuevas tecnologías</w:t>
      </w:r>
      <w:r w:rsidRPr="002F341C">
        <w:rPr>
          <w:rFonts w:ascii="Arial" w:hAnsi="Arial" w:cs="Arial"/>
          <w:sz w:val="22"/>
          <w:szCs w:val="22"/>
          <w:lang w:eastAsia="es-ES"/>
        </w:rPr>
        <w:t xml:space="preserve"> que permitan incrementar la </w:t>
      </w:r>
      <w:r w:rsidRPr="002F341C" w:rsidR="00CD63B8">
        <w:rPr>
          <w:rFonts w:ascii="Arial" w:hAnsi="Arial" w:cs="Arial"/>
          <w:sz w:val="22"/>
          <w:szCs w:val="22"/>
          <w:lang w:eastAsia="es-ES"/>
        </w:rPr>
        <w:t>resiliencia</w:t>
      </w:r>
      <w:r w:rsidRPr="002F341C">
        <w:rPr>
          <w:rFonts w:ascii="Arial" w:hAnsi="Arial" w:cs="Arial"/>
          <w:sz w:val="22"/>
          <w:szCs w:val="22"/>
          <w:lang w:eastAsia="es-ES"/>
        </w:rPr>
        <w:t xml:space="preserve"> a los cambios climáticos</w:t>
      </w:r>
      <w:r w:rsidRPr="002F341C" w:rsidR="00E43EF9">
        <w:rPr>
          <w:rFonts w:ascii="Arial" w:hAnsi="Arial" w:cs="Arial"/>
          <w:sz w:val="22"/>
          <w:szCs w:val="22"/>
          <w:lang w:eastAsia="es-ES"/>
        </w:rPr>
        <w:t>, mejores prácticas de producción</w:t>
      </w:r>
      <w:r w:rsidRPr="002F341C">
        <w:rPr>
          <w:rFonts w:ascii="Arial" w:hAnsi="Arial" w:cs="Arial"/>
          <w:sz w:val="22"/>
          <w:szCs w:val="22"/>
          <w:lang w:eastAsia="es-ES"/>
        </w:rPr>
        <w:t xml:space="preserve">, una </w:t>
      </w:r>
      <w:r w:rsidRPr="002F341C" w:rsidR="00E43EF9">
        <w:rPr>
          <w:rFonts w:ascii="Arial" w:hAnsi="Arial" w:cs="Arial"/>
          <w:sz w:val="22"/>
          <w:szCs w:val="22"/>
          <w:lang w:eastAsia="es-ES"/>
        </w:rPr>
        <w:t>mayor toma de riesgo por parte de los productores</w:t>
      </w:r>
      <w:r w:rsidRPr="002F341C">
        <w:rPr>
          <w:rFonts w:ascii="Arial" w:hAnsi="Arial" w:cs="Arial"/>
          <w:sz w:val="22"/>
          <w:szCs w:val="22"/>
          <w:lang w:eastAsia="es-ES"/>
        </w:rPr>
        <w:t xml:space="preserve"> (diversificación de ingresos) y la promoción del encadenamiento de los PMP a través de las empresas anclas</w:t>
      </w:r>
      <w:r w:rsidRPr="002F341C" w:rsidR="00E43EF9">
        <w:rPr>
          <w:rFonts w:ascii="Arial" w:hAnsi="Arial" w:cs="Arial"/>
          <w:sz w:val="22"/>
          <w:szCs w:val="22"/>
          <w:lang w:eastAsia="es-ES"/>
        </w:rPr>
        <w:t xml:space="preserve">. </w:t>
      </w:r>
      <w:r w:rsidRPr="002F341C" w:rsidR="00C14A75">
        <w:rPr>
          <w:rFonts w:ascii="Arial" w:hAnsi="Arial" w:cs="Arial"/>
          <w:sz w:val="22"/>
          <w:szCs w:val="22"/>
          <w:lang w:eastAsia="es-ES"/>
        </w:rPr>
        <w:t>En este sentido, la oferta crediticia, en la zona, se verá favorecida con una fuente de fondeo que permitan otorgar operaciones de crédito de largo plazo, con planes de pago flexible y acorde con la generación de ingresos de los cultivos</w:t>
      </w:r>
      <w:r w:rsidRPr="002F341C" w:rsidR="00C14A75">
        <w:rPr>
          <w:rStyle w:val="FootnoteReference"/>
          <w:rFonts w:ascii="Arial" w:hAnsi="Arial" w:cs="Arial"/>
          <w:sz w:val="22"/>
          <w:szCs w:val="22"/>
          <w:lang w:eastAsia="es-ES"/>
        </w:rPr>
        <w:footnoteReference w:id="23"/>
      </w:r>
      <w:r w:rsidRPr="002F341C" w:rsidR="00C14A75">
        <w:rPr>
          <w:rFonts w:ascii="Arial" w:hAnsi="Arial" w:cs="Arial"/>
          <w:sz w:val="22"/>
          <w:szCs w:val="22"/>
          <w:lang w:eastAsia="es-ES"/>
        </w:rPr>
        <w:t>.</w:t>
      </w:r>
      <w:bookmarkEnd w:id="107"/>
    </w:p>
    <w:p w:rsidRPr="002F341C" w:rsidR="005C1785" w:rsidP="3B089B2A" w:rsidRDefault="005C1785" w14:paraId="539DBB5D" w14:textId="407FD388">
      <w:pPr>
        <w:pStyle w:val="Paragraph"/>
        <w:ind w:left="720" w:hanging="720"/>
        <w:rPr>
          <w:rFonts w:ascii="Arial" w:hAnsi="Arial" w:cs="Arial"/>
          <w:sz w:val="22"/>
          <w:szCs w:val="22"/>
          <w:lang w:eastAsia="es-ES"/>
        </w:rPr>
      </w:pPr>
      <w:bookmarkStart w:name="_Toc17804119" w:id="108"/>
      <w:r w:rsidRPr="3B089B2A" w:rsidR="3B089B2A">
        <w:rPr>
          <w:rFonts w:ascii="Arial" w:hAnsi="Arial" w:cs="Arial"/>
          <w:sz w:val="22"/>
          <w:szCs w:val="22"/>
          <w:lang w:eastAsia="es-ES"/>
        </w:rPr>
        <w:t xml:space="preserve">En la próxima sección se profundiza en las principales características de los </w:t>
      </w:r>
      <w:r w:rsidRPr="3B089B2A" w:rsidR="3B089B2A">
        <w:rPr>
          <w:rFonts w:ascii="Arial" w:hAnsi="Arial" w:cs="Arial"/>
          <w:sz w:val="22"/>
          <w:szCs w:val="22"/>
          <w:lang w:eastAsia="es-ES"/>
        </w:rPr>
        <w:t>programa</w:t>
      </w:r>
      <w:r w:rsidRPr="3B089B2A" w:rsidR="3B089B2A">
        <w:rPr>
          <w:rFonts w:ascii="Arial" w:hAnsi="Arial" w:cs="Arial"/>
          <w:sz w:val="22"/>
          <w:szCs w:val="22"/>
          <w:lang w:eastAsia="es-ES"/>
        </w:rPr>
        <w:t xml:space="preserve">s de fomento al crédito en la zona de influencia del </w:t>
      </w:r>
      <w:r w:rsidRPr="3B089B2A" w:rsidR="3B089B2A">
        <w:rPr>
          <w:rFonts w:ascii="Arial" w:hAnsi="Arial" w:cs="Arial"/>
          <w:sz w:val="22"/>
          <w:szCs w:val="22"/>
          <w:lang w:eastAsia="es-ES"/>
        </w:rPr>
        <w:t>p</w:t>
      </w:r>
      <w:r w:rsidRPr="3B089B2A" w:rsidR="3B089B2A">
        <w:rPr>
          <w:rFonts w:ascii="Arial" w:hAnsi="Arial" w:cs="Arial"/>
          <w:sz w:val="22"/>
          <w:szCs w:val="22"/>
          <w:lang w:eastAsia="es-ES"/>
        </w:rPr>
        <w:t>ro</w:t>
      </w:r>
      <w:r w:rsidRPr="3B089B2A" w:rsidR="3B089B2A">
        <w:rPr>
          <w:rFonts w:ascii="Arial" w:hAnsi="Arial" w:cs="Arial"/>
          <w:sz w:val="22"/>
          <w:szCs w:val="22"/>
          <w:lang w:eastAsia="es-ES"/>
        </w:rPr>
        <w:t>yecto</w:t>
      </w:r>
      <w:r w:rsidRPr="3B089B2A" w:rsidR="3B089B2A">
        <w:rPr>
          <w:rFonts w:ascii="Arial" w:hAnsi="Arial" w:cs="Arial"/>
          <w:sz w:val="22"/>
          <w:szCs w:val="22"/>
          <w:lang w:eastAsia="es-ES"/>
        </w:rPr>
        <w:t>.</w:t>
      </w:r>
      <w:bookmarkEnd w:id="108"/>
    </w:p>
    <w:p w:rsidRPr="002F341C" w:rsidR="00E43EF9" w:rsidP="005C1785" w:rsidRDefault="00E43EF9" w14:paraId="4EE8E1AE" w14:textId="119AF214">
      <w:pPr>
        <w:pStyle w:val="Paragraph"/>
        <w:numPr>
          <w:ilvl w:val="0"/>
          <w:numId w:val="0"/>
        </w:numPr>
        <w:ind w:left="720"/>
        <w:rPr>
          <w:rFonts w:ascii="Arial" w:hAnsi="Arial" w:cs="Arial"/>
          <w:sz w:val="22"/>
          <w:szCs w:val="22"/>
          <w:lang w:eastAsia="es-ES"/>
        </w:rPr>
      </w:pPr>
    </w:p>
    <w:p w:rsidRPr="002F341C" w:rsidR="005C1785" w:rsidP="005C1785" w:rsidRDefault="005C1785" w14:paraId="0045B253" w14:textId="77777777">
      <w:pPr>
        <w:pStyle w:val="Paragraph"/>
        <w:numPr>
          <w:ilvl w:val="0"/>
          <w:numId w:val="0"/>
        </w:numPr>
        <w:ind w:left="720"/>
        <w:rPr>
          <w:rFonts w:ascii="Arial" w:hAnsi="Arial" w:cs="Arial"/>
          <w:sz w:val="22"/>
          <w:szCs w:val="22"/>
          <w:lang w:eastAsia="es-ES"/>
        </w:rPr>
      </w:pPr>
    </w:p>
    <w:p w:rsidRPr="002F341C" w:rsidR="005C1785" w:rsidP="005C1785" w:rsidRDefault="005C1785" w14:paraId="0CD6D174" w14:textId="77777777">
      <w:pPr>
        <w:pStyle w:val="Paragraph"/>
        <w:numPr>
          <w:ilvl w:val="0"/>
          <w:numId w:val="0"/>
        </w:numPr>
        <w:ind w:left="720"/>
        <w:rPr>
          <w:rFonts w:ascii="Arial" w:hAnsi="Arial" w:cs="Arial"/>
          <w:sz w:val="22"/>
          <w:szCs w:val="22"/>
          <w:lang w:eastAsia="es-ES"/>
        </w:rPr>
      </w:pPr>
    </w:p>
    <w:p w:rsidRPr="002F341C" w:rsidR="005C1785" w:rsidP="005C1785" w:rsidRDefault="005C1785" w14:paraId="282E0491" w14:textId="77777777">
      <w:pPr>
        <w:pStyle w:val="Paragraph"/>
        <w:numPr>
          <w:ilvl w:val="0"/>
          <w:numId w:val="0"/>
        </w:numPr>
        <w:ind w:left="720"/>
        <w:rPr>
          <w:rFonts w:ascii="Arial" w:hAnsi="Arial" w:cs="Arial"/>
          <w:sz w:val="22"/>
          <w:szCs w:val="22"/>
          <w:lang w:eastAsia="es-ES"/>
        </w:rPr>
      </w:pPr>
    </w:p>
    <w:p w:rsidRPr="002F341C" w:rsidR="00E67112" w:rsidP="006A1820" w:rsidRDefault="00E67112" w14:paraId="644063FA" w14:textId="7E1B9375">
      <w:pPr>
        <w:pStyle w:val="Chapter"/>
        <w:tabs>
          <w:tab w:val="clear" w:pos="648"/>
          <w:tab w:val="num" w:pos="720"/>
        </w:tabs>
        <w:ind w:left="720" w:hanging="630"/>
        <w:jc w:val="left"/>
        <w:rPr>
          <w:rFonts w:ascii="Arial" w:hAnsi="Arial" w:cs="Arial"/>
          <w:sz w:val="22"/>
          <w:szCs w:val="22"/>
        </w:rPr>
      </w:pPr>
      <w:r w:rsidRPr="002F341C">
        <w:rPr>
          <w:rFonts w:ascii="Arial" w:hAnsi="Arial" w:cs="Arial"/>
          <w:sz w:val="22"/>
          <w:szCs w:val="22"/>
        </w:rPr>
        <w:lastRenderedPageBreak/>
        <w:t>Demanda potencial identificada: descripción y productos</w:t>
      </w:r>
    </w:p>
    <w:p w:rsidRPr="002F341C" w:rsidR="009323FE" w:rsidP="3B089B2A" w:rsidRDefault="009323FE" w14:paraId="665565FE" w14:textId="701610BD">
      <w:pPr>
        <w:pStyle w:val="Paragraph"/>
        <w:numPr>
          <w:ilvl w:val="0"/>
          <w:numId w:val="13"/>
        </w:numPr>
        <w:ind w:hanging="720"/>
        <w:rPr>
          <w:rFonts w:ascii="Arial" w:hAnsi="Arial" w:cs="Arial"/>
          <w:b w:val="1"/>
          <w:bCs w:val="1"/>
          <w:sz w:val="22"/>
          <w:szCs w:val="22"/>
        </w:rPr>
      </w:pPr>
      <w:bookmarkStart w:name="_Toc17804120" w:id="109"/>
      <w:r w:rsidRPr="3B089B2A" w:rsidR="3B089B2A">
        <w:rPr>
          <w:rFonts w:ascii="Arial" w:hAnsi="Arial" w:cs="Arial"/>
          <w:b w:val="1"/>
          <w:bCs w:val="1"/>
          <w:sz w:val="22"/>
          <w:szCs w:val="22"/>
        </w:rPr>
        <w:t xml:space="preserve">Estimación de la demanda potencial de crédito en la zona de influencia del </w:t>
      </w:r>
      <w:r w:rsidRPr="3B089B2A" w:rsidR="3B089B2A">
        <w:rPr>
          <w:rFonts w:ascii="Arial" w:hAnsi="Arial" w:cs="Arial"/>
          <w:b w:val="1"/>
          <w:bCs w:val="1"/>
          <w:sz w:val="22"/>
          <w:szCs w:val="22"/>
        </w:rPr>
        <w:t>p</w:t>
      </w:r>
      <w:r w:rsidRPr="3B089B2A" w:rsidR="3B089B2A">
        <w:rPr>
          <w:rFonts w:ascii="Arial" w:hAnsi="Arial" w:cs="Arial"/>
          <w:b w:val="1"/>
          <w:bCs w:val="1"/>
          <w:sz w:val="22"/>
          <w:szCs w:val="22"/>
        </w:rPr>
        <w:t>ro</w:t>
      </w:r>
      <w:r w:rsidRPr="3B089B2A" w:rsidR="3B089B2A">
        <w:rPr>
          <w:rFonts w:ascii="Arial" w:hAnsi="Arial" w:cs="Arial"/>
          <w:b w:val="1"/>
          <w:bCs w:val="1"/>
          <w:sz w:val="22"/>
          <w:szCs w:val="22"/>
        </w:rPr>
        <w:t>yecto</w:t>
      </w:r>
    </w:p>
    <w:p w:rsidRPr="002F341C" w:rsidR="004A36C9" w:rsidP="00EA16E6" w:rsidRDefault="002568E4" w14:paraId="278FD585" w14:textId="666F8B35">
      <w:pPr>
        <w:pStyle w:val="Paragraph"/>
        <w:ind w:left="720" w:hanging="720"/>
        <w:rPr>
          <w:rFonts w:ascii="Arial" w:hAnsi="Arial" w:cs="Arial"/>
          <w:sz w:val="22"/>
          <w:szCs w:val="22"/>
          <w:lang w:eastAsia="es-ES"/>
        </w:rPr>
      </w:pPr>
      <w:r w:rsidRPr="002F341C">
        <w:rPr>
          <w:rFonts w:ascii="Arial" w:hAnsi="Arial" w:cs="Arial"/>
          <w:sz w:val="22"/>
          <w:szCs w:val="22"/>
          <w:lang w:eastAsia="es-ES"/>
        </w:rPr>
        <w:t>Conforme el análisis presentado en las secciones previas,</w:t>
      </w:r>
      <w:r w:rsidRPr="002F341C" w:rsidR="004A36C9">
        <w:rPr>
          <w:rFonts w:ascii="Arial" w:hAnsi="Arial" w:cs="Arial"/>
          <w:sz w:val="22"/>
          <w:szCs w:val="22"/>
          <w:lang w:eastAsia="es-ES"/>
        </w:rPr>
        <w:t xml:space="preserve"> el impulso de la actividad agropecuaria es una estrategia de desarrollo en las zonas rurales; particularmente en la zona del corredor seco</w:t>
      </w:r>
      <w:r w:rsidRPr="002F341C" w:rsidR="00864451">
        <w:rPr>
          <w:rFonts w:ascii="Arial" w:hAnsi="Arial" w:cs="Arial"/>
          <w:sz w:val="22"/>
          <w:szCs w:val="22"/>
          <w:lang w:eastAsia="es-ES"/>
        </w:rPr>
        <w:t>,</w:t>
      </w:r>
      <w:r w:rsidRPr="002F341C" w:rsidR="004A36C9">
        <w:rPr>
          <w:rFonts w:ascii="Arial" w:hAnsi="Arial" w:cs="Arial"/>
          <w:sz w:val="22"/>
          <w:szCs w:val="22"/>
          <w:lang w:eastAsia="es-ES"/>
        </w:rPr>
        <w:t xml:space="preserve"> </w:t>
      </w:r>
      <w:r w:rsidRPr="002F341C" w:rsidR="00864451">
        <w:rPr>
          <w:rFonts w:ascii="Arial" w:hAnsi="Arial" w:cs="Arial"/>
          <w:sz w:val="22"/>
          <w:szCs w:val="22"/>
          <w:lang w:eastAsia="es-ES"/>
        </w:rPr>
        <w:t>dado las características de la región</w:t>
      </w:r>
      <w:r w:rsidRPr="002F341C" w:rsidR="004A36C9">
        <w:rPr>
          <w:rFonts w:ascii="Arial" w:hAnsi="Arial" w:cs="Arial"/>
          <w:sz w:val="22"/>
          <w:szCs w:val="22"/>
          <w:lang w:eastAsia="es-ES"/>
        </w:rPr>
        <w:t>. En este contexto, la promoción de una agricultura más re</w:t>
      </w:r>
      <w:r w:rsidRPr="002F341C" w:rsidR="00864451">
        <w:rPr>
          <w:rFonts w:ascii="Arial" w:hAnsi="Arial" w:cs="Arial"/>
          <w:sz w:val="22"/>
          <w:szCs w:val="22"/>
          <w:lang w:eastAsia="es-ES"/>
        </w:rPr>
        <w:t>si</w:t>
      </w:r>
      <w:r w:rsidRPr="002F341C" w:rsidR="004A36C9">
        <w:rPr>
          <w:rFonts w:ascii="Arial" w:hAnsi="Arial" w:cs="Arial"/>
          <w:sz w:val="22"/>
          <w:szCs w:val="22"/>
          <w:lang w:eastAsia="es-ES"/>
        </w:rPr>
        <w:t>liente al cambio climático y con mayores niveles de rentabilidad</w:t>
      </w:r>
      <w:r w:rsidRPr="002F341C" w:rsidR="00864451">
        <w:rPr>
          <w:rFonts w:ascii="Arial" w:hAnsi="Arial" w:cs="Arial"/>
          <w:sz w:val="22"/>
          <w:szCs w:val="22"/>
          <w:lang w:eastAsia="es-ES"/>
        </w:rPr>
        <w:t>,</w:t>
      </w:r>
      <w:r w:rsidRPr="002F341C" w:rsidR="004A36C9">
        <w:rPr>
          <w:rFonts w:ascii="Arial" w:hAnsi="Arial" w:cs="Arial"/>
          <w:sz w:val="22"/>
          <w:szCs w:val="22"/>
          <w:lang w:eastAsia="es-ES"/>
        </w:rPr>
        <w:t xml:space="preserve"> es una necesidad par</w:t>
      </w:r>
      <w:r w:rsidRPr="002F341C" w:rsidR="00864451">
        <w:rPr>
          <w:rFonts w:ascii="Arial" w:hAnsi="Arial" w:cs="Arial"/>
          <w:sz w:val="22"/>
          <w:szCs w:val="22"/>
          <w:lang w:eastAsia="es-ES"/>
        </w:rPr>
        <w:t>a</w:t>
      </w:r>
      <w:r w:rsidRPr="002F341C" w:rsidR="004A36C9">
        <w:rPr>
          <w:rFonts w:ascii="Arial" w:hAnsi="Arial" w:cs="Arial"/>
          <w:sz w:val="22"/>
          <w:szCs w:val="22"/>
          <w:lang w:eastAsia="es-ES"/>
        </w:rPr>
        <w:t xml:space="preserve"> desincentivar la migración, reducir los niveles de pobreza y mejorar los índices nutricionales de</w:t>
      </w:r>
      <w:r w:rsidRPr="002F341C" w:rsidR="00864451">
        <w:rPr>
          <w:rFonts w:ascii="Arial" w:hAnsi="Arial" w:cs="Arial"/>
          <w:sz w:val="22"/>
          <w:szCs w:val="22"/>
          <w:lang w:eastAsia="es-ES"/>
        </w:rPr>
        <w:t xml:space="preserve"> </w:t>
      </w:r>
      <w:r w:rsidRPr="002F341C" w:rsidR="004A36C9">
        <w:rPr>
          <w:rFonts w:ascii="Arial" w:hAnsi="Arial" w:cs="Arial"/>
          <w:sz w:val="22"/>
          <w:szCs w:val="22"/>
          <w:lang w:eastAsia="es-ES"/>
        </w:rPr>
        <w:t>dicha población.</w:t>
      </w:r>
      <w:bookmarkEnd w:id="109"/>
    </w:p>
    <w:p w:rsidRPr="002F341C" w:rsidR="00F92E5E" w:rsidP="3B089B2A" w:rsidRDefault="002B5138" w14:paraId="14E14F5E" w14:textId="4E6DAEE4">
      <w:pPr>
        <w:pStyle w:val="Paragraph"/>
        <w:ind w:left="720" w:hanging="720"/>
        <w:rPr>
          <w:rFonts w:ascii="Arial" w:hAnsi="Arial" w:cs="Arial"/>
          <w:b w:val="1"/>
          <w:bCs w:val="1"/>
          <w:sz w:val="22"/>
          <w:szCs w:val="22"/>
          <w:lang w:eastAsia="es-ES"/>
        </w:rPr>
      </w:pPr>
      <w:bookmarkStart w:name="_Toc17804121" w:id="110"/>
      <w:r w:rsidRPr="002F341C">
        <w:rPr>
          <w:rFonts w:ascii="Arial" w:hAnsi="Arial" w:cs="Arial"/>
          <w:sz w:val="22"/>
          <w:szCs w:val="22"/>
          <w:lang w:eastAsia="es-ES"/>
        </w:rPr>
        <w:t xml:space="preserve">La demanda de crédito en la zona del corredor </w:t>
      </w:r>
      <w:r w:rsidRPr="002F341C" w:rsidR="00A508D7">
        <w:rPr>
          <w:rFonts w:ascii="Arial" w:hAnsi="Arial" w:cs="Arial"/>
          <w:sz w:val="22"/>
          <w:szCs w:val="22"/>
          <w:lang w:eastAsia="es-ES"/>
        </w:rPr>
        <w:t>seco</w:t>
      </w:r>
      <w:r w:rsidRPr="002F341C">
        <w:rPr>
          <w:rFonts w:ascii="Arial" w:hAnsi="Arial" w:cs="Arial"/>
          <w:sz w:val="22"/>
          <w:szCs w:val="22"/>
          <w:lang w:eastAsia="es-ES"/>
        </w:rPr>
        <w:t xml:space="preserve"> es amplia dad</w:t>
      </w:r>
      <w:r w:rsidRPr="002F341C" w:rsidR="00F92E5E">
        <w:rPr>
          <w:rFonts w:ascii="Arial" w:hAnsi="Arial" w:cs="Arial"/>
          <w:sz w:val="22"/>
          <w:szCs w:val="22"/>
          <w:lang w:eastAsia="es-ES"/>
        </w:rPr>
        <w:t>a</w:t>
      </w:r>
      <w:r w:rsidRPr="002F341C">
        <w:rPr>
          <w:rFonts w:ascii="Arial" w:hAnsi="Arial" w:cs="Arial"/>
          <w:sz w:val="22"/>
          <w:szCs w:val="22"/>
          <w:lang w:eastAsia="es-ES"/>
        </w:rPr>
        <w:t xml:space="preserve"> la escas</w:t>
      </w:r>
      <w:r w:rsidRPr="002F341C" w:rsidR="00F92E5E">
        <w:rPr>
          <w:rFonts w:ascii="Arial" w:hAnsi="Arial" w:cs="Arial"/>
          <w:sz w:val="22"/>
          <w:szCs w:val="22"/>
          <w:lang w:eastAsia="es-ES"/>
        </w:rPr>
        <w:t>a</w:t>
      </w:r>
      <w:r w:rsidRPr="002F341C">
        <w:rPr>
          <w:rFonts w:ascii="Arial" w:hAnsi="Arial" w:cs="Arial"/>
          <w:sz w:val="22"/>
          <w:szCs w:val="22"/>
          <w:lang w:eastAsia="es-ES"/>
        </w:rPr>
        <w:t xml:space="preserve"> colocación de fondos por parte del sistema financiero.</w:t>
      </w:r>
      <w:r w:rsidRPr="002F341C" w:rsidR="00F92E5E">
        <w:rPr>
          <w:rFonts w:ascii="Arial" w:hAnsi="Arial" w:cs="Arial"/>
          <w:sz w:val="22"/>
          <w:szCs w:val="22"/>
          <w:lang w:eastAsia="es-ES"/>
        </w:rPr>
        <w:t xml:space="preserve"> Para efectos de estimar la demanda potencial de crédito, por parte de los PMP, en la zona de influencia del </w:t>
      </w:r>
      <w:r w:rsidRPr="002F341C" w:rsidR="00F92E5E">
        <w:rPr>
          <w:rFonts w:ascii="Arial" w:hAnsi="Arial" w:cs="Arial"/>
          <w:sz w:val="22"/>
          <w:szCs w:val="22"/>
          <w:lang w:eastAsia="es-ES"/>
        </w:rPr>
        <w:t xml:space="preserve">proyecto</w:t>
      </w:r>
      <w:r w:rsidRPr="002F341C" w:rsidR="00E8701C">
        <w:rPr>
          <w:rFonts w:ascii="Arial" w:hAnsi="Arial" w:cs="Arial"/>
          <w:sz w:val="22"/>
          <w:szCs w:val="22"/>
          <w:lang w:eastAsia="es-ES"/>
        </w:rPr>
        <w:t>,</w:t>
      </w:r>
      <w:r w:rsidRPr="002F341C" w:rsidR="00F92E5E">
        <w:rPr>
          <w:rFonts w:ascii="Arial" w:hAnsi="Arial" w:cs="Arial"/>
          <w:sz w:val="22"/>
          <w:szCs w:val="22"/>
          <w:lang w:eastAsia="es-ES"/>
        </w:rPr>
        <w:t xml:space="preserve"> se utilizará el valor agregado bruto (VAB) por cultivo a nivel nacional, la profundidad del crédito con respecto al PIB y la participación de la población rural de los departamentos de Copán, Ocotepeque y Santa Bárbara a nivel nacional</w:t>
      </w:r>
      <w:r w:rsidRPr="002F341C" w:rsidR="00F92E5E">
        <w:rPr>
          <w:rStyle w:val="FootnoteReference"/>
          <w:rFonts w:ascii="Arial" w:hAnsi="Arial" w:cs="Arial"/>
          <w:sz w:val="22"/>
          <w:szCs w:val="22"/>
          <w:lang w:eastAsia="es-ES"/>
        </w:rPr>
        <w:footnoteReference w:id="24"/>
      </w:r>
      <w:r w:rsidRPr="002F341C" w:rsidR="00F92E5E">
        <w:rPr>
          <w:rFonts w:ascii="Arial" w:hAnsi="Arial" w:cs="Arial"/>
          <w:sz w:val="22"/>
          <w:szCs w:val="22"/>
          <w:lang w:eastAsia="es-ES"/>
        </w:rPr>
        <w:t>.</w:t>
      </w:r>
      <w:bookmarkEnd w:id="110"/>
      <w:r w:rsidRPr="002F341C" w:rsidR="00F92E5E">
        <w:rPr>
          <w:rFonts w:ascii="Arial" w:hAnsi="Arial" w:cs="Arial"/>
          <w:sz w:val="22"/>
          <w:szCs w:val="22"/>
          <w:lang w:eastAsia="es-ES"/>
        </w:rPr>
        <w:t xml:space="preserve"> </w:t>
      </w:r>
    </w:p>
    <w:p w:rsidRPr="002F341C" w:rsidR="0024533C" w:rsidP="0024533C" w:rsidRDefault="00F92E5E" w14:paraId="059A5BC2" w14:textId="00906834">
      <w:pPr>
        <w:pStyle w:val="Paragraph"/>
        <w:ind w:left="720" w:hanging="720"/>
        <w:rPr>
          <w:rFonts w:ascii="Arial" w:hAnsi="Arial" w:cs="Arial"/>
          <w:b/>
          <w:sz w:val="22"/>
          <w:szCs w:val="22"/>
          <w:lang w:eastAsia="es-ES"/>
        </w:rPr>
      </w:pPr>
      <w:bookmarkStart w:name="_Toc17804122" w:id="111"/>
      <w:r w:rsidRPr="002F341C">
        <w:rPr>
          <w:rFonts w:ascii="Arial" w:hAnsi="Arial" w:cs="Arial"/>
          <w:sz w:val="22"/>
          <w:szCs w:val="22"/>
          <w:lang w:eastAsia="es-ES"/>
        </w:rPr>
        <w:t xml:space="preserve">El supuesto implícito </w:t>
      </w:r>
      <w:r w:rsidRPr="002F341C" w:rsidR="00E8701C">
        <w:rPr>
          <w:rFonts w:ascii="Arial" w:hAnsi="Arial" w:cs="Arial"/>
          <w:sz w:val="22"/>
          <w:szCs w:val="22"/>
          <w:lang w:eastAsia="es-ES"/>
        </w:rPr>
        <w:t xml:space="preserve">que sustentaría estas </w:t>
      </w:r>
      <w:r w:rsidRPr="002F341C" w:rsidR="003250BD">
        <w:rPr>
          <w:rFonts w:ascii="Arial" w:hAnsi="Arial" w:cs="Arial"/>
          <w:sz w:val="22"/>
          <w:szCs w:val="22"/>
          <w:lang w:eastAsia="es-ES"/>
        </w:rPr>
        <w:t>estimaciones</w:t>
      </w:r>
      <w:r w:rsidRPr="002F341C" w:rsidR="00E8701C">
        <w:rPr>
          <w:rFonts w:ascii="Arial" w:hAnsi="Arial" w:cs="Arial"/>
          <w:sz w:val="22"/>
          <w:szCs w:val="22"/>
          <w:lang w:eastAsia="es-ES"/>
        </w:rPr>
        <w:t xml:space="preserve"> es que </w:t>
      </w:r>
      <w:r w:rsidRPr="002F341C">
        <w:rPr>
          <w:rFonts w:ascii="Arial" w:hAnsi="Arial" w:cs="Arial"/>
          <w:sz w:val="22"/>
          <w:szCs w:val="22"/>
          <w:lang w:eastAsia="es-ES"/>
        </w:rPr>
        <w:t xml:space="preserve">las actividades económicas requieren de cierto nivel de crédito para operar </w:t>
      </w:r>
      <w:r w:rsidRPr="002F341C" w:rsidR="00E8701C">
        <w:rPr>
          <w:rFonts w:ascii="Arial" w:hAnsi="Arial" w:cs="Arial"/>
          <w:sz w:val="22"/>
          <w:szCs w:val="22"/>
          <w:lang w:eastAsia="es-ES"/>
        </w:rPr>
        <w:t>con los mismos niveles de productividad que e</w:t>
      </w:r>
      <w:r w:rsidRPr="002F341C">
        <w:rPr>
          <w:rFonts w:ascii="Arial" w:hAnsi="Arial" w:cs="Arial"/>
          <w:sz w:val="22"/>
          <w:szCs w:val="22"/>
          <w:lang w:eastAsia="es-ES"/>
        </w:rPr>
        <w:t xml:space="preserve">l resto de las actividades económicas de Honduras. </w:t>
      </w:r>
      <w:r w:rsidRPr="002F341C" w:rsidR="00E8701C">
        <w:rPr>
          <w:rFonts w:ascii="Arial" w:hAnsi="Arial" w:cs="Arial"/>
          <w:sz w:val="22"/>
          <w:szCs w:val="22"/>
          <w:lang w:eastAsia="es-ES"/>
        </w:rPr>
        <w:t xml:space="preserve">Bajo este concepto, la </w:t>
      </w:r>
      <w:r w:rsidRPr="002F341C">
        <w:rPr>
          <w:rFonts w:ascii="Arial" w:hAnsi="Arial" w:cs="Arial"/>
          <w:sz w:val="22"/>
          <w:szCs w:val="22"/>
          <w:lang w:eastAsia="es-ES"/>
        </w:rPr>
        <w:t xml:space="preserve">demanda potencial </w:t>
      </w:r>
      <w:r w:rsidRPr="002F341C" w:rsidR="00E8701C">
        <w:rPr>
          <w:rFonts w:ascii="Arial" w:hAnsi="Arial" w:cs="Arial"/>
          <w:sz w:val="22"/>
          <w:szCs w:val="22"/>
          <w:lang w:eastAsia="es-ES"/>
        </w:rPr>
        <w:t>en el país</w:t>
      </w:r>
      <w:r w:rsidRPr="002F341C">
        <w:rPr>
          <w:rFonts w:ascii="Arial" w:hAnsi="Arial" w:cs="Arial"/>
          <w:sz w:val="22"/>
          <w:szCs w:val="22"/>
          <w:lang w:eastAsia="es-ES"/>
        </w:rPr>
        <w:t xml:space="preserve"> para </w:t>
      </w:r>
      <w:r w:rsidRPr="002F341C" w:rsidR="006B7217">
        <w:rPr>
          <w:rFonts w:ascii="Arial" w:hAnsi="Arial" w:cs="Arial"/>
          <w:sz w:val="22"/>
          <w:szCs w:val="22"/>
          <w:lang w:eastAsia="es-ES"/>
        </w:rPr>
        <w:t xml:space="preserve">un </w:t>
      </w:r>
      <w:r w:rsidRPr="002F341C">
        <w:rPr>
          <w:rFonts w:ascii="Arial" w:hAnsi="Arial" w:cs="Arial"/>
          <w:sz w:val="22"/>
          <w:szCs w:val="22"/>
          <w:lang w:eastAsia="es-ES"/>
        </w:rPr>
        <w:t>cultivo</w:t>
      </w:r>
      <w:r w:rsidRPr="002F341C" w:rsidR="006B7217">
        <w:rPr>
          <w:rFonts w:ascii="Arial" w:hAnsi="Arial" w:cs="Arial"/>
          <w:sz w:val="22"/>
          <w:szCs w:val="22"/>
          <w:lang w:eastAsia="es-ES"/>
        </w:rPr>
        <w:t xml:space="preserve"> está dada por la siguiente fórmula:</w:t>
      </w:r>
      <w:bookmarkEnd w:id="111"/>
    </w:p>
    <w:p w:rsidRPr="002F341C" w:rsidR="0024533C" w:rsidP="0024533C" w:rsidRDefault="0024533C" w14:paraId="6FEA1119" w14:textId="77777777">
      <w:pPr>
        <w:pStyle w:val="Paragraph"/>
        <w:numPr>
          <w:ilvl w:val="0"/>
          <w:numId w:val="0"/>
        </w:numPr>
        <w:ind w:left="720"/>
        <w:rPr>
          <w:rFonts w:ascii="Arial" w:hAnsi="Arial" w:cs="Arial"/>
          <w:b/>
          <w:sz w:val="10"/>
          <w:szCs w:val="22"/>
          <w:lang w:eastAsia="es-ES"/>
        </w:rPr>
      </w:pPr>
    </w:p>
    <w:p w:rsidRPr="002F341C" w:rsidR="006B7217" w:rsidP="0024533C" w:rsidRDefault="006B7217" w14:paraId="0DB93337" w14:textId="0DBEDA47">
      <w:pPr>
        <w:pStyle w:val="Paragraph"/>
        <w:numPr>
          <w:ilvl w:val="0"/>
          <w:numId w:val="0"/>
        </w:numPr>
        <w:ind w:left="720"/>
        <w:jc w:val="center"/>
        <w:rPr>
          <w:rFonts w:ascii="Arial" w:hAnsi="Arial" w:cs="Arial"/>
          <w:b/>
          <w:sz w:val="22"/>
          <w:szCs w:val="22"/>
          <w:lang w:eastAsia="es-ES"/>
        </w:rPr>
      </w:pPr>
      <w:bookmarkStart w:name="_Toc17804123" w:id="112"/>
      <w:r w:rsidRPr="002F341C">
        <w:rPr>
          <w:rFonts w:cs="Arial" w:asciiTheme="minorHAnsi" w:hAnsiTheme="minorHAnsi"/>
          <w:b/>
          <w:sz w:val="20"/>
          <w:szCs w:val="22"/>
          <w:lang w:eastAsia="es-ES"/>
        </w:rPr>
        <w:t xml:space="preserve">Demanda potencial de crédito </w:t>
      </w:r>
      <w:r w:rsidRPr="002F341C">
        <w:rPr>
          <w:rFonts w:cs="Arial" w:asciiTheme="minorHAnsi" w:hAnsiTheme="minorHAnsi"/>
          <w:b/>
          <w:sz w:val="20"/>
          <w:szCs w:val="22"/>
          <w:vertAlign w:val="subscript"/>
          <w:lang w:eastAsia="es-ES"/>
        </w:rPr>
        <w:t>cultivo x</w:t>
      </w:r>
      <w:r w:rsidRPr="002F341C">
        <w:rPr>
          <w:rFonts w:cs="Arial" w:asciiTheme="minorHAnsi" w:hAnsiTheme="minorHAnsi"/>
          <w:sz w:val="20"/>
          <w:szCs w:val="22"/>
          <w:lang w:eastAsia="es-ES"/>
        </w:rPr>
        <w:t xml:space="preserve"> = VAB </w:t>
      </w:r>
      <w:r w:rsidRPr="002F341C">
        <w:rPr>
          <w:rFonts w:cs="Arial" w:asciiTheme="minorHAnsi" w:hAnsiTheme="minorHAnsi"/>
          <w:sz w:val="20"/>
          <w:szCs w:val="22"/>
          <w:vertAlign w:val="subscript"/>
          <w:lang w:eastAsia="es-ES"/>
        </w:rPr>
        <w:t xml:space="preserve">cultivo x </w:t>
      </w:r>
      <w:r w:rsidRPr="002F341C">
        <w:rPr>
          <w:rFonts w:cs="Arial" w:asciiTheme="minorHAnsi" w:hAnsiTheme="minorHAnsi"/>
          <w:sz w:val="20"/>
          <w:szCs w:val="22"/>
          <w:lang w:eastAsia="es-ES"/>
        </w:rPr>
        <w:t>* (Part % del crédito total en el PIB</w:t>
      </w:r>
      <w:r w:rsidRPr="002F341C" w:rsidR="005C0697">
        <w:rPr>
          <w:rFonts w:cs="Arial" w:asciiTheme="minorHAnsi" w:hAnsiTheme="minorHAnsi"/>
          <w:sz w:val="20"/>
          <w:szCs w:val="22"/>
          <w:lang w:eastAsia="es-ES"/>
        </w:rPr>
        <w:t>)</w:t>
      </w:r>
      <w:r w:rsidRPr="002F341C" w:rsidR="00D43898">
        <w:rPr>
          <w:rStyle w:val="FootnoteReference"/>
          <w:rFonts w:cs="Arial" w:asciiTheme="minorHAnsi" w:hAnsiTheme="minorHAnsi"/>
          <w:sz w:val="20"/>
          <w:szCs w:val="22"/>
          <w:lang w:eastAsia="es-ES"/>
        </w:rPr>
        <w:footnoteReference w:id="25"/>
      </w:r>
      <w:bookmarkEnd w:id="112"/>
    </w:p>
    <w:p w:rsidRPr="002F341C" w:rsidR="006B7217" w:rsidP="006A1820" w:rsidRDefault="006B7217" w14:paraId="017225AF" w14:textId="77777777">
      <w:pPr>
        <w:pStyle w:val="Paragraph"/>
        <w:numPr>
          <w:ilvl w:val="0"/>
          <w:numId w:val="0"/>
        </w:numPr>
        <w:ind w:left="720"/>
        <w:rPr>
          <w:rFonts w:ascii="Arial" w:hAnsi="Arial" w:cs="Arial"/>
          <w:b/>
          <w:sz w:val="14"/>
          <w:szCs w:val="22"/>
          <w:lang w:eastAsia="es-ES"/>
        </w:rPr>
      </w:pPr>
    </w:p>
    <w:p w:rsidRPr="002F341C" w:rsidR="0024533C" w:rsidP="0024533C" w:rsidRDefault="006B7217" w14:paraId="4E1D116C" w14:textId="3388B85F">
      <w:pPr>
        <w:pStyle w:val="Paragraph"/>
        <w:ind w:left="720" w:hanging="720"/>
        <w:rPr>
          <w:rFonts w:ascii="Arial" w:hAnsi="Arial" w:cs="Arial"/>
          <w:sz w:val="22"/>
          <w:szCs w:val="22"/>
          <w:lang w:eastAsia="es-ES"/>
        </w:rPr>
      </w:pPr>
      <w:bookmarkStart w:name="_Toc17804124" w:id="113"/>
      <w:r w:rsidRPr="002F341C">
        <w:rPr>
          <w:rFonts w:ascii="Arial" w:hAnsi="Arial" w:cs="Arial"/>
          <w:sz w:val="22"/>
          <w:szCs w:val="22"/>
          <w:lang w:eastAsia="es-ES"/>
        </w:rPr>
        <w:t xml:space="preserve">Una vez estimada la demanda potencial, se </w:t>
      </w:r>
      <w:r w:rsidRPr="002F341C" w:rsidR="002538F1">
        <w:rPr>
          <w:rFonts w:ascii="Arial" w:hAnsi="Arial" w:cs="Arial"/>
          <w:sz w:val="22"/>
          <w:szCs w:val="22"/>
          <w:lang w:eastAsia="es-ES"/>
        </w:rPr>
        <w:t xml:space="preserve">deduce a está </w:t>
      </w:r>
      <w:r w:rsidRPr="002F341C">
        <w:rPr>
          <w:rFonts w:ascii="Arial" w:hAnsi="Arial" w:cs="Arial"/>
          <w:sz w:val="22"/>
          <w:szCs w:val="22"/>
          <w:lang w:eastAsia="es-ES"/>
        </w:rPr>
        <w:t>el crédito otorgado por</w:t>
      </w:r>
      <w:r w:rsidRPr="002F341C" w:rsidR="002538F1">
        <w:rPr>
          <w:rFonts w:ascii="Arial" w:hAnsi="Arial" w:cs="Arial"/>
          <w:sz w:val="22"/>
          <w:szCs w:val="22"/>
          <w:lang w:eastAsia="es-ES"/>
        </w:rPr>
        <w:t xml:space="preserve"> el sistema financiero nacional. Con esto, se obtiene una </w:t>
      </w:r>
      <w:r w:rsidRPr="002F341C">
        <w:rPr>
          <w:rFonts w:ascii="Arial" w:hAnsi="Arial" w:cs="Arial"/>
          <w:sz w:val="22"/>
          <w:szCs w:val="22"/>
          <w:lang w:eastAsia="es-ES"/>
        </w:rPr>
        <w:t xml:space="preserve">aproximación de la demanda insatisfecha mínima. A </w:t>
      </w:r>
      <w:r w:rsidRPr="002F341C" w:rsidR="003250BD">
        <w:rPr>
          <w:rFonts w:ascii="Arial" w:hAnsi="Arial" w:cs="Arial"/>
          <w:sz w:val="22"/>
          <w:szCs w:val="22"/>
          <w:lang w:eastAsia="es-ES"/>
        </w:rPr>
        <w:t>continuación,</w:t>
      </w:r>
      <w:r w:rsidRPr="002F341C">
        <w:rPr>
          <w:rFonts w:ascii="Arial" w:hAnsi="Arial" w:cs="Arial"/>
          <w:sz w:val="22"/>
          <w:szCs w:val="22"/>
          <w:lang w:eastAsia="es-ES"/>
        </w:rPr>
        <w:t xml:space="preserve"> se describe la fórmula utilizada:</w:t>
      </w:r>
      <w:bookmarkEnd w:id="113"/>
    </w:p>
    <w:p w:rsidRPr="002F341C" w:rsidR="0024533C" w:rsidP="0024533C" w:rsidRDefault="0024533C" w14:paraId="019ED942" w14:textId="77777777">
      <w:pPr>
        <w:pStyle w:val="Paragraph"/>
        <w:numPr>
          <w:ilvl w:val="0"/>
          <w:numId w:val="0"/>
        </w:numPr>
        <w:ind w:left="720"/>
        <w:rPr>
          <w:rFonts w:ascii="Arial" w:hAnsi="Arial" w:cs="Arial"/>
          <w:sz w:val="10"/>
          <w:szCs w:val="22"/>
          <w:lang w:eastAsia="es-ES"/>
        </w:rPr>
      </w:pPr>
    </w:p>
    <w:p w:rsidRPr="002F341C" w:rsidR="006B7217" w:rsidP="0024533C" w:rsidRDefault="000B4215" w14:paraId="13E2F66E" w14:textId="4C3238EC">
      <w:pPr>
        <w:pStyle w:val="Paragraph"/>
        <w:numPr>
          <w:ilvl w:val="0"/>
          <w:numId w:val="0"/>
        </w:numPr>
        <w:ind w:left="720"/>
        <w:jc w:val="center"/>
        <w:rPr>
          <w:rFonts w:ascii="Arial" w:hAnsi="Arial" w:cs="Arial"/>
          <w:sz w:val="22"/>
          <w:szCs w:val="22"/>
          <w:lang w:eastAsia="es-ES"/>
        </w:rPr>
      </w:pPr>
      <w:bookmarkStart w:name="_Toc17804125" w:id="114"/>
      <w:r w:rsidRPr="002F341C">
        <w:rPr>
          <w:rFonts w:cs="Arial" w:asciiTheme="minorHAnsi" w:hAnsiTheme="minorHAnsi"/>
          <w:b/>
          <w:sz w:val="20"/>
          <w:szCs w:val="22"/>
          <w:lang w:eastAsia="es-ES"/>
        </w:rPr>
        <w:t xml:space="preserve">Demanda insatisfecha </w:t>
      </w:r>
      <w:r w:rsidRPr="002F341C">
        <w:rPr>
          <w:rFonts w:cs="Arial" w:asciiTheme="minorHAnsi" w:hAnsiTheme="minorHAnsi"/>
          <w:b/>
          <w:sz w:val="20"/>
          <w:szCs w:val="22"/>
          <w:vertAlign w:val="subscript"/>
          <w:lang w:eastAsia="es-ES"/>
        </w:rPr>
        <w:t>cultivo x</w:t>
      </w:r>
      <w:r w:rsidRPr="002F341C">
        <w:rPr>
          <w:rFonts w:cs="Arial" w:asciiTheme="minorHAnsi" w:hAnsiTheme="minorHAnsi"/>
          <w:sz w:val="20"/>
          <w:szCs w:val="22"/>
          <w:lang w:eastAsia="es-ES"/>
        </w:rPr>
        <w:t xml:space="preserve"> = Demanda potencial de crédito </w:t>
      </w:r>
      <w:r w:rsidRPr="002F341C">
        <w:rPr>
          <w:rFonts w:cs="Arial" w:asciiTheme="minorHAnsi" w:hAnsiTheme="minorHAnsi"/>
          <w:sz w:val="20"/>
          <w:szCs w:val="22"/>
          <w:vertAlign w:val="subscript"/>
          <w:lang w:eastAsia="es-ES"/>
        </w:rPr>
        <w:t>cultivo x</w:t>
      </w:r>
      <w:r w:rsidRPr="002F341C">
        <w:rPr>
          <w:rFonts w:cs="Arial" w:asciiTheme="minorHAnsi" w:hAnsiTheme="minorHAnsi"/>
          <w:sz w:val="20"/>
          <w:szCs w:val="22"/>
          <w:lang w:eastAsia="es-ES"/>
        </w:rPr>
        <w:t xml:space="preserve"> – monto otorgado por el sistema financiero nacional </w:t>
      </w:r>
      <w:r w:rsidRPr="002F341C">
        <w:rPr>
          <w:rFonts w:cs="Arial" w:asciiTheme="minorHAnsi" w:hAnsiTheme="minorHAnsi"/>
          <w:sz w:val="20"/>
          <w:szCs w:val="22"/>
          <w:vertAlign w:val="subscript"/>
          <w:lang w:eastAsia="es-ES"/>
        </w:rPr>
        <w:t>cultivo x</w:t>
      </w:r>
      <w:bookmarkEnd w:id="114"/>
    </w:p>
    <w:p w:rsidRPr="002F341C" w:rsidR="006B7217" w:rsidP="007761D5" w:rsidRDefault="006B7217" w14:paraId="0468467D" w14:textId="77777777">
      <w:pPr>
        <w:pStyle w:val="Paragraph"/>
        <w:numPr>
          <w:ilvl w:val="0"/>
          <w:numId w:val="0"/>
        </w:numPr>
        <w:ind w:left="720"/>
        <w:rPr>
          <w:rFonts w:ascii="Arial" w:hAnsi="Arial" w:cs="Arial"/>
          <w:b/>
          <w:sz w:val="14"/>
          <w:szCs w:val="22"/>
          <w:lang w:eastAsia="es-ES"/>
        </w:rPr>
      </w:pPr>
    </w:p>
    <w:p w:rsidRPr="002F341C" w:rsidR="0024533C" w:rsidP="3B089B2A" w:rsidRDefault="002538F1" w14:paraId="540BFB89" w14:textId="7E2B6300">
      <w:pPr>
        <w:pStyle w:val="Paragraph"/>
        <w:ind w:left="720" w:hanging="720"/>
        <w:rPr>
          <w:rFonts w:ascii="Arial" w:hAnsi="Arial" w:cs="Arial"/>
          <w:b w:val="1"/>
          <w:bCs w:val="1"/>
          <w:sz w:val="22"/>
          <w:szCs w:val="22"/>
          <w:lang w:eastAsia="es-ES"/>
        </w:rPr>
      </w:pPr>
      <w:bookmarkStart w:name="_Toc17804126" w:id="115"/>
      <w:r w:rsidRPr="3B089B2A" w:rsidR="3B089B2A">
        <w:rPr>
          <w:rFonts w:ascii="Arial" w:hAnsi="Arial" w:cs="Arial"/>
          <w:sz w:val="22"/>
          <w:szCs w:val="22"/>
          <w:lang w:eastAsia="es-ES"/>
        </w:rPr>
        <w:t xml:space="preserve">Para efectos de estimar la demanda insatisfecha de crédito, en la zona del </w:t>
      </w:r>
      <w:r w:rsidRPr="3B089B2A" w:rsidR="3B089B2A">
        <w:rPr>
          <w:rFonts w:ascii="Arial" w:hAnsi="Arial" w:cs="Arial"/>
          <w:sz w:val="22"/>
          <w:szCs w:val="22"/>
          <w:lang w:eastAsia="es-ES"/>
        </w:rPr>
        <w:t>proyectp</w:t>
      </w:r>
      <w:r w:rsidRPr="3B089B2A" w:rsidR="3B089B2A">
        <w:rPr>
          <w:rFonts w:ascii="Arial" w:hAnsi="Arial" w:cs="Arial"/>
          <w:sz w:val="22"/>
          <w:szCs w:val="22"/>
          <w:lang w:eastAsia="es-ES"/>
        </w:rPr>
        <w:t>, se utiliza la participación de la producción de la región en la producción nacional. En aquellos cultivos en los cuales no existe información de la producción a nivel de departamento, se utiliza como proxy la participación de la población rural de la zona a nivel nacional. A continuación, se describe las fórmulas utilizadas:</w:t>
      </w:r>
      <w:bookmarkEnd w:id="115"/>
    </w:p>
    <w:p w:rsidRPr="002F341C" w:rsidR="0024533C" w:rsidP="004A2265" w:rsidRDefault="001170AF" w14:paraId="76BB55ED" w14:textId="77777777">
      <w:pPr>
        <w:pStyle w:val="Paragraph"/>
        <w:numPr>
          <w:ilvl w:val="0"/>
          <w:numId w:val="0"/>
        </w:numPr>
        <w:ind w:left="720"/>
        <w:jc w:val="center"/>
        <w:rPr>
          <w:rFonts w:cs="Arial" w:asciiTheme="minorHAnsi" w:hAnsiTheme="minorHAnsi"/>
          <w:sz w:val="20"/>
          <w:szCs w:val="22"/>
          <w:lang w:eastAsia="es-ES"/>
        </w:rPr>
      </w:pPr>
      <w:bookmarkStart w:name="_Toc17804127" w:id="116"/>
      <w:r w:rsidRPr="002F341C">
        <w:rPr>
          <w:rFonts w:cs="Arial" w:asciiTheme="minorHAnsi" w:hAnsiTheme="minorHAnsi"/>
          <w:b/>
          <w:sz w:val="20"/>
          <w:szCs w:val="22"/>
          <w:lang w:eastAsia="es-ES"/>
        </w:rPr>
        <w:t xml:space="preserve">Demanda insatisfecha en la zona de influencia </w:t>
      </w:r>
      <w:r w:rsidRPr="002F341C">
        <w:rPr>
          <w:rFonts w:cs="Arial" w:asciiTheme="minorHAnsi" w:hAnsiTheme="minorHAnsi"/>
          <w:b/>
          <w:sz w:val="20"/>
          <w:szCs w:val="22"/>
          <w:vertAlign w:val="subscript"/>
          <w:lang w:eastAsia="es-ES"/>
        </w:rPr>
        <w:t>cultivo del café</w:t>
      </w:r>
      <w:r w:rsidRPr="002F341C">
        <w:rPr>
          <w:rFonts w:cs="Arial" w:asciiTheme="minorHAnsi" w:hAnsiTheme="minorHAnsi"/>
          <w:sz w:val="20"/>
          <w:szCs w:val="22"/>
          <w:lang w:eastAsia="es-ES"/>
        </w:rPr>
        <w:t xml:space="preserve"> = Demanda insatisfecha </w:t>
      </w:r>
      <w:r w:rsidRPr="002F341C">
        <w:rPr>
          <w:rFonts w:cs="Arial" w:asciiTheme="minorHAnsi" w:hAnsiTheme="minorHAnsi"/>
          <w:sz w:val="20"/>
          <w:szCs w:val="22"/>
          <w:vertAlign w:val="subscript"/>
          <w:lang w:eastAsia="es-ES"/>
        </w:rPr>
        <w:t>cultivo del café</w:t>
      </w:r>
      <w:r w:rsidRPr="002F341C">
        <w:rPr>
          <w:rFonts w:cs="Arial" w:asciiTheme="minorHAnsi" w:hAnsiTheme="minorHAnsi"/>
          <w:sz w:val="20"/>
          <w:szCs w:val="22"/>
          <w:lang w:eastAsia="es-ES"/>
        </w:rPr>
        <w:t xml:space="preserve"> * Part % en la producción de café de la zona de influencia</w:t>
      </w:r>
      <w:bookmarkEnd w:id="116"/>
    </w:p>
    <w:p w:rsidRPr="002F341C" w:rsidR="0024533C" w:rsidP="004A2265" w:rsidRDefault="0024533C" w14:paraId="5D1D9321" w14:textId="77777777">
      <w:pPr>
        <w:pStyle w:val="Paragraph"/>
        <w:numPr>
          <w:ilvl w:val="0"/>
          <w:numId w:val="0"/>
        </w:numPr>
        <w:ind w:left="720"/>
        <w:jc w:val="center"/>
        <w:rPr>
          <w:rFonts w:ascii="Arial" w:hAnsi="Arial" w:cs="Arial"/>
          <w:b/>
          <w:sz w:val="14"/>
          <w:szCs w:val="22"/>
          <w:lang w:eastAsia="es-ES"/>
        </w:rPr>
      </w:pPr>
    </w:p>
    <w:p w:rsidRPr="002F341C" w:rsidR="001170AF" w:rsidP="3B089B2A" w:rsidRDefault="001170AF" w14:paraId="787FE837" w14:textId="3D9DC444">
      <w:pPr>
        <w:pStyle w:val="Paragraph"/>
        <w:numPr>
          <w:numId w:val="0"/>
        </w:numPr>
        <w:ind w:left="720"/>
        <w:jc w:val="center"/>
        <w:rPr>
          <w:rFonts w:ascii="Arial" w:hAnsi="Arial" w:cs="Arial"/>
          <w:b w:val="1"/>
          <w:bCs w:val="1"/>
          <w:sz w:val="22"/>
          <w:szCs w:val="22"/>
          <w:lang w:eastAsia="es-ES"/>
        </w:rPr>
      </w:pPr>
      <w:bookmarkStart w:name="_Toc17804128" w:id="117"/>
      <w:r w:rsidRPr="3B089B2A" w:rsidR="3B089B2A">
        <w:rPr>
          <w:rFonts w:ascii="Calibri" w:hAnsi="Calibri" w:cs="Arial" w:asciiTheme="minorAscii" w:hAnsiTheme="minorAscii"/>
          <w:b w:val="1"/>
          <w:bCs w:val="1"/>
          <w:sz w:val="20"/>
          <w:szCs w:val="20"/>
          <w:lang w:eastAsia="es-ES"/>
        </w:rPr>
        <w:t xml:space="preserve">Demanda insatisfecha zona del </w:t>
      </w:r>
      <w:r w:rsidRPr="3B089B2A" w:rsidR="3B089B2A">
        <w:rPr>
          <w:rFonts w:ascii="Calibri" w:hAnsi="Calibri" w:cs="Arial" w:asciiTheme="minorAscii" w:hAnsiTheme="minorAscii"/>
          <w:b w:val="1"/>
          <w:bCs w:val="1"/>
          <w:sz w:val="20"/>
          <w:szCs w:val="20"/>
          <w:lang w:eastAsia="es-ES"/>
        </w:rPr>
        <w:t>p</w:t>
      </w:r>
      <w:r w:rsidRPr="3B089B2A" w:rsidR="3B089B2A">
        <w:rPr>
          <w:rFonts w:ascii="Calibri" w:hAnsi="Calibri" w:cs="Arial" w:asciiTheme="minorAscii" w:hAnsiTheme="minorAscii"/>
          <w:b w:val="1"/>
          <w:bCs w:val="1"/>
          <w:sz w:val="20"/>
          <w:szCs w:val="20"/>
          <w:lang w:eastAsia="es-ES"/>
        </w:rPr>
        <w:t>ro</w:t>
      </w:r>
      <w:r w:rsidRPr="3B089B2A" w:rsidR="3B089B2A">
        <w:rPr>
          <w:rFonts w:ascii="Calibri" w:hAnsi="Calibri" w:cs="Arial" w:asciiTheme="minorAscii" w:hAnsiTheme="minorAscii"/>
          <w:b w:val="1"/>
          <w:bCs w:val="1"/>
          <w:sz w:val="20"/>
          <w:szCs w:val="20"/>
          <w:lang w:eastAsia="es-ES"/>
        </w:rPr>
        <w:t>yecto</w:t>
      </w:r>
      <w:r w:rsidRPr="3B089B2A" w:rsidR="3B089B2A">
        <w:rPr>
          <w:rFonts w:ascii="Calibri" w:hAnsi="Calibri" w:cs="Arial" w:asciiTheme="minorAscii" w:hAnsiTheme="minorAscii"/>
          <w:b w:val="1"/>
          <w:bCs w:val="1"/>
          <w:sz w:val="20"/>
          <w:szCs w:val="20"/>
          <w:lang w:eastAsia="es-ES"/>
        </w:rPr>
        <w:t xml:space="preserve"> </w:t>
      </w:r>
      <w:r w:rsidRPr="3B089B2A" w:rsidR="3B089B2A">
        <w:rPr>
          <w:rFonts w:ascii="Calibri" w:hAnsi="Calibri" w:cs="Arial" w:asciiTheme="minorAscii" w:hAnsiTheme="minorAscii"/>
          <w:b w:val="1"/>
          <w:bCs w:val="1"/>
          <w:sz w:val="20"/>
          <w:szCs w:val="20"/>
          <w:vertAlign w:val="subscript"/>
          <w:lang w:eastAsia="es-ES"/>
        </w:rPr>
        <w:t>otros cultivos</w:t>
      </w:r>
      <w:r w:rsidRPr="3B089B2A" w:rsidR="3B089B2A">
        <w:rPr>
          <w:rFonts w:ascii="Calibri" w:hAnsi="Calibri" w:cs="Arial" w:asciiTheme="minorAscii" w:hAnsiTheme="minorAscii"/>
          <w:b w:val="1"/>
          <w:bCs w:val="1"/>
          <w:sz w:val="20"/>
          <w:szCs w:val="20"/>
          <w:lang w:eastAsia="es-ES"/>
        </w:rPr>
        <w:t xml:space="preserve"> </w:t>
      </w:r>
      <w:r w:rsidRPr="3B089B2A" w:rsidR="3B089B2A">
        <w:rPr>
          <w:rFonts w:ascii="Calibri" w:hAnsi="Calibri" w:cs="Arial" w:asciiTheme="minorAscii" w:hAnsiTheme="minorAscii"/>
          <w:sz w:val="20"/>
          <w:szCs w:val="20"/>
          <w:lang w:eastAsia="es-ES"/>
        </w:rPr>
        <w:t xml:space="preserve">= Demanda insatisfecha </w:t>
      </w:r>
      <w:r w:rsidRPr="3B089B2A" w:rsidR="3B089B2A">
        <w:rPr>
          <w:rFonts w:ascii="Calibri" w:hAnsi="Calibri" w:cs="Arial" w:asciiTheme="minorAscii" w:hAnsiTheme="minorAscii"/>
          <w:sz w:val="20"/>
          <w:szCs w:val="20"/>
          <w:vertAlign w:val="subscript"/>
          <w:lang w:eastAsia="es-ES"/>
        </w:rPr>
        <w:t>otros cultivos</w:t>
      </w:r>
      <w:r w:rsidRPr="3B089B2A" w:rsidR="3B089B2A">
        <w:rPr>
          <w:rFonts w:ascii="Calibri" w:hAnsi="Calibri" w:cs="Arial" w:asciiTheme="minorAscii" w:hAnsiTheme="minorAscii"/>
          <w:sz w:val="20"/>
          <w:szCs w:val="20"/>
          <w:lang w:eastAsia="es-ES"/>
        </w:rPr>
        <w:t xml:space="preserve"> * </w:t>
      </w:r>
      <w:proofErr w:type="spellStart"/>
      <w:r w:rsidRPr="3B089B2A" w:rsidR="3B089B2A">
        <w:rPr>
          <w:rFonts w:ascii="Calibri" w:hAnsi="Calibri" w:cs="Arial" w:asciiTheme="minorAscii" w:hAnsiTheme="minorAscii"/>
          <w:sz w:val="20"/>
          <w:szCs w:val="20"/>
          <w:lang w:eastAsia="es-ES"/>
        </w:rPr>
        <w:t>Part</w:t>
      </w:r>
      <w:proofErr w:type="spellEnd"/>
      <w:r w:rsidRPr="3B089B2A" w:rsidR="3B089B2A">
        <w:rPr>
          <w:rFonts w:ascii="Calibri" w:hAnsi="Calibri" w:cs="Arial" w:asciiTheme="minorAscii" w:hAnsiTheme="minorAscii"/>
          <w:sz w:val="20"/>
          <w:szCs w:val="20"/>
          <w:lang w:eastAsia="es-ES"/>
        </w:rPr>
        <w:t xml:space="preserve"> % de la población rural</w:t>
      </w:r>
      <w:bookmarkEnd w:id="117"/>
    </w:p>
    <w:p w:rsidRPr="002F341C" w:rsidR="000B17A2" w:rsidP="3B089B2A" w:rsidRDefault="002471FB" w14:paraId="15FFBF70" w14:textId="7BBD7D1D">
      <w:pPr>
        <w:pStyle w:val="Paragraph"/>
        <w:ind w:left="720" w:hanging="720"/>
        <w:rPr>
          <w:rFonts w:ascii="Arial" w:hAnsi="Arial" w:cs="Arial"/>
          <w:b w:val="1"/>
          <w:bCs w:val="1"/>
          <w:sz w:val="22"/>
          <w:szCs w:val="22"/>
          <w:lang w:eastAsia="es-ES"/>
        </w:rPr>
      </w:pPr>
      <w:bookmarkStart w:name="_Toc17804129" w:id="118"/>
      <w:r w:rsidRPr="3B089B2A" w:rsidR="3B089B2A">
        <w:rPr>
          <w:rFonts w:ascii="Arial" w:hAnsi="Arial" w:cs="Arial"/>
          <w:sz w:val="22"/>
          <w:szCs w:val="22"/>
          <w:lang w:eastAsia="es-ES"/>
        </w:rPr>
        <w:t xml:space="preserve">En base a esta metodología, la demanda de crédito en los departamentos de Copán, Ocotepeque y Santa Bárbara se estima en US$208,8; cantidad que excede por mucho el tamaño del componente II del </w:t>
      </w:r>
      <w:r w:rsidRPr="3B089B2A" w:rsidR="3B089B2A">
        <w:rPr>
          <w:rFonts w:ascii="Arial" w:hAnsi="Arial" w:cs="Arial"/>
          <w:sz w:val="22"/>
          <w:szCs w:val="22"/>
          <w:lang w:eastAsia="es-ES"/>
        </w:rPr>
        <w:t>proyecto</w:t>
      </w:r>
      <w:r w:rsidRPr="3B089B2A" w:rsidR="3B089B2A">
        <w:rPr>
          <w:rFonts w:ascii="Arial" w:hAnsi="Arial" w:cs="Arial"/>
          <w:sz w:val="22"/>
          <w:szCs w:val="22"/>
          <w:lang w:eastAsia="es-ES"/>
        </w:rPr>
        <w:t xml:space="preserve"> (US$33,0 millones); por lo que existe el potencial suficiente para colocar los fondos y no impactar negativamente en la intermediación de recursos en la región.</w:t>
      </w:r>
      <w:bookmarkEnd w:id="118"/>
    </w:p>
    <w:p w:rsidRPr="002F341C" w:rsidR="006B7217" w:rsidP="002F2DE4" w:rsidRDefault="000B17A2" w14:paraId="358A2043" w14:textId="34A4A233">
      <w:pPr>
        <w:pStyle w:val="Paragraph"/>
        <w:ind w:left="720" w:hanging="720"/>
        <w:rPr>
          <w:rFonts w:ascii="Arial" w:hAnsi="Arial" w:cs="Arial"/>
          <w:b/>
          <w:sz w:val="22"/>
          <w:szCs w:val="22"/>
          <w:lang w:eastAsia="es-ES"/>
        </w:rPr>
      </w:pPr>
      <w:bookmarkStart w:name="_Toc17804130" w:id="119"/>
      <w:r w:rsidRPr="002F341C">
        <w:rPr>
          <w:rFonts w:ascii="Arial" w:hAnsi="Arial" w:cs="Arial"/>
          <w:sz w:val="22"/>
          <w:szCs w:val="22"/>
          <w:lang w:eastAsia="es-ES"/>
        </w:rPr>
        <w:t xml:space="preserve">Acorde con las estimaciones, </w:t>
      </w:r>
      <w:r w:rsidRPr="002F341C" w:rsidR="002471FB">
        <w:rPr>
          <w:rFonts w:ascii="Arial" w:hAnsi="Arial" w:cs="Arial"/>
          <w:sz w:val="22"/>
          <w:szCs w:val="22"/>
          <w:lang w:eastAsia="es-ES"/>
        </w:rPr>
        <w:t xml:space="preserve">el café </w:t>
      </w:r>
      <w:r w:rsidRPr="002F341C">
        <w:rPr>
          <w:rFonts w:ascii="Arial" w:hAnsi="Arial" w:cs="Arial"/>
          <w:sz w:val="22"/>
          <w:szCs w:val="22"/>
          <w:lang w:eastAsia="es-ES"/>
        </w:rPr>
        <w:t>c</w:t>
      </w:r>
      <w:r w:rsidRPr="002F341C" w:rsidR="002471FB">
        <w:rPr>
          <w:rFonts w:ascii="Arial" w:hAnsi="Arial" w:cs="Arial"/>
          <w:sz w:val="22"/>
          <w:szCs w:val="22"/>
          <w:lang w:eastAsia="es-ES"/>
        </w:rPr>
        <w:t>oncentra el 46</w:t>
      </w:r>
      <w:r w:rsidRPr="002F341C" w:rsidR="002F75E5">
        <w:rPr>
          <w:rFonts w:ascii="Arial" w:hAnsi="Arial" w:cs="Arial"/>
          <w:sz w:val="22"/>
          <w:szCs w:val="22"/>
          <w:lang w:eastAsia="es-ES"/>
        </w:rPr>
        <w:t>,</w:t>
      </w:r>
      <w:r w:rsidRPr="002F341C" w:rsidR="002471FB">
        <w:rPr>
          <w:rFonts w:ascii="Arial" w:hAnsi="Arial" w:cs="Arial"/>
          <w:sz w:val="22"/>
          <w:szCs w:val="22"/>
          <w:lang w:eastAsia="es-ES"/>
        </w:rPr>
        <w:t xml:space="preserve">4% de </w:t>
      </w:r>
      <w:r w:rsidRPr="002F341C">
        <w:rPr>
          <w:rFonts w:ascii="Arial" w:hAnsi="Arial" w:cs="Arial"/>
          <w:sz w:val="22"/>
          <w:szCs w:val="22"/>
          <w:lang w:eastAsia="es-ES"/>
        </w:rPr>
        <w:t>la demanda insatisfecha estimada; lo cual es congruente con la estructura económica de la zona</w:t>
      </w:r>
      <w:r w:rsidRPr="002F341C" w:rsidR="00487CB8">
        <w:rPr>
          <w:rFonts w:ascii="Arial" w:hAnsi="Arial" w:cs="Arial"/>
          <w:sz w:val="22"/>
          <w:szCs w:val="22"/>
          <w:lang w:eastAsia="es-ES"/>
        </w:rPr>
        <w:t>.</w:t>
      </w:r>
      <w:r w:rsidRPr="002F341C" w:rsidR="002471FB">
        <w:rPr>
          <w:rFonts w:ascii="Arial" w:hAnsi="Arial" w:cs="Arial"/>
          <w:sz w:val="22"/>
          <w:szCs w:val="22"/>
          <w:lang w:eastAsia="es-ES"/>
        </w:rPr>
        <w:t xml:space="preserve"> </w:t>
      </w:r>
      <w:r w:rsidRPr="002F341C" w:rsidR="005C0697">
        <w:rPr>
          <w:rFonts w:ascii="Arial" w:hAnsi="Arial" w:cs="Arial"/>
          <w:sz w:val="22"/>
          <w:szCs w:val="22"/>
          <w:lang w:eastAsia="es-ES"/>
        </w:rPr>
        <w:t>A continuación</w:t>
      </w:r>
      <w:r w:rsidRPr="002F341C" w:rsidR="00487CB8">
        <w:rPr>
          <w:rFonts w:ascii="Arial" w:hAnsi="Arial" w:cs="Arial"/>
          <w:sz w:val="22"/>
          <w:szCs w:val="22"/>
          <w:lang w:eastAsia="es-ES"/>
        </w:rPr>
        <w:t>,</w:t>
      </w:r>
      <w:r w:rsidRPr="002F341C" w:rsidR="005C0697">
        <w:rPr>
          <w:rFonts w:ascii="Arial" w:hAnsi="Arial" w:cs="Arial"/>
          <w:sz w:val="22"/>
          <w:szCs w:val="22"/>
          <w:lang w:eastAsia="es-ES"/>
        </w:rPr>
        <w:t xml:space="preserve"> se presenta </w:t>
      </w:r>
      <w:r w:rsidRPr="002F341C" w:rsidR="00487CB8">
        <w:rPr>
          <w:rFonts w:ascii="Arial" w:hAnsi="Arial" w:cs="Arial"/>
          <w:sz w:val="22"/>
          <w:szCs w:val="22"/>
          <w:lang w:eastAsia="es-ES"/>
        </w:rPr>
        <w:t>el detalle de los resultados obtenidos</w:t>
      </w:r>
      <w:r w:rsidRPr="002F341C" w:rsidR="005C0697">
        <w:rPr>
          <w:rFonts w:ascii="Arial" w:hAnsi="Arial" w:cs="Arial"/>
          <w:sz w:val="22"/>
          <w:szCs w:val="22"/>
          <w:lang w:eastAsia="es-ES"/>
        </w:rPr>
        <w:t>:</w:t>
      </w:r>
      <w:bookmarkEnd w:id="119"/>
    </w:p>
    <w:p w:rsidRPr="002F341C" w:rsidR="005C0697" w:rsidP="006A1820" w:rsidRDefault="005C0697" w14:paraId="31A7311B" w14:textId="5B214D71">
      <w:pPr>
        <w:pStyle w:val="Paragraph"/>
        <w:numPr>
          <w:ilvl w:val="0"/>
          <w:numId w:val="0"/>
        </w:numPr>
        <w:ind w:left="720"/>
        <w:rPr>
          <w:rFonts w:ascii="Arial" w:hAnsi="Arial" w:cs="Arial"/>
          <w:b/>
          <w:sz w:val="22"/>
          <w:szCs w:val="22"/>
          <w:lang w:eastAsia="es-ES"/>
        </w:rPr>
      </w:pPr>
    </w:p>
    <w:p w:rsidRPr="002F341C" w:rsidR="006A1820" w:rsidP="007761D5" w:rsidRDefault="006A1820" w14:paraId="137BCA6E" w14:textId="6492CB4C">
      <w:pPr>
        <w:pStyle w:val="Paragraph"/>
        <w:numPr>
          <w:ilvl w:val="0"/>
          <w:numId w:val="0"/>
        </w:numPr>
        <w:jc w:val="center"/>
        <w:rPr>
          <w:rFonts w:ascii="Arial" w:hAnsi="Arial" w:cs="Arial"/>
          <w:b/>
          <w:sz w:val="22"/>
          <w:szCs w:val="22"/>
          <w:lang w:eastAsia="es-ES"/>
        </w:rPr>
      </w:pPr>
      <w:bookmarkStart w:name="_Toc17804131" w:id="120"/>
      <w:r w:rsidRPr="002F341C">
        <w:rPr>
          <w:rFonts w:ascii="Arial" w:hAnsi="Arial" w:cs="Arial"/>
          <w:b/>
          <w:sz w:val="22"/>
          <w:szCs w:val="22"/>
          <w:lang w:eastAsia="es-ES"/>
        </w:rPr>
        <w:t>Estimación de la demanda de crédito insatisfecha</w:t>
      </w:r>
      <w:bookmarkEnd w:id="120"/>
    </w:p>
    <w:p w:rsidRPr="002F341C" w:rsidR="002471FB" w:rsidP="007761D5" w:rsidRDefault="002471FB" w14:paraId="6E8E1E8A" w14:textId="48D6E05E">
      <w:pPr>
        <w:pStyle w:val="Paragraph"/>
        <w:numPr>
          <w:ilvl w:val="0"/>
          <w:numId w:val="0"/>
        </w:numPr>
        <w:jc w:val="center"/>
        <w:rPr>
          <w:rFonts w:ascii="Arial" w:hAnsi="Arial" w:cs="Arial"/>
          <w:sz w:val="20"/>
          <w:szCs w:val="22"/>
          <w:lang w:eastAsia="es-ES"/>
        </w:rPr>
      </w:pPr>
      <w:bookmarkStart w:name="_Toc17804132" w:id="121"/>
      <w:r w:rsidRPr="002F341C">
        <w:rPr>
          <w:rFonts w:ascii="Arial" w:hAnsi="Arial" w:cs="Arial"/>
          <w:sz w:val="20"/>
          <w:szCs w:val="22"/>
          <w:lang w:eastAsia="es-ES"/>
        </w:rPr>
        <w:t>(millones de dólares)</w:t>
      </w:r>
      <w:bookmarkEnd w:id="121"/>
    </w:p>
    <w:p w:rsidRPr="002F341C" w:rsidR="005C0697" w:rsidP="008C1511" w:rsidRDefault="00A81C3B" w14:paraId="2D6C9826" w14:textId="37F28A88">
      <w:pPr>
        <w:pStyle w:val="Paragraph"/>
        <w:numPr>
          <w:ilvl w:val="0"/>
          <w:numId w:val="0"/>
        </w:numPr>
        <w:jc w:val="center"/>
        <w:rPr>
          <w:rFonts w:ascii="Arial" w:hAnsi="Arial" w:cs="Arial"/>
          <w:b/>
          <w:sz w:val="22"/>
          <w:szCs w:val="22"/>
          <w:lang w:eastAsia="es-ES"/>
        </w:rPr>
      </w:pPr>
      <w:bookmarkStart w:name="_Toc17804133" w:id="122"/>
      <w:r w:rsidRPr="002F341C">
        <w:rPr>
          <w:lang w:eastAsia="es-MX"/>
        </w:rPr>
        <w:drawing>
          <wp:inline distT="0" distB="0" distL="0" distR="0" wp14:anchorId="4373679D" wp14:editId="7D5B035B">
            <wp:extent cx="4925683" cy="1853948"/>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41051" cy="1859732"/>
                    </a:xfrm>
                    <a:prstGeom prst="rect">
                      <a:avLst/>
                    </a:prstGeom>
                    <a:noFill/>
                    <a:ln>
                      <a:noFill/>
                    </a:ln>
                  </pic:spPr>
                </pic:pic>
              </a:graphicData>
            </a:graphic>
          </wp:inline>
        </w:drawing>
      </w:r>
      <w:bookmarkEnd w:id="122"/>
    </w:p>
    <w:p w:rsidRPr="002F341C" w:rsidR="006B7217" w:rsidP="006A1820" w:rsidRDefault="006B7217" w14:paraId="6DA96C6D" w14:textId="77777777">
      <w:pPr>
        <w:pStyle w:val="Paragraph"/>
        <w:numPr>
          <w:ilvl w:val="0"/>
          <w:numId w:val="0"/>
        </w:numPr>
        <w:ind w:left="720"/>
        <w:jc w:val="center"/>
        <w:rPr>
          <w:rFonts w:ascii="Arial" w:hAnsi="Arial" w:cs="Arial"/>
          <w:b/>
          <w:sz w:val="22"/>
          <w:szCs w:val="22"/>
          <w:lang w:eastAsia="es-ES"/>
        </w:rPr>
      </w:pPr>
    </w:p>
    <w:p w:rsidRPr="002F341C" w:rsidR="00A83353" w:rsidP="00A83353" w:rsidRDefault="00A83353" w14:paraId="75AC23B8" w14:textId="77777777">
      <w:pPr>
        <w:pStyle w:val="Paragraph"/>
        <w:numPr>
          <w:ilvl w:val="0"/>
          <w:numId w:val="0"/>
        </w:numPr>
        <w:ind w:left="720"/>
        <w:rPr>
          <w:rFonts w:ascii="Arial" w:hAnsi="Arial" w:cs="Arial"/>
          <w:sz w:val="22"/>
          <w:szCs w:val="22"/>
          <w:lang w:eastAsia="es-ES"/>
        </w:rPr>
      </w:pPr>
    </w:p>
    <w:p w:rsidRPr="002F341C" w:rsidR="00483FA3" w:rsidP="005E7BFE" w:rsidRDefault="00483FA3" w14:paraId="19AD78DC" w14:textId="33BFAF56">
      <w:pPr>
        <w:pStyle w:val="Paragraph"/>
        <w:numPr>
          <w:ilvl w:val="0"/>
          <w:numId w:val="13"/>
        </w:numPr>
        <w:ind w:hanging="720"/>
        <w:rPr>
          <w:rFonts w:ascii="Arial" w:hAnsi="Arial" w:cs="Arial"/>
          <w:b/>
          <w:sz w:val="22"/>
          <w:szCs w:val="22"/>
        </w:rPr>
      </w:pPr>
      <w:bookmarkStart w:name="_Toc17804134" w:id="123"/>
      <w:r w:rsidRPr="002F341C">
        <w:rPr>
          <w:rFonts w:ascii="Arial" w:hAnsi="Arial" w:cs="Arial"/>
          <w:b/>
          <w:sz w:val="22"/>
          <w:szCs w:val="22"/>
        </w:rPr>
        <w:t>Perfil de beneficiarios finales</w:t>
      </w:r>
      <w:r w:rsidRPr="002F341C" w:rsidR="008C1511">
        <w:rPr>
          <w:rFonts w:ascii="Arial" w:hAnsi="Arial" w:cs="Arial"/>
          <w:b/>
          <w:sz w:val="22"/>
          <w:szCs w:val="22"/>
        </w:rPr>
        <w:t xml:space="preserve"> y entidades financieras elegibles</w:t>
      </w:r>
    </w:p>
    <w:p w:rsidRPr="002F341C" w:rsidR="0052295F" w:rsidP="3B089B2A" w:rsidRDefault="00483FA3" w14:paraId="0620EC8D" w14:textId="03676BBF">
      <w:pPr>
        <w:pStyle w:val="Paragraph"/>
        <w:ind w:left="720" w:hanging="720"/>
        <w:rPr>
          <w:rFonts w:ascii="Arial" w:hAnsi="Arial" w:cs="Arial"/>
          <w:sz w:val="22"/>
          <w:szCs w:val="22"/>
          <w:lang w:eastAsia="es-ES"/>
        </w:rPr>
      </w:pPr>
      <w:r w:rsidRPr="3B089B2A" w:rsidR="3B089B2A">
        <w:rPr>
          <w:rFonts w:ascii="Arial" w:hAnsi="Arial" w:cs="Arial"/>
          <w:sz w:val="22"/>
          <w:szCs w:val="22"/>
          <w:lang w:eastAsia="es-ES"/>
        </w:rPr>
        <w:t xml:space="preserve">Conforme el análisis previo, la zona de influencia del </w:t>
      </w:r>
      <w:r w:rsidRPr="3B089B2A" w:rsidR="3B089B2A">
        <w:rPr>
          <w:rFonts w:ascii="Arial" w:hAnsi="Arial" w:cs="Arial"/>
          <w:sz w:val="22"/>
          <w:szCs w:val="22"/>
          <w:lang w:eastAsia="es-ES"/>
        </w:rPr>
        <w:t>proy</w:t>
      </w:r>
      <w:r w:rsidRPr="3B089B2A" w:rsidR="3B089B2A">
        <w:rPr>
          <w:rFonts w:ascii="Arial" w:hAnsi="Arial" w:cs="Arial"/>
          <w:sz w:val="22"/>
          <w:szCs w:val="22"/>
          <w:lang w:eastAsia="es-ES"/>
        </w:rPr>
        <w:t>e</w:t>
      </w:r>
      <w:r w:rsidRPr="3B089B2A" w:rsidR="3B089B2A">
        <w:rPr>
          <w:rFonts w:ascii="Arial" w:hAnsi="Arial" w:cs="Arial"/>
          <w:sz w:val="22"/>
          <w:szCs w:val="22"/>
          <w:lang w:eastAsia="es-ES"/>
        </w:rPr>
        <w:t>cto se</w:t>
      </w:r>
      <w:r w:rsidRPr="3B089B2A" w:rsidR="3B089B2A">
        <w:rPr>
          <w:rFonts w:ascii="Arial" w:hAnsi="Arial" w:cs="Arial"/>
          <w:sz w:val="22"/>
          <w:szCs w:val="22"/>
          <w:lang w:eastAsia="es-ES"/>
        </w:rPr>
        <w:t xml:space="preserve"> caracteriza por una escasa presencia de entidades financieras reguladas; así como por un sector productivo concentrado en pequeños productores con operaciones empresariales pequeñas o de subsistencia, lo que limita la rentabilidad de sus cultivos y, por ende, limita su acceso al crédito.</w:t>
      </w:r>
    </w:p>
    <w:p w:rsidRPr="002F341C" w:rsidR="0052295F" w:rsidP="3B089B2A" w:rsidRDefault="0052295F" w14:paraId="0EC54956" w14:textId="685DF8C6">
      <w:pPr>
        <w:pStyle w:val="Paragraph"/>
        <w:ind w:left="720" w:hanging="720"/>
        <w:rPr>
          <w:rFonts w:ascii="Arial" w:hAnsi="Arial" w:cs="Arial"/>
          <w:sz w:val="22"/>
          <w:szCs w:val="22"/>
          <w:lang w:eastAsia="es-ES"/>
        </w:rPr>
      </w:pPr>
      <w:r w:rsidRPr="3B089B2A" w:rsidR="3B089B2A">
        <w:rPr>
          <w:rFonts w:ascii="Arial" w:hAnsi="Arial" w:cs="Arial"/>
          <w:sz w:val="22"/>
          <w:szCs w:val="22"/>
          <w:lang w:eastAsia="es-ES"/>
        </w:rPr>
        <w:t xml:space="preserve">A continuación, se presenta un resumen del perfil de los beneficiarios potenciales a ser atendidos por el </w:t>
      </w:r>
      <w:r w:rsidRPr="3B089B2A" w:rsidR="3B089B2A">
        <w:rPr>
          <w:rFonts w:ascii="Arial" w:hAnsi="Arial" w:cs="Arial"/>
          <w:sz w:val="22"/>
          <w:szCs w:val="22"/>
          <w:lang w:eastAsia="es-ES"/>
        </w:rPr>
        <w:t>proyecto:</w:t>
      </w:r>
    </w:p>
    <w:p w:rsidRPr="002F341C" w:rsidR="0052295F" w:rsidP="0052295F" w:rsidRDefault="0052295F" w14:paraId="69044690" w14:textId="77777777">
      <w:pPr>
        <w:pStyle w:val="Paragraph"/>
        <w:numPr>
          <w:ilvl w:val="0"/>
          <w:numId w:val="0"/>
        </w:numPr>
        <w:ind w:left="720"/>
        <w:rPr>
          <w:rFonts w:ascii="Arial" w:hAnsi="Arial" w:cs="Arial"/>
          <w:sz w:val="22"/>
          <w:szCs w:val="22"/>
          <w:lang w:eastAsia="es-ES"/>
        </w:rPr>
      </w:pPr>
    </w:p>
    <w:p w:rsidRPr="002F341C" w:rsidR="00D06D55" w:rsidP="0052295F" w:rsidRDefault="00D06D55" w14:paraId="764B60BA" w14:textId="77777777">
      <w:pPr>
        <w:pStyle w:val="Paragraph"/>
        <w:numPr>
          <w:ilvl w:val="0"/>
          <w:numId w:val="0"/>
        </w:numPr>
        <w:ind w:left="720"/>
        <w:rPr>
          <w:rFonts w:ascii="Arial" w:hAnsi="Arial" w:cs="Arial"/>
          <w:sz w:val="22"/>
          <w:szCs w:val="22"/>
          <w:lang w:eastAsia="es-ES"/>
        </w:rPr>
      </w:pPr>
    </w:p>
    <w:p w:rsidRPr="002F341C" w:rsidR="00D06D55" w:rsidP="0052295F" w:rsidRDefault="00D06D55" w14:paraId="44CAB13D" w14:textId="77777777">
      <w:pPr>
        <w:pStyle w:val="Paragraph"/>
        <w:numPr>
          <w:ilvl w:val="0"/>
          <w:numId w:val="0"/>
        </w:numPr>
        <w:ind w:left="720"/>
        <w:rPr>
          <w:rFonts w:ascii="Arial" w:hAnsi="Arial" w:cs="Arial"/>
          <w:sz w:val="22"/>
          <w:szCs w:val="22"/>
          <w:lang w:eastAsia="es-ES"/>
        </w:rPr>
      </w:pPr>
    </w:p>
    <w:p w:rsidRPr="002F341C" w:rsidR="00D06D55" w:rsidP="0052295F" w:rsidRDefault="00D06D55" w14:paraId="2EFE39C4" w14:textId="6F3BCFEE">
      <w:pPr>
        <w:pStyle w:val="Paragraph"/>
        <w:numPr>
          <w:ilvl w:val="0"/>
          <w:numId w:val="0"/>
        </w:numPr>
        <w:ind w:left="720"/>
        <w:rPr>
          <w:rFonts w:ascii="Arial" w:hAnsi="Arial" w:cs="Arial"/>
          <w:sz w:val="22"/>
          <w:szCs w:val="22"/>
          <w:lang w:eastAsia="es-ES"/>
        </w:rPr>
      </w:pPr>
    </w:p>
    <w:p w:rsidRPr="002F341C" w:rsidR="00264884" w:rsidP="0052295F" w:rsidRDefault="00264884" w14:paraId="64A4BFFD" w14:textId="1F6647B8">
      <w:pPr>
        <w:pStyle w:val="Paragraph"/>
        <w:numPr>
          <w:ilvl w:val="0"/>
          <w:numId w:val="0"/>
        </w:numPr>
        <w:ind w:left="720"/>
        <w:rPr>
          <w:rFonts w:ascii="Arial" w:hAnsi="Arial" w:cs="Arial"/>
          <w:sz w:val="22"/>
          <w:szCs w:val="22"/>
          <w:lang w:eastAsia="es-ES"/>
        </w:rPr>
      </w:pPr>
    </w:p>
    <w:p w:rsidRPr="002F341C" w:rsidR="00264884" w:rsidP="0052295F" w:rsidRDefault="00264884" w14:paraId="31DA2C85" w14:textId="77777777">
      <w:pPr>
        <w:pStyle w:val="Paragraph"/>
        <w:numPr>
          <w:ilvl w:val="0"/>
          <w:numId w:val="0"/>
        </w:numPr>
        <w:ind w:left="720"/>
        <w:rPr>
          <w:rFonts w:ascii="Arial" w:hAnsi="Arial" w:cs="Arial"/>
          <w:sz w:val="22"/>
          <w:szCs w:val="22"/>
          <w:lang w:eastAsia="es-ES"/>
        </w:rPr>
      </w:pPr>
    </w:p>
    <w:p w:rsidRPr="002F341C" w:rsidR="00D06D55" w:rsidP="0052295F" w:rsidRDefault="00D06D55" w14:paraId="69FAEE6A" w14:textId="77777777">
      <w:pPr>
        <w:pStyle w:val="Paragraph"/>
        <w:numPr>
          <w:ilvl w:val="0"/>
          <w:numId w:val="0"/>
        </w:numPr>
        <w:ind w:left="720"/>
        <w:rPr>
          <w:rFonts w:ascii="Arial" w:hAnsi="Arial" w:cs="Arial"/>
          <w:sz w:val="22"/>
          <w:szCs w:val="22"/>
          <w:lang w:eastAsia="es-ES"/>
        </w:rPr>
      </w:pPr>
    </w:p>
    <w:p w:rsidRPr="002F341C" w:rsidR="00D06D55" w:rsidP="3B089B2A" w:rsidRDefault="00D06D55" w14:paraId="5527EC09" w14:textId="6CBFA660">
      <w:pPr>
        <w:pStyle w:val="Paragraph"/>
        <w:numPr>
          <w:numId w:val="0"/>
        </w:numPr>
        <w:ind w:left="720"/>
        <w:jc w:val="center"/>
        <w:rPr>
          <w:rFonts w:ascii="Arial" w:hAnsi="Arial" w:cs="Arial"/>
          <w:b w:val="1"/>
          <w:bCs w:val="1"/>
          <w:sz w:val="22"/>
          <w:szCs w:val="22"/>
          <w:lang w:eastAsia="es-ES"/>
        </w:rPr>
      </w:pPr>
      <w:r w:rsidRPr="3B089B2A" w:rsidR="3B089B2A">
        <w:rPr>
          <w:rFonts w:ascii="Arial" w:hAnsi="Arial" w:cs="Arial"/>
          <w:b w:val="1"/>
          <w:bCs w:val="1"/>
          <w:sz w:val="22"/>
          <w:szCs w:val="22"/>
          <w:lang w:eastAsia="es-ES"/>
        </w:rPr>
        <w:t>Perfil de los beneficiarios potenciales del pro</w:t>
      </w:r>
      <w:r w:rsidRPr="3B089B2A" w:rsidR="3B089B2A">
        <w:rPr>
          <w:rFonts w:ascii="Arial" w:hAnsi="Arial" w:cs="Arial"/>
          <w:b w:val="1"/>
          <w:bCs w:val="1"/>
          <w:sz w:val="22"/>
          <w:szCs w:val="22"/>
          <w:lang w:eastAsia="es-ES"/>
        </w:rPr>
        <w:t>yecto</w:t>
      </w:r>
    </w:p>
    <w:p w:rsidRPr="002F341C" w:rsidR="0052295F" w:rsidP="0052295F" w:rsidRDefault="00D06D55" w14:paraId="21FB1674" w14:textId="7796FBEB">
      <w:pPr>
        <w:pStyle w:val="Paragraph"/>
        <w:numPr>
          <w:ilvl w:val="0"/>
          <w:numId w:val="0"/>
        </w:numPr>
        <w:ind w:left="720"/>
        <w:jc w:val="center"/>
        <w:rPr>
          <w:rFonts w:ascii="Arial" w:hAnsi="Arial" w:cs="Arial"/>
          <w:sz w:val="22"/>
          <w:szCs w:val="22"/>
          <w:lang w:eastAsia="es-ES"/>
        </w:rPr>
      </w:pPr>
      <w:r w:rsidRPr="002F341C">
        <w:drawing>
          <wp:inline distT="0" distB="0" distL="0" distR="0" wp14:anchorId="6D99CBF3" wp14:editId="21F37F9D">
            <wp:extent cx="5486400" cy="3272448"/>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3272448"/>
                    </a:xfrm>
                    <a:prstGeom prst="rect">
                      <a:avLst/>
                    </a:prstGeom>
                    <a:noFill/>
                    <a:ln>
                      <a:noFill/>
                    </a:ln>
                  </pic:spPr>
                </pic:pic>
              </a:graphicData>
            </a:graphic>
          </wp:inline>
        </w:drawing>
      </w:r>
    </w:p>
    <w:p w:rsidRPr="002F341C" w:rsidR="0052295F" w:rsidP="0052295F" w:rsidRDefault="0052295F" w14:paraId="7077B276" w14:textId="2F59091A">
      <w:pPr>
        <w:pStyle w:val="Paragraph"/>
        <w:numPr>
          <w:ilvl w:val="0"/>
          <w:numId w:val="0"/>
        </w:numPr>
        <w:ind w:left="720"/>
        <w:rPr>
          <w:rFonts w:ascii="Arial" w:hAnsi="Arial" w:cs="Arial"/>
          <w:sz w:val="18"/>
          <w:szCs w:val="22"/>
          <w:lang w:eastAsia="es-ES"/>
        </w:rPr>
      </w:pPr>
      <w:r w:rsidRPr="002F341C">
        <w:rPr>
          <w:rFonts w:ascii="Arial" w:hAnsi="Arial" w:cs="Arial"/>
          <w:b/>
          <w:sz w:val="18"/>
          <w:szCs w:val="22"/>
          <w:lang w:eastAsia="es-ES"/>
        </w:rPr>
        <w:t>Fuente:</w:t>
      </w:r>
      <w:r w:rsidRPr="002F341C">
        <w:rPr>
          <w:rFonts w:ascii="Arial" w:hAnsi="Arial" w:cs="Arial"/>
          <w:sz w:val="18"/>
          <w:szCs w:val="22"/>
          <w:lang w:eastAsia="es-ES"/>
        </w:rPr>
        <w:t xml:space="preserve"> Entrevistas con entidades de </w:t>
      </w:r>
      <w:r w:rsidRPr="002F341C" w:rsidR="00D06D55">
        <w:rPr>
          <w:rFonts w:ascii="Arial" w:hAnsi="Arial" w:cs="Arial"/>
          <w:sz w:val="18"/>
          <w:szCs w:val="22"/>
          <w:lang w:eastAsia="es-ES"/>
        </w:rPr>
        <w:t>intermediación financiera</w:t>
      </w:r>
      <w:r w:rsidRPr="002F341C">
        <w:rPr>
          <w:rFonts w:ascii="Arial" w:hAnsi="Arial" w:cs="Arial"/>
          <w:sz w:val="18"/>
          <w:szCs w:val="22"/>
          <w:lang w:eastAsia="es-ES"/>
        </w:rPr>
        <w:t xml:space="preserve"> de la zona (Coagricsal, Coffee Planet</w:t>
      </w:r>
      <w:r w:rsidRPr="002F341C" w:rsidR="00D06D55">
        <w:rPr>
          <w:rFonts w:ascii="Arial" w:hAnsi="Arial" w:cs="Arial"/>
          <w:sz w:val="18"/>
          <w:szCs w:val="22"/>
          <w:lang w:eastAsia="es-ES"/>
        </w:rPr>
        <w:t>, Cafel, Banco de Occidente, entre otros), productores de la zona, USAID Acceso a Mercado, Ministerio de Agricultura y Ganadería, Funica.</w:t>
      </w:r>
    </w:p>
    <w:p w:rsidRPr="002F341C" w:rsidR="0052295F" w:rsidP="0052295F" w:rsidRDefault="0052295F" w14:paraId="6E49D847" w14:textId="77777777">
      <w:pPr>
        <w:pStyle w:val="Paragraph"/>
        <w:numPr>
          <w:ilvl w:val="0"/>
          <w:numId w:val="0"/>
        </w:numPr>
        <w:ind w:left="720"/>
        <w:rPr>
          <w:rFonts w:ascii="Arial" w:hAnsi="Arial" w:cs="Arial"/>
          <w:sz w:val="22"/>
          <w:szCs w:val="22"/>
          <w:lang w:eastAsia="es-ES"/>
        </w:rPr>
      </w:pPr>
    </w:p>
    <w:p w:rsidRPr="002F341C" w:rsidR="005604A0" w:rsidP="3B089B2A" w:rsidRDefault="009C35A9" w14:paraId="0D7C857D" w14:textId="6E4AB17E">
      <w:pPr>
        <w:pStyle w:val="Paragraph"/>
        <w:ind w:left="720" w:hanging="720"/>
        <w:rPr>
          <w:rFonts w:ascii="Arial" w:hAnsi="Arial" w:cs="Arial"/>
          <w:sz w:val="22"/>
          <w:szCs w:val="22"/>
          <w:lang w:eastAsia="es-ES"/>
        </w:rPr>
      </w:pPr>
      <w:r w:rsidRPr="3B089B2A" w:rsidR="3B089B2A">
        <w:rPr>
          <w:rFonts w:ascii="Arial" w:hAnsi="Arial" w:cs="Arial"/>
          <w:sz w:val="22"/>
          <w:szCs w:val="22"/>
          <w:lang w:eastAsia="es-ES"/>
        </w:rPr>
        <w:t xml:space="preserve">Dado el tamaño de los negocios de los beneficiarios potenciales, así como su dispersión geográfica, el </w:t>
      </w:r>
      <w:r w:rsidRPr="3B089B2A" w:rsidR="3B089B2A">
        <w:rPr>
          <w:rFonts w:ascii="Arial" w:hAnsi="Arial" w:cs="Arial"/>
          <w:sz w:val="22"/>
          <w:szCs w:val="22"/>
          <w:lang w:eastAsia="es-ES"/>
        </w:rPr>
        <w:t xml:space="preserve">proyecto </w:t>
      </w:r>
      <w:r w:rsidRPr="3B089B2A" w:rsidR="3B089B2A">
        <w:rPr>
          <w:rFonts w:ascii="Arial" w:hAnsi="Arial" w:cs="Arial"/>
          <w:sz w:val="22"/>
          <w:szCs w:val="22"/>
          <w:lang w:eastAsia="es-ES"/>
        </w:rPr>
        <w:t xml:space="preserve">deberá procurar que en su diseño se incorporen como entidades elegibles a acceder a los fondos del mismo a entidades financieras reguladas y no reguladas. Esto, con el objetivo de lograr la mayor inclusión posible e incrementar el impacto sobre los niveles de pobreza de la zona. </w:t>
      </w:r>
    </w:p>
    <w:p w:rsidRPr="002F341C" w:rsidR="00EC04A6" w:rsidP="3B089B2A" w:rsidRDefault="005604A0" w14:paraId="0307F04A" w14:textId="38FF2D69">
      <w:pPr>
        <w:pStyle w:val="Paragraph"/>
        <w:ind w:left="720" w:hanging="720"/>
        <w:rPr>
          <w:rFonts w:ascii="Arial" w:hAnsi="Arial" w:cs="Arial"/>
          <w:sz w:val="22"/>
          <w:szCs w:val="22"/>
          <w:lang w:eastAsia="es-ES"/>
        </w:rPr>
      </w:pPr>
      <w:r w:rsidRPr="3B089B2A" w:rsidR="3B089B2A">
        <w:rPr>
          <w:rFonts w:ascii="Arial" w:hAnsi="Arial" w:cs="Arial"/>
          <w:sz w:val="22"/>
          <w:szCs w:val="22"/>
          <w:lang w:eastAsia="es-ES"/>
        </w:rPr>
        <w:t>Las entidades propuestas a ser atendidas por el pro</w:t>
      </w:r>
      <w:r w:rsidRPr="3B089B2A" w:rsidR="3B089B2A">
        <w:rPr>
          <w:rFonts w:ascii="Arial" w:hAnsi="Arial" w:cs="Arial"/>
          <w:sz w:val="22"/>
          <w:szCs w:val="22"/>
          <w:lang w:eastAsia="es-ES"/>
        </w:rPr>
        <w:t>yecto</w:t>
      </w:r>
      <w:r w:rsidRPr="3B089B2A" w:rsidR="3B089B2A">
        <w:rPr>
          <w:rFonts w:ascii="Arial" w:hAnsi="Arial" w:cs="Arial"/>
          <w:sz w:val="22"/>
          <w:szCs w:val="22"/>
          <w:lang w:eastAsia="es-ES"/>
        </w:rPr>
        <w:t xml:space="preserve"> son:</w:t>
      </w:r>
    </w:p>
    <w:p w:rsidRPr="002F341C" w:rsidR="00EC04A6" w:rsidP="3B089B2A" w:rsidRDefault="00EC04A6" w14:paraId="590AE522" w14:textId="1804727F">
      <w:pPr>
        <w:pStyle w:val="Paragraph"/>
        <w:numPr>
          <w:numId w:val="0"/>
        </w:numPr>
        <w:ind w:left="720"/>
        <w:jc w:val="center"/>
        <w:rPr>
          <w:rFonts w:ascii="Arial" w:hAnsi="Arial" w:cs="Arial"/>
          <w:b w:val="1"/>
          <w:bCs w:val="1"/>
          <w:sz w:val="22"/>
          <w:szCs w:val="22"/>
          <w:lang w:eastAsia="es-ES"/>
        </w:rPr>
      </w:pPr>
      <w:r w:rsidRPr="3B089B2A" w:rsidR="3B089B2A">
        <w:rPr>
          <w:rFonts w:ascii="Arial" w:hAnsi="Arial" w:cs="Arial"/>
          <w:b w:val="1"/>
          <w:bCs w:val="1"/>
          <w:sz w:val="22"/>
          <w:szCs w:val="22"/>
          <w:lang w:eastAsia="es-ES"/>
        </w:rPr>
        <w:t>Perfil de entidades propuestas a ser elegibles por el pro</w:t>
      </w:r>
      <w:r w:rsidRPr="3B089B2A" w:rsidR="3B089B2A">
        <w:rPr>
          <w:rFonts w:ascii="Arial" w:hAnsi="Arial" w:cs="Arial"/>
          <w:b w:val="1"/>
          <w:bCs w:val="1"/>
          <w:sz w:val="22"/>
          <w:szCs w:val="22"/>
          <w:lang w:eastAsia="es-ES"/>
        </w:rPr>
        <w:t>yecto</w:t>
      </w:r>
    </w:p>
    <w:p w:rsidRPr="002F341C" w:rsidR="00EC04A6" w:rsidP="00EC04A6" w:rsidRDefault="00EC04A6" w14:paraId="066BB7A2" w14:textId="59A23DD2">
      <w:pPr>
        <w:pStyle w:val="Paragraph"/>
        <w:numPr>
          <w:ilvl w:val="0"/>
          <w:numId w:val="0"/>
        </w:numPr>
        <w:ind w:left="720"/>
        <w:jc w:val="center"/>
        <w:rPr>
          <w:rFonts w:ascii="Arial" w:hAnsi="Arial" w:cs="Arial"/>
          <w:sz w:val="22"/>
          <w:szCs w:val="22"/>
          <w:lang w:eastAsia="es-ES"/>
        </w:rPr>
      </w:pPr>
      <w:r w:rsidRPr="002F341C">
        <w:drawing>
          <wp:inline distT="0" distB="0" distL="0" distR="0" wp14:anchorId="5C9BA482" wp14:editId="46C1EA74">
            <wp:extent cx="5486400" cy="1675200"/>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1675200"/>
                    </a:xfrm>
                    <a:prstGeom prst="rect">
                      <a:avLst/>
                    </a:prstGeom>
                    <a:noFill/>
                    <a:ln>
                      <a:noFill/>
                    </a:ln>
                  </pic:spPr>
                </pic:pic>
              </a:graphicData>
            </a:graphic>
          </wp:inline>
        </w:drawing>
      </w:r>
    </w:p>
    <w:p w:rsidRPr="002F341C" w:rsidR="00264884" w:rsidP="008C1511" w:rsidRDefault="00264884" w14:paraId="79A5D396" w14:textId="77777777">
      <w:pPr>
        <w:pStyle w:val="Paragraph"/>
        <w:numPr>
          <w:ilvl w:val="0"/>
          <w:numId w:val="0"/>
        </w:numPr>
        <w:ind w:left="720"/>
        <w:jc w:val="center"/>
        <w:rPr>
          <w:rFonts w:ascii="Arial" w:hAnsi="Arial" w:cs="Arial"/>
          <w:b/>
          <w:sz w:val="22"/>
          <w:szCs w:val="22"/>
          <w:lang w:eastAsia="es-ES"/>
        </w:rPr>
      </w:pPr>
    </w:p>
    <w:p w:rsidRPr="002F341C" w:rsidR="00264884" w:rsidP="008C1511" w:rsidRDefault="00264884" w14:paraId="163D9124" w14:textId="77777777">
      <w:pPr>
        <w:pStyle w:val="Paragraph"/>
        <w:numPr>
          <w:ilvl w:val="0"/>
          <w:numId w:val="0"/>
        </w:numPr>
        <w:ind w:left="720"/>
        <w:jc w:val="center"/>
        <w:rPr>
          <w:rFonts w:ascii="Arial" w:hAnsi="Arial" w:cs="Arial"/>
          <w:b/>
          <w:sz w:val="22"/>
          <w:szCs w:val="22"/>
          <w:lang w:eastAsia="es-ES"/>
        </w:rPr>
      </w:pPr>
    </w:p>
    <w:p w:rsidRPr="002F341C" w:rsidR="00264884" w:rsidP="008C1511" w:rsidRDefault="00264884" w14:paraId="3AE7BBE7" w14:textId="77777777">
      <w:pPr>
        <w:pStyle w:val="Paragraph"/>
        <w:numPr>
          <w:ilvl w:val="0"/>
          <w:numId w:val="0"/>
        </w:numPr>
        <w:ind w:left="720"/>
        <w:jc w:val="center"/>
        <w:rPr>
          <w:rFonts w:ascii="Arial" w:hAnsi="Arial" w:cs="Arial"/>
          <w:b/>
          <w:sz w:val="22"/>
          <w:szCs w:val="22"/>
          <w:lang w:eastAsia="es-ES"/>
        </w:rPr>
      </w:pPr>
    </w:p>
    <w:p w:rsidRPr="002F341C" w:rsidR="008C1511" w:rsidP="3B089B2A" w:rsidRDefault="008C1511" w14:paraId="3F680EEC" w14:textId="39AD3838">
      <w:pPr>
        <w:pStyle w:val="Paragraph"/>
        <w:numPr>
          <w:numId w:val="0"/>
        </w:numPr>
        <w:ind w:left="720"/>
        <w:jc w:val="center"/>
        <w:rPr>
          <w:rFonts w:ascii="Arial" w:hAnsi="Arial" w:cs="Arial"/>
          <w:b w:val="1"/>
          <w:bCs w:val="1"/>
          <w:sz w:val="22"/>
          <w:szCs w:val="22"/>
          <w:lang w:eastAsia="es-ES"/>
        </w:rPr>
      </w:pPr>
      <w:r w:rsidRPr="3B089B2A" w:rsidR="3B089B2A">
        <w:rPr>
          <w:rFonts w:ascii="Arial" w:hAnsi="Arial" w:cs="Arial"/>
          <w:b w:val="1"/>
          <w:bCs w:val="1"/>
          <w:sz w:val="22"/>
          <w:szCs w:val="22"/>
          <w:lang w:eastAsia="es-ES"/>
        </w:rPr>
        <w:t>Perfil de entidades propuestas a ser elegibles por el pro</w:t>
      </w:r>
      <w:r w:rsidRPr="3B089B2A" w:rsidR="3B089B2A">
        <w:rPr>
          <w:rFonts w:ascii="Arial" w:hAnsi="Arial" w:cs="Arial"/>
          <w:b w:val="1"/>
          <w:bCs w:val="1"/>
          <w:sz w:val="22"/>
          <w:szCs w:val="22"/>
          <w:lang w:eastAsia="es-ES"/>
        </w:rPr>
        <w:t>yecto</w:t>
      </w:r>
    </w:p>
    <w:p w:rsidRPr="002F341C" w:rsidR="008C1511" w:rsidP="008C1511" w:rsidRDefault="008C1511" w14:paraId="74377A77" w14:textId="64157D1E">
      <w:pPr>
        <w:pStyle w:val="Paragraph"/>
        <w:numPr>
          <w:ilvl w:val="0"/>
          <w:numId w:val="0"/>
        </w:numPr>
        <w:ind w:left="720"/>
        <w:jc w:val="center"/>
        <w:rPr>
          <w:rFonts w:ascii="Arial" w:hAnsi="Arial" w:cs="Arial"/>
          <w:sz w:val="22"/>
          <w:szCs w:val="22"/>
          <w:lang w:eastAsia="es-ES"/>
        </w:rPr>
      </w:pPr>
      <w:r w:rsidRPr="002F341C">
        <w:rPr>
          <w:rFonts w:ascii="Arial" w:hAnsi="Arial" w:cs="Arial"/>
          <w:sz w:val="22"/>
          <w:szCs w:val="22"/>
          <w:lang w:eastAsia="es-ES"/>
        </w:rPr>
        <w:t>(… continuación)</w:t>
      </w:r>
    </w:p>
    <w:p w:rsidRPr="002F341C" w:rsidR="00EC04A6" w:rsidP="00EC04A6" w:rsidRDefault="00EC04A6" w14:paraId="200A95D7" w14:textId="0C194A5E">
      <w:pPr>
        <w:pStyle w:val="Paragraph"/>
        <w:numPr>
          <w:ilvl w:val="0"/>
          <w:numId w:val="0"/>
        </w:numPr>
        <w:ind w:left="720"/>
        <w:jc w:val="center"/>
        <w:rPr>
          <w:rFonts w:ascii="Arial" w:hAnsi="Arial" w:cs="Arial"/>
          <w:sz w:val="22"/>
          <w:szCs w:val="22"/>
          <w:lang w:eastAsia="es-ES"/>
        </w:rPr>
      </w:pPr>
      <w:r w:rsidRPr="002F341C">
        <w:drawing>
          <wp:inline distT="0" distB="0" distL="0" distR="0" wp14:anchorId="476C96E8" wp14:editId="72386FB2">
            <wp:extent cx="5486400" cy="4636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4636800"/>
                    </a:xfrm>
                    <a:prstGeom prst="rect">
                      <a:avLst/>
                    </a:prstGeom>
                    <a:noFill/>
                    <a:ln>
                      <a:noFill/>
                    </a:ln>
                  </pic:spPr>
                </pic:pic>
              </a:graphicData>
            </a:graphic>
          </wp:inline>
        </w:drawing>
      </w:r>
    </w:p>
    <w:p w:rsidRPr="002F341C" w:rsidR="00EC04A6" w:rsidP="00EC04A6" w:rsidRDefault="00EC04A6" w14:paraId="65F9DB4A" w14:textId="67EEDE37">
      <w:pPr>
        <w:pStyle w:val="Paragraph"/>
        <w:numPr>
          <w:ilvl w:val="0"/>
          <w:numId w:val="0"/>
        </w:numPr>
        <w:ind w:left="720"/>
        <w:rPr>
          <w:rFonts w:ascii="Arial" w:hAnsi="Arial" w:cs="Arial"/>
          <w:sz w:val="22"/>
          <w:szCs w:val="22"/>
          <w:lang w:eastAsia="es-ES"/>
        </w:rPr>
      </w:pPr>
      <w:r w:rsidRPr="002F341C">
        <w:rPr>
          <w:rFonts w:ascii="Arial" w:hAnsi="Arial" w:cs="Arial"/>
          <w:b/>
          <w:sz w:val="18"/>
          <w:szCs w:val="22"/>
          <w:lang w:eastAsia="es-ES"/>
        </w:rPr>
        <w:t>Fuente:</w:t>
      </w:r>
      <w:r w:rsidRPr="002F341C">
        <w:rPr>
          <w:rFonts w:ascii="Arial" w:hAnsi="Arial" w:cs="Arial"/>
          <w:sz w:val="18"/>
          <w:szCs w:val="22"/>
          <w:lang w:eastAsia="es-ES"/>
        </w:rPr>
        <w:t xml:space="preserve"> Funica, páginas web de entidades e información recopilada a través de entrevistas con entidades financieras.</w:t>
      </w:r>
    </w:p>
    <w:p w:rsidRPr="002F341C" w:rsidR="00EC04A6" w:rsidP="00EC04A6" w:rsidRDefault="00EC04A6" w14:paraId="22D87B2B" w14:textId="77777777">
      <w:pPr>
        <w:pStyle w:val="Paragraph"/>
        <w:numPr>
          <w:ilvl w:val="0"/>
          <w:numId w:val="0"/>
        </w:numPr>
        <w:ind w:left="720"/>
        <w:rPr>
          <w:rFonts w:ascii="Arial" w:hAnsi="Arial" w:cs="Arial"/>
          <w:sz w:val="22"/>
          <w:szCs w:val="22"/>
          <w:lang w:eastAsia="es-ES"/>
        </w:rPr>
      </w:pPr>
    </w:p>
    <w:p w:rsidRPr="002F341C" w:rsidR="00483FA3" w:rsidP="00483FA3" w:rsidRDefault="00483FA3" w14:paraId="2C6F686E" w14:textId="77777777">
      <w:pPr>
        <w:pStyle w:val="Paragraph"/>
        <w:numPr>
          <w:ilvl w:val="0"/>
          <w:numId w:val="0"/>
        </w:numPr>
        <w:ind w:left="1296" w:hanging="1296"/>
        <w:rPr>
          <w:rFonts w:ascii="Arial" w:hAnsi="Arial" w:cs="Arial"/>
          <w:b/>
          <w:sz w:val="22"/>
          <w:szCs w:val="22"/>
        </w:rPr>
      </w:pPr>
    </w:p>
    <w:p w:rsidRPr="002F341C" w:rsidR="00A83353" w:rsidP="005E7BFE" w:rsidRDefault="00A83353" w14:paraId="67E350CA" w14:textId="4A5C6C10">
      <w:pPr>
        <w:pStyle w:val="Paragraph"/>
        <w:numPr>
          <w:ilvl w:val="0"/>
          <w:numId w:val="13"/>
        </w:numPr>
        <w:ind w:hanging="720"/>
        <w:rPr>
          <w:rFonts w:ascii="Arial" w:hAnsi="Arial" w:cs="Arial"/>
          <w:b/>
          <w:sz w:val="22"/>
          <w:szCs w:val="22"/>
        </w:rPr>
      </w:pPr>
      <w:r w:rsidRPr="002F341C">
        <w:rPr>
          <w:rFonts w:ascii="Arial" w:hAnsi="Arial" w:cs="Arial"/>
          <w:b/>
          <w:sz w:val="22"/>
          <w:szCs w:val="22"/>
        </w:rPr>
        <w:t xml:space="preserve">Productos financieros para </w:t>
      </w:r>
      <w:r w:rsidRPr="002F341C" w:rsidR="0022398B">
        <w:rPr>
          <w:rFonts w:ascii="Arial" w:hAnsi="Arial" w:cs="Arial"/>
          <w:b/>
          <w:sz w:val="22"/>
          <w:szCs w:val="22"/>
        </w:rPr>
        <w:t>el financiamiento productivo</w:t>
      </w:r>
      <w:bookmarkEnd w:id="123"/>
      <w:r w:rsidRPr="002F341C" w:rsidR="00152CE5">
        <w:rPr>
          <w:rFonts w:ascii="Arial" w:hAnsi="Arial" w:cs="Arial"/>
          <w:b/>
          <w:sz w:val="22"/>
          <w:szCs w:val="22"/>
        </w:rPr>
        <w:t xml:space="preserve"> </w:t>
      </w:r>
    </w:p>
    <w:p w:rsidRPr="002F341C" w:rsidR="00423D1D" w:rsidP="00302051" w:rsidRDefault="00272FC7" w14:paraId="6844913D" w14:textId="1E6A6FE0">
      <w:pPr>
        <w:pStyle w:val="Paragraph"/>
        <w:ind w:left="720" w:hanging="720"/>
        <w:rPr>
          <w:rFonts w:ascii="Arial" w:hAnsi="Arial" w:cs="Arial"/>
          <w:sz w:val="22"/>
          <w:szCs w:val="22"/>
          <w:lang w:eastAsia="es-ES"/>
        </w:rPr>
      </w:pPr>
      <w:bookmarkStart w:name="_Toc17804135" w:id="124"/>
      <w:r w:rsidRPr="002F341C">
        <w:rPr>
          <w:rFonts w:ascii="Arial" w:hAnsi="Arial" w:cs="Arial"/>
          <w:sz w:val="22"/>
          <w:szCs w:val="22"/>
          <w:lang w:eastAsia="es-ES"/>
        </w:rPr>
        <w:t>El corredor seco, y en particular, la zona de occidente del país posee un potencial importante para el cultivo del café y frutales. En particular, el café es un cultivo con amplia diseminación en la zona; de hecho, Occidente es una de las zonas más productivas del p</w:t>
      </w:r>
      <w:r w:rsidRPr="002F341C" w:rsidR="001731C6">
        <w:rPr>
          <w:rFonts w:ascii="Arial" w:hAnsi="Arial" w:cs="Arial"/>
          <w:sz w:val="22"/>
          <w:szCs w:val="22"/>
          <w:lang w:eastAsia="es-ES"/>
        </w:rPr>
        <w:t>a</w:t>
      </w:r>
      <w:r w:rsidRPr="002F341C">
        <w:rPr>
          <w:rFonts w:ascii="Arial" w:hAnsi="Arial" w:cs="Arial"/>
          <w:sz w:val="22"/>
          <w:szCs w:val="22"/>
          <w:lang w:eastAsia="es-ES"/>
        </w:rPr>
        <w:t xml:space="preserve">ís al concentrar un poco más del </w:t>
      </w:r>
      <w:r w:rsidRPr="002F341C" w:rsidR="001731C6">
        <w:rPr>
          <w:rFonts w:ascii="Arial" w:hAnsi="Arial" w:cs="Arial"/>
          <w:sz w:val="22"/>
          <w:szCs w:val="22"/>
          <w:lang w:eastAsia="es-ES"/>
        </w:rPr>
        <w:t xml:space="preserve">40% de la producción nacional, al </w:t>
      </w:r>
      <w:r w:rsidRPr="002F341C" w:rsidR="00F273B8">
        <w:rPr>
          <w:rFonts w:ascii="Arial" w:hAnsi="Arial" w:cs="Arial"/>
          <w:sz w:val="22"/>
          <w:szCs w:val="22"/>
          <w:lang w:eastAsia="es-ES"/>
        </w:rPr>
        <w:t>tiempo</w:t>
      </w:r>
      <w:r w:rsidRPr="002F341C" w:rsidR="001731C6">
        <w:rPr>
          <w:rFonts w:ascii="Arial" w:hAnsi="Arial" w:cs="Arial"/>
          <w:sz w:val="22"/>
          <w:szCs w:val="22"/>
          <w:lang w:eastAsia="es-ES"/>
        </w:rPr>
        <w:t xml:space="preserve"> de producir un café de muy alta calidad dado las óptimas condiciones que ofrece esta zona.</w:t>
      </w:r>
      <w:bookmarkEnd w:id="124"/>
    </w:p>
    <w:p w:rsidRPr="002F341C" w:rsidR="00C14A75" w:rsidP="00302051" w:rsidRDefault="00F254C4" w14:paraId="1FEC4A13" w14:textId="352C15DC">
      <w:pPr>
        <w:pStyle w:val="Paragraph"/>
        <w:ind w:left="720" w:hanging="720"/>
        <w:rPr>
          <w:rFonts w:ascii="Arial" w:hAnsi="Arial" w:cs="Arial"/>
          <w:sz w:val="22"/>
          <w:szCs w:val="22"/>
          <w:lang w:eastAsia="es-ES"/>
        </w:rPr>
      </w:pPr>
      <w:bookmarkStart w:name="_Toc17804136" w:id="125"/>
      <w:r w:rsidRPr="002F341C">
        <w:rPr>
          <w:rFonts w:ascii="Arial" w:hAnsi="Arial" w:cs="Arial"/>
          <w:sz w:val="22"/>
          <w:szCs w:val="22"/>
          <w:lang w:eastAsia="es-ES"/>
        </w:rPr>
        <w:t>Asi</w:t>
      </w:r>
      <w:r w:rsidRPr="002F341C" w:rsidR="001731C6">
        <w:rPr>
          <w:rFonts w:ascii="Arial" w:hAnsi="Arial" w:cs="Arial"/>
          <w:sz w:val="22"/>
          <w:szCs w:val="22"/>
          <w:lang w:eastAsia="es-ES"/>
        </w:rPr>
        <w:t xml:space="preserve">mismo, dado las condiciones climáticas también posee un amplio potencial para el cultivo de frutales tales como el cacao, aguacate, </w:t>
      </w:r>
      <w:r w:rsidRPr="002F341C">
        <w:rPr>
          <w:rFonts w:ascii="Arial" w:hAnsi="Arial" w:cs="Arial"/>
          <w:sz w:val="22"/>
          <w:szCs w:val="22"/>
          <w:lang w:eastAsia="es-ES"/>
        </w:rPr>
        <w:t>cítricos</w:t>
      </w:r>
      <w:r w:rsidRPr="002F341C" w:rsidR="001731C6">
        <w:rPr>
          <w:rFonts w:ascii="Arial" w:hAnsi="Arial" w:cs="Arial"/>
          <w:sz w:val="22"/>
          <w:szCs w:val="22"/>
          <w:lang w:eastAsia="es-ES"/>
        </w:rPr>
        <w:t xml:space="preserve">, </w:t>
      </w:r>
      <w:r w:rsidRPr="002F341C">
        <w:rPr>
          <w:rFonts w:ascii="Arial" w:hAnsi="Arial" w:cs="Arial"/>
          <w:sz w:val="22"/>
          <w:szCs w:val="22"/>
          <w:lang w:eastAsia="es-ES"/>
        </w:rPr>
        <w:t xml:space="preserve">ciruela, entre otros. No obstante, </w:t>
      </w:r>
      <w:r w:rsidRPr="002F341C" w:rsidR="003250BD">
        <w:rPr>
          <w:rFonts w:ascii="Arial" w:hAnsi="Arial" w:cs="Arial"/>
          <w:sz w:val="22"/>
          <w:szCs w:val="22"/>
          <w:lang w:eastAsia="es-ES"/>
        </w:rPr>
        <w:t>la falta de productos financieros adecuados para su establecimiento imposibilita</w:t>
      </w:r>
      <w:r w:rsidRPr="002F341C">
        <w:rPr>
          <w:rFonts w:ascii="Arial" w:hAnsi="Arial" w:cs="Arial"/>
          <w:sz w:val="22"/>
          <w:szCs w:val="22"/>
          <w:lang w:eastAsia="es-ES"/>
        </w:rPr>
        <w:t xml:space="preserve"> la expansi</w:t>
      </w:r>
      <w:r w:rsidRPr="002F341C" w:rsidR="00152CE5">
        <w:rPr>
          <w:rFonts w:ascii="Arial" w:hAnsi="Arial" w:cs="Arial"/>
          <w:sz w:val="22"/>
          <w:szCs w:val="22"/>
          <w:lang w:eastAsia="es-ES"/>
        </w:rPr>
        <w:t>ón de estos cultivos.</w:t>
      </w:r>
      <w:bookmarkEnd w:id="125"/>
      <w:r w:rsidRPr="002F341C" w:rsidR="00152CE5">
        <w:rPr>
          <w:rFonts w:ascii="Arial" w:hAnsi="Arial" w:cs="Arial"/>
          <w:sz w:val="22"/>
          <w:szCs w:val="22"/>
          <w:lang w:eastAsia="es-ES"/>
        </w:rPr>
        <w:t xml:space="preserve"> </w:t>
      </w:r>
    </w:p>
    <w:p w:rsidRPr="002F341C" w:rsidR="001731C6" w:rsidP="00302051" w:rsidRDefault="00152CE5" w14:paraId="1DAD4346" w14:textId="13038E6B">
      <w:pPr>
        <w:pStyle w:val="Paragraph"/>
        <w:ind w:left="720" w:hanging="720"/>
        <w:rPr>
          <w:rFonts w:ascii="Arial" w:hAnsi="Arial" w:cs="Arial"/>
          <w:sz w:val="22"/>
          <w:szCs w:val="22"/>
          <w:lang w:eastAsia="es-ES"/>
        </w:rPr>
      </w:pPr>
      <w:bookmarkStart w:name="_Toc17804137" w:id="126"/>
      <w:r w:rsidRPr="002F341C">
        <w:rPr>
          <w:rFonts w:ascii="Arial" w:hAnsi="Arial" w:cs="Arial"/>
          <w:sz w:val="22"/>
          <w:szCs w:val="22"/>
          <w:lang w:eastAsia="es-ES"/>
        </w:rPr>
        <w:lastRenderedPageBreak/>
        <w:t xml:space="preserve">A </w:t>
      </w:r>
      <w:r w:rsidRPr="002F341C" w:rsidR="009C1007">
        <w:rPr>
          <w:rFonts w:ascii="Arial" w:hAnsi="Arial" w:cs="Arial"/>
          <w:sz w:val="22"/>
          <w:szCs w:val="22"/>
          <w:lang w:eastAsia="es-ES"/>
        </w:rPr>
        <w:t>continuación,</w:t>
      </w:r>
      <w:r w:rsidRPr="002F341C">
        <w:rPr>
          <w:rFonts w:ascii="Arial" w:hAnsi="Arial" w:cs="Arial"/>
          <w:sz w:val="22"/>
          <w:szCs w:val="22"/>
          <w:lang w:eastAsia="es-ES"/>
        </w:rPr>
        <w:t xml:space="preserve"> se detallan las principales características de los productos financieros:</w:t>
      </w:r>
      <w:bookmarkEnd w:id="126"/>
    </w:p>
    <w:p w:rsidRPr="002F341C" w:rsidR="00C14A75" w:rsidP="00C14A75" w:rsidRDefault="00C14A75" w14:paraId="29438FB1" w14:textId="77777777">
      <w:pPr>
        <w:pStyle w:val="Paragraph"/>
        <w:numPr>
          <w:ilvl w:val="0"/>
          <w:numId w:val="0"/>
        </w:numPr>
        <w:ind w:left="720"/>
        <w:rPr>
          <w:rFonts w:ascii="Arial" w:hAnsi="Arial" w:cs="Arial"/>
          <w:sz w:val="22"/>
          <w:szCs w:val="22"/>
          <w:lang w:eastAsia="es-ES"/>
        </w:rPr>
      </w:pPr>
    </w:p>
    <w:p w:rsidRPr="002F341C" w:rsidR="00152CE5" w:rsidP="007761D5" w:rsidRDefault="00152CE5" w14:paraId="0EC6860E" w14:textId="25355F3A">
      <w:pPr>
        <w:pStyle w:val="subpar"/>
        <w:ind w:hanging="342"/>
        <w:rPr>
          <w:rFonts w:ascii="Arial" w:hAnsi="Arial" w:cs="Arial"/>
          <w:b/>
          <w:bCs/>
          <w:sz w:val="22"/>
          <w:szCs w:val="22"/>
          <w:lang w:eastAsia="es-ES"/>
        </w:rPr>
      </w:pPr>
      <w:bookmarkStart w:name="_Toc17804138" w:id="127"/>
      <w:r w:rsidRPr="002F341C">
        <w:rPr>
          <w:rFonts w:ascii="Arial" w:hAnsi="Arial" w:cs="Arial"/>
          <w:b/>
          <w:bCs/>
          <w:sz w:val="22"/>
          <w:szCs w:val="22"/>
          <w:lang w:eastAsia="es-ES"/>
        </w:rPr>
        <w:t>Financiamiento para capital de trabajo</w:t>
      </w:r>
      <w:bookmarkEnd w:id="127"/>
    </w:p>
    <w:p w:rsidRPr="002F341C" w:rsidR="00A45DF0" w:rsidP="00423D1D" w:rsidRDefault="00152CE5" w14:paraId="03448DCA" w14:textId="5204996C">
      <w:pPr>
        <w:pStyle w:val="Paragraph"/>
        <w:ind w:left="720" w:hanging="720"/>
        <w:rPr>
          <w:rFonts w:ascii="Arial" w:hAnsi="Arial" w:cs="Arial"/>
          <w:sz w:val="22"/>
          <w:szCs w:val="22"/>
          <w:lang w:eastAsia="es-ES"/>
        </w:rPr>
      </w:pPr>
      <w:bookmarkStart w:name="_Toc17804139" w:id="128"/>
      <w:r w:rsidRPr="002F341C">
        <w:rPr>
          <w:rFonts w:ascii="Arial" w:hAnsi="Arial" w:cs="Arial"/>
          <w:sz w:val="22"/>
          <w:szCs w:val="22"/>
          <w:lang w:eastAsia="es-ES"/>
        </w:rPr>
        <w:t>Un</w:t>
      </w:r>
      <w:r w:rsidRPr="002F341C" w:rsidR="00075199">
        <w:rPr>
          <w:rFonts w:ascii="Arial" w:hAnsi="Arial" w:cs="Arial"/>
          <w:sz w:val="22"/>
          <w:szCs w:val="22"/>
          <w:lang w:eastAsia="es-ES"/>
        </w:rPr>
        <w:t>a</w:t>
      </w:r>
      <w:r w:rsidRPr="002F341C">
        <w:rPr>
          <w:rFonts w:ascii="Arial" w:hAnsi="Arial" w:cs="Arial"/>
          <w:sz w:val="22"/>
          <w:szCs w:val="22"/>
          <w:lang w:eastAsia="es-ES"/>
        </w:rPr>
        <w:t xml:space="preserve"> dolencia relevante para el sector, inclusive para el </w:t>
      </w:r>
      <w:r w:rsidRPr="002F341C" w:rsidR="006B086F">
        <w:rPr>
          <w:rFonts w:ascii="Arial" w:hAnsi="Arial" w:cs="Arial"/>
          <w:sz w:val="22"/>
          <w:szCs w:val="22"/>
          <w:lang w:eastAsia="es-ES"/>
        </w:rPr>
        <w:t xml:space="preserve">cultivo del </w:t>
      </w:r>
      <w:r w:rsidRPr="002F341C">
        <w:rPr>
          <w:rFonts w:ascii="Arial" w:hAnsi="Arial" w:cs="Arial"/>
          <w:sz w:val="22"/>
          <w:szCs w:val="22"/>
          <w:lang w:eastAsia="es-ES"/>
        </w:rPr>
        <w:t>café, es la falta de financiamiento oportuno para realizar de manera eficiente las diferentes labores de los cultivos. Dado esto este tipo de financiamiento debe contemplar los siguientes aspectos:</w:t>
      </w:r>
      <w:bookmarkEnd w:id="128"/>
    </w:p>
    <w:p w:rsidRPr="002F341C" w:rsidR="00152CE5" w:rsidP="005E7BFE" w:rsidRDefault="00152CE5" w14:paraId="612E4790" w14:textId="3C1560FC">
      <w:pPr>
        <w:pStyle w:val="Paragraph"/>
        <w:numPr>
          <w:ilvl w:val="0"/>
          <w:numId w:val="6"/>
        </w:numPr>
        <w:rPr>
          <w:rFonts w:ascii="Arial" w:hAnsi="Arial" w:cs="Arial"/>
          <w:sz w:val="22"/>
          <w:szCs w:val="22"/>
          <w:lang w:eastAsia="es-ES"/>
        </w:rPr>
      </w:pPr>
      <w:bookmarkStart w:name="_Toc17804140" w:id="129"/>
      <w:r w:rsidRPr="002F341C">
        <w:rPr>
          <w:rFonts w:ascii="Arial" w:hAnsi="Arial" w:cs="Arial"/>
          <w:i/>
          <w:sz w:val="22"/>
          <w:szCs w:val="22"/>
          <w:lang w:eastAsia="es-ES"/>
        </w:rPr>
        <w:t>Montos de créditos acorde con estimaciones de costo</w:t>
      </w:r>
      <w:r w:rsidRPr="002F341C" w:rsidR="00075199">
        <w:rPr>
          <w:rFonts w:ascii="Arial" w:hAnsi="Arial" w:cs="Arial"/>
          <w:i/>
          <w:sz w:val="22"/>
          <w:szCs w:val="22"/>
          <w:lang w:eastAsia="es-ES"/>
        </w:rPr>
        <w:t>s</w:t>
      </w:r>
      <w:r w:rsidRPr="002F341C">
        <w:rPr>
          <w:rFonts w:ascii="Arial" w:hAnsi="Arial" w:cs="Arial"/>
          <w:i/>
          <w:sz w:val="22"/>
          <w:szCs w:val="22"/>
          <w:lang w:eastAsia="es-ES"/>
        </w:rPr>
        <w:t xml:space="preserve"> </w:t>
      </w:r>
      <w:r w:rsidRPr="002F341C" w:rsidR="00075199">
        <w:rPr>
          <w:rFonts w:ascii="Arial" w:hAnsi="Arial" w:cs="Arial"/>
          <w:i/>
          <w:sz w:val="22"/>
          <w:szCs w:val="22"/>
          <w:lang w:eastAsia="es-ES"/>
        </w:rPr>
        <w:t>d</w:t>
      </w:r>
      <w:r w:rsidRPr="002F341C">
        <w:rPr>
          <w:rFonts w:ascii="Arial" w:hAnsi="Arial" w:cs="Arial"/>
          <w:i/>
          <w:sz w:val="22"/>
          <w:szCs w:val="22"/>
          <w:lang w:eastAsia="es-ES"/>
        </w:rPr>
        <w:t>e los cultivos (</w:t>
      </w:r>
      <w:r w:rsidRPr="002F341C" w:rsidR="0022398B">
        <w:rPr>
          <w:rFonts w:ascii="Arial" w:hAnsi="Arial" w:cs="Arial"/>
          <w:i/>
          <w:sz w:val="22"/>
          <w:szCs w:val="22"/>
          <w:lang w:eastAsia="es-ES"/>
        </w:rPr>
        <w:t xml:space="preserve">producción y </w:t>
      </w:r>
      <w:r w:rsidRPr="002F341C">
        <w:rPr>
          <w:rFonts w:ascii="Arial" w:hAnsi="Arial" w:cs="Arial"/>
          <w:i/>
          <w:sz w:val="22"/>
          <w:szCs w:val="22"/>
          <w:lang w:eastAsia="es-ES"/>
        </w:rPr>
        <w:t>operativos) y su productividad.</w:t>
      </w:r>
      <w:r w:rsidRPr="002F341C" w:rsidR="00075199">
        <w:rPr>
          <w:rFonts w:ascii="Arial" w:hAnsi="Arial" w:cs="Arial"/>
          <w:sz w:val="22"/>
          <w:szCs w:val="22"/>
          <w:lang w:eastAsia="es-ES"/>
        </w:rPr>
        <w:t xml:space="preserve"> Una práctica común en el sector </w:t>
      </w:r>
      <w:r w:rsidRPr="002F341C" w:rsidR="003250BD">
        <w:rPr>
          <w:rFonts w:ascii="Arial" w:hAnsi="Arial" w:cs="Arial"/>
          <w:sz w:val="22"/>
          <w:szCs w:val="22"/>
          <w:lang w:eastAsia="es-ES"/>
        </w:rPr>
        <w:t>financiero</w:t>
      </w:r>
      <w:r w:rsidRPr="002F341C" w:rsidR="00075199">
        <w:rPr>
          <w:rFonts w:ascii="Arial" w:hAnsi="Arial" w:cs="Arial"/>
          <w:sz w:val="22"/>
          <w:szCs w:val="22"/>
          <w:lang w:eastAsia="es-ES"/>
        </w:rPr>
        <w:t xml:space="preserve"> es que se restringe los montos de financiami</w:t>
      </w:r>
      <w:r w:rsidRPr="002F341C" w:rsidR="00EA6074">
        <w:rPr>
          <w:rFonts w:ascii="Arial" w:hAnsi="Arial" w:cs="Arial"/>
          <w:sz w:val="22"/>
          <w:szCs w:val="22"/>
          <w:lang w:eastAsia="es-ES"/>
        </w:rPr>
        <w:t xml:space="preserve">ento para capital de trabajo a monto mucho menores a los requeridos por el cultivo; esto comúnmente </w:t>
      </w:r>
      <w:r w:rsidRPr="002F341C" w:rsidR="00075199">
        <w:rPr>
          <w:rFonts w:ascii="Arial" w:hAnsi="Arial" w:cs="Arial"/>
          <w:sz w:val="22"/>
          <w:szCs w:val="22"/>
          <w:lang w:eastAsia="es-ES"/>
        </w:rPr>
        <w:t xml:space="preserve">con la </w:t>
      </w:r>
      <w:r w:rsidRPr="002F341C" w:rsidR="00EA6074">
        <w:rPr>
          <w:rFonts w:ascii="Arial" w:hAnsi="Arial" w:cs="Arial"/>
          <w:sz w:val="22"/>
          <w:szCs w:val="22"/>
          <w:lang w:eastAsia="es-ES"/>
        </w:rPr>
        <w:t>premisa de disminuir</w:t>
      </w:r>
      <w:r w:rsidRPr="002F341C" w:rsidR="00075199">
        <w:rPr>
          <w:rFonts w:ascii="Arial" w:hAnsi="Arial" w:cs="Arial"/>
          <w:sz w:val="22"/>
          <w:szCs w:val="22"/>
          <w:lang w:eastAsia="es-ES"/>
        </w:rPr>
        <w:t xml:space="preserve"> el riesgo; ya que se asume que el cliente utilizará fondos propios para financiar el cultivo. Esto, en realidad representa un esquema </w:t>
      </w:r>
      <w:r w:rsidRPr="002F341C" w:rsidR="00551BBD">
        <w:rPr>
          <w:rFonts w:ascii="Arial" w:hAnsi="Arial" w:cs="Arial"/>
          <w:sz w:val="22"/>
          <w:szCs w:val="22"/>
          <w:lang w:eastAsia="es-ES"/>
        </w:rPr>
        <w:t>erróneo de mitigación de riesgo.</w:t>
      </w:r>
      <w:bookmarkEnd w:id="129"/>
    </w:p>
    <w:p w:rsidRPr="002F341C" w:rsidR="00152CE5" w:rsidP="005E7BFE" w:rsidRDefault="00152CE5" w14:paraId="40A764E8" w14:textId="75CDC53D">
      <w:pPr>
        <w:pStyle w:val="Paragraph"/>
        <w:numPr>
          <w:ilvl w:val="0"/>
          <w:numId w:val="6"/>
        </w:numPr>
        <w:rPr>
          <w:rFonts w:ascii="Arial" w:hAnsi="Arial" w:cs="Arial"/>
          <w:sz w:val="22"/>
          <w:szCs w:val="22"/>
          <w:lang w:eastAsia="es-ES"/>
        </w:rPr>
      </w:pPr>
      <w:bookmarkStart w:name="_Toc17804141" w:id="130"/>
      <w:r w:rsidRPr="002F341C">
        <w:rPr>
          <w:rFonts w:ascii="Arial" w:hAnsi="Arial" w:cs="Arial"/>
          <w:i/>
          <w:sz w:val="22"/>
          <w:szCs w:val="22"/>
          <w:lang w:eastAsia="es-ES"/>
        </w:rPr>
        <w:t>Flujos de desembolso</w:t>
      </w:r>
      <w:r w:rsidRPr="002F341C" w:rsidR="00075199">
        <w:rPr>
          <w:rFonts w:ascii="Arial" w:hAnsi="Arial" w:cs="Arial"/>
          <w:i/>
          <w:sz w:val="22"/>
          <w:szCs w:val="22"/>
          <w:lang w:eastAsia="es-ES"/>
        </w:rPr>
        <w:t>s</w:t>
      </w:r>
      <w:r w:rsidRPr="002F341C">
        <w:rPr>
          <w:rFonts w:ascii="Arial" w:hAnsi="Arial" w:cs="Arial"/>
          <w:i/>
          <w:sz w:val="22"/>
          <w:szCs w:val="22"/>
          <w:lang w:eastAsia="es-ES"/>
        </w:rPr>
        <w:t xml:space="preserve"> parciales y acordes con el desarrollo del cultivo</w:t>
      </w:r>
      <w:r w:rsidRPr="002F341C" w:rsidR="00075199">
        <w:rPr>
          <w:rFonts w:ascii="Arial" w:hAnsi="Arial" w:cs="Arial"/>
          <w:i/>
          <w:sz w:val="22"/>
          <w:szCs w:val="22"/>
          <w:lang w:eastAsia="es-ES"/>
        </w:rPr>
        <w:t>.</w:t>
      </w:r>
      <w:r w:rsidRPr="002F341C" w:rsidR="00075199">
        <w:rPr>
          <w:rFonts w:ascii="Arial" w:hAnsi="Arial" w:cs="Arial"/>
          <w:sz w:val="22"/>
          <w:szCs w:val="22"/>
          <w:lang w:eastAsia="es-ES"/>
        </w:rPr>
        <w:t xml:space="preserve"> Es importante se garanticen fondos en los momentos que lo requiere el cultivo; para lo cual se requiere que el financiamiento hacia el sector</w:t>
      </w:r>
      <w:r w:rsidRPr="002F341C" w:rsidR="00551BBD">
        <w:rPr>
          <w:rFonts w:ascii="Arial" w:hAnsi="Arial" w:cs="Arial"/>
          <w:sz w:val="22"/>
          <w:szCs w:val="22"/>
          <w:lang w:eastAsia="es-ES"/>
        </w:rPr>
        <w:t xml:space="preserve"> </w:t>
      </w:r>
      <w:r w:rsidRPr="002F341C" w:rsidR="00075199">
        <w:rPr>
          <w:rFonts w:ascii="Arial" w:hAnsi="Arial" w:cs="Arial"/>
          <w:sz w:val="22"/>
          <w:szCs w:val="22"/>
          <w:lang w:eastAsia="es-ES"/>
        </w:rPr>
        <w:t xml:space="preserve">se realice bajo </w:t>
      </w:r>
      <w:r w:rsidRPr="002F341C" w:rsidR="00373B91">
        <w:rPr>
          <w:rFonts w:ascii="Arial" w:hAnsi="Arial" w:cs="Arial"/>
          <w:sz w:val="22"/>
          <w:szCs w:val="22"/>
          <w:lang w:eastAsia="es-ES"/>
        </w:rPr>
        <w:t>las figuras</w:t>
      </w:r>
      <w:r w:rsidRPr="002F341C" w:rsidR="00075199">
        <w:rPr>
          <w:rFonts w:ascii="Arial" w:hAnsi="Arial" w:cs="Arial"/>
          <w:sz w:val="22"/>
          <w:szCs w:val="22"/>
          <w:lang w:eastAsia="es-ES"/>
        </w:rPr>
        <w:t xml:space="preserve"> de líne</w:t>
      </w:r>
      <w:r w:rsidRPr="002F341C" w:rsidR="00551BBD">
        <w:rPr>
          <w:rFonts w:ascii="Arial" w:hAnsi="Arial" w:cs="Arial"/>
          <w:sz w:val="22"/>
          <w:szCs w:val="22"/>
          <w:lang w:eastAsia="es-ES"/>
        </w:rPr>
        <w:t>as de crédito revolventes, con desembolsos planificados.</w:t>
      </w:r>
      <w:bookmarkEnd w:id="130"/>
    </w:p>
    <w:p w:rsidRPr="002F341C" w:rsidR="00152CE5" w:rsidP="005E7BFE" w:rsidRDefault="00152CE5" w14:paraId="76E001E4" w14:textId="538EDE39">
      <w:pPr>
        <w:pStyle w:val="Paragraph"/>
        <w:numPr>
          <w:ilvl w:val="0"/>
          <w:numId w:val="6"/>
        </w:numPr>
        <w:rPr>
          <w:rFonts w:ascii="Arial" w:hAnsi="Arial" w:cs="Arial"/>
          <w:sz w:val="22"/>
          <w:szCs w:val="22"/>
          <w:lang w:eastAsia="es-ES"/>
        </w:rPr>
      </w:pPr>
      <w:bookmarkStart w:name="_Toc17804142" w:id="131"/>
      <w:r w:rsidRPr="002F341C">
        <w:rPr>
          <w:rFonts w:ascii="Arial" w:hAnsi="Arial" w:cs="Arial"/>
          <w:i/>
          <w:sz w:val="22"/>
          <w:szCs w:val="22"/>
          <w:lang w:eastAsia="es-ES"/>
        </w:rPr>
        <w:t xml:space="preserve">Flujos </w:t>
      </w:r>
      <w:r w:rsidRPr="002F341C" w:rsidR="00373B91">
        <w:rPr>
          <w:rFonts w:ascii="Arial" w:hAnsi="Arial" w:cs="Arial"/>
          <w:i/>
          <w:sz w:val="22"/>
          <w:szCs w:val="22"/>
          <w:lang w:eastAsia="es-ES"/>
        </w:rPr>
        <w:t>de pagos</w:t>
      </w:r>
      <w:r w:rsidRPr="002F341C">
        <w:rPr>
          <w:rFonts w:ascii="Arial" w:hAnsi="Arial" w:cs="Arial"/>
          <w:i/>
          <w:sz w:val="22"/>
          <w:szCs w:val="22"/>
          <w:lang w:eastAsia="es-ES"/>
        </w:rPr>
        <w:t xml:space="preserve"> acorde con la generación de ingreso</w:t>
      </w:r>
      <w:r w:rsidRPr="002F341C" w:rsidR="00075199">
        <w:rPr>
          <w:rFonts w:ascii="Arial" w:hAnsi="Arial" w:cs="Arial"/>
          <w:i/>
          <w:sz w:val="22"/>
          <w:szCs w:val="22"/>
          <w:lang w:eastAsia="es-ES"/>
        </w:rPr>
        <w:t>s, para evitar el sobreendeudamiento de los productores y el desvío de fondos</w:t>
      </w:r>
      <w:r w:rsidRPr="002F341C" w:rsidR="00075199">
        <w:rPr>
          <w:rFonts w:ascii="Arial" w:hAnsi="Arial" w:cs="Arial"/>
          <w:sz w:val="22"/>
          <w:szCs w:val="22"/>
          <w:lang w:eastAsia="es-ES"/>
        </w:rPr>
        <w:t>. E</w:t>
      </w:r>
      <w:r w:rsidRPr="002F341C" w:rsidR="005C07D7">
        <w:rPr>
          <w:rFonts w:ascii="Arial" w:hAnsi="Arial" w:cs="Arial"/>
          <w:sz w:val="22"/>
          <w:szCs w:val="22"/>
          <w:lang w:eastAsia="es-ES"/>
        </w:rPr>
        <w:t>n el sistema financiero</w:t>
      </w:r>
      <w:r w:rsidRPr="002F341C" w:rsidR="00075199">
        <w:rPr>
          <w:rFonts w:ascii="Arial" w:hAnsi="Arial" w:cs="Arial"/>
          <w:sz w:val="22"/>
          <w:szCs w:val="22"/>
          <w:lang w:eastAsia="es-ES"/>
        </w:rPr>
        <w:t>, es común establecer esquemas de pago que no replican la generación de ingresos de los proyectos/cultivos financiados</w:t>
      </w:r>
      <w:r w:rsidRPr="002F341C" w:rsidR="005C07D7">
        <w:rPr>
          <w:rFonts w:ascii="Arial" w:hAnsi="Arial" w:cs="Arial"/>
          <w:sz w:val="22"/>
          <w:szCs w:val="22"/>
          <w:lang w:eastAsia="es-ES"/>
        </w:rPr>
        <w:t>;</w:t>
      </w:r>
      <w:r w:rsidRPr="002F341C" w:rsidR="00075199">
        <w:rPr>
          <w:rFonts w:ascii="Arial" w:hAnsi="Arial" w:cs="Arial"/>
          <w:sz w:val="22"/>
          <w:szCs w:val="22"/>
          <w:lang w:eastAsia="es-ES"/>
        </w:rPr>
        <w:t xml:space="preserve"> con lo cual </w:t>
      </w:r>
      <w:r w:rsidRPr="002F341C" w:rsidR="005C07D7">
        <w:rPr>
          <w:rFonts w:ascii="Arial" w:hAnsi="Arial" w:cs="Arial"/>
          <w:sz w:val="22"/>
          <w:szCs w:val="22"/>
          <w:lang w:eastAsia="es-ES"/>
        </w:rPr>
        <w:t xml:space="preserve">se podría </w:t>
      </w:r>
      <w:r w:rsidRPr="002F341C" w:rsidR="006B086F">
        <w:rPr>
          <w:rFonts w:ascii="Arial" w:hAnsi="Arial" w:cs="Arial"/>
          <w:sz w:val="22"/>
          <w:szCs w:val="22"/>
          <w:lang w:eastAsia="es-ES"/>
        </w:rPr>
        <w:t>fomentar la morosidad de los clientes, así como el endeudamiento con otros acreedores para hacerle frente a los pagos.</w:t>
      </w:r>
      <w:bookmarkEnd w:id="131"/>
    </w:p>
    <w:p w:rsidRPr="002F341C" w:rsidR="00971A58" w:rsidP="00971A58" w:rsidRDefault="00971A58" w14:paraId="5C997A9E" w14:textId="77777777">
      <w:pPr>
        <w:pStyle w:val="Paragraph"/>
        <w:numPr>
          <w:ilvl w:val="0"/>
          <w:numId w:val="0"/>
        </w:numPr>
        <w:ind w:left="1440"/>
        <w:rPr>
          <w:rFonts w:ascii="Arial" w:hAnsi="Arial" w:cs="Arial"/>
          <w:sz w:val="22"/>
          <w:szCs w:val="22"/>
          <w:lang w:eastAsia="es-ES"/>
        </w:rPr>
      </w:pPr>
    </w:p>
    <w:p w:rsidRPr="002F341C" w:rsidR="006B086F" w:rsidP="005E7BFE" w:rsidRDefault="006B086F" w14:paraId="5701D677" w14:textId="1CE4019E">
      <w:pPr>
        <w:pStyle w:val="subpar"/>
        <w:numPr>
          <w:ilvl w:val="2"/>
          <w:numId w:val="10"/>
        </w:numPr>
        <w:tabs>
          <w:tab w:val="num" w:pos="1890"/>
        </w:tabs>
        <w:ind w:left="1260"/>
        <w:rPr>
          <w:rFonts w:ascii="Arial" w:hAnsi="Arial" w:cs="Arial"/>
          <w:b/>
          <w:bCs/>
          <w:sz w:val="22"/>
          <w:szCs w:val="22"/>
          <w:lang w:eastAsia="es-ES"/>
        </w:rPr>
      </w:pPr>
      <w:bookmarkStart w:name="_Toc17804143" w:id="132"/>
      <w:r w:rsidRPr="002F341C">
        <w:rPr>
          <w:rFonts w:ascii="Arial" w:hAnsi="Arial" w:cs="Arial"/>
          <w:b/>
          <w:bCs/>
          <w:sz w:val="22"/>
          <w:szCs w:val="22"/>
          <w:lang w:eastAsia="es-ES"/>
        </w:rPr>
        <w:t xml:space="preserve">Financiamiento </w:t>
      </w:r>
      <w:r w:rsidRPr="002F341C" w:rsidR="00EE3CB4">
        <w:rPr>
          <w:rFonts w:ascii="Arial" w:hAnsi="Arial" w:cs="Arial"/>
          <w:b/>
          <w:bCs/>
          <w:sz w:val="22"/>
          <w:szCs w:val="22"/>
          <w:lang w:eastAsia="es-ES"/>
        </w:rPr>
        <w:t>de</w:t>
      </w:r>
      <w:r w:rsidRPr="002F341C">
        <w:rPr>
          <w:rFonts w:ascii="Arial" w:hAnsi="Arial" w:cs="Arial"/>
          <w:b/>
          <w:bCs/>
          <w:sz w:val="22"/>
          <w:szCs w:val="22"/>
          <w:lang w:eastAsia="es-ES"/>
        </w:rPr>
        <w:t xml:space="preserve"> inversiones </w:t>
      </w:r>
      <w:r w:rsidRPr="002F341C" w:rsidR="00EE3CB4">
        <w:rPr>
          <w:rFonts w:ascii="Arial" w:hAnsi="Arial" w:cs="Arial"/>
          <w:b/>
          <w:bCs/>
          <w:sz w:val="22"/>
          <w:szCs w:val="22"/>
          <w:lang w:eastAsia="es-ES"/>
        </w:rPr>
        <w:t>productivas</w:t>
      </w:r>
      <w:bookmarkEnd w:id="132"/>
    </w:p>
    <w:p w:rsidRPr="002F341C" w:rsidR="00A45DF0" w:rsidP="00423D1D" w:rsidRDefault="006B086F" w14:paraId="006A2CB3" w14:textId="579A79F8">
      <w:pPr>
        <w:pStyle w:val="Paragraph"/>
        <w:ind w:left="720" w:hanging="720"/>
        <w:rPr>
          <w:rFonts w:ascii="Arial" w:hAnsi="Arial" w:cs="Arial"/>
          <w:sz w:val="22"/>
          <w:szCs w:val="22"/>
          <w:lang w:eastAsia="es-ES"/>
        </w:rPr>
      </w:pPr>
      <w:bookmarkStart w:name="_Toc17804144" w:id="133"/>
      <w:r w:rsidRPr="002F341C">
        <w:rPr>
          <w:rFonts w:ascii="Arial" w:hAnsi="Arial" w:cs="Arial"/>
          <w:sz w:val="22"/>
          <w:szCs w:val="22"/>
          <w:lang w:eastAsia="es-ES"/>
        </w:rPr>
        <w:t xml:space="preserve">El acceso a fondos de largo plazo para impulsar nuevas inversiones o el establecimiento de </w:t>
      </w:r>
      <w:r w:rsidRPr="002F341C" w:rsidR="00373B91">
        <w:rPr>
          <w:rFonts w:ascii="Arial" w:hAnsi="Arial" w:cs="Arial"/>
          <w:sz w:val="22"/>
          <w:szCs w:val="22"/>
          <w:lang w:eastAsia="es-ES"/>
        </w:rPr>
        <w:t>plantaciones</w:t>
      </w:r>
      <w:r w:rsidRPr="002F341C">
        <w:rPr>
          <w:rFonts w:ascii="Arial" w:hAnsi="Arial" w:cs="Arial"/>
          <w:sz w:val="22"/>
          <w:szCs w:val="22"/>
          <w:lang w:eastAsia="es-ES"/>
        </w:rPr>
        <w:t xml:space="preserve"> es escaso en el país</w:t>
      </w:r>
      <w:r w:rsidRPr="002F341C">
        <w:rPr>
          <w:rStyle w:val="FootnoteReference"/>
          <w:rFonts w:ascii="Arial" w:hAnsi="Arial" w:cs="Arial"/>
          <w:sz w:val="22"/>
          <w:szCs w:val="22"/>
          <w:lang w:eastAsia="es-ES"/>
        </w:rPr>
        <w:footnoteReference w:id="26"/>
      </w:r>
      <w:r w:rsidRPr="002F341C">
        <w:rPr>
          <w:rFonts w:ascii="Arial" w:hAnsi="Arial" w:cs="Arial"/>
          <w:sz w:val="22"/>
          <w:szCs w:val="22"/>
          <w:lang w:eastAsia="es-ES"/>
        </w:rPr>
        <w:t xml:space="preserve"> e inadecuado. En </w:t>
      </w:r>
      <w:r w:rsidRPr="002F341C" w:rsidR="00084AEA">
        <w:rPr>
          <w:rFonts w:ascii="Arial" w:hAnsi="Arial" w:cs="Arial"/>
          <w:sz w:val="22"/>
          <w:szCs w:val="22"/>
          <w:lang w:eastAsia="es-ES"/>
        </w:rPr>
        <w:t xml:space="preserve">particular, se propone </w:t>
      </w:r>
      <w:r w:rsidRPr="002F341C">
        <w:rPr>
          <w:rFonts w:ascii="Arial" w:hAnsi="Arial" w:cs="Arial"/>
          <w:sz w:val="22"/>
          <w:szCs w:val="22"/>
          <w:lang w:eastAsia="es-ES"/>
        </w:rPr>
        <w:t>financiamiento</w:t>
      </w:r>
      <w:r w:rsidRPr="002F341C" w:rsidR="00084AEA">
        <w:rPr>
          <w:rFonts w:ascii="Arial" w:hAnsi="Arial" w:cs="Arial"/>
          <w:sz w:val="22"/>
          <w:szCs w:val="22"/>
          <w:lang w:eastAsia="es-ES"/>
        </w:rPr>
        <w:t>s con las sigu</w:t>
      </w:r>
      <w:r w:rsidRPr="002F341C">
        <w:rPr>
          <w:rFonts w:ascii="Arial" w:hAnsi="Arial" w:cs="Arial"/>
          <w:sz w:val="22"/>
          <w:szCs w:val="22"/>
          <w:lang w:eastAsia="es-ES"/>
        </w:rPr>
        <w:t>ientes características:</w:t>
      </w:r>
      <w:bookmarkEnd w:id="133"/>
    </w:p>
    <w:p w:rsidRPr="002F341C" w:rsidR="006B086F" w:rsidP="005E7BFE" w:rsidRDefault="006B086F" w14:paraId="1BCC8876" w14:textId="02E4A094">
      <w:pPr>
        <w:pStyle w:val="Paragraph"/>
        <w:numPr>
          <w:ilvl w:val="0"/>
          <w:numId w:val="7"/>
        </w:numPr>
        <w:rPr>
          <w:rFonts w:ascii="Arial" w:hAnsi="Arial" w:cs="Arial"/>
          <w:sz w:val="22"/>
          <w:szCs w:val="22"/>
          <w:lang w:eastAsia="es-ES"/>
        </w:rPr>
      </w:pPr>
      <w:bookmarkStart w:name="_Toc17804145" w:id="134"/>
      <w:r w:rsidRPr="002F341C">
        <w:rPr>
          <w:rFonts w:ascii="Arial" w:hAnsi="Arial" w:cs="Arial"/>
          <w:i/>
          <w:sz w:val="22"/>
          <w:szCs w:val="22"/>
          <w:lang w:eastAsia="es-ES"/>
        </w:rPr>
        <w:t>Períodos de gracia en el pago de capital, mientras las inversiones no generen ingresos.</w:t>
      </w:r>
      <w:r w:rsidRPr="002F341C">
        <w:rPr>
          <w:rFonts w:ascii="Arial" w:hAnsi="Arial" w:cs="Arial"/>
          <w:sz w:val="22"/>
          <w:szCs w:val="22"/>
          <w:lang w:eastAsia="es-ES"/>
        </w:rPr>
        <w:t xml:space="preserve"> Esto, si bien esta </w:t>
      </w:r>
      <w:r w:rsidRPr="002F341C" w:rsidR="0049639C">
        <w:rPr>
          <w:rFonts w:ascii="Arial" w:hAnsi="Arial" w:cs="Arial"/>
          <w:sz w:val="22"/>
          <w:szCs w:val="22"/>
          <w:lang w:eastAsia="es-ES"/>
        </w:rPr>
        <w:t>característica</w:t>
      </w:r>
      <w:r w:rsidRPr="002F341C">
        <w:rPr>
          <w:rFonts w:ascii="Arial" w:hAnsi="Arial" w:cs="Arial"/>
          <w:sz w:val="22"/>
          <w:szCs w:val="22"/>
          <w:lang w:eastAsia="es-ES"/>
        </w:rPr>
        <w:t xml:space="preserve"> suena muy racional, la falta de fondeo de largo plazo que adolece el sistema financiero </w:t>
      </w:r>
      <w:r w:rsidRPr="002F341C" w:rsidR="00373B91">
        <w:rPr>
          <w:rFonts w:ascii="Arial" w:hAnsi="Arial" w:cs="Arial"/>
          <w:sz w:val="22"/>
          <w:szCs w:val="22"/>
          <w:lang w:eastAsia="es-ES"/>
        </w:rPr>
        <w:t>hondureño</w:t>
      </w:r>
      <w:r w:rsidRPr="002F341C">
        <w:rPr>
          <w:rFonts w:ascii="Arial" w:hAnsi="Arial" w:cs="Arial"/>
          <w:sz w:val="22"/>
          <w:szCs w:val="22"/>
          <w:lang w:eastAsia="es-ES"/>
        </w:rPr>
        <w:t xml:space="preserve"> ocasiona que sea común solicitar pagos de capital,</w:t>
      </w:r>
      <w:r w:rsidRPr="002F341C" w:rsidR="00F858C7">
        <w:rPr>
          <w:rFonts w:ascii="Arial" w:hAnsi="Arial" w:cs="Arial"/>
          <w:sz w:val="22"/>
          <w:szCs w:val="22"/>
          <w:lang w:eastAsia="es-ES"/>
        </w:rPr>
        <w:t xml:space="preserve"> a los clientes,</w:t>
      </w:r>
      <w:r w:rsidRPr="002F341C">
        <w:rPr>
          <w:rFonts w:ascii="Arial" w:hAnsi="Arial" w:cs="Arial"/>
          <w:sz w:val="22"/>
          <w:szCs w:val="22"/>
          <w:lang w:eastAsia="es-ES"/>
        </w:rPr>
        <w:t xml:space="preserve"> </w:t>
      </w:r>
      <w:r w:rsidRPr="002F341C" w:rsidR="0022398B">
        <w:rPr>
          <w:rFonts w:ascii="Arial" w:hAnsi="Arial" w:cs="Arial"/>
          <w:sz w:val="22"/>
          <w:szCs w:val="22"/>
          <w:lang w:eastAsia="es-ES"/>
        </w:rPr>
        <w:t>aun</w:t>
      </w:r>
      <w:r w:rsidRPr="002F341C">
        <w:rPr>
          <w:rFonts w:ascii="Arial" w:hAnsi="Arial" w:cs="Arial"/>
          <w:sz w:val="22"/>
          <w:szCs w:val="22"/>
          <w:lang w:eastAsia="es-ES"/>
        </w:rPr>
        <w:t xml:space="preserve"> cuando las inversiones </w:t>
      </w:r>
      <w:r w:rsidRPr="002F341C" w:rsidR="00D456CB">
        <w:rPr>
          <w:rFonts w:ascii="Arial" w:hAnsi="Arial" w:cs="Arial"/>
          <w:sz w:val="22"/>
          <w:szCs w:val="22"/>
          <w:lang w:eastAsia="es-ES"/>
        </w:rPr>
        <w:t xml:space="preserve">no </w:t>
      </w:r>
      <w:r w:rsidRPr="002F341C" w:rsidR="00F858C7">
        <w:rPr>
          <w:rFonts w:ascii="Arial" w:hAnsi="Arial" w:cs="Arial"/>
          <w:sz w:val="22"/>
          <w:szCs w:val="22"/>
          <w:lang w:eastAsia="es-ES"/>
        </w:rPr>
        <w:t>han generado</w:t>
      </w:r>
      <w:r w:rsidRPr="002F341C" w:rsidR="00D456CB">
        <w:rPr>
          <w:rFonts w:ascii="Arial" w:hAnsi="Arial" w:cs="Arial"/>
          <w:sz w:val="22"/>
          <w:szCs w:val="22"/>
          <w:lang w:eastAsia="es-ES"/>
        </w:rPr>
        <w:t xml:space="preserve"> ingresos.</w:t>
      </w:r>
      <w:bookmarkEnd w:id="134"/>
    </w:p>
    <w:p w:rsidRPr="002F341C" w:rsidR="00D456CB" w:rsidP="005E7BFE" w:rsidRDefault="00D456CB" w14:paraId="7DBEAABF" w14:textId="1344906A">
      <w:pPr>
        <w:pStyle w:val="Paragraph"/>
        <w:numPr>
          <w:ilvl w:val="0"/>
          <w:numId w:val="7"/>
        </w:numPr>
        <w:rPr>
          <w:rFonts w:ascii="Arial" w:hAnsi="Arial" w:cs="Arial"/>
          <w:i/>
          <w:sz w:val="22"/>
          <w:szCs w:val="22"/>
          <w:lang w:eastAsia="es-ES"/>
        </w:rPr>
      </w:pPr>
      <w:bookmarkStart w:name="_Toc17804146" w:id="135"/>
      <w:r w:rsidRPr="002F341C">
        <w:rPr>
          <w:rFonts w:ascii="Arial" w:hAnsi="Arial" w:cs="Arial"/>
          <w:i/>
          <w:sz w:val="22"/>
          <w:szCs w:val="22"/>
          <w:lang w:eastAsia="es-ES"/>
        </w:rPr>
        <w:t xml:space="preserve">Plazos acordes con el potencial de rentabilidad del cultivo y la generación de ingresos. </w:t>
      </w:r>
      <w:r w:rsidRPr="002F341C">
        <w:rPr>
          <w:rFonts w:ascii="Arial" w:hAnsi="Arial" w:cs="Arial"/>
          <w:sz w:val="22"/>
          <w:szCs w:val="22"/>
          <w:lang w:eastAsia="es-ES"/>
        </w:rPr>
        <w:t xml:space="preserve">El financiamiento de largo </w:t>
      </w:r>
      <w:r w:rsidRPr="002F341C" w:rsidR="00373B91">
        <w:rPr>
          <w:rFonts w:ascii="Arial" w:hAnsi="Arial" w:cs="Arial"/>
          <w:sz w:val="22"/>
          <w:szCs w:val="22"/>
          <w:lang w:eastAsia="es-ES"/>
        </w:rPr>
        <w:t>plazo</w:t>
      </w:r>
      <w:r w:rsidRPr="002F341C">
        <w:rPr>
          <w:rFonts w:ascii="Arial" w:hAnsi="Arial" w:cs="Arial"/>
          <w:sz w:val="22"/>
          <w:szCs w:val="22"/>
          <w:lang w:eastAsia="es-ES"/>
        </w:rPr>
        <w:t xml:space="preserve"> es limitado dentro del sist</w:t>
      </w:r>
      <w:r w:rsidRPr="002F341C" w:rsidR="0049639C">
        <w:rPr>
          <w:rFonts w:ascii="Arial" w:hAnsi="Arial" w:cs="Arial"/>
          <w:sz w:val="22"/>
          <w:szCs w:val="22"/>
          <w:lang w:eastAsia="es-ES"/>
        </w:rPr>
        <w:t xml:space="preserve">ema financiero hondureño, y es común que los plazos sean menores que el requerido para garantizar </w:t>
      </w:r>
      <w:r w:rsidRPr="002F341C" w:rsidR="00373B91">
        <w:rPr>
          <w:rFonts w:ascii="Arial" w:hAnsi="Arial" w:cs="Arial"/>
          <w:sz w:val="22"/>
          <w:szCs w:val="22"/>
          <w:lang w:eastAsia="es-ES"/>
        </w:rPr>
        <w:t>un adecuado calce</w:t>
      </w:r>
      <w:r w:rsidRPr="002F341C" w:rsidR="0049639C">
        <w:rPr>
          <w:rFonts w:ascii="Arial" w:hAnsi="Arial" w:cs="Arial"/>
          <w:sz w:val="22"/>
          <w:szCs w:val="22"/>
          <w:lang w:eastAsia="es-ES"/>
        </w:rPr>
        <w:t xml:space="preserve"> </w:t>
      </w:r>
      <w:bookmarkStart w:name="_GoBack" w:id="136"/>
      <w:bookmarkEnd w:id="136"/>
      <w:r w:rsidRPr="002F341C" w:rsidR="0049639C">
        <w:rPr>
          <w:rFonts w:ascii="Arial" w:hAnsi="Arial" w:cs="Arial"/>
          <w:sz w:val="22"/>
          <w:szCs w:val="22"/>
          <w:lang w:eastAsia="es-ES"/>
        </w:rPr>
        <w:t>entre los ingresos y los pagos.</w:t>
      </w:r>
      <w:r w:rsidRPr="002F341C" w:rsidR="0022398B">
        <w:rPr>
          <w:rFonts w:ascii="Arial" w:hAnsi="Arial" w:cs="Arial"/>
          <w:sz w:val="22"/>
          <w:szCs w:val="22"/>
          <w:lang w:eastAsia="es-ES"/>
        </w:rPr>
        <w:t xml:space="preserve"> </w:t>
      </w:r>
      <w:r w:rsidRPr="002F341C" w:rsidR="004E668A">
        <w:rPr>
          <w:rFonts w:ascii="Arial" w:hAnsi="Arial" w:cs="Arial"/>
          <w:sz w:val="22"/>
          <w:szCs w:val="22"/>
          <w:lang w:eastAsia="es-ES"/>
        </w:rPr>
        <w:t xml:space="preserve">Es decir, </w:t>
      </w:r>
      <w:r w:rsidRPr="002F341C" w:rsidR="0022398B">
        <w:rPr>
          <w:rFonts w:ascii="Arial" w:hAnsi="Arial" w:cs="Arial"/>
          <w:sz w:val="22"/>
          <w:szCs w:val="22"/>
          <w:lang w:eastAsia="es-ES"/>
        </w:rPr>
        <w:t xml:space="preserve">es necesario que los flujos de pago de los créditos sean </w:t>
      </w:r>
      <w:r w:rsidRPr="002F341C" w:rsidR="004E668A">
        <w:rPr>
          <w:rFonts w:ascii="Arial" w:hAnsi="Arial" w:cs="Arial"/>
          <w:sz w:val="22"/>
          <w:szCs w:val="22"/>
          <w:lang w:eastAsia="es-ES"/>
        </w:rPr>
        <w:t xml:space="preserve">estructurados conforme la generación de </w:t>
      </w:r>
      <w:r w:rsidRPr="002F341C" w:rsidR="0022398B">
        <w:rPr>
          <w:rFonts w:ascii="Arial" w:hAnsi="Arial" w:cs="Arial"/>
          <w:sz w:val="22"/>
          <w:szCs w:val="22"/>
          <w:lang w:eastAsia="es-ES"/>
        </w:rPr>
        <w:t>ingresos</w:t>
      </w:r>
      <w:r w:rsidRPr="002F341C" w:rsidR="004E668A">
        <w:rPr>
          <w:rFonts w:ascii="Arial" w:hAnsi="Arial" w:cs="Arial"/>
          <w:sz w:val="22"/>
          <w:szCs w:val="22"/>
          <w:lang w:eastAsia="es-ES"/>
        </w:rPr>
        <w:t xml:space="preserve"> de los cultivos</w:t>
      </w:r>
      <w:r w:rsidRPr="002F341C" w:rsidR="0022398B">
        <w:rPr>
          <w:rFonts w:ascii="Arial" w:hAnsi="Arial" w:cs="Arial"/>
          <w:sz w:val="22"/>
          <w:szCs w:val="22"/>
          <w:lang w:eastAsia="es-ES"/>
        </w:rPr>
        <w:t xml:space="preserve">, lo cual </w:t>
      </w:r>
      <w:r w:rsidRPr="002F341C" w:rsidR="0022398B">
        <w:rPr>
          <w:rFonts w:ascii="Arial" w:hAnsi="Arial" w:cs="Arial"/>
          <w:sz w:val="22"/>
          <w:szCs w:val="22"/>
          <w:lang w:eastAsia="es-ES"/>
        </w:rPr>
        <w:lastRenderedPageBreak/>
        <w:t>comúnmente implica el diseñar planes de pagos con cuotas irregulares en los pagos de capital (pagos crecientes).</w:t>
      </w:r>
      <w:bookmarkEnd w:id="135"/>
    </w:p>
    <w:p w:rsidRPr="002F341C" w:rsidR="0022398B" w:rsidP="005E7BFE" w:rsidRDefault="002D1FEB" w14:paraId="5A90014E" w14:textId="535E6311">
      <w:pPr>
        <w:pStyle w:val="Paragraph"/>
        <w:numPr>
          <w:ilvl w:val="0"/>
          <w:numId w:val="7"/>
        </w:numPr>
        <w:rPr>
          <w:rFonts w:ascii="Arial" w:hAnsi="Arial" w:cs="Arial"/>
          <w:i/>
          <w:sz w:val="22"/>
          <w:szCs w:val="22"/>
          <w:lang w:eastAsia="es-ES"/>
        </w:rPr>
      </w:pPr>
      <w:bookmarkStart w:name="_Toc17804147" w:id="137"/>
      <w:r w:rsidRPr="002F341C">
        <w:rPr>
          <w:rFonts w:ascii="Arial" w:hAnsi="Arial" w:cs="Arial"/>
          <w:i/>
          <w:sz w:val="22"/>
          <w:szCs w:val="22"/>
          <w:lang w:eastAsia="es-ES"/>
        </w:rPr>
        <w:t>Montos de crédito acordes con las inversiones planificadas</w:t>
      </w:r>
      <w:r w:rsidRPr="002F341C" w:rsidR="0049639C">
        <w:rPr>
          <w:rFonts w:ascii="Arial" w:hAnsi="Arial" w:cs="Arial"/>
          <w:i/>
          <w:sz w:val="22"/>
          <w:szCs w:val="22"/>
          <w:lang w:eastAsia="es-ES"/>
        </w:rPr>
        <w:t xml:space="preserve">. </w:t>
      </w:r>
      <w:r w:rsidRPr="002F341C">
        <w:rPr>
          <w:rFonts w:ascii="Arial" w:hAnsi="Arial" w:cs="Arial"/>
          <w:sz w:val="22"/>
          <w:szCs w:val="22"/>
          <w:lang w:eastAsia="es-ES"/>
        </w:rPr>
        <w:t>El financiamiento para inversiones (maquinaria, establecimiento de cultivos, certificaciones de fincas nacionales o internacionales, entre otros usos) deberá ser acorde co</w:t>
      </w:r>
      <w:r w:rsidRPr="002F341C" w:rsidR="0022398B">
        <w:rPr>
          <w:rFonts w:ascii="Arial" w:hAnsi="Arial" w:cs="Arial"/>
          <w:sz w:val="22"/>
          <w:szCs w:val="22"/>
          <w:lang w:eastAsia="es-ES"/>
        </w:rPr>
        <w:t>n estimaciones de costos actualizados, y desembolsados en base a los requerimientos de liquidez.</w:t>
      </w:r>
      <w:bookmarkEnd w:id="137"/>
    </w:p>
    <w:p w:rsidRPr="002F341C" w:rsidR="00C14A75" w:rsidP="00C14A75" w:rsidRDefault="00C14A75" w14:paraId="346C8DAC" w14:textId="77777777">
      <w:pPr>
        <w:pStyle w:val="Paragraph"/>
        <w:numPr>
          <w:ilvl w:val="0"/>
          <w:numId w:val="0"/>
        </w:numPr>
        <w:ind w:left="1440"/>
        <w:rPr>
          <w:rFonts w:ascii="Arial" w:hAnsi="Arial" w:cs="Arial"/>
          <w:i/>
          <w:sz w:val="22"/>
          <w:szCs w:val="22"/>
          <w:lang w:eastAsia="es-ES"/>
        </w:rPr>
      </w:pPr>
    </w:p>
    <w:p w:rsidRPr="002F341C" w:rsidR="00FD0262" w:rsidP="005E7BFE" w:rsidRDefault="00FD0262" w14:paraId="0881187D" w14:textId="36AA53C4">
      <w:pPr>
        <w:pStyle w:val="Paragraph"/>
        <w:numPr>
          <w:ilvl w:val="0"/>
          <w:numId w:val="13"/>
        </w:numPr>
        <w:ind w:hanging="720"/>
        <w:rPr>
          <w:rFonts w:ascii="Arial" w:hAnsi="Arial" w:cs="Arial"/>
          <w:b/>
          <w:sz w:val="22"/>
          <w:szCs w:val="22"/>
        </w:rPr>
      </w:pPr>
      <w:bookmarkStart w:name="_Toc17804148" w:id="138"/>
      <w:r w:rsidRPr="002F341C">
        <w:rPr>
          <w:rFonts w:ascii="Arial" w:hAnsi="Arial" w:cs="Arial"/>
          <w:b/>
          <w:sz w:val="22"/>
          <w:szCs w:val="22"/>
        </w:rPr>
        <w:t>Destinos o uso de fondos susceptibles de financiamiento</w:t>
      </w:r>
      <w:bookmarkEnd w:id="138"/>
    </w:p>
    <w:p w:rsidRPr="002F341C" w:rsidR="00F273B8" w:rsidP="00423D1D" w:rsidRDefault="00FD0262" w14:paraId="7452B824" w14:textId="77777777">
      <w:pPr>
        <w:pStyle w:val="Paragraph"/>
        <w:ind w:left="720" w:hanging="720"/>
        <w:rPr>
          <w:rFonts w:ascii="Arial" w:hAnsi="Arial" w:cs="Arial"/>
          <w:b/>
          <w:sz w:val="22"/>
          <w:szCs w:val="22"/>
          <w:lang w:eastAsia="es-ES"/>
        </w:rPr>
      </w:pPr>
      <w:bookmarkStart w:name="_Toc17804149" w:id="139"/>
      <w:r w:rsidRPr="002F341C">
        <w:rPr>
          <w:rFonts w:ascii="Arial" w:hAnsi="Arial" w:cs="Arial"/>
          <w:sz w:val="22"/>
          <w:szCs w:val="22"/>
          <w:lang w:eastAsia="es-ES"/>
        </w:rPr>
        <w:t>Las necesidades dentro del sector agropecuario son amplias y diversas; no obstante, para efectos de potenciar el impacto del financiamiento se propone que el mismo se limite a financiar aquellas inversiones que de otra forma no sería</w:t>
      </w:r>
      <w:r w:rsidRPr="002F341C" w:rsidR="00987C8B">
        <w:rPr>
          <w:rFonts w:ascii="Arial" w:hAnsi="Arial" w:cs="Arial"/>
          <w:sz w:val="22"/>
          <w:szCs w:val="22"/>
          <w:lang w:eastAsia="es-ES"/>
        </w:rPr>
        <w:t>n</w:t>
      </w:r>
      <w:r w:rsidRPr="002F341C">
        <w:rPr>
          <w:rFonts w:ascii="Arial" w:hAnsi="Arial" w:cs="Arial"/>
          <w:sz w:val="22"/>
          <w:szCs w:val="22"/>
          <w:lang w:eastAsia="es-ES"/>
        </w:rPr>
        <w:t xml:space="preserve"> sujetas de financiamiento por parte del sistema financiero; o bien, que por razones de gesti</w:t>
      </w:r>
      <w:r w:rsidRPr="002F341C" w:rsidR="00987C8B">
        <w:rPr>
          <w:rFonts w:ascii="Arial" w:hAnsi="Arial" w:cs="Arial"/>
          <w:sz w:val="22"/>
          <w:szCs w:val="22"/>
          <w:lang w:eastAsia="es-ES"/>
        </w:rPr>
        <w:t>ón de riesgo se considera inadecuado su otorgamiento.</w:t>
      </w:r>
      <w:bookmarkEnd w:id="139"/>
      <w:r w:rsidRPr="002F341C" w:rsidR="00987C8B">
        <w:rPr>
          <w:rFonts w:ascii="Arial" w:hAnsi="Arial" w:cs="Arial"/>
          <w:sz w:val="22"/>
          <w:szCs w:val="22"/>
          <w:lang w:eastAsia="es-ES"/>
        </w:rPr>
        <w:t xml:space="preserve"> </w:t>
      </w:r>
    </w:p>
    <w:p w:rsidRPr="002F341C" w:rsidR="00C14A75" w:rsidP="00C14A75" w:rsidRDefault="00C14A75" w14:paraId="4383CA7D" w14:textId="77777777">
      <w:pPr>
        <w:pStyle w:val="Paragraph"/>
        <w:numPr>
          <w:ilvl w:val="0"/>
          <w:numId w:val="0"/>
        </w:numPr>
        <w:ind w:left="720"/>
        <w:rPr>
          <w:rFonts w:ascii="Arial" w:hAnsi="Arial" w:cs="Arial"/>
          <w:b/>
          <w:sz w:val="22"/>
          <w:szCs w:val="22"/>
          <w:lang w:eastAsia="es-ES"/>
        </w:rPr>
      </w:pPr>
    </w:p>
    <w:p w:rsidRPr="002F341C" w:rsidR="00F273B8" w:rsidP="006A1820" w:rsidRDefault="00F273B8" w14:paraId="2CF996B5" w14:textId="15421406">
      <w:pPr>
        <w:pStyle w:val="subpar"/>
        <w:ind w:hanging="342"/>
        <w:rPr>
          <w:rFonts w:ascii="Arial" w:hAnsi="Arial" w:cs="Arial"/>
          <w:b/>
          <w:bCs/>
          <w:sz w:val="22"/>
          <w:szCs w:val="22"/>
          <w:lang w:eastAsia="es-ES"/>
        </w:rPr>
      </w:pPr>
      <w:bookmarkStart w:name="_Toc17804150" w:id="140"/>
      <w:r w:rsidRPr="002F341C">
        <w:rPr>
          <w:rFonts w:ascii="Arial" w:hAnsi="Arial" w:cs="Arial"/>
          <w:b/>
          <w:bCs/>
          <w:sz w:val="22"/>
          <w:szCs w:val="22"/>
          <w:lang w:eastAsia="es-ES"/>
        </w:rPr>
        <w:t xml:space="preserve">Cultivos </w:t>
      </w:r>
      <w:r w:rsidRPr="002F341C" w:rsidR="00D567FF">
        <w:rPr>
          <w:rFonts w:ascii="Arial" w:hAnsi="Arial" w:cs="Arial"/>
          <w:b/>
          <w:bCs/>
          <w:sz w:val="22"/>
          <w:szCs w:val="22"/>
          <w:lang w:eastAsia="es-ES"/>
        </w:rPr>
        <w:t>sujetos de financiamiento</w:t>
      </w:r>
      <w:bookmarkEnd w:id="140"/>
    </w:p>
    <w:p w:rsidRPr="002F341C" w:rsidR="00F273B8" w:rsidP="005E7BFE" w:rsidRDefault="00F273B8" w14:paraId="2296D7F3" w14:textId="428F782A">
      <w:pPr>
        <w:pStyle w:val="Paragraph"/>
        <w:numPr>
          <w:ilvl w:val="0"/>
          <w:numId w:val="9"/>
        </w:numPr>
        <w:rPr>
          <w:rFonts w:ascii="Arial" w:hAnsi="Arial" w:cs="Arial"/>
          <w:sz w:val="22"/>
          <w:szCs w:val="22"/>
          <w:lang w:eastAsia="es-ES"/>
        </w:rPr>
      </w:pPr>
      <w:bookmarkStart w:name="_Toc17804151" w:id="141"/>
      <w:r w:rsidRPr="002F341C">
        <w:rPr>
          <w:rFonts w:ascii="Arial" w:hAnsi="Arial" w:cs="Arial"/>
          <w:sz w:val="22"/>
          <w:szCs w:val="22"/>
          <w:lang w:eastAsia="es-ES"/>
        </w:rPr>
        <w:t>Cultivos perennes: Café, cacao, aguacate, cítricos, frutales</w:t>
      </w:r>
      <w:bookmarkEnd w:id="141"/>
    </w:p>
    <w:p w:rsidRPr="002F341C" w:rsidR="00F273B8" w:rsidP="005E7BFE" w:rsidRDefault="00F273B8" w14:paraId="4E2A9D85" w14:textId="40A8C9AF">
      <w:pPr>
        <w:pStyle w:val="Paragraph"/>
        <w:numPr>
          <w:ilvl w:val="0"/>
          <w:numId w:val="9"/>
        </w:numPr>
        <w:rPr>
          <w:rFonts w:ascii="Arial" w:hAnsi="Arial" w:cs="Arial"/>
          <w:sz w:val="22"/>
          <w:szCs w:val="22"/>
          <w:lang w:eastAsia="es-ES"/>
        </w:rPr>
      </w:pPr>
      <w:bookmarkStart w:name="_Toc17804152" w:id="142"/>
      <w:r w:rsidRPr="002F341C">
        <w:rPr>
          <w:rFonts w:ascii="Arial" w:hAnsi="Arial" w:cs="Arial"/>
          <w:sz w:val="22"/>
          <w:szCs w:val="22"/>
          <w:lang w:eastAsia="es-ES"/>
        </w:rPr>
        <w:t>Cultivos no perennes: Hortalizas, tubérculos, frutas (chile, fresas, tomate, entre otros)</w:t>
      </w:r>
      <w:bookmarkEnd w:id="142"/>
    </w:p>
    <w:p w:rsidRPr="002F341C" w:rsidR="00062EE7" w:rsidP="00062EE7" w:rsidRDefault="00062EE7" w14:paraId="07A0372D" w14:textId="77777777">
      <w:pPr>
        <w:pStyle w:val="Paragraph"/>
        <w:numPr>
          <w:ilvl w:val="0"/>
          <w:numId w:val="0"/>
        </w:numPr>
        <w:ind w:left="1440"/>
        <w:rPr>
          <w:rFonts w:ascii="Arial" w:hAnsi="Arial" w:cs="Arial"/>
          <w:sz w:val="22"/>
          <w:szCs w:val="22"/>
          <w:lang w:eastAsia="es-ES"/>
        </w:rPr>
      </w:pPr>
    </w:p>
    <w:p w:rsidRPr="002F341C" w:rsidR="00987C8B" w:rsidP="006A1820" w:rsidRDefault="00F273B8" w14:paraId="2223B7C3" w14:textId="09558F73">
      <w:pPr>
        <w:pStyle w:val="subpar"/>
        <w:ind w:hanging="342"/>
        <w:rPr>
          <w:rFonts w:ascii="Arial" w:hAnsi="Arial" w:cs="Arial"/>
          <w:b/>
          <w:bCs/>
          <w:sz w:val="22"/>
          <w:szCs w:val="22"/>
          <w:lang w:eastAsia="es-ES"/>
        </w:rPr>
      </w:pPr>
      <w:bookmarkStart w:name="_Toc17804153" w:id="143"/>
      <w:r w:rsidRPr="002F341C">
        <w:rPr>
          <w:rFonts w:ascii="Arial" w:hAnsi="Arial" w:cs="Arial"/>
          <w:b/>
          <w:bCs/>
          <w:sz w:val="22"/>
          <w:szCs w:val="22"/>
          <w:lang w:eastAsia="es-ES"/>
        </w:rPr>
        <w:t>P</w:t>
      </w:r>
      <w:r w:rsidRPr="002F341C" w:rsidR="00987C8B">
        <w:rPr>
          <w:rFonts w:ascii="Arial" w:hAnsi="Arial" w:cs="Arial"/>
          <w:b/>
          <w:bCs/>
          <w:sz w:val="22"/>
          <w:szCs w:val="22"/>
          <w:lang w:eastAsia="es-ES"/>
        </w:rPr>
        <w:t>lanes de inversión sujetos de financiamiento</w:t>
      </w:r>
      <w:bookmarkEnd w:id="143"/>
    </w:p>
    <w:p w:rsidRPr="002F341C" w:rsidR="00540150" w:rsidP="005E7BFE" w:rsidRDefault="00987C8B" w14:paraId="7826532F" w14:textId="603A5A82">
      <w:pPr>
        <w:pStyle w:val="Paragraph"/>
        <w:numPr>
          <w:ilvl w:val="0"/>
          <w:numId w:val="8"/>
        </w:numPr>
        <w:rPr>
          <w:rFonts w:ascii="Arial" w:hAnsi="Arial" w:cs="Arial"/>
          <w:sz w:val="22"/>
          <w:szCs w:val="22"/>
          <w:lang w:eastAsia="es-ES"/>
        </w:rPr>
      </w:pPr>
      <w:bookmarkStart w:name="_Toc17804154" w:id="144"/>
      <w:r w:rsidRPr="002F341C">
        <w:rPr>
          <w:rFonts w:ascii="Arial" w:hAnsi="Arial" w:cs="Arial"/>
          <w:sz w:val="22"/>
          <w:szCs w:val="22"/>
          <w:lang w:eastAsia="es-ES"/>
        </w:rPr>
        <w:t>Capital de trabajo: Habilitación de cosechas para los diferentes cultivos</w:t>
      </w:r>
      <w:bookmarkEnd w:id="144"/>
    </w:p>
    <w:p w:rsidRPr="002F341C" w:rsidR="00987C8B" w:rsidP="005E7BFE" w:rsidRDefault="00987C8B" w14:paraId="3232C19C" w14:textId="1494D146">
      <w:pPr>
        <w:pStyle w:val="Paragraph"/>
        <w:numPr>
          <w:ilvl w:val="0"/>
          <w:numId w:val="8"/>
        </w:numPr>
        <w:rPr>
          <w:rFonts w:ascii="Arial" w:hAnsi="Arial" w:cs="Arial"/>
          <w:sz w:val="22"/>
          <w:szCs w:val="22"/>
          <w:lang w:eastAsia="es-ES"/>
        </w:rPr>
      </w:pPr>
      <w:bookmarkStart w:name="_Toc17804155" w:id="145"/>
      <w:r w:rsidRPr="002F341C">
        <w:rPr>
          <w:rFonts w:ascii="Arial" w:hAnsi="Arial" w:cs="Arial"/>
          <w:sz w:val="22"/>
          <w:szCs w:val="22"/>
          <w:lang w:eastAsia="es-ES"/>
        </w:rPr>
        <w:t>Adquisición de maquinaria</w:t>
      </w:r>
      <w:bookmarkEnd w:id="145"/>
    </w:p>
    <w:p w:rsidRPr="002F341C" w:rsidR="00987C8B" w:rsidP="005E7BFE" w:rsidRDefault="00987C8B" w14:paraId="2C2D1C69" w14:textId="09FCFF37">
      <w:pPr>
        <w:pStyle w:val="Paragraph"/>
        <w:numPr>
          <w:ilvl w:val="0"/>
          <w:numId w:val="8"/>
        </w:numPr>
        <w:rPr>
          <w:rFonts w:ascii="Arial" w:hAnsi="Arial" w:cs="Arial"/>
          <w:sz w:val="22"/>
          <w:szCs w:val="22"/>
          <w:lang w:eastAsia="es-ES"/>
        </w:rPr>
      </w:pPr>
      <w:bookmarkStart w:name="_Toc17804156" w:id="146"/>
      <w:r w:rsidRPr="002F341C">
        <w:rPr>
          <w:rFonts w:ascii="Arial" w:hAnsi="Arial" w:cs="Arial"/>
          <w:sz w:val="22"/>
          <w:szCs w:val="22"/>
          <w:lang w:eastAsia="es-ES"/>
        </w:rPr>
        <w:t>Inversiones en infraestructura necesaria para impulsar el acopio de productos, mejoramiento en la calidad de los cultivos, facilitar la comercialización, entre otros.</w:t>
      </w:r>
      <w:bookmarkEnd w:id="146"/>
    </w:p>
    <w:p w:rsidRPr="002F341C" w:rsidR="00987C8B" w:rsidP="005E7BFE" w:rsidRDefault="00987C8B" w14:paraId="5E0F3F51" w14:textId="50CB2B7D">
      <w:pPr>
        <w:pStyle w:val="Paragraph"/>
        <w:numPr>
          <w:ilvl w:val="0"/>
          <w:numId w:val="8"/>
        </w:numPr>
        <w:rPr>
          <w:rFonts w:ascii="Arial" w:hAnsi="Arial" w:cs="Arial"/>
          <w:sz w:val="22"/>
          <w:szCs w:val="22"/>
          <w:lang w:eastAsia="es-ES"/>
        </w:rPr>
      </w:pPr>
      <w:bookmarkStart w:name="_Toc17804157" w:id="147"/>
      <w:r w:rsidRPr="002F341C">
        <w:rPr>
          <w:rFonts w:ascii="Arial" w:hAnsi="Arial" w:cs="Arial"/>
          <w:sz w:val="22"/>
          <w:szCs w:val="22"/>
          <w:lang w:eastAsia="es-ES"/>
        </w:rPr>
        <w:t xml:space="preserve">Establecimiento de </w:t>
      </w:r>
      <w:r w:rsidRPr="002F341C" w:rsidR="002F6CAF">
        <w:rPr>
          <w:rFonts w:ascii="Arial" w:hAnsi="Arial" w:cs="Arial"/>
          <w:sz w:val="22"/>
          <w:szCs w:val="22"/>
          <w:lang w:eastAsia="es-ES"/>
        </w:rPr>
        <w:t xml:space="preserve">nuevas plantaciones de </w:t>
      </w:r>
      <w:r w:rsidRPr="002F341C">
        <w:rPr>
          <w:rFonts w:ascii="Arial" w:hAnsi="Arial" w:cs="Arial"/>
          <w:sz w:val="22"/>
          <w:szCs w:val="22"/>
          <w:lang w:eastAsia="es-ES"/>
        </w:rPr>
        <w:t>cultivos perennes, excluyendo el café.</w:t>
      </w:r>
      <w:bookmarkEnd w:id="147"/>
    </w:p>
    <w:p w:rsidRPr="002F341C" w:rsidR="00987C8B" w:rsidP="005E7BFE" w:rsidRDefault="00987C8B" w14:paraId="1EBD1144" w14:textId="7D605475">
      <w:pPr>
        <w:pStyle w:val="Paragraph"/>
        <w:numPr>
          <w:ilvl w:val="0"/>
          <w:numId w:val="8"/>
        </w:numPr>
        <w:rPr>
          <w:rFonts w:ascii="Arial" w:hAnsi="Arial" w:cs="Arial"/>
          <w:sz w:val="22"/>
          <w:szCs w:val="22"/>
          <w:lang w:eastAsia="es-ES"/>
        </w:rPr>
      </w:pPr>
      <w:bookmarkStart w:name="_Toc17804158" w:id="148"/>
      <w:r w:rsidRPr="002F341C">
        <w:rPr>
          <w:rFonts w:ascii="Arial" w:hAnsi="Arial" w:cs="Arial"/>
          <w:sz w:val="22"/>
          <w:szCs w:val="22"/>
          <w:lang w:eastAsia="es-ES"/>
        </w:rPr>
        <w:t>Fortalecimiento de habilidades (capacitaciones, programas de asistencia técnica</w:t>
      </w:r>
      <w:r w:rsidRPr="002F341C" w:rsidR="00F761C0">
        <w:rPr>
          <w:rFonts w:ascii="Arial" w:hAnsi="Arial" w:cs="Arial"/>
          <w:sz w:val="22"/>
          <w:szCs w:val="22"/>
          <w:lang w:eastAsia="es-ES"/>
        </w:rPr>
        <w:t>, misiones comerciales, entre otros usos</w:t>
      </w:r>
      <w:r w:rsidRPr="002F341C">
        <w:rPr>
          <w:rFonts w:ascii="Arial" w:hAnsi="Arial" w:cs="Arial"/>
          <w:sz w:val="22"/>
          <w:szCs w:val="22"/>
          <w:lang w:eastAsia="es-ES"/>
        </w:rPr>
        <w:t>).</w:t>
      </w:r>
      <w:bookmarkEnd w:id="148"/>
    </w:p>
    <w:p w:rsidRPr="002F341C" w:rsidR="00987C8B" w:rsidP="005E7BFE" w:rsidRDefault="00987C8B" w14:paraId="0687E64B" w14:textId="6EA2C8DF">
      <w:pPr>
        <w:pStyle w:val="Paragraph"/>
        <w:numPr>
          <w:ilvl w:val="0"/>
          <w:numId w:val="8"/>
        </w:numPr>
        <w:rPr>
          <w:rFonts w:ascii="Arial" w:hAnsi="Arial" w:cs="Arial"/>
          <w:sz w:val="22"/>
          <w:szCs w:val="22"/>
          <w:lang w:eastAsia="es-ES"/>
        </w:rPr>
      </w:pPr>
      <w:bookmarkStart w:name="_Toc17804159" w:id="149"/>
      <w:r w:rsidRPr="002F341C">
        <w:rPr>
          <w:rFonts w:ascii="Arial" w:hAnsi="Arial" w:cs="Arial"/>
          <w:sz w:val="22"/>
          <w:szCs w:val="22"/>
          <w:lang w:eastAsia="es-ES"/>
        </w:rPr>
        <w:t xml:space="preserve">Implementación de nuevas unidades de negocio o de servicios (unidad de inseminación </w:t>
      </w:r>
      <w:r w:rsidRPr="002F341C" w:rsidR="00373B91">
        <w:rPr>
          <w:rFonts w:ascii="Arial" w:hAnsi="Arial" w:cs="Arial"/>
          <w:sz w:val="22"/>
          <w:szCs w:val="22"/>
          <w:lang w:eastAsia="es-ES"/>
        </w:rPr>
        <w:t>artificial, beneficiado</w:t>
      </w:r>
      <w:r w:rsidRPr="002F341C">
        <w:rPr>
          <w:rFonts w:ascii="Arial" w:hAnsi="Arial" w:cs="Arial"/>
          <w:sz w:val="22"/>
          <w:szCs w:val="22"/>
          <w:lang w:eastAsia="es-ES"/>
        </w:rPr>
        <w:t xml:space="preserve"> húmedo de caf</w:t>
      </w:r>
      <w:r w:rsidRPr="002F341C" w:rsidR="00F761C0">
        <w:rPr>
          <w:rFonts w:ascii="Arial" w:hAnsi="Arial" w:cs="Arial"/>
          <w:sz w:val="22"/>
          <w:szCs w:val="22"/>
          <w:lang w:eastAsia="es-ES"/>
        </w:rPr>
        <w:t>é, tiendas de insumo, entre otros)</w:t>
      </w:r>
      <w:bookmarkEnd w:id="149"/>
    </w:p>
    <w:p w:rsidRPr="002F341C" w:rsidR="00C14A75" w:rsidP="007D23BD" w:rsidRDefault="007D23BD" w14:paraId="31FBF06F" w14:textId="15F148B0">
      <w:pPr>
        <w:pStyle w:val="Paragraph"/>
        <w:ind w:left="720" w:hanging="720"/>
        <w:rPr>
          <w:rFonts w:ascii="Arial" w:hAnsi="Arial" w:cs="Arial"/>
          <w:sz w:val="22"/>
          <w:szCs w:val="22"/>
          <w:lang w:eastAsia="es-ES"/>
        </w:rPr>
      </w:pPr>
      <w:r w:rsidRPr="002F341C">
        <w:rPr>
          <w:rFonts w:ascii="Arial" w:hAnsi="Arial" w:cs="Arial"/>
          <w:sz w:val="22"/>
          <w:szCs w:val="22"/>
          <w:lang w:eastAsia="es-ES"/>
        </w:rPr>
        <w:t xml:space="preserve">A continuación, se </w:t>
      </w:r>
      <w:r w:rsidRPr="002F341C" w:rsidR="00971A58">
        <w:rPr>
          <w:rFonts w:ascii="Arial" w:hAnsi="Arial" w:cs="Arial"/>
          <w:sz w:val="22"/>
          <w:szCs w:val="22"/>
          <w:lang w:eastAsia="es-ES"/>
        </w:rPr>
        <w:t>describen</w:t>
      </w:r>
      <w:r w:rsidRPr="002F341C">
        <w:rPr>
          <w:rFonts w:ascii="Arial" w:hAnsi="Arial" w:cs="Arial"/>
          <w:sz w:val="22"/>
          <w:szCs w:val="22"/>
          <w:lang w:eastAsia="es-ES"/>
        </w:rPr>
        <w:t xml:space="preserve"> </w:t>
      </w:r>
      <w:r w:rsidRPr="002F341C" w:rsidR="00971A58">
        <w:rPr>
          <w:rFonts w:ascii="Arial" w:hAnsi="Arial" w:cs="Arial"/>
          <w:sz w:val="22"/>
          <w:szCs w:val="22"/>
          <w:lang w:eastAsia="es-ES"/>
        </w:rPr>
        <w:t xml:space="preserve">las inversiones típicas o montos promedios a </w:t>
      </w:r>
      <w:r w:rsidRPr="002F341C">
        <w:rPr>
          <w:rFonts w:ascii="Arial" w:hAnsi="Arial" w:cs="Arial"/>
          <w:sz w:val="22"/>
          <w:szCs w:val="22"/>
          <w:lang w:eastAsia="es-ES"/>
        </w:rPr>
        <w:t xml:space="preserve">ser </w:t>
      </w:r>
      <w:r w:rsidRPr="002F341C" w:rsidR="00971A58">
        <w:rPr>
          <w:rFonts w:ascii="Arial" w:hAnsi="Arial" w:cs="Arial"/>
          <w:sz w:val="22"/>
          <w:szCs w:val="22"/>
          <w:lang w:eastAsia="es-ES"/>
        </w:rPr>
        <w:t xml:space="preserve">financiados a </w:t>
      </w:r>
      <w:r w:rsidRPr="002F341C">
        <w:rPr>
          <w:rFonts w:ascii="Arial" w:hAnsi="Arial" w:cs="Arial"/>
          <w:sz w:val="22"/>
          <w:szCs w:val="22"/>
          <w:lang w:eastAsia="es-ES"/>
        </w:rPr>
        <w:t xml:space="preserve">los beneficiarios finales: </w:t>
      </w:r>
    </w:p>
    <w:p w:rsidRPr="002F341C" w:rsidR="007D23BD" w:rsidP="007D23BD" w:rsidRDefault="007D23BD" w14:paraId="36228A56" w14:textId="30081641">
      <w:pPr>
        <w:pStyle w:val="Paragraph"/>
        <w:numPr>
          <w:ilvl w:val="0"/>
          <w:numId w:val="0"/>
        </w:numPr>
        <w:jc w:val="center"/>
        <w:rPr>
          <w:rFonts w:ascii="Arial" w:hAnsi="Arial" w:cs="Arial"/>
          <w:sz w:val="22"/>
          <w:szCs w:val="22"/>
          <w:lang w:eastAsia="es-ES"/>
        </w:rPr>
      </w:pPr>
      <w:r w:rsidRPr="002F341C">
        <w:lastRenderedPageBreak/>
        <w:drawing>
          <wp:inline distT="0" distB="0" distL="0" distR="0" wp14:anchorId="09FF3E29" wp14:editId="7D54AE91">
            <wp:extent cx="5486400" cy="3427161"/>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3427161"/>
                    </a:xfrm>
                    <a:prstGeom prst="rect">
                      <a:avLst/>
                    </a:prstGeom>
                    <a:noFill/>
                    <a:ln>
                      <a:noFill/>
                    </a:ln>
                  </pic:spPr>
                </pic:pic>
              </a:graphicData>
            </a:graphic>
          </wp:inline>
        </w:drawing>
      </w:r>
    </w:p>
    <w:p w:rsidRPr="002F341C" w:rsidR="007D23BD" w:rsidP="007D23BD" w:rsidRDefault="007D23BD" w14:paraId="34B9F66C" w14:textId="4B86CE6E">
      <w:pPr>
        <w:pStyle w:val="Paragraph"/>
        <w:numPr>
          <w:ilvl w:val="0"/>
          <w:numId w:val="0"/>
        </w:numPr>
        <w:rPr>
          <w:rFonts w:ascii="Arial" w:hAnsi="Arial" w:cs="Arial"/>
          <w:sz w:val="18"/>
          <w:szCs w:val="22"/>
          <w:lang w:eastAsia="es-ES"/>
        </w:rPr>
      </w:pPr>
      <w:r w:rsidRPr="002F341C">
        <w:rPr>
          <w:rFonts w:ascii="Arial" w:hAnsi="Arial" w:cs="Arial"/>
          <w:sz w:val="18"/>
          <w:szCs w:val="22"/>
          <w:lang w:eastAsia="es-ES"/>
        </w:rPr>
        <w:t>Fuente: Elaboración propia con datos provenientes de entrevistas realizadas a productores de la zona, USAID Acceso a Mercado y Funica</w:t>
      </w:r>
    </w:p>
    <w:p w:rsidRPr="002F341C" w:rsidR="007D23BD" w:rsidP="007D23BD" w:rsidRDefault="007D23BD" w14:paraId="156D6AF3" w14:textId="77777777">
      <w:pPr>
        <w:pStyle w:val="Paragraph"/>
        <w:numPr>
          <w:ilvl w:val="0"/>
          <w:numId w:val="0"/>
        </w:numPr>
        <w:ind w:left="720"/>
        <w:rPr>
          <w:rFonts w:ascii="Arial" w:hAnsi="Arial" w:cs="Arial"/>
          <w:sz w:val="22"/>
          <w:szCs w:val="22"/>
          <w:lang w:eastAsia="es-ES"/>
        </w:rPr>
      </w:pPr>
    </w:p>
    <w:p w:rsidRPr="002F341C" w:rsidR="00E50506" w:rsidP="005E7BFE" w:rsidRDefault="00E50506" w14:paraId="3B84C76C" w14:textId="2C1E9765">
      <w:pPr>
        <w:pStyle w:val="Paragraph"/>
        <w:numPr>
          <w:ilvl w:val="0"/>
          <w:numId w:val="13"/>
        </w:numPr>
        <w:ind w:hanging="720"/>
        <w:rPr>
          <w:rFonts w:ascii="Arial" w:hAnsi="Arial" w:cs="Arial"/>
          <w:b/>
          <w:sz w:val="22"/>
          <w:szCs w:val="22"/>
        </w:rPr>
      </w:pPr>
      <w:bookmarkStart w:name="_Toc17804160" w:id="150"/>
      <w:r w:rsidRPr="002F341C">
        <w:rPr>
          <w:rFonts w:ascii="Arial" w:hAnsi="Arial" w:cs="Arial"/>
          <w:b/>
          <w:sz w:val="22"/>
          <w:szCs w:val="22"/>
        </w:rPr>
        <w:t>Esquemas de incentivos</w:t>
      </w:r>
      <w:bookmarkEnd w:id="150"/>
    </w:p>
    <w:p w:rsidRPr="002F341C" w:rsidR="008655FF" w:rsidP="00E67112" w:rsidRDefault="00E50506" w14:paraId="5DB83493" w14:textId="77777777">
      <w:pPr>
        <w:pStyle w:val="Paragraph"/>
        <w:ind w:left="720" w:hanging="720"/>
        <w:rPr>
          <w:rFonts w:ascii="Arial" w:hAnsi="Arial" w:cs="Arial"/>
          <w:sz w:val="22"/>
          <w:szCs w:val="22"/>
          <w:lang w:eastAsia="es-ES"/>
        </w:rPr>
      </w:pPr>
      <w:bookmarkStart w:name="_Toc17804161" w:id="151"/>
      <w:r w:rsidRPr="002F341C">
        <w:rPr>
          <w:rFonts w:ascii="Arial" w:hAnsi="Arial" w:cs="Arial"/>
          <w:sz w:val="22"/>
          <w:szCs w:val="22"/>
          <w:lang w:eastAsia="es-ES"/>
        </w:rPr>
        <w:t>Uno de los problemas que enfrentan los pequeños productores, es que generalmente sus ingresos dependen de un único cultivo; por lo que son altamente susceptibles a los efectos del cambio climático o a las variaciones de precio.</w:t>
      </w:r>
      <w:bookmarkEnd w:id="151"/>
      <w:r w:rsidRPr="002F341C">
        <w:rPr>
          <w:rFonts w:ascii="Arial" w:hAnsi="Arial" w:cs="Arial"/>
          <w:sz w:val="22"/>
          <w:szCs w:val="22"/>
          <w:lang w:eastAsia="es-ES"/>
        </w:rPr>
        <w:t xml:space="preserve"> </w:t>
      </w:r>
    </w:p>
    <w:p w:rsidRPr="002F341C" w:rsidR="005432C6" w:rsidP="00394B6E" w:rsidRDefault="00E50506" w14:paraId="0D93E860" w14:textId="3B462D26">
      <w:pPr>
        <w:pStyle w:val="Paragraph"/>
        <w:ind w:left="720" w:hanging="720"/>
        <w:rPr>
          <w:rFonts w:ascii="Arial" w:hAnsi="Arial" w:cs="Arial"/>
          <w:sz w:val="22"/>
          <w:szCs w:val="22"/>
          <w:lang w:eastAsia="es-ES"/>
        </w:rPr>
      </w:pPr>
      <w:bookmarkStart w:name="_Toc17804162" w:id="152"/>
      <w:r w:rsidRPr="002F341C">
        <w:rPr>
          <w:rFonts w:ascii="Arial" w:hAnsi="Arial" w:cs="Arial"/>
          <w:sz w:val="22"/>
          <w:szCs w:val="22"/>
          <w:lang w:eastAsia="es-ES"/>
        </w:rPr>
        <w:t>En e</w:t>
      </w:r>
      <w:r w:rsidRPr="002F341C" w:rsidR="00394B6E">
        <w:rPr>
          <w:rFonts w:ascii="Arial" w:hAnsi="Arial" w:cs="Arial"/>
          <w:sz w:val="22"/>
          <w:szCs w:val="22"/>
          <w:lang w:eastAsia="es-ES"/>
        </w:rPr>
        <w:t xml:space="preserve">ste contexto, es importante incorporar un esquema de </w:t>
      </w:r>
      <w:r w:rsidRPr="002F341C">
        <w:rPr>
          <w:rFonts w:ascii="Arial" w:hAnsi="Arial" w:cs="Arial"/>
          <w:sz w:val="22"/>
          <w:szCs w:val="22"/>
          <w:lang w:eastAsia="es-ES"/>
        </w:rPr>
        <w:t>inc</w:t>
      </w:r>
      <w:r w:rsidRPr="002F341C" w:rsidR="00CA3A86">
        <w:rPr>
          <w:rFonts w:ascii="Arial" w:hAnsi="Arial" w:cs="Arial"/>
          <w:sz w:val="22"/>
          <w:szCs w:val="22"/>
          <w:lang w:eastAsia="es-ES"/>
        </w:rPr>
        <w:t xml:space="preserve">entivos pecuniarios que promuevan </w:t>
      </w:r>
      <w:r w:rsidRPr="002F341C">
        <w:rPr>
          <w:rFonts w:ascii="Arial" w:hAnsi="Arial" w:cs="Arial"/>
          <w:sz w:val="22"/>
          <w:szCs w:val="22"/>
          <w:lang w:eastAsia="es-ES"/>
        </w:rPr>
        <w:t>la diversificación de ingresos a través de nuevos cultivos</w:t>
      </w:r>
      <w:r w:rsidRPr="002F341C" w:rsidR="008655FF">
        <w:rPr>
          <w:rFonts w:ascii="Arial" w:hAnsi="Arial" w:cs="Arial"/>
          <w:sz w:val="22"/>
          <w:szCs w:val="22"/>
          <w:lang w:eastAsia="es-ES"/>
        </w:rPr>
        <w:t>, l</w:t>
      </w:r>
      <w:r w:rsidRPr="002F341C">
        <w:rPr>
          <w:rFonts w:ascii="Arial" w:hAnsi="Arial" w:cs="Arial"/>
          <w:sz w:val="22"/>
          <w:szCs w:val="22"/>
          <w:lang w:eastAsia="es-ES"/>
        </w:rPr>
        <w:t xml:space="preserve">a implementación de nuevas tecnologías </w:t>
      </w:r>
      <w:r w:rsidRPr="002F341C" w:rsidR="008655FF">
        <w:rPr>
          <w:rFonts w:ascii="Arial" w:hAnsi="Arial" w:cs="Arial"/>
          <w:sz w:val="22"/>
          <w:szCs w:val="22"/>
          <w:lang w:eastAsia="es-ES"/>
        </w:rPr>
        <w:t>(sistemas de riesgo</w:t>
      </w:r>
      <w:r w:rsidRPr="002F341C" w:rsidR="00F273B8">
        <w:rPr>
          <w:rFonts w:ascii="Arial" w:hAnsi="Arial" w:cs="Arial"/>
          <w:sz w:val="22"/>
          <w:szCs w:val="22"/>
          <w:lang w:eastAsia="es-ES"/>
        </w:rPr>
        <w:t>, invernaderos, entre otros</w:t>
      </w:r>
      <w:r w:rsidRPr="002F341C" w:rsidR="008655FF">
        <w:rPr>
          <w:rFonts w:ascii="Arial" w:hAnsi="Arial" w:cs="Arial"/>
          <w:sz w:val="22"/>
          <w:szCs w:val="22"/>
          <w:lang w:eastAsia="es-ES"/>
        </w:rPr>
        <w:t xml:space="preserve">) </w:t>
      </w:r>
      <w:r w:rsidRPr="002F341C">
        <w:rPr>
          <w:rFonts w:ascii="Arial" w:hAnsi="Arial" w:cs="Arial"/>
          <w:sz w:val="22"/>
          <w:szCs w:val="22"/>
          <w:lang w:eastAsia="es-ES"/>
        </w:rPr>
        <w:t xml:space="preserve">o </w:t>
      </w:r>
      <w:r w:rsidRPr="002F341C" w:rsidR="008655FF">
        <w:rPr>
          <w:rFonts w:ascii="Arial" w:hAnsi="Arial" w:cs="Arial"/>
          <w:sz w:val="22"/>
          <w:szCs w:val="22"/>
          <w:lang w:eastAsia="es-ES"/>
        </w:rPr>
        <w:t xml:space="preserve">de mejores </w:t>
      </w:r>
      <w:r w:rsidRPr="002F341C">
        <w:rPr>
          <w:rFonts w:ascii="Arial" w:hAnsi="Arial" w:cs="Arial"/>
          <w:sz w:val="22"/>
          <w:szCs w:val="22"/>
          <w:lang w:eastAsia="es-ES"/>
        </w:rPr>
        <w:t>prácticas en sus cultivos</w:t>
      </w:r>
      <w:r w:rsidRPr="002F341C" w:rsidR="00CA3A86">
        <w:rPr>
          <w:rFonts w:ascii="Arial" w:hAnsi="Arial" w:cs="Arial"/>
          <w:sz w:val="22"/>
          <w:szCs w:val="22"/>
          <w:lang w:eastAsia="es-ES"/>
        </w:rPr>
        <w:t xml:space="preserve"> (certificaciones</w:t>
      </w:r>
      <w:r w:rsidRPr="002F341C" w:rsidR="00394B6E">
        <w:rPr>
          <w:rFonts w:ascii="Arial" w:hAnsi="Arial" w:cs="Arial"/>
          <w:sz w:val="22"/>
          <w:szCs w:val="22"/>
          <w:lang w:eastAsia="es-ES"/>
        </w:rPr>
        <w:t xml:space="preserve"> o programas de asistencia técnica</w:t>
      </w:r>
      <w:r w:rsidRPr="002F341C" w:rsidR="00CA3A86">
        <w:rPr>
          <w:rFonts w:ascii="Arial" w:hAnsi="Arial" w:cs="Arial"/>
          <w:sz w:val="22"/>
          <w:szCs w:val="22"/>
          <w:lang w:eastAsia="es-ES"/>
        </w:rPr>
        <w:t>)</w:t>
      </w:r>
      <w:r w:rsidRPr="002F341C">
        <w:rPr>
          <w:rFonts w:ascii="Arial" w:hAnsi="Arial" w:cs="Arial"/>
          <w:sz w:val="22"/>
          <w:szCs w:val="22"/>
          <w:lang w:eastAsia="es-ES"/>
        </w:rPr>
        <w:t xml:space="preserve">. </w:t>
      </w:r>
      <w:r w:rsidRPr="002F341C" w:rsidR="00394B6E">
        <w:rPr>
          <w:rFonts w:ascii="Arial" w:hAnsi="Arial" w:cs="Arial"/>
          <w:sz w:val="22"/>
          <w:szCs w:val="22"/>
          <w:lang w:eastAsia="es-ES"/>
        </w:rPr>
        <w:t xml:space="preserve">Un esquema de fácil </w:t>
      </w:r>
      <w:r w:rsidRPr="002F341C" w:rsidR="009C1007">
        <w:rPr>
          <w:rFonts w:ascii="Arial" w:hAnsi="Arial" w:cs="Arial"/>
          <w:sz w:val="22"/>
          <w:szCs w:val="22"/>
          <w:lang w:eastAsia="es-ES"/>
        </w:rPr>
        <w:t>implementación</w:t>
      </w:r>
      <w:r w:rsidRPr="002F341C" w:rsidR="00394B6E">
        <w:rPr>
          <w:rFonts w:ascii="Arial" w:hAnsi="Arial" w:cs="Arial"/>
          <w:sz w:val="22"/>
          <w:szCs w:val="22"/>
          <w:lang w:eastAsia="es-ES"/>
        </w:rPr>
        <w:t xml:space="preserve"> es a través de ofertar tasas de interés o plazos diferenciados en base al plan de inversión del cliente.</w:t>
      </w:r>
      <w:bookmarkEnd w:id="152"/>
    </w:p>
    <w:p w:rsidRPr="002F341C" w:rsidR="00E67112" w:rsidP="002F6CAF" w:rsidRDefault="00E67112" w14:paraId="15485B25" w14:textId="77777777">
      <w:pPr>
        <w:pStyle w:val="Paragraph"/>
        <w:numPr>
          <w:ilvl w:val="0"/>
          <w:numId w:val="0"/>
        </w:numPr>
        <w:ind w:left="720"/>
        <w:rPr>
          <w:rFonts w:ascii="Arial" w:hAnsi="Arial" w:cs="Arial"/>
          <w:sz w:val="22"/>
          <w:szCs w:val="22"/>
          <w:lang w:eastAsia="es-ES"/>
        </w:rPr>
      </w:pPr>
    </w:p>
    <w:sectPr w:rsidRPr="002F341C" w:rsidR="00E67112" w:rsidSect="00E67112">
      <w:headerReference w:type="even" r:id="rId45"/>
      <w:headerReference w:type="default" r:id="rId46"/>
      <w:type w:val="continuous"/>
      <w:pgSz w:w="12240" w:h="15840" w:orient="portrait"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6B9" w:rsidRDefault="00F016B9" w14:paraId="32B2EEAF" w14:textId="77777777">
      <w:r>
        <w:separator/>
      </w:r>
    </w:p>
  </w:endnote>
  <w:endnote w:type="continuationSeparator" w:id="0">
    <w:p w:rsidR="00F016B9" w:rsidRDefault="00F016B9" w14:paraId="3C02C762" w14:textId="77777777">
      <w:r>
        <w:continuationSeparator/>
      </w:r>
    </w:p>
  </w:endnote>
  <w:endnote w:type="continuationNotice" w:id="1">
    <w:p w:rsidR="00F016B9" w:rsidRDefault="00F016B9" w14:paraId="2D1DD5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6B9" w:rsidRDefault="00F016B9" w14:paraId="6CA687AD" w14:textId="77777777">
      <w:r>
        <w:separator/>
      </w:r>
    </w:p>
  </w:footnote>
  <w:footnote w:type="continuationSeparator" w:id="0">
    <w:p w:rsidR="00F016B9" w:rsidRDefault="00F016B9" w14:paraId="3525A694" w14:textId="77777777">
      <w:r>
        <w:continuationSeparator/>
      </w:r>
    </w:p>
  </w:footnote>
  <w:footnote w:type="continuationNotice" w:id="1">
    <w:p w:rsidR="00F016B9" w:rsidRDefault="00F016B9" w14:paraId="05C93DBD" w14:textId="77777777"/>
  </w:footnote>
  <w:footnote w:id="2">
    <w:p w:rsidRPr="00240308" w:rsidR="0036528E" w:rsidP="00240308" w:rsidRDefault="0036528E" w14:paraId="6940F2A2" w14:textId="11BCA60E">
      <w:pPr>
        <w:pStyle w:val="FootnoteText"/>
        <w:tabs>
          <w:tab w:val="left" w:pos="180"/>
        </w:tabs>
        <w:ind w:left="180" w:hanging="180"/>
        <w:jc w:val="both"/>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r w:rsidRPr="00240308">
        <w:rPr>
          <w:rFonts w:ascii="Arial" w:hAnsi="Arial" w:cs="Arial"/>
          <w:sz w:val="18"/>
          <w:szCs w:val="18"/>
          <w:lang w:val="es-MX"/>
        </w:rPr>
        <w:t>Esto se refleja en períodos de tiempo más prolongados de sequías, o bien en lluvias intensas en cortos períodos de tiempo.</w:t>
      </w:r>
    </w:p>
  </w:footnote>
  <w:footnote w:id="3">
    <w:p w:rsidRPr="00240308" w:rsidR="0036528E" w:rsidP="00240308" w:rsidRDefault="0036528E" w14:paraId="26D23FA4" w14:textId="79FA4882">
      <w:pPr>
        <w:pStyle w:val="FootnoteText"/>
        <w:tabs>
          <w:tab w:val="left" w:pos="180"/>
        </w:tabs>
        <w:ind w:left="180" w:hanging="180"/>
        <w:jc w:val="both"/>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hyperlink w:history="1" r:id="rId1">
        <w:r w:rsidRPr="00240308" w:rsidR="007102F5">
          <w:rPr>
            <w:rStyle w:val="Hyperlink"/>
            <w:rFonts w:ascii="Arial" w:hAnsi="Arial" w:cs="Arial"/>
            <w:sz w:val="18"/>
            <w:szCs w:val="18"/>
            <w:lang w:val="es-MX"/>
          </w:rPr>
          <w:t>https://www.laprensa.hn/honduras/1284419-410/-sequ%C3%ADa-corredor-seco-honduras-falta-lluvias-cosecha-</w:t>
        </w:r>
      </w:hyperlink>
      <w:r w:rsidRPr="00240308">
        <w:rPr>
          <w:rFonts w:ascii="Arial" w:hAnsi="Arial" w:cs="Arial"/>
          <w:sz w:val="18"/>
          <w:szCs w:val="18"/>
          <w:lang w:val="es-MX"/>
        </w:rPr>
        <w:t xml:space="preserve"> </w:t>
      </w:r>
    </w:p>
  </w:footnote>
  <w:footnote w:id="4">
    <w:p w:rsidRPr="00E1515C" w:rsidR="0036528E" w:rsidP="3B089B2A" w:rsidRDefault="0036528E" w14:paraId="75478433" w14:textId="43399642">
      <w:pPr>
        <w:pStyle w:val="FootnoteText"/>
        <w:tabs>
          <w:tab w:val="left" w:pos="180"/>
        </w:tabs>
        <w:ind w:left="180" w:hanging="180"/>
        <w:jc w:val="both"/>
        <w:rPr>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r w:rsidRPr="00240308">
        <w:rPr>
          <w:rFonts w:ascii="Arial" w:hAnsi="Arial" w:cs="Arial"/>
          <w:sz w:val="18"/>
          <w:szCs w:val="18"/>
          <w:lang w:val="es-MX"/>
        </w:rPr>
        <w:t>El Pro</w:t>
      </w:r>
      <w:r w:rsidRPr="00240308">
        <w:rPr>
          <w:rFonts w:ascii="Arial" w:hAnsi="Arial" w:cs="Arial"/>
          <w:sz w:val="18"/>
          <w:szCs w:val="18"/>
          <w:lang w:val="es-MX"/>
        </w:rPr>
        <w:t>yecto</w:t>
      </w:r>
      <w:r w:rsidRPr="00240308">
        <w:rPr>
          <w:rFonts w:ascii="Arial" w:hAnsi="Arial" w:cs="Arial"/>
          <w:sz w:val="18"/>
          <w:szCs w:val="18"/>
          <w:lang w:val="es-MX"/>
        </w:rPr>
        <w:t xml:space="preserve"> Integral de Desarrollo Rural y Productividad atenderá los departamentos de Copán, Ocotepeque y Santa Bárbara; todos ellos ubicados en la zona del occidente del país.</w:t>
      </w:r>
    </w:p>
  </w:footnote>
  <w:footnote w:id="5">
    <w:p w:rsidRPr="00240308" w:rsidR="0036528E" w:rsidP="00240308" w:rsidRDefault="0036528E" w14:paraId="4014E685" w14:textId="40784250">
      <w:pPr>
        <w:pStyle w:val="FootnoteText"/>
        <w:tabs>
          <w:tab w:val="left" w:pos="180"/>
        </w:tabs>
        <w:ind w:left="180" w:hanging="180"/>
        <w:jc w:val="both"/>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r w:rsidRPr="00240308">
        <w:rPr>
          <w:rFonts w:ascii="Arial" w:hAnsi="Arial" w:cs="Arial"/>
          <w:sz w:val="18"/>
          <w:szCs w:val="18"/>
          <w:lang w:val="es-MX"/>
        </w:rPr>
        <w:t>Banco Honduras y Atlántida tienen más de 100 años de existencia.</w:t>
      </w:r>
    </w:p>
  </w:footnote>
  <w:footnote w:id="6">
    <w:p w:rsidRPr="00240308" w:rsidR="0036528E" w:rsidP="00240308" w:rsidRDefault="0036528E" w14:paraId="248C6F89" w14:textId="6094C2BD">
      <w:pPr>
        <w:pStyle w:val="FootnoteText"/>
        <w:tabs>
          <w:tab w:val="left" w:pos="180"/>
        </w:tabs>
        <w:ind w:left="180" w:hanging="180"/>
        <w:jc w:val="both"/>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r w:rsidRPr="00240308">
        <w:rPr>
          <w:rFonts w:ascii="Arial" w:hAnsi="Arial" w:cs="Arial"/>
          <w:sz w:val="18"/>
          <w:szCs w:val="18"/>
          <w:lang w:val="es-MX"/>
        </w:rPr>
        <w:t>La estructura de los depósitos puede tener sus orígenes en una falta de confianzas del público en el sistema financiero, producto de los eventos de quiebra de bancos que han acontecido en épocas recientes.</w:t>
      </w:r>
    </w:p>
  </w:footnote>
  <w:footnote w:id="7">
    <w:p w:rsidRPr="0000082F" w:rsidR="0036528E" w:rsidP="00240308" w:rsidRDefault="0036528E" w14:paraId="39B69D1E" w14:textId="45FFB808">
      <w:pPr>
        <w:pStyle w:val="FootnoteText"/>
        <w:tabs>
          <w:tab w:val="left" w:pos="180"/>
        </w:tabs>
        <w:ind w:left="180" w:hanging="180"/>
        <w:jc w:val="both"/>
        <w:rPr>
          <w:lang w:val="es-NI"/>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r w:rsidRPr="00240308">
        <w:rPr>
          <w:rFonts w:ascii="Arial" w:hAnsi="Arial" w:cs="Arial"/>
          <w:sz w:val="18"/>
          <w:szCs w:val="18"/>
          <w:lang w:val="es-NI"/>
        </w:rPr>
        <w:t>El Departamento de Justicia de los Estados Unidos considera que valores por debajo de los 1,500 puntos son observado en mercados competitivos; mientras que el índice toma valores entre 1,500 a 2,500 en mercados moderadamente concentrados y arriba de los 2,500 en mercados altamente concentrados.</w:t>
      </w:r>
    </w:p>
  </w:footnote>
  <w:footnote w:id="8">
    <w:p w:rsidRPr="00240308" w:rsidR="0036528E" w:rsidP="00240308" w:rsidRDefault="0036528E" w14:paraId="08B458E7" w14:textId="30D8A9F0">
      <w:pPr>
        <w:pStyle w:val="FootnoteText"/>
        <w:tabs>
          <w:tab w:val="left" w:pos="270"/>
        </w:tabs>
        <w:ind w:left="270" w:hanging="270"/>
        <w:jc w:val="both"/>
        <w:rPr>
          <w:rFonts w:ascii="Arial" w:hAnsi="Arial" w:cs="Arial"/>
          <w:sz w:val="18"/>
          <w:szCs w:val="18"/>
          <w:lang w:val="es-NI"/>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Pr="00240308" w:rsidR="007102F5">
        <w:rPr>
          <w:rFonts w:ascii="Arial" w:hAnsi="Arial" w:cs="Arial"/>
          <w:sz w:val="18"/>
          <w:szCs w:val="18"/>
          <w:lang w:val="es-MX"/>
        </w:rPr>
        <w:tab/>
      </w:r>
      <w:r w:rsidRPr="00240308">
        <w:rPr>
          <w:rFonts w:ascii="Arial" w:hAnsi="Arial" w:cs="Arial"/>
          <w:sz w:val="18"/>
          <w:szCs w:val="18"/>
          <w:lang w:val="es-MX"/>
        </w:rPr>
        <w:t>Producto</w:t>
      </w:r>
      <w:r w:rsidRPr="00240308">
        <w:rPr>
          <w:rFonts w:ascii="Arial" w:hAnsi="Arial" w:cs="Arial"/>
          <w:sz w:val="18"/>
          <w:szCs w:val="18"/>
          <w:lang w:val="es-NI"/>
        </w:rPr>
        <w:t xml:space="preserve"> Interno Bruto</w:t>
      </w:r>
    </w:p>
  </w:footnote>
  <w:footnote w:id="9">
    <w:p w:rsidRPr="00240308" w:rsidR="0036528E" w:rsidP="00240308" w:rsidRDefault="0036528E" w14:paraId="784010DE" w14:textId="55BCD7E1">
      <w:pPr>
        <w:pStyle w:val="FootnoteText"/>
        <w:tabs>
          <w:tab w:val="left" w:pos="270"/>
        </w:tabs>
        <w:ind w:left="270" w:hanging="270"/>
        <w:jc w:val="both"/>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Pr="00240308" w:rsidR="007102F5">
        <w:rPr>
          <w:rFonts w:ascii="Arial" w:hAnsi="Arial" w:cs="Arial"/>
          <w:sz w:val="18"/>
          <w:szCs w:val="18"/>
          <w:lang w:val="es-MX"/>
        </w:rPr>
        <w:tab/>
      </w:r>
      <w:r w:rsidRPr="00240308">
        <w:rPr>
          <w:rFonts w:ascii="Arial" w:hAnsi="Arial" w:cs="Arial"/>
          <w:sz w:val="18"/>
          <w:szCs w:val="18"/>
          <w:lang w:val="es-MX"/>
        </w:rPr>
        <w:t xml:space="preserve">A diciembre de 2018, el crédito otorgado por el sistema </w:t>
      </w:r>
      <w:r w:rsidRPr="00240308" w:rsidR="004A1309">
        <w:rPr>
          <w:rFonts w:ascii="Arial" w:hAnsi="Arial" w:cs="Arial"/>
          <w:sz w:val="18"/>
          <w:szCs w:val="18"/>
          <w:lang w:val="es-MX"/>
        </w:rPr>
        <w:t>financiero hondureño</w:t>
      </w:r>
      <w:r w:rsidRPr="00240308">
        <w:rPr>
          <w:rFonts w:ascii="Arial" w:hAnsi="Arial" w:cs="Arial"/>
          <w:sz w:val="18"/>
          <w:szCs w:val="18"/>
          <w:lang w:val="es-MX"/>
        </w:rPr>
        <w:t xml:space="preserve"> representó el 64.1% del PIB (68.1% en CA).</w:t>
      </w:r>
    </w:p>
  </w:footnote>
  <w:footnote w:id="10">
    <w:p w:rsidRPr="00240308" w:rsidR="0036528E" w:rsidP="00240308" w:rsidRDefault="0036528E" w14:paraId="43CD54FC" w14:textId="1DF41BC6">
      <w:pPr>
        <w:pStyle w:val="FootnoteText"/>
        <w:tabs>
          <w:tab w:val="left" w:pos="270"/>
        </w:tabs>
        <w:ind w:left="270" w:hanging="270"/>
        <w:jc w:val="both"/>
        <w:rPr>
          <w:rFonts w:ascii="Arial" w:hAnsi="Arial" w:cs="Arial"/>
          <w:sz w:val="18"/>
          <w:szCs w:val="18"/>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Pr="00240308" w:rsidR="007102F5">
        <w:rPr>
          <w:rFonts w:ascii="Arial" w:hAnsi="Arial" w:cs="Arial"/>
          <w:sz w:val="18"/>
          <w:szCs w:val="18"/>
          <w:lang w:val="es-MX"/>
        </w:rPr>
        <w:tab/>
      </w:r>
      <w:r w:rsidRPr="00240308">
        <w:rPr>
          <w:rFonts w:ascii="Arial" w:hAnsi="Arial" w:cs="Arial"/>
          <w:sz w:val="18"/>
          <w:szCs w:val="18"/>
          <w:lang w:val="es-MX"/>
        </w:rPr>
        <w:t>Para</w:t>
      </w:r>
      <w:r w:rsidRPr="00240308">
        <w:rPr>
          <w:rFonts w:ascii="Arial" w:hAnsi="Arial" w:cs="Arial"/>
          <w:sz w:val="18"/>
          <w:szCs w:val="18"/>
          <w:lang w:val="es-NI"/>
        </w:rPr>
        <w:t xml:space="preserve"> una mayor referencia en cuanto al impacto de la volatilidad sobre el crecimiento y el financiamiento véase Ahion y otros (2004)</w:t>
      </w:r>
      <w:r w:rsidRPr="00240308" w:rsidR="007B67FD">
        <w:rPr>
          <w:rFonts w:ascii="Arial" w:hAnsi="Arial" w:cs="Arial"/>
          <w:sz w:val="18"/>
          <w:szCs w:val="18"/>
          <w:lang w:val="es-NI"/>
        </w:rPr>
        <w:t>;</w:t>
      </w:r>
      <w:r w:rsidRPr="00240308" w:rsidR="007B67FD">
        <w:rPr>
          <w:rFonts w:ascii="Arial" w:hAnsi="Arial" w:cs="Arial"/>
          <w:sz w:val="18"/>
          <w:szCs w:val="18"/>
          <w:lang w:val="es-MX"/>
        </w:rPr>
        <w:t xml:space="preserve"> “</w:t>
      </w:r>
      <w:r w:rsidRPr="00240308" w:rsidR="007B67FD">
        <w:rPr>
          <w:rFonts w:ascii="Arial" w:hAnsi="Arial" w:cs="Arial"/>
          <w:i/>
          <w:sz w:val="18"/>
          <w:szCs w:val="18"/>
          <w:lang w:val="es-NI"/>
        </w:rPr>
        <w:t>The Effect of Financial Development on Convergence: Theory and Evidence</w:t>
      </w:r>
      <w:r w:rsidRPr="00240308" w:rsidR="007B67FD">
        <w:rPr>
          <w:rFonts w:ascii="Arial" w:hAnsi="Arial" w:cs="Arial"/>
          <w:sz w:val="18"/>
          <w:szCs w:val="18"/>
          <w:lang w:val="es-NI"/>
        </w:rPr>
        <w:t>”;</w:t>
      </w:r>
      <w:r w:rsidRPr="00240308" w:rsidR="007B67FD">
        <w:rPr>
          <w:rFonts w:ascii="Arial" w:hAnsi="Arial" w:cs="Arial"/>
          <w:sz w:val="18"/>
          <w:szCs w:val="18"/>
          <w:lang w:val="es-MX"/>
        </w:rPr>
        <w:t xml:space="preserve"> </w:t>
      </w:r>
      <w:r w:rsidRPr="00240308" w:rsidR="007B67FD">
        <w:rPr>
          <w:rFonts w:ascii="Arial" w:hAnsi="Arial" w:cs="Arial"/>
          <w:sz w:val="18"/>
          <w:szCs w:val="18"/>
          <w:lang w:val="es-NI"/>
        </w:rPr>
        <w:t xml:space="preserve">NBER </w:t>
      </w:r>
      <w:r w:rsidRPr="00666D1A" w:rsidR="007B67FD">
        <w:rPr>
          <w:rFonts w:ascii="Arial" w:hAnsi="Arial" w:cs="Arial"/>
          <w:i/>
          <w:iCs/>
          <w:sz w:val="18"/>
          <w:szCs w:val="18"/>
          <w:lang w:val="es-NI"/>
        </w:rPr>
        <w:t>Working Paper No</w:t>
      </w:r>
      <w:r w:rsidRPr="00240308" w:rsidR="007B67FD">
        <w:rPr>
          <w:rFonts w:ascii="Arial" w:hAnsi="Arial" w:cs="Arial"/>
          <w:sz w:val="18"/>
          <w:szCs w:val="18"/>
          <w:lang w:val="es-NI"/>
        </w:rPr>
        <w:t xml:space="preserve">. 10358, </w:t>
      </w:r>
      <w:r w:rsidRPr="00D5207C" w:rsidR="007B67FD">
        <w:rPr>
          <w:rFonts w:ascii="Arial" w:hAnsi="Arial" w:cs="Arial"/>
          <w:i/>
          <w:iCs/>
          <w:sz w:val="18"/>
          <w:szCs w:val="18"/>
          <w:lang w:val="es-MX"/>
        </w:rPr>
        <w:t>Issued</w:t>
      </w:r>
      <w:r w:rsidRPr="00240308" w:rsidR="007B67FD">
        <w:rPr>
          <w:rFonts w:ascii="Arial" w:hAnsi="Arial" w:cs="Arial"/>
          <w:sz w:val="18"/>
          <w:szCs w:val="18"/>
          <w:lang w:val="es-MX"/>
        </w:rPr>
        <w:t xml:space="preserve"> </w:t>
      </w:r>
      <w:r w:rsidRPr="00D5207C" w:rsidR="007B67FD">
        <w:rPr>
          <w:rFonts w:ascii="Arial" w:hAnsi="Arial" w:cs="Arial"/>
          <w:i/>
          <w:iCs/>
          <w:sz w:val="18"/>
          <w:szCs w:val="18"/>
          <w:lang w:val="es-MX"/>
        </w:rPr>
        <w:t>in March</w:t>
      </w:r>
      <w:r w:rsidRPr="00240308" w:rsidR="007B67FD">
        <w:rPr>
          <w:rFonts w:ascii="Arial" w:hAnsi="Arial" w:cs="Arial"/>
          <w:sz w:val="18"/>
          <w:szCs w:val="18"/>
          <w:lang w:val="es-MX"/>
        </w:rPr>
        <w:t xml:space="preserve"> 2004. </w:t>
      </w:r>
      <w:r w:rsidRPr="00240308" w:rsidR="002A1807">
        <w:rPr>
          <w:rFonts w:ascii="Arial" w:hAnsi="Arial" w:cs="Arial"/>
          <w:sz w:val="18"/>
          <w:szCs w:val="18"/>
        </w:rPr>
        <w:t>WEO abril 2005; “</w:t>
      </w:r>
      <w:r w:rsidRPr="00240308" w:rsidR="002A1807">
        <w:rPr>
          <w:rFonts w:ascii="Arial" w:hAnsi="Arial" w:cs="Arial"/>
          <w:i/>
          <w:sz w:val="18"/>
          <w:szCs w:val="18"/>
        </w:rPr>
        <w:t xml:space="preserve">Output Volatility in Emerging Market and Developing Countries”; </w:t>
      </w:r>
      <w:r w:rsidRPr="00240308" w:rsidR="002A1807">
        <w:rPr>
          <w:rFonts w:ascii="Arial" w:hAnsi="Arial" w:cs="Arial"/>
          <w:sz w:val="18"/>
          <w:szCs w:val="18"/>
        </w:rPr>
        <w:t>Chapter II Two Current Issues Facing Developing Countries.</w:t>
      </w:r>
    </w:p>
  </w:footnote>
  <w:footnote w:id="11">
    <w:p w:rsidRPr="009F74E9" w:rsidR="0036528E" w:rsidP="00240308" w:rsidRDefault="0036528E" w14:paraId="3C64CA5E" w14:textId="38DA360D">
      <w:pPr>
        <w:pStyle w:val="FootnoteText"/>
        <w:tabs>
          <w:tab w:val="left" w:pos="270"/>
        </w:tabs>
        <w:ind w:left="270" w:hanging="270"/>
        <w:jc w:val="both"/>
        <w:rPr>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Pr="00240308" w:rsidR="007102F5">
        <w:rPr>
          <w:rFonts w:ascii="Arial" w:hAnsi="Arial" w:cs="Arial"/>
          <w:sz w:val="18"/>
          <w:szCs w:val="18"/>
          <w:lang w:val="es-MX"/>
        </w:rPr>
        <w:tab/>
      </w:r>
      <w:r w:rsidRPr="00240308">
        <w:rPr>
          <w:rFonts w:ascii="Arial" w:hAnsi="Arial" w:cs="Arial"/>
          <w:sz w:val="18"/>
          <w:szCs w:val="18"/>
          <w:lang w:val="es-MX"/>
        </w:rPr>
        <w:t>Medida en términos de cartera vencida a la total; ya que un menor indicador es un proxy de la calidad de la misma.</w:t>
      </w:r>
    </w:p>
  </w:footnote>
  <w:footnote w:id="12">
    <w:p w:rsidRPr="00240308" w:rsidR="0036528E" w:rsidRDefault="0036528E" w14:paraId="162D2DB8" w14:textId="694E8DAB">
      <w:pPr>
        <w:pStyle w:val="FootnoteText"/>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El sector agrícola se ha expandido en los últimos nueve años, a una tasa promedio de 5</w:t>
      </w:r>
      <w:r w:rsidRPr="00240308" w:rsidR="007102F5">
        <w:rPr>
          <w:rFonts w:ascii="Arial" w:hAnsi="Arial" w:cs="Arial"/>
          <w:sz w:val="18"/>
          <w:szCs w:val="18"/>
          <w:lang w:val="es-MX"/>
        </w:rPr>
        <w:t>,</w:t>
      </w:r>
      <w:r w:rsidRPr="00240308">
        <w:rPr>
          <w:rFonts w:ascii="Arial" w:hAnsi="Arial" w:cs="Arial"/>
          <w:sz w:val="18"/>
          <w:szCs w:val="18"/>
          <w:lang w:val="es-MX"/>
        </w:rPr>
        <w:t>1%.</w:t>
      </w:r>
    </w:p>
  </w:footnote>
  <w:footnote w:id="13">
    <w:p w:rsidRPr="00240308" w:rsidR="0036528E" w:rsidP="00240308" w:rsidRDefault="0036528E" w14:paraId="5883058B" w14:textId="059DD0B6">
      <w:pPr>
        <w:pStyle w:val="FootnoteText"/>
        <w:tabs>
          <w:tab w:val="left" w:pos="270"/>
        </w:tabs>
        <w:ind w:left="270" w:hanging="270"/>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Pr="00240308" w:rsidR="007102F5">
        <w:rPr>
          <w:rFonts w:ascii="Arial" w:hAnsi="Arial" w:cs="Arial"/>
          <w:sz w:val="18"/>
          <w:szCs w:val="18"/>
          <w:lang w:val="es-MX"/>
        </w:rPr>
        <w:tab/>
      </w:r>
      <w:r w:rsidRPr="00240308">
        <w:rPr>
          <w:rFonts w:ascii="Arial" w:hAnsi="Arial" w:cs="Arial"/>
          <w:sz w:val="18"/>
          <w:szCs w:val="18"/>
          <w:lang w:val="es-MX"/>
        </w:rPr>
        <w:t>Entre ambos departamentos concentran el 84.8% del crédito, pero únicamente representan el 37</w:t>
      </w:r>
      <w:r w:rsidRPr="00240308" w:rsidR="007102F5">
        <w:rPr>
          <w:rFonts w:ascii="Arial" w:hAnsi="Arial" w:cs="Arial"/>
          <w:sz w:val="18"/>
          <w:szCs w:val="18"/>
          <w:lang w:val="es-MX"/>
        </w:rPr>
        <w:t>,</w:t>
      </w:r>
      <w:r w:rsidRPr="00240308">
        <w:rPr>
          <w:rFonts w:ascii="Arial" w:hAnsi="Arial" w:cs="Arial"/>
          <w:sz w:val="18"/>
          <w:szCs w:val="18"/>
          <w:lang w:val="es-MX"/>
        </w:rPr>
        <w:t>1% de la población.</w:t>
      </w:r>
    </w:p>
  </w:footnote>
  <w:footnote w:id="14">
    <w:p w:rsidRPr="00240308" w:rsidR="0036528E" w:rsidP="00240308" w:rsidRDefault="0036528E" w14:paraId="5916AB7A" w14:textId="0281E49F">
      <w:pPr>
        <w:pStyle w:val="FootnoteText"/>
        <w:tabs>
          <w:tab w:val="left" w:pos="360"/>
        </w:tabs>
        <w:ind w:left="360" w:hanging="360"/>
        <w:jc w:val="both"/>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r w:rsidRPr="00240308">
        <w:rPr>
          <w:rFonts w:ascii="Arial" w:hAnsi="Arial" w:cs="Arial"/>
          <w:sz w:val="18"/>
          <w:szCs w:val="18"/>
          <w:lang w:val="es-MX"/>
        </w:rPr>
        <w:t xml:space="preserve">En base a datos del Banco Central de Honduras el PIB per cápita de Honduras en 2018 se ubicó en </w:t>
      </w:r>
      <w:r w:rsidRPr="00240308" w:rsidR="007102F5">
        <w:rPr>
          <w:rFonts w:ascii="Arial" w:hAnsi="Arial" w:cs="Arial"/>
          <w:sz w:val="18"/>
          <w:szCs w:val="18"/>
          <w:lang w:val="es-MX"/>
        </w:rPr>
        <w:t>US</w:t>
      </w:r>
      <w:r w:rsidR="007102F5">
        <w:rPr>
          <w:rFonts w:ascii="Arial" w:hAnsi="Arial" w:cs="Arial"/>
          <w:sz w:val="18"/>
          <w:szCs w:val="18"/>
          <w:lang w:val="es-MX"/>
        </w:rPr>
        <w:t>$</w:t>
      </w:r>
      <w:r w:rsidRPr="00240308">
        <w:rPr>
          <w:rFonts w:ascii="Arial" w:hAnsi="Arial" w:cs="Arial"/>
          <w:sz w:val="18"/>
          <w:szCs w:val="18"/>
          <w:lang w:val="es-MX"/>
        </w:rPr>
        <w:t>2</w:t>
      </w:r>
      <w:r w:rsidR="007102F5">
        <w:rPr>
          <w:rFonts w:ascii="Arial" w:hAnsi="Arial" w:cs="Arial"/>
          <w:sz w:val="18"/>
          <w:szCs w:val="18"/>
          <w:lang w:val="es-MX"/>
        </w:rPr>
        <w:t>.</w:t>
      </w:r>
      <w:r w:rsidRPr="00240308">
        <w:rPr>
          <w:rFonts w:ascii="Arial" w:hAnsi="Arial" w:cs="Arial"/>
          <w:sz w:val="18"/>
          <w:szCs w:val="18"/>
          <w:lang w:val="es-MX"/>
        </w:rPr>
        <w:t>595.</w:t>
      </w:r>
    </w:p>
  </w:footnote>
  <w:footnote w:id="15">
    <w:p w:rsidRPr="00953400" w:rsidR="0036528E" w:rsidP="00240308" w:rsidRDefault="0036528E" w14:paraId="4054B6CE" w14:textId="6F6BFC0A">
      <w:pPr>
        <w:pStyle w:val="FootnoteText"/>
        <w:tabs>
          <w:tab w:val="left" w:pos="360"/>
        </w:tabs>
        <w:ind w:left="360" w:hanging="360"/>
        <w:jc w:val="both"/>
        <w:rPr>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r w:rsidRPr="00240308">
        <w:rPr>
          <w:rFonts w:ascii="Arial" w:hAnsi="Arial" w:cs="Arial"/>
          <w:sz w:val="18"/>
          <w:szCs w:val="18"/>
          <w:lang w:val="es-MX"/>
        </w:rPr>
        <w:t>Este indicador sería más drástico, si se excluyese a la banca estatal; ya que el sistema financiero privado no reporta operaciones de crédito en cuatro departamentos adicionales: La Paz, Lempira, Ocotepeque y Valle.</w:t>
      </w:r>
    </w:p>
  </w:footnote>
  <w:footnote w:id="16">
    <w:p w:rsidRPr="00240308" w:rsidR="0036528E" w:rsidP="00240308" w:rsidRDefault="0036528E" w14:paraId="235045D2" w14:textId="4C2C4AE7">
      <w:pPr>
        <w:pStyle w:val="FootnoteText"/>
        <w:tabs>
          <w:tab w:val="left" w:pos="360"/>
        </w:tabs>
        <w:ind w:left="360" w:hanging="360"/>
        <w:jc w:val="both"/>
        <w:rPr>
          <w:rFonts w:ascii="Arial" w:hAnsi="Arial" w:cs="Arial"/>
          <w:sz w:val="18"/>
          <w:szCs w:val="18"/>
          <w:lang w:val="es-NI"/>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7102F5">
        <w:rPr>
          <w:rFonts w:ascii="Arial" w:hAnsi="Arial" w:cs="Arial"/>
          <w:sz w:val="18"/>
          <w:szCs w:val="18"/>
          <w:lang w:val="es-MX"/>
        </w:rPr>
        <w:tab/>
      </w:r>
      <w:r w:rsidRPr="00240308">
        <w:rPr>
          <w:rFonts w:ascii="Arial" w:hAnsi="Arial" w:cs="Arial"/>
          <w:sz w:val="18"/>
          <w:szCs w:val="18"/>
          <w:lang w:val="es-MX"/>
        </w:rPr>
        <w:t xml:space="preserve">El crédito a la </w:t>
      </w:r>
      <w:r w:rsidRPr="00240308">
        <w:rPr>
          <w:rFonts w:ascii="Arial" w:hAnsi="Arial" w:cs="Arial"/>
          <w:sz w:val="18"/>
          <w:szCs w:val="18"/>
          <w:lang w:val="es-NI"/>
        </w:rPr>
        <w:t>Agricultura, Ganadería, Silvicultura, Avícola y Pesca representa el 7</w:t>
      </w:r>
      <w:r w:rsidRPr="00240308" w:rsidR="007102F5">
        <w:rPr>
          <w:rFonts w:ascii="Arial" w:hAnsi="Arial" w:cs="Arial"/>
          <w:sz w:val="18"/>
          <w:szCs w:val="18"/>
          <w:lang w:val="es-NI"/>
        </w:rPr>
        <w:t>,</w:t>
      </w:r>
      <w:r w:rsidRPr="00240308">
        <w:rPr>
          <w:rFonts w:ascii="Arial" w:hAnsi="Arial" w:cs="Arial"/>
          <w:sz w:val="18"/>
          <w:szCs w:val="18"/>
          <w:lang w:val="es-NI"/>
        </w:rPr>
        <w:t>6% del total de créditos otorgados por el sistema financiero.</w:t>
      </w:r>
    </w:p>
  </w:footnote>
  <w:footnote w:id="17">
    <w:p w:rsidRPr="00B55096" w:rsidR="0036528E" w:rsidRDefault="0036528E" w14:paraId="32CB0C46" w14:textId="64EC8635">
      <w:pPr>
        <w:pStyle w:val="FootnoteText"/>
        <w:rPr>
          <w:lang w:val="es-NI"/>
        </w:rPr>
      </w:pPr>
      <w:r>
        <w:rPr>
          <w:rStyle w:val="FootnoteReference"/>
        </w:rPr>
        <w:footnoteRef/>
      </w:r>
      <w:r w:rsidRPr="00B55096">
        <w:rPr>
          <w:lang w:val="es-MX"/>
        </w:rPr>
        <w:t xml:space="preserve"> </w:t>
      </w:r>
      <w:r w:rsidRPr="00240308">
        <w:rPr>
          <w:rFonts w:ascii="Arial" w:hAnsi="Arial" w:cs="Arial"/>
          <w:sz w:val="18"/>
          <w:szCs w:val="18"/>
          <w:lang w:val="es-NI"/>
        </w:rPr>
        <w:t xml:space="preserve">Las variaciones en las participaciones son calculadas </w:t>
      </w:r>
      <w:r w:rsidR="002F75E5">
        <w:rPr>
          <w:rFonts w:ascii="Arial" w:hAnsi="Arial" w:cs="Arial"/>
          <w:sz w:val="18"/>
          <w:szCs w:val="18"/>
          <w:lang w:val="es-NI"/>
        </w:rPr>
        <w:t>j</w:t>
      </w:r>
      <w:r w:rsidRPr="00240308">
        <w:rPr>
          <w:rFonts w:ascii="Arial" w:hAnsi="Arial" w:cs="Arial"/>
          <w:sz w:val="18"/>
          <w:szCs w:val="18"/>
          <w:lang w:val="es-NI"/>
        </w:rPr>
        <w:t xml:space="preserve">unio 2019 versus </w:t>
      </w:r>
      <w:r w:rsidR="000A2989">
        <w:rPr>
          <w:rFonts w:ascii="Arial" w:hAnsi="Arial" w:cs="Arial"/>
          <w:sz w:val="18"/>
          <w:szCs w:val="18"/>
          <w:lang w:val="es-NI"/>
        </w:rPr>
        <w:t>d</w:t>
      </w:r>
      <w:r w:rsidRPr="00240308">
        <w:rPr>
          <w:rFonts w:ascii="Arial" w:hAnsi="Arial" w:cs="Arial"/>
          <w:sz w:val="18"/>
          <w:szCs w:val="18"/>
          <w:lang w:val="es-NI"/>
        </w:rPr>
        <w:t>iciembre 2010.</w:t>
      </w:r>
    </w:p>
  </w:footnote>
  <w:footnote w:id="18">
    <w:p w:rsidRPr="00A52C01" w:rsidR="0036528E" w:rsidP="3B089B2A" w:rsidRDefault="0036528E" w14:paraId="3D3E44FF" w14:textId="56CEF4F2">
      <w:pPr>
        <w:pStyle w:val="FootnoteText"/>
        <w:tabs>
          <w:tab w:val="left" w:pos="360"/>
        </w:tabs>
        <w:ind w:left="360" w:hanging="360"/>
        <w:rPr>
          <w:lang w:val="es-MX"/>
        </w:rPr>
      </w:pPr>
      <w:r>
        <w:rPr>
          <w:rStyle w:val="FootnoteReference"/>
        </w:rPr>
        <w:footnoteRef/>
      </w:r>
      <w:r w:rsidRPr="00A52C01">
        <w:rPr>
          <w:lang w:val="es-MX"/>
        </w:rPr>
        <w:t xml:space="preserve"> </w:t>
      </w:r>
      <w:r w:rsidR="002F75E5">
        <w:rPr>
          <w:lang w:val="es-MX"/>
        </w:rPr>
        <w:tab/>
      </w:r>
      <w:r>
        <w:rPr>
          <w:lang w:val="es-MX"/>
        </w:rPr>
        <w:t xml:space="preserve">Así como en la zona a ser intervenida por el </w:t>
      </w:r>
      <w:r w:rsidR="002F75E5">
        <w:rPr>
          <w:lang w:val="es-MX"/>
        </w:rPr>
        <w:t>p</w:t>
      </w:r>
      <w:r>
        <w:rPr>
          <w:lang w:val="es-MX"/>
        </w:rPr>
        <w:t>ro</w:t>
      </w:r>
      <w:r>
        <w:rPr>
          <w:lang w:val="es-MX"/>
        </w:rPr>
        <w:t>yecto</w:t>
      </w:r>
      <w:r w:rsidR="002F75E5">
        <w:rPr>
          <w:lang w:val="es-MX"/>
        </w:rPr>
        <w:t>.</w:t>
      </w:r>
    </w:p>
  </w:footnote>
  <w:footnote w:id="19">
    <w:p w:rsidRPr="009259DD" w:rsidR="0036528E" w:rsidRDefault="0036528E" w14:paraId="2BC808F0" w14:textId="2B417B97">
      <w:pPr>
        <w:pStyle w:val="FootnoteText"/>
        <w:rPr>
          <w:lang w:val="es-NI"/>
        </w:rPr>
      </w:pPr>
      <w:r>
        <w:rPr>
          <w:rStyle w:val="FootnoteReference"/>
        </w:rPr>
        <w:footnoteRef/>
      </w:r>
      <w:r w:rsidRPr="009259DD">
        <w:rPr>
          <w:lang w:val="es-MX"/>
        </w:rPr>
        <w:t xml:space="preserve"> </w:t>
      </w:r>
      <w:r>
        <w:rPr>
          <w:lang w:val="es-NI"/>
        </w:rPr>
        <w:t>Departamentos de Copán, Ocotepeque y Santa Bárbara.</w:t>
      </w:r>
    </w:p>
  </w:footnote>
  <w:footnote w:id="20">
    <w:p w:rsidRPr="00240308" w:rsidR="0036528E" w:rsidP="00240308" w:rsidRDefault="0036528E" w14:paraId="01FB1033" w14:textId="6656A9FD">
      <w:pPr>
        <w:pStyle w:val="FootnoteText"/>
        <w:tabs>
          <w:tab w:val="left" w:pos="360"/>
        </w:tabs>
        <w:ind w:left="360" w:hanging="360"/>
        <w:jc w:val="both"/>
        <w:rPr>
          <w:rFonts w:ascii="Arial" w:hAnsi="Arial" w:cs="Arial"/>
          <w:sz w:val="18"/>
          <w:szCs w:val="18"/>
          <w:lang w:val="es-MX"/>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2F75E5">
        <w:rPr>
          <w:rFonts w:ascii="Arial" w:hAnsi="Arial" w:cs="Arial"/>
          <w:sz w:val="18"/>
          <w:szCs w:val="18"/>
          <w:lang w:val="es-MX"/>
        </w:rPr>
        <w:tab/>
      </w:r>
      <w:r w:rsidRPr="00240308">
        <w:rPr>
          <w:rFonts w:ascii="Arial" w:hAnsi="Arial" w:cs="Arial"/>
          <w:sz w:val="18"/>
          <w:szCs w:val="18"/>
          <w:lang w:val="es-MX"/>
        </w:rPr>
        <w:t>En este sector la producción se concentra en pequeños productores, con áreas menores a las cinco (5) manzanas.</w:t>
      </w:r>
    </w:p>
  </w:footnote>
  <w:footnote w:id="21">
    <w:p w:rsidRPr="004A69E1" w:rsidR="0036528E" w:rsidP="00240308" w:rsidRDefault="0036528E" w14:paraId="29A587CB" w14:textId="3BF7CBBE">
      <w:pPr>
        <w:pStyle w:val="FootnoteText"/>
        <w:tabs>
          <w:tab w:val="left" w:pos="360"/>
        </w:tabs>
        <w:ind w:left="360" w:hanging="360"/>
        <w:jc w:val="both"/>
        <w:rPr>
          <w:lang w:val="es-MX"/>
        </w:rPr>
      </w:pPr>
      <w:r>
        <w:rPr>
          <w:rStyle w:val="FootnoteReference"/>
        </w:rPr>
        <w:footnoteRef/>
      </w:r>
      <w:r w:rsidRPr="004A69E1">
        <w:rPr>
          <w:lang w:val="es-MX"/>
        </w:rPr>
        <w:t xml:space="preserve"> </w:t>
      </w:r>
      <w:r w:rsidR="002F75E5">
        <w:rPr>
          <w:lang w:val="es-MX"/>
        </w:rPr>
        <w:tab/>
      </w:r>
      <w:hyperlink w:history="1" r:id="rId2">
        <w:r w:rsidRPr="002F75E5" w:rsidR="002F75E5">
          <w:rPr>
            <w:rStyle w:val="Hyperlink"/>
            <w:lang w:val="es-MX"/>
          </w:rPr>
          <w:t>https://www.swisscontact.org/nc/es/country/america-central/proyectos/proyectos/project/-/show/proyecto-de-seguridad-alimentaria-acs-prosasur-en-el-corredor-seco-de-honduras.html</w:t>
        </w:r>
      </w:hyperlink>
      <w:r>
        <w:rPr>
          <w:lang w:val="es-MX"/>
        </w:rPr>
        <w:t xml:space="preserve"> </w:t>
      </w:r>
    </w:p>
  </w:footnote>
  <w:footnote w:id="22">
    <w:p w:rsidRPr="00240308" w:rsidR="0036528E" w:rsidP="00240308" w:rsidRDefault="0036528E" w14:paraId="5C3D03E9" w14:textId="11444805">
      <w:pPr>
        <w:pStyle w:val="FootnoteText"/>
        <w:tabs>
          <w:tab w:val="left" w:pos="360"/>
        </w:tabs>
        <w:ind w:left="360" w:hanging="360"/>
        <w:jc w:val="both"/>
        <w:rPr>
          <w:rFonts w:ascii="Arial" w:hAnsi="Arial" w:cs="Arial"/>
          <w:sz w:val="18"/>
          <w:szCs w:val="18"/>
          <w:lang w:val="es-NI"/>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2F75E5">
        <w:rPr>
          <w:rFonts w:ascii="Arial" w:hAnsi="Arial" w:cs="Arial"/>
          <w:sz w:val="18"/>
          <w:szCs w:val="18"/>
          <w:lang w:val="es-MX"/>
        </w:rPr>
        <w:tab/>
      </w:r>
      <w:r w:rsidRPr="00240308">
        <w:rPr>
          <w:rFonts w:ascii="Arial" w:hAnsi="Arial" w:cs="Arial"/>
          <w:sz w:val="18"/>
          <w:szCs w:val="18"/>
          <w:lang w:val="es-NI"/>
        </w:rPr>
        <w:t xml:space="preserve">Inclusive un funcionario de Banco de Occidente, en una entrevista, comentó que el banco otorga operaciones de crédito respaldadas con cesiones de contratos de compra venta de café. </w:t>
      </w:r>
    </w:p>
  </w:footnote>
  <w:footnote w:id="23">
    <w:p w:rsidRPr="00423D1D" w:rsidR="0036528E" w:rsidP="00240308" w:rsidRDefault="0036528E" w14:paraId="416AD12D" w14:textId="038BB4D9">
      <w:pPr>
        <w:pStyle w:val="FootnoteText"/>
        <w:tabs>
          <w:tab w:val="left" w:pos="360"/>
        </w:tabs>
        <w:ind w:left="360" w:hanging="360"/>
        <w:jc w:val="both"/>
        <w:rPr>
          <w:lang w:val="es-NI"/>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002F75E5">
        <w:rPr>
          <w:rFonts w:ascii="Arial" w:hAnsi="Arial" w:cs="Arial"/>
          <w:sz w:val="18"/>
          <w:szCs w:val="18"/>
          <w:lang w:val="es-MX"/>
        </w:rPr>
        <w:tab/>
      </w:r>
      <w:r w:rsidRPr="00240308">
        <w:rPr>
          <w:rFonts w:ascii="Arial" w:hAnsi="Arial" w:cs="Arial"/>
          <w:sz w:val="18"/>
          <w:szCs w:val="18"/>
          <w:lang w:val="es-NI"/>
        </w:rPr>
        <w:t>Estas características deberán favorecer la toma de riesgo por parte de los productores, al tiempo de permitir su capitalización.</w:t>
      </w:r>
    </w:p>
  </w:footnote>
  <w:footnote w:id="24">
    <w:p w:rsidRPr="00240308" w:rsidR="0036528E" w:rsidP="3B089B2A" w:rsidRDefault="0036528E" w14:paraId="13082BD8" w14:textId="48B831FB">
      <w:pPr>
        <w:pStyle w:val="FootnoteText"/>
        <w:tabs>
          <w:tab w:val="left" w:pos="360"/>
        </w:tabs>
        <w:ind w:left="360" w:hanging="360"/>
        <w:jc w:val="both"/>
        <w:rPr>
          <w:rFonts w:ascii="Arial" w:hAnsi="Arial" w:cs="Arial"/>
          <w:lang w:val="es-MX"/>
        </w:rPr>
      </w:pPr>
      <w:r w:rsidRPr="00240308">
        <w:rPr>
          <w:rStyle w:val="FootnoteReference"/>
          <w:rFonts w:ascii="Arial" w:hAnsi="Arial" w:cs="Arial"/>
        </w:rPr>
        <w:footnoteRef/>
      </w:r>
      <w:r w:rsidRPr="00240308">
        <w:rPr>
          <w:rFonts w:ascii="Arial" w:hAnsi="Arial" w:cs="Arial"/>
          <w:lang w:val="es-MX"/>
        </w:rPr>
        <w:t xml:space="preserve"> </w:t>
      </w:r>
      <w:r w:rsidR="002F75E5">
        <w:rPr>
          <w:rFonts w:ascii="Arial" w:hAnsi="Arial" w:cs="Arial"/>
          <w:lang w:val="es-MX"/>
        </w:rPr>
        <w:tab/>
      </w:r>
      <w:r w:rsidRPr="00240308">
        <w:rPr>
          <w:rFonts w:ascii="Arial" w:hAnsi="Arial" w:cs="Arial"/>
          <w:lang w:val="es-MX"/>
        </w:rPr>
        <w:t xml:space="preserve">Esto como proxy de la participación, en la producción nacional, de la zona de influencia del </w:t>
      </w:r>
      <w:r w:rsidRPr="00240308" w:rsidR="002F75E5">
        <w:rPr>
          <w:rFonts w:ascii="Arial" w:hAnsi="Arial" w:cs="Arial"/>
          <w:lang w:val="es-MX"/>
        </w:rPr>
        <w:t xml:space="preserve">pro</w:t>
      </w:r>
      <w:r w:rsidRPr="00240308" w:rsidR="002F75E5">
        <w:rPr>
          <w:rFonts w:ascii="Arial" w:hAnsi="Arial" w:cs="Arial"/>
          <w:lang w:val="es-MX"/>
        </w:rPr>
        <w:t xml:space="preserve">yecto</w:t>
      </w:r>
      <w:r w:rsidRPr="00240308" w:rsidR="002F75E5">
        <w:rPr>
          <w:rFonts w:ascii="Arial" w:hAnsi="Arial" w:cs="Arial"/>
          <w:lang w:val="es-MX"/>
        </w:rPr>
        <w:t xml:space="preserve"> </w:t>
      </w:r>
      <w:r w:rsidRPr="00240308">
        <w:rPr>
          <w:rFonts w:ascii="Arial" w:hAnsi="Arial" w:cs="Arial"/>
          <w:lang w:val="es-MX"/>
        </w:rPr>
        <w:t>en los cultivos seleccionados por el pro</w:t>
      </w:r>
      <w:r w:rsidRPr="00240308">
        <w:rPr>
          <w:rFonts w:ascii="Arial" w:hAnsi="Arial" w:cs="Arial"/>
          <w:lang w:val="es-MX"/>
        </w:rPr>
        <w:t>yecto</w:t>
      </w:r>
      <w:r w:rsidRPr="00240308">
        <w:rPr>
          <w:rFonts w:ascii="Arial" w:hAnsi="Arial" w:cs="Arial"/>
          <w:lang w:val="es-MX"/>
        </w:rPr>
        <w:t xml:space="preserve"> para ser sujetos de intervención.</w:t>
      </w:r>
    </w:p>
  </w:footnote>
  <w:footnote w:id="25">
    <w:p w:rsidRPr="007761D5" w:rsidR="0036528E" w:rsidP="00240308" w:rsidRDefault="0036528E" w14:paraId="52D0FD0E" w14:textId="00D9EC7F">
      <w:pPr>
        <w:pStyle w:val="FootnoteText"/>
        <w:tabs>
          <w:tab w:val="left" w:pos="360"/>
        </w:tabs>
        <w:ind w:left="360" w:hanging="360"/>
        <w:jc w:val="both"/>
        <w:rPr>
          <w:lang w:val="es-MX"/>
        </w:rPr>
      </w:pPr>
      <w:r w:rsidRPr="00240308">
        <w:rPr>
          <w:rStyle w:val="FootnoteReference"/>
          <w:rFonts w:ascii="Arial" w:hAnsi="Arial" w:cs="Arial"/>
        </w:rPr>
        <w:footnoteRef/>
      </w:r>
      <w:r w:rsidRPr="00240308">
        <w:rPr>
          <w:rFonts w:ascii="Arial" w:hAnsi="Arial" w:cs="Arial"/>
          <w:lang w:val="es-MX"/>
        </w:rPr>
        <w:t xml:space="preserve"> </w:t>
      </w:r>
      <w:r w:rsidR="002F75E5">
        <w:rPr>
          <w:rFonts w:ascii="Arial" w:hAnsi="Arial" w:cs="Arial"/>
          <w:lang w:val="es-MX"/>
        </w:rPr>
        <w:tab/>
      </w:r>
      <w:r w:rsidRPr="00240308">
        <w:rPr>
          <w:rFonts w:ascii="Arial" w:hAnsi="Arial" w:cs="Arial"/>
          <w:lang w:val="es-MX"/>
        </w:rPr>
        <w:t>Para los cálculos se utiliza la participación del crédito en el PIB, en 2018, que fue de 64</w:t>
      </w:r>
      <w:r w:rsidRPr="00240308" w:rsidR="002F75E5">
        <w:rPr>
          <w:rFonts w:ascii="Arial" w:hAnsi="Arial" w:cs="Arial"/>
          <w:lang w:val="es-MX"/>
        </w:rPr>
        <w:t>,</w:t>
      </w:r>
      <w:r w:rsidRPr="00240308">
        <w:rPr>
          <w:rFonts w:ascii="Arial" w:hAnsi="Arial" w:cs="Arial"/>
          <w:lang w:val="es-MX"/>
        </w:rPr>
        <w:t>11%.</w:t>
      </w:r>
    </w:p>
  </w:footnote>
  <w:footnote w:id="26">
    <w:p w:rsidRPr="00240308" w:rsidR="0036528E" w:rsidP="00240308" w:rsidRDefault="0036528E" w14:paraId="5C021169" w14:textId="203FF5F3">
      <w:pPr>
        <w:pStyle w:val="FootnoteText"/>
        <w:tabs>
          <w:tab w:val="left" w:pos="360"/>
        </w:tabs>
        <w:ind w:left="360" w:hanging="360"/>
        <w:jc w:val="both"/>
        <w:rPr>
          <w:rFonts w:ascii="Arial" w:hAnsi="Arial" w:cs="Arial"/>
          <w:sz w:val="18"/>
          <w:szCs w:val="18"/>
          <w:lang w:val="es-NI"/>
        </w:rPr>
      </w:pPr>
      <w:r w:rsidRPr="00240308">
        <w:rPr>
          <w:rStyle w:val="FootnoteReference"/>
          <w:rFonts w:ascii="Arial" w:hAnsi="Arial" w:cs="Arial"/>
          <w:sz w:val="18"/>
          <w:szCs w:val="18"/>
        </w:rPr>
        <w:footnoteRef/>
      </w:r>
      <w:r w:rsidRPr="00240308">
        <w:rPr>
          <w:rFonts w:ascii="Arial" w:hAnsi="Arial" w:cs="Arial"/>
          <w:sz w:val="18"/>
          <w:szCs w:val="18"/>
          <w:lang w:val="es-MX"/>
        </w:rPr>
        <w:t xml:space="preserve"> </w:t>
      </w:r>
      <w:r w:rsidRPr="00240308">
        <w:rPr>
          <w:rFonts w:ascii="Arial" w:hAnsi="Arial" w:cs="Arial"/>
          <w:sz w:val="18"/>
          <w:szCs w:val="18"/>
          <w:lang w:val="es-NI"/>
        </w:rPr>
        <w:t>Esto en base a entrevistas realizadas a diferentes productores de la zona de Occidente del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8E" w:rsidP="003E608E" w:rsidRDefault="0036528E" w14:paraId="20CF5D9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528E" w:rsidRDefault="0036528E" w14:paraId="4E4702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A2E26" w:rsidR="0036528E" w:rsidP="003E608E" w:rsidRDefault="0036528E" w14:paraId="0284677C" w14:textId="0C219801">
    <w:pPr>
      <w:pStyle w:val="Header"/>
      <w:jc w:val="center"/>
      <w:rPr>
        <w:rFonts w:ascii="Arial" w:hAnsi="Arial" w:cs="Arial"/>
        <w:sz w:val="18"/>
        <w:szCs w:val="18"/>
      </w:rPr>
    </w:pPr>
    <w:r w:rsidRPr="006A2E26">
      <w:rPr>
        <w:rFonts w:ascii="Arial" w:hAnsi="Arial" w:cs="Arial"/>
        <w:sz w:val="18"/>
        <w:szCs w:val="18"/>
      </w:rPr>
      <w:t xml:space="preserve">- </w:t>
    </w:r>
    <w:r w:rsidRPr="006A2E26">
      <w:rPr>
        <w:rFonts w:ascii="Arial" w:hAnsi="Arial" w:cs="Arial"/>
        <w:sz w:val="18"/>
        <w:szCs w:val="18"/>
      </w:rPr>
      <w:fldChar w:fldCharType="begin"/>
    </w:r>
    <w:r w:rsidRPr="006A2E26">
      <w:rPr>
        <w:rFonts w:ascii="Arial" w:hAnsi="Arial" w:cs="Arial"/>
        <w:sz w:val="18"/>
        <w:szCs w:val="18"/>
      </w:rPr>
      <w:instrText xml:space="preserve"> PAGE </w:instrText>
    </w:r>
    <w:r w:rsidRPr="006A2E26">
      <w:rPr>
        <w:rFonts w:ascii="Arial" w:hAnsi="Arial" w:cs="Arial"/>
        <w:sz w:val="18"/>
        <w:szCs w:val="18"/>
      </w:rPr>
      <w:fldChar w:fldCharType="separate"/>
    </w:r>
    <w:r w:rsidR="00062EE7">
      <w:rPr>
        <w:rFonts w:ascii="Arial" w:hAnsi="Arial" w:cs="Arial"/>
        <w:noProof/>
        <w:sz w:val="18"/>
        <w:szCs w:val="18"/>
      </w:rPr>
      <w:t>25</w:t>
    </w:r>
    <w:r w:rsidRPr="006A2E26">
      <w:rPr>
        <w:rFonts w:ascii="Arial" w:hAnsi="Arial" w:cs="Arial"/>
        <w:sz w:val="18"/>
        <w:szCs w:val="18"/>
      </w:rPr>
      <w:fldChar w:fldCharType="end"/>
    </w:r>
    <w:r w:rsidRPr="006A2E26">
      <w:rPr>
        <w:rFonts w:ascii="Arial" w:hAnsi="Arial" w:cs="Arial"/>
        <w:sz w:val="18"/>
        <w:szCs w:val="18"/>
      </w:rPr>
      <w:t xml:space="preserve"> -</w:t>
    </w:r>
  </w:p>
  <w:p w:rsidR="0036528E" w:rsidRDefault="0036528E" w14:paraId="2C82A1E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C89"/>
    <w:multiLevelType w:val="hybridMultilevel"/>
    <w:tmpl w:val="F08006D0"/>
    <w:lvl w:ilvl="0" w:tplc="080A0005">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C40244A"/>
    <w:multiLevelType w:val="hybridMultilevel"/>
    <w:tmpl w:val="310C16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379D"/>
    <w:multiLevelType w:val="hybridMultilevel"/>
    <w:tmpl w:val="D6CE3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7273B"/>
    <w:multiLevelType w:val="hybridMultilevel"/>
    <w:tmpl w:val="5AE6B9B4"/>
    <w:lvl w:ilvl="0" w:tplc="080A0005">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262D4D68"/>
    <w:multiLevelType w:val="hybridMultilevel"/>
    <w:tmpl w:val="A162D068"/>
    <w:lvl w:ilvl="0" w:tplc="C7E05F8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863B27"/>
    <w:multiLevelType w:val="hybridMultilevel"/>
    <w:tmpl w:val="346A364C"/>
    <w:lvl w:ilvl="0" w:tplc="080A0005">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569905A8"/>
    <w:multiLevelType w:val="multilevel"/>
    <w:tmpl w:val="84320002"/>
    <w:lvl w:ilvl="0">
      <w:start w:val="1"/>
      <w:numFmt w:val="upperRoman"/>
      <w:lvlRestart w:val="0"/>
      <w:pStyle w:val="Chapter"/>
      <w:lvlText w:val="%1."/>
      <w:lvlJc w:val="center"/>
      <w:pPr>
        <w:tabs>
          <w:tab w:val="num" w:pos="648"/>
        </w:tabs>
        <w:ind w:left="0" w:firstLine="288"/>
      </w:pPr>
      <w:rPr>
        <w:rFonts w:hint="default"/>
        <w:b/>
        <w:i w:val="0"/>
      </w:rPr>
    </w:lvl>
    <w:lvl w:ilvl="1">
      <w:start w:val="1"/>
      <w:numFmt w:val="decimal"/>
      <w:pStyle w:val="Paragraph"/>
      <w:lvlText w:val="%1.%2"/>
      <w:lvlJc w:val="left"/>
      <w:pPr>
        <w:tabs>
          <w:tab w:val="num" w:pos="1296"/>
        </w:tabs>
        <w:ind w:left="1296" w:hanging="1296"/>
      </w:pPr>
      <w:rPr>
        <w:b w:val="0"/>
        <w:i w:val="0"/>
      </w:rPr>
    </w:lvl>
    <w:lvl w:ilvl="2">
      <w:start w:val="1"/>
      <w:numFmt w:val="lowerRoman"/>
      <w:pStyle w:val="subpar"/>
      <w:lvlText w:val="%3."/>
      <w:lvlJc w:val="righ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57F40267"/>
    <w:multiLevelType w:val="hybridMultilevel"/>
    <w:tmpl w:val="CF5EF926"/>
    <w:lvl w:ilvl="0" w:tplc="080A0005">
      <w:start w:val="1"/>
      <w:numFmt w:val="bullet"/>
      <w:lvlText w:val=""/>
      <w:lvlJc w:val="left"/>
      <w:pPr>
        <w:ind w:left="1500" w:hanging="360"/>
      </w:pPr>
      <w:rPr>
        <w:rFonts w:hint="default" w:ascii="Wingdings" w:hAnsi="Wingdings"/>
      </w:rPr>
    </w:lvl>
    <w:lvl w:ilvl="1" w:tplc="080A0003" w:tentative="1">
      <w:start w:val="1"/>
      <w:numFmt w:val="bullet"/>
      <w:lvlText w:val="o"/>
      <w:lvlJc w:val="left"/>
      <w:pPr>
        <w:ind w:left="2220" w:hanging="360"/>
      </w:pPr>
      <w:rPr>
        <w:rFonts w:hint="default" w:ascii="Courier New" w:hAnsi="Courier New" w:cs="Courier New"/>
      </w:rPr>
    </w:lvl>
    <w:lvl w:ilvl="2" w:tplc="080A0005" w:tentative="1">
      <w:start w:val="1"/>
      <w:numFmt w:val="bullet"/>
      <w:lvlText w:val=""/>
      <w:lvlJc w:val="left"/>
      <w:pPr>
        <w:ind w:left="2940" w:hanging="360"/>
      </w:pPr>
      <w:rPr>
        <w:rFonts w:hint="default" w:ascii="Wingdings" w:hAnsi="Wingdings"/>
      </w:rPr>
    </w:lvl>
    <w:lvl w:ilvl="3" w:tplc="080A0001" w:tentative="1">
      <w:start w:val="1"/>
      <w:numFmt w:val="bullet"/>
      <w:lvlText w:val=""/>
      <w:lvlJc w:val="left"/>
      <w:pPr>
        <w:ind w:left="3660" w:hanging="360"/>
      </w:pPr>
      <w:rPr>
        <w:rFonts w:hint="default" w:ascii="Symbol" w:hAnsi="Symbol"/>
      </w:rPr>
    </w:lvl>
    <w:lvl w:ilvl="4" w:tplc="080A0003" w:tentative="1">
      <w:start w:val="1"/>
      <w:numFmt w:val="bullet"/>
      <w:lvlText w:val="o"/>
      <w:lvlJc w:val="left"/>
      <w:pPr>
        <w:ind w:left="4380" w:hanging="360"/>
      </w:pPr>
      <w:rPr>
        <w:rFonts w:hint="default" w:ascii="Courier New" w:hAnsi="Courier New" w:cs="Courier New"/>
      </w:rPr>
    </w:lvl>
    <w:lvl w:ilvl="5" w:tplc="080A0005" w:tentative="1">
      <w:start w:val="1"/>
      <w:numFmt w:val="bullet"/>
      <w:lvlText w:val=""/>
      <w:lvlJc w:val="left"/>
      <w:pPr>
        <w:ind w:left="5100" w:hanging="360"/>
      </w:pPr>
      <w:rPr>
        <w:rFonts w:hint="default" w:ascii="Wingdings" w:hAnsi="Wingdings"/>
      </w:rPr>
    </w:lvl>
    <w:lvl w:ilvl="6" w:tplc="080A0001" w:tentative="1">
      <w:start w:val="1"/>
      <w:numFmt w:val="bullet"/>
      <w:lvlText w:val=""/>
      <w:lvlJc w:val="left"/>
      <w:pPr>
        <w:ind w:left="5820" w:hanging="360"/>
      </w:pPr>
      <w:rPr>
        <w:rFonts w:hint="default" w:ascii="Symbol" w:hAnsi="Symbol"/>
      </w:rPr>
    </w:lvl>
    <w:lvl w:ilvl="7" w:tplc="080A0003" w:tentative="1">
      <w:start w:val="1"/>
      <w:numFmt w:val="bullet"/>
      <w:lvlText w:val="o"/>
      <w:lvlJc w:val="left"/>
      <w:pPr>
        <w:ind w:left="6540" w:hanging="360"/>
      </w:pPr>
      <w:rPr>
        <w:rFonts w:hint="default" w:ascii="Courier New" w:hAnsi="Courier New" w:cs="Courier New"/>
      </w:rPr>
    </w:lvl>
    <w:lvl w:ilvl="8" w:tplc="080A0005" w:tentative="1">
      <w:start w:val="1"/>
      <w:numFmt w:val="bullet"/>
      <w:lvlText w:val=""/>
      <w:lvlJc w:val="left"/>
      <w:pPr>
        <w:ind w:left="7260" w:hanging="360"/>
      </w:pPr>
      <w:rPr>
        <w:rFonts w:hint="default" w:ascii="Wingdings" w:hAnsi="Wingdings"/>
      </w:rPr>
    </w:lvl>
  </w:abstractNum>
  <w:abstractNum w:abstractNumId="8" w15:restartNumberingAfterBreak="0">
    <w:nsid w:val="598806FF"/>
    <w:multiLevelType w:val="hybridMultilevel"/>
    <w:tmpl w:val="07AA65C8"/>
    <w:lvl w:ilvl="0" w:tplc="080A0005">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6B450CD1"/>
    <w:multiLevelType w:val="multilevel"/>
    <w:tmpl w:val="68224D4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lvl>
    <w:lvl w:ilvl="2">
      <w:start w:val="1"/>
      <w:numFmt w:val="lowerLetter"/>
      <w:pStyle w:val="SubHeading1"/>
      <w:lvlText w:val="%3)"/>
      <w:lvlJc w:val="left"/>
      <w:pPr>
        <w:tabs>
          <w:tab w:val="num" w:pos="5976"/>
        </w:tabs>
        <w:ind w:left="5976" w:hanging="576"/>
      </w:pPr>
    </w:lvl>
    <w:lvl w:ilvl="3">
      <w:start w:val="1"/>
      <w:numFmt w:val="lowerRoman"/>
      <w:pStyle w:val="FirstHeading"/>
      <w:lvlText w:val="(%4)"/>
      <w:lvlJc w:val="right"/>
      <w:pPr>
        <w:tabs>
          <w:tab w:val="num" w:pos="6480"/>
        </w:tabs>
        <w:ind w:left="6480" w:hanging="288"/>
      </w:pPr>
    </w:lvl>
    <w:lvl w:ilvl="4">
      <w:start w:val="1"/>
      <w:numFmt w:val="none"/>
      <w:lvlText w:val=""/>
      <w:lvlJc w:val="left"/>
      <w:pPr>
        <w:tabs>
          <w:tab w:val="num" w:pos="5112"/>
        </w:tabs>
        <w:ind w:left="5112" w:hanging="1008"/>
      </w:pPr>
    </w:lvl>
    <w:lvl w:ilvl="5">
      <w:start w:val="1"/>
      <w:numFmt w:val="none"/>
      <w:lvlText w:val=""/>
      <w:lvlJc w:val="left"/>
      <w:pPr>
        <w:tabs>
          <w:tab w:val="num" w:pos="5256"/>
        </w:tabs>
        <w:ind w:left="5256" w:hanging="1152"/>
      </w:pPr>
    </w:lvl>
    <w:lvl w:ilvl="6">
      <w:start w:val="1"/>
      <w:numFmt w:val="none"/>
      <w:lvlText w:val=""/>
      <w:lvlJc w:val="left"/>
      <w:pPr>
        <w:tabs>
          <w:tab w:val="num" w:pos="5400"/>
        </w:tabs>
        <w:ind w:left="5400" w:hanging="1296"/>
      </w:pPr>
    </w:lvl>
    <w:lvl w:ilvl="7">
      <w:start w:val="1"/>
      <w:numFmt w:val="none"/>
      <w:lvlText w:val=""/>
      <w:lvlJc w:val="left"/>
      <w:pPr>
        <w:tabs>
          <w:tab w:val="num" w:pos="5544"/>
        </w:tabs>
        <w:ind w:left="5544" w:hanging="1440"/>
      </w:pPr>
    </w:lvl>
    <w:lvl w:ilvl="8">
      <w:start w:val="1"/>
      <w:numFmt w:val="none"/>
      <w:lvlText w:val=""/>
      <w:lvlJc w:val="left"/>
      <w:pPr>
        <w:tabs>
          <w:tab w:val="num" w:pos="5688"/>
        </w:tabs>
        <w:ind w:left="5688" w:hanging="1584"/>
      </w:pPr>
    </w:lvl>
  </w:abstractNum>
  <w:abstractNum w:abstractNumId="10" w15:restartNumberingAfterBreak="0">
    <w:nsid w:val="70AC3F10"/>
    <w:multiLevelType w:val="hybridMultilevel"/>
    <w:tmpl w:val="F078B5C2"/>
    <w:lvl w:ilvl="0" w:tplc="080A0005">
      <w:start w:val="1"/>
      <w:numFmt w:val="bullet"/>
      <w:lvlText w:val=""/>
      <w:lvlJc w:val="left"/>
      <w:pPr>
        <w:ind w:left="1440" w:hanging="360"/>
      </w:pPr>
      <w:rPr>
        <w:rFonts w:hint="default" w:ascii="Wingdings" w:hAnsi="Wingdings"/>
      </w:rPr>
    </w:lvl>
    <w:lvl w:ilvl="1" w:tplc="080A0003">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74C74592"/>
    <w:multiLevelType w:val="multilevel"/>
    <w:tmpl w:val="D68E96D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1"/>
  </w:num>
  <w:num w:numId="2">
    <w:abstractNumId w:val="9"/>
  </w:num>
  <w:num w:numId="3">
    <w:abstractNumId w:val="6"/>
  </w:num>
  <w:num w:numId="4">
    <w:abstractNumId w:val="5"/>
  </w:num>
  <w:num w:numId="5">
    <w:abstractNumId w:val="10"/>
  </w:num>
  <w:num w:numId="6">
    <w:abstractNumId w:val="3"/>
  </w:num>
  <w:num w:numId="7">
    <w:abstractNumId w:val="8"/>
  </w:num>
  <w:num w:numId="8">
    <w:abstractNumId w:val="7"/>
  </w:num>
  <w:num w:numId="9">
    <w:abstractNumId w:val="0"/>
  </w:num>
  <w:num w:numId="10">
    <w:abstractNumId w:val="6"/>
    <w:lvlOverride w:ilvl="0">
      <w:startOverride w:val="1"/>
    </w:lvlOverride>
    <w:lvlOverride w:ilvl="1">
      <w:startOverride w:val="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lang="pt-BR" w:vendorID="64" w:dllVersion="6" w:nlCheck="1" w:checkStyle="0" w:appName="MSWord"/>
  <w:activeWritingStyle w:lang="es-ES_tradnl" w:vendorID="64" w:dllVersion="6" w:nlCheck="1" w:checkStyle="1" w:appName="MSWord"/>
  <w:activeWritingStyle w:lang="es-MX" w:vendorID="64" w:dllVersion="6" w:nlCheck="1" w:checkStyle="1" w:appName="MSWord"/>
  <w:activeWritingStyle w:lang="es-NI" w:vendorID="64" w:dllVersion="6" w:nlCheck="1" w:checkStyle="1" w:appName="MSWord"/>
  <w:activeWritingStyle w:lang="en-US" w:vendorID="64" w:dllVersion="6" w:nlCheck="1" w:checkStyle="1" w:appName="MSWord"/>
  <w:activeWritingStyle w:lang="es-ES" w:vendorID="64" w:dllVersion="6" w:nlCheck="1" w:checkStyle="1" w:appName="MSWord"/>
  <w:activeWritingStyle w:lang="es-ES_tradnl" w:vendorID="64" w:dllVersion="0" w:nlCheck="1" w:checkStyle="0" w:appName="MSWord"/>
  <w:activeWritingStyle w:lang="es-ES" w:vendorID="64" w:dllVersion="0" w:nlCheck="1" w:checkStyle="0" w:appName="MSWord"/>
  <w:activeWritingStyle w:lang="es-MX" w:vendorID="64" w:dllVersion="0" w:nlCheck="1" w:checkStyle="0" w:appName="MSWord"/>
  <w:activeWritingStyle w:lang="es-NI" w:vendorID="64" w:dllVersion="0" w:nlCheck="1" w:checkStyle="0"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C7"/>
    <w:rsid w:val="0000082F"/>
    <w:rsid w:val="0000157A"/>
    <w:rsid w:val="00001C3C"/>
    <w:rsid w:val="00005CBB"/>
    <w:rsid w:val="00007245"/>
    <w:rsid w:val="000109AF"/>
    <w:rsid w:val="00010F39"/>
    <w:rsid w:val="00012D65"/>
    <w:rsid w:val="0001314C"/>
    <w:rsid w:val="00013757"/>
    <w:rsid w:val="000141A2"/>
    <w:rsid w:val="00017BC0"/>
    <w:rsid w:val="000214C0"/>
    <w:rsid w:val="0002221A"/>
    <w:rsid w:val="000227D0"/>
    <w:rsid w:val="000236E0"/>
    <w:rsid w:val="00024D0F"/>
    <w:rsid w:val="00024F59"/>
    <w:rsid w:val="000277E5"/>
    <w:rsid w:val="00032006"/>
    <w:rsid w:val="00033A06"/>
    <w:rsid w:val="000349B4"/>
    <w:rsid w:val="00034FB1"/>
    <w:rsid w:val="000376C1"/>
    <w:rsid w:val="000404C5"/>
    <w:rsid w:val="000436AB"/>
    <w:rsid w:val="000442BA"/>
    <w:rsid w:val="000442EF"/>
    <w:rsid w:val="00044764"/>
    <w:rsid w:val="00046373"/>
    <w:rsid w:val="000473D9"/>
    <w:rsid w:val="00047CC2"/>
    <w:rsid w:val="00047F16"/>
    <w:rsid w:val="00050184"/>
    <w:rsid w:val="00050CBF"/>
    <w:rsid w:val="00051A47"/>
    <w:rsid w:val="0005410D"/>
    <w:rsid w:val="00055330"/>
    <w:rsid w:val="000559DD"/>
    <w:rsid w:val="00055E7F"/>
    <w:rsid w:val="00056530"/>
    <w:rsid w:val="0005663D"/>
    <w:rsid w:val="00057D79"/>
    <w:rsid w:val="00057DE2"/>
    <w:rsid w:val="000605E8"/>
    <w:rsid w:val="0006162D"/>
    <w:rsid w:val="00061948"/>
    <w:rsid w:val="00061BD9"/>
    <w:rsid w:val="00061E10"/>
    <w:rsid w:val="00062EE7"/>
    <w:rsid w:val="00063812"/>
    <w:rsid w:val="00064313"/>
    <w:rsid w:val="000653FF"/>
    <w:rsid w:val="00067617"/>
    <w:rsid w:val="0007051A"/>
    <w:rsid w:val="000739C4"/>
    <w:rsid w:val="0007518B"/>
    <w:rsid w:val="00075199"/>
    <w:rsid w:val="00075AAC"/>
    <w:rsid w:val="000807AE"/>
    <w:rsid w:val="00081065"/>
    <w:rsid w:val="000818A7"/>
    <w:rsid w:val="00081DB6"/>
    <w:rsid w:val="00084469"/>
    <w:rsid w:val="00084AEA"/>
    <w:rsid w:val="0008527A"/>
    <w:rsid w:val="0008614B"/>
    <w:rsid w:val="000866DE"/>
    <w:rsid w:val="0009146A"/>
    <w:rsid w:val="00091FE3"/>
    <w:rsid w:val="000920E8"/>
    <w:rsid w:val="0009245E"/>
    <w:rsid w:val="000942E8"/>
    <w:rsid w:val="00094945"/>
    <w:rsid w:val="00095A26"/>
    <w:rsid w:val="00095A4E"/>
    <w:rsid w:val="00096F68"/>
    <w:rsid w:val="000A25D8"/>
    <w:rsid w:val="000A2989"/>
    <w:rsid w:val="000A3361"/>
    <w:rsid w:val="000A35FC"/>
    <w:rsid w:val="000A6226"/>
    <w:rsid w:val="000B101B"/>
    <w:rsid w:val="000B160E"/>
    <w:rsid w:val="000B17A2"/>
    <w:rsid w:val="000B2CA3"/>
    <w:rsid w:val="000B2E6D"/>
    <w:rsid w:val="000B367D"/>
    <w:rsid w:val="000B4215"/>
    <w:rsid w:val="000B423A"/>
    <w:rsid w:val="000B4B9C"/>
    <w:rsid w:val="000C016E"/>
    <w:rsid w:val="000C0E41"/>
    <w:rsid w:val="000C375B"/>
    <w:rsid w:val="000C3F62"/>
    <w:rsid w:val="000C5B36"/>
    <w:rsid w:val="000C663E"/>
    <w:rsid w:val="000C698F"/>
    <w:rsid w:val="000C7129"/>
    <w:rsid w:val="000D24BE"/>
    <w:rsid w:val="000D2D5D"/>
    <w:rsid w:val="000D34FA"/>
    <w:rsid w:val="000D45EC"/>
    <w:rsid w:val="000E025E"/>
    <w:rsid w:val="000E0937"/>
    <w:rsid w:val="000E1683"/>
    <w:rsid w:val="000E2DD8"/>
    <w:rsid w:val="000E316D"/>
    <w:rsid w:val="000E404B"/>
    <w:rsid w:val="000E6B4F"/>
    <w:rsid w:val="000E6F8F"/>
    <w:rsid w:val="000F00DA"/>
    <w:rsid w:val="000F43B3"/>
    <w:rsid w:val="000F5602"/>
    <w:rsid w:val="000F5626"/>
    <w:rsid w:val="000F6480"/>
    <w:rsid w:val="000F6C99"/>
    <w:rsid w:val="00107395"/>
    <w:rsid w:val="001107D9"/>
    <w:rsid w:val="00111023"/>
    <w:rsid w:val="00111223"/>
    <w:rsid w:val="00111813"/>
    <w:rsid w:val="00111F54"/>
    <w:rsid w:val="00112080"/>
    <w:rsid w:val="00113678"/>
    <w:rsid w:val="00113D8C"/>
    <w:rsid w:val="00114672"/>
    <w:rsid w:val="001148EA"/>
    <w:rsid w:val="00115B06"/>
    <w:rsid w:val="001165F4"/>
    <w:rsid w:val="001170AF"/>
    <w:rsid w:val="00117CDD"/>
    <w:rsid w:val="001205E1"/>
    <w:rsid w:val="00120909"/>
    <w:rsid w:val="00121D2D"/>
    <w:rsid w:val="001222D0"/>
    <w:rsid w:val="00122690"/>
    <w:rsid w:val="00123E95"/>
    <w:rsid w:val="00125209"/>
    <w:rsid w:val="00125883"/>
    <w:rsid w:val="00125D4E"/>
    <w:rsid w:val="001267D5"/>
    <w:rsid w:val="001310E2"/>
    <w:rsid w:val="0013143E"/>
    <w:rsid w:val="00133317"/>
    <w:rsid w:val="00133748"/>
    <w:rsid w:val="001344BA"/>
    <w:rsid w:val="00135ACA"/>
    <w:rsid w:val="00136DF9"/>
    <w:rsid w:val="001378A1"/>
    <w:rsid w:val="0014094C"/>
    <w:rsid w:val="00140B8F"/>
    <w:rsid w:val="00140C5C"/>
    <w:rsid w:val="00141011"/>
    <w:rsid w:val="00141FC2"/>
    <w:rsid w:val="00144796"/>
    <w:rsid w:val="00144ECF"/>
    <w:rsid w:val="00145A1D"/>
    <w:rsid w:val="00145FC1"/>
    <w:rsid w:val="00146778"/>
    <w:rsid w:val="0014689A"/>
    <w:rsid w:val="00146A89"/>
    <w:rsid w:val="00152CE5"/>
    <w:rsid w:val="00152EFA"/>
    <w:rsid w:val="00153C65"/>
    <w:rsid w:val="001613B2"/>
    <w:rsid w:val="00161746"/>
    <w:rsid w:val="001620A2"/>
    <w:rsid w:val="001627E4"/>
    <w:rsid w:val="00166E9A"/>
    <w:rsid w:val="001717D8"/>
    <w:rsid w:val="00172FC7"/>
    <w:rsid w:val="001731C6"/>
    <w:rsid w:val="0017373E"/>
    <w:rsid w:val="001744AD"/>
    <w:rsid w:val="00174AB4"/>
    <w:rsid w:val="00176851"/>
    <w:rsid w:val="001771D8"/>
    <w:rsid w:val="00177290"/>
    <w:rsid w:val="0017745F"/>
    <w:rsid w:val="00180F3F"/>
    <w:rsid w:val="001812CA"/>
    <w:rsid w:val="00181E82"/>
    <w:rsid w:val="00181E84"/>
    <w:rsid w:val="00181FCE"/>
    <w:rsid w:val="00182D2C"/>
    <w:rsid w:val="0018362C"/>
    <w:rsid w:val="00183FC0"/>
    <w:rsid w:val="00183FF4"/>
    <w:rsid w:val="00192B65"/>
    <w:rsid w:val="00193BCC"/>
    <w:rsid w:val="00196271"/>
    <w:rsid w:val="0019654C"/>
    <w:rsid w:val="00196B97"/>
    <w:rsid w:val="00197A9F"/>
    <w:rsid w:val="001A0899"/>
    <w:rsid w:val="001A35BB"/>
    <w:rsid w:val="001A3BF5"/>
    <w:rsid w:val="001A43F2"/>
    <w:rsid w:val="001A760F"/>
    <w:rsid w:val="001B0306"/>
    <w:rsid w:val="001B0D4D"/>
    <w:rsid w:val="001B1331"/>
    <w:rsid w:val="001B249D"/>
    <w:rsid w:val="001B27D3"/>
    <w:rsid w:val="001B3B78"/>
    <w:rsid w:val="001B43CB"/>
    <w:rsid w:val="001B4BD9"/>
    <w:rsid w:val="001B59B8"/>
    <w:rsid w:val="001B6E82"/>
    <w:rsid w:val="001B7124"/>
    <w:rsid w:val="001C011C"/>
    <w:rsid w:val="001C01F1"/>
    <w:rsid w:val="001C13B3"/>
    <w:rsid w:val="001C2BBF"/>
    <w:rsid w:val="001C59F3"/>
    <w:rsid w:val="001C5B10"/>
    <w:rsid w:val="001C656D"/>
    <w:rsid w:val="001C7B6E"/>
    <w:rsid w:val="001D0C96"/>
    <w:rsid w:val="001D1923"/>
    <w:rsid w:val="001D3E68"/>
    <w:rsid w:val="001D7A7A"/>
    <w:rsid w:val="001E1951"/>
    <w:rsid w:val="001E3A05"/>
    <w:rsid w:val="001E3E03"/>
    <w:rsid w:val="001E4DB0"/>
    <w:rsid w:val="001E77A4"/>
    <w:rsid w:val="001F1361"/>
    <w:rsid w:val="001F2E35"/>
    <w:rsid w:val="001F5AA2"/>
    <w:rsid w:val="001F6A6B"/>
    <w:rsid w:val="001F6E6C"/>
    <w:rsid w:val="001F790E"/>
    <w:rsid w:val="00201328"/>
    <w:rsid w:val="0020147F"/>
    <w:rsid w:val="002015D0"/>
    <w:rsid w:val="00202A4A"/>
    <w:rsid w:val="00204429"/>
    <w:rsid w:val="002065A8"/>
    <w:rsid w:val="002067B3"/>
    <w:rsid w:val="00212065"/>
    <w:rsid w:val="00212D79"/>
    <w:rsid w:val="00213483"/>
    <w:rsid w:val="00213825"/>
    <w:rsid w:val="00214117"/>
    <w:rsid w:val="00217D33"/>
    <w:rsid w:val="002204D4"/>
    <w:rsid w:val="00220A26"/>
    <w:rsid w:val="00221FAA"/>
    <w:rsid w:val="00222283"/>
    <w:rsid w:val="00222851"/>
    <w:rsid w:val="00223195"/>
    <w:rsid w:val="0022329E"/>
    <w:rsid w:val="002236EC"/>
    <w:rsid w:val="0022398B"/>
    <w:rsid w:val="0022400B"/>
    <w:rsid w:val="00225AFF"/>
    <w:rsid w:val="00226C87"/>
    <w:rsid w:val="00227AFB"/>
    <w:rsid w:val="00227E9C"/>
    <w:rsid w:val="00227EB1"/>
    <w:rsid w:val="002323CD"/>
    <w:rsid w:val="0023286D"/>
    <w:rsid w:val="002334BC"/>
    <w:rsid w:val="002336F8"/>
    <w:rsid w:val="002348FE"/>
    <w:rsid w:val="0023610B"/>
    <w:rsid w:val="00236C7B"/>
    <w:rsid w:val="00237F48"/>
    <w:rsid w:val="00240308"/>
    <w:rsid w:val="0024134E"/>
    <w:rsid w:val="00243FC1"/>
    <w:rsid w:val="00244019"/>
    <w:rsid w:val="002442D4"/>
    <w:rsid w:val="0024533C"/>
    <w:rsid w:val="002471FB"/>
    <w:rsid w:val="00250B5A"/>
    <w:rsid w:val="002512B8"/>
    <w:rsid w:val="002538F1"/>
    <w:rsid w:val="00256427"/>
    <w:rsid w:val="002567CC"/>
    <w:rsid w:val="002568E4"/>
    <w:rsid w:val="002576EF"/>
    <w:rsid w:val="00257AAD"/>
    <w:rsid w:val="00260585"/>
    <w:rsid w:val="0026087E"/>
    <w:rsid w:val="00260FA1"/>
    <w:rsid w:val="0026111A"/>
    <w:rsid w:val="002613D4"/>
    <w:rsid w:val="00261E3E"/>
    <w:rsid w:val="00264884"/>
    <w:rsid w:val="00264C82"/>
    <w:rsid w:val="00265DDD"/>
    <w:rsid w:val="00267F6B"/>
    <w:rsid w:val="00272EC1"/>
    <w:rsid w:val="00272FC7"/>
    <w:rsid w:val="00273226"/>
    <w:rsid w:val="00273883"/>
    <w:rsid w:val="002740C3"/>
    <w:rsid w:val="00280270"/>
    <w:rsid w:val="00281A50"/>
    <w:rsid w:val="002823A7"/>
    <w:rsid w:val="002824DC"/>
    <w:rsid w:val="00283706"/>
    <w:rsid w:val="00284422"/>
    <w:rsid w:val="002848FC"/>
    <w:rsid w:val="00285F5B"/>
    <w:rsid w:val="00285F8C"/>
    <w:rsid w:val="00286C9E"/>
    <w:rsid w:val="00287C25"/>
    <w:rsid w:val="00287CFE"/>
    <w:rsid w:val="002902AB"/>
    <w:rsid w:val="00290473"/>
    <w:rsid w:val="00291EBE"/>
    <w:rsid w:val="00293A7C"/>
    <w:rsid w:val="00295C74"/>
    <w:rsid w:val="0029714C"/>
    <w:rsid w:val="002972EF"/>
    <w:rsid w:val="002A1807"/>
    <w:rsid w:val="002A266A"/>
    <w:rsid w:val="002A2F8E"/>
    <w:rsid w:val="002A3F0C"/>
    <w:rsid w:val="002A4D87"/>
    <w:rsid w:val="002A5CA2"/>
    <w:rsid w:val="002A6DFB"/>
    <w:rsid w:val="002B10D2"/>
    <w:rsid w:val="002B2959"/>
    <w:rsid w:val="002B2F68"/>
    <w:rsid w:val="002B3144"/>
    <w:rsid w:val="002B3362"/>
    <w:rsid w:val="002B35B9"/>
    <w:rsid w:val="002B3AFA"/>
    <w:rsid w:val="002B48C0"/>
    <w:rsid w:val="002B4EE6"/>
    <w:rsid w:val="002B5138"/>
    <w:rsid w:val="002B76C8"/>
    <w:rsid w:val="002C061F"/>
    <w:rsid w:val="002C1546"/>
    <w:rsid w:val="002C1E30"/>
    <w:rsid w:val="002C3A42"/>
    <w:rsid w:val="002C5192"/>
    <w:rsid w:val="002C554D"/>
    <w:rsid w:val="002C58DD"/>
    <w:rsid w:val="002C5E85"/>
    <w:rsid w:val="002D0867"/>
    <w:rsid w:val="002D1FEB"/>
    <w:rsid w:val="002D2D0F"/>
    <w:rsid w:val="002D335E"/>
    <w:rsid w:val="002D44FF"/>
    <w:rsid w:val="002D482F"/>
    <w:rsid w:val="002D619D"/>
    <w:rsid w:val="002E02F7"/>
    <w:rsid w:val="002E0AFF"/>
    <w:rsid w:val="002E1FFF"/>
    <w:rsid w:val="002E3DCC"/>
    <w:rsid w:val="002E4B15"/>
    <w:rsid w:val="002E6204"/>
    <w:rsid w:val="002E6CE9"/>
    <w:rsid w:val="002F2916"/>
    <w:rsid w:val="002F2DE4"/>
    <w:rsid w:val="002F341C"/>
    <w:rsid w:val="002F42C7"/>
    <w:rsid w:val="002F433C"/>
    <w:rsid w:val="002F4E68"/>
    <w:rsid w:val="002F5346"/>
    <w:rsid w:val="002F54E7"/>
    <w:rsid w:val="002F692E"/>
    <w:rsid w:val="002F6CAF"/>
    <w:rsid w:val="002F75E5"/>
    <w:rsid w:val="002F7752"/>
    <w:rsid w:val="00300194"/>
    <w:rsid w:val="0030069E"/>
    <w:rsid w:val="00302051"/>
    <w:rsid w:val="00304A67"/>
    <w:rsid w:val="00304E8B"/>
    <w:rsid w:val="0030631F"/>
    <w:rsid w:val="0030677C"/>
    <w:rsid w:val="00307D07"/>
    <w:rsid w:val="00310E5B"/>
    <w:rsid w:val="003110C8"/>
    <w:rsid w:val="00311255"/>
    <w:rsid w:val="00313899"/>
    <w:rsid w:val="00316A1E"/>
    <w:rsid w:val="00317E0F"/>
    <w:rsid w:val="00321276"/>
    <w:rsid w:val="003232E5"/>
    <w:rsid w:val="003250BD"/>
    <w:rsid w:val="00325193"/>
    <w:rsid w:val="003268C7"/>
    <w:rsid w:val="00330762"/>
    <w:rsid w:val="00330D00"/>
    <w:rsid w:val="00330D23"/>
    <w:rsid w:val="0033112B"/>
    <w:rsid w:val="003315AA"/>
    <w:rsid w:val="00332E36"/>
    <w:rsid w:val="00333549"/>
    <w:rsid w:val="00333787"/>
    <w:rsid w:val="00333E84"/>
    <w:rsid w:val="00334E81"/>
    <w:rsid w:val="0033572A"/>
    <w:rsid w:val="00335A43"/>
    <w:rsid w:val="00335EED"/>
    <w:rsid w:val="00336634"/>
    <w:rsid w:val="00342CCF"/>
    <w:rsid w:val="00343008"/>
    <w:rsid w:val="00344B6B"/>
    <w:rsid w:val="003451B3"/>
    <w:rsid w:val="00345E9F"/>
    <w:rsid w:val="00346F3F"/>
    <w:rsid w:val="0034747B"/>
    <w:rsid w:val="00347FCB"/>
    <w:rsid w:val="00350117"/>
    <w:rsid w:val="003521F8"/>
    <w:rsid w:val="00353DA8"/>
    <w:rsid w:val="003559D8"/>
    <w:rsid w:val="00356105"/>
    <w:rsid w:val="003570EC"/>
    <w:rsid w:val="003572A4"/>
    <w:rsid w:val="003617DF"/>
    <w:rsid w:val="00362E14"/>
    <w:rsid w:val="00363428"/>
    <w:rsid w:val="00364180"/>
    <w:rsid w:val="0036456D"/>
    <w:rsid w:val="00364FCE"/>
    <w:rsid w:val="0036528E"/>
    <w:rsid w:val="00366AA2"/>
    <w:rsid w:val="00366B8F"/>
    <w:rsid w:val="00367028"/>
    <w:rsid w:val="003716E0"/>
    <w:rsid w:val="00371BA2"/>
    <w:rsid w:val="00371D4E"/>
    <w:rsid w:val="00373B91"/>
    <w:rsid w:val="00374BDA"/>
    <w:rsid w:val="00375BC6"/>
    <w:rsid w:val="00376E53"/>
    <w:rsid w:val="00377151"/>
    <w:rsid w:val="0037792C"/>
    <w:rsid w:val="0038038A"/>
    <w:rsid w:val="003803AF"/>
    <w:rsid w:val="00380837"/>
    <w:rsid w:val="00384B49"/>
    <w:rsid w:val="00385306"/>
    <w:rsid w:val="0038535C"/>
    <w:rsid w:val="00385C3E"/>
    <w:rsid w:val="00386B1F"/>
    <w:rsid w:val="00387099"/>
    <w:rsid w:val="0038710F"/>
    <w:rsid w:val="00387598"/>
    <w:rsid w:val="00390629"/>
    <w:rsid w:val="00391690"/>
    <w:rsid w:val="00392CC6"/>
    <w:rsid w:val="00394B6E"/>
    <w:rsid w:val="0039650B"/>
    <w:rsid w:val="00396661"/>
    <w:rsid w:val="00396CDC"/>
    <w:rsid w:val="003A08B8"/>
    <w:rsid w:val="003A0C29"/>
    <w:rsid w:val="003A2F36"/>
    <w:rsid w:val="003A6A5B"/>
    <w:rsid w:val="003B17A4"/>
    <w:rsid w:val="003B191B"/>
    <w:rsid w:val="003B3405"/>
    <w:rsid w:val="003B3B74"/>
    <w:rsid w:val="003B4150"/>
    <w:rsid w:val="003B434A"/>
    <w:rsid w:val="003B595B"/>
    <w:rsid w:val="003B724B"/>
    <w:rsid w:val="003B7818"/>
    <w:rsid w:val="003C13F6"/>
    <w:rsid w:val="003C1549"/>
    <w:rsid w:val="003C2935"/>
    <w:rsid w:val="003C3D1A"/>
    <w:rsid w:val="003C4092"/>
    <w:rsid w:val="003C57E2"/>
    <w:rsid w:val="003C686B"/>
    <w:rsid w:val="003D10C9"/>
    <w:rsid w:val="003D24DE"/>
    <w:rsid w:val="003D4926"/>
    <w:rsid w:val="003D49D5"/>
    <w:rsid w:val="003E002A"/>
    <w:rsid w:val="003E2B7A"/>
    <w:rsid w:val="003E40C4"/>
    <w:rsid w:val="003E51AB"/>
    <w:rsid w:val="003E5B00"/>
    <w:rsid w:val="003E608E"/>
    <w:rsid w:val="003E685D"/>
    <w:rsid w:val="003F082B"/>
    <w:rsid w:val="003F2029"/>
    <w:rsid w:val="003F48B7"/>
    <w:rsid w:val="003F4A62"/>
    <w:rsid w:val="003F712C"/>
    <w:rsid w:val="00400378"/>
    <w:rsid w:val="0040102C"/>
    <w:rsid w:val="00402851"/>
    <w:rsid w:val="004044E4"/>
    <w:rsid w:val="0040614C"/>
    <w:rsid w:val="00406A47"/>
    <w:rsid w:val="0040703B"/>
    <w:rsid w:val="00407075"/>
    <w:rsid w:val="00407787"/>
    <w:rsid w:val="00410403"/>
    <w:rsid w:val="0041165B"/>
    <w:rsid w:val="00412905"/>
    <w:rsid w:val="0041332F"/>
    <w:rsid w:val="00413423"/>
    <w:rsid w:val="00414683"/>
    <w:rsid w:val="00414F90"/>
    <w:rsid w:val="00415094"/>
    <w:rsid w:val="0041605E"/>
    <w:rsid w:val="00417548"/>
    <w:rsid w:val="0042024C"/>
    <w:rsid w:val="00421698"/>
    <w:rsid w:val="00421D96"/>
    <w:rsid w:val="004221EA"/>
    <w:rsid w:val="00422363"/>
    <w:rsid w:val="00423990"/>
    <w:rsid w:val="00423D1D"/>
    <w:rsid w:val="004279BC"/>
    <w:rsid w:val="00430870"/>
    <w:rsid w:val="00431DCA"/>
    <w:rsid w:val="00432152"/>
    <w:rsid w:val="00432AB5"/>
    <w:rsid w:val="004332C4"/>
    <w:rsid w:val="004349AB"/>
    <w:rsid w:val="004355AE"/>
    <w:rsid w:val="0044157A"/>
    <w:rsid w:val="0044157D"/>
    <w:rsid w:val="00441D9F"/>
    <w:rsid w:val="0044201C"/>
    <w:rsid w:val="00442EAF"/>
    <w:rsid w:val="004436BA"/>
    <w:rsid w:val="00443EEE"/>
    <w:rsid w:val="00443F2D"/>
    <w:rsid w:val="00444F7B"/>
    <w:rsid w:val="0044593A"/>
    <w:rsid w:val="00446146"/>
    <w:rsid w:val="00451601"/>
    <w:rsid w:val="004519FF"/>
    <w:rsid w:val="00452F5B"/>
    <w:rsid w:val="00453277"/>
    <w:rsid w:val="0045659B"/>
    <w:rsid w:val="00456C5E"/>
    <w:rsid w:val="0046153B"/>
    <w:rsid w:val="00461808"/>
    <w:rsid w:val="00462477"/>
    <w:rsid w:val="004663CC"/>
    <w:rsid w:val="00466D97"/>
    <w:rsid w:val="00470DB2"/>
    <w:rsid w:val="00474EC1"/>
    <w:rsid w:val="00475761"/>
    <w:rsid w:val="0047621B"/>
    <w:rsid w:val="00477ED5"/>
    <w:rsid w:val="0048321A"/>
    <w:rsid w:val="00483FA3"/>
    <w:rsid w:val="00484A3A"/>
    <w:rsid w:val="004854D3"/>
    <w:rsid w:val="00486393"/>
    <w:rsid w:val="00487CB8"/>
    <w:rsid w:val="00490B74"/>
    <w:rsid w:val="00493226"/>
    <w:rsid w:val="00494625"/>
    <w:rsid w:val="00495B3C"/>
    <w:rsid w:val="004961A8"/>
    <w:rsid w:val="00496243"/>
    <w:rsid w:val="0049639C"/>
    <w:rsid w:val="0049776C"/>
    <w:rsid w:val="00497C33"/>
    <w:rsid w:val="004A0DFF"/>
    <w:rsid w:val="004A1309"/>
    <w:rsid w:val="004A13C7"/>
    <w:rsid w:val="004A2265"/>
    <w:rsid w:val="004A2E99"/>
    <w:rsid w:val="004A3297"/>
    <w:rsid w:val="004A3480"/>
    <w:rsid w:val="004A36C9"/>
    <w:rsid w:val="004A3BA1"/>
    <w:rsid w:val="004A4CD9"/>
    <w:rsid w:val="004A5A9A"/>
    <w:rsid w:val="004A69E1"/>
    <w:rsid w:val="004A76ED"/>
    <w:rsid w:val="004A7714"/>
    <w:rsid w:val="004A7D5F"/>
    <w:rsid w:val="004B2ABB"/>
    <w:rsid w:val="004B34FA"/>
    <w:rsid w:val="004B39E7"/>
    <w:rsid w:val="004B5D38"/>
    <w:rsid w:val="004C0856"/>
    <w:rsid w:val="004C2AD6"/>
    <w:rsid w:val="004C3037"/>
    <w:rsid w:val="004C3ABE"/>
    <w:rsid w:val="004C4865"/>
    <w:rsid w:val="004C5437"/>
    <w:rsid w:val="004C60B2"/>
    <w:rsid w:val="004C7A07"/>
    <w:rsid w:val="004D05FF"/>
    <w:rsid w:val="004D2F94"/>
    <w:rsid w:val="004D3006"/>
    <w:rsid w:val="004D3761"/>
    <w:rsid w:val="004D4F8F"/>
    <w:rsid w:val="004D6192"/>
    <w:rsid w:val="004D74B0"/>
    <w:rsid w:val="004D7EE9"/>
    <w:rsid w:val="004D7F9B"/>
    <w:rsid w:val="004E03AB"/>
    <w:rsid w:val="004E1CBD"/>
    <w:rsid w:val="004E3EF7"/>
    <w:rsid w:val="004E5426"/>
    <w:rsid w:val="004E54CE"/>
    <w:rsid w:val="004E5FAA"/>
    <w:rsid w:val="004E668A"/>
    <w:rsid w:val="004E6D9E"/>
    <w:rsid w:val="004F05E9"/>
    <w:rsid w:val="004F0D3C"/>
    <w:rsid w:val="004F43B0"/>
    <w:rsid w:val="004F4D17"/>
    <w:rsid w:val="004F4FB2"/>
    <w:rsid w:val="004F72E3"/>
    <w:rsid w:val="004F7B6D"/>
    <w:rsid w:val="0050004F"/>
    <w:rsid w:val="005027E6"/>
    <w:rsid w:val="00504D36"/>
    <w:rsid w:val="00504F98"/>
    <w:rsid w:val="0050543B"/>
    <w:rsid w:val="00507164"/>
    <w:rsid w:val="005101E6"/>
    <w:rsid w:val="0051289C"/>
    <w:rsid w:val="00514966"/>
    <w:rsid w:val="00516F22"/>
    <w:rsid w:val="00517DF9"/>
    <w:rsid w:val="005206F1"/>
    <w:rsid w:val="00520ACC"/>
    <w:rsid w:val="00520B63"/>
    <w:rsid w:val="00521B69"/>
    <w:rsid w:val="0052295F"/>
    <w:rsid w:val="005229DE"/>
    <w:rsid w:val="00524B44"/>
    <w:rsid w:val="00525857"/>
    <w:rsid w:val="00525D5D"/>
    <w:rsid w:val="00525E5F"/>
    <w:rsid w:val="0052707A"/>
    <w:rsid w:val="005306DC"/>
    <w:rsid w:val="0053298D"/>
    <w:rsid w:val="00532D99"/>
    <w:rsid w:val="00533CE0"/>
    <w:rsid w:val="00534341"/>
    <w:rsid w:val="0053451D"/>
    <w:rsid w:val="00535FEC"/>
    <w:rsid w:val="00537340"/>
    <w:rsid w:val="00540150"/>
    <w:rsid w:val="00540B50"/>
    <w:rsid w:val="00541293"/>
    <w:rsid w:val="00542491"/>
    <w:rsid w:val="00542A50"/>
    <w:rsid w:val="005432C6"/>
    <w:rsid w:val="005434CB"/>
    <w:rsid w:val="005438DF"/>
    <w:rsid w:val="00544B9E"/>
    <w:rsid w:val="00544EE4"/>
    <w:rsid w:val="005459F3"/>
    <w:rsid w:val="0054794B"/>
    <w:rsid w:val="005502D1"/>
    <w:rsid w:val="005503F4"/>
    <w:rsid w:val="00550B38"/>
    <w:rsid w:val="00551064"/>
    <w:rsid w:val="00551BBD"/>
    <w:rsid w:val="00554BE4"/>
    <w:rsid w:val="00555178"/>
    <w:rsid w:val="00555AA0"/>
    <w:rsid w:val="00555E15"/>
    <w:rsid w:val="00556236"/>
    <w:rsid w:val="0055775F"/>
    <w:rsid w:val="005602B6"/>
    <w:rsid w:val="005604A0"/>
    <w:rsid w:val="005608E3"/>
    <w:rsid w:val="00562DBE"/>
    <w:rsid w:val="00563C64"/>
    <w:rsid w:val="0056779B"/>
    <w:rsid w:val="00567963"/>
    <w:rsid w:val="00567B17"/>
    <w:rsid w:val="00567FC1"/>
    <w:rsid w:val="00573E47"/>
    <w:rsid w:val="00574A8B"/>
    <w:rsid w:val="00574CCB"/>
    <w:rsid w:val="00574EE3"/>
    <w:rsid w:val="00575AC8"/>
    <w:rsid w:val="00577745"/>
    <w:rsid w:val="00581B8C"/>
    <w:rsid w:val="00581E60"/>
    <w:rsid w:val="00582AD7"/>
    <w:rsid w:val="005836F8"/>
    <w:rsid w:val="00586FEF"/>
    <w:rsid w:val="00587085"/>
    <w:rsid w:val="00587D77"/>
    <w:rsid w:val="0059005A"/>
    <w:rsid w:val="005904ED"/>
    <w:rsid w:val="00590BC2"/>
    <w:rsid w:val="00590C97"/>
    <w:rsid w:val="00591246"/>
    <w:rsid w:val="005920B6"/>
    <w:rsid w:val="00592D97"/>
    <w:rsid w:val="005931D9"/>
    <w:rsid w:val="00596011"/>
    <w:rsid w:val="005976E2"/>
    <w:rsid w:val="005A0A34"/>
    <w:rsid w:val="005A0CAB"/>
    <w:rsid w:val="005A16D0"/>
    <w:rsid w:val="005A1D15"/>
    <w:rsid w:val="005A5AB9"/>
    <w:rsid w:val="005A72AF"/>
    <w:rsid w:val="005A7D03"/>
    <w:rsid w:val="005B1092"/>
    <w:rsid w:val="005B17C3"/>
    <w:rsid w:val="005B1872"/>
    <w:rsid w:val="005B27E4"/>
    <w:rsid w:val="005B7181"/>
    <w:rsid w:val="005C0697"/>
    <w:rsid w:val="005C07D7"/>
    <w:rsid w:val="005C1785"/>
    <w:rsid w:val="005C488B"/>
    <w:rsid w:val="005C4978"/>
    <w:rsid w:val="005C4B3B"/>
    <w:rsid w:val="005C4DCE"/>
    <w:rsid w:val="005D0D42"/>
    <w:rsid w:val="005D11A0"/>
    <w:rsid w:val="005D2056"/>
    <w:rsid w:val="005D38A3"/>
    <w:rsid w:val="005D3AC8"/>
    <w:rsid w:val="005D43D6"/>
    <w:rsid w:val="005D4ED9"/>
    <w:rsid w:val="005D5A98"/>
    <w:rsid w:val="005D679E"/>
    <w:rsid w:val="005D689E"/>
    <w:rsid w:val="005E1E87"/>
    <w:rsid w:val="005E2BA6"/>
    <w:rsid w:val="005E2D22"/>
    <w:rsid w:val="005E32CF"/>
    <w:rsid w:val="005E45D4"/>
    <w:rsid w:val="005E47A2"/>
    <w:rsid w:val="005E4E6A"/>
    <w:rsid w:val="005E4F3E"/>
    <w:rsid w:val="005E4FA0"/>
    <w:rsid w:val="005E5D4E"/>
    <w:rsid w:val="005E67F9"/>
    <w:rsid w:val="005E7148"/>
    <w:rsid w:val="005E7BFE"/>
    <w:rsid w:val="005E7C35"/>
    <w:rsid w:val="005E7FAF"/>
    <w:rsid w:val="005F0F9F"/>
    <w:rsid w:val="005F1107"/>
    <w:rsid w:val="005F19C6"/>
    <w:rsid w:val="005F355A"/>
    <w:rsid w:val="005F6866"/>
    <w:rsid w:val="00601027"/>
    <w:rsid w:val="00603D76"/>
    <w:rsid w:val="006049FD"/>
    <w:rsid w:val="00606F4C"/>
    <w:rsid w:val="0060757C"/>
    <w:rsid w:val="0061140F"/>
    <w:rsid w:val="00611432"/>
    <w:rsid w:val="00611442"/>
    <w:rsid w:val="00611830"/>
    <w:rsid w:val="006150CF"/>
    <w:rsid w:val="006152A2"/>
    <w:rsid w:val="00616016"/>
    <w:rsid w:val="00616469"/>
    <w:rsid w:val="00616A30"/>
    <w:rsid w:val="00617EF2"/>
    <w:rsid w:val="00620BCE"/>
    <w:rsid w:val="00621B16"/>
    <w:rsid w:val="006242EE"/>
    <w:rsid w:val="00624DEA"/>
    <w:rsid w:val="0062556D"/>
    <w:rsid w:val="00625742"/>
    <w:rsid w:val="00630196"/>
    <w:rsid w:val="0063035B"/>
    <w:rsid w:val="0063188D"/>
    <w:rsid w:val="00632A04"/>
    <w:rsid w:val="00634092"/>
    <w:rsid w:val="0063603C"/>
    <w:rsid w:val="00636469"/>
    <w:rsid w:val="006367CB"/>
    <w:rsid w:val="00637ED7"/>
    <w:rsid w:val="00640537"/>
    <w:rsid w:val="00640976"/>
    <w:rsid w:val="00642C14"/>
    <w:rsid w:val="00643753"/>
    <w:rsid w:val="00644AA4"/>
    <w:rsid w:val="00644CF3"/>
    <w:rsid w:val="00645DA7"/>
    <w:rsid w:val="00650FB1"/>
    <w:rsid w:val="00652566"/>
    <w:rsid w:val="00653DEF"/>
    <w:rsid w:val="00655346"/>
    <w:rsid w:val="006572CF"/>
    <w:rsid w:val="006605E1"/>
    <w:rsid w:val="006609C8"/>
    <w:rsid w:val="00660C36"/>
    <w:rsid w:val="0066108D"/>
    <w:rsid w:val="00661738"/>
    <w:rsid w:val="0066324A"/>
    <w:rsid w:val="00664336"/>
    <w:rsid w:val="006662B3"/>
    <w:rsid w:val="00666D1A"/>
    <w:rsid w:val="00666ED7"/>
    <w:rsid w:val="00670931"/>
    <w:rsid w:val="006737C9"/>
    <w:rsid w:val="00673ABF"/>
    <w:rsid w:val="006763D9"/>
    <w:rsid w:val="006776A0"/>
    <w:rsid w:val="0068007B"/>
    <w:rsid w:val="00682049"/>
    <w:rsid w:val="00684926"/>
    <w:rsid w:val="006859DD"/>
    <w:rsid w:val="006860C8"/>
    <w:rsid w:val="006862A9"/>
    <w:rsid w:val="0069118F"/>
    <w:rsid w:val="0069334B"/>
    <w:rsid w:val="00693582"/>
    <w:rsid w:val="00697B24"/>
    <w:rsid w:val="006A1820"/>
    <w:rsid w:val="006A1FEE"/>
    <w:rsid w:val="006A207E"/>
    <w:rsid w:val="006A2E26"/>
    <w:rsid w:val="006A4FC3"/>
    <w:rsid w:val="006A5134"/>
    <w:rsid w:val="006A5253"/>
    <w:rsid w:val="006A7779"/>
    <w:rsid w:val="006A7CAC"/>
    <w:rsid w:val="006B0460"/>
    <w:rsid w:val="006B086F"/>
    <w:rsid w:val="006B0CD9"/>
    <w:rsid w:val="006B0E12"/>
    <w:rsid w:val="006B0E41"/>
    <w:rsid w:val="006B2E5C"/>
    <w:rsid w:val="006B3833"/>
    <w:rsid w:val="006B3C3A"/>
    <w:rsid w:val="006B5369"/>
    <w:rsid w:val="006B7217"/>
    <w:rsid w:val="006C3D78"/>
    <w:rsid w:val="006C4D51"/>
    <w:rsid w:val="006C5096"/>
    <w:rsid w:val="006D1ED7"/>
    <w:rsid w:val="006D2B5B"/>
    <w:rsid w:val="006D313F"/>
    <w:rsid w:val="006D36C8"/>
    <w:rsid w:val="006D4891"/>
    <w:rsid w:val="006D49B5"/>
    <w:rsid w:val="006D4E2A"/>
    <w:rsid w:val="006D7885"/>
    <w:rsid w:val="006E03F5"/>
    <w:rsid w:val="006E1767"/>
    <w:rsid w:val="006F13B7"/>
    <w:rsid w:val="006F2970"/>
    <w:rsid w:val="006F308A"/>
    <w:rsid w:val="006F3C2C"/>
    <w:rsid w:val="006F70AF"/>
    <w:rsid w:val="007001F8"/>
    <w:rsid w:val="0070104D"/>
    <w:rsid w:val="00702BFB"/>
    <w:rsid w:val="0070352A"/>
    <w:rsid w:val="0070472E"/>
    <w:rsid w:val="00705597"/>
    <w:rsid w:val="007061DB"/>
    <w:rsid w:val="00706988"/>
    <w:rsid w:val="00707149"/>
    <w:rsid w:val="007102F5"/>
    <w:rsid w:val="00710CA3"/>
    <w:rsid w:val="00713A42"/>
    <w:rsid w:val="00713C62"/>
    <w:rsid w:val="007155AD"/>
    <w:rsid w:val="00716C41"/>
    <w:rsid w:val="00720078"/>
    <w:rsid w:val="007214D6"/>
    <w:rsid w:val="00724293"/>
    <w:rsid w:val="00726329"/>
    <w:rsid w:val="007265BC"/>
    <w:rsid w:val="00726912"/>
    <w:rsid w:val="0072790D"/>
    <w:rsid w:val="00727CA8"/>
    <w:rsid w:val="00731570"/>
    <w:rsid w:val="00732ADB"/>
    <w:rsid w:val="007333B8"/>
    <w:rsid w:val="00733662"/>
    <w:rsid w:val="007345FE"/>
    <w:rsid w:val="00735D9A"/>
    <w:rsid w:val="00740728"/>
    <w:rsid w:val="00742128"/>
    <w:rsid w:val="00743279"/>
    <w:rsid w:val="00750A28"/>
    <w:rsid w:val="00751119"/>
    <w:rsid w:val="0075243A"/>
    <w:rsid w:val="007524A4"/>
    <w:rsid w:val="007531C2"/>
    <w:rsid w:val="007531F2"/>
    <w:rsid w:val="0075433F"/>
    <w:rsid w:val="00754F17"/>
    <w:rsid w:val="0075624B"/>
    <w:rsid w:val="00756C41"/>
    <w:rsid w:val="007571F3"/>
    <w:rsid w:val="00760A47"/>
    <w:rsid w:val="00761F9C"/>
    <w:rsid w:val="00763C10"/>
    <w:rsid w:val="00766288"/>
    <w:rsid w:val="0077202B"/>
    <w:rsid w:val="00772501"/>
    <w:rsid w:val="0077305E"/>
    <w:rsid w:val="00773735"/>
    <w:rsid w:val="00773AAB"/>
    <w:rsid w:val="007761D5"/>
    <w:rsid w:val="00781451"/>
    <w:rsid w:val="00782CA7"/>
    <w:rsid w:val="00784681"/>
    <w:rsid w:val="0078700F"/>
    <w:rsid w:val="00787AD4"/>
    <w:rsid w:val="00787E70"/>
    <w:rsid w:val="00791432"/>
    <w:rsid w:val="00791D24"/>
    <w:rsid w:val="00793502"/>
    <w:rsid w:val="00793A5C"/>
    <w:rsid w:val="00793ADF"/>
    <w:rsid w:val="00797948"/>
    <w:rsid w:val="007A1522"/>
    <w:rsid w:val="007A241C"/>
    <w:rsid w:val="007A4D07"/>
    <w:rsid w:val="007A7005"/>
    <w:rsid w:val="007B03A6"/>
    <w:rsid w:val="007B1AA4"/>
    <w:rsid w:val="007B1F8D"/>
    <w:rsid w:val="007B2842"/>
    <w:rsid w:val="007B5222"/>
    <w:rsid w:val="007B586B"/>
    <w:rsid w:val="007B5FD2"/>
    <w:rsid w:val="007B67FD"/>
    <w:rsid w:val="007B6B45"/>
    <w:rsid w:val="007B6EBD"/>
    <w:rsid w:val="007C1906"/>
    <w:rsid w:val="007C2759"/>
    <w:rsid w:val="007C2ED8"/>
    <w:rsid w:val="007C3118"/>
    <w:rsid w:val="007C31B2"/>
    <w:rsid w:val="007C346C"/>
    <w:rsid w:val="007C55A4"/>
    <w:rsid w:val="007C6017"/>
    <w:rsid w:val="007C6AE7"/>
    <w:rsid w:val="007D23BD"/>
    <w:rsid w:val="007D300F"/>
    <w:rsid w:val="007D4CC5"/>
    <w:rsid w:val="007D593D"/>
    <w:rsid w:val="007D622E"/>
    <w:rsid w:val="007D77A7"/>
    <w:rsid w:val="007D7847"/>
    <w:rsid w:val="007E126D"/>
    <w:rsid w:val="007E1E1E"/>
    <w:rsid w:val="007E2029"/>
    <w:rsid w:val="007E3142"/>
    <w:rsid w:val="007E4000"/>
    <w:rsid w:val="007E6544"/>
    <w:rsid w:val="007E6931"/>
    <w:rsid w:val="007F1E77"/>
    <w:rsid w:val="007F256C"/>
    <w:rsid w:val="007F352C"/>
    <w:rsid w:val="007F4722"/>
    <w:rsid w:val="007F483C"/>
    <w:rsid w:val="007F51DC"/>
    <w:rsid w:val="007F7282"/>
    <w:rsid w:val="0080028A"/>
    <w:rsid w:val="008002BE"/>
    <w:rsid w:val="00804011"/>
    <w:rsid w:val="00806404"/>
    <w:rsid w:val="00806B12"/>
    <w:rsid w:val="0081032B"/>
    <w:rsid w:val="00810481"/>
    <w:rsid w:val="00810EF2"/>
    <w:rsid w:val="0081144E"/>
    <w:rsid w:val="00816A7D"/>
    <w:rsid w:val="00820038"/>
    <w:rsid w:val="00820080"/>
    <w:rsid w:val="00820333"/>
    <w:rsid w:val="008218BC"/>
    <w:rsid w:val="008221E8"/>
    <w:rsid w:val="00822D42"/>
    <w:rsid w:val="008254B3"/>
    <w:rsid w:val="008257BA"/>
    <w:rsid w:val="00825FF8"/>
    <w:rsid w:val="00826B17"/>
    <w:rsid w:val="008306D0"/>
    <w:rsid w:val="00832E4C"/>
    <w:rsid w:val="0083516E"/>
    <w:rsid w:val="008366A3"/>
    <w:rsid w:val="008407E9"/>
    <w:rsid w:val="008415AD"/>
    <w:rsid w:val="0084168B"/>
    <w:rsid w:val="00841ADE"/>
    <w:rsid w:val="00842DE8"/>
    <w:rsid w:val="00842DF3"/>
    <w:rsid w:val="00842F60"/>
    <w:rsid w:val="00842FA5"/>
    <w:rsid w:val="008437E4"/>
    <w:rsid w:val="00843843"/>
    <w:rsid w:val="008461B1"/>
    <w:rsid w:val="00846598"/>
    <w:rsid w:val="00846D96"/>
    <w:rsid w:val="00851B26"/>
    <w:rsid w:val="00852651"/>
    <w:rsid w:val="00852B74"/>
    <w:rsid w:val="00852EB8"/>
    <w:rsid w:val="00854D19"/>
    <w:rsid w:val="008605D3"/>
    <w:rsid w:val="00861EE1"/>
    <w:rsid w:val="0086271B"/>
    <w:rsid w:val="00864451"/>
    <w:rsid w:val="0086469E"/>
    <w:rsid w:val="008655FF"/>
    <w:rsid w:val="00866839"/>
    <w:rsid w:val="00870876"/>
    <w:rsid w:val="008714FF"/>
    <w:rsid w:val="0087196F"/>
    <w:rsid w:val="008734EC"/>
    <w:rsid w:val="0087515A"/>
    <w:rsid w:val="0087581B"/>
    <w:rsid w:val="00876E07"/>
    <w:rsid w:val="0087754F"/>
    <w:rsid w:val="00877710"/>
    <w:rsid w:val="00877B1A"/>
    <w:rsid w:val="0088071A"/>
    <w:rsid w:val="008811CA"/>
    <w:rsid w:val="00881FCA"/>
    <w:rsid w:val="008826E2"/>
    <w:rsid w:val="0088488F"/>
    <w:rsid w:val="00890194"/>
    <w:rsid w:val="00890269"/>
    <w:rsid w:val="008903E1"/>
    <w:rsid w:val="00891464"/>
    <w:rsid w:val="00891527"/>
    <w:rsid w:val="00892AE6"/>
    <w:rsid w:val="00893952"/>
    <w:rsid w:val="00895029"/>
    <w:rsid w:val="00895301"/>
    <w:rsid w:val="00895B9E"/>
    <w:rsid w:val="00895E50"/>
    <w:rsid w:val="008968EE"/>
    <w:rsid w:val="008A00E6"/>
    <w:rsid w:val="008A05D2"/>
    <w:rsid w:val="008A0B9B"/>
    <w:rsid w:val="008A1669"/>
    <w:rsid w:val="008A358E"/>
    <w:rsid w:val="008A4FF2"/>
    <w:rsid w:val="008B3D12"/>
    <w:rsid w:val="008B3D21"/>
    <w:rsid w:val="008B7154"/>
    <w:rsid w:val="008C019B"/>
    <w:rsid w:val="008C1511"/>
    <w:rsid w:val="008C171A"/>
    <w:rsid w:val="008C2327"/>
    <w:rsid w:val="008C3B96"/>
    <w:rsid w:val="008C4AE9"/>
    <w:rsid w:val="008C592D"/>
    <w:rsid w:val="008C5AA5"/>
    <w:rsid w:val="008C7868"/>
    <w:rsid w:val="008D190A"/>
    <w:rsid w:val="008D6C89"/>
    <w:rsid w:val="008E1B80"/>
    <w:rsid w:val="008E1C2D"/>
    <w:rsid w:val="008E2009"/>
    <w:rsid w:val="008E3D72"/>
    <w:rsid w:val="008E4CAA"/>
    <w:rsid w:val="008E4F15"/>
    <w:rsid w:val="008E5925"/>
    <w:rsid w:val="008E5B1A"/>
    <w:rsid w:val="008F0937"/>
    <w:rsid w:val="008F0CC9"/>
    <w:rsid w:val="008F20E0"/>
    <w:rsid w:val="008F3075"/>
    <w:rsid w:val="008F3F87"/>
    <w:rsid w:val="008F45ED"/>
    <w:rsid w:val="008F4ADA"/>
    <w:rsid w:val="008F4EEB"/>
    <w:rsid w:val="008F6BE5"/>
    <w:rsid w:val="008F79A2"/>
    <w:rsid w:val="0090150E"/>
    <w:rsid w:val="0090183F"/>
    <w:rsid w:val="009048D0"/>
    <w:rsid w:val="00904A7E"/>
    <w:rsid w:val="00905318"/>
    <w:rsid w:val="00906961"/>
    <w:rsid w:val="009077AB"/>
    <w:rsid w:val="009103BA"/>
    <w:rsid w:val="00910887"/>
    <w:rsid w:val="00910A48"/>
    <w:rsid w:val="00912841"/>
    <w:rsid w:val="009128BF"/>
    <w:rsid w:val="00912A80"/>
    <w:rsid w:val="009140C5"/>
    <w:rsid w:val="00914405"/>
    <w:rsid w:val="00916697"/>
    <w:rsid w:val="0091754A"/>
    <w:rsid w:val="00917A16"/>
    <w:rsid w:val="00920493"/>
    <w:rsid w:val="009215F5"/>
    <w:rsid w:val="009227FC"/>
    <w:rsid w:val="009234A1"/>
    <w:rsid w:val="009237D5"/>
    <w:rsid w:val="009259DD"/>
    <w:rsid w:val="00926784"/>
    <w:rsid w:val="00927D2B"/>
    <w:rsid w:val="009308BF"/>
    <w:rsid w:val="00930D60"/>
    <w:rsid w:val="009323FE"/>
    <w:rsid w:val="009347BB"/>
    <w:rsid w:val="00935590"/>
    <w:rsid w:val="009357F0"/>
    <w:rsid w:val="00936167"/>
    <w:rsid w:val="00936437"/>
    <w:rsid w:val="00946151"/>
    <w:rsid w:val="0094643F"/>
    <w:rsid w:val="00947491"/>
    <w:rsid w:val="00947C61"/>
    <w:rsid w:val="0095062E"/>
    <w:rsid w:val="00951F54"/>
    <w:rsid w:val="0095210D"/>
    <w:rsid w:val="00953400"/>
    <w:rsid w:val="009571C7"/>
    <w:rsid w:val="00957418"/>
    <w:rsid w:val="009604D4"/>
    <w:rsid w:val="00961ED1"/>
    <w:rsid w:val="0096319E"/>
    <w:rsid w:val="009676BE"/>
    <w:rsid w:val="00971A58"/>
    <w:rsid w:val="00972618"/>
    <w:rsid w:val="00972AA3"/>
    <w:rsid w:val="009736EE"/>
    <w:rsid w:val="00974F07"/>
    <w:rsid w:val="00976048"/>
    <w:rsid w:val="0097651F"/>
    <w:rsid w:val="009805A6"/>
    <w:rsid w:val="00982177"/>
    <w:rsid w:val="00982178"/>
    <w:rsid w:val="00983D99"/>
    <w:rsid w:val="0098665C"/>
    <w:rsid w:val="00986855"/>
    <w:rsid w:val="00986C6C"/>
    <w:rsid w:val="009873AC"/>
    <w:rsid w:val="00987897"/>
    <w:rsid w:val="00987C8B"/>
    <w:rsid w:val="00995459"/>
    <w:rsid w:val="009967F7"/>
    <w:rsid w:val="00996EE1"/>
    <w:rsid w:val="00997F24"/>
    <w:rsid w:val="009A064C"/>
    <w:rsid w:val="009A114C"/>
    <w:rsid w:val="009A1390"/>
    <w:rsid w:val="009A17BA"/>
    <w:rsid w:val="009A1976"/>
    <w:rsid w:val="009A1FD7"/>
    <w:rsid w:val="009A3733"/>
    <w:rsid w:val="009A3AF7"/>
    <w:rsid w:val="009A4511"/>
    <w:rsid w:val="009A4530"/>
    <w:rsid w:val="009A5D79"/>
    <w:rsid w:val="009A6AFE"/>
    <w:rsid w:val="009B0D37"/>
    <w:rsid w:val="009B1C2B"/>
    <w:rsid w:val="009B1F2B"/>
    <w:rsid w:val="009B4AC3"/>
    <w:rsid w:val="009B5780"/>
    <w:rsid w:val="009B5B16"/>
    <w:rsid w:val="009C0380"/>
    <w:rsid w:val="009C1007"/>
    <w:rsid w:val="009C343B"/>
    <w:rsid w:val="009C35A9"/>
    <w:rsid w:val="009C35B7"/>
    <w:rsid w:val="009C53CC"/>
    <w:rsid w:val="009C5484"/>
    <w:rsid w:val="009C72D8"/>
    <w:rsid w:val="009C78EB"/>
    <w:rsid w:val="009D0E0D"/>
    <w:rsid w:val="009D1452"/>
    <w:rsid w:val="009D1DA0"/>
    <w:rsid w:val="009D1E70"/>
    <w:rsid w:val="009D4192"/>
    <w:rsid w:val="009D4826"/>
    <w:rsid w:val="009D4A64"/>
    <w:rsid w:val="009D779E"/>
    <w:rsid w:val="009E0F9B"/>
    <w:rsid w:val="009E1492"/>
    <w:rsid w:val="009E3A70"/>
    <w:rsid w:val="009E3EA2"/>
    <w:rsid w:val="009E68D3"/>
    <w:rsid w:val="009F1BD0"/>
    <w:rsid w:val="009F518F"/>
    <w:rsid w:val="009F5E47"/>
    <w:rsid w:val="009F614F"/>
    <w:rsid w:val="009F74E9"/>
    <w:rsid w:val="00A00199"/>
    <w:rsid w:val="00A03285"/>
    <w:rsid w:val="00A03CC7"/>
    <w:rsid w:val="00A049F6"/>
    <w:rsid w:val="00A052D5"/>
    <w:rsid w:val="00A07A01"/>
    <w:rsid w:val="00A10757"/>
    <w:rsid w:val="00A12632"/>
    <w:rsid w:val="00A12D42"/>
    <w:rsid w:val="00A158C9"/>
    <w:rsid w:val="00A160EA"/>
    <w:rsid w:val="00A21823"/>
    <w:rsid w:val="00A220AB"/>
    <w:rsid w:val="00A220BF"/>
    <w:rsid w:val="00A2320C"/>
    <w:rsid w:val="00A27DEC"/>
    <w:rsid w:val="00A27F17"/>
    <w:rsid w:val="00A3110F"/>
    <w:rsid w:val="00A341F4"/>
    <w:rsid w:val="00A357C4"/>
    <w:rsid w:val="00A35D1F"/>
    <w:rsid w:val="00A370A7"/>
    <w:rsid w:val="00A3751F"/>
    <w:rsid w:val="00A37C7E"/>
    <w:rsid w:val="00A43E2E"/>
    <w:rsid w:val="00A45A87"/>
    <w:rsid w:val="00A45DF0"/>
    <w:rsid w:val="00A45F0C"/>
    <w:rsid w:val="00A508D7"/>
    <w:rsid w:val="00A52C01"/>
    <w:rsid w:val="00A53F05"/>
    <w:rsid w:val="00A565A6"/>
    <w:rsid w:val="00A6036F"/>
    <w:rsid w:val="00A61AE9"/>
    <w:rsid w:val="00A634C5"/>
    <w:rsid w:val="00A64CC9"/>
    <w:rsid w:val="00A65A16"/>
    <w:rsid w:val="00A65D4D"/>
    <w:rsid w:val="00A66AC1"/>
    <w:rsid w:val="00A704E3"/>
    <w:rsid w:val="00A727F6"/>
    <w:rsid w:val="00A72D64"/>
    <w:rsid w:val="00A72FB0"/>
    <w:rsid w:val="00A73349"/>
    <w:rsid w:val="00A73CCC"/>
    <w:rsid w:val="00A73F7C"/>
    <w:rsid w:val="00A7476F"/>
    <w:rsid w:val="00A76139"/>
    <w:rsid w:val="00A764BB"/>
    <w:rsid w:val="00A76F44"/>
    <w:rsid w:val="00A773BC"/>
    <w:rsid w:val="00A8149B"/>
    <w:rsid w:val="00A81C3B"/>
    <w:rsid w:val="00A83353"/>
    <w:rsid w:val="00A84A20"/>
    <w:rsid w:val="00A84B6D"/>
    <w:rsid w:val="00A854D4"/>
    <w:rsid w:val="00A85DBA"/>
    <w:rsid w:val="00A87FA2"/>
    <w:rsid w:val="00A91D7D"/>
    <w:rsid w:val="00A96C46"/>
    <w:rsid w:val="00AA1512"/>
    <w:rsid w:val="00AA1833"/>
    <w:rsid w:val="00AA1A60"/>
    <w:rsid w:val="00AA22FE"/>
    <w:rsid w:val="00AA266A"/>
    <w:rsid w:val="00AA292F"/>
    <w:rsid w:val="00AA3856"/>
    <w:rsid w:val="00AA3A87"/>
    <w:rsid w:val="00AA45A4"/>
    <w:rsid w:val="00AA4734"/>
    <w:rsid w:val="00AA48A2"/>
    <w:rsid w:val="00AA544D"/>
    <w:rsid w:val="00AA629C"/>
    <w:rsid w:val="00AA67ED"/>
    <w:rsid w:val="00AA7C88"/>
    <w:rsid w:val="00AB4315"/>
    <w:rsid w:val="00AB50E9"/>
    <w:rsid w:val="00AB5ABF"/>
    <w:rsid w:val="00AB5BA2"/>
    <w:rsid w:val="00AB6109"/>
    <w:rsid w:val="00AB68A6"/>
    <w:rsid w:val="00AC17D7"/>
    <w:rsid w:val="00AC302D"/>
    <w:rsid w:val="00AC4B68"/>
    <w:rsid w:val="00AC5F31"/>
    <w:rsid w:val="00AC5FAE"/>
    <w:rsid w:val="00AC6129"/>
    <w:rsid w:val="00AC6DD5"/>
    <w:rsid w:val="00AC7131"/>
    <w:rsid w:val="00AC745A"/>
    <w:rsid w:val="00AC7975"/>
    <w:rsid w:val="00AC7CD8"/>
    <w:rsid w:val="00AD01F3"/>
    <w:rsid w:val="00AD033D"/>
    <w:rsid w:val="00AD2135"/>
    <w:rsid w:val="00AD3A79"/>
    <w:rsid w:val="00AD3B75"/>
    <w:rsid w:val="00AD3E63"/>
    <w:rsid w:val="00AD53DE"/>
    <w:rsid w:val="00AD65A9"/>
    <w:rsid w:val="00AD6AD1"/>
    <w:rsid w:val="00AE2ED2"/>
    <w:rsid w:val="00AE484C"/>
    <w:rsid w:val="00AE79AF"/>
    <w:rsid w:val="00AE7CA4"/>
    <w:rsid w:val="00AE7DDF"/>
    <w:rsid w:val="00AF18FE"/>
    <w:rsid w:val="00AF2EC8"/>
    <w:rsid w:val="00AF6633"/>
    <w:rsid w:val="00AF7384"/>
    <w:rsid w:val="00B005BB"/>
    <w:rsid w:val="00B02240"/>
    <w:rsid w:val="00B02323"/>
    <w:rsid w:val="00B0242A"/>
    <w:rsid w:val="00B03397"/>
    <w:rsid w:val="00B0613F"/>
    <w:rsid w:val="00B06613"/>
    <w:rsid w:val="00B111FF"/>
    <w:rsid w:val="00B137EF"/>
    <w:rsid w:val="00B1492A"/>
    <w:rsid w:val="00B1619A"/>
    <w:rsid w:val="00B1774C"/>
    <w:rsid w:val="00B17C0E"/>
    <w:rsid w:val="00B2039C"/>
    <w:rsid w:val="00B21393"/>
    <w:rsid w:val="00B25779"/>
    <w:rsid w:val="00B25E54"/>
    <w:rsid w:val="00B26EBD"/>
    <w:rsid w:val="00B27706"/>
    <w:rsid w:val="00B301FE"/>
    <w:rsid w:val="00B302E0"/>
    <w:rsid w:val="00B307DB"/>
    <w:rsid w:val="00B30AB4"/>
    <w:rsid w:val="00B313D5"/>
    <w:rsid w:val="00B31645"/>
    <w:rsid w:val="00B318F1"/>
    <w:rsid w:val="00B31B42"/>
    <w:rsid w:val="00B33114"/>
    <w:rsid w:val="00B33695"/>
    <w:rsid w:val="00B34026"/>
    <w:rsid w:val="00B35096"/>
    <w:rsid w:val="00B356A3"/>
    <w:rsid w:val="00B36B40"/>
    <w:rsid w:val="00B3732F"/>
    <w:rsid w:val="00B3751B"/>
    <w:rsid w:val="00B4019F"/>
    <w:rsid w:val="00B47499"/>
    <w:rsid w:val="00B504FB"/>
    <w:rsid w:val="00B51357"/>
    <w:rsid w:val="00B51A1D"/>
    <w:rsid w:val="00B54325"/>
    <w:rsid w:val="00B55096"/>
    <w:rsid w:val="00B569DC"/>
    <w:rsid w:val="00B56FCE"/>
    <w:rsid w:val="00B606E6"/>
    <w:rsid w:val="00B628E5"/>
    <w:rsid w:val="00B634AD"/>
    <w:rsid w:val="00B6721A"/>
    <w:rsid w:val="00B70027"/>
    <w:rsid w:val="00B731C5"/>
    <w:rsid w:val="00B7478D"/>
    <w:rsid w:val="00B76E66"/>
    <w:rsid w:val="00B773D7"/>
    <w:rsid w:val="00B806E4"/>
    <w:rsid w:val="00B817FC"/>
    <w:rsid w:val="00B82ECF"/>
    <w:rsid w:val="00B8487F"/>
    <w:rsid w:val="00B858BC"/>
    <w:rsid w:val="00B867F2"/>
    <w:rsid w:val="00B86F3D"/>
    <w:rsid w:val="00B9277A"/>
    <w:rsid w:val="00B92EA5"/>
    <w:rsid w:val="00B92F14"/>
    <w:rsid w:val="00B95C1F"/>
    <w:rsid w:val="00B96365"/>
    <w:rsid w:val="00B9642D"/>
    <w:rsid w:val="00BA22B1"/>
    <w:rsid w:val="00BA574E"/>
    <w:rsid w:val="00BA5E0D"/>
    <w:rsid w:val="00BA6273"/>
    <w:rsid w:val="00BA65FC"/>
    <w:rsid w:val="00BA6E26"/>
    <w:rsid w:val="00BB0F6E"/>
    <w:rsid w:val="00BB2C05"/>
    <w:rsid w:val="00BB4276"/>
    <w:rsid w:val="00BB48E1"/>
    <w:rsid w:val="00BB5261"/>
    <w:rsid w:val="00BB53D9"/>
    <w:rsid w:val="00BB5C2F"/>
    <w:rsid w:val="00BB7180"/>
    <w:rsid w:val="00BB7619"/>
    <w:rsid w:val="00BB793C"/>
    <w:rsid w:val="00BC0BE3"/>
    <w:rsid w:val="00BC12A4"/>
    <w:rsid w:val="00BC295A"/>
    <w:rsid w:val="00BC345F"/>
    <w:rsid w:val="00BC466A"/>
    <w:rsid w:val="00BC4BDE"/>
    <w:rsid w:val="00BC5316"/>
    <w:rsid w:val="00BC792A"/>
    <w:rsid w:val="00BD0AF3"/>
    <w:rsid w:val="00BD0B91"/>
    <w:rsid w:val="00BD1EA8"/>
    <w:rsid w:val="00BD2EF8"/>
    <w:rsid w:val="00BD3CEF"/>
    <w:rsid w:val="00BD3D12"/>
    <w:rsid w:val="00BD58F9"/>
    <w:rsid w:val="00BD5BB5"/>
    <w:rsid w:val="00BD5BFD"/>
    <w:rsid w:val="00BD6506"/>
    <w:rsid w:val="00BD6539"/>
    <w:rsid w:val="00BD7279"/>
    <w:rsid w:val="00BE275E"/>
    <w:rsid w:val="00BE289F"/>
    <w:rsid w:val="00BE302F"/>
    <w:rsid w:val="00BE319C"/>
    <w:rsid w:val="00BE4D2E"/>
    <w:rsid w:val="00BE6598"/>
    <w:rsid w:val="00BE6A84"/>
    <w:rsid w:val="00BE73A3"/>
    <w:rsid w:val="00BF0255"/>
    <w:rsid w:val="00BF1324"/>
    <w:rsid w:val="00BF14CF"/>
    <w:rsid w:val="00BF2653"/>
    <w:rsid w:val="00BF2914"/>
    <w:rsid w:val="00BF4108"/>
    <w:rsid w:val="00BF5DA4"/>
    <w:rsid w:val="00C00D22"/>
    <w:rsid w:val="00C018E1"/>
    <w:rsid w:val="00C0630C"/>
    <w:rsid w:val="00C071A8"/>
    <w:rsid w:val="00C101EA"/>
    <w:rsid w:val="00C10A38"/>
    <w:rsid w:val="00C10A86"/>
    <w:rsid w:val="00C118D6"/>
    <w:rsid w:val="00C147AF"/>
    <w:rsid w:val="00C14A75"/>
    <w:rsid w:val="00C14C8B"/>
    <w:rsid w:val="00C154F1"/>
    <w:rsid w:val="00C17B76"/>
    <w:rsid w:val="00C20455"/>
    <w:rsid w:val="00C207A4"/>
    <w:rsid w:val="00C21DDD"/>
    <w:rsid w:val="00C220EA"/>
    <w:rsid w:val="00C23450"/>
    <w:rsid w:val="00C27234"/>
    <w:rsid w:val="00C27A0A"/>
    <w:rsid w:val="00C30042"/>
    <w:rsid w:val="00C3068A"/>
    <w:rsid w:val="00C30FBF"/>
    <w:rsid w:val="00C30FEA"/>
    <w:rsid w:val="00C31629"/>
    <w:rsid w:val="00C320B5"/>
    <w:rsid w:val="00C351DC"/>
    <w:rsid w:val="00C36F47"/>
    <w:rsid w:val="00C4163B"/>
    <w:rsid w:val="00C42051"/>
    <w:rsid w:val="00C43100"/>
    <w:rsid w:val="00C43FDC"/>
    <w:rsid w:val="00C44C66"/>
    <w:rsid w:val="00C44E7B"/>
    <w:rsid w:val="00C4531A"/>
    <w:rsid w:val="00C47C03"/>
    <w:rsid w:val="00C47FAB"/>
    <w:rsid w:val="00C50664"/>
    <w:rsid w:val="00C50D01"/>
    <w:rsid w:val="00C52B28"/>
    <w:rsid w:val="00C544E4"/>
    <w:rsid w:val="00C54F37"/>
    <w:rsid w:val="00C55398"/>
    <w:rsid w:val="00C5589B"/>
    <w:rsid w:val="00C56A8C"/>
    <w:rsid w:val="00C60A12"/>
    <w:rsid w:val="00C60C0A"/>
    <w:rsid w:val="00C6578C"/>
    <w:rsid w:val="00C66070"/>
    <w:rsid w:val="00C6623C"/>
    <w:rsid w:val="00C671DB"/>
    <w:rsid w:val="00C67A15"/>
    <w:rsid w:val="00C67A36"/>
    <w:rsid w:val="00C70028"/>
    <w:rsid w:val="00C72F30"/>
    <w:rsid w:val="00C72FD1"/>
    <w:rsid w:val="00C747B8"/>
    <w:rsid w:val="00C755E6"/>
    <w:rsid w:val="00C777B2"/>
    <w:rsid w:val="00C77A1E"/>
    <w:rsid w:val="00C82FC9"/>
    <w:rsid w:val="00C84416"/>
    <w:rsid w:val="00C853D8"/>
    <w:rsid w:val="00C8612D"/>
    <w:rsid w:val="00C86E98"/>
    <w:rsid w:val="00C877DD"/>
    <w:rsid w:val="00C901D4"/>
    <w:rsid w:val="00C918E2"/>
    <w:rsid w:val="00C92880"/>
    <w:rsid w:val="00C929FF"/>
    <w:rsid w:val="00C92B37"/>
    <w:rsid w:val="00C95AAC"/>
    <w:rsid w:val="00C95FCA"/>
    <w:rsid w:val="00C97A8E"/>
    <w:rsid w:val="00CA057E"/>
    <w:rsid w:val="00CA074D"/>
    <w:rsid w:val="00CA100A"/>
    <w:rsid w:val="00CA2144"/>
    <w:rsid w:val="00CA3A86"/>
    <w:rsid w:val="00CA444F"/>
    <w:rsid w:val="00CA4909"/>
    <w:rsid w:val="00CA4A45"/>
    <w:rsid w:val="00CA67DF"/>
    <w:rsid w:val="00CA76F7"/>
    <w:rsid w:val="00CB1847"/>
    <w:rsid w:val="00CB33FD"/>
    <w:rsid w:val="00CB371F"/>
    <w:rsid w:val="00CB3D57"/>
    <w:rsid w:val="00CB50CF"/>
    <w:rsid w:val="00CB5E0F"/>
    <w:rsid w:val="00CB624C"/>
    <w:rsid w:val="00CB7090"/>
    <w:rsid w:val="00CC0B04"/>
    <w:rsid w:val="00CC42E0"/>
    <w:rsid w:val="00CC4540"/>
    <w:rsid w:val="00CC597D"/>
    <w:rsid w:val="00CC6839"/>
    <w:rsid w:val="00CC6AC7"/>
    <w:rsid w:val="00CC7761"/>
    <w:rsid w:val="00CC77CF"/>
    <w:rsid w:val="00CD0237"/>
    <w:rsid w:val="00CD12E7"/>
    <w:rsid w:val="00CD1595"/>
    <w:rsid w:val="00CD1F52"/>
    <w:rsid w:val="00CD26AC"/>
    <w:rsid w:val="00CD3623"/>
    <w:rsid w:val="00CD37D4"/>
    <w:rsid w:val="00CD3896"/>
    <w:rsid w:val="00CD63B8"/>
    <w:rsid w:val="00CD7107"/>
    <w:rsid w:val="00CE1239"/>
    <w:rsid w:val="00CE142B"/>
    <w:rsid w:val="00CE2CCE"/>
    <w:rsid w:val="00CE4DAD"/>
    <w:rsid w:val="00CE6BFF"/>
    <w:rsid w:val="00CE7E2A"/>
    <w:rsid w:val="00CF0FAB"/>
    <w:rsid w:val="00CF399D"/>
    <w:rsid w:val="00CF420E"/>
    <w:rsid w:val="00CF46D3"/>
    <w:rsid w:val="00CF4E7C"/>
    <w:rsid w:val="00CF5372"/>
    <w:rsid w:val="00CF6775"/>
    <w:rsid w:val="00CF6E5B"/>
    <w:rsid w:val="00D010E4"/>
    <w:rsid w:val="00D01EEA"/>
    <w:rsid w:val="00D04DA4"/>
    <w:rsid w:val="00D05494"/>
    <w:rsid w:val="00D06D55"/>
    <w:rsid w:val="00D075EB"/>
    <w:rsid w:val="00D111C4"/>
    <w:rsid w:val="00D11A14"/>
    <w:rsid w:val="00D11BC4"/>
    <w:rsid w:val="00D12B6A"/>
    <w:rsid w:val="00D15E88"/>
    <w:rsid w:val="00D166CA"/>
    <w:rsid w:val="00D2116C"/>
    <w:rsid w:val="00D21319"/>
    <w:rsid w:val="00D21F8F"/>
    <w:rsid w:val="00D242FB"/>
    <w:rsid w:val="00D2475E"/>
    <w:rsid w:val="00D2489E"/>
    <w:rsid w:val="00D24F01"/>
    <w:rsid w:val="00D25BEA"/>
    <w:rsid w:val="00D268CB"/>
    <w:rsid w:val="00D27A83"/>
    <w:rsid w:val="00D30A84"/>
    <w:rsid w:val="00D30CFB"/>
    <w:rsid w:val="00D31A73"/>
    <w:rsid w:val="00D32256"/>
    <w:rsid w:val="00D3246D"/>
    <w:rsid w:val="00D324F1"/>
    <w:rsid w:val="00D32525"/>
    <w:rsid w:val="00D3289D"/>
    <w:rsid w:val="00D339CC"/>
    <w:rsid w:val="00D35373"/>
    <w:rsid w:val="00D377F3"/>
    <w:rsid w:val="00D4377B"/>
    <w:rsid w:val="00D43898"/>
    <w:rsid w:val="00D43C92"/>
    <w:rsid w:val="00D456CB"/>
    <w:rsid w:val="00D45745"/>
    <w:rsid w:val="00D45ECE"/>
    <w:rsid w:val="00D46CE2"/>
    <w:rsid w:val="00D5207C"/>
    <w:rsid w:val="00D5528B"/>
    <w:rsid w:val="00D55983"/>
    <w:rsid w:val="00D55E8A"/>
    <w:rsid w:val="00D567FF"/>
    <w:rsid w:val="00D60020"/>
    <w:rsid w:val="00D600F5"/>
    <w:rsid w:val="00D60921"/>
    <w:rsid w:val="00D612A9"/>
    <w:rsid w:val="00D624A7"/>
    <w:rsid w:val="00D62B6F"/>
    <w:rsid w:val="00D657B6"/>
    <w:rsid w:val="00D658C2"/>
    <w:rsid w:val="00D66F7A"/>
    <w:rsid w:val="00D670DE"/>
    <w:rsid w:val="00D7174C"/>
    <w:rsid w:val="00D72882"/>
    <w:rsid w:val="00D73D72"/>
    <w:rsid w:val="00D741E7"/>
    <w:rsid w:val="00D75673"/>
    <w:rsid w:val="00D769E0"/>
    <w:rsid w:val="00D77404"/>
    <w:rsid w:val="00D77D29"/>
    <w:rsid w:val="00D81EA1"/>
    <w:rsid w:val="00D82A0C"/>
    <w:rsid w:val="00D84350"/>
    <w:rsid w:val="00D849F4"/>
    <w:rsid w:val="00D8613A"/>
    <w:rsid w:val="00D8671E"/>
    <w:rsid w:val="00D86B7B"/>
    <w:rsid w:val="00D874AD"/>
    <w:rsid w:val="00D9005E"/>
    <w:rsid w:val="00D90376"/>
    <w:rsid w:val="00D91859"/>
    <w:rsid w:val="00D91E04"/>
    <w:rsid w:val="00D93D80"/>
    <w:rsid w:val="00D94D06"/>
    <w:rsid w:val="00D94EED"/>
    <w:rsid w:val="00D95269"/>
    <w:rsid w:val="00DA0A8B"/>
    <w:rsid w:val="00DA2351"/>
    <w:rsid w:val="00DA2363"/>
    <w:rsid w:val="00DA2A4C"/>
    <w:rsid w:val="00DA506D"/>
    <w:rsid w:val="00DA51C8"/>
    <w:rsid w:val="00DA59AC"/>
    <w:rsid w:val="00DA62F6"/>
    <w:rsid w:val="00DB040C"/>
    <w:rsid w:val="00DB1201"/>
    <w:rsid w:val="00DB1C58"/>
    <w:rsid w:val="00DB227D"/>
    <w:rsid w:val="00DB2EA4"/>
    <w:rsid w:val="00DB505C"/>
    <w:rsid w:val="00DB5326"/>
    <w:rsid w:val="00DB54F6"/>
    <w:rsid w:val="00DC0F4E"/>
    <w:rsid w:val="00DC28B2"/>
    <w:rsid w:val="00DC455B"/>
    <w:rsid w:val="00DC7B7E"/>
    <w:rsid w:val="00DD31D3"/>
    <w:rsid w:val="00DD3E8A"/>
    <w:rsid w:val="00DD45C0"/>
    <w:rsid w:val="00DD4A57"/>
    <w:rsid w:val="00DD4E1F"/>
    <w:rsid w:val="00DD4FF6"/>
    <w:rsid w:val="00DD6846"/>
    <w:rsid w:val="00DE0257"/>
    <w:rsid w:val="00DE16D7"/>
    <w:rsid w:val="00DE2D60"/>
    <w:rsid w:val="00DE362F"/>
    <w:rsid w:val="00DE52D5"/>
    <w:rsid w:val="00DE5712"/>
    <w:rsid w:val="00DE7221"/>
    <w:rsid w:val="00DE7465"/>
    <w:rsid w:val="00DE7E1E"/>
    <w:rsid w:val="00DF03CC"/>
    <w:rsid w:val="00DF34EE"/>
    <w:rsid w:val="00DF58F8"/>
    <w:rsid w:val="00E02069"/>
    <w:rsid w:val="00E022B7"/>
    <w:rsid w:val="00E055A7"/>
    <w:rsid w:val="00E0590A"/>
    <w:rsid w:val="00E05D9A"/>
    <w:rsid w:val="00E06B26"/>
    <w:rsid w:val="00E06F59"/>
    <w:rsid w:val="00E1057B"/>
    <w:rsid w:val="00E13558"/>
    <w:rsid w:val="00E13E1F"/>
    <w:rsid w:val="00E14098"/>
    <w:rsid w:val="00E1515C"/>
    <w:rsid w:val="00E17F8C"/>
    <w:rsid w:val="00E24C49"/>
    <w:rsid w:val="00E250FD"/>
    <w:rsid w:val="00E26866"/>
    <w:rsid w:val="00E26C60"/>
    <w:rsid w:val="00E2704F"/>
    <w:rsid w:val="00E27CC4"/>
    <w:rsid w:val="00E31C17"/>
    <w:rsid w:val="00E328E9"/>
    <w:rsid w:val="00E3308E"/>
    <w:rsid w:val="00E341A9"/>
    <w:rsid w:val="00E35512"/>
    <w:rsid w:val="00E35537"/>
    <w:rsid w:val="00E357F7"/>
    <w:rsid w:val="00E363BD"/>
    <w:rsid w:val="00E430B9"/>
    <w:rsid w:val="00E43EF9"/>
    <w:rsid w:val="00E4434F"/>
    <w:rsid w:val="00E44BE2"/>
    <w:rsid w:val="00E45142"/>
    <w:rsid w:val="00E47D91"/>
    <w:rsid w:val="00E50506"/>
    <w:rsid w:val="00E5065E"/>
    <w:rsid w:val="00E51EEA"/>
    <w:rsid w:val="00E520FC"/>
    <w:rsid w:val="00E55A45"/>
    <w:rsid w:val="00E55DDD"/>
    <w:rsid w:val="00E56BB9"/>
    <w:rsid w:val="00E570A1"/>
    <w:rsid w:val="00E57899"/>
    <w:rsid w:val="00E57D6C"/>
    <w:rsid w:val="00E57F4A"/>
    <w:rsid w:val="00E61F87"/>
    <w:rsid w:val="00E644D4"/>
    <w:rsid w:val="00E67112"/>
    <w:rsid w:val="00E6715F"/>
    <w:rsid w:val="00E67A8F"/>
    <w:rsid w:val="00E67D3E"/>
    <w:rsid w:val="00E702D9"/>
    <w:rsid w:val="00E70662"/>
    <w:rsid w:val="00E72116"/>
    <w:rsid w:val="00E73881"/>
    <w:rsid w:val="00E73F22"/>
    <w:rsid w:val="00E7405A"/>
    <w:rsid w:val="00E742E8"/>
    <w:rsid w:val="00E74420"/>
    <w:rsid w:val="00E74A83"/>
    <w:rsid w:val="00E7635C"/>
    <w:rsid w:val="00E80081"/>
    <w:rsid w:val="00E808F1"/>
    <w:rsid w:val="00E81E32"/>
    <w:rsid w:val="00E8218C"/>
    <w:rsid w:val="00E82EEC"/>
    <w:rsid w:val="00E8337B"/>
    <w:rsid w:val="00E83A8C"/>
    <w:rsid w:val="00E84352"/>
    <w:rsid w:val="00E845B2"/>
    <w:rsid w:val="00E8701C"/>
    <w:rsid w:val="00E90A87"/>
    <w:rsid w:val="00E911F9"/>
    <w:rsid w:val="00E91CC9"/>
    <w:rsid w:val="00E922E0"/>
    <w:rsid w:val="00E925A4"/>
    <w:rsid w:val="00E929A4"/>
    <w:rsid w:val="00E937FA"/>
    <w:rsid w:val="00E95517"/>
    <w:rsid w:val="00E95848"/>
    <w:rsid w:val="00E96ED7"/>
    <w:rsid w:val="00E978C8"/>
    <w:rsid w:val="00E97A8B"/>
    <w:rsid w:val="00E97C74"/>
    <w:rsid w:val="00EA16E6"/>
    <w:rsid w:val="00EA2E4F"/>
    <w:rsid w:val="00EA3DBB"/>
    <w:rsid w:val="00EA4C7A"/>
    <w:rsid w:val="00EA526B"/>
    <w:rsid w:val="00EA52CA"/>
    <w:rsid w:val="00EA5BCA"/>
    <w:rsid w:val="00EA6074"/>
    <w:rsid w:val="00EA7B9B"/>
    <w:rsid w:val="00EB0FEC"/>
    <w:rsid w:val="00EB1313"/>
    <w:rsid w:val="00EB2051"/>
    <w:rsid w:val="00EB285D"/>
    <w:rsid w:val="00EB36EC"/>
    <w:rsid w:val="00EB403E"/>
    <w:rsid w:val="00EB48F3"/>
    <w:rsid w:val="00EB4DCA"/>
    <w:rsid w:val="00EB5020"/>
    <w:rsid w:val="00EB56F8"/>
    <w:rsid w:val="00EB650C"/>
    <w:rsid w:val="00EB68EF"/>
    <w:rsid w:val="00EC04A6"/>
    <w:rsid w:val="00EC190F"/>
    <w:rsid w:val="00EC1A34"/>
    <w:rsid w:val="00EC2D55"/>
    <w:rsid w:val="00EC4B32"/>
    <w:rsid w:val="00EC5BE3"/>
    <w:rsid w:val="00EC63AF"/>
    <w:rsid w:val="00EC65D2"/>
    <w:rsid w:val="00EC65F6"/>
    <w:rsid w:val="00EC7494"/>
    <w:rsid w:val="00ED026C"/>
    <w:rsid w:val="00ED1087"/>
    <w:rsid w:val="00ED109A"/>
    <w:rsid w:val="00ED1BEF"/>
    <w:rsid w:val="00ED23DA"/>
    <w:rsid w:val="00ED2A0F"/>
    <w:rsid w:val="00ED2AAE"/>
    <w:rsid w:val="00ED4221"/>
    <w:rsid w:val="00ED6FBE"/>
    <w:rsid w:val="00EE06EA"/>
    <w:rsid w:val="00EE139F"/>
    <w:rsid w:val="00EE13EB"/>
    <w:rsid w:val="00EE336A"/>
    <w:rsid w:val="00EE3AF5"/>
    <w:rsid w:val="00EE3B43"/>
    <w:rsid w:val="00EE3CB4"/>
    <w:rsid w:val="00EE4469"/>
    <w:rsid w:val="00EE7301"/>
    <w:rsid w:val="00EF102B"/>
    <w:rsid w:val="00EF1036"/>
    <w:rsid w:val="00EF2E40"/>
    <w:rsid w:val="00EF3A9C"/>
    <w:rsid w:val="00EF51ED"/>
    <w:rsid w:val="00EF64A3"/>
    <w:rsid w:val="00EF6B57"/>
    <w:rsid w:val="00F016B9"/>
    <w:rsid w:val="00F01AA8"/>
    <w:rsid w:val="00F01D08"/>
    <w:rsid w:val="00F02620"/>
    <w:rsid w:val="00F029B1"/>
    <w:rsid w:val="00F04E66"/>
    <w:rsid w:val="00F05DF1"/>
    <w:rsid w:val="00F06663"/>
    <w:rsid w:val="00F07AC3"/>
    <w:rsid w:val="00F10D07"/>
    <w:rsid w:val="00F117BD"/>
    <w:rsid w:val="00F11D61"/>
    <w:rsid w:val="00F13081"/>
    <w:rsid w:val="00F20862"/>
    <w:rsid w:val="00F21346"/>
    <w:rsid w:val="00F21938"/>
    <w:rsid w:val="00F236EE"/>
    <w:rsid w:val="00F239BB"/>
    <w:rsid w:val="00F23B60"/>
    <w:rsid w:val="00F23BF5"/>
    <w:rsid w:val="00F242AE"/>
    <w:rsid w:val="00F254C4"/>
    <w:rsid w:val="00F257CB"/>
    <w:rsid w:val="00F25888"/>
    <w:rsid w:val="00F25FF4"/>
    <w:rsid w:val="00F263B3"/>
    <w:rsid w:val="00F26D4D"/>
    <w:rsid w:val="00F273B8"/>
    <w:rsid w:val="00F30280"/>
    <w:rsid w:val="00F32398"/>
    <w:rsid w:val="00F3290C"/>
    <w:rsid w:val="00F34464"/>
    <w:rsid w:val="00F35729"/>
    <w:rsid w:val="00F373AE"/>
    <w:rsid w:val="00F37B44"/>
    <w:rsid w:val="00F40679"/>
    <w:rsid w:val="00F422BB"/>
    <w:rsid w:val="00F43719"/>
    <w:rsid w:val="00F43FF2"/>
    <w:rsid w:val="00F5104B"/>
    <w:rsid w:val="00F5117D"/>
    <w:rsid w:val="00F51486"/>
    <w:rsid w:val="00F51D82"/>
    <w:rsid w:val="00F52D01"/>
    <w:rsid w:val="00F554F8"/>
    <w:rsid w:val="00F56A18"/>
    <w:rsid w:val="00F600CE"/>
    <w:rsid w:val="00F60891"/>
    <w:rsid w:val="00F63010"/>
    <w:rsid w:val="00F6415B"/>
    <w:rsid w:val="00F64AF6"/>
    <w:rsid w:val="00F65936"/>
    <w:rsid w:val="00F706C1"/>
    <w:rsid w:val="00F7109B"/>
    <w:rsid w:val="00F73042"/>
    <w:rsid w:val="00F73445"/>
    <w:rsid w:val="00F74B49"/>
    <w:rsid w:val="00F761C0"/>
    <w:rsid w:val="00F76778"/>
    <w:rsid w:val="00F77EB3"/>
    <w:rsid w:val="00F8180A"/>
    <w:rsid w:val="00F81D1C"/>
    <w:rsid w:val="00F82047"/>
    <w:rsid w:val="00F82C32"/>
    <w:rsid w:val="00F858C7"/>
    <w:rsid w:val="00F85F51"/>
    <w:rsid w:val="00F87203"/>
    <w:rsid w:val="00F8763F"/>
    <w:rsid w:val="00F87A55"/>
    <w:rsid w:val="00F87B5B"/>
    <w:rsid w:val="00F9052F"/>
    <w:rsid w:val="00F90A39"/>
    <w:rsid w:val="00F92A9B"/>
    <w:rsid w:val="00F92E5E"/>
    <w:rsid w:val="00F9488D"/>
    <w:rsid w:val="00F95924"/>
    <w:rsid w:val="00F95D9E"/>
    <w:rsid w:val="00F95EAA"/>
    <w:rsid w:val="00F963CC"/>
    <w:rsid w:val="00F9793A"/>
    <w:rsid w:val="00F97EF2"/>
    <w:rsid w:val="00FA0659"/>
    <w:rsid w:val="00FA07F0"/>
    <w:rsid w:val="00FA09B0"/>
    <w:rsid w:val="00FA241C"/>
    <w:rsid w:val="00FA6474"/>
    <w:rsid w:val="00FA6F9D"/>
    <w:rsid w:val="00FA7073"/>
    <w:rsid w:val="00FA7FB1"/>
    <w:rsid w:val="00FB0122"/>
    <w:rsid w:val="00FB088F"/>
    <w:rsid w:val="00FB11EE"/>
    <w:rsid w:val="00FB162E"/>
    <w:rsid w:val="00FB3DF0"/>
    <w:rsid w:val="00FB55DB"/>
    <w:rsid w:val="00FB5D0F"/>
    <w:rsid w:val="00FC54EE"/>
    <w:rsid w:val="00FC7F21"/>
    <w:rsid w:val="00FD0262"/>
    <w:rsid w:val="00FD243B"/>
    <w:rsid w:val="00FD4FBC"/>
    <w:rsid w:val="00FD6299"/>
    <w:rsid w:val="00FE07C9"/>
    <w:rsid w:val="00FE1723"/>
    <w:rsid w:val="00FE353C"/>
    <w:rsid w:val="00FE3A56"/>
    <w:rsid w:val="00FE4EB5"/>
    <w:rsid w:val="00FE5F85"/>
    <w:rsid w:val="00FE60F3"/>
    <w:rsid w:val="00FE7E1C"/>
    <w:rsid w:val="00FF05A6"/>
    <w:rsid w:val="00FF0958"/>
    <w:rsid w:val="00FF1A59"/>
    <w:rsid w:val="00FF4F6A"/>
    <w:rsid w:val="00FF555A"/>
    <w:rsid w:val="00FF5670"/>
    <w:rsid w:val="00FF5994"/>
    <w:rsid w:val="00FF61B8"/>
    <w:rsid w:val="00FF6BF3"/>
    <w:rsid w:val="00FF74A9"/>
    <w:rsid w:val="00FF7FAC"/>
    <w:rsid w:val="0C4D3DF7"/>
    <w:rsid w:val="3B089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6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9"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AD033D"/>
    <w:rPr>
      <w:sz w:val="24"/>
      <w:lang w:val="es-ES_tradnl"/>
    </w:rPr>
  </w:style>
  <w:style w:type="paragraph" w:styleId="Heading1">
    <w:name w:val="heading 1"/>
    <w:basedOn w:val="Normal"/>
    <w:next w:val="Normal"/>
    <w:qFormat/>
    <w:rsid w:val="00AD033D"/>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D033D"/>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D033D"/>
    <w:pPr>
      <w:keepNext/>
      <w:numPr>
        <w:ilvl w:val="2"/>
        <w:numId w:val="1"/>
      </w:numPr>
      <w:spacing w:before="240" w:after="60"/>
      <w:outlineLvl w:val="2"/>
    </w:pPr>
    <w:rPr>
      <w:rFonts w:ascii="Arial" w:hAnsi="Arial"/>
    </w:rPr>
  </w:style>
  <w:style w:type="paragraph" w:styleId="Heading4">
    <w:name w:val="heading 4"/>
    <w:basedOn w:val="Normal"/>
    <w:next w:val="Normal"/>
    <w:qFormat/>
    <w:rsid w:val="00AD033D"/>
    <w:pPr>
      <w:keepNext/>
      <w:numPr>
        <w:ilvl w:val="3"/>
        <w:numId w:val="1"/>
      </w:numPr>
      <w:spacing w:before="240" w:after="60"/>
      <w:outlineLvl w:val="3"/>
    </w:pPr>
    <w:rPr>
      <w:rFonts w:ascii="Arial" w:hAnsi="Arial"/>
      <w:b/>
    </w:rPr>
  </w:style>
  <w:style w:type="paragraph" w:styleId="Heading5">
    <w:name w:val="heading 5"/>
    <w:basedOn w:val="Normal"/>
    <w:next w:val="Normal"/>
    <w:qFormat/>
    <w:rsid w:val="00AD033D"/>
    <w:pPr>
      <w:numPr>
        <w:ilvl w:val="4"/>
        <w:numId w:val="1"/>
      </w:numPr>
      <w:spacing w:before="240" w:after="60"/>
      <w:outlineLvl w:val="4"/>
    </w:pPr>
    <w:rPr>
      <w:sz w:val="22"/>
    </w:rPr>
  </w:style>
  <w:style w:type="paragraph" w:styleId="Heading6">
    <w:name w:val="heading 6"/>
    <w:basedOn w:val="Normal"/>
    <w:next w:val="Normal"/>
    <w:qFormat/>
    <w:rsid w:val="00AD033D"/>
    <w:pPr>
      <w:numPr>
        <w:ilvl w:val="5"/>
        <w:numId w:val="1"/>
      </w:numPr>
      <w:spacing w:before="240" w:after="60"/>
      <w:outlineLvl w:val="5"/>
    </w:pPr>
    <w:rPr>
      <w:i/>
      <w:sz w:val="22"/>
    </w:rPr>
  </w:style>
  <w:style w:type="paragraph" w:styleId="Heading7">
    <w:name w:val="heading 7"/>
    <w:basedOn w:val="Normal"/>
    <w:next w:val="Normal"/>
    <w:qFormat/>
    <w:rsid w:val="00AD033D"/>
    <w:pPr>
      <w:numPr>
        <w:ilvl w:val="6"/>
        <w:numId w:val="1"/>
      </w:numPr>
      <w:spacing w:before="240" w:after="60"/>
      <w:outlineLvl w:val="6"/>
    </w:pPr>
    <w:rPr>
      <w:rFonts w:ascii="Arial" w:hAnsi="Arial"/>
    </w:rPr>
  </w:style>
  <w:style w:type="paragraph" w:styleId="Heading8">
    <w:name w:val="heading 8"/>
    <w:basedOn w:val="Normal"/>
    <w:next w:val="Normal"/>
    <w:qFormat/>
    <w:rsid w:val="00AD033D"/>
    <w:pPr>
      <w:numPr>
        <w:ilvl w:val="7"/>
        <w:numId w:val="1"/>
      </w:numPr>
      <w:spacing w:before="240" w:after="60"/>
      <w:outlineLvl w:val="7"/>
    </w:pPr>
    <w:rPr>
      <w:rFonts w:ascii="Arial" w:hAnsi="Arial"/>
      <w:i/>
    </w:rPr>
  </w:style>
  <w:style w:type="paragraph" w:styleId="Heading9">
    <w:name w:val="heading 9"/>
    <w:basedOn w:val="Normal"/>
    <w:next w:val="Normal"/>
    <w:qFormat/>
    <w:rsid w:val="00AD033D"/>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 w:customStyle="1">
    <w:name w:val="Chapter"/>
    <w:basedOn w:val="Normal"/>
    <w:next w:val="Normal"/>
    <w:qFormat/>
    <w:rsid w:val="0036456D"/>
    <w:pPr>
      <w:numPr>
        <w:numId w:val="3"/>
      </w:numPr>
      <w:tabs>
        <w:tab w:val="left" w:pos="1440"/>
      </w:tabs>
      <w:spacing w:before="240" w:after="240"/>
      <w:jc w:val="center"/>
    </w:pPr>
    <w:rPr>
      <w:b/>
      <w:smallCaps/>
    </w:rPr>
  </w:style>
  <w:style w:type="paragraph" w:styleId="Paragraph" w:customStyle="1">
    <w:name w:val="Paragraph"/>
    <w:aliases w:val="paragraph,p,PARAGRAPH,PG,pa,at"/>
    <w:basedOn w:val="BodyTextIndent"/>
    <w:link w:val="ParagraphCar"/>
    <w:uiPriority w:val="99"/>
    <w:qFormat/>
    <w:rsid w:val="0036456D"/>
    <w:pPr>
      <w:numPr>
        <w:ilvl w:val="1"/>
        <w:numId w:val="3"/>
      </w:numPr>
      <w:spacing w:before="120"/>
      <w:jc w:val="both"/>
      <w:outlineLvl w:val="1"/>
    </w:pPr>
  </w:style>
  <w:style w:type="paragraph" w:styleId="BodyTextIndent">
    <w:name w:val="Body Text Indent"/>
    <w:basedOn w:val="Normal"/>
    <w:rsid w:val="00B7478D"/>
    <w:pPr>
      <w:spacing w:after="120"/>
      <w:ind w:left="360"/>
    </w:pPr>
  </w:style>
  <w:style w:type="character" w:styleId="ParagraphCar" w:customStyle="1">
    <w:name w:val="Paragraph Car"/>
    <w:basedOn w:val="DefaultParagraphFont"/>
    <w:link w:val="Paragraph"/>
    <w:uiPriority w:val="99"/>
    <w:locked/>
    <w:rsid w:val="00525857"/>
    <w:rPr>
      <w:sz w:val="24"/>
      <w:lang w:val="es-ES_tradnl"/>
    </w:rPr>
  </w:style>
  <w:style w:type="paragraph" w:styleId="subpar" w:customStyle="1">
    <w:name w:val="subpar"/>
    <w:basedOn w:val="BodyTextIndent3"/>
    <w:uiPriority w:val="99"/>
    <w:rsid w:val="0036456D"/>
    <w:pPr>
      <w:numPr>
        <w:ilvl w:val="2"/>
        <w:numId w:val="3"/>
      </w:numPr>
      <w:spacing w:before="120"/>
      <w:jc w:val="both"/>
      <w:outlineLvl w:val="2"/>
    </w:pPr>
  </w:style>
  <w:style w:type="paragraph" w:styleId="BodyTextIndent3">
    <w:name w:val="Body Text Indent 3"/>
    <w:basedOn w:val="Normal"/>
    <w:rsid w:val="00B7478D"/>
    <w:pPr>
      <w:spacing w:after="120"/>
      <w:ind w:left="360"/>
    </w:pPr>
    <w:rPr>
      <w:szCs w:val="16"/>
    </w:rPr>
  </w:style>
  <w:style w:type="paragraph" w:styleId="SubSubPar" w:customStyle="1">
    <w:name w:val="SubSubPar"/>
    <w:basedOn w:val="subpar"/>
    <w:uiPriority w:val="99"/>
    <w:rsid w:val="0036456D"/>
    <w:pPr>
      <w:numPr>
        <w:ilvl w:val="3"/>
      </w:numPr>
      <w:tabs>
        <w:tab w:val="left" w:pos="0"/>
      </w:tabs>
    </w:pPr>
  </w:style>
  <w:style w:type="paragraph" w:styleId="FirstHeading" w:customStyle="1">
    <w:name w:val="FirstHeading"/>
    <w:basedOn w:val="Normal"/>
    <w:rsid w:val="0036456D"/>
    <w:pPr>
      <w:keepNext/>
      <w:numPr>
        <w:numId w:val="2"/>
      </w:numPr>
      <w:tabs>
        <w:tab w:val="left" w:pos="0"/>
        <w:tab w:val="left" w:pos="86"/>
      </w:tabs>
      <w:spacing w:before="120" w:after="120"/>
      <w:ind w:left="720"/>
    </w:pPr>
    <w:rPr>
      <w:b/>
    </w:rPr>
  </w:style>
  <w:style w:type="paragraph" w:styleId="SecHeading" w:customStyle="1">
    <w:name w:val="SecHeading"/>
    <w:basedOn w:val="Normal"/>
    <w:next w:val="Paragraph"/>
    <w:rsid w:val="0036456D"/>
    <w:pPr>
      <w:keepNext/>
      <w:numPr>
        <w:ilvl w:val="1"/>
        <w:numId w:val="2"/>
      </w:numPr>
      <w:tabs>
        <w:tab w:val="clear" w:pos="5400"/>
        <w:tab w:val="num" w:pos="1296"/>
      </w:tabs>
      <w:spacing w:before="120" w:after="120"/>
      <w:ind w:left="1296"/>
    </w:pPr>
    <w:rPr>
      <w:b/>
    </w:rPr>
  </w:style>
  <w:style w:type="paragraph" w:styleId="SubHeading1" w:customStyle="1">
    <w:name w:val="SubHeading1"/>
    <w:basedOn w:val="SecHeading"/>
    <w:rsid w:val="0036456D"/>
    <w:pPr>
      <w:numPr>
        <w:ilvl w:val="2"/>
      </w:numPr>
      <w:tabs>
        <w:tab w:val="clear" w:pos="5976"/>
        <w:tab w:val="num" w:pos="1872"/>
      </w:tabs>
      <w:ind w:left="1872"/>
    </w:pPr>
  </w:style>
  <w:style w:type="paragraph" w:styleId="Subheading2" w:customStyle="1">
    <w:name w:val="Subheading2"/>
    <w:basedOn w:val="SecHeading"/>
    <w:rsid w:val="0036456D"/>
    <w:pPr>
      <w:numPr>
        <w:ilvl w:val="0"/>
        <w:numId w:val="0"/>
      </w:numPr>
      <w:tabs>
        <w:tab w:val="num" w:pos="2376"/>
      </w:tabs>
      <w:ind w:left="2376" w:hanging="288"/>
    </w:pPr>
  </w:style>
  <w:style w:type="table" w:styleId="TableGrid">
    <w:name w:val="Table Grid"/>
    <w:basedOn w:val="TableNormal"/>
    <w:uiPriority w:val="39"/>
    <w:rsid w:val="00763C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763C10"/>
    <w:rPr>
      <w:color w:val="0000FF"/>
      <w:u w:val="single"/>
    </w:rPr>
  </w:style>
  <w:style w:type="paragraph" w:styleId="Header">
    <w:name w:val="header"/>
    <w:basedOn w:val="Normal"/>
    <w:rsid w:val="00773AAB"/>
    <w:pPr>
      <w:tabs>
        <w:tab w:val="center" w:pos="4320"/>
        <w:tab w:val="right" w:pos="8640"/>
      </w:tabs>
    </w:pPr>
  </w:style>
  <w:style w:type="paragraph" w:styleId="Footer">
    <w:name w:val="footer"/>
    <w:basedOn w:val="Normal"/>
    <w:rsid w:val="00773AAB"/>
    <w:pPr>
      <w:tabs>
        <w:tab w:val="center" w:pos="4320"/>
        <w:tab w:val="right" w:pos="8640"/>
      </w:tabs>
    </w:pPr>
  </w:style>
  <w:style w:type="character" w:styleId="PageNumber">
    <w:name w:val="page number"/>
    <w:basedOn w:val="DefaultParagraphFont"/>
    <w:rsid w:val="00773AAB"/>
  </w:style>
  <w:style w:type="paragraph" w:styleId="NoSpacing">
    <w:name w:val="No Spacing"/>
    <w:link w:val="NoSpacingChar"/>
    <w:uiPriority w:val="1"/>
    <w:qFormat/>
    <w:rsid w:val="0008527A"/>
    <w:rPr>
      <w:rFonts w:ascii="Calibri" w:hAnsi="Calibri" w:eastAsia="MS Mincho" w:cs="Arial"/>
      <w:sz w:val="22"/>
      <w:szCs w:val="22"/>
      <w:lang w:eastAsia="ja-JP"/>
    </w:rPr>
  </w:style>
  <w:style w:type="character" w:styleId="NoSpacingChar" w:customStyle="1">
    <w:name w:val="No Spacing Char"/>
    <w:link w:val="NoSpacing"/>
    <w:uiPriority w:val="1"/>
    <w:rsid w:val="0008527A"/>
    <w:rPr>
      <w:rFonts w:ascii="Calibri" w:hAnsi="Calibri" w:eastAsia="MS Mincho" w:cs="Arial"/>
      <w:sz w:val="22"/>
      <w:szCs w:val="22"/>
      <w:lang w:eastAsia="ja-JP"/>
    </w:rPr>
  </w:style>
  <w:style w:type="paragraph" w:styleId="BalloonText">
    <w:name w:val="Balloon Text"/>
    <w:basedOn w:val="Normal"/>
    <w:link w:val="BalloonTextChar"/>
    <w:rsid w:val="0008527A"/>
    <w:rPr>
      <w:rFonts w:ascii="Tahoma" w:hAnsi="Tahoma" w:cs="Tahoma"/>
      <w:sz w:val="16"/>
      <w:szCs w:val="16"/>
    </w:rPr>
  </w:style>
  <w:style w:type="character" w:styleId="BalloonTextChar" w:customStyle="1">
    <w:name w:val="Balloon Text Char"/>
    <w:link w:val="BalloonText"/>
    <w:rsid w:val="0008527A"/>
    <w:rPr>
      <w:rFonts w:ascii="Tahoma" w:hAnsi="Tahoma" w:cs="Tahoma"/>
      <w:sz w:val="16"/>
      <w:szCs w:val="16"/>
    </w:rPr>
  </w:style>
  <w:style w:type="paragraph" w:styleId="Title">
    <w:name w:val="Title"/>
    <w:basedOn w:val="Normal"/>
    <w:link w:val="TitleChar"/>
    <w:uiPriority w:val="99"/>
    <w:qFormat/>
    <w:rsid w:val="0008527A"/>
    <w:pPr>
      <w:tabs>
        <w:tab w:val="left" w:pos="1440"/>
        <w:tab w:val="left" w:pos="3060"/>
      </w:tabs>
      <w:ind w:left="288" w:hanging="288"/>
      <w:jc w:val="center"/>
      <w:outlineLvl w:val="0"/>
    </w:pPr>
    <w:rPr>
      <w:rFonts w:ascii="Cambria" w:hAnsi="Cambria"/>
      <w:b/>
      <w:bCs/>
      <w:kern w:val="28"/>
      <w:sz w:val="32"/>
      <w:szCs w:val="32"/>
      <w:lang w:val="es-ES" w:eastAsia="x-none"/>
    </w:rPr>
  </w:style>
  <w:style w:type="character" w:styleId="TitleChar" w:customStyle="1">
    <w:name w:val="Title Char"/>
    <w:link w:val="Title"/>
    <w:uiPriority w:val="99"/>
    <w:rsid w:val="0008527A"/>
    <w:rPr>
      <w:rFonts w:ascii="Cambria" w:hAnsi="Cambria"/>
      <w:b/>
      <w:bCs/>
      <w:kern w:val="28"/>
      <w:sz w:val="32"/>
      <w:szCs w:val="32"/>
      <w:lang w:val="es-ES" w:eastAsia="x-none"/>
    </w:r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f,fn Car,ADB,ft"/>
    <w:basedOn w:val="Normal"/>
    <w:link w:val="FootnoteTextChar"/>
    <w:uiPriority w:val="99"/>
    <w:unhideWhenUsed/>
    <w:qFormat/>
    <w:rsid w:val="00A76139"/>
    <w:rPr>
      <w:rFonts w:ascii="Calibri" w:hAnsi="Calibri" w:eastAsia="Calibri"/>
      <w:sz w:val="20"/>
      <w:lang w:val="en-US"/>
    </w:rPr>
  </w:style>
  <w:style w:type="character" w:styleId="FootnoteTextChar" w:customStyle="1">
    <w:name w:val="Footnote Text Char"/>
    <w:aliases w:val="fn Char,FOOTNOTES Char,single space Char,footnote text Char,Footnote Text Char Char Char,footnote Char,Texto nota pie IIRSA Char,Texto de rodapé Char,nota_rodapé Char,nota de rodapé Char,texto de nota al pie Char,foottextfra Char"/>
    <w:link w:val="FootnoteText"/>
    <w:uiPriority w:val="99"/>
    <w:rsid w:val="00A76139"/>
    <w:rPr>
      <w:rFonts w:ascii="Calibri" w:hAnsi="Calibri" w:eastAsia="Calibri"/>
    </w:rPr>
  </w:style>
  <w:style w:type="character" w:styleId="FootnoteReference">
    <w:name w:val="footnote reference"/>
    <w:aliases w:val="titulo 2,FC,referencia nota al pie,Fußnotenzeichen DISS,ftref,16 Point,Superscript 6 Point,BVI fnr, BVI fnr,Знак сноски 1,Footnote Referencefra,Ref. de nota al pie.,Stinking Styles11,Texto de nota al pie,Footnote symbol,Footnote,Ref"/>
    <w:link w:val="Char2"/>
    <w:uiPriority w:val="99"/>
    <w:unhideWhenUsed/>
    <w:qFormat/>
    <w:rsid w:val="00A76139"/>
    <w:rPr>
      <w:vertAlign w:val="superscript"/>
    </w:rPr>
  </w:style>
  <w:style w:type="paragraph" w:styleId="Char2" w:customStyle="1">
    <w:name w:val="Char2"/>
    <w:basedOn w:val="Normal"/>
    <w:link w:val="FootnoteReference"/>
    <w:uiPriority w:val="99"/>
    <w:rsid w:val="00525857"/>
    <w:pPr>
      <w:spacing w:after="160" w:line="240" w:lineRule="exact"/>
    </w:pPr>
    <w:rPr>
      <w:sz w:val="20"/>
      <w:vertAlign w:val="superscript"/>
      <w:lang w:val="en-US"/>
    </w:rPr>
  </w:style>
  <w:style w:type="paragraph" w:styleId="Default" w:customStyle="1">
    <w:name w:val="Default"/>
    <w:rsid w:val="004349AB"/>
    <w:pPr>
      <w:autoSpaceDE w:val="0"/>
      <w:autoSpaceDN w:val="0"/>
      <w:adjustRightInd w:val="0"/>
    </w:pPr>
    <w:rPr>
      <w:color w:val="000000"/>
      <w:sz w:val="24"/>
      <w:szCs w:val="24"/>
    </w:rPr>
  </w:style>
  <w:style w:type="character" w:styleId="CommentReference">
    <w:name w:val="annotation reference"/>
    <w:rsid w:val="000C663E"/>
    <w:rPr>
      <w:sz w:val="16"/>
      <w:szCs w:val="16"/>
    </w:rPr>
  </w:style>
  <w:style w:type="paragraph" w:styleId="CommentText">
    <w:name w:val="annotation text"/>
    <w:basedOn w:val="Normal"/>
    <w:link w:val="CommentTextChar"/>
    <w:rsid w:val="000C663E"/>
    <w:rPr>
      <w:sz w:val="20"/>
    </w:rPr>
  </w:style>
  <w:style w:type="character" w:styleId="CommentTextChar" w:customStyle="1">
    <w:name w:val="Comment Text Char"/>
    <w:link w:val="CommentText"/>
    <w:rsid w:val="000C663E"/>
    <w:rPr>
      <w:lang w:val="es-ES_tradnl"/>
    </w:rPr>
  </w:style>
  <w:style w:type="paragraph" w:styleId="CommentSubject">
    <w:name w:val="annotation subject"/>
    <w:basedOn w:val="CommentText"/>
    <w:next w:val="CommentText"/>
    <w:link w:val="CommentSubjectChar"/>
    <w:rsid w:val="000C663E"/>
    <w:rPr>
      <w:b/>
      <w:bCs/>
    </w:rPr>
  </w:style>
  <w:style w:type="character" w:styleId="CommentSubjectChar" w:customStyle="1">
    <w:name w:val="Comment Subject Char"/>
    <w:link w:val="CommentSubject"/>
    <w:rsid w:val="000C663E"/>
    <w:rPr>
      <w:b/>
      <w:bCs/>
      <w:lang w:val="es-ES_tradnl"/>
    </w:rPr>
  </w:style>
  <w:style w:type="paragraph" w:styleId="ListParagraph">
    <w:name w:val="List Paragraph"/>
    <w:basedOn w:val="Normal"/>
    <w:uiPriority w:val="34"/>
    <w:qFormat/>
    <w:rsid w:val="009F614F"/>
    <w:pPr>
      <w:ind w:left="720"/>
    </w:pPr>
  </w:style>
  <w:style w:type="paragraph" w:styleId="Revision">
    <w:name w:val="Revision"/>
    <w:hidden/>
    <w:uiPriority w:val="99"/>
    <w:semiHidden/>
    <w:rsid w:val="007001F8"/>
    <w:rPr>
      <w:sz w:val="24"/>
      <w:lang w:val="es-ES_tradnl"/>
    </w:rPr>
  </w:style>
  <w:style w:type="paragraph" w:styleId="NormalWeb">
    <w:name w:val="Normal (Web)"/>
    <w:basedOn w:val="Normal"/>
    <w:uiPriority w:val="99"/>
    <w:unhideWhenUsed/>
    <w:rsid w:val="00D62B6F"/>
    <w:pPr>
      <w:spacing w:before="100" w:beforeAutospacing="1" w:after="100" w:afterAutospacing="1"/>
    </w:pPr>
    <w:rPr>
      <w:szCs w:val="24"/>
      <w:lang w:val="en-US"/>
    </w:rPr>
  </w:style>
  <w:style w:type="paragraph" w:styleId="EndnoteText">
    <w:name w:val="endnote text"/>
    <w:basedOn w:val="Normal"/>
    <w:link w:val="EndnoteTextChar"/>
    <w:rsid w:val="00A3751F"/>
    <w:rPr>
      <w:sz w:val="20"/>
    </w:rPr>
  </w:style>
  <w:style w:type="character" w:styleId="EndnoteTextChar" w:customStyle="1">
    <w:name w:val="Endnote Text Char"/>
    <w:basedOn w:val="DefaultParagraphFont"/>
    <w:link w:val="EndnoteText"/>
    <w:rsid w:val="00A3751F"/>
    <w:rPr>
      <w:lang w:val="es-ES_tradnl"/>
    </w:rPr>
  </w:style>
  <w:style w:type="character" w:styleId="EndnoteReference">
    <w:name w:val="endnote reference"/>
    <w:basedOn w:val="DefaultParagraphFont"/>
    <w:rsid w:val="00A3751F"/>
    <w:rPr>
      <w:vertAlign w:val="superscript"/>
    </w:rPr>
  </w:style>
  <w:style w:type="character" w:styleId="Mention1" w:customStyle="1">
    <w:name w:val="Mention1"/>
    <w:basedOn w:val="DefaultParagraphFont"/>
    <w:uiPriority w:val="99"/>
    <w:semiHidden/>
    <w:unhideWhenUsed/>
    <w:rsid w:val="004A0DFF"/>
    <w:rPr>
      <w:color w:val="2B579A"/>
      <w:shd w:val="clear" w:color="auto" w:fill="E6E6E6"/>
    </w:rPr>
  </w:style>
  <w:style w:type="character" w:styleId="FollowedHyperlink">
    <w:name w:val="FollowedHyperlink"/>
    <w:basedOn w:val="DefaultParagraphFont"/>
    <w:semiHidden/>
    <w:unhideWhenUsed/>
    <w:rsid w:val="00F257CB"/>
    <w:rPr>
      <w:color w:val="954F72" w:themeColor="followedHyperlink"/>
      <w:u w:val="single"/>
    </w:rPr>
  </w:style>
  <w:style w:type="character" w:styleId="UnresolvedMention1" w:customStyle="1">
    <w:name w:val="Unresolved Mention1"/>
    <w:basedOn w:val="DefaultParagraphFont"/>
    <w:uiPriority w:val="99"/>
    <w:semiHidden/>
    <w:unhideWhenUsed/>
    <w:rsid w:val="000214C0"/>
    <w:rPr>
      <w:color w:val="605E5C"/>
      <w:shd w:val="clear" w:color="auto" w:fill="E1DFDD"/>
    </w:rPr>
  </w:style>
  <w:style w:type="paragraph" w:styleId="BodyText">
    <w:name w:val="Body Text"/>
    <w:basedOn w:val="Normal"/>
    <w:link w:val="BodyTextChar"/>
    <w:rsid w:val="00F97EF2"/>
    <w:pPr>
      <w:spacing w:after="120"/>
    </w:pPr>
  </w:style>
  <w:style w:type="character" w:styleId="BodyTextChar" w:customStyle="1">
    <w:name w:val="Body Text Char"/>
    <w:basedOn w:val="DefaultParagraphFont"/>
    <w:link w:val="BodyText"/>
    <w:rsid w:val="00F97EF2"/>
    <w:rPr>
      <w:sz w:val="24"/>
      <w:lang w:val="es-ES_tradnl"/>
    </w:rPr>
  </w:style>
  <w:style w:type="paragraph" w:styleId="Newpage" w:customStyle="1">
    <w:name w:val="Newpage"/>
    <w:basedOn w:val="Chapter"/>
    <w:rsid w:val="00F97EF2"/>
    <w:pPr>
      <w:keepNext/>
      <w:numPr>
        <w:numId w:val="0"/>
      </w:numPr>
      <w:tabs>
        <w:tab w:val="clear" w:pos="1440"/>
        <w:tab w:val="left" w:pos="3060"/>
      </w:tabs>
      <w:spacing w:after="0"/>
    </w:pPr>
    <w:rPr>
      <w:lang w:val="es-ES"/>
    </w:rPr>
  </w:style>
  <w:style w:type="paragraph" w:styleId="Annex" w:customStyle="1">
    <w:name w:val="Annex"/>
    <w:basedOn w:val="Normal"/>
    <w:rsid w:val="00F97EF2"/>
    <w:rPr>
      <w:caps/>
    </w:rPr>
  </w:style>
  <w:style w:type="character" w:styleId="ParagraphChar" w:customStyle="1">
    <w:name w:val="Paragraph Char"/>
    <w:uiPriority w:val="99"/>
    <w:locked/>
    <w:rsid w:val="00E43EF9"/>
    <w:rPr>
      <w:rFonts w:ascii="Times New Roman" w:hAnsi="Times New Roman" w:eastAsia="Times New Roman" w:cs="Times New Roman"/>
      <w:sz w:val="24"/>
      <w:szCs w:val="20"/>
      <w:lang w:val="es-ES"/>
    </w:rPr>
  </w:style>
  <w:style w:type="paragraph" w:styleId="TOCHeading">
    <w:name w:val="TOC Heading"/>
    <w:basedOn w:val="Heading1"/>
    <w:next w:val="Normal"/>
    <w:uiPriority w:val="39"/>
    <w:unhideWhenUsed/>
    <w:qFormat/>
    <w:rsid w:val="0036528E"/>
    <w:pPr>
      <w:keepLines/>
      <w:numPr>
        <w:numId w:val="0"/>
      </w:numPr>
      <w:spacing w:after="0" w:line="259" w:lineRule="auto"/>
      <w:outlineLvl w:val="9"/>
    </w:pPr>
    <w:rPr>
      <w:rFonts w:asciiTheme="majorHAnsi" w:hAnsiTheme="majorHAnsi" w:eastAsiaTheme="majorEastAsia" w:cstheme="majorBidi"/>
      <w:b w:val="0"/>
      <w:color w:val="2E74B5" w:themeColor="accent1" w:themeShade="BF"/>
      <w:kern w:val="0"/>
      <w:sz w:val="32"/>
      <w:szCs w:val="32"/>
      <w:lang w:val="es-MX" w:eastAsia="es-MX"/>
    </w:rPr>
  </w:style>
  <w:style w:type="paragraph" w:styleId="TOC3">
    <w:name w:val="toc 3"/>
    <w:basedOn w:val="Normal"/>
    <w:next w:val="Normal"/>
    <w:autoRedefine/>
    <w:uiPriority w:val="39"/>
    <w:unhideWhenUsed/>
    <w:rsid w:val="0036528E"/>
    <w:pPr>
      <w:spacing w:after="100"/>
      <w:ind w:left="480"/>
    </w:pPr>
  </w:style>
  <w:style w:type="paragraph" w:styleId="TOC1">
    <w:name w:val="toc 1"/>
    <w:basedOn w:val="Normal"/>
    <w:next w:val="Normal"/>
    <w:autoRedefine/>
    <w:uiPriority w:val="39"/>
    <w:unhideWhenUsed/>
    <w:rsid w:val="0036528E"/>
    <w:pPr>
      <w:spacing w:after="100"/>
    </w:pPr>
  </w:style>
  <w:style w:type="paragraph" w:styleId="TOC2">
    <w:name w:val="toc 2"/>
    <w:basedOn w:val="Normal"/>
    <w:next w:val="Normal"/>
    <w:autoRedefine/>
    <w:uiPriority w:val="39"/>
    <w:unhideWhenUsed/>
    <w:rsid w:val="0036528E"/>
    <w:pPr>
      <w:spacing w:after="100"/>
      <w:ind w:left="240"/>
    </w:pPr>
  </w:style>
  <w:style w:type="paragraph" w:styleId="TOC4">
    <w:name w:val="toc 4"/>
    <w:basedOn w:val="Normal"/>
    <w:next w:val="Normal"/>
    <w:autoRedefine/>
    <w:uiPriority w:val="39"/>
    <w:unhideWhenUsed/>
    <w:rsid w:val="00DC0F4E"/>
    <w:pPr>
      <w:spacing w:after="100" w:line="259" w:lineRule="auto"/>
      <w:ind w:left="660"/>
    </w:pPr>
    <w:rPr>
      <w:rFonts w:asciiTheme="minorHAnsi" w:hAnsiTheme="minorHAnsi" w:eastAsiaTheme="minorEastAsia" w:cstheme="minorBidi"/>
      <w:sz w:val="22"/>
      <w:szCs w:val="22"/>
      <w:lang w:val="es-MX" w:eastAsia="es-MX"/>
    </w:rPr>
  </w:style>
  <w:style w:type="paragraph" w:styleId="TOC5">
    <w:name w:val="toc 5"/>
    <w:basedOn w:val="Normal"/>
    <w:next w:val="Normal"/>
    <w:autoRedefine/>
    <w:uiPriority w:val="39"/>
    <w:unhideWhenUsed/>
    <w:rsid w:val="00DC0F4E"/>
    <w:pPr>
      <w:spacing w:after="100" w:line="259" w:lineRule="auto"/>
      <w:ind w:left="880"/>
    </w:pPr>
    <w:rPr>
      <w:rFonts w:asciiTheme="minorHAnsi" w:hAnsiTheme="minorHAnsi" w:eastAsiaTheme="minorEastAsia" w:cstheme="minorBidi"/>
      <w:sz w:val="22"/>
      <w:szCs w:val="22"/>
      <w:lang w:val="es-MX" w:eastAsia="es-MX"/>
    </w:rPr>
  </w:style>
  <w:style w:type="paragraph" w:styleId="TOC6">
    <w:name w:val="toc 6"/>
    <w:basedOn w:val="Normal"/>
    <w:next w:val="Normal"/>
    <w:autoRedefine/>
    <w:uiPriority w:val="39"/>
    <w:unhideWhenUsed/>
    <w:rsid w:val="00DC0F4E"/>
    <w:pPr>
      <w:spacing w:after="100" w:line="259" w:lineRule="auto"/>
      <w:ind w:left="1100"/>
    </w:pPr>
    <w:rPr>
      <w:rFonts w:asciiTheme="minorHAnsi" w:hAnsiTheme="minorHAnsi" w:eastAsiaTheme="minorEastAsia" w:cstheme="minorBidi"/>
      <w:sz w:val="22"/>
      <w:szCs w:val="22"/>
      <w:lang w:val="es-MX" w:eastAsia="es-MX"/>
    </w:rPr>
  </w:style>
  <w:style w:type="paragraph" w:styleId="TOC7">
    <w:name w:val="toc 7"/>
    <w:basedOn w:val="Normal"/>
    <w:next w:val="Normal"/>
    <w:autoRedefine/>
    <w:uiPriority w:val="39"/>
    <w:unhideWhenUsed/>
    <w:rsid w:val="00DC0F4E"/>
    <w:pPr>
      <w:spacing w:after="100" w:line="259" w:lineRule="auto"/>
      <w:ind w:left="1320"/>
    </w:pPr>
    <w:rPr>
      <w:rFonts w:asciiTheme="minorHAnsi" w:hAnsiTheme="minorHAnsi" w:eastAsiaTheme="minorEastAsia" w:cstheme="minorBidi"/>
      <w:sz w:val="22"/>
      <w:szCs w:val="22"/>
      <w:lang w:val="es-MX" w:eastAsia="es-MX"/>
    </w:rPr>
  </w:style>
  <w:style w:type="paragraph" w:styleId="TOC8">
    <w:name w:val="toc 8"/>
    <w:basedOn w:val="Normal"/>
    <w:next w:val="Normal"/>
    <w:autoRedefine/>
    <w:uiPriority w:val="39"/>
    <w:unhideWhenUsed/>
    <w:rsid w:val="00DC0F4E"/>
    <w:pPr>
      <w:spacing w:after="100" w:line="259" w:lineRule="auto"/>
      <w:ind w:left="1540"/>
    </w:pPr>
    <w:rPr>
      <w:rFonts w:asciiTheme="minorHAnsi" w:hAnsiTheme="minorHAnsi" w:eastAsiaTheme="minorEastAsia" w:cstheme="minorBidi"/>
      <w:sz w:val="22"/>
      <w:szCs w:val="22"/>
      <w:lang w:val="es-MX" w:eastAsia="es-MX"/>
    </w:rPr>
  </w:style>
  <w:style w:type="paragraph" w:styleId="TOC9">
    <w:name w:val="toc 9"/>
    <w:basedOn w:val="Normal"/>
    <w:next w:val="Normal"/>
    <w:autoRedefine/>
    <w:uiPriority w:val="39"/>
    <w:unhideWhenUsed/>
    <w:rsid w:val="00DC0F4E"/>
    <w:pPr>
      <w:spacing w:after="100" w:line="259" w:lineRule="auto"/>
      <w:ind w:left="1760"/>
    </w:pPr>
    <w:rPr>
      <w:rFonts w:asciiTheme="minorHAnsi" w:hAnsiTheme="minorHAnsi" w:eastAsiaTheme="minorEastAsia" w:cstheme="minorBidi"/>
      <w:sz w:val="22"/>
      <w:szCs w:val="22"/>
      <w:lang w:val="es-MX" w:eastAsia="es-MX"/>
    </w:rPr>
  </w:style>
  <w:style w:type="character" w:styleId="UnresolvedMention">
    <w:name w:val="Unresolved Mention"/>
    <w:basedOn w:val="DefaultParagraphFont"/>
    <w:uiPriority w:val="99"/>
    <w:semiHidden/>
    <w:unhideWhenUsed/>
    <w:rsid w:val="0071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1954">
      <w:bodyDiv w:val="1"/>
      <w:marLeft w:val="0"/>
      <w:marRight w:val="0"/>
      <w:marTop w:val="0"/>
      <w:marBottom w:val="0"/>
      <w:divBdr>
        <w:top w:val="none" w:sz="0" w:space="0" w:color="auto"/>
        <w:left w:val="none" w:sz="0" w:space="0" w:color="auto"/>
        <w:bottom w:val="none" w:sz="0" w:space="0" w:color="auto"/>
        <w:right w:val="none" w:sz="0" w:space="0" w:color="auto"/>
      </w:divBdr>
    </w:div>
    <w:div w:id="104859036">
      <w:bodyDiv w:val="1"/>
      <w:marLeft w:val="0"/>
      <w:marRight w:val="0"/>
      <w:marTop w:val="0"/>
      <w:marBottom w:val="0"/>
      <w:divBdr>
        <w:top w:val="none" w:sz="0" w:space="0" w:color="auto"/>
        <w:left w:val="none" w:sz="0" w:space="0" w:color="auto"/>
        <w:bottom w:val="none" w:sz="0" w:space="0" w:color="auto"/>
        <w:right w:val="none" w:sz="0" w:space="0" w:color="auto"/>
      </w:divBdr>
      <w:divsChild>
        <w:div w:id="1784884064">
          <w:marLeft w:val="547"/>
          <w:marRight w:val="0"/>
          <w:marTop w:val="96"/>
          <w:marBottom w:val="240"/>
          <w:divBdr>
            <w:top w:val="none" w:sz="0" w:space="0" w:color="auto"/>
            <w:left w:val="none" w:sz="0" w:space="0" w:color="auto"/>
            <w:bottom w:val="none" w:sz="0" w:space="0" w:color="auto"/>
            <w:right w:val="none" w:sz="0" w:space="0" w:color="auto"/>
          </w:divBdr>
        </w:div>
        <w:div w:id="1790777336">
          <w:marLeft w:val="547"/>
          <w:marRight w:val="0"/>
          <w:marTop w:val="96"/>
          <w:marBottom w:val="240"/>
          <w:divBdr>
            <w:top w:val="none" w:sz="0" w:space="0" w:color="auto"/>
            <w:left w:val="none" w:sz="0" w:space="0" w:color="auto"/>
            <w:bottom w:val="none" w:sz="0" w:space="0" w:color="auto"/>
            <w:right w:val="none" w:sz="0" w:space="0" w:color="auto"/>
          </w:divBdr>
        </w:div>
        <w:div w:id="1969431768">
          <w:marLeft w:val="547"/>
          <w:marRight w:val="0"/>
          <w:marTop w:val="96"/>
          <w:marBottom w:val="240"/>
          <w:divBdr>
            <w:top w:val="none" w:sz="0" w:space="0" w:color="auto"/>
            <w:left w:val="none" w:sz="0" w:space="0" w:color="auto"/>
            <w:bottom w:val="none" w:sz="0" w:space="0" w:color="auto"/>
            <w:right w:val="none" w:sz="0" w:space="0" w:color="auto"/>
          </w:divBdr>
        </w:div>
      </w:divsChild>
    </w:div>
    <w:div w:id="159153924">
      <w:bodyDiv w:val="1"/>
      <w:marLeft w:val="0"/>
      <w:marRight w:val="0"/>
      <w:marTop w:val="0"/>
      <w:marBottom w:val="0"/>
      <w:divBdr>
        <w:top w:val="none" w:sz="0" w:space="0" w:color="auto"/>
        <w:left w:val="none" w:sz="0" w:space="0" w:color="auto"/>
        <w:bottom w:val="none" w:sz="0" w:space="0" w:color="auto"/>
        <w:right w:val="none" w:sz="0" w:space="0" w:color="auto"/>
      </w:divBdr>
      <w:divsChild>
        <w:div w:id="153030907">
          <w:marLeft w:val="0"/>
          <w:marRight w:val="0"/>
          <w:marTop w:val="0"/>
          <w:marBottom w:val="0"/>
          <w:divBdr>
            <w:top w:val="none" w:sz="0" w:space="0" w:color="auto"/>
            <w:left w:val="none" w:sz="0" w:space="0" w:color="auto"/>
            <w:bottom w:val="none" w:sz="0" w:space="0" w:color="auto"/>
            <w:right w:val="none" w:sz="0" w:space="0" w:color="auto"/>
          </w:divBdr>
        </w:div>
      </w:divsChild>
    </w:div>
    <w:div w:id="166292677">
      <w:bodyDiv w:val="1"/>
      <w:marLeft w:val="0"/>
      <w:marRight w:val="0"/>
      <w:marTop w:val="0"/>
      <w:marBottom w:val="0"/>
      <w:divBdr>
        <w:top w:val="none" w:sz="0" w:space="0" w:color="auto"/>
        <w:left w:val="none" w:sz="0" w:space="0" w:color="auto"/>
        <w:bottom w:val="none" w:sz="0" w:space="0" w:color="auto"/>
        <w:right w:val="none" w:sz="0" w:space="0" w:color="auto"/>
      </w:divBdr>
    </w:div>
    <w:div w:id="255752336">
      <w:bodyDiv w:val="1"/>
      <w:marLeft w:val="0"/>
      <w:marRight w:val="0"/>
      <w:marTop w:val="0"/>
      <w:marBottom w:val="0"/>
      <w:divBdr>
        <w:top w:val="none" w:sz="0" w:space="0" w:color="auto"/>
        <w:left w:val="none" w:sz="0" w:space="0" w:color="auto"/>
        <w:bottom w:val="none" w:sz="0" w:space="0" w:color="auto"/>
        <w:right w:val="none" w:sz="0" w:space="0" w:color="auto"/>
      </w:divBdr>
    </w:div>
    <w:div w:id="318509555">
      <w:bodyDiv w:val="1"/>
      <w:marLeft w:val="0"/>
      <w:marRight w:val="0"/>
      <w:marTop w:val="0"/>
      <w:marBottom w:val="0"/>
      <w:divBdr>
        <w:top w:val="none" w:sz="0" w:space="0" w:color="auto"/>
        <w:left w:val="none" w:sz="0" w:space="0" w:color="auto"/>
        <w:bottom w:val="none" w:sz="0" w:space="0" w:color="auto"/>
        <w:right w:val="none" w:sz="0" w:space="0" w:color="auto"/>
      </w:divBdr>
    </w:div>
    <w:div w:id="478308730">
      <w:bodyDiv w:val="1"/>
      <w:marLeft w:val="0"/>
      <w:marRight w:val="0"/>
      <w:marTop w:val="0"/>
      <w:marBottom w:val="0"/>
      <w:divBdr>
        <w:top w:val="none" w:sz="0" w:space="0" w:color="auto"/>
        <w:left w:val="none" w:sz="0" w:space="0" w:color="auto"/>
        <w:bottom w:val="none" w:sz="0" w:space="0" w:color="auto"/>
        <w:right w:val="none" w:sz="0" w:space="0" w:color="auto"/>
      </w:divBdr>
    </w:div>
    <w:div w:id="568616204">
      <w:bodyDiv w:val="1"/>
      <w:marLeft w:val="0"/>
      <w:marRight w:val="0"/>
      <w:marTop w:val="0"/>
      <w:marBottom w:val="0"/>
      <w:divBdr>
        <w:top w:val="none" w:sz="0" w:space="0" w:color="auto"/>
        <w:left w:val="none" w:sz="0" w:space="0" w:color="auto"/>
        <w:bottom w:val="none" w:sz="0" w:space="0" w:color="auto"/>
        <w:right w:val="none" w:sz="0" w:space="0" w:color="auto"/>
      </w:divBdr>
    </w:div>
    <w:div w:id="591209562">
      <w:bodyDiv w:val="1"/>
      <w:marLeft w:val="0"/>
      <w:marRight w:val="0"/>
      <w:marTop w:val="0"/>
      <w:marBottom w:val="0"/>
      <w:divBdr>
        <w:top w:val="none" w:sz="0" w:space="0" w:color="auto"/>
        <w:left w:val="none" w:sz="0" w:space="0" w:color="auto"/>
        <w:bottom w:val="none" w:sz="0" w:space="0" w:color="auto"/>
        <w:right w:val="none" w:sz="0" w:space="0" w:color="auto"/>
      </w:divBdr>
    </w:div>
    <w:div w:id="643236547">
      <w:bodyDiv w:val="1"/>
      <w:marLeft w:val="0"/>
      <w:marRight w:val="0"/>
      <w:marTop w:val="0"/>
      <w:marBottom w:val="0"/>
      <w:divBdr>
        <w:top w:val="none" w:sz="0" w:space="0" w:color="auto"/>
        <w:left w:val="none" w:sz="0" w:space="0" w:color="auto"/>
        <w:bottom w:val="none" w:sz="0" w:space="0" w:color="auto"/>
        <w:right w:val="none" w:sz="0" w:space="0" w:color="auto"/>
      </w:divBdr>
      <w:divsChild>
        <w:div w:id="1784183781">
          <w:marLeft w:val="806"/>
          <w:marRight w:val="0"/>
          <w:marTop w:val="86"/>
          <w:marBottom w:val="0"/>
          <w:divBdr>
            <w:top w:val="none" w:sz="0" w:space="0" w:color="auto"/>
            <w:left w:val="none" w:sz="0" w:space="0" w:color="auto"/>
            <w:bottom w:val="none" w:sz="0" w:space="0" w:color="auto"/>
            <w:right w:val="none" w:sz="0" w:space="0" w:color="auto"/>
          </w:divBdr>
        </w:div>
      </w:divsChild>
    </w:div>
    <w:div w:id="653608642">
      <w:bodyDiv w:val="1"/>
      <w:marLeft w:val="0"/>
      <w:marRight w:val="0"/>
      <w:marTop w:val="0"/>
      <w:marBottom w:val="0"/>
      <w:divBdr>
        <w:top w:val="none" w:sz="0" w:space="0" w:color="auto"/>
        <w:left w:val="none" w:sz="0" w:space="0" w:color="auto"/>
        <w:bottom w:val="none" w:sz="0" w:space="0" w:color="auto"/>
        <w:right w:val="none" w:sz="0" w:space="0" w:color="auto"/>
      </w:divBdr>
      <w:divsChild>
        <w:div w:id="1075710656">
          <w:marLeft w:val="547"/>
          <w:marRight w:val="0"/>
          <w:marTop w:val="96"/>
          <w:marBottom w:val="240"/>
          <w:divBdr>
            <w:top w:val="none" w:sz="0" w:space="0" w:color="auto"/>
            <w:left w:val="none" w:sz="0" w:space="0" w:color="auto"/>
            <w:bottom w:val="none" w:sz="0" w:space="0" w:color="auto"/>
            <w:right w:val="none" w:sz="0" w:space="0" w:color="auto"/>
          </w:divBdr>
        </w:div>
        <w:div w:id="1375156746">
          <w:marLeft w:val="547"/>
          <w:marRight w:val="0"/>
          <w:marTop w:val="96"/>
          <w:marBottom w:val="240"/>
          <w:divBdr>
            <w:top w:val="none" w:sz="0" w:space="0" w:color="auto"/>
            <w:left w:val="none" w:sz="0" w:space="0" w:color="auto"/>
            <w:bottom w:val="none" w:sz="0" w:space="0" w:color="auto"/>
            <w:right w:val="none" w:sz="0" w:space="0" w:color="auto"/>
          </w:divBdr>
        </w:div>
      </w:divsChild>
    </w:div>
    <w:div w:id="658653737">
      <w:bodyDiv w:val="1"/>
      <w:marLeft w:val="0"/>
      <w:marRight w:val="0"/>
      <w:marTop w:val="0"/>
      <w:marBottom w:val="0"/>
      <w:divBdr>
        <w:top w:val="none" w:sz="0" w:space="0" w:color="auto"/>
        <w:left w:val="none" w:sz="0" w:space="0" w:color="auto"/>
        <w:bottom w:val="none" w:sz="0" w:space="0" w:color="auto"/>
        <w:right w:val="none" w:sz="0" w:space="0" w:color="auto"/>
      </w:divBdr>
      <w:divsChild>
        <w:div w:id="396366005">
          <w:marLeft w:val="446"/>
          <w:marRight w:val="0"/>
          <w:marTop w:val="0"/>
          <w:marBottom w:val="0"/>
          <w:divBdr>
            <w:top w:val="none" w:sz="0" w:space="0" w:color="auto"/>
            <w:left w:val="none" w:sz="0" w:space="0" w:color="auto"/>
            <w:bottom w:val="none" w:sz="0" w:space="0" w:color="auto"/>
            <w:right w:val="none" w:sz="0" w:space="0" w:color="auto"/>
          </w:divBdr>
        </w:div>
        <w:div w:id="1244216435">
          <w:marLeft w:val="446"/>
          <w:marRight w:val="0"/>
          <w:marTop w:val="0"/>
          <w:marBottom w:val="0"/>
          <w:divBdr>
            <w:top w:val="none" w:sz="0" w:space="0" w:color="auto"/>
            <w:left w:val="none" w:sz="0" w:space="0" w:color="auto"/>
            <w:bottom w:val="none" w:sz="0" w:space="0" w:color="auto"/>
            <w:right w:val="none" w:sz="0" w:space="0" w:color="auto"/>
          </w:divBdr>
        </w:div>
        <w:div w:id="1506556753">
          <w:marLeft w:val="446"/>
          <w:marRight w:val="0"/>
          <w:marTop w:val="0"/>
          <w:marBottom w:val="0"/>
          <w:divBdr>
            <w:top w:val="none" w:sz="0" w:space="0" w:color="auto"/>
            <w:left w:val="none" w:sz="0" w:space="0" w:color="auto"/>
            <w:bottom w:val="none" w:sz="0" w:space="0" w:color="auto"/>
            <w:right w:val="none" w:sz="0" w:space="0" w:color="auto"/>
          </w:divBdr>
        </w:div>
        <w:div w:id="1940484735">
          <w:marLeft w:val="446"/>
          <w:marRight w:val="0"/>
          <w:marTop w:val="0"/>
          <w:marBottom w:val="0"/>
          <w:divBdr>
            <w:top w:val="none" w:sz="0" w:space="0" w:color="auto"/>
            <w:left w:val="none" w:sz="0" w:space="0" w:color="auto"/>
            <w:bottom w:val="none" w:sz="0" w:space="0" w:color="auto"/>
            <w:right w:val="none" w:sz="0" w:space="0" w:color="auto"/>
          </w:divBdr>
        </w:div>
        <w:div w:id="1978147816">
          <w:marLeft w:val="446"/>
          <w:marRight w:val="0"/>
          <w:marTop w:val="0"/>
          <w:marBottom w:val="0"/>
          <w:divBdr>
            <w:top w:val="none" w:sz="0" w:space="0" w:color="auto"/>
            <w:left w:val="none" w:sz="0" w:space="0" w:color="auto"/>
            <w:bottom w:val="none" w:sz="0" w:space="0" w:color="auto"/>
            <w:right w:val="none" w:sz="0" w:space="0" w:color="auto"/>
          </w:divBdr>
        </w:div>
      </w:divsChild>
    </w:div>
    <w:div w:id="670371445">
      <w:bodyDiv w:val="1"/>
      <w:marLeft w:val="0"/>
      <w:marRight w:val="0"/>
      <w:marTop w:val="0"/>
      <w:marBottom w:val="0"/>
      <w:divBdr>
        <w:top w:val="none" w:sz="0" w:space="0" w:color="auto"/>
        <w:left w:val="none" w:sz="0" w:space="0" w:color="auto"/>
        <w:bottom w:val="none" w:sz="0" w:space="0" w:color="auto"/>
        <w:right w:val="none" w:sz="0" w:space="0" w:color="auto"/>
      </w:divBdr>
    </w:div>
    <w:div w:id="691078912">
      <w:bodyDiv w:val="1"/>
      <w:marLeft w:val="0"/>
      <w:marRight w:val="0"/>
      <w:marTop w:val="0"/>
      <w:marBottom w:val="0"/>
      <w:divBdr>
        <w:top w:val="none" w:sz="0" w:space="0" w:color="auto"/>
        <w:left w:val="none" w:sz="0" w:space="0" w:color="auto"/>
        <w:bottom w:val="none" w:sz="0" w:space="0" w:color="auto"/>
        <w:right w:val="none" w:sz="0" w:space="0" w:color="auto"/>
      </w:divBdr>
    </w:div>
    <w:div w:id="781657133">
      <w:bodyDiv w:val="1"/>
      <w:marLeft w:val="0"/>
      <w:marRight w:val="0"/>
      <w:marTop w:val="0"/>
      <w:marBottom w:val="0"/>
      <w:divBdr>
        <w:top w:val="none" w:sz="0" w:space="0" w:color="auto"/>
        <w:left w:val="none" w:sz="0" w:space="0" w:color="auto"/>
        <w:bottom w:val="none" w:sz="0" w:space="0" w:color="auto"/>
        <w:right w:val="none" w:sz="0" w:space="0" w:color="auto"/>
      </w:divBdr>
      <w:divsChild>
        <w:div w:id="2116292834">
          <w:marLeft w:val="806"/>
          <w:marRight w:val="0"/>
          <w:marTop w:val="96"/>
          <w:marBottom w:val="0"/>
          <w:divBdr>
            <w:top w:val="none" w:sz="0" w:space="0" w:color="auto"/>
            <w:left w:val="none" w:sz="0" w:space="0" w:color="auto"/>
            <w:bottom w:val="none" w:sz="0" w:space="0" w:color="auto"/>
            <w:right w:val="none" w:sz="0" w:space="0" w:color="auto"/>
          </w:divBdr>
        </w:div>
      </w:divsChild>
    </w:div>
    <w:div w:id="835263497">
      <w:bodyDiv w:val="1"/>
      <w:marLeft w:val="0"/>
      <w:marRight w:val="0"/>
      <w:marTop w:val="0"/>
      <w:marBottom w:val="0"/>
      <w:divBdr>
        <w:top w:val="none" w:sz="0" w:space="0" w:color="auto"/>
        <w:left w:val="none" w:sz="0" w:space="0" w:color="auto"/>
        <w:bottom w:val="none" w:sz="0" w:space="0" w:color="auto"/>
        <w:right w:val="none" w:sz="0" w:space="0" w:color="auto"/>
      </w:divBdr>
      <w:divsChild>
        <w:div w:id="482698338">
          <w:marLeft w:val="0"/>
          <w:marRight w:val="0"/>
          <w:marTop w:val="0"/>
          <w:marBottom w:val="0"/>
          <w:divBdr>
            <w:top w:val="none" w:sz="0" w:space="0" w:color="auto"/>
            <w:left w:val="none" w:sz="0" w:space="0" w:color="auto"/>
            <w:bottom w:val="none" w:sz="0" w:space="0" w:color="auto"/>
            <w:right w:val="none" w:sz="0" w:space="0" w:color="auto"/>
          </w:divBdr>
          <w:divsChild>
            <w:div w:id="994264817">
              <w:marLeft w:val="0"/>
              <w:marRight w:val="0"/>
              <w:marTop w:val="0"/>
              <w:marBottom w:val="0"/>
              <w:divBdr>
                <w:top w:val="none" w:sz="0" w:space="0" w:color="auto"/>
                <w:left w:val="none" w:sz="0" w:space="0" w:color="auto"/>
                <w:bottom w:val="none" w:sz="0" w:space="0" w:color="auto"/>
                <w:right w:val="none" w:sz="0" w:space="0" w:color="auto"/>
              </w:divBdr>
              <w:divsChild>
                <w:div w:id="1070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6574">
      <w:bodyDiv w:val="1"/>
      <w:marLeft w:val="0"/>
      <w:marRight w:val="0"/>
      <w:marTop w:val="0"/>
      <w:marBottom w:val="0"/>
      <w:divBdr>
        <w:top w:val="none" w:sz="0" w:space="0" w:color="auto"/>
        <w:left w:val="none" w:sz="0" w:space="0" w:color="auto"/>
        <w:bottom w:val="none" w:sz="0" w:space="0" w:color="auto"/>
        <w:right w:val="none" w:sz="0" w:space="0" w:color="auto"/>
      </w:divBdr>
      <w:divsChild>
        <w:div w:id="1559317250">
          <w:marLeft w:val="0"/>
          <w:marRight w:val="0"/>
          <w:marTop w:val="0"/>
          <w:marBottom w:val="0"/>
          <w:divBdr>
            <w:top w:val="none" w:sz="0" w:space="0" w:color="auto"/>
            <w:left w:val="none" w:sz="0" w:space="0" w:color="auto"/>
            <w:bottom w:val="none" w:sz="0" w:space="0" w:color="auto"/>
            <w:right w:val="none" w:sz="0" w:space="0" w:color="auto"/>
          </w:divBdr>
          <w:divsChild>
            <w:div w:id="70011598">
              <w:marLeft w:val="0"/>
              <w:marRight w:val="0"/>
              <w:marTop w:val="0"/>
              <w:marBottom w:val="0"/>
              <w:divBdr>
                <w:top w:val="none" w:sz="0" w:space="0" w:color="auto"/>
                <w:left w:val="none" w:sz="0" w:space="0" w:color="auto"/>
                <w:bottom w:val="none" w:sz="0" w:space="0" w:color="auto"/>
                <w:right w:val="none" w:sz="0" w:space="0" w:color="auto"/>
              </w:divBdr>
              <w:divsChild>
                <w:div w:id="503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99664">
      <w:bodyDiv w:val="1"/>
      <w:marLeft w:val="0"/>
      <w:marRight w:val="0"/>
      <w:marTop w:val="0"/>
      <w:marBottom w:val="0"/>
      <w:divBdr>
        <w:top w:val="none" w:sz="0" w:space="0" w:color="auto"/>
        <w:left w:val="none" w:sz="0" w:space="0" w:color="auto"/>
        <w:bottom w:val="none" w:sz="0" w:space="0" w:color="auto"/>
        <w:right w:val="none" w:sz="0" w:space="0" w:color="auto"/>
      </w:divBdr>
    </w:div>
    <w:div w:id="909969292">
      <w:bodyDiv w:val="1"/>
      <w:marLeft w:val="0"/>
      <w:marRight w:val="0"/>
      <w:marTop w:val="0"/>
      <w:marBottom w:val="0"/>
      <w:divBdr>
        <w:top w:val="none" w:sz="0" w:space="0" w:color="auto"/>
        <w:left w:val="none" w:sz="0" w:space="0" w:color="auto"/>
        <w:bottom w:val="none" w:sz="0" w:space="0" w:color="auto"/>
        <w:right w:val="none" w:sz="0" w:space="0" w:color="auto"/>
      </w:divBdr>
    </w:div>
    <w:div w:id="919867947">
      <w:bodyDiv w:val="1"/>
      <w:marLeft w:val="0"/>
      <w:marRight w:val="0"/>
      <w:marTop w:val="0"/>
      <w:marBottom w:val="0"/>
      <w:divBdr>
        <w:top w:val="none" w:sz="0" w:space="0" w:color="auto"/>
        <w:left w:val="none" w:sz="0" w:space="0" w:color="auto"/>
        <w:bottom w:val="none" w:sz="0" w:space="0" w:color="auto"/>
        <w:right w:val="none" w:sz="0" w:space="0" w:color="auto"/>
      </w:divBdr>
    </w:div>
    <w:div w:id="936138046">
      <w:bodyDiv w:val="1"/>
      <w:marLeft w:val="0"/>
      <w:marRight w:val="0"/>
      <w:marTop w:val="0"/>
      <w:marBottom w:val="0"/>
      <w:divBdr>
        <w:top w:val="none" w:sz="0" w:space="0" w:color="auto"/>
        <w:left w:val="none" w:sz="0" w:space="0" w:color="auto"/>
        <w:bottom w:val="none" w:sz="0" w:space="0" w:color="auto"/>
        <w:right w:val="none" w:sz="0" w:space="0" w:color="auto"/>
      </w:divBdr>
      <w:divsChild>
        <w:div w:id="353652016">
          <w:marLeft w:val="0"/>
          <w:marRight w:val="0"/>
          <w:marTop w:val="0"/>
          <w:marBottom w:val="0"/>
          <w:divBdr>
            <w:top w:val="none" w:sz="0" w:space="0" w:color="auto"/>
            <w:left w:val="none" w:sz="0" w:space="0" w:color="auto"/>
            <w:bottom w:val="none" w:sz="0" w:space="0" w:color="auto"/>
            <w:right w:val="none" w:sz="0" w:space="0" w:color="auto"/>
          </w:divBdr>
          <w:divsChild>
            <w:div w:id="1906450458">
              <w:marLeft w:val="0"/>
              <w:marRight w:val="0"/>
              <w:marTop w:val="0"/>
              <w:marBottom w:val="0"/>
              <w:divBdr>
                <w:top w:val="none" w:sz="0" w:space="0" w:color="auto"/>
                <w:left w:val="none" w:sz="0" w:space="0" w:color="auto"/>
                <w:bottom w:val="none" w:sz="0" w:space="0" w:color="auto"/>
                <w:right w:val="none" w:sz="0" w:space="0" w:color="auto"/>
              </w:divBdr>
            </w:div>
          </w:divsChild>
        </w:div>
        <w:div w:id="562062689">
          <w:marLeft w:val="0"/>
          <w:marRight w:val="0"/>
          <w:marTop w:val="0"/>
          <w:marBottom w:val="0"/>
          <w:divBdr>
            <w:top w:val="none" w:sz="0" w:space="0" w:color="auto"/>
            <w:left w:val="none" w:sz="0" w:space="0" w:color="auto"/>
            <w:bottom w:val="none" w:sz="0" w:space="0" w:color="auto"/>
            <w:right w:val="none" w:sz="0" w:space="0" w:color="auto"/>
          </w:divBdr>
          <w:divsChild>
            <w:div w:id="13558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9598">
      <w:bodyDiv w:val="1"/>
      <w:marLeft w:val="0"/>
      <w:marRight w:val="0"/>
      <w:marTop w:val="0"/>
      <w:marBottom w:val="0"/>
      <w:divBdr>
        <w:top w:val="none" w:sz="0" w:space="0" w:color="auto"/>
        <w:left w:val="none" w:sz="0" w:space="0" w:color="auto"/>
        <w:bottom w:val="none" w:sz="0" w:space="0" w:color="auto"/>
        <w:right w:val="none" w:sz="0" w:space="0" w:color="auto"/>
      </w:divBdr>
      <w:divsChild>
        <w:div w:id="874733840">
          <w:marLeft w:val="0"/>
          <w:marRight w:val="0"/>
          <w:marTop w:val="0"/>
          <w:marBottom w:val="0"/>
          <w:divBdr>
            <w:top w:val="none" w:sz="0" w:space="0" w:color="auto"/>
            <w:left w:val="none" w:sz="0" w:space="0" w:color="auto"/>
            <w:bottom w:val="none" w:sz="0" w:space="0" w:color="auto"/>
            <w:right w:val="none" w:sz="0" w:space="0" w:color="auto"/>
          </w:divBdr>
        </w:div>
      </w:divsChild>
    </w:div>
    <w:div w:id="1086535239">
      <w:bodyDiv w:val="1"/>
      <w:marLeft w:val="0"/>
      <w:marRight w:val="0"/>
      <w:marTop w:val="0"/>
      <w:marBottom w:val="0"/>
      <w:divBdr>
        <w:top w:val="none" w:sz="0" w:space="0" w:color="auto"/>
        <w:left w:val="none" w:sz="0" w:space="0" w:color="auto"/>
        <w:bottom w:val="none" w:sz="0" w:space="0" w:color="auto"/>
        <w:right w:val="none" w:sz="0" w:space="0" w:color="auto"/>
      </w:divBdr>
    </w:div>
    <w:div w:id="1210532686">
      <w:bodyDiv w:val="1"/>
      <w:marLeft w:val="0"/>
      <w:marRight w:val="0"/>
      <w:marTop w:val="0"/>
      <w:marBottom w:val="0"/>
      <w:divBdr>
        <w:top w:val="none" w:sz="0" w:space="0" w:color="auto"/>
        <w:left w:val="none" w:sz="0" w:space="0" w:color="auto"/>
        <w:bottom w:val="none" w:sz="0" w:space="0" w:color="auto"/>
        <w:right w:val="none" w:sz="0" w:space="0" w:color="auto"/>
      </w:divBdr>
    </w:div>
    <w:div w:id="1333482775">
      <w:bodyDiv w:val="1"/>
      <w:marLeft w:val="0"/>
      <w:marRight w:val="0"/>
      <w:marTop w:val="0"/>
      <w:marBottom w:val="0"/>
      <w:divBdr>
        <w:top w:val="none" w:sz="0" w:space="0" w:color="auto"/>
        <w:left w:val="none" w:sz="0" w:space="0" w:color="auto"/>
        <w:bottom w:val="none" w:sz="0" w:space="0" w:color="auto"/>
        <w:right w:val="none" w:sz="0" w:space="0" w:color="auto"/>
      </w:divBdr>
    </w:div>
    <w:div w:id="1384479146">
      <w:bodyDiv w:val="1"/>
      <w:marLeft w:val="0"/>
      <w:marRight w:val="0"/>
      <w:marTop w:val="0"/>
      <w:marBottom w:val="0"/>
      <w:divBdr>
        <w:top w:val="none" w:sz="0" w:space="0" w:color="auto"/>
        <w:left w:val="none" w:sz="0" w:space="0" w:color="auto"/>
        <w:bottom w:val="none" w:sz="0" w:space="0" w:color="auto"/>
        <w:right w:val="none" w:sz="0" w:space="0" w:color="auto"/>
      </w:divBdr>
    </w:div>
    <w:div w:id="1548688075">
      <w:bodyDiv w:val="1"/>
      <w:marLeft w:val="0"/>
      <w:marRight w:val="0"/>
      <w:marTop w:val="0"/>
      <w:marBottom w:val="0"/>
      <w:divBdr>
        <w:top w:val="none" w:sz="0" w:space="0" w:color="auto"/>
        <w:left w:val="none" w:sz="0" w:space="0" w:color="auto"/>
        <w:bottom w:val="none" w:sz="0" w:space="0" w:color="auto"/>
        <w:right w:val="none" w:sz="0" w:space="0" w:color="auto"/>
      </w:divBdr>
    </w:div>
    <w:div w:id="1568227380">
      <w:bodyDiv w:val="1"/>
      <w:marLeft w:val="0"/>
      <w:marRight w:val="0"/>
      <w:marTop w:val="0"/>
      <w:marBottom w:val="0"/>
      <w:divBdr>
        <w:top w:val="none" w:sz="0" w:space="0" w:color="auto"/>
        <w:left w:val="none" w:sz="0" w:space="0" w:color="auto"/>
        <w:bottom w:val="none" w:sz="0" w:space="0" w:color="auto"/>
        <w:right w:val="none" w:sz="0" w:space="0" w:color="auto"/>
      </w:divBdr>
    </w:div>
    <w:div w:id="1620071081">
      <w:bodyDiv w:val="1"/>
      <w:marLeft w:val="0"/>
      <w:marRight w:val="0"/>
      <w:marTop w:val="0"/>
      <w:marBottom w:val="0"/>
      <w:divBdr>
        <w:top w:val="none" w:sz="0" w:space="0" w:color="auto"/>
        <w:left w:val="none" w:sz="0" w:space="0" w:color="auto"/>
        <w:bottom w:val="none" w:sz="0" w:space="0" w:color="auto"/>
        <w:right w:val="none" w:sz="0" w:space="0" w:color="auto"/>
      </w:divBdr>
    </w:div>
    <w:div w:id="1650284292">
      <w:bodyDiv w:val="1"/>
      <w:marLeft w:val="0"/>
      <w:marRight w:val="0"/>
      <w:marTop w:val="0"/>
      <w:marBottom w:val="0"/>
      <w:divBdr>
        <w:top w:val="none" w:sz="0" w:space="0" w:color="auto"/>
        <w:left w:val="none" w:sz="0" w:space="0" w:color="auto"/>
        <w:bottom w:val="none" w:sz="0" w:space="0" w:color="auto"/>
        <w:right w:val="none" w:sz="0" w:space="0" w:color="auto"/>
      </w:divBdr>
    </w:div>
    <w:div w:id="1718814662">
      <w:bodyDiv w:val="1"/>
      <w:marLeft w:val="0"/>
      <w:marRight w:val="0"/>
      <w:marTop w:val="0"/>
      <w:marBottom w:val="0"/>
      <w:divBdr>
        <w:top w:val="none" w:sz="0" w:space="0" w:color="auto"/>
        <w:left w:val="none" w:sz="0" w:space="0" w:color="auto"/>
        <w:bottom w:val="none" w:sz="0" w:space="0" w:color="auto"/>
        <w:right w:val="none" w:sz="0" w:space="0" w:color="auto"/>
      </w:divBdr>
    </w:div>
    <w:div w:id="1878928557">
      <w:bodyDiv w:val="1"/>
      <w:marLeft w:val="0"/>
      <w:marRight w:val="0"/>
      <w:marTop w:val="0"/>
      <w:marBottom w:val="0"/>
      <w:divBdr>
        <w:top w:val="none" w:sz="0" w:space="0" w:color="auto"/>
        <w:left w:val="none" w:sz="0" w:space="0" w:color="auto"/>
        <w:bottom w:val="none" w:sz="0" w:space="0" w:color="auto"/>
        <w:right w:val="none" w:sz="0" w:space="0" w:color="auto"/>
      </w:divBdr>
      <w:divsChild>
        <w:div w:id="723724510">
          <w:marLeft w:val="806"/>
          <w:marRight w:val="0"/>
          <w:marTop w:val="86"/>
          <w:marBottom w:val="0"/>
          <w:divBdr>
            <w:top w:val="none" w:sz="0" w:space="0" w:color="auto"/>
            <w:left w:val="none" w:sz="0" w:space="0" w:color="auto"/>
            <w:bottom w:val="none" w:sz="0" w:space="0" w:color="auto"/>
            <w:right w:val="none" w:sz="0" w:space="0" w:color="auto"/>
          </w:divBdr>
        </w:div>
      </w:divsChild>
    </w:div>
    <w:div w:id="1935745225">
      <w:bodyDiv w:val="1"/>
      <w:marLeft w:val="0"/>
      <w:marRight w:val="0"/>
      <w:marTop w:val="0"/>
      <w:marBottom w:val="0"/>
      <w:divBdr>
        <w:top w:val="none" w:sz="0" w:space="0" w:color="auto"/>
        <w:left w:val="none" w:sz="0" w:space="0" w:color="auto"/>
        <w:bottom w:val="none" w:sz="0" w:space="0" w:color="auto"/>
        <w:right w:val="none" w:sz="0" w:space="0" w:color="auto"/>
      </w:divBdr>
    </w:div>
    <w:div w:id="2022313714">
      <w:bodyDiv w:val="1"/>
      <w:marLeft w:val="0"/>
      <w:marRight w:val="0"/>
      <w:marTop w:val="0"/>
      <w:marBottom w:val="0"/>
      <w:divBdr>
        <w:top w:val="none" w:sz="0" w:space="0" w:color="auto"/>
        <w:left w:val="none" w:sz="0" w:space="0" w:color="auto"/>
        <w:bottom w:val="none" w:sz="0" w:space="0" w:color="auto"/>
        <w:right w:val="none" w:sz="0" w:space="0" w:color="auto"/>
      </w:divBdr>
      <w:divsChild>
        <w:div w:id="2041973727">
          <w:marLeft w:val="806"/>
          <w:marRight w:val="0"/>
          <w:marTop w:val="86"/>
          <w:marBottom w:val="0"/>
          <w:divBdr>
            <w:top w:val="none" w:sz="0" w:space="0" w:color="auto"/>
            <w:left w:val="none" w:sz="0" w:space="0" w:color="auto"/>
            <w:bottom w:val="none" w:sz="0" w:space="0" w:color="auto"/>
            <w:right w:val="none" w:sz="0" w:space="0" w:color="auto"/>
          </w:divBdr>
        </w:div>
      </w:divsChild>
    </w:div>
    <w:div w:id="21429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image" Target="media/image4.emf"/><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settings" Target="settings.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image" Target="media/image2.emf"/><Relationship Id="rId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styles" Target="styles.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image" Target="media/image6.emf"/><Relationship Id="R8bc819012a2344af" Type="http://schemas.openxmlformats.org/officeDocument/2006/relationships/glossaryDocument" Target="/word/glossary/document.xml"/><Relationship Id="rId48"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image" Target="media/image5.emf"/><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header" Target="header2.xml"/><Relationship Id="rId20" Type="http://schemas.openxmlformats.org/officeDocument/2006/relationships/chart" Target="charts/chart5.xml"/><Relationship Id="rId4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swisscontact.org/nc/es/country/america-central/proyectos/proyectos/project/-/show/proyecto-de-seguridad-alimentaria-acs-prosasur-en-el-corredor-seco-de-honduras.html" TargetMode="External"/><Relationship Id="rId1" Type="http://schemas.openxmlformats.org/officeDocument/2006/relationships/hyperlink" Target="https://www.laprensa.hn/honduras/1284419-410/-sequ%C3%ADa-corredor-seco-honduras-falta-lluvias-cosech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ostro\Documents\Jorge\BID\Paper%20sobre%20Dda,%20Oferta%20de%20cr&#233;dito\Cr&#233;dito%20otorgado%20por%20el%20SF%20(%25%20del%20PIB).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ostro\Downloads\06.%20Prestamos%20Sistema%20Financiero%20-%20Junio%202019.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Vostro\Downloads\oferta_demandagl.xls"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Vostro\Downloads\oferta_demandagl.xls" TargetMode="External"/><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Vostro\Documents\Jorge\BID\Paper%20sobre%20Dda,%20Oferta%20de%20cr&#233;dito\Datos%20del%20SF%20Honduras.xls"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20.xml"/><Relationship Id="rId1" Type="http://schemas.microsoft.com/office/2011/relationships/chartStyle" Target="style20.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06.%20Prestamos%20Sistema%20Financiero%20-%20Junio%202019.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Vostro\Documents\Jorge\BID\Paper%20sobre%20Dda,%20Oferta%20de%20cr&#233;dito\Datos%20del%20SF%20Honduras.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Vostro\Documents\Jorge\BID\Paper%20sobre%20Dda,%20Oferta%20de%20cr&#233;dito\PIB%20real%20Honduras.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ostro\Downloads\06.%20Prestamos%20Sistema%20Financiero%20-%20Junio%202019.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ostro\Downloads\06.%20Prestamos%20Sistema%20Financiero%20-%20Junio%202019.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ostro\Downloads\06.%20Prestamos%20Sistema%20Financiero%20-%20Junio%202019.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ostro\Downloads\06.%20Prestamos%20Sistema%20Financiero%20-%20Junio%202019.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ostro\Downloads\06.%20Prestamos%20Sistema%20Financiero%20-%20Junio%202019.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333333"/>
                </a:solidFill>
                <a:latin typeface="Calibri"/>
                <a:ea typeface="Calibri"/>
                <a:cs typeface="Calibri"/>
              </a:defRPr>
            </a:pPr>
            <a:r>
              <a:rPr lang="es-MX" sz="1100" b="1">
                <a:latin typeface="Arial" panose="020B0604020202020204" pitchFamily="34" charset="0"/>
                <a:cs typeface="Arial" panose="020B0604020202020204" pitchFamily="34" charset="0"/>
              </a:rPr>
              <a:t>Participación del crédito en el PIB</a:t>
            </a:r>
          </a:p>
          <a:p>
            <a:pPr>
              <a:defRPr sz="1200" b="0" i="0" u="none" strike="noStrike" baseline="0">
                <a:solidFill>
                  <a:srgbClr val="333333"/>
                </a:solidFill>
                <a:latin typeface="Calibri"/>
                <a:ea typeface="Calibri"/>
                <a:cs typeface="Calibri"/>
              </a:defRPr>
            </a:pPr>
            <a:r>
              <a:rPr lang="es-MX" sz="1100">
                <a:latin typeface="Arial" panose="020B0604020202020204" pitchFamily="34" charset="0"/>
                <a:cs typeface="Arial" panose="020B0604020202020204" pitchFamily="34" charset="0"/>
              </a:rPr>
              <a:t>(Porcentaje)</a:t>
            </a:r>
          </a:p>
        </c:rich>
      </c:tx>
      <c:overlay val="0"/>
      <c:spPr>
        <a:noFill/>
        <a:ln w="25400">
          <a:noFill/>
        </a:ln>
      </c:spPr>
    </c:title>
    <c:autoTitleDeleted val="0"/>
    <c:plotArea>
      <c:layout/>
      <c:barChart>
        <c:barDir val="col"/>
        <c:grouping val="clustered"/>
        <c:varyColors val="0"/>
        <c:ser>
          <c:idx val="2"/>
          <c:order val="1"/>
          <c:tx>
            <c:strRef>
              <c:f>Data!$A$270</c:f>
              <c:strCache>
                <c:ptCount val="1"/>
                <c:pt idx="0">
                  <c:v>CA</c:v>
                </c:pt>
              </c:strCache>
            </c:strRef>
          </c:tx>
          <c:spPr>
            <a:solidFill>
              <a:srgbClr val="00B0F0"/>
            </a:solidFill>
            <a:ln w="25400">
              <a:noFill/>
            </a:ln>
          </c:spPr>
          <c:invertIfNegative val="0"/>
          <c:val>
            <c:numRef>
              <c:f>Data!$E$270:$BK$270</c:f>
              <c:numCache>
                <c:formatCode>General</c:formatCode>
                <c:ptCount val="59"/>
                <c:pt idx="0">
                  <c:v>21.484477712396039</c:v>
                </c:pt>
                <c:pt idx="1">
                  <c:v>21.996034083543126</c:v>
                </c:pt>
                <c:pt idx="2">
                  <c:v>16.879205993578829</c:v>
                </c:pt>
                <c:pt idx="3">
                  <c:v>18.104868006876412</c:v>
                </c:pt>
                <c:pt idx="4">
                  <c:v>19.252815819145361</c:v>
                </c:pt>
                <c:pt idx="5">
                  <c:v>20.514321145930641</c:v>
                </c:pt>
                <c:pt idx="6">
                  <c:v>21.652053336655332</c:v>
                </c:pt>
                <c:pt idx="7">
                  <c:v>23.135750395910772</c:v>
                </c:pt>
                <c:pt idx="8">
                  <c:v>22.98188971816062</c:v>
                </c:pt>
                <c:pt idx="9">
                  <c:v>24.378912703176692</c:v>
                </c:pt>
                <c:pt idx="10">
                  <c:v>25.108687300463814</c:v>
                </c:pt>
                <c:pt idx="11">
                  <c:v>27.915959298305712</c:v>
                </c:pt>
                <c:pt idx="12">
                  <c:v>29.62911893669629</c:v>
                </c:pt>
                <c:pt idx="13">
                  <c:v>29.962992817660052</c:v>
                </c:pt>
                <c:pt idx="14">
                  <c:v>32.490637604483688</c:v>
                </c:pt>
                <c:pt idx="15">
                  <c:v>34.423110543807958</c:v>
                </c:pt>
                <c:pt idx="16">
                  <c:v>33.714708215935644</c:v>
                </c:pt>
                <c:pt idx="17">
                  <c:v>33.103151660189404</c:v>
                </c:pt>
                <c:pt idx="18">
                  <c:v>33.073788219970552</c:v>
                </c:pt>
                <c:pt idx="19">
                  <c:v>40.080011361894371</c:v>
                </c:pt>
                <c:pt idx="20">
                  <c:v>45.308079287057161</c:v>
                </c:pt>
                <c:pt idx="21">
                  <c:v>45.915577425070381</c:v>
                </c:pt>
                <c:pt idx="22">
                  <c:v>45.16701407863048</c:v>
                </c:pt>
                <c:pt idx="23">
                  <c:v>55.162558480570453</c:v>
                </c:pt>
                <c:pt idx="24">
                  <c:v>55.897534646447561</c:v>
                </c:pt>
                <c:pt idx="25">
                  <c:v>53.132044424178417</c:v>
                </c:pt>
                <c:pt idx="26">
                  <c:v>41.849942859776654</c:v>
                </c:pt>
                <c:pt idx="27">
                  <c:v>40.638794224569146</c:v>
                </c:pt>
                <c:pt idx="28">
                  <c:v>43.630175102931638</c:v>
                </c:pt>
                <c:pt idx="29">
                  <c:v>37.93825157331424</c:v>
                </c:pt>
                <c:pt idx="30">
                  <c:v>52.049433376806526</c:v>
                </c:pt>
                <c:pt idx="31">
                  <c:v>31.679288297834969</c:v>
                </c:pt>
                <c:pt idx="32">
                  <c:v>65.622473213391075</c:v>
                </c:pt>
                <c:pt idx="33">
                  <c:v>64.934319870345462</c:v>
                </c:pt>
                <c:pt idx="34">
                  <c:v>45.047025061566046</c:v>
                </c:pt>
                <c:pt idx="35">
                  <c:v>42.553613902913874</c:v>
                </c:pt>
                <c:pt idx="36">
                  <c:v>42.413755200671545</c:v>
                </c:pt>
                <c:pt idx="37">
                  <c:v>44.075323233077874</c:v>
                </c:pt>
                <c:pt idx="38">
                  <c:v>46.235461548045514</c:v>
                </c:pt>
                <c:pt idx="39">
                  <c:v>48.119397066279326</c:v>
                </c:pt>
                <c:pt idx="40">
                  <c:v>50.661403815131507</c:v>
                </c:pt>
                <c:pt idx="41">
                  <c:v>52.43271614333279</c:v>
                </c:pt>
                <c:pt idx="42">
                  <c:v>51.117687636400035</c:v>
                </c:pt>
                <c:pt idx="43">
                  <c:v>53.257266057070176</c:v>
                </c:pt>
                <c:pt idx="44">
                  <c:v>52.747357597629495</c:v>
                </c:pt>
                <c:pt idx="45">
                  <c:v>55.746132145812489</c:v>
                </c:pt>
                <c:pt idx="46">
                  <c:v>56.538775876573823</c:v>
                </c:pt>
                <c:pt idx="47">
                  <c:v>58.626668342800656</c:v>
                </c:pt>
                <c:pt idx="48">
                  <c:v>58.161551720561938</c:v>
                </c:pt>
                <c:pt idx="49">
                  <c:v>58.031703322012653</c:v>
                </c:pt>
                <c:pt idx="50">
                  <c:v>57.946138836125748</c:v>
                </c:pt>
                <c:pt idx="51">
                  <c:v>58.319624659242287</c:v>
                </c:pt>
                <c:pt idx="52">
                  <c:v>59.097542240016175</c:v>
                </c:pt>
                <c:pt idx="53">
                  <c:v>59.150115073080705</c:v>
                </c:pt>
                <c:pt idx="54">
                  <c:v>62.749379156336467</c:v>
                </c:pt>
                <c:pt idx="55">
                  <c:v>64.50687129840253</c:v>
                </c:pt>
                <c:pt idx="56">
                  <c:v>66.524170088806159</c:v>
                </c:pt>
                <c:pt idx="57">
                  <c:v>67.509947650126989</c:v>
                </c:pt>
                <c:pt idx="58">
                  <c:v>68.095435170049484</c:v>
                </c:pt>
              </c:numCache>
            </c:numRef>
          </c:val>
          <c:extLst>
            <c:ext xmlns:c16="http://schemas.microsoft.com/office/drawing/2014/chart" uri="{C3380CC4-5D6E-409C-BE32-E72D297353CC}">
              <c16:uniqueId val="{00000000-9CDF-49E2-A8A5-E6AC1EC20125}"/>
            </c:ext>
          </c:extLst>
        </c:ser>
        <c:dLbls>
          <c:showLegendKey val="0"/>
          <c:showVal val="0"/>
          <c:showCatName val="0"/>
          <c:showSerName val="0"/>
          <c:showPercent val="0"/>
          <c:showBubbleSize val="0"/>
        </c:dLbls>
        <c:gapWidth val="50"/>
        <c:axId val="398820520"/>
        <c:axId val="398821304"/>
      </c:barChart>
      <c:lineChart>
        <c:grouping val="standard"/>
        <c:varyColors val="0"/>
        <c:ser>
          <c:idx val="0"/>
          <c:order val="0"/>
          <c:tx>
            <c:strRef>
              <c:f>Data!$A$100</c:f>
              <c:strCache>
                <c:ptCount val="1"/>
                <c:pt idx="0">
                  <c:v>Honduras</c:v>
                </c:pt>
              </c:strCache>
            </c:strRef>
          </c:tx>
          <c:spPr>
            <a:ln w="34925" cap="rnd">
              <a:solidFill>
                <a:srgbClr val="002060"/>
              </a:solidFill>
              <a:round/>
            </a:ln>
            <a:effectLst/>
          </c:spPr>
          <c:marker>
            <c:symbol val="none"/>
          </c:marker>
          <c:cat>
            <c:strRef>
              <c:f>Data!$E$4:$BK$4</c:f>
              <c:strCache>
                <c:ptCount val="59"/>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pt idx="58">
                  <c:v>2018</c:v>
                </c:pt>
              </c:strCache>
            </c:strRef>
          </c:cat>
          <c:val>
            <c:numRef>
              <c:f>Data!$E$100:$BK$100</c:f>
              <c:numCache>
                <c:formatCode>General</c:formatCode>
                <c:ptCount val="59"/>
                <c:pt idx="0">
                  <c:v>12.989721436019666</c:v>
                </c:pt>
                <c:pt idx="1">
                  <c:v>14.738910724312188</c:v>
                </c:pt>
                <c:pt idx="2">
                  <c:v>11.42488716956802</c:v>
                </c:pt>
                <c:pt idx="3">
                  <c:v>14.151633349585572</c:v>
                </c:pt>
                <c:pt idx="4">
                  <c:v>14.048140043763677</c:v>
                </c:pt>
                <c:pt idx="5">
                  <c:v>14.626953700973164</c:v>
                </c:pt>
                <c:pt idx="6">
                  <c:v>14.583143922174743</c:v>
                </c:pt>
                <c:pt idx="7">
                  <c:v>19.060357799699045</c:v>
                </c:pt>
                <c:pt idx="8">
                  <c:v>19.449598021026592</c:v>
                </c:pt>
                <c:pt idx="9">
                  <c:v>24.131734720678537</c:v>
                </c:pt>
                <c:pt idx="10">
                  <c:v>27.793914246196405</c:v>
                </c:pt>
                <c:pt idx="11">
                  <c:v>29.787961696306432</c:v>
                </c:pt>
                <c:pt idx="12">
                  <c:v>29.788295752695877</c:v>
                </c:pt>
                <c:pt idx="13">
                  <c:v>32.372604513567374</c:v>
                </c:pt>
                <c:pt idx="14">
                  <c:v>32.406959884001935</c:v>
                </c:pt>
                <c:pt idx="15">
                  <c:v>35.413701067615662</c:v>
                </c:pt>
                <c:pt idx="16">
                  <c:v>35.126114062541333</c:v>
                </c:pt>
                <c:pt idx="17">
                  <c:v>35.2740351983838</c:v>
                </c:pt>
                <c:pt idx="18">
                  <c:v>22.150351162436319</c:v>
                </c:pt>
                <c:pt idx="19">
                  <c:v>22.33033390949366</c:v>
                </c:pt>
                <c:pt idx="20">
                  <c:v>22.985464029416974</c:v>
                </c:pt>
                <c:pt idx="21">
                  <c:v>25.44823816887526</c:v>
                </c:pt>
                <c:pt idx="22">
                  <c:v>27.660823269356793</c:v>
                </c:pt>
                <c:pt idx="23">
                  <c:v>31.15131406958616</c:v>
                </c:pt>
                <c:pt idx="24">
                  <c:v>31.466976019131632</c:v>
                </c:pt>
                <c:pt idx="25">
                  <c:v>31.971606787788588</c:v>
                </c:pt>
                <c:pt idx="26">
                  <c:v>31.9356221035119</c:v>
                </c:pt>
                <c:pt idx="27">
                  <c:v>33.675678003273731</c:v>
                </c:pt>
                <c:pt idx="28">
                  <c:v>33.05962794332887</c:v>
                </c:pt>
                <c:pt idx="29">
                  <c:v>32.171285218685604</c:v>
                </c:pt>
                <c:pt idx="30">
                  <c:v>25.346019582602619</c:v>
                </c:pt>
                <c:pt idx="31">
                  <c:v>21.554828682384283</c:v>
                </c:pt>
                <c:pt idx="32">
                  <c:v>21.906204710905754</c:v>
                </c:pt>
                <c:pt idx="33">
                  <c:v>21.987624705563881</c:v>
                </c:pt>
                <c:pt idx="34">
                  <c:v>22.75872981259473</c:v>
                </c:pt>
                <c:pt idx="35">
                  <c:v>19.167935064994428</c:v>
                </c:pt>
                <c:pt idx="36">
                  <c:v>19.750123438069046</c:v>
                </c:pt>
                <c:pt idx="37">
                  <c:v>23.343507797326307</c:v>
                </c:pt>
                <c:pt idx="38">
                  <c:v>24.209124092129052</c:v>
                </c:pt>
                <c:pt idx="39">
                  <c:v>23.55170518737792</c:v>
                </c:pt>
                <c:pt idx="40">
                  <c:v>23.487722643280808</c:v>
                </c:pt>
                <c:pt idx="41">
                  <c:v>34.482202600219395</c:v>
                </c:pt>
                <c:pt idx="42">
                  <c:v>33.671809756768695</c:v>
                </c:pt>
                <c:pt idx="43">
                  <c:v>37.873780094693601</c:v>
                </c:pt>
                <c:pt idx="44">
                  <c:v>37.245045861884925</c:v>
                </c:pt>
                <c:pt idx="45">
                  <c:v>38.386517237105828</c:v>
                </c:pt>
                <c:pt idx="46">
                  <c:v>42.58346527516477</c:v>
                </c:pt>
                <c:pt idx="47">
                  <c:v>50.701147939965885</c:v>
                </c:pt>
                <c:pt idx="48">
                  <c:v>50.22100500011851</c:v>
                </c:pt>
                <c:pt idx="49">
                  <c:v>51.857950672552768</c:v>
                </c:pt>
                <c:pt idx="50">
                  <c:v>49.555075776305941</c:v>
                </c:pt>
                <c:pt idx="51">
                  <c:v>51.402803292211573</c:v>
                </c:pt>
                <c:pt idx="52">
                  <c:v>55.328629788085195</c:v>
                </c:pt>
                <c:pt idx="53">
                  <c:v>56.839401037927495</c:v>
                </c:pt>
                <c:pt idx="54">
                  <c:v>57.550487565203731</c:v>
                </c:pt>
                <c:pt idx="55">
                  <c:v>55.827895380637962</c:v>
                </c:pt>
                <c:pt idx="56">
                  <c:v>60.465931214838875</c:v>
                </c:pt>
                <c:pt idx="57">
                  <c:v>59.908761366385065</c:v>
                </c:pt>
                <c:pt idx="58">
                  <c:v>64.110105378733493</c:v>
                </c:pt>
              </c:numCache>
            </c:numRef>
          </c:val>
          <c:smooth val="0"/>
          <c:extLst>
            <c:ext xmlns:c16="http://schemas.microsoft.com/office/drawing/2014/chart" uri="{C3380CC4-5D6E-409C-BE32-E72D297353CC}">
              <c16:uniqueId val="{00000001-9CDF-49E2-A8A5-E6AC1EC20125}"/>
            </c:ext>
          </c:extLst>
        </c:ser>
        <c:ser>
          <c:idx val="1"/>
          <c:order val="2"/>
          <c:tx>
            <c:v>Diferencial Honduras vs CA</c:v>
          </c:tx>
          <c:spPr>
            <a:ln w="38100">
              <a:solidFill>
                <a:srgbClr val="FFFF00"/>
              </a:solidFill>
            </a:ln>
          </c:spPr>
          <c:marker>
            <c:symbol val="none"/>
          </c:marker>
          <c:val>
            <c:numRef>
              <c:f>Data!$E$272:$BK$272</c:f>
              <c:numCache>
                <c:formatCode>General</c:formatCode>
                <c:ptCount val="59"/>
                <c:pt idx="0">
                  <c:v>8.4947562763763731</c:v>
                </c:pt>
                <c:pt idx="1">
                  <c:v>7.2571233592309383</c:v>
                </c:pt>
                <c:pt idx="2">
                  <c:v>5.4543188240108087</c:v>
                </c:pt>
                <c:pt idx="3">
                  <c:v>3.9532346572908406</c:v>
                </c:pt>
                <c:pt idx="4">
                  <c:v>5.2046757753816841</c:v>
                </c:pt>
                <c:pt idx="5">
                  <c:v>5.8873674449574764</c:v>
                </c:pt>
                <c:pt idx="6">
                  <c:v>7.0689094144805882</c:v>
                </c:pt>
                <c:pt idx="7">
                  <c:v>4.0753925962117279</c:v>
                </c:pt>
                <c:pt idx="8">
                  <c:v>3.5322916971340277</c:v>
                </c:pt>
                <c:pt idx="9">
                  <c:v>0.24717798249815459</c:v>
                </c:pt>
                <c:pt idx="10">
                  <c:v>-2.685226945732591</c:v>
                </c:pt>
                <c:pt idx="11">
                  <c:v>-1.8720023980007205</c:v>
                </c:pt>
                <c:pt idx="12">
                  <c:v>-0.15917681599958655</c:v>
                </c:pt>
                <c:pt idx="13">
                  <c:v>-2.4096116959073228</c:v>
                </c:pt>
                <c:pt idx="14">
                  <c:v>8.367772048175226E-2</c:v>
                </c:pt>
                <c:pt idx="15">
                  <c:v>-0.99059052380770396</c:v>
                </c:pt>
                <c:pt idx="16">
                  <c:v>-1.4114058466056889</c:v>
                </c:pt>
                <c:pt idx="17">
                  <c:v>-2.1708835381943956</c:v>
                </c:pt>
                <c:pt idx="18">
                  <c:v>10.923437057534233</c:v>
                </c:pt>
                <c:pt idx="19">
                  <c:v>17.749677452400711</c:v>
                </c:pt>
                <c:pt idx="20">
                  <c:v>22.322615257640187</c:v>
                </c:pt>
                <c:pt idx="21">
                  <c:v>20.467339256195121</c:v>
                </c:pt>
                <c:pt idx="22">
                  <c:v>17.506190809273686</c:v>
                </c:pt>
                <c:pt idx="23">
                  <c:v>24.011244410984293</c:v>
                </c:pt>
                <c:pt idx="24">
                  <c:v>24.430558627315929</c:v>
                </c:pt>
                <c:pt idx="25">
                  <c:v>21.16043763638983</c:v>
                </c:pt>
                <c:pt idx="26">
                  <c:v>9.914320756264754</c:v>
                </c:pt>
                <c:pt idx="27">
                  <c:v>6.9631162212954152</c:v>
                </c:pt>
                <c:pt idx="28">
                  <c:v>10.570547159602768</c:v>
                </c:pt>
                <c:pt idx="29">
                  <c:v>5.7669663546286358</c:v>
                </c:pt>
                <c:pt idx="30">
                  <c:v>26.703413794203907</c:v>
                </c:pt>
                <c:pt idx="31">
                  <c:v>10.124459615450686</c:v>
                </c:pt>
                <c:pt idx="32">
                  <c:v>43.71626850248532</c:v>
                </c:pt>
                <c:pt idx="33">
                  <c:v>42.94669516478158</c:v>
                </c:pt>
                <c:pt idx="34">
                  <c:v>22.288295248971316</c:v>
                </c:pt>
                <c:pt idx="35">
                  <c:v>23.385678837919446</c:v>
                </c:pt>
                <c:pt idx="36">
                  <c:v>22.663631762602499</c:v>
                </c:pt>
                <c:pt idx="37">
                  <c:v>20.731815435751567</c:v>
                </c:pt>
                <c:pt idx="38">
                  <c:v>22.026337455916462</c:v>
                </c:pt>
                <c:pt idx="39">
                  <c:v>24.567691878901407</c:v>
                </c:pt>
                <c:pt idx="40">
                  <c:v>27.173681171850699</c:v>
                </c:pt>
                <c:pt idx="41">
                  <c:v>17.950513543113395</c:v>
                </c:pt>
                <c:pt idx="42">
                  <c:v>17.44587787963134</c:v>
                </c:pt>
                <c:pt idx="43">
                  <c:v>15.383485962376575</c:v>
                </c:pt>
                <c:pt idx="44">
                  <c:v>15.50231173574457</c:v>
                </c:pt>
                <c:pt idx="45">
                  <c:v>17.359614908706661</c:v>
                </c:pt>
                <c:pt idx="46">
                  <c:v>13.955310601409053</c:v>
                </c:pt>
                <c:pt idx="47">
                  <c:v>7.9255204028347706</c:v>
                </c:pt>
                <c:pt idx="48">
                  <c:v>7.9405467204434288</c:v>
                </c:pt>
                <c:pt idx="49">
                  <c:v>6.1737526494598853</c:v>
                </c:pt>
                <c:pt idx="50">
                  <c:v>8.3910630598198068</c:v>
                </c:pt>
                <c:pt idx="51">
                  <c:v>6.9168213670307139</c:v>
                </c:pt>
                <c:pt idx="52">
                  <c:v>3.76891245193098</c:v>
                </c:pt>
                <c:pt idx="53">
                  <c:v>2.3107140351532109</c:v>
                </c:pt>
                <c:pt idx="54">
                  <c:v>5.1988915911327354</c:v>
                </c:pt>
                <c:pt idx="55">
                  <c:v>8.6789759177645678</c:v>
                </c:pt>
                <c:pt idx="56">
                  <c:v>6.0582388739672837</c:v>
                </c:pt>
                <c:pt idx="57">
                  <c:v>7.6011862837419244</c:v>
                </c:pt>
                <c:pt idx="58">
                  <c:v>3.9853297913159906</c:v>
                </c:pt>
              </c:numCache>
            </c:numRef>
          </c:val>
          <c:smooth val="0"/>
          <c:extLst>
            <c:ext xmlns:c16="http://schemas.microsoft.com/office/drawing/2014/chart" uri="{C3380CC4-5D6E-409C-BE32-E72D297353CC}">
              <c16:uniqueId val="{00000002-9CDF-49E2-A8A5-E6AC1EC20125}"/>
            </c:ext>
          </c:extLst>
        </c:ser>
        <c:dLbls>
          <c:showLegendKey val="0"/>
          <c:showVal val="0"/>
          <c:showCatName val="0"/>
          <c:showSerName val="0"/>
          <c:showPercent val="0"/>
          <c:showBubbleSize val="0"/>
        </c:dLbls>
        <c:marker val="1"/>
        <c:smooth val="0"/>
        <c:axId val="398820520"/>
        <c:axId val="398821304"/>
      </c:lineChart>
      <c:catAx>
        <c:axId val="39882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333333"/>
                </a:solidFill>
                <a:latin typeface="Calibri"/>
                <a:ea typeface="Calibri"/>
                <a:cs typeface="Calibri"/>
              </a:defRPr>
            </a:pPr>
            <a:endParaRPr lang="en-US"/>
          </a:p>
        </c:txPr>
        <c:crossAx val="398821304"/>
        <c:crosses val="autoZero"/>
        <c:auto val="1"/>
        <c:lblAlgn val="ctr"/>
        <c:lblOffset val="100"/>
        <c:noMultiLvlLbl val="0"/>
      </c:catAx>
      <c:valAx>
        <c:axId val="398821304"/>
        <c:scaling>
          <c:orientation val="minMax"/>
        </c:scaling>
        <c:delete val="0"/>
        <c:axPos val="l"/>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8820520"/>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no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Población rural por</a:t>
            </a:r>
            <a:r>
              <a:rPr lang="es-MX" sz="1100" b="1" baseline="0">
                <a:latin typeface="Arial" panose="020B0604020202020204" pitchFamily="34" charset="0"/>
                <a:cs typeface="Arial" panose="020B0604020202020204" pitchFamily="34" charset="0"/>
              </a:rPr>
              <a:t> Departamento</a:t>
            </a:r>
          </a:p>
          <a:p>
            <a:pPr>
              <a:defRPr sz="1100">
                <a:latin typeface="Arial" panose="020B0604020202020204" pitchFamily="34" charset="0"/>
                <a:cs typeface="Arial" panose="020B0604020202020204" pitchFamily="34" charset="0"/>
              </a:defRPr>
            </a:pPr>
            <a:r>
              <a:rPr lang="es-MX" sz="1000" baseline="0">
                <a:latin typeface="Arial" panose="020B0604020202020204" pitchFamily="34" charset="0"/>
                <a:cs typeface="Arial" panose="020B0604020202020204" pitchFamily="34" charset="0"/>
              </a:rPr>
              <a:t>(participación % a 2018)</a:t>
            </a:r>
            <a:endParaRPr lang="es-MX"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dLbls>
            <c:dLbl>
              <c:idx val="1"/>
              <c:layout>
                <c:manualLayout>
                  <c:x val="0"/>
                  <c:y val="2.2539446693853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1F-446A-8A84-628F80F63E7E}"/>
                </c:ext>
              </c:extLst>
            </c:dLbl>
            <c:dLbl>
              <c:idx val="4"/>
              <c:layout>
                <c:manualLayout>
                  <c:x val="0"/>
                  <c:y val="2.2539446693853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1F-446A-8A84-628F80F63E7E}"/>
                </c:ext>
              </c:extLst>
            </c:dLbl>
            <c:dLbl>
              <c:idx val="11"/>
              <c:layout>
                <c:manualLayout>
                  <c:x val="0"/>
                  <c:y val="1.352366801631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1F-446A-8A84-628F80F63E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Prestamos Sistema Financiero - Junio 2019.xlsx]Distribución Geográfica'!$F$57:$F$74</c:f>
              <c:strCache>
                <c:ptCount val="18"/>
                <c:pt idx="0">
                  <c:v>Fco Morazán</c:v>
                </c:pt>
                <c:pt idx="1">
                  <c:v>Cortés</c:v>
                </c:pt>
                <c:pt idx="2">
                  <c:v>Intibucá</c:v>
                </c:pt>
                <c:pt idx="3">
                  <c:v>Atlántida</c:v>
                </c:pt>
                <c:pt idx="4">
                  <c:v>Copán</c:v>
                </c:pt>
                <c:pt idx="5">
                  <c:v>Choluteca</c:v>
                </c:pt>
                <c:pt idx="6">
                  <c:v>Comayagua</c:v>
                </c:pt>
                <c:pt idx="7">
                  <c:v>Olancho</c:v>
                </c:pt>
                <c:pt idx="8">
                  <c:v>Colón</c:v>
                </c:pt>
                <c:pt idx="9">
                  <c:v>Yoro</c:v>
                </c:pt>
                <c:pt idx="10">
                  <c:v>El Paraíso</c:v>
                </c:pt>
                <c:pt idx="11">
                  <c:v>Santa Bárbara</c:v>
                </c:pt>
                <c:pt idx="12">
                  <c:v>Ocotepeque</c:v>
                </c:pt>
                <c:pt idx="13">
                  <c:v>Valle</c:v>
                </c:pt>
                <c:pt idx="14">
                  <c:v>Islas de la Bahía</c:v>
                </c:pt>
                <c:pt idx="15">
                  <c:v>La Paz</c:v>
                </c:pt>
                <c:pt idx="16">
                  <c:v>Lempira</c:v>
                </c:pt>
                <c:pt idx="17">
                  <c:v>Gracias a Dios</c:v>
                </c:pt>
              </c:strCache>
            </c:strRef>
          </c:cat>
          <c:val>
            <c:numRef>
              <c:f>'[06. Prestamos Sistema Financiero - Junio 2019.xlsx]Distribución Geográfica'!$P$57:$P$74</c:f>
              <c:numCache>
                <c:formatCode>0%</c:formatCode>
                <c:ptCount val="18"/>
                <c:pt idx="0">
                  <c:v>0.22560641412149995</c:v>
                </c:pt>
                <c:pt idx="1">
                  <c:v>0.17805130198076538</c:v>
                </c:pt>
                <c:pt idx="2">
                  <c:v>0.7947609697330027</c:v>
                </c:pt>
                <c:pt idx="3">
                  <c:v>0.33422255208609447</c:v>
                </c:pt>
                <c:pt idx="4">
                  <c:v>0.61005569314647567</c:v>
                </c:pt>
                <c:pt idx="5">
                  <c:v>0.61821126166090978</c:v>
                </c:pt>
                <c:pt idx="6">
                  <c:v>0.50719664175178281</c:v>
                </c:pt>
                <c:pt idx="7">
                  <c:v>0.64539676445809468</c:v>
                </c:pt>
                <c:pt idx="8">
                  <c:v>0.51359203896991046</c:v>
                </c:pt>
                <c:pt idx="9">
                  <c:v>0.46953492655748502</c:v>
                </c:pt>
                <c:pt idx="10">
                  <c:v>0.68787185354691072</c:v>
                </c:pt>
                <c:pt idx="11">
                  <c:v>0.66136642311429705</c:v>
                </c:pt>
                <c:pt idx="12">
                  <c:v>0.70879636582069383</c:v>
                </c:pt>
                <c:pt idx="13">
                  <c:v>0.61725342417682083</c:v>
                </c:pt>
                <c:pt idx="14">
                  <c:v>0.46315361310592462</c:v>
                </c:pt>
                <c:pt idx="15">
                  <c:v>0.72210456529345679</c:v>
                </c:pt>
                <c:pt idx="16">
                  <c:v>0.90159873966307602</c:v>
                </c:pt>
                <c:pt idx="17">
                  <c:v>0.63830953900143561</c:v>
                </c:pt>
              </c:numCache>
            </c:numRef>
          </c:val>
          <c:extLst>
            <c:ext xmlns:c16="http://schemas.microsoft.com/office/drawing/2014/chart" uri="{C3380CC4-5D6E-409C-BE32-E72D297353CC}">
              <c16:uniqueId val="{00000003-161F-446A-8A84-628F80F63E7E}"/>
            </c:ext>
          </c:extLst>
        </c:ser>
        <c:dLbls>
          <c:showLegendKey val="0"/>
          <c:showVal val="0"/>
          <c:showCatName val="0"/>
          <c:showSerName val="0"/>
          <c:showPercent val="0"/>
          <c:showBubbleSize val="0"/>
        </c:dLbls>
        <c:gapWidth val="50"/>
        <c:overlap val="-27"/>
        <c:axId val="401735360"/>
        <c:axId val="401735752"/>
      </c:barChart>
      <c:catAx>
        <c:axId val="40173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35752"/>
        <c:crosses val="autoZero"/>
        <c:auto val="1"/>
        <c:lblAlgn val="ctr"/>
        <c:lblOffset val="100"/>
        <c:noMultiLvlLbl val="0"/>
      </c:catAx>
      <c:valAx>
        <c:axId val="40173575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35360"/>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Cartera de crédito por destino</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089195100612425"/>
          <c:y val="0.15115740740740741"/>
          <c:w val="0.75873031496062993"/>
          <c:h val="0.46621682706328377"/>
        </c:manualLayout>
      </c:layout>
      <c:barChart>
        <c:barDir val="col"/>
        <c:grouping val="clustered"/>
        <c:varyColors val="0"/>
        <c:ser>
          <c:idx val="0"/>
          <c:order val="0"/>
          <c:tx>
            <c:v>USD</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act Junio 2019'!$G$38:$G$51</c:f>
              <c:strCache>
                <c:ptCount val="14"/>
                <c:pt idx="0">
                  <c:v>Prop. Raíz</c:v>
                </c:pt>
                <c:pt idx="1">
                  <c:v>Consumo</c:v>
                </c:pt>
                <c:pt idx="2">
                  <c:v>Comercio</c:v>
                </c:pt>
                <c:pt idx="3">
                  <c:v>Servicios</c:v>
                </c:pt>
                <c:pt idx="4">
                  <c:v>Industrias</c:v>
                </c:pt>
                <c:pt idx="5">
                  <c:v>Agrop, silv, avic y pesca</c:v>
                </c:pt>
                <c:pt idx="6">
                  <c:v>Transporte y Comunic.</c:v>
                </c:pt>
                <c:pt idx="7">
                  <c:v>Gob Local</c:v>
                </c:pt>
                <c:pt idx="8">
                  <c:v>Finan. de Exp.</c:v>
                </c:pt>
                <c:pt idx="9">
                  <c:v>Inst Descentralizadas</c:v>
                </c:pt>
                <c:pt idx="10">
                  <c:v> Bco Nacionales</c:v>
                </c:pt>
                <c:pt idx="11">
                  <c:v>Minería y canteras</c:v>
                </c:pt>
                <c:pt idx="12">
                  <c:v>Gob Central</c:v>
                </c:pt>
                <c:pt idx="13">
                  <c:v>Préstamos s/pólizas</c:v>
                </c:pt>
              </c:strCache>
            </c:strRef>
          </c:cat>
          <c:val>
            <c:numRef>
              <c:f>'Cdo x act Junio 2019'!$J$38:$J$51</c:f>
              <c:numCache>
                <c:formatCode>#,##0</c:formatCode>
                <c:ptCount val="14"/>
                <c:pt idx="0">
                  <c:v>3182.5695174615221</c:v>
                </c:pt>
                <c:pt idx="1">
                  <c:v>2977.8400190202219</c:v>
                </c:pt>
                <c:pt idx="2">
                  <c:v>2145.8268559210205</c:v>
                </c:pt>
                <c:pt idx="3">
                  <c:v>1900.6768897578713</c:v>
                </c:pt>
                <c:pt idx="4">
                  <c:v>1488.1742062645872</c:v>
                </c:pt>
                <c:pt idx="5">
                  <c:v>1111.4914172774977</c:v>
                </c:pt>
                <c:pt idx="6">
                  <c:v>318.3841963048198</c:v>
                </c:pt>
                <c:pt idx="7">
                  <c:v>286.06944535327813</c:v>
                </c:pt>
                <c:pt idx="8">
                  <c:v>278.45628982927741</c:v>
                </c:pt>
                <c:pt idx="9">
                  <c:v>180.36255903270822</c:v>
                </c:pt>
                <c:pt idx="10">
                  <c:v>94.910215818358381</c:v>
                </c:pt>
                <c:pt idx="11">
                  <c:v>82.36328515195288</c:v>
                </c:pt>
                <c:pt idx="12">
                  <c:v>70.281424507499722</c:v>
                </c:pt>
                <c:pt idx="13">
                  <c:v>0.25012571243206189</c:v>
                </c:pt>
              </c:numCache>
            </c:numRef>
          </c:val>
          <c:extLst>
            <c:ext xmlns:c16="http://schemas.microsoft.com/office/drawing/2014/chart" uri="{C3380CC4-5D6E-409C-BE32-E72D297353CC}">
              <c16:uniqueId val="{00000000-EAE2-4A31-981F-6CD2FFA01238}"/>
            </c:ext>
          </c:extLst>
        </c:ser>
        <c:dLbls>
          <c:showLegendKey val="0"/>
          <c:showVal val="0"/>
          <c:showCatName val="0"/>
          <c:showSerName val="0"/>
          <c:showPercent val="0"/>
          <c:showBubbleSize val="0"/>
        </c:dLbls>
        <c:gapWidth val="40"/>
        <c:overlap val="-27"/>
        <c:axId val="401736536"/>
        <c:axId val="401736928"/>
      </c:barChart>
      <c:lineChart>
        <c:grouping val="standard"/>
        <c:varyColors val="0"/>
        <c:ser>
          <c:idx val="1"/>
          <c:order val="1"/>
          <c:tx>
            <c:v>Participación %</c:v>
          </c:tx>
          <c:spPr>
            <a:ln w="28575" cap="rnd">
              <a:solidFill>
                <a:schemeClr val="accent2"/>
              </a:solidFill>
              <a:round/>
            </a:ln>
            <a:effectLst/>
          </c:spPr>
          <c:marker>
            <c:symbol val="none"/>
          </c:marker>
          <c:dLbls>
            <c:dLbl>
              <c:idx val="6"/>
              <c:layout>
                <c:manualLayout>
                  <c:x val="-3.8882108486439193E-2"/>
                  <c:y val="3.0057961504811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79-4643-8EDB-C333F843C284}"/>
                </c:ext>
              </c:extLst>
            </c:dLbl>
            <c:dLbl>
              <c:idx val="7"/>
              <c:layout>
                <c:manualLayout>
                  <c:x val="-3.8882108486439193E-2"/>
                  <c:y val="2.5428331875182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79-4643-8EDB-C333F843C284}"/>
                </c:ext>
              </c:extLst>
            </c:dLbl>
            <c:dLbl>
              <c:idx val="8"/>
              <c:layout>
                <c:manualLayout>
                  <c:x val="-3.8882108486439193E-2"/>
                  <c:y val="3.00579615048118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79-4643-8EDB-C333F843C284}"/>
                </c:ext>
              </c:extLst>
            </c:dLbl>
            <c:dLbl>
              <c:idx val="9"/>
              <c:layout>
                <c:manualLayout>
                  <c:x val="-4.8368110236220473E-2"/>
                  <c:y val="1.6169072615922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E2-4A31-981F-6CD2FFA01238}"/>
                </c:ext>
              </c:extLst>
            </c:dLbl>
            <c:dLbl>
              <c:idx val="10"/>
              <c:layout>
                <c:manualLayout>
                  <c:x val="-4.8368110236220473E-2"/>
                  <c:y val="1.61690726159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E2-4A31-981F-6CD2FFA01238}"/>
                </c:ext>
              </c:extLst>
            </c:dLbl>
            <c:dLbl>
              <c:idx val="11"/>
              <c:layout>
                <c:manualLayout>
                  <c:x val="-4.8368110236220577E-2"/>
                  <c:y val="1.6169072615922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E2-4A31-981F-6CD2FFA01238}"/>
                </c:ext>
              </c:extLst>
            </c:dLbl>
            <c:dLbl>
              <c:idx val="12"/>
              <c:layout>
                <c:manualLayout>
                  <c:x val="-5.1145888013998352E-2"/>
                  <c:y val="1.1539442986293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E2-4A31-981F-6CD2FFA01238}"/>
                </c:ext>
              </c:extLst>
            </c:dLbl>
            <c:dLbl>
              <c:idx val="13"/>
              <c:layout>
                <c:manualLayout>
                  <c:x val="-4.8368110236220473E-2"/>
                  <c:y val="-2.349445902595509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AE2-4A31-981F-6CD2FFA01238}"/>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'Cdo x act Junio 2019'!$I$38:$I$51</c:f>
              <c:numCache>
                <c:formatCode>0.0%</c:formatCode>
                <c:ptCount val="14"/>
                <c:pt idx="0">
                  <c:v>0.22543185756901626</c:v>
                </c:pt>
                <c:pt idx="1">
                  <c:v>0.21093019440672739</c:v>
                </c:pt>
                <c:pt idx="2">
                  <c:v>0.15199596787993996</c:v>
                </c:pt>
                <c:pt idx="3">
                  <c:v>0.1346311901580631</c:v>
                </c:pt>
                <c:pt idx="4">
                  <c:v>0.10541226950860416</c:v>
                </c:pt>
                <c:pt idx="5">
                  <c:v>7.8730589699338521E-2</c:v>
                </c:pt>
                <c:pt idx="6">
                  <c:v>2.255219890714661E-2</c:v>
                </c:pt>
                <c:pt idx="7">
                  <c:v>2.0263238903628245E-2</c:v>
                </c:pt>
                <c:pt idx="8">
                  <c:v>1.9723974079302833E-2</c:v>
                </c:pt>
                <c:pt idx="9">
                  <c:v>1.277567276867389E-2</c:v>
                </c:pt>
                <c:pt idx="10">
                  <c:v>6.7228024829680544E-3</c:v>
                </c:pt>
                <c:pt idx="11">
                  <c:v>5.8340621517989502E-3</c:v>
                </c:pt>
                <c:pt idx="12">
                  <c:v>4.9782642586105891E-3</c:v>
                </c:pt>
                <c:pt idx="13">
                  <c:v>1.771722618153777E-5</c:v>
                </c:pt>
              </c:numCache>
            </c:numRef>
          </c:val>
          <c:smooth val="0"/>
          <c:extLst>
            <c:ext xmlns:c16="http://schemas.microsoft.com/office/drawing/2014/chart" uri="{C3380CC4-5D6E-409C-BE32-E72D297353CC}">
              <c16:uniqueId val="{00000006-EAE2-4A31-981F-6CD2FFA01238}"/>
            </c:ext>
          </c:extLst>
        </c:ser>
        <c:dLbls>
          <c:showLegendKey val="0"/>
          <c:showVal val="0"/>
          <c:showCatName val="0"/>
          <c:showSerName val="0"/>
          <c:showPercent val="0"/>
          <c:showBubbleSize val="0"/>
        </c:dLbls>
        <c:marker val="1"/>
        <c:smooth val="0"/>
        <c:axId val="403599864"/>
        <c:axId val="403599472"/>
      </c:lineChart>
      <c:catAx>
        <c:axId val="40173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1736928"/>
        <c:crosses val="autoZero"/>
        <c:auto val="1"/>
        <c:lblAlgn val="ctr"/>
        <c:lblOffset val="100"/>
        <c:noMultiLvlLbl val="0"/>
      </c:catAx>
      <c:valAx>
        <c:axId val="40173692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sz="900"/>
                  <a:t>Millones de USD</a:t>
                </a:r>
              </a:p>
            </c:rich>
          </c:tx>
          <c:layout>
            <c:manualLayout>
              <c:xMode val="edge"/>
              <c:yMode val="edge"/>
              <c:x val="1.1111111111111112E-2"/>
              <c:y val="0.2243350831146107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1736536"/>
        <c:crosses val="autoZero"/>
        <c:crossBetween val="between"/>
      </c:valAx>
      <c:valAx>
        <c:axId val="403599472"/>
        <c:scaling>
          <c:orientation val="minMax"/>
          <c:max val="0.30000000000000004"/>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MX" sz="900"/>
                  <a:t>Porcentaje</a:t>
                </a:r>
              </a:p>
            </c:rich>
          </c:tx>
          <c:layout>
            <c:manualLayout>
              <c:xMode val="edge"/>
              <c:yMode val="edge"/>
              <c:x val="0.95281933508311456"/>
              <c:y val="0.2673443423738699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3599864"/>
        <c:crosses val="max"/>
        <c:crossBetween val="between"/>
      </c:valAx>
      <c:catAx>
        <c:axId val="403599864"/>
        <c:scaling>
          <c:orientation val="minMax"/>
        </c:scaling>
        <c:delete val="1"/>
        <c:axPos val="b"/>
        <c:majorTickMark val="out"/>
        <c:minorTickMark val="none"/>
        <c:tickLblPos val="nextTo"/>
        <c:crossAx val="40359947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 por actividad económica</a:t>
            </a:r>
          </a:p>
          <a:p>
            <a:pPr>
              <a:defRPr sz="1100">
                <a:latin typeface="Arial" panose="020B0604020202020204" pitchFamily="34" charset="0"/>
                <a:cs typeface="Arial" panose="020B0604020202020204" pitchFamily="34" charset="0"/>
              </a:defRPr>
            </a:pPr>
            <a:r>
              <a:rPr lang="es-MX" sz="1100" b="0">
                <a:latin typeface="Arial" panose="020B0604020202020204" pitchFamily="34" charset="0"/>
                <a:cs typeface="Arial" panose="020B0604020202020204" pitchFamily="34" charset="0"/>
              </a:rPr>
              <a:t>(participación %)</a:t>
            </a:r>
          </a:p>
        </c:rich>
      </c:tx>
      <c:layout>
        <c:manualLayout>
          <c:xMode val="edge"/>
          <c:yMode val="edge"/>
          <c:x val="0.2845845972594595"/>
          <c:y val="9.2592592592592587E-3"/>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9.7122597622809573E-2"/>
          <c:y val="0.21800925925925929"/>
          <c:w val="0.87232174103237092"/>
          <c:h val="0.53627843394575681"/>
        </c:manualLayout>
      </c:layout>
      <c:barChart>
        <c:barDir val="col"/>
        <c:grouping val="percentStacked"/>
        <c:varyColors val="0"/>
        <c:ser>
          <c:idx val="0"/>
          <c:order val="0"/>
          <c:tx>
            <c:strRef>
              <c:f>'Cdo x destino 2010 2019'!$N$52</c:f>
              <c:strCache>
                <c:ptCount val="1"/>
                <c:pt idx="0">
                  <c:v>Prop raíz</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2019'!$O$52:$X$52</c:f>
              <c:numCache>
                <c:formatCode>0%</c:formatCode>
                <c:ptCount val="10"/>
                <c:pt idx="0">
                  <c:v>0.33759087718734082</c:v>
                </c:pt>
                <c:pt idx="1">
                  <c:v>0.32406093072512154</c:v>
                </c:pt>
                <c:pt idx="2">
                  <c:v>0.30366027003036966</c:v>
                </c:pt>
                <c:pt idx="3">
                  <c:v>0.2853606626978461</c:v>
                </c:pt>
                <c:pt idx="4">
                  <c:v>0.26838359823640429</c:v>
                </c:pt>
                <c:pt idx="5">
                  <c:v>0.24142874822837865</c:v>
                </c:pt>
                <c:pt idx="6">
                  <c:v>0.23138029132675192</c:v>
                </c:pt>
                <c:pt idx="7">
                  <c:v>0.22894662736137247</c:v>
                </c:pt>
                <c:pt idx="8">
                  <c:v>0.22331701764897519</c:v>
                </c:pt>
                <c:pt idx="9">
                  <c:v>0.22651941426386032</c:v>
                </c:pt>
              </c:numCache>
            </c:numRef>
          </c:val>
          <c:extLst>
            <c:ext xmlns:c16="http://schemas.microsoft.com/office/drawing/2014/chart" uri="{C3380CC4-5D6E-409C-BE32-E72D297353CC}">
              <c16:uniqueId val="{00000000-B063-424F-822D-04503557FE46}"/>
            </c:ext>
          </c:extLst>
        </c:ser>
        <c:ser>
          <c:idx val="1"/>
          <c:order val="1"/>
          <c:tx>
            <c:strRef>
              <c:f>'Cdo x destino 2010 2019'!$N$53</c:f>
              <c:strCache>
                <c:ptCount val="1"/>
                <c:pt idx="0">
                  <c:v>Consumo</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2019'!$O$53:$X$53</c:f>
              <c:numCache>
                <c:formatCode>0%</c:formatCode>
                <c:ptCount val="10"/>
                <c:pt idx="0">
                  <c:v>0.16808333499025341</c:v>
                </c:pt>
                <c:pt idx="1">
                  <c:v>0.18618681470931686</c:v>
                </c:pt>
                <c:pt idx="2">
                  <c:v>0.20833454591443368</c:v>
                </c:pt>
                <c:pt idx="3">
                  <c:v>0.22197109151947514</c:v>
                </c:pt>
                <c:pt idx="4">
                  <c:v>0.21136079367349134</c:v>
                </c:pt>
                <c:pt idx="5">
                  <c:v>0.21138709290294772</c:v>
                </c:pt>
                <c:pt idx="6">
                  <c:v>0.22723953465324173</c:v>
                </c:pt>
                <c:pt idx="7">
                  <c:v>0.2091264127167613</c:v>
                </c:pt>
                <c:pt idx="8">
                  <c:v>0.20448722961301974</c:v>
                </c:pt>
                <c:pt idx="9">
                  <c:v>0.21267492782624456</c:v>
                </c:pt>
              </c:numCache>
            </c:numRef>
          </c:val>
          <c:extLst>
            <c:ext xmlns:c16="http://schemas.microsoft.com/office/drawing/2014/chart" uri="{C3380CC4-5D6E-409C-BE32-E72D297353CC}">
              <c16:uniqueId val="{00000001-B063-424F-822D-04503557FE46}"/>
            </c:ext>
          </c:extLst>
        </c:ser>
        <c:ser>
          <c:idx val="2"/>
          <c:order val="2"/>
          <c:tx>
            <c:strRef>
              <c:f>'Cdo x destino 2010 2019'!$N$54</c:f>
              <c:strCache>
                <c:ptCount val="1"/>
                <c:pt idx="0">
                  <c:v>Comercio, transp y comunic</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2019'!$O$54:$X$54</c:f>
              <c:numCache>
                <c:formatCode>0%</c:formatCode>
                <c:ptCount val="10"/>
                <c:pt idx="0">
                  <c:v>0.1489904540005203</c:v>
                </c:pt>
                <c:pt idx="1">
                  <c:v>0.15162428471017492</c:v>
                </c:pt>
                <c:pt idx="2">
                  <c:v>0.16753724408591372</c:v>
                </c:pt>
                <c:pt idx="3">
                  <c:v>0.16496162637004663</c:v>
                </c:pt>
                <c:pt idx="4">
                  <c:v>0.16749744476820114</c:v>
                </c:pt>
                <c:pt idx="5">
                  <c:v>0.16045933471394</c:v>
                </c:pt>
                <c:pt idx="6">
                  <c:v>0.15699413092140055</c:v>
                </c:pt>
                <c:pt idx="7">
                  <c:v>0.17764086108812188</c:v>
                </c:pt>
                <c:pt idx="8">
                  <c:v>0.17805582950802348</c:v>
                </c:pt>
                <c:pt idx="9">
                  <c:v>0.17297902645315211</c:v>
                </c:pt>
              </c:numCache>
            </c:numRef>
          </c:val>
          <c:extLst>
            <c:ext xmlns:c16="http://schemas.microsoft.com/office/drawing/2014/chart" uri="{C3380CC4-5D6E-409C-BE32-E72D297353CC}">
              <c16:uniqueId val="{00000002-B063-424F-822D-04503557FE46}"/>
            </c:ext>
          </c:extLst>
        </c:ser>
        <c:ser>
          <c:idx val="3"/>
          <c:order val="3"/>
          <c:tx>
            <c:strRef>
              <c:f>'Cdo x destino 2010 2019'!$N$55</c:f>
              <c:strCache>
                <c:ptCount val="1"/>
                <c:pt idx="0">
                  <c:v>Industria</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2019'!$O$55:$X$55</c:f>
              <c:numCache>
                <c:formatCode>0%</c:formatCode>
                <c:ptCount val="10"/>
                <c:pt idx="0">
                  <c:v>0.13394827813266541</c:v>
                </c:pt>
                <c:pt idx="1">
                  <c:v>0.12033682673915926</c:v>
                </c:pt>
                <c:pt idx="2">
                  <c:v>0.11413759528542994</c:v>
                </c:pt>
                <c:pt idx="3">
                  <c:v>0.11666549843048282</c:v>
                </c:pt>
                <c:pt idx="4">
                  <c:v>0.10927323228653747</c:v>
                </c:pt>
                <c:pt idx="5">
                  <c:v>0.10784602209197582</c:v>
                </c:pt>
                <c:pt idx="6">
                  <c:v>0.1009439822963961</c:v>
                </c:pt>
                <c:pt idx="7">
                  <c:v>9.923015479280245E-2</c:v>
                </c:pt>
                <c:pt idx="8">
                  <c:v>0.10498265867002385</c:v>
                </c:pt>
                <c:pt idx="9">
                  <c:v>0.10542320701514186</c:v>
                </c:pt>
              </c:numCache>
            </c:numRef>
          </c:val>
          <c:extLst>
            <c:ext xmlns:c16="http://schemas.microsoft.com/office/drawing/2014/chart" uri="{C3380CC4-5D6E-409C-BE32-E72D297353CC}">
              <c16:uniqueId val="{00000003-B063-424F-822D-04503557FE46}"/>
            </c:ext>
          </c:extLst>
        </c:ser>
        <c:ser>
          <c:idx val="4"/>
          <c:order val="4"/>
          <c:tx>
            <c:strRef>
              <c:f>'Cdo x destino 2010 2019'!$N$56</c:f>
              <c:strCache>
                <c:ptCount val="1"/>
                <c:pt idx="0">
                  <c:v>Servicios</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2019'!$O$56:$X$56</c:f>
              <c:numCache>
                <c:formatCode>0%</c:formatCode>
                <c:ptCount val="10"/>
                <c:pt idx="0">
                  <c:v>0.10823254025487183</c:v>
                </c:pt>
                <c:pt idx="1">
                  <c:v>0.10836917171282906</c:v>
                </c:pt>
                <c:pt idx="2">
                  <c:v>0.10472974821869223</c:v>
                </c:pt>
                <c:pt idx="3">
                  <c:v>0.11714999787149318</c:v>
                </c:pt>
                <c:pt idx="4">
                  <c:v>0.14011046789569373</c:v>
                </c:pt>
                <c:pt idx="5">
                  <c:v>0.15435533174092003</c:v>
                </c:pt>
                <c:pt idx="6">
                  <c:v>0.15234814916746442</c:v>
                </c:pt>
                <c:pt idx="7">
                  <c:v>0.15328312299565494</c:v>
                </c:pt>
                <c:pt idx="8">
                  <c:v>0.14104202511599964</c:v>
                </c:pt>
                <c:pt idx="9">
                  <c:v>0.13574480756802573</c:v>
                </c:pt>
              </c:numCache>
            </c:numRef>
          </c:val>
          <c:extLst>
            <c:ext xmlns:c16="http://schemas.microsoft.com/office/drawing/2014/chart" uri="{C3380CC4-5D6E-409C-BE32-E72D297353CC}">
              <c16:uniqueId val="{00000004-B063-424F-822D-04503557FE46}"/>
            </c:ext>
          </c:extLst>
        </c:ser>
        <c:ser>
          <c:idx val="5"/>
          <c:order val="5"/>
          <c:tx>
            <c:strRef>
              <c:f>'Cdo x destino 2010 2019'!$N$57</c:f>
              <c:strCache>
                <c:ptCount val="1"/>
                <c:pt idx="0">
                  <c:v>Sector primario</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2019'!$O$57:$X$57</c:f>
              <c:numCache>
                <c:formatCode>0%</c:formatCode>
                <c:ptCount val="10"/>
                <c:pt idx="0">
                  <c:v>5.0021317850467574E-2</c:v>
                </c:pt>
                <c:pt idx="1">
                  <c:v>5.2337885720532017E-2</c:v>
                </c:pt>
                <c:pt idx="2">
                  <c:v>4.5668858814798458E-2</c:v>
                </c:pt>
                <c:pt idx="3">
                  <c:v>4.8274153257669226E-2</c:v>
                </c:pt>
                <c:pt idx="4">
                  <c:v>5.1455274356633891E-2</c:v>
                </c:pt>
                <c:pt idx="5">
                  <c:v>6.7633944018615999E-2</c:v>
                </c:pt>
                <c:pt idx="6">
                  <c:v>8.165981492786531E-2</c:v>
                </c:pt>
                <c:pt idx="7">
                  <c:v>7.9786274960113299E-2</c:v>
                </c:pt>
                <c:pt idx="8">
                  <c:v>8.079032378072025E-2</c:v>
                </c:pt>
                <c:pt idx="9">
                  <c:v>7.5761260320091714E-2</c:v>
                </c:pt>
              </c:numCache>
            </c:numRef>
          </c:val>
          <c:extLst>
            <c:ext xmlns:c16="http://schemas.microsoft.com/office/drawing/2014/chart" uri="{C3380CC4-5D6E-409C-BE32-E72D297353CC}">
              <c16:uniqueId val="{00000005-B063-424F-822D-04503557FE46}"/>
            </c:ext>
          </c:extLst>
        </c:ser>
        <c:ser>
          <c:idx val="6"/>
          <c:order val="6"/>
          <c:tx>
            <c:strRef>
              <c:f>'Cdo x destino 2010 2019'!$N$58</c:f>
              <c:strCache>
                <c:ptCount val="1"/>
                <c:pt idx="0">
                  <c:v>Finan de exportaciones</c:v>
                </c:pt>
              </c:strCache>
            </c:strRef>
          </c:tx>
          <c:spPr>
            <a:solidFill>
              <a:schemeClr val="accent1">
                <a:lumMod val="60000"/>
              </a:schemeClr>
            </a:solidFill>
            <a:ln>
              <a:noFill/>
            </a:ln>
            <a:effectLst/>
          </c:spPr>
          <c:invertIfNegative val="0"/>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2019'!$O$58:$X$58</c:f>
              <c:numCache>
                <c:formatCode>0%</c:formatCode>
                <c:ptCount val="10"/>
                <c:pt idx="0">
                  <c:v>2.7512229737677606E-2</c:v>
                </c:pt>
                <c:pt idx="1">
                  <c:v>2.2904196376176328E-2</c:v>
                </c:pt>
                <c:pt idx="2">
                  <c:v>1.9679505882212608E-2</c:v>
                </c:pt>
                <c:pt idx="3">
                  <c:v>1.8847612282570626E-2</c:v>
                </c:pt>
                <c:pt idx="4">
                  <c:v>2.1592092037305881E-2</c:v>
                </c:pt>
                <c:pt idx="5">
                  <c:v>3.2542814235040698E-2</c:v>
                </c:pt>
                <c:pt idx="6">
                  <c:v>1.7756992589065858E-2</c:v>
                </c:pt>
                <c:pt idx="7">
                  <c:v>1.7820315647044588E-2</c:v>
                </c:pt>
                <c:pt idx="8">
                  <c:v>1.9680248874431792E-2</c:v>
                </c:pt>
                <c:pt idx="9">
                  <c:v>1.9887123204721507E-2</c:v>
                </c:pt>
              </c:numCache>
            </c:numRef>
          </c:val>
          <c:extLst>
            <c:ext xmlns:c16="http://schemas.microsoft.com/office/drawing/2014/chart" uri="{C3380CC4-5D6E-409C-BE32-E72D297353CC}">
              <c16:uniqueId val="{00000006-B063-424F-822D-04503557FE46}"/>
            </c:ext>
          </c:extLst>
        </c:ser>
        <c:ser>
          <c:idx val="7"/>
          <c:order val="7"/>
          <c:tx>
            <c:strRef>
              <c:f>'Cdo x destino 2010 2019'!$N$59</c:f>
              <c:strCache>
                <c:ptCount val="1"/>
                <c:pt idx="0">
                  <c:v>Ent. Estatales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2019'!$O$59:$X$59</c:f>
              <c:numCache>
                <c:formatCode>0%</c:formatCode>
                <c:ptCount val="10"/>
                <c:pt idx="0">
                  <c:v>2.4478484030734906E-2</c:v>
                </c:pt>
                <c:pt idx="1">
                  <c:v>3.313920903412907E-2</c:v>
                </c:pt>
                <c:pt idx="2">
                  <c:v>3.5037714725752386E-2</c:v>
                </c:pt>
                <c:pt idx="3">
                  <c:v>2.409866365385115E-2</c:v>
                </c:pt>
                <c:pt idx="4">
                  <c:v>2.8768464951171045E-2</c:v>
                </c:pt>
                <c:pt idx="5">
                  <c:v>2.3237086423173264E-2</c:v>
                </c:pt>
                <c:pt idx="6">
                  <c:v>2.9921563429221587E-2</c:v>
                </c:pt>
                <c:pt idx="7">
                  <c:v>3.1874730655425697E-2</c:v>
                </c:pt>
                <c:pt idx="8">
                  <c:v>4.2467660536605875E-2</c:v>
                </c:pt>
                <c:pt idx="9">
                  <c:v>4.5110050303051152E-2</c:v>
                </c:pt>
              </c:numCache>
            </c:numRef>
          </c:val>
          <c:extLst>
            <c:ext xmlns:c16="http://schemas.microsoft.com/office/drawing/2014/chart" uri="{C3380CC4-5D6E-409C-BE32-E72D297353CC}">
              <c16:uniqueId val="{00000007-B063-424F-822D-04503557FE46}"/>
            </c:ext>
          </c:extLst>
        </c:ser>
        <c:ser>
          <c:idx val="8"/>
          <c:order val="8"/>
          <c:tx>
            <c:strRef>
              <c:f>'Cdo x destino 2010 2019'!$N$60</c:f>
              <c:strCache>
                <c:ptCount val="1"/>
                <c:pt idx="0">
                  <c:v>Otros</c:v>
                </c:pt>
              </c:strCache>
            </c:strRef>
          </c:tx>
          <c:spPr>
            <a:solidFill>
              <a:schemeClr val="accent3">
                <a:lumMod val="60000"/>
              </a:schemeClr>
            </a:solidFill>
            <a:ln>
              <a:noFill/>
            </a:ln>
            <a:effectLst/>
          </c:spPr>
          <c:invertIfNegative val="0"/>
          <c:cat>
            <c:strRef>
              <c:f>'Cdo x destino 2010 2019'!$O$3:$X$3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2019'!$O$60:$X$60</c:f>
              <c:numCache>
                <c:formatCode>0%</c:formatCode>
                <c:ptCount val="10"/>
                <c:pt idx="0">
                  <c:v>1.1424838154683197E-3</c:v>
                </c:pt>
                <c:pt idx="1">
                  <c:v>1.0406802725609406E-3</c:v>
                </c:pt>
                <c:pt idx="2">
                  <c:v>1.2145170423973346E-3</c:v>
                </c:pt>
                <c:pt idx="3">
                  <c:v>2.6706939165648891E-3</c:v>
                </c:pt>
                <c:pt idx="4">
                  <c:v>1.5586317945612146E-3</c:v>
                </c:pt>
                <c:pt idx="5">
                  <c:v>1.1096256450079003E-3</c:v>
                </c:pt>
                <c:pt idx="6">
                  <c:v>1.7555406885925201E-3</c:v>
                </c:pt>
                <c:pt idx="7">
                  <c:v>2.2914997827035628E-3</c:v>
                </c:pt>
                <c:pt idx="8">
                  <c:v>5.1770062521999376E-3</c:v>
                </c:pt>
                <c:pt idx="9">
                  <c:v>5.9001830457110363E-3</c:v>
                </c:pt>
              </c:numCache>
            </c:numRef>
          </c:val>
          <c:extLst>
            <c:ext xmlns:c16="http://schemas.microsoft.com/office/drawing/2014/chart" uri="{C3380CC4-5D6E-409C-BE32-E72D297353CC}">
              <c16:uniqueId val="{00000008-B063-424F-822D-04503557FE46}"/>
            </c:ext>
          </c:extLst>
        </c:ser>
        <c:dLbls>
          <c:showLegendKey val="0"/>
          <c:showVal val="0"/>
          <c:showCatName val="0"/>
          <c:showSerName val="0"/>
          <c:showPercent val="0"/>
          <c:showBubbleSize val="0"/>
        </c:dLbls>
        <c:gapWidth val="40"/>
        <c:overlap val="100"/>
        <c:axId val="403600648"/>
        <c:axId val="403601040"/>
      </c:barChart>
      <c:catAx>
        <c:axId val="40360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3601040"/>
        <c:crosses val="autoZero"/>
        <c:auto val="1"/>
        <c:lblAlgn val="ctr"/>
        <c:lblOffset val="100"/>
        <c:noMultiLvlLbl val="0"/>
      </c:catAx>
      <c:valAx>
        <c:axId val="40360104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3600648"/>
        <c:crosses val="autoZero"/>
        <c:crossBetween val="between"/>
      </c:valAx>
      <c:spPr>
        <a:noFill/>
        <a:ln>
          <a:noFill/>
        </a:ln>
        <a:effectLst/>
      </c:spPr>
    </c:plotArea>
    <c:legend>
      <c:legendPos val="b"/>
      <c:layout>
        <c:manualLayout>
          <c:xMode val="edge"/>
          <c:yMode val="edge"/>
          <c:x val="3.341426071741043E-3"/>
          <c:y val="0.87094634004082827"/>
          <c:w val="0.99665857392825896"/>
          <c:h val="0.1244240303295421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Crecimiento</a:t>
            </a:r>
            <a:r>
              <a:rPr lang="es-MX" sz="1100" b="1" baseline="0">
                <a:latin typeface="Arial" panose="020B0604020202020204" pitchFamily="34" charset="0"/>
                <a:cs typeface="Arial" panose="020B0604020202020204" pitchFamily="34" charset="0"/>
              </a:rPr>
              <a:t> real por actividad económica</a:t>
            </a:r>
          </a:p>
          <a:p>
            <a:pPr>
              <a:defRPr sz="1100">
                <a:latin typeface="Arial" panose="020B0604020202020204" pitchFamily="34" charset="0"/>
                <a:cs typeface="Arial" panose="020B0604020202020204" pitchFamily="34" charset="0"/>
              </a:defRPr>
            </a:pPr>
            <a:r>
              <a:rPr lang="es-MX" sz="1100" baseline="0">
                <a:latin typeface="Arial" panose="020B0604020202020204" pitchFamily="34" charset="0"/>
                <a:cs typeface="Arial" panose="020B0604020202020204" pitchFamily="34" charset="0"/>
              </a:rPr>
              <a:t>(Variación porcentual)</a:t>
            </a:r>
            <a:endParaRPr lang="es-MX"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'[oferta_demandagl.xls]O D '!$AU$50</c:f>
              <c:strCache>
                <c:ptCount val="1"/>
                <c:pt idx="0">
                  <c:v>Tasa de crecimiento</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'[oferta_demandagl.xls]O D '!$AT$51:$AT$57</c:f>
              <c:strCache>
                <c:ptCount val="7"/>
                <c:pt idx="0">
                  <c:v>Agrop, caza, silv y pesca </c:v>
                </c:pt>
                <c:pt idx="1">
                  <c:v>Minas y Canteras</c:v>
                </c:pt>
                <c:pt idx="2">
                  <c:v>Industria</c:v>
                </c:pt>
                <c:pt idx="3">
                  <c:v>Const.</c:v>
                </c:pt>
                <c:pt idx="4">
                  <c:v>Comercio, Hoteles y Rest</c:v>
                </c:pt>
                <c:pt idx="5">
                  <c:v>Otros Serv.</c:v>
                </c:pt>
                <c:pt idx="6">
                  <c:v>Gtos de consumo</c:v>
                </c:pt>
              </c:strCache>
            </c:strRef>
          </c:cat>
          <c:val>
            <c:numRef>
              <c:f>'[oferta_demandagl.xls]O D '!$AU$51:$AU$57</c:f>
              <c:numCache>
                <c:formatCode>#,##0.0</c:formatCode>
                <c:ptCount val="7"/>
                <c:pt idx="0">
                  <c:v>5.1222222222222236</c:v>
                </c:pt>
                <c:pt idx="1">
                  <c:v>-0.97777777777777863</c:v>
                </c:pt>
                <c:pt idx="2">
                  <c:v>3.5444444444444447</c:v>
                </c:pt>
                <c:pt idx="3">
                  <c:v>1.6888888888888891</c:v>
                </c:pt>
                <c:pt idx="4">
                  <c:v>3.3</c:v>
                </c:pt>
                <c:pt idx="5">
                  <c:v>4.4444444444444446</c:v>
                </c:pt>
                <c:pt idx="6">
                  <c:v>3.4444444444444446</c:v>
                </c:pt>
              </c:numCache>
            </c:numRef>
          </c:val>
          <c:extLst>
            <c:ext xmlns:c16="http://schemas.microsoft.com/office/drawing/2014/chart" uri="{C3380CC4-5D6E-409C-BE32-E72D297353CC}">
              <c16:uniqueId val="{00000000-CA7D-4486-A818-631187AED9F6}"/>
            </c:ext>
          </c:extLst>
        </c:ser>
        <c:dLbls>
          <c:showLegendKey val="0"/>
          <c:showVal val="0"/>
          <c:showCatName val="0"/>
          <c:showSerName val="0"/>
          <c:showPercent val="0"/>
          <c:showBubbleSize val="0"/>
        </c:dLbls>
        <c:gapWidth val="150"/>
        <c:axId val="553962088"/>
        <c:axId val="553962480"/>
      </c:barChart>
      <c:lineChart>
        <c:grouping val="standard"/>
        <c:varyColors val="0"/>
        <c:ser>
          <c:idx val="1"/>
          <c:order val="1"/>
          <c:tx>
            <c:strRef>
              <c:f>'[oferta_demandagl.xls]O D '!$AV$50</c:f>
              <c:strCache>
                <c:ptCount val="1"/>
                <c:pt idx="0">
                  <c:v>Tasa de crec. del PIB</c:v>
                </c:pt>
              </c:strCache>
            </c:strRef>
          </c:tx>
          <c:spPr>
            <a:ln w="28575" cap="rnd">
              <a:solidFill>
                <a:schemeClr val="accent2"/>
              </a:solidFill>
              <a:round/>
            </a:ln>
            <a:effectLst/>
          </c:spPr>
          <c:marker>
            <c:symbol val="none"/>
          </c:marker>
          <c:cat>
            <c:strRef>
              <c:f>'[oferta_demandagl.xls]O D '!$AT$51:$AT$57</c:f>
              <c:strCache>
                <c:ptCount val="7"/>
                <c:pt idx="0">
                  <c:v>Agrop, caza, silv y pesca </c:v>
                </c:pt>
                <c:pt idx="1">
                  <c:v>Minas y Canteras</c:v>
                </c:pt>
                <c:pt idx="2">
                  <c:v>Industria</c:v>
                </c:pt>
                <c:pt idx="3">
                  <c:v>Const.</c:v>
                </c:pt>
                <c:pt idx="4">
                  <c:v>Comercio, Hoteles y Rest</c:v>
                </c:pt>
                <c:pt idx="5">
                  <c:v>Otros Serv.</c:v>
                </c:pt>
                <c:pt idx="6">
                  <c:v>Gtos de consumo</c:v>
                </c:pt>
              </c:strCache>
            </c:strRef>
          </c:cat>
          <c:val>
            <c:numRef>
              <c:f>'[oferta_demandagl.xls]O D '!$AV$51:$AV$57</c:f>
              <c:numCache>
                <c:formatCode>#,##0.0</c:formatCode>
                <c:ptCount val="7"/>
                <c:pt idx="0">
                  <c:v>3.7444444444444449</c:v>
                </c:pt>
                <c:pt idx="1">
                  <c:v>3.7444444444444449</c:v>
                </c:pt>
                <c:pt idx="2">
                  <c:v>3.7444444444444449</c:v>
                </c:pt>
                <c:pt idx="3">
                  <c:v>3.7444444444444449</c:v>
                </c:pt>
                <c:pt idx="4">
                  <c:v>3.7444444444444449</c:v>
                </c:pt>
                <c:pt idx="5">
                  <c:v>3.7444444444444449</c:v>
                </c:pt>
                <c:pt idx="6">
                  <c:v>3.7444444444444449</c:v>
                </c:pt>
              </c:numCache>
            </c:numRef>
          </c:val>
          <c:smooth val="0"/>
          <c:extLst>
            <c:ext xmlns:c16="http://schemas.microsoft.com/office/drawing/2014/chart" uri="{C3380CC4-5D6E-409C-BE32-E72D297353CC}">
              <c16:uniqueId val="{00000001-CA7D-4486-A818-631187AED9F6}"/>
            </c:ext>
          </c:extLst>
        </c:ser>
        <c:dLbls>
          <c:showLegendKey val="0"/>
          <c:showVal val="0"/>
          <c:showCatName val="0"/>
          <c:showSerName val="0"/>
          <c:showPercent val="0"/>
          <c:showBubbleSize val="0"/>
        </c:dLbls>
        <c:marker val="1"/>
        <c:smooth val="0"/>
        <c:axId val="553962088"/>
        <c:axId val="553962480"/>
      </c:lineChart>
      <c:catAx>
        <c:axId val="553962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962480"/>
        <c:crosses val="autoZero"/>
        <c:auto val="1"/>
        <c:lblAlgn val="ctr"/>
        <c:lblOffset val="100"/>
        <c:noMultiLvlLbl val="0"/>
      </c:catAx>
      <c:valAx>
        <c:axId val="5539624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962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1">
                <a:latin typeface="Arial" panose="020B0604020202020204" pitchFamily="34" charset="0"/>
                <a:cs typeface="Arial" panose="020B0604020202020204" pitchFamily="34" charset="0"/>
              </a:rPr>
              <a:t>Volatilidad en el crecimiento por actividad </a:t>
            </a:r>
          </a:p>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(No de veces al PIB)</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'[oferta_demandagl.xls]O D '!$AZ$50</c:f>
              <c:strCache>
                <c:ptCount val="1"/>
                <c:pt idx="0">
                  <c:v>No de veces al PIB</c:v>
                </c:pt>
              </c:strCache>
            </c:strRef>
          </c:tx>
          <c:spPr>
            <a:solidFill>
              <a:srgbClr val="00B0F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'[oferta_demandagl.xls]O D '!$AT$51:$AT$57</c:f>
              <c:strCache>
                <c:ptCount val="7"/>
                <c:pt idx="0">
                  <c:v>Agrop, caza, silv y pesca </c:v>
                </c:pt>
                <c:pt idx="1">
                  <c:v>Minas y Canteras</c:v>
                </c:pt>
                <c:pt idx="2">
                  <c:v>Industria</c:v>
                </c:pt>
                <c:pt idx="3">
                  <c:v>Const.</c:v>
                </c:pt>
                <c:pt idx="4">
                  <c:v>Comercio, Hoteles y Rest</c:v>
                </c:pt>
                <c:pt idx="5">
                  <c:v>Otros Serv.</c:v>
                </c:pt>
                <c:pt idx="6">
                  <c:v>Gtos de consumo</c:v>
                </c:pt>
              </c:strCache>
            </c:strRef>
          </c:cat>
          <c:val>
            <c:numRef>
              <c:f>'[oferta_demandagl.xls]O D '!$AZ$51:$AZ$57</c:f>
              <c:numCache>
                <c:formatCode>General</c:formatCode>
                <c:ptCount val="7"/>
                <c:pt idx="0">
                  <c:v>6.1282197621061645</c:v>
                </c:pt>
                <c:pt idx="1">
                  <c:v>13.639349018641882</c:v>
                </c:pt>
                <c:pt idx="2">
                  <c:v>1.4989956476945703</c:v>
                </c:pt>
                <c:pt idx="3">
                  <c:v>9.8601232741314675</c:v>
                </c:pt>
                <c:pt idx="4">
                  <c:v>1.3970709462714139</c:v>
                </c:pt>
                <c:pt idx="5">
                  <c:v>0.84464497221483437</c:v>
                </c:pt>
                <c:pt idx="6">
                  <c:v>1.4912250505752072</c:v>
                </c:pt>
              </c:numCache>
            </c:numRef>
          </c:val>
          <c:extLst>
            <c:ext xmlns:c16="http://schemas.microsoft.com/office/drawing/2014/chart" uri="{C3380CC4-5D6E-409C-BE32-E72D297353CC}">
              <c16:uniqueId val="{00000000-558C-41E5-8DD7-8A79783701D6}"/>
            </c:ext>
          </c:extLst>
        </c:ser>
        <c:dLbls>
          <c:showLegendKey val="0"/>
          <c:showVal val="0"/>
          <c:showCatName val="0"/>
          <c:showSerName val="0"/>
          <c:showPercent val="0"/>
          <c:showBubbleSize val="0"/>
        </c:dLbls>
        <c:gapWidth val="219"/>
        <c:overlap val="-27"/>
        <c:axId val="611726856"/>
        <c:axId val="611727248"/>
      </c:barChart>
      <c:catAx>
        <c:axId val="61172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727248"/>
        <c:crosses val="autoZero"/>
        <c:auto val="1"/>
        <c:lblAlgn val="ctr"/>
        <c:lblOffset val="100"/>
        <c:noMultiLvlLbl val="0"/>
      </c:catAx>
      <c:valAx>
        <c:axId val="611727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7268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Evolución</a:t>
            </a:r>
            <a:r>
              <a:rPr lang="es-MX" sz="1100" b="1" baseline="0">
                <a:latin typeface="Arial" panose="020B0604020202020204" pitchFamily="34" charset="0"/>
                <a:cs typeface="Arial" panose="020B0604020202020204" pitchFamily="34" charset="0"/>
              </a:rPr>
              <a:t> del crédito agrícola </a:t>
            </a:r>
            <a:endParaRPr lang="es-MX" sz="11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4945625546806648"/>
          <c:y val="0.19486111111111112"/>
          <c:w val="0.70087926509186349"/>
          <c:h val="0.53538786818314377"/>
        </c:manualLayout>
      </c:layout>
      <c:barChart>
        <c:barDir val="col"/>
        <c:grouping val="clustered"/>
        <c:varyColors val="0"/>
        <c:ser>
          <c:idx val="0"/>
          <c:order val="0"/>
          <c:tx>
            <c:v>Credito en USD</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x destino 2010 2019'!$C$3:$L$3</c:f>
              <c:strCache>
                <c:ptCount val="10"/>
                <c:pt idx="0">
                  <c:v> Dic 2010</c:v>
                </c:pt>
                <c:pt idx="1">
                  <c:v> Dic 2011</c:v>
                </c:pt>
                <c:pt idx="2">
                  <c:v> Dic 2012</c:v>
                </c:pt>
                <c:pt idx="3">
                  <c:v> Dic 2013</c:v>
                </c:pt>
                <c:pt idx="4">
                  <c:v> Dic 2014</c:v>
                </c:pt>
                <c:pt idx="5">
                  <c:v> Dic 2015</c:v>
                </c:pt>
                <c:pt idx="6">
                  <c:v> Dic 2016</c:v>
                </c:pt>
                <c:pt idx="7">
                  <c:v> Dic 2017</c:v>
                </c:pt>
                <c:pt idx="8">
                  <c:v> Dic 2018</c:v>
                </c:pt>
                <c:pt idx="9">
                  <c:v> Junio 2019</c:v>
                </c:pt>
              </c:strCache>
            </c:strRef>
          </c:cat>
          <c:val>
            <c:numRef>
              <c:f>'Cdo x destino 2010 2019'!$C$27:$L$27</c:f>
              <c:numCache>
                <c:formatCode>_-* #,##0_-;\-* #,##0_-;_-* "-"??_-;_-@_-</c:formatCode>
                <c:ptCount val="10"/>
                <c:pt idx="0">
                  <c:v>214.12423936488034</c:v>
                </c:pt>
                <c:pt idx="1">
                  <c:v>269.30026961841492</c:v>
                </c:pt>
                <c:pt idx="2">
                  <c:v>250.58752866852814</c:v>
                </c:pt>
                <c:pt idx="3">
                  <c:v>281.90452684554589</c:v>
                </c:pt>
                <c:pt idx="4">
                  <c:v>351.95870714411365</c:v>
                </c:pt>
                <c:pt idx="5">
                  <c:v>497.29502447028494</c:v>
                </c:pt>
                <c:pt idx="6">
                  <c:v>673.73814414521223</c:v>
                </c:pt>
                <c:pt idx="7">
                  <c:v>723.08336463558146</c:v>
                </c:pt>
                <c:pt idx="8">
                  <c:v>797.60029046380112</c:v>
                </c:pt>
                <c:pt idx="9">
                  <c:v>760.81723047858191</c:v>
                </c:pt>
              </c:numCache>
            </c:numRef>
          </c:val>
          <c:extLst>
            <c:ext xmlns:c16="http://schemas.microsoft.com/office/drawing/2014/chart" uri="{C3380CC4-5D6E-409C-BE32-E72D297353CC}">
              <c16:uniqueId val="{00000000-FDBA-4786-B3ED-53EC343D265B}"/>
            </c:ext>
          </c:extLst>
        </c:ser>
        <c:dLbls>
          <c:showLegendKey val="0"/>
          <c:showVal val="0"/>
          <c:showCatName val="0"/>
          <c:showSerName val="0"/>
          <c:showPercent val="0"/>
          <c:showBubbleSize val="0"/>
        </c:dLbls>
        <c:gapWidth val="50"/>
        <c:axId val="611728032"/>
        <c:axId val="611728424"/>
      </c:barChart>
      <c:lineChart>
        <c:grouping val="standard"/>
        <c:varyColors val="0"/>
        <c:ser>
          <c:idx val="1"/>
          <c:order val="1"/>
          <c:tx>
            <c:v>Part % en el cdo total</c:v>
          </c:tx>
          <c:spPr>
            <a:ln w="38100" cap="rnd">
              <a:solidFill>
                <a:srgbClr val="00206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'Cdo x destino 2010 2019'!$C$28:$L$28</c:f>
              <c:numCache>
                <c:formatCode>0.0%</c:formatCode>
                <c:ptCount val="10"/>
                <c:pt idx="0">
                  <c:v>3.0319093246453318E-2</c:v>
                </c:pt>
                <c:pt idx="1">
                  <c:v>3.4295774077507606E-2</c:v>
                </c:pt>
                <c:pt idx="2">
                  <c:v>2.8714346822678968E-2</c:v>
                </c:pt>
                <c:pt idx="3">
                  <c:v>3.0197626599774558E-2</c:v>
                </c:pt>
                <c:pt idx="4">
                  <c:v>3.5483800350998823E-2</c:v>
                </c:pt>
                <c:pt idx="5">
                  <c:v>4.7447250689764547E-2</c:v>
                </c:pt>
                <c:pt idx="6">
                  <c:v>6.0069066835994098E-2</c:v>
                </c:pt>
                <c:pt idx="7">
                  <c:v>5.9223228376827385E-2</c:v>
                </c:pt>
                <c:pt idx="8">
                  <c:v>5.867980896976692E-2</c:v>
                </c:pt>
                <c:pt idx="9">
                  <c:v>5.4712248272362471E-2</c:v>
                </c:pt>
              </c:numCache>
            </c:numRef>
          </c:val>
          <c:smooth val="1"/>
          <c:extLst>
            <c:ext xmlns:c16="http://schemas.microsoft.com/office/drawing/2014/chart" uri="{C3380CC4-5D6E-409C-BE32-E72D297353CC}">
              <c16:uniqueId val="{00000001-FDBA-4786-B3ED-53EC343D265B}"/>
            </c:ext>
          </c:extLst>
        </c:ser>
        <c:dLbls>
          <c:showLegendKey val="0"/>
          <c:showVal val="0"/>
          <c:showCatName val="0"/>
          <c:showSerName val="0"/>
          <c:showPercent val="0"/>
          <c:showBubbleSize val="0"/>
        </c:dLbls>
        <c:marker val="1"/>
        <c:smooth val="0"/>
        <c:axId val="393100128"/>
        <c:axId val="393099736"/>
      </c:lineChart>
      <c:catAx>
        <c:axId val="61172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728424"/>
        <c:crosses val="autoZero"/>
        <c:auto val="1"/>
        <c:lblAlgn val="ctr"/>
        <c:lblOffset val="100"/>
        <c:noMultiLvlLbl val="0"/>
      </c:catAx>
      <c:valAx>
        <c:axId val="6117284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Millones de USD</a:t>
                </a:r>
              </a:p>
            </c:rich>
          </c:tx>
          <c:layout>
            <c:manualLayout>
              <c:xMode val="edge"/>
              <c:yMode val="edge"/>
              <c:x val="1.1111111111111112E-2"/>
              <c:y val="0.282555045202682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728032"/>
        <c:crosses val="autoZero"/>
        <c:crossBetween val="between"/>
      </c:valAx>
      <c:valAx>
        <c:axId val="3930997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Part % en el cdo</a:t>
                </a:r>
                <a:r>
                  <a:rPr lang="es-MX" baseline="0"/>
                  <a:t> total</a:t>
                </a:r>
                <a:endParaRPr lang="es-MX"/>
              </a:p>
            </c:rich>
          </c:tx>
          <c:layout>
            <c:manualLayout>
              <c:xMode val="edge"/>
              <c:yMode val="edge"/>
              <c:x val="0.94665266841644791"/>
              <c:y val="0.232092082239720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100128"/>
        <c:crosses val="max"/>
        <c:crossBetween val="between"/>
      </c:valAx>
      <c:catAx>
        <c:axId val="393100128"/>
        <c:scaling>
          <c:orientation val="minMax"/>
        </c:scaling>
        <c:delete val="1"/>
        <c:axPos val="b"/>
        <c:majorTickMark val="out"/>
        <c:minorTickMark val="none"/>
        <c:tickLblPos val="nextTo"/>
        <c:crossAx val="393099736"/>
        <c:crosses val="autoZero"/>
        <c:auto val="1"/>
        <c:lblAlgn val="ctr"/>
        <c:lblOffset val="100"/>
        <c:noMultiLvlLbl val="0"/>
      </c:catAx>
      <c:spPr>
        <a:noFill/>
        <a:ln>
          <a:noFill/>
        </a:ln>
        <a:effectLst/>
      </c:spPr>
    </c:plotArea>
    <c:legend>
      <c:legendPos val="b"/>
      <c:layout>
        <c:manualLayout>
          <c:xMode val="edge"/>
          <c:yMode val="edge"/>
          <c:x val="0.16766491688538931"/>
          <c:y val="0.90702354913969085"/>
          <c:w val="0.66466994750656172"/>
          <c:h val="8.3717191601049873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 agrícola por tipo de cultivo</a:t>
            </a:r>
          </a:p>
          <a:p>
            <a:pPr>
              <a:defRPr sz="1100">
                <a:latin typeface="Arial" panose="020B0604020202020204" pitchFamily="34" charset="0"/>
                <a:cs typeface="Arial" panose="020B0604020202020204" pitchFamily="34" charset="0"/>
              </a:defRPr>
            </a:pPr>
            <a:r>
              <a:rPr lang="es-MX" sz="1100">
                <a:latin typeface="Arial" panose="020B0604020202020204" pitchFamily="34" charset="0"/>
                <a:cs typeface="Arial" panose="020B0604020202020204" pitchFamily="34" charset="0"/>
              </a:rPr>
              <a:t>(millones de USD)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'Cdo agrícola 2010-19'!$N$2</c:f>
              <c:strCache>
                <c:ptCount val="1"/>
                <c:pt idx="0">
                  <c:v> Dic 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agrícola 2010-19'!$M$3:$M$9</c:f>
              <c:strCache>
                <c:ptCount val="7"/>
                <c:pt idx="0">
                  <c:v>Total</c:v>
                </c:pt>
                <c:pt idx="1">
                  <c:v>Otros cultivos</c:v>
                </c:pt>
                <c:pt idx="2">
                  <c:v>Café</c:v>
                </c:pt>
                <c:pt idx="3">
                  <c:v>Caña de azúcar</c:v>
                </c:pt>
                <c:pt idx="4">
                  <c:v>Granos básicos</c:v>
                </c:pt>
                <c:pt idx="5">
                  <c:v>Banano</c:v>
                </c:pt>
                <c:pt idx="6">
                  <c:v>Tubérculo, hortalizas y frutas</c:v>
                </c:pt>
              </c:strCache>
            </c:strRef>
          </c:cat>
          <c:val>
            <c:numRef>
              <c:f>'Cdo agrícola 2010-19'!$N$3:$N$9</c:f>
              <c:numCache>
                <c:formatCode>_-* #,##0_-;\-* #,##0_-;_-* "-"??_-;_-@_-</c:formatCode>
                <c:ptCount val="7"/>
                <c:pt idx="0">
                  <c:v>328.0379337544403</c:v>
                </c:pt>
                <c:pt idx="1">
                  <c:v>167.66477427546516</c:v>
                </c:pt>
                <c:pt idx="2">
                  <c:v>92.367877955818429</c:v>
                </c:pt>
                <c:pt idx="3">
                  <c:v>46.253333798284359</c:v>
                </c:pt>
                <c:pt idx="4">
                  <c:v>10.887335893842858</c:v>
                </c:pt>
                <c:pt idx="5">
                  <c:v>6.9811540888948755</c:v>
                </c:pt>
                <c:pt idx="6">
                  <c:v>3.8834577421346137</c:v>
                </c:pt>
              </c:numCache>
            </c:numRef>
          </c:val>
          <c:extLst>
            <c:ext xmlns:c16="http://schemas.microsoft.com/office/drawing/2014/chart" uri="{C3380CC4-5D6E-409C-BE32-E72D297353CC}">
              <c16:uniqueId val="{00000000-78E8-4894-ADB3-0151E4B3696F}"/>
            </c:ext>
          </c:extLst>
        </c:ser>
        <c:ser>
          <c:idx val="1"/>
          <c:order val="1"/>
          <c:tx>
            <c:strRef>
              <c:f>'Cdo agrícola 2010-19'!$O$2</c:f>
              <c:strCache>
                <c:ptCount val="1"/>
                <c:pt idx="0">
                  <c:v> Dic 2015</c:v>
                </c:pt>
              </c:strCache>
            </c:strRef>
          </c:tx>
          <c:spPr>
            <a:solidFill>
              <a:schemeClr val="accent2"/>
            </a:solidFill>
            <a:ln>
              <a:noFill/>
            </a:ln>
            <a:effectLst/>
          </c:spPr>
          <c:invertIfNegative val="0"/>
          <c:cat>
            <c:strRef>
              <c:f>'Cdo agrícola 2010-19'!$M$3:$M$9</c:f>
              <c:strCache>
                <c:ptCount val="7"/>
                <c:pt idx="0">
                  <c:v>Total</c:v>
                </c:pt>
                <c:pt idx="1">
                  <c:v>Otros cultivos</c:v>
                </c:pt>
                <c:pt idx="2">
                  <c:v>Café</c:v>
                </c:pt>
                <c:pt idx="3">
                  <c:v>Caña de azúcar</c:v>
                </c:pt>
                <c:pt idx="4">
                  <c:v>Granos básicos</c:v>
                </c:pt>
                <c:pt idx="5">
                  <c:v>Banano</c:v>
                </c:pt>
                <c:pt idx="6">
                  <c:v>Tubérculo, hortalizas y frutas</c:v>
                </c:pt>
              </c:strCache>
            </c:strRef>
          </c:cat>
          <c:val>
            <c:numRef>
              <c:f>'Cdo agrícola 2010-19'!$O$3:$O$9</c:f>
              <c:numCache>
                <c:formatCode>_-* #,##0_-;\-* #,##0_-;_-* "-"??_-;_-@_-</c:formatCode>
                <c:ptCount val="7"/>
                <c:pt idx="0">
                  <c:v>406.78322435450212</c:v>
                </c:pt>
                <c:pt idx="1">
                  <c:v>169.020633642154</c:v>
                </c:pt>
                <c:pt idx="2">
                  <c:v>152.21660502492082</c:v>
                </c:pt>
                <c:pt idx="3">
                  <c:v>62.716588493190116</c:v>
                </c:pt>
                <c:pt idx="4">
                  <c:v>10.623516196752472</c:v>
                </c:pt>
                <c:pt idx="5">
                  <c:v>7.4692565629719185</c:v>
                </c:pt>
                <c:pt idx="6">
                  <c:v>4.7366244345128319</c:v>
                </c:pt>
              </c:numCache>
            </c:numRef>
          </c:val>
          <c:extLst>
            <c:ext xmlns:c16="http://schemas.microsoft.com/office/drawing/2014/chart" uri="{C3380CC4-5D6E-409C-BE32-E72D297353CC}">
              <c16:uniqueId val="{00000001-78E8-4894-ADB3-0151E4B3696F}"/>
            </c:ext>
          </c:extLst>
        </c:ser>
        <c:ser>
          <c:idx val="2"/>
          <c:order val="2"/>
          <c:tx>
            <c:strRef>
              <c:f>'Cdo agrícola 2010-19'!$P$2</c:f>
              <c:strCache>
                <c:ptCount val="1"/>
                <c:pt idx="0">
                  <c:v> Dic 2016</c:v>
                </c:pt>
              </c:strCache>
            </c:strRef>
          </c:tx>
          <c:spPr>
            <a:solidFill>
              <a:schemeClr val="accent3"/>
            </a:solidFill>
            <a:ln>
              <a:noFill/>
            </a:ln>
            <a:effectLst/>
          </c:spPr>
          <c:invertIfNegative val="0"/>
          <c:cat>
            <c:strRef>
              <c:f>'Cdo agrícola 2010-19'!$M$3:$M$9</c:f>
              <c:strCache>
                <c:ptCount val="7"/>
                <c:pt idx="0">
                  <c:v>Total</c:v>
                </c:pt>
                <c:pt idx="1">
                  <c:v>Otros cultivos</c:v>
                </c:pt>
                <c:pt idx="2">
                  <c:v>Café</c:v>
                </c:pt>
                <c:pt idx="3">
                  <c:v>Caña de azúcar</c:v>
                </c:pt>
                <c:pt idx="4">
                  <c:v>Granos básicos</c:v>
                </c:pt>
                <c:pt idx="5">
                  <c:v>Banano</c:v>
                </c:pt>
                <c:pt idx="6">
                  <c:v>Tubérculo, hortalizas y frutas</c:v>
                </c:pt>
              </c:strCache>
            </c:strRef>
          </c:cat>
          <c:val>
            <c:numRef>
              <c:f>'Cdo agrícola 2010-19'!$P$3:$P$9</c:f>
              <c:numCache>
                <c:formatCode>_-* #,##0_-;\-* #,##0_-;_-* "-"??_-;_-@_-</c:formatCode>
                <c:ptCount val="7"/>
                <c:pt idx="0">
                  <c:v>574.8289090721878</c:v>
                </c:pt>
                <c:pt idx="1">
                  <c:v>266.58272015820597</c:v>
                </c:pt>
                <c:pt idx="2">
                  <c:v>173.7995434098255</c:v>
                </c:pt>
                <c:pt idx="3">
                  <c:v>109.43076367840884</c:v>
                </c:pt>
                <c:pt idx="4">
                  <c:v>12.311719083521634</c:v>
                </c:pt>
                <c:pt idx="5">
                  <c:v>6.6972464953768469</c:v>
                </c:pt>
                <c:pt idx="6">
                  <c:v>6.0069162468489496</c:v>
                </c:pt>
              </c:numCache>
            </c:numRef>
          </c:val>
          <c:extLst>
            <c:ext xmlns:c16="http://schemas.microsoft.com/office/drawing/2014/chart" uri="{C3380CC4-5D6E-409C-BE32-E72D297353CC}">
              <c16:uniqueId val="{00000002-78E8-4894-ADB3-0151E4B3696F}"/>
            </c:ext>
          </c:extLst>
        </c:ser>
        <c:ser>
          <c:idx val="3"/>
          <c:order val="3"/>
          <c:tx>
            <c:strRef>
              <c:f>'Cdo agrícola 2010-19'!$Q$2</c:f>
              <c:strCache>
                <c:ptCount val="1"/>
                <c:pt idx="0">
                  <c:v> Dic 2017</c:v>
                </c:pt>
              </c:strCache>
            </c:strRef>
          </c:tx>
          <c:spPr>
            <a:solidFill>
              <a:schemeClr val="accent4"/>
            </a:solidFill>
            <a:ln>
              <a:noFill/>
            </a:ln>
            <a:effectLst/>
          </c:spPr>
          <c:invertIfNegative val="0"/>
          <c:cat>
            <c:strRef>
              <c:f>'Cdo agrícola 2010-19'!$M$3:$M$9</c:f>
              <c:strCache>
                <c:ptCount val="7"/>
                <c:pt idx="0">
                  <c:v>Total</c:v>
                </c:pt>
                <c:pt idx="1">
                  <c:v>Otros cultivos</c:v>
                </c:pt>
                <c:pt idx="2">
                  <c:v>Café</c:v>
                </c:pt>
                <c:pt idx="3">
                  <c:v>Caña de azúcar</c:v>
                </c:pt>
                <c:pt idx="4">
                  <c:v>Granos básicos</c:v>
                </c:pt>
                <c:pt idx="5">
                  <c:v>Banano</c:v>
                </c:pt>
                <c:pt idx="6">
                  <c:v>Tubérculo, hortalizas y frutas</c:v>
                </c:pt>
              </c:strCache>
            </c:strRef>
          </c:cat>
          <c:val>
            <c:numRef>
              <c:f>'Cdo agrícola 2010-19'!$Q$3:$Q$9</c:f>
              <c:numCache>
                <c:formatCode>_-* #,##0_-;\-* #,##0_-;_-* "-"??_-;_-@_-</c:formatCode>
                <c:ptCount val="7"/>
                <c:pt idx="0">
                  <c:v>650.76972161736501</c:v>
                </c:pt>
                <c:pt idx="1">
                  <c:v>316.37468188625064</c:v>
                </c:pt>
                <c:pt idx="2">
                  <c:v>209.10396415742844</c:v>
                </c:pt>
                <c:pt idx="3">
                  <c:v>101.11077216376208</c:v>
                </c:pt>
                <c:pt idx="4">
                  <c:v>9.4138193616684251</c:v>
                </c:pt>
                <c:pt idx="5">
                  <c:v>6.8044060363043082</c:v>
                </c:pt>
                <c:pt idx="6">
                  <c:v>7.9620780119511627</c:v>
                </c:pt>
              </c:numCache>
            </c:numRef>
          </c:val>
          <c:extLst>
            <c:ext xmlns:c16="http://schemas.microsoft.com/office/drawing/2014/chart" uri="{C3380CC4-5D6E-409C-BE32-E72D297353CC}">
              <c16:uniqueId val="{00000003-78E8-4894-ADB3-0151E4B3696F}"/>
            </c:ext>
          </c:extLst>
        </c:ser>
        <c:ser>
          <c:idx val="4"/>
          <c:order val="4"/>
          <c:tx>
            <c:strRef>
              <c:f>'Cdo agrícola 2010-19'!$R$2</c:f>
              <c:strCache>
                <c:ptCount val="1"/>
                <c:pt idx="0">
                  <c:v> Dic 2018</c:v>
                </c:pt>
              </c:strCache>
            </c:strRef>
          </c:tx>
          <c:spPr>
            <a:solidFill>
              <a:schemeClr val="accent5"/>
            </a:solidFill>
            <a:ln>
              <a:noFill/>
            </a:ln>
            <a:effectLst/>
          </c:spPr>
          <c:invertIfNegative val="0"/>
          <c:cat>
            <c:strRef>
              <c:f>'Cdo agrícola 2010-19'!$M$3:$M$9</c:f>
              <c:strCache>
                <c:ptCount val="7"/>
                <c:pt idx="0">
                  <c:v>Total</c:v>
                </c:pt>
                <c:pt idx="1">
                  <c:v>Otros cultivos</c:v>
                </c:pt>
                <c:pt idx="2">
                  <c:v>Café</c:v>
                </c:pt>
                <c:pt idx="3">
                  <c:v>Caña de azúcar</c:v>
                </c:pt>
                <c:pt idx="4">
                  <c:v>Granos básicos</c:v>
                </c:pt>
                <c:pt idx="5">
                  <c:v>Banano</c:v>
                </c:pt>
                <c:pt idx="6">
                  <c:v>Tubérculo, hortalizas y frutas</c:v>
                </c:pt>
              </c:strCache>
            </c:strRef>
          </c:cat>
          <c:val>
            <c:numRef>
              <c:f>'Cdo agrícola 2010-19'!$R$3:$R$9</c:f>
              <c:numCache>
                <c:formatCode>_-* #,##0_-;\-* #,##0_-;_-* "-"??_-;_-@_-</c:formatCode>
                <c:ptCount val="7"/>
                <c:pt idx="0">
                  <c:v>723.73805580540511</c:v>
                </c:pt>
                <c:pt idx="1">
                  <c:v>332.82802307540607</c:v>
                </c:pt>
                <c:pt idx="2">
                  <c:v>207.69491510148666</c:v>
                </c:pt>
                <c:pt idx="3">
                  <c:v>153.19355714024235</c:v>
                </c:pt>
                <c:pt idx="4">
                  <c:v>9.4231455820658248</c:v>
                </c:pt>
                <c:pt idx="5">
                  <c:v>9.84382371957979</c:v>
                </c:pt>
                <c:pt idx="6">
                  <c:v>10.754591186624562</c:v>
                </c:pt>
              </c:numCache>
            </c:numRef>
          </c:val>
          <c:extLst>
            <c:ext xmlns:c16="http://schemas.microsoft.com/office/drawing/2014/chart" uri="{C3380CC4-5D6E-409C-BE32-E72D297353CC}">
              <c16:uniqueId val="{00000004-78E8-4894-ADB3-0151E4B3696F}"/>
            </c:ext>
          </c:extLst>
        </c:ser>
        <c:ser>
          <c:idx val="5"/>
          <c:order val="5"/>
          <c:tx>
            <c:strRef>
              <c:f>'Cdo agrícola 2010-19'!$S$2</c:f>
              <c:strCache>
                <c:ptCount val="1"/>
                <c:pt idx="0">
                  <c:v> Junio 2019</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'Cdo agrícola 2010-19'!$M$3:$M$9</c:f>
              <c:strCache>
                <c:ptCount val="7"/>
                <c:pt idx="0">
                  <c:v>Total</c:v>
                </c:pt>
                <c:pt idx="1">
                  <c:v>Otros cultivos</c:v>
                </c:pt>
                <c:pt idx="2">
                  <c:v>Café</c:v>
                </c:pt>
                <c:pt idx="3">
                  <c:v>Caña de azúcar</c:v>
                </c:pt>
                <c:pt idx="4">
                  <c:v>Granos básicos</c:v>
                </c:pt>
                <c:pt idx="5">
                  <c:v>Banano</c:v>
                </c:pt>
                <c:pt idx="6">
                  <c:v>Tubérculo, hortalizas y frutas</c:v>
                </c:pt>
              </c:strCache>
            </c:strRef>
          </c:cat>
          <c:val>
            <c:numRef>
              <c:f>'Cdo agrícola 2010-19'!$S$3:$S$9</c:f>
              <c:numCache>
                <c:formatCode>_-* #,##0_-;\-* #,##0_-;_-* "-"??_-;_-@_-</c:formatCode>
                <c:ptCount val="7"/>
                <c:pt idx="0">
                  <c:v>723.35411850084733</c:v>
                </c:pt>
                <c:pt idx="1">
                  <c:v>319.47129544468169</c:v>
                </c:pt>
                <c:pt idx="2">
                  <c:v>187.34540506271665</c:v>
                </c:pt>
                <c:pt idx="3">
                  <c:v>189.55865396097644</c:v>
                </c:pt>
                <c:pt idx="4">
                  <c:v>8.2188393463190437</c:v>
                </c:pt>
                <c:pt idx="5">
                  <c:v>8.6775539689595966</c:v>
                </c:pt>
                <c:pt idx="6">
                  <c:v>10.082370717193877</c:v>
                </c:pt>
              </c:numCache>
            </c:numRef>
          </c:val>
          <c:extLst>
            <c:ext xmlns:c16="http://schemas.microsoft.com/office/drawing/2014/chart" uri="{C3380CC4-5D6E-409C-BE32-E72D297353CC}">
              <c16:uniqueId val="{00000005-78E8-4894-ADB3-0151E4B3696F}"/>
            </c:ext>
          </c:extLst>
        </c:ser>
        <c:dLbls>
          <c:showLegendKey val="0"/>
          <c:showVal val="0"/>
          <c:showCatName val="0"/>
          <c:showSerName val="0"/>
          <c:showPercent val="0"/>
          <c:showBubbleSize val="0"/>
        </c:dLbls>
        <c:gapWidth val="60"/>
        <c:overlap val="-27"/>
        <c:axId val="393100912"/>
        <c:axId val="393101304"/>
      </c:barChart>
      <c:catAx>
        <c:axId val="39310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101304"/>
        <c:crosses val="autoZero"/>
        <c:auto val="1"/>
        <c:lblAlgn val="ctr"/>
        <c:lblOffset val="100"/>
        <c:noMultiLvlLbl val="0"/>
      </c:catAx>
      <c:valAx>
        <c:axId val="393101304"/>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10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a:t>
            </a:r>
            <a:r>
              <a:rPr lang="es-MX" sz="1100" b="1" baseline="0">
                <a:latin typeface="Arial" panose="020B0604020202020204" pitchFamily="34" charset="0"/>
                <a:cs typeface="Arial" panose="020B0604020202020204" pitchFamily="34" charset="0"/>
              </a:rPr>
              <a:t> agrícola por tipo de cultivo</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v>Crédito</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'Detalle Bancos'!$W$34:$W$40</c:f>
              <c:strCache>
                <c:ptCount val="7"/>
                <c:pt idx="0">
                  <c:v>Otros cultivos</c:v>
                </c:pt>
                <c:pt idx="1">
                  <c:v>Caña de azúcar</c:v>
                </c:pt>
                <c:pt idx="2">
                  <c:v>Café</c:v>
                </c:pt>
                <c:pt idx="3">
                  <c:v>Otros y const</c:v>
                </c:pt>
                <c:pt idx="4">
                  <c:v>Hortalizas, tubérculos y frutas</c:v>
                </c:pt>
                <c:pt idx="5">
                  <c:v>Banano</c:v>
                </c:pt>
                <c:pt idx="6">
                  <c:v>Granos básicos</c:v>
                </c:pt>
              </c:strCache>
            </c:strRef>
          </c:cat>
          <c:val>
            <c:numRef>
              <c:f>'Detalle Bancos'!$Y$34:$Y$40</c:f>
              <c:numCache>
                <c:formatCode>_-* #,##0_-;\-* #,##0_-;_-* "-"??_-;_-@_-</c:formatCode>
                <c:ptCount val="7"/>
                <c:pt idx="0">
                  <c:v>302.02789598437732</c:v>
                </c:pt>
                <c:pt idx="1">
                  <c:v>189.55865396097644</c:v>
                </c:pt>
                <c:pt idx="2">
                  <c:v>187.34540506271665</c:v>
                </c:pt>
                <c:pt idx="3">
                  <c:v>17.443399460304327</c:v>
                </c:pt>
                <c:pt idx="4">
                  <c:v>10.082370717193875</c:v>
                </c:pt>
                <c:pt idx="5">
                  <c:v>8.6775539689595966</c:v>
                </c:pt>
                <c:pt idx="6">
                  <c:v>8.2188393463190419</c:v>
                </c:pt>
              </c:numCache>
            </c:numRef>
          </c:val>
          <c:extLst>
            <c:ext xmlns:c16="http://schemas.microsoft.com/office/drawing/2014/chart" uri="{C3380CC4-5D6E-409C-BE32-E72D297353CC}">
              <c16:uniqueId val="{00000000-4993-4B1A-BA5C-3039BB809234}"/>
            </c:ext>
          </c:extLst>
        </c:ser>
        <c:dLbls>
          <c:showLegendKey val="0"/>
          <c:showVal val="0"/>
          <c:showCatName val="0"/>
          <c:showSerName val="0"/>
          <c:showPercent val="0"/>
          <c:showBubbleSize val="0"/>
        </c:dLbls>
        <c:gapWidth val="50"/>
        <c:overlap val="-27"/>
        <c:axId val="611704328"/>
        <c:axId val="611704720"/>
      </c:barChart>
      <c:lineChart>
        <c:grouping val="standard"/>
        <c:varyColors val="0"/>
        <c:ser>
          <c:idx val="1"/>
          <c:order val="1"/>
          <c:tx>
            <c:v>Part % en el cdo agrícola</c:v>
          </c:tx>
          <c:spPr>
            <a:ln w="38100" cap="rnd">
              <a:solidFill>
                <a:srgbClr val="002060"/>
              </a:solidFill>
              <a:round/>
            </a:ln>
            <a:effectLst/>
          </c:spPr>
          <c:marker>
            <c:symbol val="none"/>
          </c:marker>
          <c:dLbls>
            <c:dLbl>
              <c:idx val="3"/>
              <c:layout>
                <c:manualLayout>
                  <c:x val="-4.8729221347331583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93-4B1A-BA5C-3039BB809234}"/>
                </c:ext>
              </c:extLst>
            </c:dLbl>
            <c:dLbl>
              <c:idx val="4"/>
              <c:layout>
                <c:manualLayout>
                  <c:x val="-4.8729221347331583E-2"/>
                  <c:y val="2.9377917126874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93-4B1A-BA5C-3039BB809234}"/>
                </c:ext>
              </c:extLst>
            </c:dLbl>
            <c:dLbl>
              <c:idx val="5"/>
              <c:layout>
                <c:manualLayout>
                  <c:x val="-4.8729221347331687E-2"/>
                  <c:y val="3.3902804004703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93-4B1A-BA5C-3039BB809234}"/>
                </c:ext>
              </c:extLst>
            </c:dLbl>
            <c:dLbl>
              <c:idx val="6"/>
              <c:layout>
                <c:manualLayout>
                  <c:x val="-4.8729221347331583E-2"/>
                  <c:y val="3.39028040047030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93-4B1A-BA5C-3039BB80923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'Detalle Bancos'!$Z$34:$Z$40</c:f>
              <c:numCache>
                <c:formatCode>0.0%</c:formatCode>
                <c:ptCount val="7"/>
                <c:pt idx="0">
                  <c:v>0.4175380885510554</c:v>
                </c:pt>
                <c:pt idx="1">
                  <c:v>0.26205512502484557</c:v>
                </c:pt>
                <c:pt idx="2">
                  <c:v>0.25899542184261065</c:v>
                </c:pt>
                <c:pt idx="3">
                  <c:v>2.4114605853708015E-2</c:v>
                </c:pt>
                <c:pt idx="4">
                  <c:v>1.3938360837828101E-2</c:v>
                </c:pt>
                <c:pt idx="5">
                  <c:v>1.1996273674288113E-2</c:v>
                </c:pt>
                <c:pt idx="6">
                  <c:v>1.1362124215664387E-2</c:v>
                </c:pt>
              </c:numCache>
            </c:numRef>
          </c:val>
          <c:smooth val="1"/>
          <c:extLst>
            <c:ext xmlns:c16="http://schemas.microsoft.com/office/drawing/2014/chart" uri="{C3380CC4-5D6E-409C-BE32-E72D297353CC}">
              <c16:uniqueId val="{00000005-4993-4B1A-BA5C-3039BB809234}"/>
            </c:ext>
          </c:extLst>
        </c:ser>
        <c:dLbls>
          <c:showLegendKey val="0"/>
          <c:showVal val="0"/>
          <c:showCatName val="0"/>
          <c:showSerName val="0"/>
          <c:showPercent val="0"/>
          <c:showBubbleSize val="0"/>
        </c:dLbls>
        <c:marker val="1"/>
        <c:smooth val="0"/>
        <c:axId val="611705504"/>
        <c:axId val="611705112"/>
      </c:lineChart>
      <c:catAx>
        <c:axId val="61170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11704720"/>
        <c:crosses val="autoZero"/>
        <c:auto val="1"/>
        <c:lblAlgn val="ctr"/>
        <c:lblOffset val="100"/>
        <c:noMultiLvlLbl val="0"/>
      </c:catAx>
      <c:valAx>
        <c:axId val="6117047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900"/>
                  <a:t>Millones de USD</a:t>
                </a:r>
              </a:p>
            </c:rich>
          </c:tx>
          <c:layout>
            <c:manualLayout>
              <c:xMode val="edge"/>
              <c:yMode val="edge"/>
              <c:x val="5.5555555555555558E-3"/>
              <c:y val="0.312613745679980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704328"/>
        <c:crosses val="autoZero"/>
        <c:crossBetween val="between"/>
      </c:valAx>
      <c:valAx>
        <c:axId val="611705112"/>
        <c:scaling>
          <c:orientation val="minMax"/>
          <c:max val="0.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900"/>
                  <a:t>Part</a:t>
                </a:r>
                <a:r>
                  <a:rPr lang="es-MX" sz="900" baseline="0"/>
                  <a:t> % en el cdo agrícola</a:t>
                </a:r>
                <a:endParaRPr lang="es-MX" sz="900"/>
              </a:p>
            </c:rich>
          </c:tx>
          <c:layout>
            <c:manualLayout>
              <c:xMode val="edge"/>
              <c:yMode val="edge"/>
              <c:x val="0.95220822397200355"/>
              <c:y val="0.3216635194356360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705504"/>
        <c:crosses val="max"/>
        <c:crossBetween val="between"/>
        <c:majorUnit val="0.1"/>
      </c:valAx>
      <c:catAx>
        <c:axId val="611705504"/>
        <c:scaling>
          <c:orientation val="minMax"/>
        </c:scaling>
        <c:delete val="1"/>
        <c:axPos val="b"/>
        <c:majorTickMark val="out"/>
        <c:minorTickMark val="none"/>
        <c:tickLblPos val="nextTo"/>
        <c:crossAx val="61170511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a:t>
            </a:r>
            <a:r>
              <a:rPr lang="es-MX" sz="1100" b="1" baseline="0">
                <a:latin typeface="Arial" panose="020B0604020202020204" pitchFamily="34" charset="0"/>
                <a:cs typeface="Arial" panose="020B0604020202020204" pitchFamily="34" charset="0"/>
              </a:rPr>
              <a:t>rédito al sector agrícola</a:t>
            </a:r>
          </a:p>
          <a:p>
            <a:pPr>
              <a:defRPr sz="1100">
                <a:latin typeface="Arial" panose="020B0604020202020204" pitchFamily="34" charset="0"/>
                <a:cs typeface="Arial" panose="020B0604020202020204" pitchFamily="34" charset="0"/>
              </a:defRPr>
            </a:pPr>
            <a:r>
              <a:rPr lang="es-MX" sz="1000" b="0" baseline="0">
                <a:latin typeface="Arial" panose="020B0604020202020204" pitchFamily="34" charset="0"/>
                <a:cs typeface="Arial" panose="020B0604020202020204" pitchFamily="34" charset="0"/>
              </a:rPr>
              <a:t>(Junio 2019)</a:t>
            </a:r>
            <a:endParaRPr lang="es-MX" sz="1000" b="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762834511072256"/>
          <c:y val="0.16830399715874478"/>
          <c:w val="0.74186259142018862"/>
          <c:h val="0.46516800457916585"/>
        </c:manualLayout>
      </c:layout>
      <c:barChart>
        <c:barDir val="col"/>
        <c:grouping val="clustered"/>
        <c:varyColors val="0"/>
        <c:ser>
          <c:idx val="0"/>
          <c:order val="0"/>
          <c:tx>
            <c:v>Millones de USD</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 Geográfica'!$W$6:$W$23</c:f>
              <c:strCache>
                <c:ptCount val="18"/>
                <c:pt idx="0">
                  <c:v>Fco Morazán</c:v>
                </c:pt>
                <c:pt idx="1">
                  <c:v>Cortés</c:v>
                </c:pt>
                <c:pt idx="2">
                  <c:v>Intibucá</c:v>
                </c:pt>
                <c:pt idx="3">
                  <c:v>Atlántida</c:v>
                </c:pt>
                <c:pt idx="4">
                  <c:v>Copán</c:v>
                </c:pt>
                <c:pt idx="5">
                  <c:v>Colón</c:v>
                </c:pt>
                <c:pt idx="6">
                  <c:v>Choluteca</c:v>
                </c:pt>
                <c:pt idx="7">
                  <c:v>Comayagua</c:v>
                </c:pt>
                <c:pt idx="8">
                  <c:v>Olancho</c:v>
                </c:pt>
                <c:pt idx="9">
                  <c:v>Yoro</c:v>
                </c:pt>
                <c:pt idx="10">
                  <c:v>El Paraíso</c:v>
                </c:pt>
                <c:pt idx="11">
                  <c:v>Sta Bárbara</c:v>
                </c:pt>
                <c:pt idx="12">
                  <c:v>Gracias a Dios</c:v>
                </c:pt>
                <c:pt idx="13">
                  <c:v>Islas de la Bahía</c:v>
                </c:pt>
                <c:pt idx="14">
                  <c:v>La Paz</c:v>
                </c:pt>
                <c:pt idx="15">
                  <c:v>Lempira</c:v>
                </c:pt>
                <c:pt idx="16">
                  <c:v>Ocotepeque</c:v>
                </c:pt>
                <c:pt idx="17">
                  <c:v>Valle</c:v>
                </c:pt>
              </c:strCache>
            </c:strRef>
          </c:cat>
          <c:val>
            <c:numRef>
              <c:f>'Distribución Geográfica'!$X$6:$X$23</c:f>
              <c:numCache>
                <c:formatCode>_-* #,##0_-;\-* #,##0_-;_-* "-"??_-;_-@_-</c:formatCode>
                <c:ptCount val="18"/>
                <c:pt idx="0">
                  <c:v>351.85294325455385</c:v>
                </c:pt>
                <c:pt idx="1">
                  <c:v>198.08143410691872</c:v>
                </c:pt>
                <c:pt idx="2">
                  <c:v>123.02212854223409</c:v>
                </c:pt>
                <c:pt idx="3">
                  <c:v>33.117630385052891</c:v>
                </c:pt>
                <c:pt idx="4">
                  <c:v>22.454613031555461</c:v>
                </c:pt>
                <c:pt idx="5">
                  <c:v>10.542275709196508</c:v>
                </c:pt>
                <c:pt idx="6">
                  <c:v>9.5197267360082556</c:v>
                </c:pt>
                <c:pt idx="7">
                  <c:v>5.6698235777065751</c:v>
                </c:pt>
                <c:pt idx="8">
                  <c:v>3.5891865536431489</c:v>
                </c:pt>
                <c:pt idx="9">
                  <c:v>1.5733005948485366</c:v>
                </c:pt>
                <c:pt idx="10">
                  <c:v>1.3307829108797025</c:v>
                </c:pt>
                <c:pt idx="11">
                  <c:v>6.338507598410982E-2</c:v>
                </c:pt>
                <c:pt idx="12">
                  <c:v>0</c:v>
                </c:pt>
                <c:pt idx="13">
                  <c:v>0</c:v>
                </c:pt>
                <c:pt idx="14">
                  <c:v>0</c:v>
                </c:pt>
                <c:pt idx="15">
                  <c:v>0</c:v>
                </c:pt>
                <c:pt idx="16">
                  <c:v>0</c:v>
                </c:pt>
                <c:pt idx="17">
                  <c:v>0</c:v>
                </c:pt>
              </c:numCache>
            </c:numRef>
          </c:val>
          <c:extLst>
            <c:ext xmlns:c16="http://schemas.microsoft.com/office/drawing/2014/chart" uri="{C3380CC4-5D6E-409C-BE32-E72D297353CC}">
              <c16:uniqueId val="{00000000-C896-42B3-9F4F-2E93C3691613}"/>
            </c:ext>
          </c:extLst>
        </c:ser>
        <c:dLbls>
          <c:showLegendKey val="0"/>
          <c:showVal val="0"/>
          <c:showCatName val="0"/>
          <c:showSerName val="0"/>
          <c:showPercent val="0"/>
          <c:showBubbleSize val="0"/>
        </c:dLbls>
        <c:gapWidth val="40"/>
        <c:axId val="549356536"/>
        <c:axId val="549356928"/>
      </c:barChart>
      <c:lineChart>
        <c:grouping val="standard"/>
        <c:varyColors val="0"/>
        <c:ser>
          <c:idx val="1"/>
          <c:order val="1"/>
          <c:tx>
            <c:v>Part % cdo agrícola</c:v>
          </c:tx>
          <c:spPr>
            <a:ln w="38100" cap="rnd">
              <a:solidFill>
                <a:srgbClr val="002060"/>
              </a:solidFill>
              <a:round/>
            </a:ln>
            <a:effectLst/>
          </c:spPr>
          <c:marker>
            <c:symbol val="none"/>
          </c:marker>
          <c:dLbls>
            <c:dLbl>
              <c:idx val="3"/>
              <c:layout>
                <c:manualLayout>
                  <c:x val="-5.3499066681191226E-2"/>
                  <c:y val="2.4812938085930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96-42B3-9F4F-2E93C3691613}"/>
                </c:ext>
              </c:extLst>
            </c:dLbl>
            <c:dLbl>
              <c:idx val="4"/>
              <c:layout>
                <c:manualLayout>
                  <c:x val="-4.2475445317413027E-2"/>
                  <c:y val="2.0295350619923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96-42B3-9F4F-2E93C3691613}"/>
                </c:ext>
              </c:extLst>
            </c:dLbl>
            <c:dLbl>
              <c:idx val="5"/>
              <c:layout>
                <c:manualLayout>
                  <c:x val="-3.5836318625815336E-2"/>
                  <c:y val="1.5914037289543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96-42B3-9F4F-2E93C3691613}"/>
                </c:ext>
              </c:extLst>
            </c:dLbl>
            <c:dLbl>
              <c:idx val="6"/>
              <c:layout>
                <c:manualLayout>
                  <c:x val="-3.0390494650346881E-2"/>
                  <c:y val="2.0385791865906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96-42B3-9F4F-2E93C3691613}"/>
                </c:ext>
              </c:extLst>
            </c:dLbl>
            <c:dLbl>
              <c:idx val="7"/>
              <c:layout>
                <c:manualLayout>
                  <c:x val="-3.8680650992686381E-2"/>
                  <c:y val="2.0385791865906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96-42B3-9F4F-2E93C3691613}"/>
                </c:ext>
              </c:extLst>
            </c:dLbl>
            <c:dLbl>
              <c:idx val="8"/>
              <c:delete val="1"/>
              <c:extLst>
                <c:ext xmlns:c15="http://schemas.microsoft.com/office/drawing/2012/chart" uri="{CE6537A1-D6FC-4f65-9D91-7224C49458BB}"/>
                <c:ext xmlns:c16="http://schemas.microsoft.com/office/drawing/2014/chart" uri="{C3380CC4-5D6E-409C-BE32-E72D297353CC}">
                  <c16:uniqueId val="{00000006-C896-42B3-9F4F-2E93C3691613}"/>
                </c:ext>
              </c:extLst>
            </c:dLbl>
            <c:dLbl>
              <c:idx val="9"/>
              <c:delete val="1"/>
              <c:extLst>
                <c:ext xmlns:c15="http://schemas.microsoft.com/office/drawing/2012/chart" uri="{CE6537A1-D6FC-4f65-9D91-7224C49458BB}"/>
                <c:ext xmlns:c16="http://schemas.microsoft.com/office/drawing/2014/chart" uri="{C3380CC4-5D6E-409C-BE32-E72D297353CC}">
                  <c16:uniqueId val="{00000007-C896-42B3-9F4F-2E93C3691613}"/>
                </c:ext>
              </c:extLst>
            </c:dLbl>
            <c:dLbl>
              <c:idx val="10"/>
              <c:delete val="1"/>
              <c:extLst>
                <c:ext xmlns:c15="http://schemas.microsoft.com/office/drawing/2012/chart" uri="{CE6537A1-D6FC-4f65-9D91-7224C49458BB}"/>
                <c:ext xmlns:c16="http://schemas.microsoft.com/office/drawing/2014/chart" uri="{C3380CC4-5D6E-409C-BE32-E72D297353CC}">
                  <c16:uniqueId val="{00000008-C896-42B3-9F4F-2E93C3691613}"/>
                </c:ext>
              </c:extLst>
            </c:dLbl>
            <c:dLbl>
              <c:idx val="11"/>
              <c:delete val="1"/>
              <c:extLst>
                <c:ext xmlns:c15="http://schemas.microsoft.com/office/drawing/2012/chart" uri="{CE6537A1-D6FC-4f65-9D91-7224C49458BB}"/>
                <c:ext xmlns:c16="http://schemas.microsoft.com/office/drawing/2014/chart" uri="{C3380CC4-5D6E-409C-BE32-E72D297353CC}">
                  <c16:uniqueId val="{00000009-C896-42B3-9F4F-2E93C3691613}"/>
                </c:ext>
              </c:extLst>
            </c:dLbl>
            <c:dLbl>
              <c:idx val="12"/>
              <c:delete val="1"/>
              <c:extLst>
                <c:ext xmlns:c15="http://schemas.microsoft.com/office/drawing/2012/chart" uri="{CE6537A1-D6FC-4f65-9D91-7224C49458BB}"/>
                <c:ext xmlns:c16="http://schemas.microsoft.com/office/drawing/2014/chart" uri="{C3380CC4-5D6E-409C-BE32-E72D297353CC}">
                  <c16:uniqueId val="{0000000A-C896-42B3-9F4F-2E93C3691613}"/>
                </c:ext>
              </c:extLst>
            </c:dLbl>
            <c:dLbl>
              <c:idx val="13"/>
              <c:delete val="1"/>
              <c:extLst>
                <c:ext xmlns:c15="http://schemas.microsoft.com/office/drawing/2012/chart" uri="{CE6537A1-D6FC-4f65-9D91-7224C49458BB}"/>
                <c:ext xmlns:c16="http://schemas.microsoft.com/office/drawing/2014/chart" uri="{C3380CC4-5D6E-409C-BE32-E72D297353CC}">
                  <c16:uniqueId val="{0000000B-C896-42B3-9F4F-2E93C3691613}"/>
                </c:ext>
              </c:extLst>
            </c:dLbl>
            <c:dLbl>
              <c:idx val="14"/>
              <c:delete val="1"/>
              <c:extLst>
                <c:ext xmlns:c15="http://schemas.microsoft.com/office/drawing/2012/chart" uri="{CE6537A1-D6FC-4f65-9D91-7224C49458BB}"/>
                <c:ext xmlns:c16="http://schemas.microsoft.com/office/drawing/2014/chart" uri="{C3380CC4-5D6E-409C-BE32-E72D297353CC}">
                  <c16:uniqueId val="{0000000C-C896-42B3-9F4F-2E93C3691613}"/>
                </c:ext>
              </c:extLst>
            </c:dLbl>
            <c:dLbl>
              <c:idx val="15"/>
              <c:delete val="1"/>
              <c:extLst>
                <c:ext xmlns:c15="http://schemas.microsoft.com/office/drawing/2012/chart" uri="{CE6537A1-D6FC-4f65-9D91-7224C49458BB}"/>
                <c:ext xmlns:c16="http://schemas.microsoft.com/office/drawing/2014/chart" uri="{C3380CC4-5D6E-409C-BE32-E72D297353CC}">
                  <c16:uniqueId val="{0000000D-C896-42B3-9F4F-2E93C3691613}"/>
                </c:ext>
              </c:extLst>
            </c:dLbl>
            <c:dLbl>
              <c:idx val="16"/>
              <c:delete val="1"/>
              <c:extLst>
                <c:ext xmlns:c15="http://schemas.microsoft.com/office/drawing/2012/chart" uri="{CE6537A1-D6FC-4f65-9D91-7224C49458BB}"/>
                <c:ext xmlns:c16="http://schemas.microsoft.com/office/drawing/2014/chart" uri="{C3380CC4-5D6E-409C-BE32-E72D297353CC}">
                  <c16:uniqueId val="{0000000E-C896-42B3-9F4F-2E93C3691613}"/>
                </c:ext>
              </c:extLst>
            </c:dLbl>
            <c:dLbl>
              <c:idx val="17"/>
              <c:delete val="1"/>
              <c:extLst>
                <c:ext xmlns:c15="http://schemas.microsoft.com/office/drawing/2012/chart" uri="{CE6537A1-D6FC-4f65-9D91-7224C49458BB}"/>
                <c:ext xmlns:c16="http://schemas.microsoft.com/office/drawing/2014/chart" uri="{C3380CC4-5D6E-409C-BE32-E72D297353CC}">
                  <c16:uniqueId val="{0000000F-C896-42B3-9F4F-2E93C369161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 Geográfica'!$W$6:$W$23</c:f>
              <c:strCache>
                <c:ptCount val="18"/>
                <c:pt idx="0">
                  <c:v>Fco Morazán</c:v>
                </c:pt>
                <c:pt idx="1">
                  <c:v>Cortés</c:v>
                </c:pt>
                <c:pt idx="2">
                  <c:v>Intibucá</c:v>
                </c:pt>
                <c:pt idx="3">
                  <c:v>Atlántida</c:v>
                </c:pt>
                <c:pt idx="4">
                  <c:v>Copán</c:v>
                </c:pt>
                <c:pt idx="5">
                  <c:v>Colón</c:v>
                </c:pt>
                <c:pt idx="6">
                  <c:v>Choluteca</c:v>
                </c:pt>
                <c:pt idx="7">
                  <c:v>Comayagua</c:v>
                </c:pt>
                <c:pt idx="8">
                  <c:v>Olancho</c:v>
                </c:pt>
                <c:pt idx="9">
                  <c:v>Yoro</c:v>
                </c:pt>
                <c:pt idx="10">
                  <c:v>El Paraíso</c:v>
                </c:pt>
                <c:pt idx="11">
                  <c:v>Sta Bárbara</c:v>
                </c:pt>
                <c:pt idx="12">
                  <c:v>Gracias a Dios</c:v>
                </c:pt>
                <c:pt idx="13">
                  <c:v>Islas de la Bahía</c:v>
                </c:pt>
                <c:pt idx="14">
                  <c:v>La Paz</c:v>
                </c:pt>
                <c:pt idx="15">
                  <c:v>Lempira</c:v>
                </c:pt>
                <c:pt idx="16">
                  <c:v>Ocotepeque</c:v>
                </c:pt>
                <c:pt idx="17">
                  <c:v>Valle</c:v>
                </c:pt>
              </c:strCache>
            </c:strRef>
          </c:cat>
          <c:val>
            <c:numRef>
              <c:f>'Distribución Geográfica'!$Y$6:$Y$23</c:f>
              <c:numCache>
                <c:formatCode>0%</c:formatCode>
                <c:ptCount val="18"/>
                <c:pt idx="0">
                  <c:v>0.46246710663114915</c:v>
                </c:pt>
                <c:pt idx="1">
                  <c:v>0.26035350695503867</c:v>
                </c:pt>
                <c:pt idx="2">
                  <c:v>0.16169734808036443</c:v>
                </c:pt>
                <c:pt idx="3">
                  <c:v>4.3529022554103687E-2</c:v>
                </c:pt>
                <c:pt idx="4">
                  <c:v>2.9513807169470503E-2</c:v>
                </c:pt>
                <c:pt idx="5">
                  <c:v>1.3856515450583357E-2</c:v>
                </c:pt>
                <c:pt idx="6">
                  <c:v>1.2512501497922175E-2</c:v>
                </c:pt>
                <c:pt idx="7">
                  <c:v>7.4522807194311955E-3</c:v>
                </c:pt>
                <c:pt idx="8">
                  <c:v>4.7175410990434848E-3</c:v>
                </c:pt>
                <c:pt idx="9">
                  <c:v>2.0679087326385512E-3</c:v>
                </c:pt>
                <c:pt idx="10">
                  <c:v>1.7491492799691082E-3</c:v>
                </c:pt>
                <c:pt idx="11">
                  <c:v>8.3311830285755096E-5</c:v>
                </c:pt>
                <c:pt idx="12">
                  <c:v>0</c:v>
                </c:pt>
                <c:pt idx="13">
                  <c:v>0</c:v>
                </c:pt>
                <c:pt idx="14">
                  <c:v>0</c:v>
                </c:pt>
                <c:pt idx="15">
                  <c:v>0</c:v>
                </c:pt>
                <c:pt idx="16">
                  <c:v>0</c:v>
                </c:pt>
                <c:pt idx="17">
                  <c:v>0</c:v>
                </c:pt>
              </c:numCache>
            </c:numRef>
          </c:val>
          <c:smooth val="1"/>
          <c:extLst>
            <c:ext xmlns:c16="http://schemas.microsoft.com/office/drawing/2014/chart" uri="{C3380CC4-5D6E-409C-BE32-E72D297353CC}">
              <c16:uniqueId val="{00000010-C896-42B3-9F4F-2E93C3691613}"/>
            </c:ext>
          </c:extLst>
        </c:ser>
        <c:dLbls>
          <c:showLegendKey val="0"/>
          <c:showVal val="0"/>
          <c:showCatName val="0"/>
          <c:showSerName val="0"/>
          <c:showPercent val="0"/>
          <c:showBubbleSize val="0"/>
        </c:dLbls>
        <c:marker val="1"/>
        <c:smooth val="0"/>
        <c:axId val="549357712"/>
        <c:axId val="549357320"/>
      </c:lineChart>
      <c:catAx>
        <c:axId val="54935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356928"/>
        <c:crosses val="autoZero"/>
        <c:auto val="1"/>
        <c:lblAlgn val="ctr"/>
        <c:lblOffset val="100"/>
        <c:noMultiLvlLbl val="0"/>
      </c:catAx>
      <c:valAx>
        <c:axId val="549356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Millones de USD</a:t>
                </a:r>
              </a:p>
            </c:rich>
          </c:tx>
          <c:layout>
            <c:manualLayout>
              <c:xMode val="edge"/>
              <c:yMode val="edge"/>
              <c:x val="8.2901563423395039E-3"/>
              <c:y val="0.208579290207852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356536"/>
        <c:crosses val="autoZero"/>
        <c:crossBetween val="between"/>
      </c:valAx>
      <c:valAx>
        <c:axId val="549357320"/>
        <c:scaling>
          <c:orientation val="minMax"/>
          <c:max val="0.60000000000000009"/>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p>
            </c:rich>
          </c:tx>
          <c:layout>
            <c:manualLayout>
              <c:xMode val="edge"/>
              <c:yMode val="edge"/>
              <c:x val="0.94416568823964053"/>
              <c:y val="0.255919132845474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357712"/>
        <c:crosses val="max"/>
        <c:crossBetween val="between"/>
        <c:majorUnit val="0.1"/>
      </c:valAx>
      <c:catAx>
        <c:axId val="549357712"/>
        <c:scaling>
          <c:orientation val="minMax"/>
        </c:scaling>
        <c:delete val="1"/>
        <c:axPos val="b"/>
        <c:numFmt formatCode="General" sourceLinked="1"/>
        <c:majorTickMark val="out"/>
        <c:minorTickMark val="none"/>
        <c:tickLblPos val="nextTo"/>
        <c:crossAx val="549357320"/>
        <c:crosses val="autoZero"/>
        <c:auto val="1"/>
        <c:lblAlgn val="ctr"/>
        <c:lblOffset val="100"/>
        <c:noMultiLvlLbl val="0"/>
      </c:catAx>
      <c:spPr>
        <a:noFill/>
        <a:ln>
          <a:noFill/>
        </a:ln>
        <a:effectLst/>
      </c:spPr>
    </c:plotArea>
    <c:legend>
      <c:legendPos val="b"/>
      <c:layout>
        <c:manualLayout>
          <c:xMode val="edge"/>
          <c:yMode val="edge"/>
          <c:x val="0.20260293501997034"/>
          <c:y val="0.92342545617474581"/>
          <c:w val="0.58926714147576098"/>
          <c:h val="7.65745438252542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a:t>
            </a:r>
            <a:r>
              <a:rPr lang="es-MX" sz="1100" b="1" baseline="0">
                <a:latin typeface="Arial" panose="020B0604020202020204" pitchFamily="34" charset="0"/>
                <a:cs typeface="Arial" panose="020B0604020202020204" pitchFamily="34" charset="0"/>
              </a:rPr>
              <a:t>rédito al sector ganadero</a:t>
            </a:r>
          </a:p>
          <a:p>
            <a:pPr>
              <a:defRPr sz="1100">
                <a:latin typeface="Arial" panose="020B0604020202020204" pitchFamily="34" charset="0"/>
                <a:cs typeface="Arial" panose="020B0604020202020204" pitchFamily="34" charset="0"/>
              </a:defRPr>
            </a:pPr>
            <a:r>
              <a:rPr lang="es-MX" sz="1000" b="0">
                <a:latin typeface="Arial" panose="020B0604020202020204" pitchFamily="34" charset="0"/>
                <a:cs typeface="Arial" panose="020B0604020202020204" pitchFamily="34" charset="0"/>
              </a:rPr>
              <a:t>(Junio 2019)</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762834511072256"/>
          <c:y val="0.16830399715874478"/>
          <c:w val="0.74186259142018862"/>
          <c:h val="0.46516800457916585"/>
        </c:manualLayout>
      </c:layout>
      <c:barChart>
        <c:barDir val="col"/>
        <c:grouping val="clustered"/>
        <c:varyColors val="0"/>
        <c:ser>
          <c:idx val="0"/>
          <c:order val="0"/>
          <c:tx>
            <c:v>Crédito ganadero</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 Geográfica'!$AA$6:$AA$23</c:f>
              <c:strCache>
                <c:ptCount val="18"/>
                <c:pt idx="0">
                  <c:v>Francisco Morazán</c:v>
                </c:pt>
                <c:pt idx="1">
                  <c:v>Intibucá</c:v>
                </c:pt>
                <c:pt idx="2">
                  <c:v>Olancho</c:v>
                </c:pt>
                <c:pt idx="3">
                  <c:v>Cortés</c:v>
                </c:pt>
                <c:pt idx="4">
                  <c:v>Copán</c:v>
                </c:pt>
                <c:pt idx="5">
                  <c:v>Choluteca</c:v>
                </c:pt>
                <c:pt idx="6">
                  <c:v>Atlántida</c:v>
                </c:pt>
                <c:pt idx="7">
                  <c:v>El Paraíso</c:v>
                </c:pt>
                <c:pt idx="8">
                  <c:v>Colón</c:v>
                </c:pt>
                <c:pt idx="9">
                  <c:v>Yoro</c:v>
                </c:pt>
                <c:pt idx="10">
                  <c:v>Comayagua</c:v>
                </c:pt>
                <c:pt idx="11">
                  <c:v>Santa Bárbara</c:v>
                </c:pt>
                <c:pt idx="12">
                  <c:v>Gracias a Dios</c:v>
                </c:pt>
                <c:pt idx="13">
                  <c:v>Islas de la Bahía</c:v>
                </c:pt>
                <c:pt idx="14">
                  <c:v>La Paz</c:v>
                </c:pt>
                <c:pt idx="15">
                  <c:v>Lempira</c:v>
                </c:pt>
                <c:pt idx="16">
                  <c:v>Ocotepeque</c:v>
                </c:pt>
                <c:pt idx="17">
                  <c:v>Valle</c:v>
                </c:pt>
              </c:strCache>
            </c:strRef>
          </c:cat>
          <c:val>
            <c:numRef>
              <c:f>'Distribución Geográfica'!$AB$6:$AB$23</c:f>
              <c:numCache>
                <c:formatCode>_-* #,##0_-;\-* #,##0_-;_-* "-"??_-;_-@_-</c:formatCode>
                <c:ptCount val="18"/>
                <c:pt idx="0">
                  <c:v>35.14006958945766</c:v>
                </c:pt>
                <c:pt idx="1">
                  <c:v>24.925011676521379</c:v>
                </c:pt>
                <c:pt idx="2">
                  <c:v>18.827622292859672</c:v>
                </c:pt>
                <c:pt idx="3">
                  <c:v>17.513436670452943</c:v>
                </c:pt>
                <c:pt idx="4">
                  <c:v>7.2116740863002491</c:v>
                </c:pt>
                <c:pt idx="5">
                  <c:v>5.7739357560338895</c:v>
                </c:pt>
                <c:pt idx="6">
                  <c:v>5.4321341507249512</c:v>
                </c:pt>
                <c:pt idx="7">
                  <c:v>4.3463606689178977</c:v>
                </c:pt>
                <c:pt idx="8">
                  <c:v>4.1349384350608487</c:v>
                </c:pt>
                <c:pt idx="9">
                  <c:v>3.4573652452681403</c:v>
                </c:pt>
                <c:pt idx="10">
                  <c:v>1.9871043681795952</c:v>
                </c:pt>
                <c:pt idx="11">
                  <c:v>7.508435794328859E-2</c:v>
                </c:pt>
                <c:pt idx="12">
                  <c:v>0</c:v>
                </c:pt>
                <c:pt idx="13">
                  <c:v>0</c:v>
                </c:pt>
                <c:pt idx="14">
                  <c:v>0</c:v>
                </c:pt>
                <c:pt idx="15">
                  <c:v>0</c:v>
                </c:pt>
                <c:pt idx="16">
                  <c:v>0</c:v>
                </c:pt>
                <c:pt idx="17">
                  <c:v>0</c:v>
                </c:pt>
              </c:numCache>
            </c:numRef>
          </c:val>
          <c:extLst>
            <c:ext xmlns:c16="http://schemas.microsoft.com/office/drawing/2014/chart" uri="{C3380CC4-5D6E-409C-BE32-E72D297353CC}">
              <c16:uniqueId val="{00000000-667D-4DF8-AA16-66CB4013B6EC}"/>
            </c:ext>
          </c:extLst>
        </c:ser>
        <c:dLbls>
          <c:showLegendKey val="0"/>
          <c:showVal val="0"/>
          <c:showCatName val="0"/>
          <c:showSerName val="0"/>
          <c:showPercent val="0"/>
          <c:showBubbleSize val="0"/>
        </c:dLbls>
        <c:gapWidth val="40"/>
        <c:axId val="494305456"/>
        <c:axId val="494305848"/>
      </c:barChart>
      <c:lineChart>
        <c:grouping val="standard"/>
        <c:varyColors val="0"/>
        <c:ser>
          <c:idx val="1"/>
          <c:order val="1"/>
          <c:tx>
            <c:v>Part % en el cdo ganadero</c:v>
          </c:tx>
          <c:spPr>
            <a:ln w="38100" cap="rnd">
              <a:solidFill>
                <a:srgbClr val="002060"/>
              </a:solidFill>
              <a:round/>
            </a:ln>
            <a:effectLst/>
          </c:spPr>
          <c:marker>
            <c:symbol val="none"/>
          </c:marker>
          <c:dLbls>
            <c:dLbl>
              <c:idx val="3"/>
              <c:layout>
                <c:manualLayout>
                  <c:x val="-5.3499066681191226E-2"/>
                  <c:y val="2.4812938085930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7D-4DF8-AA16-66CB4013B6EC}"/>
                </c:ext>
              </c:extLst>
            </c:dLbl>
            <c:dLbl>
              <c:idx val="4"/>
              <c:layout>
                <c:manualLayout>
                  <c:x val="-4.2475445317413027E-2"/>
                  <c:y val="2.0295350619923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7D-4DF8-AA16-66CB4013B6EC}"/>
                </c:ext>
              </c:extLst>
            </c:dLbl>
            <c:dLbl>
              <c:idx val="5"/>
              <c:layout>
                <c:manualLayout>
                  <c:x val="-3.5836318625815336E-2"/>
                  <c:y val="1.5914037289543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7D-4DF8-AA16-66CB4013B6EC}"/>
                </c:ext>
              </c:extLst>
            </c:dLbl>
            <c:dLbl>
              <c:idx val="6"/>
              <c:layout>
                <c:manualLayout>
                  <c:x val="-3.0390494650346881E-2"/>
                  <c:y val="2.0385791865906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7D-4DF8-AA16-66CB4013B6EC}"/>
                </c:ext>
              </c:extLst>
            </c:dLbl>
            <c:dLbl>
              <c:idx val="7"/>
              <c:layout>
                <c:manualLayout>
                  <c:x val="-3.8680650992686381E-2"/>
                  <c:y val="2.0385791865906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7D-4DF8-AA16-66CB4013B6EC}"/>
                </c:ext>
              </c:extLst>
            </c:dLbl>
            <c:dLbl>
              <c:idx val="8"/>
              <c:delete val="1"/>
              <c:extLst>
                <c:ext xmlns:c15="http://schemas.microsoft.com/office/drawing/2012/chart" uri="{CE6537A1-D6FC-4f65-9D91-7224C49458BB}"/>
                <c:ext xmlns:c16="http://schemas.microsoft.com/office/drawing/2014/chart" uri="{C3380CC4-5D6E-409C-BE32-E72D297353CC}">
                  <c16:uniqueId val="{00000006-667D-4DF8-AA16-66CB4013B6EC}"/>
                </c:ext>
              </c:extLst>
            </c:dLbl>
            <c:dLbl>
              <c:idx val="9"/>
              <c:delete val="1"/>
              <c:extLst>
                <c:ext xmlns:c15="http://schemas.microsoft.com/office/drawing/2012/chart" uri="{CE6537A1-D6FC-4f65-9D91-7224C49458BB}"/>
                <c:ext xmlns:c16="http://schemas.microsoft.com/office/drawing/2014/chart" uri="{C3380CC4-5D6E-409C-BE32-E72D297353CC}">
                  <c16:uniqueId val="{00000007-667D-4DF8-AA16-66CB4013B6EC}"/>
                </c:ext>
              </c:extLst>
            </c:dLbl>
            <c:dLbl>
              <c:idx val="10"/>
              <c:delete val="1"/>
              <c:extLst>
                <c:ext xmlns:c15="http://schemas.microsoft.com/office/drawing/2012/chart" uri="{CE6537A1-D6FC-4f65-9D91-7224C49458BB}"/>
                <c:ext xmlns:c16="http://schemas.microsoft.com/office/drawing/2014/chart" uri="{C3380CC4-5D6E-409C-BE32-E72D297353CC}">
                  <c16:uniqueId val="{00000008-667D-4DF8-AA16-66CB4013B6EC}"/>
                </c:ext>
              </c:extLst>
            </c:dLbl>
            <c:dLbl>
              <c:idx val="11"/>
              <c:delete val="1"/>
              <c:extLst>
                <c:ext xmlns:c15="http://schemas.microsoft.com/office/drawing/2012/chart" uri="{CE6537A1-D6FC-4f65-9D91-7224C49458BB}"/>
                <c:ext xmlns:c16="http://schemas.microsoft.com/office/drawing/2014/chart" uri="{C3380CC4-5D6E-409C-BE32-E72D297353CC}">
                  <c16:uniqueId val="{00000009-667D-4DF8-AA16-66CB4013B6EC}"/>
                </c:ext>
              </c:extLst>
            </c:dLbl>
            <c:dLbl>
              <c:idx val="12"/>
              <c:delete val="1"/>
              <c:extLst>
                <c:ext xmlns:c15="http://schemas.microsoft.com/office/drawing/2012/chart" uri="{CE6537A1-D6FC-4f65-9D91-7224C49458BB}"/>
                <c:ext xmlns:c16="http://schemas.microsoft.com/office/drawing/2014/chart" uri="{C3380CC4-5D6E-409C-BE32-E72D297353CC}">
                  <c16:uniqueId val="{0000000A-667D-4DF8-AA16-66CB4013B6EC}"/>
                </c:ext>
              </c:extLst>
            </c:dLbl>
            <c:dLbl>
              <c:idx val="13"/>
              <c:delete val="1"/>
              <c:extLst>
                <c:ext xmlns:c15="http://schemas.microsoft.com/office/drawing/2012/chart" uri="{CE6537A1-D6FC-4f65-9D91-7224C49458BB}"/>
                <c:ext xmlns:c16="http://schemas.microsoft.com/office/drawing/2014/chart" uri="{C3380CC4-5D6E-409C-BE32-E72D297353CC}">
                  <c16:uniqueId val="{0000000B-667D-4DF8-AA16-66CB4013B6EC}"/>
                </c:ext>
              </c:extLst>
            </c:dLbl>
            <c:dLbl>
              <c:idx val="14"/>
              <c:delete val="1"/>
              <c:extLst>
                <c:ext xmlns:c15="http://schemas.microsoft.com/office/drawing/2012/chart" uri="{CE6537A1-D6FC-4f65-9D91-7224C49458BB}"/>
                <c:ext xmlns:c16="http://schemas.microsoft.com/office/drawing/2014/chart" uri="{C3380CC4-5D6E-409C-BE32-E72D297353CC}">
                  <c16:uniqueId val="{0000000C-667D-4DF8-AA16-66CB4013B6EC}"/>
                </c:ext>
              </c:extLst>
            </c:dLbl>
            <c:dLbl>
              <c:idx val="15"/>
              <c:delete val="1"/>
              <c:extLst>
                <c:ext xmlns:c15="http://schemas.microsoft.com/office/drawing/2012/chart" uri="{CE6537A1-D6FC-4f65-9D91-7224C49458BB}"/>
                <c:ext xmlns:c16="http://schemas.microsoft.com/office/drawing/2014/chart" uri="{C3380CC4-5D6E-409C-BE32-E72D297353CC}">
                  <c16:uniqueId val="{0000000D-667D-4DF8-AA16-66CB4013B6EC}"/>
                </c:ext>
              </c:extLst>
            </c:dLbl>
            <c:dLbl>
              <c:idx val="16"/>
              <c:delete val="1"/>
              <c:extLst>
                <c:ext xmlns:c15="http://schemas.microsoft.com/office/drawing/2012/chart" uri="{CE6537A1-D6FC-4f65-9D91-7224C49458BB}"/>
                <c:ext xmlns:c16="http://schemas.microsoft.com/office/drawing/2014/chart" uri="{C3380CC4-5D6E-409C-BE32-E72D297353CC}">
                  <c16:uniqueId val="{0000000E-667D-4DF8-AA16-66CB4013B6EC}"/>
                </c:ext>
              </c:extLst>
            </c:dLbl>
            <c:dLbl>
              <c:idx val="17"/>
              <c:delete val="1"/>
              <c:extLst>
                <c:ext xmlns:c15="http://schemas.microsoft.com/office/drawing/2012/chart" uri="{CE6537A1-D6FC-4f65-9D91-7224C49458BB}"/>
                <c:ext xmlns:c16="http://schemas.microsoft.com/office/drawing/2014/chart" uri="{C3380CC4-5D6E-409C-BE32-E72D297353CC}">
                  <c16:uniqueId val="{0000000F-667D-4DF8-AA16-66CB4013B6E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 Geográfica'!$AA$6:$AA$23</c:f>
              <c:strCache>
                <c:ptCount val="18"/>
                <c:pt idx="0">
                  <c:v>Francisco Morazán</c:v>
                </c:pt>
                <c:pt idx="1">
                  <c:v>Intibucá</c:v>
                </c:pt>
                <c:pt idx="2">
                  <c:v>Olancho</c:v>
                </c:pt>
                <c:pt idx="3">
                  <c:v>Cortés</c:v>
                </c:pt>
                <c:pt idx="4">
                  <c:v>Copán</c:v>
                </c:pt>
                <c:pt idx="5">
                  <c:v>Choluteca</c:v>
                </c:pt>
                <c:pt idx="6">
                  <c:v>Atlántida</c:v>
                </c:pt>
                <c:pt idx="7">
                  <c:v>El Paraíso</c:v>
                </c:pt>
                <c:pt idx="8">
                  <c:v>Colón</c:v>
                </c:pt>
                <c:pt idx="9">
                  <c:v>Yoro</c:v>
                </c:pt>
                <c:pt idx="10">
                  <c:v>Comayagua</c:v>
                </c:pt>
                <c:pt idx="11">
                  <c:v>Santa Bárbara</c:v>
                </c:pt>
                <c:pt idx="12">
                  <c:v>Gracias a Dios</c:v>
                </c:pt>
                <c:pt idx="13">
                  <c:v>Islas de la Bahía</c:v>
                </c:pt>
                <c:pt idx="14">
                  <c:v>La Paz</c:v>
                </c:pt>
                <c:pt idx="15">
                  <c:v>Lempira</c:v>
                </c:pt>
                <c:pt idx="16">
                  <c:v>Ocotepeque</c:v>
                </c:pt>
                <c:pt idx="17">
                  <c:v>Valle</c:v>
                </c:pt>
              </c:strCache>
            </c:strRef>
          </c:cat>
          <c:val>
            <c:numRef>
              <c:f>'Distribución Geográfica'!$AC$6:$AC$23</c:f>
              <c:numCache>
                <c:formatCode>0.0%</c:formatCode>
                <c:ptCount val="18"/>
                <c:pt idx="0">
                  <c:v>0.27277423829126213</c:v>
                </c:pt>
                <c:pt idx="1">
                  <c:v>0.19348001167600609</c:v>
                </c:pt>
                <c:pt idx="2">
                  <c:v>0.14614912234866881</c:v>
                </c:pt>
                <c:pt idx="3">
                  <c:v>0.13594777709484865</c:v>
                </c:pt>
                <c:pt idx="4">
                  <c:v>5.5980506831026594E-2</c:v>
                </c:pt>
                <c:pt idx="5">
                  <c:v>4.4820085622919073E-2</c:v>
                </c:pt>
                <c:pt idx="6">
                  <c:v>4.2166856029917717E-2</c:v>
                </c:pt>
                <c:pt idx="7">
                  <c:v>3.3738556430146158E-2</c:v>
                </c:pt>
                <c:pt idx="8">
                  <c:v>3.2097394660350026E-2</c:v>
                </c:pt>
                <c:pt idx="9">
                  <c:v>2.6837743416297397E-2</c:v>
                </c:pt>
                <c:pt idx="10">
                  <c:v>1.5424866449269726E-2</c:v>
                </c:pt>
                <c:pt idx="11">
                  <c:v>5.8284114928769328E-4</c:v>
                </c:pt>
                <c:pt idx="12">
                  <c:v>0</c:v>
                </c:pt>
                <c:pt idx="13">
                  <c:v>0</c:v>
                </c:pt>
                <c:pt idx="14">
                  <c:v>0</c:v>
                </c:pt>
                <c:pt idx="15">
                  <c:v>0</c:v>
                </c:pt>
                <c:pt idx="16">
                  <c:v>0</c:v>
                </c:pt>
                <c:pt idx="17">
                  <c:v>0</c:v>
                </c:pt>
              </c:numCache>
            </c:numRef>
          </c:val>
          <c:smooth val="1"/>
          <c:extLst>
            <c:ext xmlns:c16="http://schemas.microsoft.com/office/drawing/2014/chart" uri="{C3380CC4-5D6E-409C-BE32-E72D297353CC}">
              <c16:uniqueId val="{00000010-667D-4DF8-AA16-66CB4013B6EC}"/>
            </c:ext>
          </c:extLst>
        </c:ser>
        <c:dLbls>
          <c:showLegendKey val="0"/>
          <c:showVal val="0"/>
          <c:showCatName val="0"/>
          <c:showSerName val="0"/>
          <c:showPercent val="0"/>
          <c:showBubbleSize val="0"/>
        </c:dLbls>
        <c:marker val="1"/>
        <c:smooth val="0"/>
        <c:axId val="494306632"/>
        <c:axId val="494306240"/>
      </c:lineChart>
      <c:catAx>
        <c:axId val="49430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5848"/>
        <c:crosses val="autoZero"/>
        <c:auto val="1"/>
        <c:lblAlgn val="ctr"/>
        <c:lblOffset val="100"/>
        <c:noMultiLvlLbl val="0"/>
      </c:catAx>
      <c:valAx>
        <c:axId val="4943058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Millones de USD</a:t>
                </a:r>
              </a:p>
            </c:rich>
          </c:tx>
          <c:layout>
            <c:manualLayout>
              <c:xMode val="edge"/>
              <c:yMode val="edge"/>
              <c:x val="8.2901563423395039E-3"/>
              <c:y val="0.208579290207852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5456"/>
        <c:crosses val="autoZero"/>
        <c:crossBetween val="between"/>
      </c:valAx>
      <c:valAx>
        <c:axId val="494306240"/>
        <c:scaling>
          <c:orientation val="minMax"/>
          <c:max val="0.60000000000000009"/>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p>
            </c:rich>
          </c:tx>
          <c:layout>
            <c:manualLayout>
              <c:xMode val="edge"/>
              <c:yMode val="edge"/>
              <c:x val="0.94416568823964053"/>
              <c:y val="0.255919132845474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6632"/>
        <c:crosses val="max"/>
        <c:crossBetween val="between"/>
        <c:majorUnit val="0.1"/>
      </c:valAx>
      <c:catAx>
        <c:axId val="494306632"/>
        <c:scaling>
          <c:orientation val="minMax"/>
        </c:scaling>
        <c:delete val="1"/>
        <c:axPos val="b"/>
        <c:numFmt formatCode="General" sourceLinked="1"/>
        <c:majorTickMark val="out"/>
        <c:minorTickMark val="none"/>
        <c:tickLblPos val="nextTo"/>
        <c:crossAx val="494306240"/>
        <c:crosses val="autoZero"/>
        <c:auto val="1"/>
        <c:lblAlgn val="ctr"/>
        <c:lblOffset val="100"/>
        <c:noMultiLvlLbl val="0"/>
      </c:catAx>
      <c:spPr>
        <a:noFill/>
        <a:ln>
          <a:noFill/>
        </a:ln>
        <a:effectLst/>
      </c:spPr>
    </c:plotArea>
    <c:legend>
      <c:legendPos val="b"/>
      <c:layout>
        <c:manualLayout>
          <c:xMode val="edge"/>
          <c:yMode val="edge"/>
          <c:x val="0"/>
          <c:y val="0.92342545617474581"/>
          <c:w val="0.9072696171331095"/>
          <c:h val="7.5786476445489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s-MX" sz="1050" b="1">
                <a:latin typeface="Arial" panose="020B0604020202020204" pitchFamily="34" charset="0"/>
                <a:cs typeface="Arial" panose="020B0604020202020204" pitchFamily="34" charset="0"/>
              </a:rPr>
              <a:t>Crecimiento</a:t>
            </a:r>
            <a:r>
              <a:rPr lang="es-MX" sz="1050" b="1" baseline="0">
                <a:latin typeface="Arial" panose="020B0604020202020204" pitchFamily="34" charset="0"/>
                <a:cs typeface="Arial" panose="020B0604020202020204" pitchFamily="34" charset="0"/>
              </a:rPr>
              <a:t> internual del crédito y depósitos</a:t>
            </a:r>
          </a:p>
          <a:p>
            <a:pPr>
              <a:defRPr sz="1050" b="0" i="0" u="none" strike="noStrike" kern="1200" spc="0" baseline="0">
                <a:solidFill>
                  <a:schemeClr val="tx1">
                    <a:lumMod val="65000"/>
                    <a:lumOff val="35000"/>
                  </a:schemeClr>
                </a:solidFill>
                <a:latin typeface="+mn-lt"/>
                <a:ea typeface="+mn-ea"/>
                <a:cs typeface="+mn-cs"/>
              </a:defRPr>
            </a:pPr>
            <a:r>
              <a:rPr lang="es-MX" sz="1050" baseline="0">
                <a:latin typeface="Arial" panose="020B0604020202020204" pitchFamily="34" charset="0"/>
                <a:cs typeface="Arial" panose="020B0604020202020204" pitchFamily="34" charset="0"/>
              </a:rPr>
              <a:t>(Variación porcentual)</a:t>
            </a:r>
            <a:endParaRPr lang="es-MX" sz="1050">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9.2872886979483774E-2"/>
          <c:y val="0.23130335799658508"/>
          <c:w val="0.86889948487108093"/>
          <c:h val="0.53466001012821596"/>
        </c:manualLayout>
      </c:layout>
      <c:lineChart>
        <c:grouping val="standard"/>
        <c:varyColors val="0"/>
        <c:ser>
          <c:idx val="0"/>
          <c:order val="0"/>
          <c:tx>
            <c:v>Crec interanual crédito</c:v>
          </c:tx>
          <c:spPr>
            <a:ln w="28575" cap="rnd">
              <a:solidFill>
                <a:schemeClr val="accent1"/>
              </a:solidFill>
              <a:round/>
            </a:ln>
            <a:effectLst/>
          </c:spPr>
          <c:marker>
            <c:symbol val="none"/>
          </c:marker>
          <c:cat>
            <c:numRef>
              <c:f>'Balance General'!$BC$173:$BC$357</c:f>
              <c:numCache>
                <c:formatCode>mmm\-yy</c:formatCode>
                <c:ptCount val="185"/>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numCache>
            </c:numRef>
          </c:cat>
          <c:val>
            <c:numRef>
              <c:f>'Balance General'!$X$173:$X$357</c:f>
              <c:numCache>
                <c:formatCode>#,##0.00</c:formatCode>
                <c:ptCount val="185"/>
                <c:pt idx="0">
                  <c:v>20.608695579108183</c:v>
                </c:pt>
                <c:pt idx="1">
                  <c:v>19.252870054723694</c:v>
                </c:pt>
                <c:pt idx="2">
                  <c:v>13.703914982214682</c:v>
                </c:pt>
                <c:pt idx="3">
                  <c:v>13.536720790290801</c:v>
                </c:pt>
                <c:pt idx="4">
                  <c:v>15.297661702193865</c:v>
                </c:pt>
                <c:pt idx="5">
                  <c:v>14.914590977117626</c:v>
                </c:pt>
                <c:pt idx="6">
                  <c:v>14.290859896951824</c:v>
                </c:pt>
                <c:pt idx="7">
                  <c:v>13.559990173417091</c:v>
                </c:pt>
                <c:pt idx="8">
                  <c:v>11.784047820429745</c:v>
                </c:pt>
                <c:pt idx="9">
                  <c:v>14.058624826990451</c:v>
                </c:pt>
                <c:pt idx="10">
                  <c:v>10.58543365174971</c:v>
                </c:pt>
                <c:pt idx="11">
                  <c:v>16.490394256110406</c:v>
                </c:pt>
                <c:pt idx="12">
                  <c:v>16.878509233009442</c:v>
                </c:pt>
                <c:pt idx="13">
                  <c:v>18.168365522440499</c:v>
                </c:pt>
                <c:pt idx="14">
                  <c:v>17.652417697157219</c:v>
                </c:pt>
                <c:pt idx="15">
                  <c:v>17.986212246240598</c:v>
                </c:pt>
                <c:pt idx="16">
                  <c:v>17.380323410156208</c:v>
                </c:pt>
                <c:pt idx="17">
                  <c:v>17.599335228033276</c:v>
                </c:pt>
                <c:pt idx="18">
                  <c:v>20.250533162656549</c:v>
                </c:pt>
                <c:pt idx="19">
                  <c:v>21.147802815249285</c:v>
                </c:pt>
                <c:pt idx="20">
                  <c:v>22.180685607180493</c:v>
                </c:pt>
                <c:pt idx="21">
                  <c:v>19.687780031041413</c:v>
                </c:pt>
                <c:pt idx="22">
                  <c:v>20.41251525710457</c:v>
                </c:pt>
                <c:pt idx="23">
                  <c:v>21.315621543413666</c:v>
                </c:pt>
                <c:pt idx="24">
                  <c:v>19.779444498850008</c:v>
                </c:pt>
                <c:pt idx="25">
                  <c:v>18.49405662442587</c:v>
                </c:pt>
                <c:pt idx="26">
                  <c:v>21.19888618185588</c:v>
                </c:pt>
                <c:pt idx="27">
                  <c:v>23.68249590907563</c:v>
                </c:pt>
                <c:pt idx="28">
                  <c:v>25.628256741659648</c:v>
                </c:pt>
                <c:pt idx="29">
                  <c:v>25.74067926943755</c:v>
                </c:pt>
                <c:pt idx="30">
                  <c:v>24.348744838250802</c:v>
                </c:pt>
                <c:pt idx="31">
                  <c:v>28.722875582000729</c:v>
                </c:pt>
                <c:pt idx="32">
                  <c:v>29.579508447704072</c:v>
                </c:pt>
                <c:pt idx="33">
                  <c:v>32.994271751089663</c:v>
                </c:pt>
                <c:pt idx="34">
                  <c:v>33.692040957016722</c:v>
                </c:pt>
                <c:pt idx="35">
                  <c:v>33.557711171474125</c:v>
                </c:pt>
                <c:pt idx="36">
                  <c:v>38.087389875202568</c:v>
                </c:pt>
                <c:pt idx="37">
                  <c:v>40.414045886834835</c:v>
                </c:pt>
                <c:pt idx="38">
                  <c:v>39.820425043872689</c:v>
                </c:pt>
                <c:pt idx="39">
                  <c:v>39.158859987589899</c:v>
                </c:pt>
                <c:pt idx="40">
                  <c:v>37.843799262971459</c:v>
                </c:pt>
                <c:pt idx="41">
                  <c:v>38.604348352452746</c:v>
                </c:pt>
                <c:pt idx="42">
                  <c:v>40.372022853200228</c:v>
                </c:pt>
                <c:pt idx="43">
                  <c:v>36.47013571001456</c:v>
                </c:pt>
                <c:pt idx="44">
                  <c:v>37.176089621593313</c:v>
                </c:pt>
                <c:pt idx="45">
                  <c:v>35.090575657517917</c:v>
                </c:pt>
                <c:pt idx="46">
                  <c:v>35.14630314958842</c:v>
                </c:pt>
                <c:pt idx="47">
                  <c:v>33.91545553846813</c:v>
                </c:pt>
                <c:pt idx="48">
                  <c:v>32.938235949797189</c:v>
                </c:pt>
                <c:pt idx="49">
                  <c:v>33.084635327593581</c:v>
                </c:pt>
                <c:pt idx="50">
                  <c:v>30.537419403520371</c:v>
                </c:pt>
                <c:pt idx="51">
                  <c:v>29.542124003587489</c:v>
                </c:pt>
                <c:pt idx="52">
                  <c:v>28.851890557157667</c:v>
                </c:pt>
                <c:pt idx="53">
                  <c:v>28.209678737561063</c:v>
                </c:pt>
                <c:pt idx="54">
                  <c:v>25.965700375017555</c:v>
                </c:pt>
                <c:pt idx="55">
                  <c:v>23.056874557051454</c:v>
                </c:pt>
                <c:pt idx="56">
                  <c:v>21.099209991126155</c:v>
                </c:pt>
                <c:pt idx="57">
                  <c:v>18.471818838246179</c:v>
                </c:pt>
                <c:pt idx="58">
                  <c:v>15.049489573284468</c:v>
                </c:pt>
                <c:pt idx="59">
                  <c:v>13.310859517435336</c:v>
                </c:pt>
                <c:pt idx="60">
                  <c:v>10.289010697861567</c:v>
                </c:pt>
                <c:pt idx="61">
                  <c:v>7.4402253097116677</c:v>
                </c:pt>
                <c:pt idx="62">
                  <c:v>6.0022488215111913</c:v>
                </c:pt>
                <c:pt idx="63">
                  <c:v>3.8400913942516324</c:v>
                </c:pt>
                <c:pt idx="64">
                  <c:v>2.3378272581975112</c:v>
                </c:pt>
                <c:pt idx="65">
                  <c:v>1.0939220883648959</c:v>
                </c:pt>
                <c:pt idx="66">
                  <c:v>0.62030812287998671</c:v>
                </c:pt>
                <c:pt idx="67">
                  <c:v>-0.87908743162369296</c:v>
                </c:pt>
                <c:pt idx="68">
                  <c:v>-2.0207490126874839</c:v>
                </c:pt>
                <c:pt idx="69">
                  <c:v>-1.6251813988637398</c:v>
                </c:pt>
                <c:pt idx="70">
                  <c:v>-0.7565231805285122</c:v>
                </c:pt>
                <c:pt idx="71">
                  <c:v>-0.53075609319730432</c:v>
                </c:pt>
                <c:pt idx="72">
                  <c:v>-0.60297651637478689</c:v>
                </c:pt>
                <c:pt idx="73">
                  <c:v>-0.48414103202001346</c:v>
                </c:pt>
                <c:pt idx="74">
                  <c:v>0.70095852582501283</c:v>
                </c:pt>
                <c:pt idx="75">
                  <c:v>1.5127058011341843</c:v>
                </c:pt>
                <c:pt idx="76">
                  <c:v>1.8693363448816891</c:v>
                </c:pt>
                <c:pt idx="77">
                  <c:v>1.1663749131943568</c:v>
                </c:pt>
                <c:pt idx="78">
                  <c:v>-1.3489365894801875</c:v>
                </c:pt>
                <c:pt idx="79">
                  <c:v>-0.82890396528914057</c:v>
                </c:pt>
                <c:pt idx="80">
                  <c:v>-0.79159936075907655</c:v>
                </c:pt>
                <c:pt idx="81">
                  <c:v>-0.32137839822197201</c:v>
                </c:pt>
                <c:pt idx="82">
                  <c:v>9.2566145435646341E-2</c:v>
                </c:pt>
                <c:pt idx="83">
                  <c:v>2.3162195973565947</c:v>
                </c:pt>
                <c:pt idx="84">
                  <c:v>2.5992956789402166</c:v>
                </c:pt>
                <c:pt idx="85">
                  <c:v>2.96044234759123</c:v>
                </c:pt>
                <c:pt idx="86">
                  <c:v>2.8797678293450701</c:v>
                </c:pt>
                <c:pt idx="87">
                  <c:v>1.8352543770285168</c:v>
                </c:pt>
                <c:pt idx="88">
                  <c:v>1.7484609019400965</c:v>
                </c:pt>
                <c:pt idx="89">
                  <c:v>2.1005000517052341</c:v>
                </c:pt>
                <c:pt idx="90">
                  <c:v>6.1339938545188266</c:v>
                </c:pt>
                <c:pt idx="91">
                  <c:v>7.0905578668472913</c:v>
                </c:pt>
                <c:pt idx="92">
                  <c:v>8.1354837067520336</c:v>
                </c:pt>
                <c:pt idx="93">
                  <c:v>7.75713942072489</c:v>
                </c:pt>
                <c:pt idx="94">
                  <c:v>9.5464525962118749</c:v>
                </c:pt>
                <c:pt idx="95">
                  <c:v>10.26623590269744</c:v>
                </c:pt>
                <c:pt idx="96">
                  <c:v>12.126040351551225</c:v>
                </c:pt>
                <c:pt idx="97">
                  <c:v>12.393067787579826</c:v>
                </c:pt>
                <c:pt idx="98">
                  <c:v>13.21812100225892</c:v>
                </c:pt>
                <c:pt idx="99">
                  <c:v>16.077885975711247</c:v>
                </c:pt>
                <c:pt idx="100">
                  <c:v>17.018736669229149</c:v>
                </c:pt>
                <c:pt idx="101">
                  <c:v>18.522391144754625</c:v>
                </c:pt>
                <c:pt idx="102">
                  <c:v>17.61946491958075</c:v>
                </c:pt>
                <c:pt idx="103">
                  <c:v>18.368164343270664</c:v>
                </c:pt>
                <c:pt idx="104">
                  <c:v>18.396618159138932</c:v>
                </c:pt>
                <c:pt idx="105">
                  <c:v>20.618880017733311</c:v>
                </c:pt>
                <c:pt idx="106">
                  <c:v>19.451652817238461</c:v>
                </c:pt>
                <c:pt idx="107">
                  <c:v>17.399343214151507</c:v>
                </c:pt>
                <c:pt idx="108">
                  <c:v>16.689583259999139</c:v>
                </c:pt>
                <c:pt idx="109">
                  <c:v>17.007571868577443</c:v>
                </c:pt>
                <c:pt idx="110">
                  <c:v>17.114482149047628</c:v>
                </c:pt>
                <c:pt idx="111">
                  <c:v>14.792648940142827</c:v>
                </c:pt>
                <c:pt idx="112">
                  <c:v>13.980220675676925</c:v>
                </c:pt>
                <c:pt idx="113">
                  <c:v>12.960538536054923</c:v>
                </c:pt>
                <c:pt idx="114">
                  <c:v>12.735954215703792</c:v>
                </c:pt>
                <c:pt idx="115">
                  <c:v>13.517271178351509</c:v>
                </c:pt>
                <c:pt idx="116">
                  <c:v>13.931083604879735</c:v>
                </c:pt>
                <c:pt idx="117">
                  <c:v>12.476507525332448</c:v>
                </c:pt>
                <c:pt idx="118">
                  <c:v>11.674646425648593</c:v>
                </c:pt>
                <c:pt idx="119">
                  <c:v>10.741183036229195</c:v>
                </c:pt>
                <c:pt idx="120">
                  <c:v>10.718474651352361</c:v>
                </c:pt>
                <c:pt idx="121">
                  <c:v>10.696358946059469</c:v>
                </c:pt>
                <c:pt idx="122">
                  <c:v>10.036092104276161</c:v>
                </c:pt>
                <c:pt idx="123">
                  <c:v>10.852300400024539</c:v>
                </c:pt>
                <c:pt idx="124">
                  <c:v>11.401417912007838</c:v>
                </c:pt>
                <c:pt idx="125">
                  <c:v>12.464915294677169</c:v>
                </c:pt>
                <c:pt idx="126">
                  <c:v>11.504287373634202</c:v>
                </c:pt>
                <c:pt idx="127">
                  <c:v>10.773689930372999</c:v>
                </c:pt>
                <c:pt idx="128">
                  <c:v>10.055665138002801</c:v>
                </c:pt>
                <c:pt idx="129">
                  <c:v>10.009317158098941</c:v>
                </c:pt>
                <c:pt idx="130">
                  <c:v>10.489228106352222</c:v>
                </c:pt>
                <c:pt idx="131">
                  <c:v>10.986304954986071</c:v>
                </c:pt>
                <c:pt idx="132">
                  <c:v>9.5669051063977264</c:v>
                </c:pt>
                <c:pt idx="133">
                  <c:v>9.3522017059933571</c:v>
                </c:pt>
                <c:pt idx="134">
                  <c:v>9.3832896630619445</c:v>
                </c:pt>
                <c:pt idx="135">
                  <c:v>9.5108599986664988</c:v>
                </c:pt>
                <c:pt idx="136">
                  <c:v>8.7852563047995389</c:v>
                </c:pt>
                <c:pt idx="137">
                  <c:v>8.2311565843265821</c:v>
                </c:pt>
                <c:pt idx="138">
                  <c:v>8.4000005899493857</c:v>
                </c:pt>
                <c:pt idx="139">
                  <c:v>8.5399688932594753</c:v>
                </c:pt>
                <c:pt idx="140">
                  <c:v>8.0792053349631345</c:v>
                </c:pt>
                <c:pt idx="141">
                  <c:v>5.065385727443017</c:v>
                </c:pt>
                <c:pt idx="142">
                  <c:v>6.6485294873446232</c:v>
                </c:pt>
                <c:pt idx="143">
                  <c:v>7.8336423772080499</c:v>
                </c:pt>
                <c:pt idx="144">
                  <c:v>9.1556837187145579</c:v>
                </c:pt>
                <c:pt idx="145">
                  <c:v>9.8160028935135646</c:v>
                </c:pt>
                <c:pt idx="146">
                  <c:v>9.6912830062376276</c:v>
                </c:pt>
                <c:pt idx="147">
                  <c:v>9.2953785365013086</c:v>
                </c:pt>
                <c:pt idx="148">
                  <c:v>9.9697921856651597</c:v>
                </c:pt>
                <c:pt idx="149">
                  <c:v>10.637073882278148</c:v>
                </c:pt>
                <c:pt idx="150">
                  <c:v>10.839497217273109</c:v>
                </c:pt>
                <c:pt idx="151">
                  <c:v>10.803892518112178</c:v>
                </c:pt>
                <c:pt idx="152">
                  <c:v>11.793775845451982</c:v>
                </c:pt>
                <c:pt idx="153">
                  <c:v>14.573386395361698</c:v>
                </c:pt>
                <c:pt idx="154">
                  <c:v>13.465990426178355</c:v>
                </c:pt>
                <c:pt idx="155">
                  <c:v>12.714782315222784</c:v>
                </c:pt>
                <c:pt idx="156">
                  <c:v>12.673539876324224</c:v>
                </c:pt>
                <c:pt idx="157">
                  <c:v>10.877580240663409</c:v>
                </c:pt>
                <c:pt idx="158">
                  <c:v>10.466204929989932</c:v>
                </c:pt>
                <c:pt idx="159">
                  <c:v>10.258623386556742</c:v>
                </c:pt>
                <c:pt idx="160">
                  <c:v>10.628463184743575</c:v>
                </c:pt>
                <c:pt idx="161">
                  <c:v>10.87230762840643</c:v>
                </c:pt>
                <c:pt idx="162">
                  <c:v>10.604185957014266</c:v>
                </c:pt>
                <c:pt idx="163">
                  <c:v>10.220781087856047</c:v>
                </c:pt>
                <c:pt idx="164">
                  <c:v>9.8888631538123875</c:v>
                </c:pt>
                <c:pt idx="165">
                  <c:v>10.020737355008279</c:v>
                </c:pt>
                <c:pt idx="166">
                  <c:v>9.5183542792091522</c:v>
                </c:pt>
                <c:pt idx="167">
                  <c:v>9.9282138044536783</c:v>
                </c:pt>
                <c:pt idx="168">
                  <c:v>10.143069534428829</c:v>
                </c:pt>
                <c:pt idx="169">
                  <c:v>10.985064864848425</c:v>
                </c:pt>
                <c:pt idx="170">
                  <c:v>11.5629469331328</c:v>
                </c:pt>
                <c:pt idx="171">
                  <c:v>12.846554212293437</c:v>
                </c:pt>
                <c:pt idx="172">
                  <c:v>13.551546018073957</c:v>
                </c:pt>
                <c:pt idx="173">
                  <c:v>12.978632675880686</c:v>
                </c:pt>
                <c:pt idx="174">
                  <c:v>14.080251196028716</c:v>
                </c:pt>
                <c:pt idx="175">
                  <c:v>14.914082747883306</c:v>
                </c:pt>
                <c:pt idx="176">
                  <c:v>14.896824415912956</c:v>
                </c:pt>
                <c:pt idx="177">
                  <c:v>14.868519585088968</c:v>
                </c:pt>
                <c:pt idx="178">
                  <c:v>14.886761734716082</c:v>
                </c:pt>
                <c:pt idx="179">
                  <c:v>15.754614269830203</c:v>
                </c:pt>
                <c:pt idx="180">
                  <c:v>15.380479870634932</c:v>
                </c:pt>
                <c:pt idx="181">
                  <c:v>16.056190578900598</c:v>
                </c:pt>
                <c:pt idx="182">
                  <c:v>15.933244305945982</c:v>
                </c:pt>
                <c:pt idx="183">
                  <c:v>15.14007686798362</c:v>
                </c:pt>
                <c:pt idx="184">
                  <c:v>14.423425828426684</c:v>
                </c:pt>
              </c:numCache>
            </c:numRef>
          </c:val>
          <c:smooth val="0"/>
          <c:extLst>
            <c:ext xmlns:c16="http://schemas.microsoft.com/office/drawing/2014/chart" uri="{C3380CC4-5D6E-409C-BE32-E72D297353CC}">
              <c16:uniqueId val="{00000000-6877-42C7-B694-6CC4FD5F85EB}"/>
            </c:ext>
          </c:extLst>
        </c:ser>
        <c:ser>
          <c:idx val="1"/>
          <c:order val="1"/>
          <c:tx>
            <c:v>Crec interanual depósitos</c:v>
          </c:tx>
          <c:spPr>
            <a:ln w="28575" cap="rnd">
              <a:solidFill>
                <a:schemeClr val="accent2"/>
              </a:solidFill>
              <a:round/>
            </a:ln>
            <a:effectLst/>
          </c:spPr>
          <c:marker>
            <c:symbol val="none"/>
          </c:marker>
          <c:cat>
            <c:numRef>
              <c:f>'Balance General'!$BC$173:$BC$357</c:f>
              <c:numCache>
                <c:formatCode>mmm\-yy</c:formatCode>
                <c:ptCount val="185"/>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numCache>
            </c:numRef>
          </c:cat>
          <c:val>
            <c:numRef>
              <c:f>'Balance General'!$AI$173:$AI$357</c:f>
              <c:numCache>
                <c:formatCode>#,##0.00</c:formatCode>
                <c:ptCount val="185"/>
                <c:pt idx="0">
                  <c:v>14.655292070909166</c:v>
                </c:pt>
                <c:pt idx="1">
                  <c:v>17.404363715665184</c:v>
                </c:pt>
                <c:pt idx="2">
                  <c:v>15.348263085312809</c:v>
                </c:pt>
                <c:pt idx="3">
                  <c:v>13.675468863408714</c:v>
                </c:pt>
                <c:pt idx="4">
                  <c:v>16.821737044881967</c:v>
                </c:pt>
                <c:pt idx="5">
                  <c:v>17.196336026678072</c:v>
                </c:pt>
                <c:pt idx="6">
                  <c:v>18.342417834177272</c:v>
                </c:pt>
                <c:pt idx="7">
                  <c:v>18.459121340008998</c:v>
                </c:pt>
                <c:pt idx="8">
                  <c:v>16.954113100939395</c:v>
                </c:pt>
                <c:pt idx="9">
                  <c:v>19.23805297539991</c:v>
                </c:pt>
                <c:pt idx="10">
                  <c:v>16.599978679522987</c:v>
                </c:pt>
                <c:pt idx="11">
                  <c:v>20.038475675846602</c:v>
                </c:pt>
                <c:pt idx="12">
                  <c:v>21.6388244267836</c:v>
                </c:pt>
                <c:pt idx="13">
                  <c:v>19.897676982986212</c:v>
                </c:pt>
                <c:pt idx="14">
                  <c:v>19.289860831056437</c:v>
                </c:pt>
                <c:pt idx="15">
                  <c:v>21.757308165462309</c:v>
                </c:pt>
                <c:pt idx="16">
                  <c:v>19.010961261887481</c:v>
                </c:pt>
                <c:pt idx="17">
                  <c:v>20.79141609267845</c:v>
                </c:pt>
                <c:pt idx="18">
                  <c:v>19.746095257390305</c:v>
                </c:pt>
                <c:pt idx="19">
                  <c:v>19.969834168796631</c:v>
                </c:pt>
                <c:pt idx="20">
                  <c:v>21.812666690781835</c:v>
                </c:pt>
                <c:pt idx="21">
                  <c:v>20.349006547419823</c:v>
                </c:pt>
                <c:pt idx="22">
                  <c:v>21.360752839135699</c:v>
                </c:pt>
                <c:pt idx="23">
                  <c:v>19.181562452398616</c:v>
                </c:pt>
                <c:pt idx="24">
                  <c:v>26.416489033808553</c:v>
                </c:pt>
                <c:pt idx="25">
                  <c:v>26.521698876317078</c:v>
                </c:pt>
                <c:pt idx="26">
                  <c:v>28.855531305026183</c:v>
                </c:pt>
                <c:pt idx="27">
                  <c:v>32.689145902827455</c:v>
                </c:pt>
                <c:pt idx="28">
                  <c:v>31.03788354863708</c:v>
                </c:pt>
                <c:pt idx="29">
                  <c:v>31.182619115534461</c:v>
                </c:pt>
                <c:pt idx="30">
                  <c:v>31.256566469191217</c:v>
                </c:pt>
                <c:pt idx="31">
                  <c:v>33.507125256042578</c:v>
                </c:pt>
                <c:pt idx="32">
                  <c:v>32.596378944914846</c:v>
                </c:pt>
                <c:pt idx="33">
                  <c:v>30.762615408269987</c:v>
                </c:pt>
                <c:pt idx="34">
                  <c:v>30.404852153160178</c:v>
                </c:pt>
                <c:pt idx="35">
                  <c:v>29.745694288138868</c:v>
                </c:pt>
                <c:pt idx="36">
                  <c:v>15.448662531956003</c:v>
                </c:pt>
                <c:pt idx="37">
                  <c:v>17.412090002793267</c:v>
                </c:pt>
                <c:pt idx="38">
                  <c:v>15.469023257010495</c:v>
                </c:pt>
                <c:pt idx="39">
                  <c:v>11.244891662811263</c:v>
                </c:pt>
                <c:pt idx="40">
                  <c:v>14.332771410188716</c:v>
                </c:pt>
                <c:pt idx="41">
                  <c:v>12.171633757895894</c:v>
                </c:pt>
                <c:pt idx="42">
                  <c:v>13.25276897969292</c:v>
                </c:pt>
                <c:pt idx="43">
                  <c:v>11.177892103450748</c:v>
                </c:pt>
                <c:pt idx="44">
                  <c:v>11.781151283444391</c:v>
                </c:pt>
                <c:pt idx="45">
                  <c:v>12.742960975246408</c:v>
                </c:pt>
                <c:pt idx="46">
                  <c:v>12.45691791963608</c:v>
                </c:pt>
                <c:pt idx="47">
                  <c:v>13.092931331432411</c:v>
                </c:pt>
                <c:pt idx="48">
                  <c:v>18.0689320902246</c:v>
                </c:pt>
                <c:pt idx="49">
                  <c:v>17.942275038977009</c:v>
                </c:pt>
                <c:pt idx="50">
                  <c:v>18.251212231895853</c:v>
                </c:pt>
                <c:pt idx="51">
                  <c:v>18.315086428144056</c:v>
                </c:pt>
                <c:pt idx="52">
                  <c:v>17.140521271826859</c:v>
                </c:pt>
                <c:pt idx="53">
                  <c:v>16.297214860450016</c:v>
                </c:pt>
                <c:pt idx="54">
                  <c:v>15.903667798009291</c:v>
                </c:pt>
                <c:pt idx="55">
                  <c:v>13.509373313047623</c:v>
                </c:pt>
                <c:pt idx="56">
                  <c:v>10.177626431168751</c:v>
                </c:pt>
                <c:pt idx="57">
                  <c:v>9.3023393069537441</c:v>
                </c:pt>
                <c:pt idx="58">
                  <c:v>8.348513114719891</c:v>
                </c:pt>
                <c:pt idx="59">
                  <c:v>6.2956868488367901</c:v>
                </c:pt>
                <c:pt idx="60">
                  <c:v>7.3109427896482559</c:v>
                </c:pt>
                <c:pt idx="61">
                  <c:v>5.0431357070326532</c:v>
                </c:pt>
                <c:pt idx="62">
                  <c:v>3.5120875275151509</c:v>
                </c:pt>
                <c:pt idx="63">
                  <c:v>4.1590636761862143</c:v>
                </c:pt>
                <c:pt idx="64">
                  <c:v>4.7350661533448246</c:v>
                </c:pt>
                <c:pt idx="65">
                  <c:v>2.4179927455480144</c:v>
                </c:pt>
                <c:pt idx="66">
                  <c:v>-0.30676162564877707</c:v>
                </c:pt>
                <c:pt idx="67">
                  <c:v>0.16760760062561886</c:v>
                </c:pt>
                <c:pt idx="68">
                  <c:v>1.275761214862281</c:v>
                </c:pt>
                <c:pt idx="69">
                  <c:v>1.9358173900165809</c:v>
                </c:pt>
                <c:pt idx="70">
                  <c:v>2.811202247618283</c:v>
                </c:pt>
                <c:pt idx="71">
                  <c:v>3.2562841949366206</c:v>
                </c:pt>
                <c:pt idx="72">
                  <c:v>4.2566588452845222</c:v>
                </c:pt>
                <c:pt idx="73">
                  <c:v>5.0611795401778181</c:v>
                </c:pt>
                <c:pt idx="74">
                  <c:v>6.4263346039284519</c:v>
                </c:pt>
                <c:pt idx="75">
                  <c:v>3.4015021108338317</c:v>
                </c:pt>
                <c:pt idx="76">
                  <c:v>3.5172590710341067</c:v>
                </c:pt>
                <c:pt idx="77">
                  <c:v>5.4990758446509913</c:v>
                </c:pt>
                <c:pt idx="78">
                  <c:v>9.526941499051599</c:v>
                </c:pt>
                <c:pt idx="79">
                  <c:v>9.3573068395624848</c:v>
                </c:pt>
                <c:pt idx="80">
                  <c:v>7.5464050092874269</c:v>
                </c:pt>
                <c:pt idx="81">
                  <c:v>8.36659208721764</c:v>
                </c:pt>
                <c:pt idx="82">
                  <c:v>8.3837323169472455</c:v>
                </c:pt>
                <c:pt idx="83">
                  <c:v>9.5441662969492302</c:v>
                </c:pt>
                <c:pt idx="84">
                  <c:v>11.248297596357283</c:v>
                </c:pt>
                <c:pt idx="85">
                  <c:v>11.898847275890168</c:v>
                </c:pt>
                <c:pt idx="86">
                  <c:v>11.613570938122075</c:v>
                </c:pt>
                <c:pt idx="87">
                  <c:v>16.966760386839642</c:v>
                </c:pt>
                <c:pt idx="88">
                  <c:v>16.535658174119817</c:v>
                </c:pt>
                <c:pt idx="89">
                  <c:v>16.183945327179327</c:v>
                </c:pt>
                <c:pt idx="90">
                  <c:v>13.570396132653229</c:v>
                </c:pt>
                <c:pt idx="91">
                  <c:v>14.9141195462271</c:v>
                </c:pt>
                <c:pt idx="92">
                  <c:v>14.90735814167412</c:v>
                </c:pt>
                <c:pt idx="93">
                  <c:v>14.641043476648473</c:v>
                </c:pt>
                <c:pt idx="94">
                  <c:v>13.783093172711158</c:v>
                </c:pt>
                <c:pt idx="95">
                  <c:v>13.261263891203967</c:v>
                </c:pt>
                <c:pt idx="96">
                  <c:v>12.913020252226426</c:v>
                </c:pt>
                <c:pt idx="97">
                  <c:v>11.575947192975299</c:v>
                </c:pt>
                <c:pt idx="98">
                  <c:v>12.078709964350832</c:v>
                </c:pt>
                <c:pt idx="99">
                  <c:v>8.4455604613816071</c:v>
                </c:pt>
                <c:pt idx="100">
                  <c:v>7.9048232293712051</c:v>
                </c:pt>
                <c:pt idx="101">
                  <c:v>8.22167359115622</c:v>
                </c:pt>
                <c:pt idx="102">
                  <c:v>12.87493123156187</c:v>
                </c:pt>
                <c:pt idx="103">
                  <c:v>10.094364883781481</c:v>
                </c:pt>
                <c:pt idx="104">
                  <c:v>8.057969522543317</c:v>
                </c:pt>
                <c:pt idx="105">
                  <c:v>7.0106415083472262</c:v>
                </c:pt>
                <c:pt idx="106">
                  <c:v>7.9338911272613943</c:v>
                </c:pt>
                <c:pt idx="107">
                  <c:v>5.7045659701415063</c:v>
                </c:pt>
                <c:pt idx="108">
                  <c:v>5.840656753353457</c:v>
                </c:pt>
                <c:pt idx="109">
                  <c:v>4.745442985112347</c:v>
                </c:pt>
                <c:pt idx="110">
                  <c:v>4.8777902568970744</c:v>
                </c:pt>
                <c:pt idx="111">
                  <c:v>7.4498365612753803</c:v>
                </c:pt>
                <c:pt idx="112">
                  <c:v>7.9458004687522177</c:v>
                </c:pt>
                <c:pt idx="113">
                  <c:v>7.6811974662032156</c:v>
                </c:pt>
                <c:pt idx="114">
                  <c:v>4.5207883567696117</c:v>
                </c:pt>
                <c:pt idx="115">
                  <c:v>7.2553371073268869</c:v>
                </c:pt>
                <c:pt idx="116">
                  <c:v>9.483593877054485</c:v>
                </c:pt>
                <c:pt idx="117">
                  <c:v>10.882535753903566</c:v>
                </c:pt>
                <c:pt idx="118">
                  <c:v>10.394775851150095</c:v>
                </c:pt>
                <c:pt idx="119">
                  <c:v>9.4600199702584042</c:v>
                </c:pt>
                <c:pt idx="120">
                  <c:v>8.3632738156941944</c:v>
                </c:pt>
                <c:pt idx="121">
                  <c:v>9.8774662939276059</c:v>
                </c:pt>
                <c:pt idx="122">
                  <c:v>8.6046547620575389</c:v>
                </c:pt>
                <c:pt idx="123">
                  <c:v>7.2462118452728541</c:v>
                </c:pt>
                <c:pt idx="124">
                  <c:v>6.6899318223799353</c:v>
                </c:pt>
                <c:pt idx="125">
                  <c:v>6.8668097090316405</c:v>
                </c:pt>
                <c:pt idx="126">
                  <c:v>7.5347285415774845</c:v>
                </c:pt>
                <c:pt idx="127">
                  <c:v>7.9630354271449599</c:v>
                </c:pt>
                <c:pt idx="128">
                  <c:v>9.737554968358797</c:v>
                </c:pt>
                <c:pt idx="129">
                  <c:v>9.2366576135558542</c:v>
                </c:pt>
                <c:pt idx="130">
                  <c:v>10.067111538654983</c:v>
                </c:pt>
                <c:pt idx="131">
                  <c:v>15.222096814338482</c:v>
                </c:pt>
                <c:pt idx="132">
                  <c:v>13.31418369336852</c:v>
                </c:pt>
                <c:pt idx="133">
                  <c:v>14.868016241767013</c:v>
                </c:pt>
                <c:pt idx="134">
                  <c:v>16.258559831636042</c:v>
                </c:pt>
                <c:pt idx="135">
                  <c:v>15.414345368077109</c:v>
                </c:pt>
                <c:pt idx="136">
                  <c:v>15.783292663396132</c:v>
                </c:pt>
                <c:pt idx="137">
                  <c:v>16.314582875642113</c:v>
                </c:pt>
                <c:pt idx="138">
                  <c:v>16.32572558246941</c:v>
                </c:pt>
                <c:pt idx="139">
                  <c:v>15.622035995530513</c:v>
                </c:pt>
                <c:pt idx="140">
                  <c:v>16.383508977397621</c:v>
                </c:pt>
                <c:pt idx="141">
                  <c:v>10.055412484676785</c:v>
                </c:pt>
                <c:pt idx="142">
                  <c:v>11.848827235668558</c:v>
                </c:pt>
                <c:pt idx="143">
                  <c:v>9.7664332413784471</c:v>
                </c:pt>
                <c:pt idx="144">
                  <c:v>11.568376080234156</c:v>
                </c:pt>
                <c:pt idx="145">
                  <c:v>9.2737552574835735</c:v>
                </c:pt>
                <c:pt idx="146">
                  <c:v>9.1666141061068629</c:v>
                </c:pt>
                <c:pt idx="147">
                  <c:v>9.3528398134359758</c:v>
                </c:pt>
                <c:pt idx="148">
                  <c:v>8.166047893031724</c:v>
                </c:pt>
                <c:pt idx="149">
                  <c:v>7.8908372648458958</c:v>
                </c:pt>
                <c:pt idx="150">
                  <c:v>7.7815320896642559</c:v>
                </c:pt>
                <c:pt idx="151">
                  <c:v>9.3575116583541238</c:v>
                </c:pt>
                <c:pt idx="152">
                  <c:v>8.6953611428484567</c:v>
                </c:pt>
                <c:pt idx="153">
                  <c:v>13.387821159040447</c:v>
                </c:pt>
                <c:pt idx="154">
                  <c:v>12.103687303259814</c:v>
                </c:pt>
                <c:pt idx="155">
                  <c:v>12.351958342204172</c:v>
                </c:pt>
                <c:pt idx="156">
                  <c:v>10.196415082403366</c:v>
                </c:pt>
                <c:pt idx="157">
                  <c:v>13.111353196830944</c:v>
                </c:pt>
                <c:pt idx="158">
                  <c:v>12.326915013448625</c:v>
                </c:pt>
                <c:pt idx="159">
                  <c:v>12.210254536293807</c:v>
                </c:pt>
                <c:pt idx="160">
                  <c:v>12.711469610186231</c:v>
                </c:pt>
                <c:pt idx="161">
                  <c:v>13.059875581798774</c:v>
                </c:pt>
                <c:pt idx="162">
                  <c:v>13.09107046556759</c:v>
                </c:pt>
                <c:pt idx="163">
                  <c:v>12.522073218042484</c:v>
                </c:pt>
                <c:pt idx="164">
                  <c:v>13.063813595292718</c:v>
                </c:pt>
                <c:pt idx="165">
                  <c:v>13.271368535980654</c:v>
                </c:pt>
                <c:pt idx="166">
                  <c:v>12.089798767948734</c:v>
                </c:pt>
                <c:pt idx="167">
                  <c:v>10.374023283292066</c:v>
                </c:pt>
                <c:pt idx="168">
                  <c:v>12.212297215516287</c:v>
                </c:pt>
                <c:pt idx="169">
                  <c:v>10.429008715750655</c:v>
                </c:pt>
                <c:pt idx="170">
                  <c:v>9.9066475184688798</c:v>
                </c:pt>
                <c:pt idx="171">
                  <c:v>10.019250877373853</c:v>
                </c:pt>
                <c:pt idx="172">
                  <c:v>11.064156326053531</c:v>
                </c:pt>
                <c:pt idx="173">
                  <c:v>9.531557967877724</c:v>
                </c:pt>
                <c:pt idx="174">
                  <c:v>8.5477834697129431</c:v>
                </c:pt>
                <c:pt idx="175">
                  <c:v>8.2270953415737971</c:v>
                </c:pt>
                <c:pt idx="176">
                  <c:v>7.1269568694416474</c:v>
                </c:pt>
                <c:pt idx="177">
                  <c:v>6.3148629825050984</c:v>
                </c:pt>
                <c:pt idx="178">
                  <c:v>6.7802990806252295</c:v>
                </c:pt>
                <c:pt idx="179">
                  <c:v>7.8502432028464186</c:v>
                </c:pt>
                <c:pt idx="180">
                  <c:v>7.7535253019379802</c:v>
                </c:pt>
                <c:pt idx="181">
                  <c:v>7.1488672645372509</c:v>
                </c:pt>
                <c:pt idx="182">
                  <c:v>7.3019265335667383</c:v>
                </c:pt>
                <c:pt idx="183">
                  <c:v>6.7020518721129907</c:v>
                </c:pt>
                <c:pt idx="184">
                  <c:v>6.6687793601462486</c:v>
                </c:pt>
              </c:numCache>
            </c:numRef>
          </c:val>
          <c:smooth val="0"/>
          <c:extLst>
            <c:ext xmlns:c16="http://schemas.microsoft.com/office/drawing/2014/chart" uri="{C3380CC4-5D6E-409C-BE32-E72D297353CC}">
              <c16:uniqueId val="{00000001-6877-42C7-B694-6CC4FD5F85EB}"/>
            </c:ext>
          </c:extLst>
        </c:ser>
        <c:dLbls>
          <c:showLegendKey val="0"/>
          <c:showVal val="0"/>
          <c:showCatName val="0"/>
          <c:showSerName val="0"/>
          <c:showPercent val="0"/>
          <c:showBubbleSize val="0"/>
        </c:dLbls>
        <c:smooth val="0"/>
        <c:axId val="604011112"/>
        <c:axId val="462625976"/>
      </c:lineChart>
      <c:dateAx>
        <c:axId val="60401111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62625976"/>
        <c:crosses val="autoZero"/>
        <c:auto val="1"/>
        <c:lblOffset val="100"/>
        <c:baseTimeUnit val="months"/>
      </c:dateAx>
      <c:valAx>
        <c:axId val="46262597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011112"/>
        <c:crosses val="autoZero"/>
        <c:crossBetween val="between"/>
        <c:majorUnit val="10"/>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a:t>
            </a:r>
            <a:r>
              <a:rPr lang="es-MX" sz="1100" b="1" baseline="0">
                <a:latin typeface="Arial" panose="020B0604020202020204" pitchFamily="34" charset="0"/>
                <a:cs typeface="Arial" panose="020B0604020202020204" pitchFamily="34" charset="0"/>
              </a:rPr>
              <a:t>rédito al resto del sector primario</a:t>
            </a:r>
          </a:p>
          <a:p>
            <a:pPr marL="0" marR="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latin typeface="Arial" panose="020B0604020202020204" pitchFamily="34" charset="0"/>
                <a:cs typeface="Arial" panose="020B0604020202020204" pitchFamily="34" charset="0"/>
              </a:defRPr>
            </a:pPr>
            <a:r>
              <a:rPr lang="es-MX" sz="1000" b="0" i="0" baseline="0">
                <a:effectLst/>
              </a:rPr>
              <a:t>(Junio 2019)</a:t>
            </a:r>
            <a:endParaRPr lang="es-MX" sz="10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3762834511072256"/>
          <c:y val="0.16830399715874478"/>
          <c:w val="0.74186259142018862"/>
          <c:h val="0.46516800457916585"/>
        </c:manualLayout>
      </c:layout>
      <c:barChart>
        <c:barDir val="col"/>
        <c:grouping val="clustered"/>
        <c:varyColors val="0"/>
        <c:ser>
          <c:idx val="0"/>
          <c:order val="0"/>
          <c:tx>
            <c:v>Cdo resto sector primario</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 Geográfica'!$AE$6:$AE$23</c:f>
              <c:strCache>
                <c:ptCount val="18"/>
                <c:pt idx="0">
                  <c:v>Francisco Morazán</c:v>
                </c:pt>
                <c:pt idx="1">
                  <c:v>Cortés</c:v>
                </c:pt>
                <c:pt idx="2">
                  <c:v>Choluteca</c:v>
                </c:pt>
                <c:pt idx="3">
                  <c:v>Intibucá</c:v>
                </c:pt>
                <c:pt idx="4">
                  <c:v>Copán</c:v>
                </c:pt>
                <c:pt idx="5">
                  <c:v>Atlántida</c:v>
                </c:pt>
                <c:pt idx="6">
                  <c:v>Yoro</c:v>
                </c:pt>
                <c:pt idx="7">
                  <c:v>Comayagua</c:v>
                </c:pt>
                <c:pt idx="8">
                  <c:v>Olancho</c:v>
                </c:pt>
                <c:pt idx="9">
                  <c:v>Santa Bárbara</c:v>
                </c:pt>
                <c:pt idx="10">
                  <c:v>Islas de la Bahía</c:v>
                </c:pt>
                <c:pt idx="11">
                  <c:v>Colón</c:v>
                </c:pt>
                <c:pt idx="12">
                  <c:v>El Paraíso</c:v>
                </c:pt>
                <c:pt idx="13">
                  <c:v>Gracias a Dios</c:v>
                </c:pt>
                <c:pt idx="14">
                  <c:v>La Paz</c:v>
                </c:pt>
                <c:pt idx="15">
                  <c:v>Lempira</c:v>
                </c:pt>
                <c:pt idx="16">
                  <c:v>Ocotepeque</c:v>
                </c:pt>
                <c:pt idx="17">
                  <c:v>Valle</c:v>
                </c:pt>
              </c:strCache>
            </c:strRef>
          </c:cat>
          <c:val>
            <c:numRef>
              <c:f>'Distribución Geográfica'!$AF$6:$AF$23</c:f>
              <c:numCache>
                <c:formatCode>_-* #,##0_-;\-* #,##0_-;_-* "-"??_-;_-@_-</c:formatCode>
                <c:ptCount val="18"/>
                <c:pt idx="0">
                  <c:v>56.304353293185088</c:v>
                </c:pt>
                <c:pt idx="1">
                  <c:v>46.964396290939661</c:v>
                </c:pt>
                <c:pt idx="2">
                  <c:v>32.554562527176259</c:v>
                </c:pt>
                <c:pt idx="3">
                  <c:v>12.407779354918191</c:v>
                </c:pt>
                <c:pt idx="4">
                  <c:v>5.8421303767455122</c:v>
                </c:pt>
                <c:pt idx="5">
                  <c:v>5.67754427648239</c:v>
                </c:pt>
                <c:pt idx="6">
                  <c:v>1.7191587591943389</c:v>
                </c:pt>
                <c:pt idx="7">
                  <c:v>0.97805010724617858</c:v>
                </c:pt>
                <c:pt idx="8">
                  <c:v>0.57437162573697564</c:v>
                </c:pt>
                <c:pt idx="9">
                  <c:v>0.55181980940046282</c:v>
                </c:pt>
                <c:pt idx="10">
                  <c:v>0.17674629035205849</c:v>
                </c:pt>
                <c:pt idx="11">
                  <c:v>0.1270528324702444</c:v>
                </c:pt>
                <c:pt idx="12">
                  <c:v>5.1364374817389734E-4</c:v>
                </c:pt>
                <c:pt idx="13">
                  <c:v>0</c:v>
                </c:pt>
                <c:pt idx="14">
                  <c:v>0</c:v>
                </c:pt>
                <c:pt idx="15">
                  <c:v>0</c:v>
                </c:pt>
                <c:pt idx="16">
                  <c:v>0</c:v>
                </c:pt>
                <c:pt idx="17">
                  <c:v>0</c:v>
                </c:pt>
              </c:numCache>
            </c:numRef>
          </c:val>
          <c:extLst>
            <c:ext xmlns:c16="http://schemas.microsoft.com/office/drawing/2014/chart" uri="{C3380CC4-5D6E-409C-BE32-E72D297353CC}">
              <c16:uniqueId val="{00000000-34D4-4DFB-906C-D030FC5EDD3F}"/>
            </c:ext>
          </c:extLst>
        </c:ser>
        <c:dLbls>
          <c:showLegendKey val="0"/>
          <c:showVal val="0"/>
          <c:showCatName val="0"/>
          <c:showSerName val="0"/>
          <c:showPercent val="0"/>
          <c:showBubbleSize val="0"/>
        </c:dLbls>
        <c:gapWidth val="40"/>
        <c:axId val="345277200"/>
        <c:axId val="345277592"/>
      </c:barChart>
      <c:lineChart>
        <c:grouping val="standard"/>
        <c:varyColors val="0"/>
        <c:ser>
          <c:idx val="1"/>
          <c:order val="1"/>
          <c:tx>
            <c:v>Part % cdo resto sect primario</c:v>
          </c:tx>
          <c:spPr>
            <a:ln w="38100" cap="rnd">
              <a:solidFill>
                <a:srgbClr val="002060"/>
              </a:solidFill>
              <a:round/>
            </a:ln>
            <a:effectLst/>
          </c:spPr>
          <c:marker>
            <c:symbol val="none"/>
          </c:marker>
          <c:dLbls>
            <c:dLbl>
              <c:idx val="3"/>
              <c:layout>
                <c:manualLayout>
                  <c:x val="-5.3499066681191226E-2"/>
                  <c:y val="2.48129380859301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D4-4DFB-906C-D030FC5EDD3F}"/>
                </c:ext>
              </c:extLst>
            </c:dLbl>
            <c:dLbl>
              <c:idx val="4"/>
              <c:layout>
                <c:manualLayout>
                  <c:x val="-4.2475445317413027E-2"/>
                  <c:y val="2.0295350619923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D4-4DFB-906C-D030FC5EDD3F}"/>
                </c:ext>
              </c:extLst>
            </c:dLbl>
            <c:dLbl>
              <c:idx val="5"/>
              <c:layout>
                <c:manualLayout>
                  <c:x val="-3.5836318625815336E-2"/>
                  <c:y val="1.59140372895439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D4-4DFB-906C-D030FC5EDD3F}"/>
                </c:ext>
              </c:extLst>
            </c:dLbl>
            <c:dLbl>
              <c:idx val="6"/>
              <c:layout>
                <c:manualLayout>
                  <c:x val="-3.0390494650346881E-2"/>
                  <c:y val="2.0385791865906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4D4-4DFB-906C-D030FC5EDD3F}"/>
                </c:ext>
              </c:extLst>
            </c:dLbl>
            <c:dLbl>
              <c:idx val="7"/>
              <c:layout>
                <c:manualLayout>
                  <c:x val="-3.8680650992686381E-2"/>
                  <c:y val="2.0385791865906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4D4-4DFB-906C-D030FC5EDD3F}"/>
                </c:ext>
              </c:extLst>
            </c:dLbl>
            <c:dLbl>
              <c:idx val="8"/>
              <c:delete val="1"/>
              <c:extLst>
                <c:ext xmlns:c15="http://schemas.microsoft.com/office/drawing/2012/chart" uri="{CE6537A1-D6FC-4f65-9D91-7224C49458BB}"/>
                <c:ext xmlns:c16="http://schemas.microsoft.com/office/drawing/2014/chart" uri="{C3380CC4-5D6E-409C-BE32-E72D297353CC}">
                  <c16:uniqueId val="{00000006-34D4-4DFB-906C-D030FC5EDD3F}"/>
                </c:ext>
              </c:extLst>
            </c:dLbl>
            <c:dLbl>
              <c:idx val="9"/>
              <c:delete val="1"/>
              <c:extLst>
                <c:ext xmlns:c15="http://schemas.microsoft.com/office/drawing/2012/chart" uri="{CE6537A1-D6FC-4f65-9D91-7224C49458BB}"/>
                <c:ext xmlns:c16="http://schemas.microsoft.com/office/drawing/2014/chart" uri="{C3380CC4-5D6E-409C-BE32-E72D297353CC}">
                  <c16:uniqueId val="{00000007-34D4-4DFB-906C-D030FC5EDD3F}"/>
                </c:ext>
              </c:extLst>
            </c:dLbl>
            <c:dLbl>
              <c:idx val="10"/>
              <c:delete val="1"/>
              <c:extLst>
                <c:ext xmlns:c15="http://schemas.microsoft.com/office/drawing/2012/chart" uri="{CE6537A1-D6FC-4f65-9D91-7224C49458BB}"/>
                <c:ext xmlns:c16="http://schemas.microsoft.com/office/drawing/2014/chart" uri="{C3380CC4-5D6E-409C-BE32-E72D297353CC}">
                  <c16:uniqueId val="{00000008-34D4-4DFB-906C-D030FC5EDD3F}"/>
                </c:ext>
              </c:extLst>
            </c:dLbl>
            <c:dLbl>
              <c:idx val="11"/>
              <c:delete val="1"/>
              <c:extLst>
                <c:ext xmlns:c15="http://schemas.microsoft.com/office/drawing/2012/chart" uri="{CE6537A1-D6FC-4f65-9D91-7224C49458BB}"/>
                <c:ext xmlns:c16="http://schemas.microsoft.com/office/drawing/2014/chart" uri="{C3380CC4-5D6E-409C-BE32-E72D297353CC}">
                  <c16:uniqueId val="{00000009-34D4-4DFB-906C-D030FC5EDD3F}"/>
                </c:ext>
              </c:extLst>
            </c:dLbl>
            <c:dLbl>
              <c:idx val="12"/>
              <c:delete val="1"/>
              <c:extLst>
                <c:ext xmlns:c15="http://schemas.microsoft.com/office/drawing/2012/chart" uri="{CE6537A1-D6FC-4f65-9D91-7224C49458BB}"/>
                <c:ext xmlns:c16="http://schemas.microsoft.com/office/drawing/2014/chart" uri="{C3380CC4-5D6E-409C-BE32-E72D297353CC}">
                  <c16:uniqueId val="{0000000A-34D4-4DFB-906C-D030FC5EDD3F}"/>
                </c:ext>
              </c:extLst>
            </c:dLbl>
            <c:dLbl>
              <c:idx val="13"/>
              <c:delete val="1"/>
              <c:extLst>
                <c:ext xmlns:c15="http://schemas.microsoft.com/office/drawing/2012/chart" uri="{CE6537A1-D6FC-4f65-9D91-7224C49458BB}"/>
                <c:ext xmlns:c16="http://schemas.microsoft.com/office/drawing/2014/chart" uri="{C3380CC4-5D6E-409C-BE32-E72D297353CC}">
                  <c16:uniqueId val="{0000000B-34D4-4DFB-906C-D030FC5EDD3F}"/>
                </c:ext>
              </c:extLst>
            </c:dLbl>
            <c:dLbl>
              <c:idx val="14"/>
              <c:delete val="1"/>
              <c:extLst>
                <c:ext xmlns:c15="http://schemas.microsoft.com/office/drawing/2012/chart" uri="{CE6537A1-D6FC-4f65-9D91-7224C49458BB}"/>
                <c:ext xmlns:c16="http://schemas.microsoft.com/office/drawing/2014/chart" uri="{C3380CC4-5D6E-409C-BE32-E72D297353CC}">
                  <c16:uniqueId val="{0000000C-34D4-4DFB-906C-D030FC5EDD3F}"/>
                </c:ext>
              </c:extLst>
            </c:dLbl>
            <c:dLbl>
              <c:idx val="15"/>
              <c:delete val="1"/>
              <c:extLst>
                <c:ext xmlns:c15="http://schemas.microsoft.com/office/drawing/2012/chart" uri="{CE6537A1-D6FC-4f65-9D91-7224C49458BB}"/>
                <c:ext xmlns:c16="http://schemas.microsoft.com/office/drawing/2014/chart" uri="{C3380CC4-5D6E-409C-BE32-E72D297353CC}">
                  <c16:uniqueId val="{0000000D-34D4-4DFB-906C-D030FC5EDD3F}"/>
                </c:ext>
              </c:extLst>
            </c:dLbl>
            <c:dLbl>
              <c:idx val="16"/>
              <c:delete val="1"/>
              <c:extLst>
                <c:ext xmlns:c15="http://schemas.microsoft.com/office/drawing/2012/chart" uri="{CE6537A1-D6FC-4f65-9D91-7224C49458BB}"/>
                <c:ext xmlns:c16="http://schemas.microsoft.com/office/drawing/2014/chart" uri="{C3380CC4-5D6E-409C-BE32-E72D297353CC}">
                  <c16:uniqueId val="{0000000E-34D4-4DFB-906C-D030FC5EDD3F}"/>
                </c:ext>
              </c:extLst>
            </c:dLbl>
            <c:dLbl>
              <c:idx val="17"/>
              <c:delete val="1"/>
              <c:extLst>
                <c:ext xmlns:c15="http://schemas.microsoft.com/office/drawing/2012/chart" uri="{CE6537A1-D6FC-4f65-9D91-7224C49458BB}"/>
                <c:ext xmlns:c16="http://schemas.microsoft.com/office/drawing/2014/chart" uri="{C3380CC4-5D6E-409C-BE32-E72D297353CC}">
                  <c16:uniqueId val="{0000000F-34D4-4DFB-906C-D030FC5EDD3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'Distribución Geográfica'!$AE$6:$AE$23</c:f>
              <c:strCache>
                <c:ptCount val="18"/>
                <c:pt idx="0">
                  <c:v>Francisco Morazán</c:v>
                </c:pt>
                <c:pt idx="1">
                  <c:v>Cortés</c:v>
                </c:pt>
                <c:pt idx="2">
                  <c:v>Choluteca</c:v>
                </c:pt>
                <c:pt idx="3">
                  <c:v>Intibucá</c:v>
                </c:pt>
                <c:pt idx="4">
                  <c:v>Copán</c:v>
                </c:pt>
                <c:pt idx="5">
                  <c:v>Atlántida</c:v>
                </c:pt>
                <c:pt idx="6">
                  <c:v>Yoro</c:v>
                </c:pt>
                <c:pt idx="7">
                  <c:v>Comayagua</c:v>
                </c:pt>
                <c:pt idx="8">
                  <c:v>Olancho</c:v>
                </c:pt>
                <c:pt idx="9">
                  <c:v>Santa Bárbara</c:v>
                </c:pt>
                <c:pt idx="10">
                  <c:v>Islas de la Bahía</c:v>
                </c:pt>
                <c:pt idx="11">
                  <c:v>Colón</c:v>
                </c:pt>
                <c:pt idx="12">
                  <c:v>El Paraíso</c:v>
                </c:pt>
                <c:pt idx="13">
                  <c:v>Gracias a Dios</c:v>
                </c:pt>
                <c:pt idx="14">
                  <c:v>La Paz</c:v>
                </c:pt>
                <c:pt idx="15">
                  <c:v>Lempira</c:v>
                </c:pt>
                <c:pt idx="16">
                  <c:v>Ocotepeque</c:v>
                </c:pt>
                <c:pt idx="17">
                  <c:v>Valle</c:v>
                </c:pt>
              </c:strCache>
            </c:strRef>
          </c:cat>
          <c:val>
            <c:numRef>
              <c:f>'Distribución Geográfica'!$AG$6:$AG$23</c:f>
              <c:numCache>
                <c:formatCode>0.0%</c:formatCode>
                <c:ptCount val="18"/>
                <c:pt idx="0">
                  <c:v>0.34357380891198158</c:v>
                </c:pt>
                <c:pt idx="1">
                  <c:v>0.28658062073653018</c:v>
                </c:pt>
                <c:pt idx="2">
                  <c:v>0.19865062629675917</c:v>
                </c:pt>
                <c:pt idx="3">
                  <c:v>7.5713293267230752E-2</c:v>
                </c:pt>
                <c:pt idx="4">
                  <c:v>3.5649161535468543E-2</c:v>
                </c:pt>
                <c:pt idx="5">
                  <c:v>3.4644843573286843E-2</c:v>
                </c:pt>
                <c:pt idx="6">
                  <c:v>1.0490448579440245E-2</c:v>
                </c:pt>
                <c:pt idx="7">
                  <c:v>5.9681424436858598E-3</c:v>
                </c:pt>
                <c:pt idx="8">
                  <c:v>3.5048630459859169E-3</c:v>
                </c:pt>
                <c:pt idx="9">
                  <c:v>3.367250002172536E-3</c:v>
                </c:pt>
                <c:pt idx="10">
                  <c:v>1.0785204453217614E-3</c:v>
                </c:pt>
                <c:pt idx="11">
                  <c:v>7.7528686560975513E-4</c:v>
                </c:pt>
                <c:pt idx="12">
                  <c:v>3.1342965270376803E-6</c:v>
                </c:pt>
                <c:pt idx="13">
                  <c:v>0</c:v>
                </c:pt>
                <c:pt idx="14">
                  <c:v>0</c:v>
                </c:pt>
                <c:pt idx="15">
                  <c:v>0</c:v>
                </c:pt>
                <c:pt idx="16">
                  <c:v>0</c:v>
                </c:pt>
                <c:pt idx="17">
                  <c:v>0</c:v>
                </c:pt>
              </c:numCache>
            </c:numRef>
          </c:val>
          <c:smooth val="1"/>
          <c:extLst>
            <c:ext xmlns:c16="http://schemas.microsoft.com/office/drawing/2014/chart" uri="{C3380CC4-5D6E-409C-BE32-E72D297353CC}">
              <c16:uniqueId val="{00000010-34D4-4DFB-906C-D030FC5EDD3F}"/>
            </c:ext>
          </c:extLst>
        </c:ser>
        <c:dLbls>
          <c:showLegendKey val="0"/>
          <c:showVal val="0"/>
          <c:showCatName val="0"/>
          <c:showSerName val="0"/>
          <c:showPercent val="0"/>
          <c:showBubbleSize val="0"/>
        </c:dLbls>
        <c:marker val="1"/>
        <c:smooth val="0"/>
        <c:axId val="345278376"/>
        <c:axId val="345277984"/>
      </c:lineChart>
      <c:catAx>
        <c:axId val="34527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77592"/>
        <c:crosses val="autoZero"/>
        <c:auto val="1"/>
        <c:lblAlgn val="ctr"/>
        <c:lblOffset val="100"/>
        <c:noMultiLvlLbl val="0"/>
      </c:catAx>
      <c:valAx>
        <c:axId val="34527759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Millones de USD</a:t>
                </a:r>
              </a:p>
            </c:rich>
          </c:tx>
          <c:layout>
            <c:manualLayout>
              <c:xMode val="edge"/>
              <c:yMode val="edge"/>
              <c:x val="8.2901563423395039E-3"/>
              <c:y val="0.208579290207852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77200"/>
        <c:crosses val="autoZero"/>
        <c:crossBetween val="between"/>
      </c:valAx>
      <c:valAx>
        <c:axId val="345277984"/>
        <c:scaling>
          <c:orientation val="minMax"/>
          <c:max val="0.60000000000000009"/>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p>
            </c:rich>
          </c:tx>
          <c:layout>
            <c:manualLayout>
              <c:xMode val="edge"/>
              <c:yMode val="edge"/>
              <c:x val="0.94416568823964053"/>
              <c:y val="0.255919132845474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78376"/>
        <c:crosses val="max"/>
        <c:crossBetween val="between"/>
        <c:majorUnit val="0.1"/>
      </c:valAx>
      <c:catAx>
        <c:axId val="345278376"/>
        <c:scaling>
          <c:orientation val="minMax"/>
        </c:scaling>
        <c:delete val="1"/>
        <c:axPos val="b"/>
        <c:numFmt formatCode="General" sourceLinked="1"/>
        <c:majorTickMark val="out"/>
        <c:minorTickMark val="none"/>
        <c:tickLblPos val="nextTo"/>
        <c:crossAx val="345277984"/>
        <c:crosses val="autoZero"/>
        <c:auto val="1"/>
        <c:lblAlgn val="ctr"/>
        <c:lblOffset val="100"/>
        <c:noMultiLvlLbl val="0"/>
      </c:catAx>
      <c:spPr>
        <a:noFill/>
        <a:ln>
          <a:noFill/>
        </a:ln>
        <a:effectLst/>
      </c:spPr>
    </c:plotArea>
    <c:legend>
      <c:legendPos val="b"/>
      <c:layout>
        <c:manualLayout>
          <c:xMode val="edge"/>
          <c:yMode val="edge"/>
          <c:x val="0"/>
          <c:y val="0.92342545617474581"/>
          <c:w val="0.9072696171331095"/>
          <c:h val="7.5786476445489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a:t>
            </a:r>
            <a:r>
              <a:rPr lang="es-MX" sz="1100" b="1" baseline="0">
                <a:latin typeface="Arial" panose="020B0604020202020204" pitchFamily="34" charset="0"/>
                <a:cs typeface="Arial" panose="020B0604020202020204" pitchFamily="34" charset="0"/>
              </a:rPr>
              <a:t> agrícola por entidad bancaria</a:t>
            </a:r>
          </a:p>
          <a:p>
            <a:pPr>
              <a:defRPr sz="1100">
                <a:latin typeface="Arial" panose="020B0604020202020204" pitchFamily="34" charset="0"/>
                <a:cs typeface="Arial" panose="020B0604020202020204" pitchFamily="34" charset="0"/>
              </a:defRPr>
            </a:pPr>
            <a:r>
              <a:rPr lang="es-MX" sz="1100" baseline="0">
                <a:latin typeface="Arial" panose="020B0604020202020204" pitchFamily="34" charset="0"/>
                <a:cs typeface="Arial" panose="020B0604020202020204" pitchFamily="34" charset="0"/>
              </a:rPr>
              <a:t>(participación % a Junio 2019)</a:t>
            </a:r>
            <a:endParaRPr lang="es-MX"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'Detalle Bancos'!$T$5:$T$19</c:f>
              <c:strCache>
                <c:ptCount val="15"/>
                <c:pt idx="0">
                  <c:v>Ficohsa</c:v>
                </c:pt>
                <c:pt idx="1">
                  <c:v>Banpais</c:v>
                </c:pt>
                <c:pt idx="2">
                  <c:v>Banrural</c:v>
                </c:pt>
                <c:pt idx="3">
                  <c:v>Atlantida</c:v>
                </c:pt>
                <c:pt idx="4">
                  <c:v>Occidente</c:v>
                </c:pt>
                <c:pt idx="5">
                  <c:v>Bac</c:v>
                </c:pt>
                <c:pt idx="6">
                  <c:v>Davivienda</c:v>
                </c:pt>
                <c:pt idx="7">
                  <c:v>Popular</c:v>
                </c:pt>
                <c:pt idx="8">
                  <c:v>Banhcafe</c:v>
                </c:pt>
                <c:pt idx="9">
                  <c:v>Trabajadores</c:v>
                </c:pt>
                <c:pt idx="10">
                  <c:v>Lafise</c:v>
                </c:pt>
                <c:pt idx="11">
                  <c:v>Promérica</c:v>
                </c:pt>
                <c:pt idx="12">
                  <c:v>Honduras</c:v>
                </c:pt>
                <c:pt idx="13">
                  <c:v>Ficensa</c:v>
                </c:pt>
                <c:pt idx="14">
                  <c:v>Azteca</c:v>
                </c:pt>
              </c:strCache>
            </c:strRef>
          </c:cat>
          <c:val>
            <c:numRef>
              <c:f>'Detalle Bancos'!$U$5:$U$19</c:f>
              <c:numCache>
                <c:formatCode>0.0%</c:formatCode>
                <c:ptCount val="15"/>
                <c:pt idx="0">
                  <c:v>0.24534877840664018</c:v>
                </c:pt>
                <c:pt idx="1">
                  <c:v>0.19774572205385282</c:v>
                </c:pt>
                <c:pt idx="2">
                  <c:v>0.16121248828784165</c:v>
                </c:pt>
                <c:pt idx="3">
                  <c:v>0.14703706717502291</c:v>
                </c:pt>
                <c:pt idx="4">
                  <c:v>8.5752774306550802E-2</c:v>
                </c:pt>
                <c:pt idx="5">
                  <c:v>6.5944537137740247E-2</c:v>
                </c:pt>
                <c:pt idx="6">
                  <c:v>5.787222570608714E-2</c:v>
                </c:pt>
                <c:pt idx="7">
                  <c:v>1.7232622296123549E-2</c:v>
                </c:pt>
                <c:pt idx="8">
                  <c:v>1.4643073506350341E-2</c:v>
                </c:pt>
                <c:pt idx="9">
                  <c:v>4.3324968283704008E-3</c:v>
                </c:pt>
                <c:pt idx="10">
                  <c:v>2.7580674165693614E-3</c:v>
                </c:pt>
                <c:pt idx="11">
                  <c:v>1.2014687885061657E-4</c:v>
                </c:pt>
                <c:pt idx="12">
                  <c:v>0</c:v>
                </c:pt>
                <c:pt idx="13">
                  <c:v>0</c:v>
                </c:pt>
                <c:pt idx="14">
                  <c:v>0</c:v>
                </c:pt>
              </c:numCache>
            </c:numRef>
          </c:val>
          <c:extLst>
            <c:ext xmlns:c16="http://schemas.microsoft.com/office/drawing/2014/chart" uri="{C3380CC4-5D6E-409C-BE32-E72D297353CC}">
              <c16:uniqueId val="{00000000-8090-4201-A5BC-08525D3DAA23}"/>
            </c:ext>
          </c:extLst>
        </c:ser>
        <c:dLbls>
          <c:showLegendKey val="0"/>
          <c:showVal val="0"/>
          <c:showCatName val="0"/>
          <c:showSerName val="0"/>
          <c:showPercent val="0"/>
          <c:showBubbleSize val="0"/>
        </c:dLbls>
        <c:gapWidth val="50"/>
        <c:overlap val="-27"/>
        <c:axId val="494839128"/>
        <c:axId val="494839520"/>
      </c:barChart>
      <c:catAx>
        <c:axId val="49483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39520"/>
        <c:crosses val="autoZero"/>
        <c:auto val="1"/>
        <c:lblAlgn val="ctr"/>
        <c:lblOffset val="100"/>
        <c:noMultiLvlLbl val="0"/>
      </c:catAx>
      <c:valAx>
        <c:axId val="4948395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391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 agrícola en el sector bancario</a:t>
            </a:r>
          </a:p>
          <a:p>
            <a:pPr>
              <a:defRPr sz="1100">
                <a:latin typeface="Arial" panose="020B0604020202020204" pitchFamily="34" charset="0"/>
                <a:cs typeface="Arial" panose="020B0604020202020204" pitchFamily="34" charset="0"/>
              </a:defRPr>
            </a:pPr>
            <a:r>
              <a:rPr lang="es-MX" sz="1000">
                <a:latin typeface="Arial" panose="020B0604020202020204" pitchFamily="34" charset="0"/>
                <a:cs typeface="Arial" panose="020B0604020202020204" pitchFamily="34" charset="0"/>
              </a:rPr>
              <a:t>(Junio 2019; millones de USD)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'Detalle Bancos'!$W$34:$W$40</c:f>
              <c:strCache>
                <c:ptCount val="7"/>
                <c:pt idx="0">
                  <c:v>Otros cultivos</c:v>
                </c:pt>
                <c:pt idx="1">
                  <c:v>Caña de azúcar</c:v>
                </c:pt>
                <c:pt idx="2">
                  <c:v>Café</c:v>
                </c:pt>
                <c:pt idx="3">
                  <c:v>Otros y const</c:v>
                </c:pt>
                <c:pt idx="4">
                  <c:v>Hortalizas, tubérculos y frutas</c:v>
                </c:pt>
                <c:pt idx="5">
                  <c:v>Banano</c:v>
                </c:pt>
                <c:pt idx="6">
                  <c:v>Granos básicos</c:v>
                </c:pt>
              </c:strCache>
            </c:strRef>
          </c:cat>
          <c:val>
            <c:numRef>
              <c:f>'Detalle Bancos'!$Y$34:$Y$40</c:f>
              <c:numCache>
                <c:formatCode>_-* #,##0_-;\-* #,##0_-;_-* "-"??_-;_-@_-</c:formatCode>
                <c:ptCount val="7"/>
                <c:pt idx="0">
                  <c:v>302.02789598437732</c:v>
                </c:pt>
                <c:pt idx="1">
                  <c:v>189.55865396097644</c:v>
                </c:pt>
                <c:pt idx="2">
                  <c:v>187.34540506271665</c:v>
                </c:pt>
                <c:pt idx="3">
                  <c:v>17.443399460304327</c:v>
                </c:pt>
                <c:pt idx="4">
                  <c:v>10.082370717193875</c:v>
                </c:pt>
                <c:pt idx="5">
                  <c:v>8.6775539689595966</c:v>
                </c:pt>
                <c:pt idx="6">
                  <c:v>8.2188393463190419</c:v>
                </c:pt>
              </c:numCache>
            </c:numRef>
          </c:val>
          <c:extLst>
            <c:ext xmlns:c16="http://schemas.microsoft.com/office/drawing/2014/chart" uri="{C3380CC4-5D6E-409C-BE32-E72D297353CC}">
              <c16:uniqueId val="{00000000-35FE-4382-92AE-32D4F02A54E9}"/>
            </c:ext>
          </c:extLst>
        </c:ser>
        <c:dLbls>
          <c:showLegendKey val="0"/>
          <c:showVal val="0"/>
          <c:showCatName val="0"/>
          <c:showSerName val="0"/>
          <c:showPercent val="0"/>
          <c:showBubbleSize val="0"/>
        </c:dLbls>
        <c:gapWidth val="50"/>
        <c:overlap val="-27"/>
        <c:axId val="494840304"/>
        <c:axId val="494840696"/>
      </c:barChart>
      <c:catAx>
        <c:axId val="49484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94840696"/>
        <c:crosses val="autoZero"/>
        <c:auto val="1"/>
        <c:lblAlgn val="ctr"/>
        <c:lblOffset val="100"/>
        <c:noMultiLvlLbl val="0"/>
      </c:catAx>
      <c:valAx>
        <c:axId val="494840696"/>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403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 agrícola: Sociedades Financieras</a:t>
            </a:r>
          </a:p>
          <a:p>
            <a:pPr>
              <a:defRPr sz="1100">
                <a:latin typeface="Arial" panose="020B0604020202020204" pitchFamily="34" charset="0"/>
                <a:cs typeface="Arial" panose="020B0604020202020204" pitchFamily="34" charset="0"/>
              </a:defRPr>
            </a:pPr>
            <a:r>
              <a:rPr lang="es-MX" sz="1000">
                <a:latin typeface="Arial" panose="020B0604020202020204" pitchFamily="34" charset="0"/>
                <a:cs typeface="Arial" panose="020B0604020202020204" pitchFamily="34" charset="0"/>
              </a:rPr>
              <a:t>(Participación % a Junio 2019)</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'Detalle Financieras'!$N$5:$N$14</c:f>
              <c:strCache>
                <c:ptCount val="10"/>
                <c:pt idx="0">
                  <c:v>Odef</c:v>
                </c:pt>
                <c:pt idx="1">
                  <c:v>Credi Q</c:v>
                </c:pt>
                <c:pt idx="2">
                  <c:v>Finca</c:v>
                </c:pt>
                <c:pt idx="3">
                  <c:v>Finsol</c:v>
                </c:pt>
                <c:pt idx="4">
                  <c:v>Codimersa</c:v>
                </c:pt>
                <c:pt idx="5">
                  <c:v>Cofisa</c:v>
                </c:pt>
                <c:pt idx="6">
                  <c:v>Leasing</c:v>
                </c:pt>
                <c:pt idx="7">
                  <c:v>Cofinter</c:v>
                </c:pt>
                <c:pt idx="8">
                  <c:v>Ceibeña</c:v>
                </c:pt>
                <c:pt idx="9">
                  <c:v>Finisa</c:v>
                </c:pt>
              </c:strCache>
            </c:strRef>
          </c:cat>
          <c:val>
            <c:numRef>
              <c:f>'Detalle Financieras'!$O$5:$O$14</c:f>
              <c:numCache>
                <c:formatCode>0.0%</c:formatCode>
                <c:ptCount val="10"/>
                <c:pt idx="0">
                  <c:v>0.58521596985929814</c:v>
                </c:pt>
                <c:pt idx="1">
                  <c:v>0.23110036766853734</c:v>
                </c:pt>
                <c:pt idx="2">
                  <c:v>0.11950339240401908</c:v>
                </c:pt>
                <c:pt idx="3">
                  <c:v>3.5322357884994958E-2</c:v>
                </c:pt>
                <c:pt idx="4">
                  <c:v>2.8857912183150414E-2</c:v>
                </c:pt>
                <c:pt idx="5">
                  <c:v>0</c:v>
                </c:pt>
                <c:pt idx="6">
                  <c:v>0</c:v>
                </c:pt>
                <c:pt idx="7">
                  <c:v>0</c:v>
                </c:pt>
                <c:pt idx="8">
                  <c:v>0</c:v>
                </c:pt>
                <c:pt idx="9">
                  <c:v>0</c:v>
                </c:pt>
              </c:numCache>
            </c:numRef>
          </c:val>
          <c:extLst>
            <c:ext xmlns:c16="http://schemas.microsoft.com/office/drawing/2014/chart" uri="{C3380CC4-5D6E-409C-BE32-E72D297353CC}">
              <c16:uniqueId val="{00000000-14CF-4CFF-957C-9D717C54559E}"/>
            </c:ext>
          </c:extLst>
        </c:ser>
        <c:dLbls>
          <c:showLegendKey val="0"/>
          <c:showVal val="0"/>
          <c:showCatName val="0"/>
          <c:showSerName val="0"/>
          <c:showPercent val="0"/>
          <c:showBubbleSize val="0"/>
        </c:dLbls>
        <c:gapWidth val="50"/>
        <c:overlap val="-27"/>
        <c:axId val="345245584"/>
        <c:axId val="345245976"/>
      </c:barChart>
      <c:catAx>
        <c:axId val="34524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45976"/>
        <c:crosses val="autoZero"/>
        <c:auto val="1"/>
        <c:lblAlgn val="ctr"/>
        <c:lblOffset val="100"/>
        <c:noMultiLvlLbl val="0"/>
      </c:catAx>
      <c:valAx>
        <c:axId val="34524597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455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a:t>
            </a:r>
            <a:r>
              <a:rPr lang="es-MX" sz="1100" b="1" baseline="0">
                <a:latin typeface="Arial" panose="020B0604020202020204" pitchFamily="34" charset="0"/>
                <a:cs typeface="Arial" panose="020B0604020202020204" pitchFamily="34" charset="0"/>
              </a:rPr>
              <a:t> agrícola en Soc.Financieras</a:t>
            </a:r>
          </a:p>
          <a:p>
            <a:pPr>
              <a:defRPr sz="1100">
                <a:latin typeface="Arial" panose="020B0604020202020204" pitchFamily="34" charset="0"/>
                <a:cs typeface="Arial" panose="020B0604020202020204" pitchFamily="34" charset="0"/>
              </a:defRPr>
            </a:pPr>
            <a:r>
              <a:rPr lang="es-MX" sz="1000" baseline="0">
                <a:latin typeface="Arial" panose="020B0604020202020204" pitchFamily="34" charset="0"/>
                <a:cs typeface="Arial" panose="020B0604020202020204" pitchFamily="34" charset="0"/>
              </a:rPr>
              <a:t>(Junio 2019; millones de USD)</a:t>
            </a:r>
            <a:endParaRPr lang="es-MX"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'Detalle Financieras'!$Y$7:$Y$10</c:f>
              <c:strCache>
                <c:ptCount val="4"/>
                <c:pt idx="0">
                  <c:v>Café</c:v>
                </c:pt>
                <c:pt idx="1">
                  <c:v>Granos básicos</c:v>
                </c:pt>
                <c:pt idx="2">
                  <c:v>Hortalizas, tubérculos y frutas</c:v>
                </c:pt>
                <c:pt idx="3">
                  <c:v>Otros cultivos</c:v>
                </c:pt>
              </c:strCache>
            </c:strRef>
          </c:cat>
          <c:val>
            <c:numRef>
              <c:f>'Detalle Financieras'!$Z$7:$Z$10</c:f>
              <c:numCache>
                <c:formatCode>0.0</c:formatCode>
                <c:ptCount val="4"/>
                <c:pt idx="0">
                  <c:v>23.389270212146027</c:v>
                </c:pt>
                <c:pt idx="1">
                  <c:v>2.3521674993627637</c:v>
                </c:pt>
                <c:pt idx="2">
                  <c:v>3.0053237882275994</c:v>
                </c:pt>
                <c:pt idx="3">
                  <c:v>4.3100542305405902</c:v>
                </c:pt>
              </c:numCache>
            </c:numRef>
          </c:val>
          <c:extLst>
            <c:ext xmlns:c16="http://schemas.microsoft.com/office/drawing/2014/chart" uri="{C3380CC4-5D6E-409C-BE32-E72D297353CC}">
              <c16:uniqueId val="{00000000-05D1-467B-A0DC-2B5D85F4F43B}"/>
            </c:ext>
          </c:extLst>
        </c:ser>
        <c:dLbls>
          <c:showLegendKey val="0"/>
          <c:showVal val="0"/>
          <c:showCatName val="0"/>
          <c:showSerName val="0"/>
          <c:showPercent val="0"/>
          <c:showBubbleSize val="0"/>
        </c:dLbls>
        <c:gapWidth val="50"/>
        <c:overlap val="-27"/>
        <c:axId val="345246760"/>
        <c:axId val="610263824"/>
      </c:barChart>
      <c:catAx>
        <c:axId val="34524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63824"/>
        <c:crosses val="autoZero"/>
        <c:auto val="1"/>
        <c:lblAlgn val="ctr"/>
        <c:lblOffset val="100"/>
        <c:noMultiLvlLbl val="0"/>
      </c:catAx>
      <c:valAx>
        <c:axId val="61026382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2467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b="1">
                <a:latin typeface="Arial" panose="020B0604020202020204" pitchFamily="34" charset="0"/>
                <a:cs typeface="Arial" panose="020B0604020202020204" pitchFamily="34" charset="0"/>
              </a:rPr>
              <a:t>Calidad de la cartera</a:t>
            </a:r>
            <a:r>
              <a:rPr lang="es-MX" sz="1100" b="1" baseline="0">
                <a:latin typeface="Arial" panose="020B0604020202020204" pitchFamily="34" charset="0"/>
                <a:cs typeface="Arial" panose="020B0604020202020204" pitchFamily="34" charset="0"/>
              </a:rPr>
              <a:t> crediticia</a:t>
            </a:r>
          </a:p>
          <a:p>
            <a:pPr>
              <a:defRPr sz="1100" b="0" i="0" u="none" strike="noStrike" kern="1200" spc="0" baseline="0">
                <a:solidFill>
                  <a:schemeClr val="tx1">
                    <a:lumMod val="65000"/>
                    <a:lumOff val="35000"/>
                  </a:schemeClr>
                </a:solidFill>
                <a:latin typeface="+mn-lt"/>
                <a:ea typeface="+mn-ea"/>
                <a:cs typeface="+mn-cs"/>
              </a:defRPr>
            </a:pPr>
            <a:r>
              <a:rPr lang="es-MX" sz="1100" baseline="0">
                <a:latin typeface="Arial" panose="020B0604020202020204" pitchFamily="34" charset="0"/>
                <a:cs typeface="Arial" panose="020B0604020202020204" pitchFamily="34" charset="0"/>
              </a:rPr>
              <a:t>(cartera vencida / cartera total)</a:t>
            </a:r>
            <a:endParaRPr lang="es-MX" sz="1100">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'Balance General'!$BC$161:$BC$357</c:f>
              <c:numCache>
                <c:formatCode>mmm\-yy</c:formatCode>
                <c:ptCount val="197"/>
                <c:pt idx="0">
                  <c:v>37622</c:v>
                </c:pt>
                <c:pt idx="1">
                  <c:v>37653</c:v>
                </c:pt>
                <c:pt idx="2">
                  <c:v>37681</c:v>
                </c:pt>
                <c:pt idx="3">
                  <c:v>37712</c:v>
                </c:pt>
                <c:pt idx="4">
                  <c:v>37742</c:v>
                </c:pt>
                <c:pt idx="5">
                  <c:v>37773</c:v>
                </c:pt>
                <c:pt idx="6">
                  <c:v>37803</c:v>
                </c:pt>
                <c:pt idx="7">
                  <c:v>37834</c:v>
                </c:pt>
                <c:pt idx="8">
                  <c:v>37865</c:v>
                </c:pt>
                <c:pt idx="9">
                  <c:v>37895</c:v>
                </c:pt>
                <c:pt idx="10">
                  <c:v>37926</c:v>
                </c:pt>
                <c:pt idx="11">
                  <c:v>37956</c:v>
                </c:pt>
                <c:pt idx="12">
                  <c:v>37987</c:v>
                </c:pt>
                <c:pt idx="13">
                  <c:v>38018</c:v>
                </c:pt>
                <c:pt idx="14">
                  <c:v>38047</c:v>
                </c:pt>
                <c:pt idx="15">
                  <c:v>38078</c:v>
                </c:pt>
                <c:pt idx="16">
                  <c:v>38108</c:v>
                </c:pt>
                <c:pt idx="17">
                  <c:v>38139</c:v>
                </c:pt>
                <c:pt idx="18">
                  <c:v>38169</c:v>
                </c:pt>
                <c:pt idx="19">
                  <c:v>38200</c:v>
                </c:pt>
                <c:pt idx="20">
                  <c:v>38231</c:v>
                </c:pt>
                <c:pt idx="21">
                  <c:v>38261</c:v>
                </c:pt>
                <c:pt idx="22">
                  <c:v>38292</c:v>
                </c:pt>
                <c:pt idx="23">
                  <c:v>38322</c:v>
                </c:pt>
                <c:pt idx="24">
                  <c:v>38353</c:v>
                </c:pt>
                <c:pt idx="25">
                  <c:v>38384</c:v>
                </c:pt>
                <c:pt idx="26">
                  <c:v>38412</c:v>
                </c:pt>
                <c:pt idx="27">
                  <c:v>38443</c:v>
                </c:pt>
                <c:pt idx="28">
                  <c:v>38473</c:v>
                </c:pt>
                <c:pt idx="29">
                  <c:v>38504</c:v>
                </c:pt>
                <c:pt idx="30">
                  <c:v>38534</c:v>
                </c:pt>
                <c:pt idx="31">
                  <c:v>38565</c:v>
                </c:pt>
                <c:pt idx="32">
                  <c:v>38596</c:v>
                </c:pt>
                <c:pt idx="33">
                  <c:v>38626</c:v>
                </c:pt>
                <c:pt idx="34">
                  <c:v>38657</c:v>
                </c:pt>
                <c:pt idx="35">
                  <c:v>38687</c:v>
                </c:pt>
                <c:pt idx="36">
                  <c:v>38718</c:v>
                </c:pt>
                <c:pt idx="37">
                  <c:v>38749</c:v>
                </c:pt>
                <c:pt idx="38">
                  <c:v>38777</c:v>
                </c:pt>
                <c:pt idx="39">
                  <c:v>38808</c:v>
                </c:pt>
                <c:pt idx="40">
                  <c:v>38838</c:v>
                </c:pt>
                <c:pt idx="41">
                  <c:v>38869</c:v>
                </c:pt>
                <c:pt idx="42">
                  <c:v>38899</c:v>
                </c:pt>
                <c:pt idx="43">
                  <c:v>38930</c:v>
                </c:pt>
                <c:pt idx="44">
                  <c:v>38961</c:v>
                </c:pt>
                <c:pt idx="45">
                  <c:v>38991</c:v>
                </c:pt>
                <c:pt idx="46">
                  <c:v>39022</c:v>
                </c:pt>
                <c:pt idx="47">
                  <c:v>39052</c:v>
                </c:pt>
                <c:pt idx="48">
                  <c:v>39083</c:v>
                </c:pt>
                <c:pt idx="49">
                  <c:v>39114</c:v>
                </c:pt>
                <c:pt idx="50">
                  <c:v>39142</c:v>
                </c:pt>
                <c:pt idx="51">
                  <c:v>39173</c:v>
                </c:pt>
                <c:pt idx="52">
                  <c:v>39203</c:v>
                </c:pt>
                <c:pt idx="53">
                  <c:v>39234</c:v>
                </c:pt>
                <c:pt idx="54">
                  <c:v>39264</c:v>
                </c:pt>
                <c:pt idx="55">
                  <c:v>39295</c:v>
                </c:pt>
                <c:pt idx="56">
                  <c:v>39326</c:v>
                </c:pt>
                <c:pt idx="57">
                  <c:v>39356</c:v>
                </c:pt>
                <c:pt idx="58">
                  <c:v>39387</c:v>
                </c:pt>
                <c:pt idx="59">
                  <c:v>39417</c:v>
                </c:pt>
                <c:pt idx="60">
                  <c:v>39448</c:v>
                </c:pt>
                <c:pt idx="61">
                  <c:v>39479</c:v>
                </c:pt>
                <c:pt idx="62">
                  <c:v>39508</c:v>
                </c:pt>
                <c:pt idx="63">
                  <c:v>39539</c:v>
                </c:pt>
                <c:pt idx="64">
                  <c:v>39569</c:v>
                </c:pt>
                <c:pt idx="65">
                  <c:v>39600</c:v>
                </c:pt>
                <c:pt idx="66">
                  <c:v>39630</c:v>
                </c:pt>
                <c:pt idx="67">
                  <c:v>39661</c:v>
                </c:pt>
                <c:pt idx="68">
                  <c:v>39692</c:v>
                </c:pt>
                <c:pt idx="69">
                  <c:v>39722</c:v>
                </c:pt>
                <c:pt idx="70">
                  <c:v>39753</c:v>
                </c:pt>
                <c:pt idx="71">
                  <c:v>39783</c:v>
                </c:pt>
                <c:pt idx="72">
                  <c:v>39814</c:v>
                </c:pt>
                <c:pt idx="73">
                  <c:v>39845</c:v>
                </c:pt>
                <c:pt idx="74">
                  <c:v>39873</c:v>
                </c:pt>
                <c:pt idx="75">
                  <c:v>39904</c:v>
                </c:pt>
                <c:pt idx="76">
                  <c:v>39934</c:v>
                </c:pt>
                <c:pt idx="77">
                  <c:v>39965</c:v>
                </c:pt>
                <c:pt idx="78">
                  <c:v>39995</c:v>
                </c:pt>
                <c:pt idx="79">
                  <c:v>40026</c:v>
                </c:pt>
                <c:pt idx="80">
                  <c:v>40057</c:v>
                </c:pt>
                <c:pt idx="81">
                  <c:v>40087</c:v>
                </c:pt>
                <c:pt idx="82">
                  <c:v>40118</c:v>
                </c:pt>
                <c:pt idx="83">
                  <c:v>40148</c:v>
                </c:pt>
                <c:pt idx="84">
                  <c:v>40179</c:v>
                </c:pt>
                <c:pt idx="85">
                  <c:v>40210</c:v>
                </c:pt>
                <c:pt idx="86">
                  <c:v>40238</c:v>
                </c:pt>
                <c:pt idx="87">
                  <c:v>40269</c:v>
                </c:pt>
                <c:pt idx="88">
                  <c:v>40299</c:v>
                </c:pt>
                <c:pt idx="89">
                  <c:v>40330</c:v>
                </c:pt>
                <c:pt idx="90">
                  <c:v>40360</c:v>
                </c:pt>
                <c:pt idx="91">
                  <c:v>40391</c:v>
                </c:pt>
                <c:pt idx="92">
                  <c:v>40422</c:v>
                </c:pt>
                <c:pt idx="93">
                  <c:v>40452</c:v>
                </c:pt>
                <c:pt idx="94">
                  <c:v>40483</c:v>
                </c:pt>
                <c:pt idx="95">
                  <c:v>40513</c:v>
                </c:pt>
                <c:pt idx="96">
                  <c:v>40544</c:v>
                </c:pt>
                <c:pt idx="97">
                  <c:v>40575</c:v>
                </c:pt>
                <c:pt idx="98">
                  <c:v>40603</c:v>
                </c:pt>
                <c:pt idx="99">
                  <c:v>40634</c:v>
                </c:pt>
                <c:pt idx="100">
                  <c:v>40664</c:v>
                </c:pt>
                <c:pt idx="101">
                  <c:v>40695</c:v>
                </c:pt>
                <c:pt idx="102">
                  <c:v>40725</c:v>
                </c:pt>
                <c:pt idx="103">
                  <c:v>40756</c:v>
                </c:pt>
                <c:pt idx="104">
                  <c:v>40787</c:v>
                </c:pt>
                <c:pt idx="105">
                  <c:v>40817</c:v>
                </c:pt>
                <c:pt idx="106">
                  <c:v>40848</c:v>
                </c:pt>
                <c:pt idx="107">
                  <c:v>40878</c:v>
                </c:pt>
                <c:pt idx="108">
                  <c:v>40909</c:v>
                </c:pt>
                <c:pt idx="109">
                  <c:v>40940</c:v>
                </c:pt>
                <c:pt idx="110">
                  <c:v>40969</c:v>
                </c:pt>
                <c:pt idx="111">
                  <c:v>41000</c:v>
                </c:pt>
                <c:pt idx="112">
                  <c:v>41030</c:v>
                </c:pt>
                <c:pt idx="113">
                  <c:v>41061</c:v>
                </c:pt>
                <c:pt idx="114">
                  <c:v>41091</c:v>
                </c:pt>
                <c:pt idx="115">
                  <c:v>41122</c:v>
                </c:pt>
                <c:pt idx="116">
                  <c:v>41153</c:v>
                </c:pt>
                <c:pt idx="117">
                  <c:v>41183</c:v>
                </c:pt>
                <c:pt idx="118">
                  <c:v>41214</c:v>
                </c:pt>
                <c:pt idx="119">
                  <c:v>41244</c:v>
                </c:pt>
                <c:pt idx="120">
                  <c:v>41275</c:v>
                </c:pt>
                <c:pt idx="121">
                  <c:v>41306</c:v>
                </c:pt>
                <c:pt idx="122">
                  <c:v>41334</c:v>
                </c:pt>
                <c:pt idx="123">
                  <c:v>41365</c:v>
                </c:pt>
                <c:pt idx="124">
                  <c:v>41395</c:v>
                </c:pt>
                <c:pt idx="125">
                  <c:v>41426</c:v>
                </c:pt>
                <c:pt idx="126">
                  <c:v>41456</c:v>
                </c:pt>
                <c:pt idx="127">
                  <c:v>41487</c:v>
                </c:pt>
                <c:pt idx="128">
                  <c:v>41518</c:v>
                </c:pt>
                <c:pt idx="129">
                  <c:v>41548</c:v>
                </c:pt>
                <c:pt idx="130">
                  <c:v>41579</c:v>
                </c:pt>
                <c:pt idx="131">
                  <c:v>41609</c:v>
                </c:pt>
                <c:pt idx="132">
                  <c:v>41640</c:v>
                </c:pt>
                <c:pt idx="133">
                  <c:v>41671</c:v>
                </c:pt>
                <c:pt idx="134">
                  <c:v>41699</c:v>
                </c:pt>
                <c:pt idx="135">
                  <c:v>41730</c:v>
                </c:pt>
                <c:pt idx="136">
                  <c:v>41760</c:v>
                </c:pt>
                <c:pt idx="137">
                  <c:v>41791</c:v>
                </c:pt>
                <c:pt idx="138">
                  <c:v>41821</c:v>
                </c:pt>
                <c:pt idx="139">
                  <c:v>41852</c:v>
                </c:pt>
                <c:pt idx="140">
                  <c:v>41883</c:v>
                </c:pt>
                <c:pt idx="141">
                  <c:v>41913</c:v>
                </c:pt>
                <c:pt idx="142">
                  <c:v>41944</c:v>
                </c:pt>
                <c:pt idx="143">
                  <c:v>41974</c:v>
                </c:pt>
                <c:pt idx="144">
                  <c:v>42005</c:v>
                </c:pt>
                <c:pt idx="145">
                  <c:v>42036</c:v>
                </c:pt>
                <c:pt idx="146">
                  <c:v>42064</c:v>
                </c:pt>
                <c:pt idx="147">
                  <c:v>42095</c:v>
                </c:pt>
                <c:pt idx="148">
                  <c:v>42125</c:v>
                </c:pt>
                <c:pt idx="149">
                  <c:v>42156</c:v>
                </c:pt>
                <c:pt idx="150">
                  <c:v>42186</c:v>
                </c:pt>
                <c:pt idx="151">
                  <c:v>42217</c:v>
                </c:pt>
                <c:pt idx="152">
                  <c:v>42248</c:v>
                </c:pt>
                <c:pt idx="153">
                  <c:v>42278</c:v>
                </c:pt>
                <c:pt idx="154">
                  <c:v>42309</c:v>
                </c:pt>
                <c:pt idx="155">
                  <c:v>42339</c:v>
                </c:pt>
                <c:pt idx="156">
                  <c:v>42370</c:v>
                </c:pt>
                <c:pt idx="157">
                  <c:v>42401</c:v>
                </c:pt>
                <c:pt idx="158">
                  <c:v>42430</c:v>
                </c:pt>
                <c:pt idx="159">
                  <c:v>42461</c:v>
                </c:pt>
                <c:pt idx="160">
                  <c:v>42491</c:v>
                </c:pt>
                <c:pt idx="161">
                  <c:v>42522</c:v>
                </c:pt>
                <c:pt idx="162">
                  <c:v>42552</c:v>
                </c:pt>
                <c:pt idx="163">
                  <c:v>42583</c:v>
                </c:pt>
                <c:pt idx="164">
                  <c:v>42614</c:v>
                </c:pt>
                <c:pt idx="165">
                  <c:v>42644</c:v>
                </c:pt>
                <c:pt idx="166">
                  <c:v>42675</c:v>
                </c:pt>
                <c:pt idx="167">
                  <c:v>42705</c:v>
                </c:pt>
                <c:pt idx="168">
                  <c:v>42736</c:v>
                </c:pt>
                <c:pt idx="169">
                  <c:v>42767</c:v>
                </c:pt>
                <c:pt idx="170">
                  <c:v>42795</c:v>
                </c:pt>
                <c:pt idx="171">
                  <c:v>42826</c:v>
                </c:pt>
                <c:pt idx="172">
                  <c:v>42856</c:v>
                </c:pt>
                <c:pt idx="173">
                  <c:v>42887</c:v>
                </c:pt>
                <c:pt idx="174">
                  <c:v>42917</c:v>
                </c:pt>
                <c:pt idx="175">
                  <c:v>42948</c:v>
                </c:pt>
                <c:pt idx="176">
                  <c:v>42979</c:v>
                </c:pt>
                <c:pt idx="177">
                  <c:v>43009</c:v>
                </c:pt>
                <c:pt idx="178">
                  <c:v>43040</c:v>
                </c:pt>
                <c:pt idx="179">
                  <c:v>43070</c:v>
                </c:pt>
                <c:pt idx="180">
                  <c:v>43101</c:v>
                </c:pt>
                <c:pt idx="181">
                  <c:v>43132</c:v>
                </c:pt>
                <c:pt idx="182">
                  <c:v>43160</c:v>
                </c:pt>
                <c:pt idx="183">
                  <c:v>43191</c:v>
                </c:pt>
                <c:pt idx="184">
                  <c:v>43221</c:v>
                </c:pt>
                <c:pt idx="185">
                  <c:v>43252</c:v>
                </c:pt>
                <c:pt idx="186">
                  <c:v>43282</c:v>
                </c:pt>
                <c:pt idx="187">
                  <c:v>43313</c:v>
                </c:pt>
                <c:pt idx="188">
                  <c:v>43344</c:v>
                </c:pt>
                <c:pt idx="189">
                  <c:v>43374</c:v>
                </c:pt>
                <c:pt idx="190">
                  <c:v>43405</c:v>
                </c:pt>
                <c:pt idx="191">
                  <c:v>43435</c:v>
                </c:pt>
                <c:pt idx="192">
                  <c:v>43466</c:v>
                </c:pt>
                <c:pt idx="193">
                  <c:v>43497</c:v>
                </c:pt>
                <c:pt idx="194">
                  <c:v>43525</c:v>
                </c:pt>
                <c:pt idx="195">
                  <c:v>43556</c:v>
                </c:pt>
                <c:pt idx="196">
                  <c:v>43586</c:v>
                </c:pt>
              </c:numCache>
            </c:numRef>
          </c:cat>
          <c:val>
            <c:numRef>
              <c:f>'Balance General'!$BD$161:$BD$357</c:f>
              <c:numCache>
                <c:formatCode>0.00%</c:formatCode>
                <c:ptCount val="197"/>
                <c:pt idx="0">
                  <c:v>0.12527277114600949</c:v>
                </c:pt>
                <c:pt idx="1">
                  <c:v>0.12237555587149401</c:v>
                </c:pt>
                <c:pt idx="2">
                  <c:v>0.11930981938397696</c:v>
                </c:pt>
                <c:pt idx="3">
                  <c:v>0.13186223894979832</c:v>
                </c:pt>
                <c:pt idx="4">
                  <c:v>0.13308336038547669</c:v>
                </c:pt>
                <c:pt idx="5">
                  <c:v>0.13643227393427759</c:v>
                </c:pt>
                <c:pt idx="6">
                  <c:v>0.13405190243443896</c:v>
                </c:pt>
                <c:pt idx="7">
                  <c:v>0.12714184904741854</c:v>
                </c:pt>
                <c:pt idx="8">
                  <c:v>0.1104806301577263</c:v>
                </c:pt>
                <c:pt idx="9">
                  <c:v>0.10983283117369783</c:v>
                </c:pt>
                <c:pt idx="10">
                  <c:v>0.11179220666430065</c:v>
                </c:pt>
                <c:pt idx="11">
                  <c:v>9.6645286753459528E-2</c:v>
                </c:pt>
                <c:pt idx="12">
                  <c:v>0.11484034745008144</c:v>
                </c:pt>
                <c:pt idx="13">
                  <c:v>0.11174292185771412</c:v>
                </c:pt>
                <c:pt idx="14">
                  <c:v>9.8603134416873087E-2</c:v>
                </c:pt>
                <c:pt idx="15">
                  <c:v>0.10899336894989842</c:v>
                </c:pt>
                <c:pt idx="16">
                  <c:v>0.10534442954163736</c:v>
                </c:pt>
                <c:pt idx="17">
                  <c:v>9.5631226270689373E-2</c:v>
                </c:pt>
                <c:pt idx="18">
                  <c:v>9.5521576460165986E-2</c:v>
                </c:pt>
                <c:pt idx="19">
                  <c:v>9.2363088750771594E-2</c:v>
                </c:pt>
                <c:pt idx="20">
                  <c:v>8.7354440597669031E-2</c:v>
                </c:pt>
                <c:pt idx="21">
                  <c:v>8.3957759802860854E-2</c:v>
                </c:pt>
                <c:pt idx="22">
                  <c:v>8.1801935745328694E-2</c:v>
                </c:pt>
                <c:pt idx="23">
                  <c:v>6.9026687885510848E-2</c:v>
                </c:pt>
                <c:pt idx="24">
                  <c:v>7.1696953656375309E-2</c:v>
                </c:pt>
                <c:pt idx="25">
                  <c:v>7.2064389944915375E-2</c:v>
                </c:pt>
                <c:pt idx="26">
                  <c:v>6.7860901931706741E-2</c:v>
                </c:pt>
                <c:pt idx="27">
                  <c:v>7.1215843251954264E-2</c:v>
                </c:pt>
                <c:pt idx="28">
                  <c:v>6.8876767875849856E-2</c:v>
                </c:pt>
                <c:pt idx="29">
                  <c:v>6.3349114805771128E-2</c:v>
                </c:pt>
                <c:pt idx="30">
                  <c:v>6.6816731718698591E-2</c:v>
                </c:pt>
                <c:pt idx="31">
                  <c:v>6.7270124052644709E-2</c:v>
                </c:pt>
                <c:pt idx="32">
                  <c:v>6.4763553251141442E-2</c:v>
                </c:pt>
                <c:pt idx="33">
                  <c:v>6.7720780840890074E-2</c:v>
                </c:pt>
                <c:pt idx="34">
                  <c:v>7.002470869741792E-2</c:v>
                </c:pt>
                <c:pt idx="35">
                  <c:v>5.8992976378724027E-2</c:v>
                </c:pt>
                <c:pt idx="36">
                  <c:v>6.3627161333636467E-2</c:v>
                </c:pt>
                <c:pt idx="37">
                  <c:v>6.2937756734675332E-2</c:v>
                </c:pt>
                <c:pt idx="38">
                  <c:v>5.9410334509488599E-2</c:v>
                </c:pt>
                <c:pt idx="39">
                  <c:v>6.0284078175682675E-2</c:v>
                </c:pt>
                <c:pt idx="40">
                  <c:v>5.7620502319730267E-2</c:v>
                </c:pt>
                <c:pt idx="41">
                  <c:v>5.631535387111513E-2</c:v>
                </c:pt>
                <c:pt idx="42">
                  <c:v>5.8418839648100164E-2</c:v>
                </c:pt>
                <c:pt idx="43">
                  <c:v>5.5110266568859173E-2</c:v>
                </c:pt>
                <c:pt idx="44">
                  <c:v>5.2948503694439361E-2</c:v>
                </c:pt>
                <c:pt idx="45">
                  <c:v>5.4722045432414088E-2</c:v>
                </c:pt>
                <c:pt idx="46">
                  <c:v>5.1148484205140572E-2</c:v>
                </c:pt>
                <c:pt idx="47">
                  <c:v>4.1969009775907361E-2</c:v>
                </c:pt>
                <c:pt idx="48">
                  <c:v>4.4262161351847906E-2</c:v>
                </c:pt>
                <c:pt idx="49">
                  <c:v>4.4810379010707592E-2</c:v>
                </c:pt>
                <c:pt idx="50">
                  <c:v>4.1812688060836836E-2</c:v>
                </c:pt>
                <c:pt idx="51">
                  <c:v>4.3708501510104594E-2</c:v>
                </c:pt>
                <c:pt idx="52">
                  <c:v>4.4627558651494141E-2</c:v>
                </c:pt>
                <c:pt idx="53">
                  <c:v>4.1038211564622881E-2</c:v>
                </c:pt>
                <c:pt idx="54">
                  <c:v>4.1343132498424522E-2</c:v>
                </c:pt>
                <c:pt idx="55">
                  <c:v>4.0870661898430291E-2</c:v>
                </c:pt>
                <c:pt idx="56">
                  <c:v>4.0564058733979884E-2</c:v>
                </c:pt>
                <c:pt idx="57">
                  <c:v>4.1216579146195025E-2</c:v>
                </c:pt>
                <c:pt idx="58">
                  <c:v>4.0711770138505542E-2</c:v>
                </c:pt>
                <c:pt idx="59">
                  <c:v>3.2475556800692584E-2</c:v>
                </c:pt>
                <c:pt idx="60">
                  <c:v>3.5384743342515665E-2</c:v>
                </c:pt>
                <c:pt idx="61">
                  <c:v>3.417939088492928E-2</c:v>
                </c:pt>
                <c:pt idx="62">
                  <c:v>3.675308777609082E-2</c:v>
                </c:pt>
                <c:pt idx="63">
                  <c:v>3.9468091729803492E-2</c:v>
                </c:pt>
                <c:pt idx="64">
                  <c:v>4.1544743623436214E-2</c:v>
                </c:pt>
                <c:pt idx="65">
                  <c:v>3.7571140305935689E-2</c:v>
                </c:pt>
                <c:pt idx="66">
                  <c:v>4.1091538854535266E-2</c:v>
                </c:pt>
                <c:pt idx="67">
                  <c:v>4.3506512814209489E-2</c:v>
                </c:pt>
                <c:pt idx="68">
                  <c:v>4.379146001196553E-2</c:v>
                </c:pt>
                <c:pt idx="69">
                  <c:v>4.8022645664476116E-2</c:v>
                </c:pt>
                <c:pt idx="70">
                  <c:v>5.3346819196601857E-2</c:v>
                </c:pt>
                <c:pt idx="71">
                  <c:v>4.5996783337526943E-2</c:v>
                </c:pt>
                <c:pt idx="72">
                  <c:v>5.3897215202806541E-2</c:v>
                </c:pt>
                <c:pt idx="73">
                  <c:v>5.8663299167510168E-2</c:v>
                </c:pt>
                <c:pt idx="74">
                  <c:v>5.8676616196819888E-2</c:v>
                </c:pt>
                <c:pt idx="75">
                  <c:v>6.8037862322176748E-2</c:v>
                </c:pt>
                <c:pt idx="76">
                  <c:v>6.4859083292800587E-2</c:v>
                </c:pt>
                <c:pt idx="77">
                  <c:v>6.5249972857450114E-2</c:v>
                </c:pt>
                <c:pt idx="78">
                  <c:v>6.7906431387484048E-2</c:v>
                </c:pt>
                <c:pt idx="79">
                  <c:v>6.4149690746763799E-2</c:v>
                </c:pt>
                <c:pt idx="80">
                  <c:v>6.3705893435292496E-2</c:v>
                </c:pt>
                <c:pt idx="81">
                  <c:v>6.515909917156848E-2</c:v>
                </c:pt>
                <c:pt idx="82">
                  <c:v>6.3400667482082174E-2</c:v>
                </c:pt>
                <c:pt idx="83">
                  <c:v>5.0793799954844232E-2</c:v>
                </c:pt>
                <c:pt idx="84">
                  <c:v>5.268009815568981E-2</c:v>
                </c:pt>
                <c:pt idx="85">
                  <c:v>5.2921844232036226E-2</c:v>
                </c:pt>
                <c:pt idx="86">
                  <c:v>5.0907114998509119E-2</c:v>
                </c:pt>
                <c:pt idx="87">
                  <c:v>5.2890533814872673E-2</c:v>
                </c:pt>
                <c:pt idx="88">
                  <c:v>5.2225064326594482E-2</c:v>
                </c:pt>
                <c:pt idx="89">
                  <c:v>5.0994123629285237E-2</c:v>
                </c:pt>
                <c:pt idx="90">
                  <c:v>4.854597616740975E-2</c:v>
                </c:pt>
                <c:pt idx="91">
                  <c:v>5.0164455063215659E-2</c:v>
                </c:pt>
                <c:pt idx="92">
                  <c:v>5.131005644314806E-2</c:v>
                </c:pt>
                <c:pt idx="93">
                  <c:v>5.2056559607670728E-2</c:v>
                </c:pt>
                <c:pt idx="94">
                  <c:v>4.7569627481801602E-2</c:v>
                </c:pt>
                <c:pt idx="95">
                  <c:v>3.9847958598436213E-2</c:v>
                </c:pt>
                <c:pt idx="96">
                  <c:v>4.2398316120453985E-2</c:v>
                </c:pt>
                <c:pt idx="97">
                  <c:v>4.1308309587253796E-2</c:v>
                </c:pt>
                <c:pt idx="98">
                  <c:v>3.9932724231647551E-2</c:v>
                </c:pt>
                <c:pt idx="99">
                  <c:v>4.5186732558751982E-2</c:v>
                </c:pt>
                <c:pt idx="100">
                  <c:v>4.4181323811389235E-2</c:v>
                </c:pt>
                <c:pt idx="101">
                  <c:v>3.889127534732037E-2</c:v>
                </c:pt>
                <c:pt idx="102">
                  <c:v>4.1847415059165012E-2</c:v>
                </c:pt>
                <c:pt idx="103">
                  <c:v>4.1092175086997806E-2</c:v>
                </c:pt>
                <c:pt idx="104">
                  <c:v>4.0061464839332935E-2</c:v>
                </c:pt>
                <c:pt idx="105">
                  <c:v>4.0603828736861546E-2</c:v>
                </c:pt>
                <c:pt idx="106">
                  <c:v>3.9256923795998599E-2</c:v>
                </c:pt>
                <c:pt idx="107">
                  <c:v>3.3079747006977266E-2</c:v>
                </c:pt>
                <c:pt idx="108">
                  <c:v>3.3332308353940437E-2</c:v>
                </c:pt>
                <c:pt idx="109">
                  <c:v>3.1943960521808631E-2</c:v>
                </c:pt>
                <c:pt idx="110">
                  <c:v>3.3103189826355156E-2</c:v>
                </c:pt>
                <c:pt idx="111">
                  <c:v>3.3418923171849871E-2</c:v>
                </c:pt>
                <c:pt idx="112">
                  <c:v>3.3130733727229689E-2</c:v>
                </c:pt>
                <c:pt idx="113">
                  <c:v>3.0950469095142645E-2</c:v>
                </c:pt>
                <c:pt idx="114">
                  <c:v>2.9095097508937982E-2</c:v>
                </c:pt>
                <c:pt idx="115">
                  <c:v>2.813884697586291E-2</c:v>
                </c:pt>
                <c:pt idx="116">
                  <c:v>2.8737861760554931E-2</c:v>
                </c:pt>
                <c:pt idx="117">
                  <c:v>2.8205790467380611E-2</c:v>
                </c:pt>
                <c:pt idx="118">
                  <c:v>2.7439376002880808E-2</c:v>
                </c:pt>
                <c:pt idx="119">
                  <c:v>2.5370338228347711E-2</c:v>
                </c:pt>
                <c:pt idx="120">
                  <c:v>2.6428887676359179E-2</c:v>
                </c:pt>
                <c:pt idx="121">
                  <c:v>2.6956321448210002E-2</c:v>
                </c:pt>
                <c:pt idx="122">
                  <c:v>2.6471697720763687E-2</c:v>
                </c:pt>
                <c:pt idx="123">
                  <c:v>2.8515134279904306E-2</c:v>
                </c:pt>
                <c:pt idx="124">
                  <c:v>3.0528115071454157E-2</c:v>
                </c:pt>
                <c:pt idx="125">
                  <c:v>3.1090166139826833E-2</c:v>
                </c:pt>
                <c:pt idx="126">
                  <c:v>3.0843358962585474E-2</c:v>
                </c:pt>
                <c:pt idx="127">
                  <c:v>3.1582035726107266E-2</c:v>
                </c:pt>
                <c:pt idx="128">
                  <c:v>3.1646584126070257E-2</c:v>
                </c:pt>
                <c:pt idx="129">
                  <c:v>3.2928561806386661E-2</c:v>
                </c:pt>
                <c:pt idx="130">
                  <c:v>3.5182388215847793E-2</c:v>
                </c:pt>
                <c:pt idx="131">
                  <c:v>2.9482336164765886E-2</c:v>
                </c:pt>
                <c:pt idx="132">
                  <c:v>3.1454104525451457E-2</c:v>
                </c:pt>
                <c:pt idx="133">
                  <c:v>3.1532762093937461E-2</c:v>
                </c:pt>
                <c:pt idx="134">
                  <c:v>3.1738396647522427E-2</c:v>
                </c:pt>
                <c:pt idx="135">
                  <c:v>3.3124113169742675E-2</c:v>
                </c:pt>
                <c:pt idx="136">
                  <c:v>3.3594526884760029E-2</c:v>
                </c:pt>
                <c:pt idx="137">
                  <c:v>3.1056155383580322E-2</c:v>
                </c:pt>
                <c:pt idx="138">
                  <c:v>3.2344639624566261E-2</c:v>
                </c:pt>
                <c:pt idx="139">
                  <c:v>3.3364159576538759E-2</c:v>
                </c:pt>
                <c:pt idx="140">
                  <c:v>3.4019298394363046E-2</c:v>
                </c:pt>
                <c:pt idx="141">
                  <c:v>3.2811018782335478E-2</c:v>
                </c:pt>
                <c:pt idx="142">
                  <c:v>3.1569281990292804E-2</c:v>
                </c:pt>
                <c:pt idx="143">
                  <c:v>2.7415441931738636E-2</c:v>
                </c:pt>
                <c:pt idx="144">
                  <c:v>3.0376162300092911E-2</c:v>
                </c:pt>
                <c:pt idx="145">
                  <c:v>2.920221156046373E-2</c:v>
                </c:pt>
                <c:pt idx="146">
                  <c:v>2.8568245459528116E-2</c:v>
                </c:pt>
                <c:pt idx="147">
                  <c:v>2.9889330796846428E-2</c:v>
                </c:pt>
                <c:pt idx="148">
                  <c:v>3.0631500789836261E-2</c:v>
                </c:pt>
                <c:pt idx="149">
                  <c:v>2.8975078062280335E-2</c:v>
                </c:pt>
                <c:pt idx="150">
                  <c:v>2.9852103462310851E-2</c:v>
                </c:pt>
                <c:pt idx="151">
                  <c:v>3.2124032728853738E-2</c:v>
                </c:pt>
                <c:pt idx="152">
                  <c:v>3.1869795805984709E-2</c:v>
                </c:pt>
                <c:pt idx="153">
                  <c:v>3.0204427299582011E-2</c:v>
                </c:pt>
                <c:pt idx="154">
                  <c:v>3.1655955701003678E-2</c:v>
                </c:pt>
                <c:pt idx="155">
                  <c:v>2.6252692773164419E-2</c:v>
                </c:pt>
                <c:pt idx="156">
                  <c:v>2.7581526451441105E-2</c:v>
                </c:pt>
                <c:pt idx="157">
                  <c:v>2.9960287539095451E-2</c:v>
                </c:pt>
                <c:pt idx="158">
                  <c:v>3.4167040737797548E-2</c:v>
                </c:pt>
                <c:pt idx="159">
                  <c:v>3.4268305250098448E-2</c:v>
                </c:pt>
                <c:pt idx="160">
                  <c:v>3.4390462338743655E-2</c:v>
                </c:pt>
                <c:pt idx="161">
                  <c:v>3.2482912870732371E-2</c:v>
                </c:pt>
                <c:pt idx="162">
                  <c:v>3.2314498531143043E-2</c:v>
                </c:pt>
                <c:pt idx="163">
                  <c:v>3.1934826630851287E-2</c:v>
                </c:pt>
                <c:pt idx="164">
                  <c:v>3.1398766624834956E-2</c:v>
                </c:pt>
                <c:pt idx="165">
                  <c:v>2.9946415905868252E-2</c:v>
                </c:pt>
                <c:pt idx="166">
                  <c:v>3.041503410294431E-2</c:v>
                </c:pt>
                <c:pt idx="167">
                  <c:v>2.4423118201110115E-2</c:v>
                </c:pt>
                <c:pt idx="168">
                  <c:v>2.4246360705376415E-2</c:v>
                </c:pt>
                <c:pt idx="169">
                  <c:v>2.3197599290262876E-2</c:v>
                </c:pt>
                <c:pt idx="170">
                  <c:v>2.1707070345480053E-2</c:v>
                </c:pt>
                <c:pt idx="171">
                  <c:v>2.1653671705201313E-2</c:v>
                </c:pt>
                <c:pt idx="172">
                  <c:v>2.2516237010621051E-2</c:v>
                </c:pt>
                <c:pt idx="173">
                  <c:v>2.0828078874075704E-2</c:v>
                </c:pt>
                <c:pt idx="174">
                  <c:v>2.1458282965213279E-2</c:v>
                </c:pt>
                <c:pt idx="175">
                  <c:v>2.1202424777823775E-2</c:v>
                </c:pt>
                <c:pt idx="176">
                  <c:v>2.1381347922697986E-2</c:v>
                </c:pt>
                <c:pt idx="177">
                  <c:v>2.2113264957849071E-2</c:v>
                </c:pt>
                <c:pt idx="178">
                  <c:v>2.1932170329310961E-2</c:v>
                </c:pt>
                <c:pt idx="179">
                  <c:v>2.0145351274275917E-2</c:v>
                </c:pt>
                <c:pt idx="180">
                  <c:v>2.0591496231663734E-2</c:v>
                </c:pt>
                <c:pt idx="181">
                  <c:v>2.0107093788601257E-2</c:v>
                </c:pt>
                <c:pt idx="182">
                  <c:v>2.0161611867815649E-2</c:v>
                </c:pt>
                <c:pt idx="183">
                  <c:v>2.1054245542623796E-2</c:v>
                </c:pt>
                <c:pt idx="184">
                  <c:v>2.1466012792874009E-2</c:v>
                </c:pt>
                <c:pt idx="185">
                  <c:v>2.1137009398132674E-2</c:v>
                </c:pt>
                <c:pt idx="186">
                  <c:v>2.1328959158781483E-2</c:v>
                </c:pt>
                <c:pt idx="187">
                  <c:v>2.1724886995183313E-2</c:v>
                </c:pt>
                <c:pt idx="188">
                  <c:v>2.0683903440266889E-2</c:v>
                </c:pt>
                <c:pt idx="189">
                  <c:v>2.2110654248431817E-2</c:v>
                </c:pt>
                <c:pt idx="190">
                  <c:v>2.0955730174661031E-2</c:v>
                </c:pt>
                <c:pt idx="191">
                  <c:v>1.9462850824146026E-2</c:v>
                </c:pt>
                <c:pt idx="192">
                  <c:v>1.9873109709598234E-2</c:v>
                </c:pt>
                <c:pt idx="193">
                  <c:v>1.98674389207853E-2</c:v>
                </c:pt>
                <c:pt idx="194">
                  <c:v>2.0604709943906854E-2</c:v>
                </c:pt>
                <c:pt idx="195">
                  <c:v>2.1125059229865715E-2</c:v>
                </c:pt>
                <c:pt idx="196">
                  <c:v>2.2118732299184488E-2</c:v>
                </c:pt>
              </c:numCache>
            </c:numRef>
          </c:val>
          <c:smooth val="0"/>
          <c:extLst>
            <c:ext xmlns:c16="http://schemas.microsoft.com/office/drawing/2014/chart" uri="{C3380CC4-5D6E-409C-BE32-E72D297353CC}">
              <c16:uniqueId val="{00000000-2558-4F20-B8E6-D760BCA42639}"/>
            </c:ext>
          </c:extLst>
        </c:ser>
        <c:dLbls>
          <c:showLegendKey val="0"/>
          <c:showVal val="0"/>
          <c:showCatName val="0"/>
          <c:showSerName val="0"/>
          <c:showPercent val="0"/>
          <c:showBubbleSize val="0"/>
        </c:dLbls>
        <c:smooth val="0"/>
        <c:axId val="462626760"/>
        <c:axId val="462627152"/>
      </c:lineChart>
      <c:dateAx>
        <c:axId val="46262676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627152"/>
        <c:crosses val="autoZero"/>
        <c:auto val="1"/>
        <c:lblOffset val="100"/>
        <c:baseTimeUnit val="months"/>
      </c:dateAx>
      <c:valAx>
        <c:axId val="46262715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626760"/>
        <c:crosses val="autoZero"/>
        <c:crossBetween val="between"/>
      </c:valAx>
      <c:spPr>
        <a:noFill/>
        <a:ln w="25400">
          <a:noFill/>
        </a:ln>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MX" sz="1100" b="1">
                <a:latin typeface="Arial" panose="020B0604020202020204" pitchFamily="34" charset="0"/>
                <a:cs typeface="Arial" panose="020B0604020202020204" pitchFamily="34" charset="0"/>
              </a:rPr>
              <a:t>Tasa</a:t>
            </a:r>
            <a:r>
              <a:rPr lang="es-MX" sz="1100" b="1" baseline="0">
                <a:latin typeface="Arial" panose="020B0604020202020204" pitchFamily="34" charset="0"/>
                <a:cs typeface="Arial" panose="020B0604020202020204" pitchFamily="34" charset="0"/>
              </a:rPr>
              <a:t> de crecimiento del PIB y su volatilidad</a:t>
            </a:r>
          </a:p>
          <a:p>
            <a:pPr>
              <a:defRPr sz="1100"/>
            </a:pPr>
            <a:r>
              <a:rPr lang="es-MX" sz="1100" baseline="0">
                <a:latin typeface="Arial" panose="020B0604020202020204" pitchFamily="34" charset="0"/>
                <a:cs typeface="Arial" panose="020B0604020202020204" pitchFamily="34" charset="0"/>
              </a:rPr>
              <a:t>(porcentaje)</a:t>
            </a:r>
            <a:endParaRPr lang="es-MX"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Tasa de crecimiento del PIB real</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Hoja1!$B$49:$B$72</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Hoja1!$C$49:$C$72</c:f>
              <c:numCache>
                <c:formatCode>0.0</c:formatCode>
                <c:ptCount val="24"/>
                <c:pt idx="0">
                  <c:v>3.1399999999999997</c:v>
                </c:pt>
                <c:pt idx="1">
                  <c:v>4.18</c:v>
                </c:pt>
                <c:pt idx="2">
                  <c:v>3.88</c:v>
                </c:pt>
                <c:pt idx="3">
                  <c:v>3.3</c:v>
                </c:pt>
                <c:pt idx="4">
                  <c:v>3.12</c:v>
                </c:pt>
                <c:pt idx="5">
                  <c:v>3.34</c:v>
                </c:pt>
                <c:pt idx="6">
                  <c:v>3.5</c:v>
                </c:pt>
                <c:pt idx="7">
                  <c:v>3.34</c:v>
                </c:pt>
                <c:pt idx="8">
                  <c:v>3.5200000000000005</c:v>
                </c:pt>
                <c:pt idx="9">
                  <c:v>4.9000000000000004</c:v>
                </c:pt>
                <c:pt idx="10">
                  <c:v>4.6599999999999993</c:v>
                </c:pt>
                <c:pt idx="11">
                  <c:v>5.44</c:v>
                </c:pt>
                <c:pt idx="12">
                  <c:v>5.92</c:v>
                </c:pt>
                <c:pt idx="13">
                  <c:v>5.8599999999999994</c:v>
                </c:pt>
                <c:pt idx="14">
                  <c:v>4.1399999999999997</c:v>
                </c:pt>
                <c:pt idx="15">
                  <c:v>3.66</c:v>
                </c:pt>
                <c:pt idx="16">
                  <c:v>3.1</c:v>
                </c:pt>
                <c:pt idx="17">
                  <c:v>2.68</c:v>
                </c:pt>
                <c:pt idx="18">
                  <c:v>2.4</c:v>
                </c:pt>
                <c:pt idx="19">
                  <c:v>3.5</c:v>
                </c:pt>
                <c:pt idx="20">
                  <c:v>3.5199999999999996</c:v>
                </c:pt>
                <c:pt idx="21">
                  <c:v>3.54</c:v>
                </c:pt>
                <c:pt idx="22">
                  <c:v>3.6799999999999997</c:v>
                </c:pt>
                <c:pt idx="23">
                  <c:v>3.8600000000000003</c:v>
                </c:pt>
              </c:numCache>
            </c:numRef>
          </c:val>
          <c:extLst>
            <c:ext xmlns:c16="http://schemas.microsoft.com/office/drawing/2014/chart" uri="{C3380CC4-5D6E-409C-BE32-E72D297353CC}">
              <c16:uniqueId val="{00000000-5BFB-4A07-9C73-7A5B9F571CBE}"/>
            </c:ext>
          </c:extLst>
        </c:ser>
        <c:dLbls>
          <c:showLegendKey val="0"/>
          <c:showVal val="0"/>
          <c:showCatName val="0"/>
          <c:showSerName val="0"/>
          <c:showPercent val="0"/>
          <c:showBubbleSize val="0"/>
        </c:dLbls>
        <c:gapWidth val="50"/>
        <c:axId val="605381856"/>
        <c:axId val="605382248"/>
      </c:barChart>
      <c:lineChart>
        <c:grouping val="standard"/>
        <c:varyColors val="0"/>
        <c:ser>
          <c:idx val="1"/>
          <c:order val="1"/>
          <c:tx>
            <c:v>Desv. estándar en la tasa de crec</c:v>
          </c:tx>
          <c:spPr>
            <a:ln w="38100" cap="rnd">
              <a:solidFill>
                <a:srgbClr val="002060"/>
              </a:solidFill>
              <a:round/>
            </a:ln>
            <a:effectLst/>
          </c:spPr>
          <c:marker>
            <c:symbol val="none"/>
          </c:marker>
          <c:val>
            <c:numRef>
              <c:f>Hoja1!$D$49:$D$72</c:f>
              <c:numCache>
                <c:formatCode>General</c:formatCode>
                <c:ptCount val="24"/>
                <c:pt idx="0">
                  <c:v>4.4590357702086223</c:v>
                </c:pt>
                <c:pt idx="1">
                  <c:v>2.9235252692597</c:v>
                </c:pt>
                <c:pt idx="2">
                  <c:v>2.748999818115673</c:v>
                </c:pt>
                <c:pt idx="3">
                  <c:v>2.3323807579381204</c:v>
                </c:pt>
                <c:pt idx="4">
                  <c:v>2.6451843035977656</c:v>
                </c:pt>
                <c:pt idx="5">
                  <c:v>2.9888124732073771</c:v>
                </c:pt>
                <c:pt idx="6">
                  <c:v>2.9129023327259023</c:v>
                </c:pt>
                <c:pt idx="7">
                  <c:v>2.8588459209967927</c:v>
                </c:pt>
                <c:pt idx="8">
                  <c:v>2.9072323608545632</c:v>
                </c:pt>
                <c:pt idx="9">
                  <c:v>1.8479718612576337</c:v>
                </c:pt>
                <c:pt idx="10">
                  <c:v>1.5043270920913472</c:v>
                </c:pt>
                <c:pt idx="11">
                  <c:v>1.2177848742696675</c:v>
                </c:pt>
                <c:pt idx="12">
                  <c:v>0.81670067956382197</c:v>
                </c:pt>
                <c:pt idx="13">
                  <c:v>0.94762861923857988</c:v>
                </c:pt>
                <c:pt idx="14">
                  <c:v>3.7720021208901766</c:v>
                </c:pt>
                <c:pt idx="15">
                  <c:v>3.609432088293115</c:v>
                </c:pt>
                <c:pt idx="16">
                  <c:v>3.237282811247729</c:v>
                </c:pt>
                <c:pt idx="17">
                  <c:v>2.847279403219853</c:v>
                </c:pt>
                <c:pt idx="18">
                  <c:v>2.7267196408871959</c:v>
                </c:pt>
                <c:pt idx="19">
                  <c:v>0.53385391260156401</c:v>
                </c:pt>
                <c:pt idx="20">
                  <c:v>0.54497706373755073</c:v>
                </c:pt>
                <c:pt idx="21">
                  <c:v>0.55946402922797511</c:v>
                </c:pt>
                <c:pt idx="22">
                  <c:v>0.77910204723130005</c:v>
                </c:pt>
                <c:pt idx="23">
                  <c:v>0.61073725938409684</c:v>
                </c:pt>
              </c:numCache>
            </c:numRef>
          </c:val>
          <c:smooth val="1"/>
          <c:extLst>
            <c:ext xmlns:c16="http://schemas.microsoft.com/office/drawing/2014/chart" uri="{C3380CC4-5D6E-409C-BE32-E72D297353CC}">
              <c16:uniqueId val="{00000001-5BFB-4A07-9C73-7A5B9F571CBE}"/>
            </c:ext>
          </c:extLst>
        </c:ser>
        <c:dLbls>
          <c:showLegendKey val="0"/>
          <c:showVal val="0"/>
          <c:showCatName val="0"/>
          <c:showSerName val="0"/>
          <c:showPercent val="0"/>
          <c:showBubbleSize val="0"/>
        </c:dLbls>
        <c:marker val="1"/>
        <c:smooth val="0"/>
        <c:axId val="605381856"/>
        <c:axId val="605382248"/>
      </c:lineChart>
      <c:catAx>
        <c:axId val="60538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382248"/>
        <c:crosses val="autoZero"/>
        <c:auto val="1"/>
        <c:lblAlgn val="ctr"/>
        <c:lblOffset val="100"/>
        <c:noMultiLvlLbl val="0"/>
      </c:catAx>
      <c:valAx>
        <c:axId val="6053822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538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a:t>
            </a:r>
            <a:r>
              <a:rPr lang="es-MX" sz="1100" b="1" baseline="0">
                <a:latin typeface="Arial" panose="020B0604020202020204" pitchFamily="34" charset="0"/>
                <a:cs typeface="Arial" panose="020B0604020202020204" pitchFamily="34" charset="0"/>
              </a:rPr>
              <a:t> otorgado por tipo de entidad</a:t>
            </a:r>
          </a:p>
          <a:p>
            <a:pPr>
              <a:defRPr sz="1100">
                <a:latin typeface="Arial" panose="020B0604020202020204" pitchFamily="34" charset="0"/>
                <a:cs typeface="Arial" panose="020B0604020202020204" pitchFamily="34" charset="0"/>
              </a:defRPr>
            </a:pPr>
            <a:r>
              <a:rPr lang="es-MX" sz="1100" baseline="0">
                <a:latin typeface="Arial" panose="020B0604020202020204" pitchFamily="34" charset="0"/>
                <a:cs typeface="Arial" panose="020B0604020202020204" pitchFamily="34" charset="0"/>
              </a:rPr>
              <a:t>(millones de USD)</a:t>
            </a:r>
            <a:endParaRPr lang="es-MX"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Prestamos Sistema Financiero - Junio 2019.xlsx]Vigentes'!$E$114:$E$118</c:f>
              <c:strCache>
                <c:ptCount val="5"/>
                <c:pt idx="0">
                  <c:v>Bancos comerciales</c:v>
                </c:pt>
                <c:pt idx="1">
                  <c:v>Bancos estatales</c:v>
                </c:pt>
                <c:pt idx="2">
                  <c:v>Sociedades financeiras</c:v>
                </c:pt>
                <c:pt idx="3">
                  <c:v>OPDF</c:v>
                </c:pt>
                <c:pt idx="4">
                  <c:v>Oficinas de representación</c:v>
                </c:pt>
              </c:strCache>
            </c:strRef>
          </c:cat>
          <c:val>
            <c:numRef>
              <c:f>'[06. Prestamos Sistema Financiero - Junio 2019.xlsx]Vigentes'!$G$114:$G$118</c:f>
              <c:numCache>
                <c:formatCode>_-* #,##0_-;\-* #,##0_-;_-* "-"??_-;_-@_-</c:formatCode>
                <c:ptCount val="5"/>
                <c:pt idx="0">
                  <c:v>13603.488666697271</c:v>
                </c:pt>
                <c:pt idx="1">
                  <c:v>120.20182403254501</c:v>
                </c:pt>
                <c:pt idx="2">
                  <c:v>385.78191658220305</c:v>
                </c:pt>
                <c:pt idx="3">
                  <c:v>128.75801990362174</c:v>
                </c:pt>
                <c:pt idx="4">
                  <c:v>8.1840401010298844</c:v>
                </c:pt>
              </c:numCache>
            </c:numRef>
          </c:val>
          <c:extLst>
            <c:ext xmlns:c16="http://schemas.microsoft.com/office/drawing/2014/chart" uri="{C3380CC4-5D6E-409C-BE32-E72D297353CC}">
              <c16:uniqueId val="{00000000-A81D-4180-AA24-31A5CE2F2A2B}"/>
            </c:ext>
          </c:extLst>
        </c:ser>
        <c:dLbls>
          <c:showLegendKey val="0"/>
          <c:showVal val="0"/>
          <c:showCatName val="0"/>
          <c:showSerName val="0"/>
          <c:showPercent val="0"/>
          <c:showBubbleSize val="0"/>
        </c:dLbls>
        <c:gapWidth val="60"/>
        <c:overlap val="-27"/>
        <c:axId val="605381072"/>
        <c:axId val="605380680"/>
      </c:barChart>
      <c:catAx>
        <c:axId val="60538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380680"/>
        <c:crosses val="autoZero"/>
        <c:auto val="1"/>
        <c:lblAlgn val="ctr"/>
        <c:lblOffset val="100"/>
        <c:noMultiLvlLbl val="0"/>
      </c:catAx>
      <c:valAx>
        <c:axId val="605380680"/>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38107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 por entidad bancaria</a:t>
            </a:r>
          </a:p>
          <a:p>
            <a:pPr>
              <a:defRPr sz="1100">
                <a:latin typeface="Arial" panose="020B0604020202020204" pitchFamily="34" charset="0"/>
                <a:cs typeface="Arial" panose="020B0604020202020204" pitchFamily="34" charset="0"/>
              </a:defRPr>
            </a:pPr>
            <a:r>
              <a:rPr lang="es-MX" sz="1100">
                <a:latin typeface="Arial" panose="020B0604020202020204" pitchFamily="34" charset="0"/>
                <a:cs typeface="Arial" panose="020B0604020202020204" pitchFamily="34" charset="0"/>
              </a:rPr>
              <a:t>(millones de USD)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dLbls>
            <c:dLbl>
              <c:idx val="1"/>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AB-409F-BD32-C717497CE7A9}"/>
                </c:ext>
              </c:extLst>
            </c:dLbl>
            <c:dLbl>
              <c:idx val="4"/>
              <c:layout>
                <c:manualLayout>
                  <c:x val="0"/>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AB-409F-BD32-C717497CE7A9}"/>
                </c:ext>
              </c:extLst>
            </c:dLbl>
            <c:dLbl>
              <c:idx val="8"/>
              <c:layout>
                <c:manualLayout>
                  <c:x val="0"/>
                  <c:y val="6.9444444444444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AB-409F-BD32-C717497CE7A9}"/>
                </c:ext>
              </c:extLst>
            </c:dLbl>
            <c:dLbl>
              <c:idx val="9"/>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AB-409F-BD32-C717497CE7A9}"/>
                </c:ext>
              </c:extLst>
            </c:dLbl>
            <c:dLbl>
              <c:idx val="10"/>
              <c:layout>
                <c:manualLayout>
                  <c:x val="-1.0185067526415994E-16"/>
                  <c:y val="6.4814814814814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AB-409F-BD32-C717497CE7A9}"/>
                </c:ext>
              </c:extLst>
            </c:dLbl>
            <c:dLbl>
              <c:idx val="12"/>
              <c:layout>
                <c:manualLayout>
                  <c:x val="-2.7777157300903194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AB-409F-BD32-C717497CE7A9}"/>
                </c:ext>
              </c:extLst>
            </c:dLbl>
            <c:dLbl>
              <c:idx val="14"/>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AB-409F-BD32-C717497CE7A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Prestamos Sistema Financiero - Junio 2019.xlsx]Vigentes'!$P$113:$P$130</c:f>
              <c:strCache>
                <c:ptCount val="18"/>
                <c:pt idx="0">
                  <c:v>Atlántida</c:v>
                </c:pt>
                <c:pt idx="1">
                  <c:v>Ficohsa</c:v>
                </c:pt>
                <c:pt idx="2">
                  <c:v>Bac</c:v>
                </c:pt>
                <c:pt idx="3">
                  <c:v>Banpais</c:v>
                </c:pt>
                <c:pt idx="4">
                  <c:v>Occidente</c:v>
                </c:pt>
                <c:pt idx="5">
                  <c:v>Davivienda</c:v>
                </c:pt>
                <c:pt idx="6">
                  <c:v>Banrural</c:v>
                </c:pt>
                <c:pt idx="7">
                  <c:v>Lafise</c:v>
                </c:pt>
                <c:pt idx="8">
                  <c:v>Ficensa</c:v>
                </c:pt>
                <c:pt idx="9">
                  <c:v>Promerica</c:v>
                </c:pt>
                <c:pt idx="10">
                  <c:v>Trabajadores</c:v>
                </c:pt>
                <c:pt idx="11">
                  <c:v>Banadesa</c:v>
                </c:pt>
                <c:pt idx="12">
                  <c:v>Popular</c:v>
                </c:pt>
                <c:pt idx="13">
                  <c:v>Banhcafe</c:v>
                </c:pt>
                <c:pt idx="14">
                  <c:v>Azteca</c:v>
                </c:pt>
                <c:pt idx="15">
                  <c:v>Honduras</c:v>
                </c:pt>
                <c:pt idx="16">
                  <c:v>LAAD</c:v>
                </c:pt>
                <c:pt idx="17">
                  <c:v>BANHPROVI</c:v>
                </c:pt>
              </c:strCache>
            </c:strRef>
          </c:cat>
          <c:val>
            <c:numRef>
              <c:f>'[06. Prestamos Sistema Financiero - Junio 2019.xlsx]Vigentes'!$Q$113:$Q$130</c:f>
              <c:numCache>
                <c:formatCode>#,##0_);\(#,##0\)</c:formatCode>
                <c:ptCount val="18"/>
                <c:pt idx="0">
                  <c:v>2640.3134433820528</c:v>
                </c:pt>
                <c:pt idx="1">
                  <c:v>2629.4996928760875</c:v>
                </c:pt>
                <c:pt idx="2">
                  <c:v>1967.7865902344581</c:v>
                </c:pt>
                <c:pt idx="3">
                  <c:v>1578.3731295434884</c:v>
                </c:pt>
                <c:pt idx="4">
                  <c:v>1544.3832105085773</c:v>
                </c:pt>
                <c:pt idx="5">
                  <c:v>922.08326765289144</c:v>
                </c:pt>
                <c:pt idx="6">
                  <c:v>656.35936986200193</c:v>
                </c:pt>
                <c:pt idx="7">
                  <c:v>448.70571438614957</c:v>
                </c:pt>
                <c:pt idx="8">
                  <c:v>347.64166577184221</c:v>
                </c:pt>
                <c:pt idx="9">
                  <c:v>341.10800030765961</c:v>
                </c:pt>
                <c:pt idx="10">
                  <c:v>249.40781704083631</c:v>
                </c:pt>
                <c:pt idx="11">
                  <c:v>115.81782234898562</c:v>
                </c:pt>
                <c:pt idx="12">
                  <c:v>93.834113397476713</c:v>
                </c:pt>
                <c:pt idx="13">
                  <c:v>86.054179881750969</c:v>
                </c:pt>
                <c:pt idx="14">
                  <c:v>77.210313785519602</c:v>
                </c:pt>
                <c:pt idx="15">
                  <c:v>20.728158066477334</c:v>
                </c:pt>
                <c:pt idx="16">
                  <c:v>8.1840401010298844</c:v>
                </c:pt>
                <c:pt idx="17" formatCode="#,##0.0_);\(#,##0.0\)">
                  <c:v>4.3840016835593847</c:v>
                </c:pt>
              </c:numCache>
            </c:numRef>
          </c:val>
          <c:extLst>
            <c:ext xmlns:c16="http://schemas.microsoft.com/office/drawing/2014/chart" uri="{C3380CC4-5D6E-409C-BE32-E72D297353CC}">
              <c16:uniqueId val="{00000007-92AB-409F-BD32-C717497CE7A9}"/>
            </c:ext>
          </c:extLst>
        </c:ser>
        <c:dLbls>
          <c:showLegendKey val="0"/>
          <c:showVal val="0"/>
          <c:showCatName val="0"/>
          <c:showSerName val="0"/>
          <c:showPercent val="0"/>
          <c:showBubbleSize val="0"/>
        </c:dLbls>
        <c:gapWidth val="60"/>
        <c:overlap val="-27"/>
        <c:axId val="396651080"/>
        <c:axId val="396651472"/>
      </c:barChart>
      <c:catAx>
        <c:axId val="39665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651472"/>
        <c:crosses val="autoZero"/>
        <c:auto val="1"/>
        <c:lblAlgn val="ctr"/>
        <c:lblOffset val="100"/>
        <c:noMultiLvlLbl val="0"/>
      </c:catAx>
      <c:valAx>
        <c:axId val="396651472"/>
        <c:scaling>
          <c:orientation val="minMax"/>
        </c:scaling>
        <c:delete val="0"/>
        <c:axPos val="l"/>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651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Crédito</a:t>
            </a:r>
            <a:r>
              <a:rPr lang="es-MX" sz="1100" b="1" baseline="0">
                <a:latin typeface="Arial" panose="020B0604020202020204" pitchFamily="34" charset="0"/>
                <a:cs typeface="Arial" panose="020B0604020202020204" pitchFamily="34" charset="0"/>
              </a:rPr>
              <a:t> por entidad financiera</a:t>
            </a:r>
          </a:p>
          <a:p>
            <a:pPr>
              <a:defRPr sz="1100">
                <a:latin typeface="Arial" panose="020B0604020202020204" pitchFamily="34" charset="0"/>
                <a:cs typeface="Arial" panose="020B0604020202020204" pitchFamily="34" charset="0"/>
              </a:defRPr>
            </a:pPr>
            <a:r>
              <a:rPr lang="es-MX" sz="1100" baseline="0">
                <a:latin typeface="Arial" panose="020B0604020202020204" pitchFamily="34" charset="0"/>
                <a:cs typeface="Arial" panose="020B0604020202020204" pitchFamily="34" charset="0"/>
              </a:rPr>
              <a:t>(millones de USD)</a:t>
            </a:r>
            <a:endParaRPr lang="es-MX"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Prestamos Sistema Financiero - Junio 2019.xlsx]Vigentes'!$P$157:$P$171</c:f>
              <c:strCache>
                <c:ptCount val="15"/>
                <c:pt idx="0">
                  <c:v>Credi Q</c:v>
                </c:pt>
                <c:pt idx="1">
                  <c:v>Cofisa</c:v>
                </c:pt>
                <c:pt idx="2">
                  <c:v>Odef</c:v>
                </c:pt>
                <c:pt idx="3">
                  <c:v>Finsol</c:v>
                </c:pt>
                <c:pt idx="4">
                  <c:v>CREDISOL</c:v>
                </c:pt>
                <c:pt idx="5">
                  <c:v>FAMA</c:v>
                </c:pt>
                <c:pt idx="6">
                  <c:v>HDH -OPDF</c:v>
                </c:pt>
                <c:pt idx="7">
                  <c:v>Cofinter</c:v>
                </c:pt>
                <c:pt idx="8">
                  <c:v>Finca</c:v>
                </c:pt>
                <c:pt idx="9">
                  <c:v>FUNED</c:v>
                </c:pt>
                <c:pt idx="10">
                  <c:v>PILARH, OPDF</c:v>
                </c:pt>
                <c:pt idx="11">
                  <c:v>Leasing Atlántida</c:v>
                </c:pt>
                <c:pt idx="12">
                  <c:v>Codimersa</c:v>
                </c:pt>
                <c:pt idx="13">
                  <c:v>Finisa</c:v>
                </c:pt>
                <c:pt idx="14">
                  <c:v>Ceibeña</c:v>
                </c:pt>
              </c:strCache>
            </c:strRef>
          </c:cat>
          <c:val>
            <c:numRef>
              <c:f>'[06. Prestamos Sistema Financiero - Junio 2019.xlsx]Vigentes'!$Q$157:$Q$171</c:f>
              <c:numCache>
                <c:formatCode>#,##0_);\(#,##0\)</c:formatCode>
                <c:ptCount val="15"/>
                <c:pt idx="0">
                  <c:v>129.59150881808091</c:v>
                </c:pt>
                <c:pt idx="1">
                  <c:v>82.082742567611675</c:v>
                </c:pt>
                <c:pt idx="2">
                  <c:v>59.43159342652892</c:v>
                </c:pt>
                <c:pt idx="3">
                  <c:v>36.145224243908018</c:v>
                </c:pt>
                <c:pt idx="4">
                  <c:v>31.876853330803506</c:v>
                </c:pt>
                <c:pt idx="5">
                  <c:v>30.13050773433547</c:v>
                </c:pt>
                <c:pt idx="6">
                  <c:v>30.028642108162369</c:v>
                </c:pt>
                <c:pt idx="7">
                  <c:v>28.751291825392943</c:v>
                </c:pt>
                <c:pt idx="8">
                  <c:v>23.950152120974714</c:v>
                </c:pt>
                <c:pt idx="9">
                  <c:v>23.253061747376329</c:v>
                </c:pt>
                <c:pt idx="10">
                  <c:v>13.468954982944064</c:v>
                </c:pt>
                <c:pt idx="11">
                  <c:v>11.764231156865627</c:v>
                </c:pt>
                <c:pt idx="12">
                  <c:v>11.376765231193589</c:v>
                </c:pt>
                <c:pt idx="13">
                  <c:v>2.6884071916466734</c:v>
                </c:pt>
                <c:pt idx="14">
                  <c:v>0</c:v>
                </c:pt>
              </c:numCache>
            </c:numRef>
          </c:val>
          <c:extLst>
            <c:ext xmlns:c16="http://schemas.microsoft.com/office/drawing/2014/chart" uri="{C3380CC4-5D6E-409C-BE32-E72D297353CC}">
              <c16:uniqueId val="{00000000-D36B-471E-AEE3-AA5C5E08C0A8}"/>
            </c:ext>
          </c:extLst>
        </c:ser>
        <c:dLbls>
          <c:showLegendKey val="0"/>
          <c:showVal val="0"/>
          <c:showCatName val="0"/>
          <c:showSerName val="0"/>
          <c:showPercent val="0"/>
          <c:showBubbleSize val="0"/>
        </c:dLbls>
        <c:gapWidth val="60"/>
        <c:overlap val="-27"/>
        <c:axId val="396652256"/>
        <c:axId val="392282184"/>
      </c:barChart>
      <c:catAx>
        <c:axId val="3966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82184"/>
        <c:crosses val="autoZero"/>
        <c:auto val="1"/>
        <c:lblAlgn val="ctr"/>
        <c:lblOffset val="100"/>
        <c:noMultiLvlLbl val="0"/>
      </c:catAx>
      <c:valAx>
        <c:axId val="392282184"/>
        <c:scaling>
          <c:orientation val="minMax"/>
        </c:scaling>
        <c:delete val="0"/>
        <c:axPos val="l"/>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652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Cartera de crédito</a:t>
            </a:r>
            <a:r>
              <a:rPr lang="es-MX" sz="1100" b="1" baseline="0">
                <a:latin typeface="Arial" panose="020B0604020202020204" pitchFamily="34" charset="0"/>
                <a:cs typeface="Arial" panose="020B0604020202020204" pitchFamily="34" charset="0"/>
              </a:rPr>
              <a:t> por Departamento</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413575889220746"/>
          <c:y val="0.23615157809888743"/>
          <c:w val="0.74323171327721971"/>
          <c:h val="0.42759578365552886"/>
        </c:manualLayout>
      </c:layout>
      <c:barChart>
        <c:barDir val="col"/>
        <c:grouping val="clustered"/>
        <c:varyColors val="0"/>
        <c:ser>
          <c:idx val="0"/>
          <c:order val="0"/>
          <c:tx>
            <c:v>Cartera de crédito</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Prestamos Sistema Financiero - Junio 2019.xlsx]Distribución Geográfica'!$F$57:$F$74</c:f>
              <c:strCache>
                <c:ptCount val="18"/>
                <c:pt idx="0">
                  <c:v>Fco Morazán</c:v>
                </c:pt>
                <c:pt idx="1">
                  <c:v>Cortés</c:v>
                </c:pt>
                <c:pt idx="2">
                  <c:v>Intibucá</c:v>
                </c:pt>
                <c:pt idx="3">
                  <c:v>Atlántida</c:v>
                </c:pt>
                <c:pt idx="4">
                  <c:v>Copán</c:v>
                </c:pt>
                <c:pt idx="5">
                  <c:v>Choluteca</c:v>
                </c:pt>
                <c:pt idx="6">
                  <c:v>Comayagua</c:v>
                </c:pt>
                <c:pt idx="7">
                  <c:v>Olancho</c:v>
                </c:pt>
                <c:pt idx="8">
                  <c:v>Colón</c:v>
                </c:pt>
                <c:pt idx="9">
                  <c:v>Yoro</c:v>
                </c:pt>
                <c:pt idx="10">
                  <c:v>El Paraíso</c:v>
                </c:pt>
                <c:pt idx="11">
                  <c:v>Santa Bárbara</c:v>
                </c:pt>
                <c:pt idx="12">
                  <c:v>Ocotepeque</c:v>
                </c:pt>
                <c:pt idx="13">
                  <c:v>Valle</c:v>
                </c:pt>
                <c:pt idx="14">
                  <c:v>Islas de la Bahía</c:v>
                </c:pt>
                <c:pt idx="15">
                  <c:v>La Paz</c:v>
                </c:pt>
                <c:pt idx="16">
                  <c:v>Lempira</c:v>
                </c:pt>
                <c:pt idx="17">
                  <c:v>Gracias a Dios</c:v>
                </c:pt>
              </c:strCache>
            </c:strRef>
          </c:cat>
          <c:val>
            <c:numRef>
              <c:f>'[06. Prestamos Sistema Financiero - Junio 2019.xlsx]Distribución Geográfica'!$H$57:$H$74</c:f>
              <c:numCache>
                <c:formatCode>_-* #,##0_-;\-* #,##0_-;_-* "-"??_-;_-@_-</c:formatCode>
                <c:ptCount val="18"/>
                <c:pt idx="0">
                  <c:v>7403.4842051420783</c:v>
                </c:pt>
                <c:pt idx="1">
                  <c:v>4566.3053400471699</c:v>
                </c:pt>
                <c:pt idx="2">
                  <c:v>728.40128120827842</c:v>
                </c:pt>
                <c:pt idx="3">
                  <c:v>510.5107940296071</c:v>
                </c:pt>
                <c:pt idx="4">
                  <c:v>334.82696864850089</c:v>
                </c:pt>
                <c:pt idx="5">
                  <c:v>221.00576314082159</c:v>
                </c:pt>
                <c:pt idx="6">
                  <c:v>134.91614407408312</c:v>
                </c:pt>
                <c:pt idx="7">
                  <c:v>91.760680845125606</c:v>
                </c:pt>
                <c:pt idx="8">
                  <c:v>36.307243713378703</c:v>
                </c:pt>
                <c:pt idx="9">
                  <c:v>33.875536636390343</c:v>
                </c:pt>
                <c:pt idx="10">
                  <c:v>29.238791353702528</c:v>
                </c:pt>
                <c:pt idx="11">
                  <c:v>10.20179352813005</c:v>
                </c:pt>
                <c:pt idx="12">
                  <c:v>5.9981489415528237</c:v>
                </c:pt>
                <c:pt idx="13">
                  <c:v>3.4124595227602867</c:v>
                </c:pt>
                <c:pt idx="14">
                  <c:v>2.688407191646673</c:v>
                </c:pt>
                <c:pt idx="15">
                  <c:v>2.4571125283585498</c:v>
                </c:pt>
                <c:pt idx="16">
                  <c:v>2.2657768610553459</c:v>
                </c:pt>
                <c:pt idx="17">
                  <c:v>0</c:v>
                </c:pt>
              </c:numCache>
            </c:numRef>
          </c:val>
          <c:extLst>
            <c:ext xmlns:c16="http://schemas.microsoft.com/office/drawing/2014/chart" uri="{C3380CC4-5D6E-409C-BE32-E72D297353CC}">
              <c16:uniqueId val="{00000000-DCD8-4CF9-ACB3-00CC7AAB251F}"/>
            </c:ext>
          </c:extLst>
        </c:ser>
        <c:dLbls>
          <c:showLegendKey val="0"/>
          <c:showVal val="0"/>
          <c:showCatName val="0"/>
          <c:showSerName val="0"/>
          <c:showPercent val="0"/>
          <c:showBubbleSize val="0"/>
        </c:dLbls>
        <c:gapWidth val="60"/>
        <c:overlap val="-27"/>
        <c:axId val="392282968"/>
        <c:axId val="392283360"/>
      </c:barChart>
      <c:lineChart>
        <c:grouping val="standard"/>
        <c:varyColors val="0"/>
        <c:ser>
          <c:idx val="1"/>
          <c:order val="1"/>
          <c:tx>
            <c:v>Población</c:v>
          </c:tx>
          <c:spPr>
            <a:ln w="38100" cap="rnd">
              <a:solidFill>
                <a:srgbClr val="002060"/>
              </a:solidFill>
              <a:round/>
            </a:ln>
            <a:effectLst/>
          </c:spPr>
          <c:marker>
            <c:symbol val="none"/>
          </c:marker>
          <c:val>
            <c:numRef>
              <c:f>'[06. Prestamos Sistema Financiero - Junio 2019.xlsx]Distribución Geográfica'!$J$57:$J$74</c:f>
              <c:numCache>
                <c:formatCode>_-* #,##0_-;\-* #,##0_-;_-* "-"??_-;_-@_-</c:formatCode>
                <c:ptCount val="18"/>
                <c:pt idx="0">
                  <c:v>1625663</c:v>
                </c:pt>
                <c:pt idx="1">
                  <c:v>1718881</c:v>
                </c:pt>
                <c:pt idx="2">
                  <c:v>255658</c:v>
                </c:pt>
                <c:pt idx="3">
                  <c:v>471575</c:v>
                </c:pt>
                <c:pt idx="4">
                  <c:v>400947</c:v>
                </c:pt>
                <c:pt idx="5">
                  <c:v>464372</c:v>
                </c:pt>
                <c:pt idx="6">
                  <c:v>541711</c:v>
                </c:pt>
                <c:pt idx="7">
                  <c:v>562626</c:v>
                </c:pt>
                <c:pt idx="8">
                  <c:v>335233</c:v>
                </c:pt>
                <c:pt idx="9">
                  <c:v>613473</c:v>
                </c:pt>
                <c:pt idx="10">
                  <c:v>480700</c:v>
                </c:pt>
                <c:pt idx="11">
                  <c:v>455891</c:v>
                </c:pt>
                <c:pt idx="12">
                  <c:v>159816</c:v>
                </c:pt>
                <c:pt idx="13">
                  <c:v>185227</c:v>
                </c:pt>
                <c:pt idx="14">
                  <c:v>71296</c:v>
                </c:pt>
                <c:pt idx="15">
                  <c:v>217204</c:v>
                </c:pt>
                <c:pt idx="16">
                  <c:v>351652</c:v>
                </c:pt>
                <c:pt idx="17">
                  <c:v>100304</c:v>
                </c:pt>
              </c:numCache>
            </c:numRef>
          </c:val>
          <c:smooth val="1"/>
          <c:extLst>
            <c:ext xmlns:c16="http://schemas.microsoft.com/office/drawing/2014/chart" uri="{C3380CC4-5D6E-409C-BE32-E72D297353CC}">
              <c16:uniqueId val="{00000001-DCD8-4CF9-ACB3-00CC7AAB251F}"/>
            </c:ext>
          </c:extLst>
        </c:ser>
        <c:dLbls>
          <c:showLegendKey val="0"/>
          <c:showVal val="0"/>
          <c:showCatName val="0"/>
          <c:showSerName val="0"/>
          <c:showPercent val="0"/>
          <c:showBubbleSize val="0"/>
        </c:dLbls>
        <c:marker val="1"/>
        <c:smooth val="0"/>
        <c:axId val="610272016"/>
        <c:axId val="392283752"/>
      </c:lineChart>
      <c:catAx>
        <c:axId val="39228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83360"/>
        <c:crosses val="autoZero"/>
        <c:auto val="1"/>
        <c:lblAlgn val="ctr"/>
        <c:lblOffset val="100"/>
        <c:noMultiLvlLbl val="0"/>
      </c:catAx>
      <c:valAx>
        <c:axId val="392283360"/>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Mill</a:t>
                </a:r>
                <a:r>
                  <a:rPr lang="es-MX" baseline="0"/>
                  <a:t> de USD</a:t>
                </a:r>
                <a:endParaRPr lang="es-MX"/>
              </a:p>
            </c:rich>
          </c:tx>
          <c:layout>
            <c:manualLayout>
              <c:xMode val="edge"/>
              <c:yMode val="edge"/>
              <c:x val="0"/>
              <c:y val="0.1151206888453537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82968"/>
        <c:crosses val="autoZero"/>
        <c:crossBetween val="between"/>
      </c:valAx>
      <c:valAx>
        <c:axId val="392283752"/>
        <c:scaling>
          <c:orientation val="minMax"/>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población</a:t>
                </a:r>
              </a:p>
            </c:rich>
          </c:tx>
          <c:layout>
            <c:manualLayout>
              <c:xMode val="edge"/>
              <c:yMode val="edge"/>
              <c:x val="0.86227597067607942"/>
              <c:y val="0.10549952045672521"/>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72016"/>
        <c:crosses val="max"/>
        <c:crossBetween val="between"/>
        <c:majorUnit val="400000"/>
      </c:valAx>
      <c:catAx>
        <c:axId val="610272016"/>
        <c:scaling>
          <c:orientation val="minMax"/>
        </c:scaling>
        <c:delete val="1"/>
        <c:axPos val="b"/>
        <c:majorTickMark val="out"/>
        <c:minorTickMark val="none"/>
        <c:tickLblPos val="nextTo"/>
        <c:crossAx val="3922837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100" b="1">
                <a:latin typeface="Arial" panose="020B0604020202020204" pitchFamily="34" charset="0"/>
                <a:cs typeface="Arial" panose="020B0604020202020204" pitchFamily="34" charset="0"/>
              </a:rPr>
              <a:t>Cartera</a:t>
            </a:r>
            <a:r>
              <a:rPr lang="es-MX" sz="1100" b="1" baseline="0">
                <a:latin typeface="Arial" panose="020B0604020202020204" pitchFamily="34" charset="0"/>
                <a:cs typeface="Arial" panose="020B0604020202020204" pitchFamily="34" charset="0"/>
              </a:rPr>
              <a:t> de crédito a nivel de Departamento</a:t>
            </a:r>
          </a:p>
          <a:p>
            <a:pPr>
              <a:defRPr sz="1100">
                <a:latin typeface="Arial" panose="020B0604020202020204" pitchFamily="34" charset="0"/>
                <a:cs typeface="Arial" panose="020B0604020202020204" pitchFamily="34" charset="0"/>
              </a:defRPr>
            </a:pPr>
            <a:r>
              <a:rPr lang="es-MX" sz="1100" baseline="0">
                <a:latin typeface="Arial" panose="020B0604020202020204" pitchFamily="34" charset="0"/>
                <a:cs typeface="Arial" panose="020B0604020202020204" pitchFamily="34" charset="0"/>
              </a:rPr>
              <a:t>(datos en USD)</a:t>
            </a:r>
            <a:endParaRPr lang="es-MX" sz="11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945625546806649"/>
          <c:y val="0.23953703703703705"/>
          <c:w val="0.85998818897637797"/>
          <c:h val="0.46000692621755612"/>
        </c:manualLayout>
      </c:layout>
      <c:barChart>
        <c:barDir val="col"/>
        <c:grouping val="clustered"/>
        <c:varyColors val="0"/>
        <c:ser>
          <c:idx val="0"/>
          <c:order val="0"/>
          <c:tx>
            <c:v>Cartera de Cdo por Habitante</c:v>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Prestamos Sistema Financiero - Junio 2019.xlsx]Distribución Geográfica'!$F$57:$F$74</c:f>
              <c:strCache>
                <c:ptCount val="18"/>
                <c:pt idx="0">
                  <c:v>Fco Morazán</c:v>
                </c:pt>
                <c:pt idx="1">
                  <c:v>Cortés</c:v>
                </c:pt>
                <c:pt idx="2">
                  <c:v>Intibucá</c:v>
                </c:pt>
                <c:pt idx="3">
                  <c:v>Atlántida</c:v>
                </c:pt>
                <c:pt idx="4">
                  <c:v>Copán</c:v>
                </c:pt>
                <c:pt idx="5">
                  <c:v>Choluteca</c:v>
                </c:pt>
                <c:pt idx="6">
                  <c:v>Comayagua</c:v>
                </c:pt>
                <c:pt idx="7">
                  <c:v>Olancho</c:v>
                </c:pt>
                <c:pt idx="8">
                  <c:v>Colón</c:v>
                </c:pt>
                <c:pt idx="9">
                  <c:v>Yoro</c:v>
                </c:pt>
                <c:pt idx="10">
                  <c:v>El Paraíso</c:v>
                </c:pt>
                <c:pt idx="11">
                  <c:v>Santa Bárbara</c:v>
                </c:pt>
                <c:pt idx="12">
                  <c:v>Ocotepeque</c:v>
                </c:pt>
                <c:pt idx="13">
                  <c:v>Valle</c:v>
                </c:pt>
                <c:pt idx="14">
                  <c:v>Islas de la Bahía</c:v>
                </c:pt>
                <c:pt idx="15">
                  <c:v>La Paz</c:v>
                </c:pt>
                <c:pt idx="16">
                  <c:v>Lempira</c:v>
                </c:pt>
                <c:pt idx="17">
                  <c:v>Gracias a Dios</c:v>
                </c:pt>
              </c:strCache>
            </c:strRef>
          </c:cat>
          <c:val>
            <c:numRef>
              <c:f>'[06. Prestamos Sistema Financiero - Junio 2019.xlsx]Distribución Geográfica'!$L$57:$L$74</c:f>
              <c:numCache>
                <c:formatCode>_-* #,##0_-;\-* #,##0_-;_-* "-"??_-;_-@_-</c:formatCode>
                <c:ptCount val="18"/>
                <c:pt idx="0">
                  <c:v>4554.1321941522192</c:v>
                </c:pt>
                <c:pt idx="1">
                  <c:v>2656.5569926290241</c:v>
                </c:pt>
                <c:pt idx="2">
                  <c:v>2849.1237559876022</c:v>
                </c:pt>
                <c:pt idx="3">
                  <c:v>1082.5654329207593</c:v>
                </c:pt>
                <c:pt idx="4">
                  <c:v>835.09034522892284</c:v>
                </c:pt>
                <c:pt idx="5">
                  <c:v>475.92396428040792</c:v>
                </c:pt>
                <c:pt idx="6">
                  <c:v>249.05557404978506</c:v>
                </c:pt>
                <c:pt idx="7">
                  <c:v>163.09356632136729</c:v>
                </c:pt>
                <c:pt idx="8">
                  <c:v>108.30450377313304</c:v>
                </c:pt>
                <c:pt idx="9">
                  <c:v>55.219278821383085</c:v>
                </c:pt>
                <c:pt idx="10">
                  <c:v>60.825444879763943</c:v>
                </c:pt>
                <c:pt idx="11">
                  <c:v>22.377703284622971</c:v>
                </c:pt>
                <c:pt idx="12">
                  <c:v>37.531592215753264</c:v>
                </c:pt>
                <c:pt idx="13">
                  <c:v>18.423121482074897</c:v>
                </c:pt>
                <c:pt idx="14">
                  <c:v>37.707686148545122</c:v>
                </c:pt>
                <c:pt idx="15">
                  <c:v>11.312464449819293</c:v>
                </c:pt>
                <c:pt idx="16">
                  <c:v>6.4432361000516014</c:v>
                </c:pt>
                <c:pt idx="17">
                  <c:v>0</c:v>
                </c:pt>
              </c:numCache>
            </c:numRef>
          </c:val>
          <c:extLst>
            <c:ext xmlns:c16="http://schemas.microsoft.com/office/drawing/2014/chart" uri="{C3380CC4-5D6E-409C-BE32-E72D297353CC}">
              <c16:uniqueId val="{00000000-D40E-488E-A39B-EAF8AD9A8628}"/>
            </c:ext>
          </c:extLst>
        </c:ser>
        <c:dLbls>
          <c:showLegendKey val="0"/>
          <c:showVal val="0"/>
          <c:showCatName val="0"/>
          <c:showSerName val="0"/>
          <c:showPercent val="0"/>
          <c:showBubbleSize val="0"/>
        </c:dLbls>
        <c:gapWidth val="50"/>
        <c:overlap val="-27"/>
        <c:axId val="610272800"/>
        <c:axId val="610273192"/>
      </c:barChart>
      <c:lineChart>
        <c:grouping val="standard"/>
        <c:varyColors val="0"/>
        <c:ser>
          <c:idx val="1"/>
          <c:order val="1"/>
          <c:tx>
            <c:v>Promedio nacional</c:v>
          </c:tx>
          <c:spPr>
            <a:ln w="38100" cap="rnd">
              <a:solidFill>
                <a:srgbClr val="002060"/>
              </a:solidFill>
              <a:round/>
            </a:ln>
            <a:effectLst/>
          </c:spPr>
          <c:marker>
            <c:symbol val="none"/>
          </c:marker>
          <c:dLbls>
            <c:dLbl>
              <c:idx val="16"/>
              <c:layout>
                <c:manualLayout>
                  <c:x val="-6.1111111111111213E-2"/>
                  <c:y val="-4.1666666666666755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0E-488E-A39B-EAF8AD9A86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 Prestamos Sistema Financiero - Junio 2019.xlsx]Distribución Geográfica'!$F$57:$F$74</c:f>
              <c:strCache>
                <c:ptCount val="18"/>
                <c:pt idx="0">
                  <c:v>Fco Morazán</c:v>
                </c:pt>
                <c:pt idx="1">
                  <c:v>Cortés</c:v>
                </c:pt>
                <c:pt idx="2">
                  <c:v>Intibucá</c:v>
                </c:pt>
                <c:pt idx="3">
                  <c:v>Atlántida</c:v>
                </c:pt>
                <c:pt idx="4">
                  <c:v>Copán</c:v>
                </c:pt>
                <c:pt idx="5">
                  <c:v>Choluteca</c:v>
                </c:pt>
                <c:pt idx="6">
                  <c:v>Comayagua</c:v>
                </c:pt>
                <c:pt idx="7">
                  <c:v>Olancho</c:v>
                </c:pt>
                <c:pt idx="8">
                  <c:v>Colón</c:v>
                </c:pt>
                <c:pt idx="9">
                  <c:v>Yoro</c:v>
                </c:pt>
                <c:pt idx="10">
                  <c:v>El Paraíso</c:v>
                </c:pt>
                <c:pt idx="11">
                  <c:v>Santa Bárbara</c:v>
                </c:pt>
                <c:pt idx="12">
                  <c:v>Ocotepeque</c:v>
                </c:pt>
                <c:pt idx="13">
                  <c:v>Valle</c:v>
                </c:pt>
                <c:pt idx="14">
                  <c:v>Islas de la Bahía</c:v>
                </c:pt>
                <c:pt idx="15">
                  <c:v>La Paz</c:v>
                </c:pt>
                <c:pt idx="16">
                  <c:v>Lempira</c:v>
                </c:pt>
                <c:pt idx="17">
                  <c:v>Gracias a Dios</c:v>
                </c:pt>
              </c:strCache>
            </c:strRef>
          </c:cat>
          <c:val>
            <c:numRef>
              <c:f>'[06. Prestamos Sistema Financiero - Junio 2019.xlsx]Distribución Geográfica'!$M$57:$M$74</c:f>
              <c:numCache>
                <c:formatCode>_(* #,##0.00_);_(* \(#,##0.00\);_(* "-"??_);_(@_)</c:formatCode>
                <c:ptCount val="18"/>
                <c:pt idx="0">
                  <c:v>1566.4999688104506</c:v>
                </c:pt>
                <c:pt idx="1">
                  <c:v>1566.4999688104506</c:v>
                </c:pt>
                <c:pt idx="2">
                  <c:v>1566.4999688104506</c:v>
                </c:pt>
                <c:pt idx="3">
                  <c:v>1566.4999688104506</c:v>
                </c:pt>
                <c:pt idx="4">
                  <c:v>1566.4999688104506</c:v>
                </c:pt>
                <c:pt idx="5">
                  <c:v>1566.4999688104506</c:v>
                </c:pt>
                <c:pt idx="6">
                  <c:v>1566.4999688104506</c:v>
                </c:pt>
                <c:pt idx="7">
                  <c:v>1566.4999688104506</c:v>
                </c:pt>
                <c:pt idx="8">
                  <c:v>1566.4999688104506</c:v>
                </c:pt>
                <c:pt idx="9">
                  <c:v>1566.4999688104506</c:v>
                </c:pt>
                <c:pt idx="10">
                  <c:v>1566.4999688104506</c:v>
                </c:pt>
                <c:pt idx="11">
                  <c:v>1566.4999688104506</c:v>
                </c:pt>
                <c:pt idx="12">
                  <c:v>1566.4999688104506</c:v>
                </c:pt>
                <c:pt idx="13">
                  <c:v>1566.4999688104506</c:v>
                </c:pt>
                <c:pt idx="14">
                  <c:v>1566.4999688104506</c:v>
                </c:pt>
                <c:pt idx="15">
                  <c:v>1566.4999688104506</c:v>
                </c:pt>
                <c:pt idx="16">
                  <c:v>1566.4999688104506</c:v>
                </c:pt>
                <c:pt idx="17">
                  <c:v>1566.4999688104506</c:v>
                </c:pt>
              </c:numCache>
            </c:numRef>
          </c:val>
          <c:smooth val="0"/>
          <c:extLst>
            <c:ext xmlns:c16="http://schemas.microsoft.com/office/drawing/2014/chart" uri="{C3380CC4-5D6E-409C-BE32-E72D297353CC}">
              <c16:uniqueId val="{00000002-D40E-488E-A39B-EAF8AD9A8628}"/>
            </c:ext>
          </c:extLst>
        </c:ser>
        <c:dLbls>
          <c:showLegendKey val="0"/>
          <c:showVal val="0"/>
          <c:showCatName val="0"/>
          <c:showSerName val="0"/>
          <c:showPercent val="0"/>
          <c:showBubbleSize val="0"/>
        </c:dLbls>
        <c:marker val="1"/>
        <c:smooth val="0"/>
        <c:axId val="610272800"/>
        <c:axId val="610273192"/>
      </c:lineChart>
      <c:catAx>
        <c:axId val="61027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73192"/>
        <c:crosses val="autoZero"/>
        <c:auto val="1"/>
        <c:lblAlgn val="ctr"/>
        <c:lblOffset val="100"/>
        <c:noMultiLvlLbl val="0"/>
      </c:catAx>
      <c:valAx>
        <c:axId val="610273192"/>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272800"/>
        <c:crosses val="autoZero"/>
        <c:crossBetween val="between"/>
      </c:valAx>
      <c:spPr>
        <a:noFill/>
        <a:ln>
          <a:noFill/>
        </a:ln>
        <a:effectLst/>
      </c:spPr>
    </c:plotArea>
    <c:legend>
      <c:legendPos val="b"/>
      <c:layout>
        <c:manualLayout>
          <c:xMode val="edge"/>
          <c:yMode val="edge"/>
          <c:x val="0.67548512685914275"/>
          <c:y val="0.22743000874890634"/>
          <c:w val="0.30736307961504811"/>
          <c:h val="0.22164406532516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2ebc3a-73c1-4f3b-b428-84fd08c0c069}"/>
      </w:docPartPr>
      <w:docPartBody>
        <w:p w14:paraId="5E5FEB3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_catalogs/masterpage/ECMForms/OperationsCT/View.aspx</Display>
  <Edit>_catalogs/masterpage/ECMForms/OperationsCT/Edit.aspx</Edit>
</FormUrl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TermName>
          <TermId xmlns="http://schemas.microsoft.com/office/infopath/2007/PartnerControls">0dd9f989-602d-4742-8212-5c1b8b0b74d5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Christian Schneider</Other_x0020_Author>
    <Migration_x0020_Info xmlns="cdc7663a-08f0-4737-9e8c-148ce897a09c" xsi:nil="true"/>
    <Approval_x0020_Number xmlns="cdc7663a-08f0-4737-9e8c-148ce897a09c" xsi:nil="true"/>
    <Phase xmlns="cdc7663a-08f0-4737-9e8c-148ce897a09c">ACTIVE</Phase>
    <Document_x0020_Author xmlns="cdc7663a-08f0-4737-9e8c-148ce897a09c">Bernedo, Cecilia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PS-REG</TermName>
          <TermId xmlns="http://schemas.microsoft.com/office/infopath/2007/PartnerControls">9c2372d1-be17-4032-970e-de97e2c62687</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62</Value>
      <Value>26</Value>
      <Value>310</Value>
      <Value>1</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HO-L1201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PS</TermName>
          <TermId xmlns="http://schemas.microsoft.com/office/infopath/2007/PartnerControls">c1e6207a-501c-43c6-a42a-7c1a019b2e26</TermId>
        </TermInfo>
      </Terms>
    </nddeef1749674d76abdbe4b239a70bc6>
    <Record_x0020_Number xmlns="cdc7663a-08f0-4737-9e8c-148ce897a09c" xsi:nil="true"/>
    <_dlc_DocId xmlns="cdc7663a-08f0-4737-9e8c-148ce897a09c">EZSHARE-470125313-32</_dlc_DocId>
    <_dlc_DocIdUrl xmlns="cdc7663a-08f0-4737-9e8c-148ce897a09c">
      <Url>https://idbg.sharepoint.com/teams/EZ-HO-LON/HO-L1201/_layouts/15/DocIdRedir.aspx?ID=EZSHARE-470125313-32</Url>
      <Description>EZSHARE-470125313-32</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4C98A510D7C5D48BEF3593E6B58CC69" ma:contentTypeVersion="4318" ma:contentTypeDescription="A content type to manage public (operations) IDB documents" ma:contentTypeScope="" ma:versionID="09731eeb59e839fb8957e95c049d3483">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F8D6AC3A-B5F6-44C7-A449-F74868D596A5}">
  <ds:schemaRefs>
    <ds:schemaRef ds:uri="http://schemas.microsoft.com/sharepoint/v3/contenttype/forms"/>
  </ds:schemaRefs>
</ds:datastoreItem>
</file>

<file path=customXml/itemProps2.xml><?xml version="1.0" encoding="utf-8"?>
<ds:datastoreItem xmlns:ds="http://schemas.openxmlformats.org/officeDocument/2006/customXml" ds:itemID="{E12E73D5-7335-4666-9DA7-0ADD03368C1B}"/>
</file>

<file path=customXml/itemProps3.xml><?xml version="1.0" encoding="utf-8"?>
<ds:datastoreItem xmlns:ds="http://schemas.openxmlformats.org/officeDocument/2006/customXml" ds:itemID="{2258E49E-5CA1-456A-A0A6-F35028724093}">
  <ds:schemaRefs>
    <ds:schemaRef ds:uri="http://schemas.microsoft.com/sharepoint/events"/>
  </ds:schemaRefs>
</ds:datastoreItem>
</file>

<file path=customXml/itemProps4.xml><?xml version="1.0" encoding="utf-8"?>
<ds:datastoreItem xmlns:ds="http://schemas.openxmlformats.org/officeDocument/2006/customXml" ds:itemID="{8520B49B-614A-4A0E-A0C8-2977FD09B647}">
  <ds:schemaRefs>
    <ds:schemaRef ds:uri="http://schemas.microsoft.com/sharepoint/v3/contenttype/forms/url"/>
  </ds:schemaRefs>
</ds:datastoreItem>
</file>

<file path=customXml/itemProps5.xml><?xml version="1.0" encoding="utf-8"?>
<ds:datastoreItem xmlns:ds="http://schemas.openxmlformats.org/officeDocument/2006/customXml" ds:itemID="{FAC97CBD-C43A-4A1E-8F78-E5279C2CE35D}">
  <ds:schemaRefs>
    <ds:schemaRef ds:uri="http://schemas.microsoft.com/office/2006/metadata/longProperties"/>
  </ds:schemaRefs>
</ds:datastoreItem>
</file>

<file path=customXml/itemProps6.xml><?xml version="1.0" encoding="utf-8"?>
<ds:datastoreItem xmlns:ds="http://schemas.openxmlformats.org/officeDocument/2006/customXml" ds:itemID="{511BF0E8-50B4-47EC-BC68-458FC2A284F6}">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F0CA78C1-73B8-4CCC-8D02-2CBA620A0EA9}"/>
</file>

<file path=customXml/itemProps8.xml><?xml version="1.0" encoding="utf-8"?>
<ds:datastoreItem xmlns:ds="http://schemas.openxmlformats.org/officeDocument/2006/customXml" ds:itemID="{EAC0F11C-848B-492B-ACAD-1DAC19ADF80D}">
  <ds:schemaRefs>
    <ds:schemaRef ds:uri="http://schemas.openxmlformats.org/officeDocument/2006/bibliography"/>
  </ds:schemaRefs>
</ds:datastoreItem>
</file>

<file path=customXml/itemProps9.xml><?xml version="1.0" encoding="utf-8"?>
<ds:datastoreItem xmlns:ds="http://schemas.openxmlformats.org/officeDocument/2006/customXml" ds:itemID="{01E47253-1A9F-449C-ABC1-DDA621A212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Cabrera Escalante, Maria</cp:lastModifiedBy>
  <cp:revision>3</cp:revision>
  <dcterms:created xsi:type="dcterms:W3CDTF">2019-10-04T07:26:00Z</dcterms:created>
  <dcterms:modified xsi:type="dcterms:W3CDTF">2019-11-19T20:58:55Z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310;#PS-REG|9c2372d1-be17-4032-970e-de97e2c62687</vt:lpwstr>
  </property>
  <property fmtid="{D5CDD505-2E9C-101B-9397-08002B2CF9AE}" pid="7" name="Fund IDB">
    <vt:lpwstr/>
  </property>
  <property fmtid="{D5CDD505-2E9C-101B-9397-08002B2CF9AE}" pid="8" name="Country">
    <vt:lpwstr>26;#HO|0dd9f989-602d-4742-8212-5c1b8b0b74d5</vt:lpwstr>
  </property>
  <property fmtid="{D5CDD505-2E9C-101B-9397-08002B2CF9AE}" pid="9" name="Disclosed">
    <vt:bool>false</vt:bool>
  </property>
  <property fmtid="{D5CDD505-2E9C-101B-9397-08002B2CF9AE}" pid="10" name="Sector IDB">
    <vt:lpwstr>62;#PS|c1e6207a-501c-43c6-a42a-7c1a019b2e26</vt:lpwstr>
  </property>
  <property fmtid="{D5CDD505-2E9C-101B-9397-08002B2CF9AE}" pid="11" name="Function Operations IDB">
    <vt:lpwstr>1;#Project Preparation, Planning and Design|29ca0c72-1fc4-435f-a09c-28585cb5eac9</vt:lpwstr>
  </property>
  <property fmtid="{D5CDD505-2E9C-101B-9397-08002B2CF9AE}" pid="12" name="_dlc_DocIdItemGuid">
    <vt:lpwstr>49a79620-5571-415d-becc-88ba001a9ff0</vt:lpwstr>
  </property>
  <property fmtid="{D5CDD505-2E9C-101B-9397-08002B2CF9AE}" pid="13" name="Disclosure Activity">
    <vt:lpwstr>Loan Proposal</vt:lpwstr>
  </property>
  <property fmtid="{D5CDD505-2E9C-101B-9397-08002B2CF9AE}" pid="14" name="ContentTypeId">
    <vt:lpwstr>0x0101001A458A224826124E8B45B1D613300CFC00E4C98A510D7C5D48BEF3593E6B58CC69</vt:lpwstr>
  </property>
</Properties>
</file>