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4A1A5" w14:textId="77777777" w:rsidR="00382F6B" w:rsidRPr="00C551E1" w:rsidRDefault="00382F6B" w:rsidP="00792B59">
      <w:pPr>
        <w:jc w:val="center"/>
        <w:rPr>
          <w:rFonts w:ascii="Arial" w:hAnsi="Arial" w:cs="Arial"/>
          <w:b/>
          <w:sz w:val="22"/>
          <w:szCs w:val="22"/>
        </w:rPr>
      </w:pPr>
      <w:r w:rsidRPr="00C551E1">
        <w:rPr>
          <w:rFonts w:ascii="Arial" w:hAnsi="Arial" w:cs="Arial"/>
          <w:b/>
          <w:sz w:val="22"/>
          <w:szCs w:val="22"/>
        </w:rPr>
        <w:t>BANCO INTERAMERICANO DE DESARROLLO</w:t>
      </w:r>
    </w:p>
    <w:p w14:paraId="0E9A1953" w14:textId="77777777" w:rsidR="001B5186" w:rsidRPr="00C551E1" w:rsidRDefault="001B5186" w:rsidP="00792B59">
      <w:pPr>
        <w:pStyle w:val="ColorfulList-Accent11"/>
        <w:ind w:left="1080"/>
        <w:jc w:val="center"/>
        <w:rPr>
          <w:rFonts w:ascii="Arial" w:hAnsi="Arial" w:cs="Arial"/>
          <w:b/>
          <w:lang w:val="es-ES_tradnl"/>
        </w:rPr>
      </w:pPr>
    </w:p>
    <w:p w14:paraId="48CA4BA9" w14:textId="77777777" w:rsidR="001B5186" w:rsidRPr="00C551E1" w:rsidRDefault="001B5186" w:rsidP="00792B59">
      <w:pPr>
        <w:tabs>
          <w:tab w:val="left" w:pos="1440"/>
          <w:tab w:val="left" w:pos="3060"/>
        </w:tabs>
        <w:jc w:val="center"/>
        <w:rPr>
          <w:rFonts w:ascii="Arial" w:hAnsi="Arial" w:cs="Arial"/>
          <w:b/>
          <w:smallCaps/>
          <w:sz w:val="22"/>
          <w:szCs w:val="22"/>
        </w:rPr>
      </w:pPr>
    </w:p>
    <w:p w14:paraId="13C56950" w14:textId="77777777" w:rsidR="001B5186" w:rsidRPr="00C551E1" w:rsidRDefault="001B5186" w:rsidP="00792B59">
      <w:pPr>
        <w:tabs>
          <w:tab w:val="left" w:pos="1440"/>
          <w:tab w:val="left" w:pos="3060"/>
        </w:tabs>
        <w:jc w:val="center"/>
        <w:rPr>
          <w:rFonts w:ascii="Arial" w:hAnsi="Arial" w:cs="Arial"/>
          <w:b/>
          <w:smallCaps/>
          <w:sz w:val="22"/>
          <w:szCs w:val="22"/>
        </w:rPr>
      </w:pPr>
    </w:p>
    <w:p w14:paraId="1765F084" w14:textId="77777777" w:rsidR="001B5186" w:rsidRPr="00C551E1" w:rsidRDefault="00D92181" w:rsidP="00792B59">
      <w:pPr>
        <w:tabs>
          <w:tab w:val="left" w:pos="1440"/>
          <w:tab w:val="left" w:pos="3060"/>
        </w:tabs>
        <w:jc w:val="center"/>
        <w:rPr>
          <w:rFonts w:ascii="Arial" w:hAnsi="Arial" w:cs="Arial"/>
          <w:b/>
          <w:smallCaps/>
          <w:sz w:val="22"/>
          <w:szCs w:val="22"/>
        </w:rPr>
      </w:pPr>
      <w:r w:rsidRPr="00C551E1">
        <w:rPr>
          <w:rFonts w:ascii="Arial" w:hAnsi="Arial" w:cs="Arial"/>
          <w:b/>
          <w:smallCaps/>
          <w:sz w:val="22"/>
          <w:szCs w:val="22"/>
        </w:rPr>
        <w:t>Uruguay</w:t>
      </w:r>
    </w:p>
    <w:p w14:paraId="3CC8B23F" w14:textId="77777777" w:rsidR="001B5186" w:rsidRPr="00C551E1" w:rsidRDefault="001B5186" w:rsidP="00792B59">
      <w:pPr>
        <w:tabs>
          <w:tab w:val="left" w:pos="1440"/>
          <w:tab w:val="left" w:pos="3060"/>
        </w:tabs>
        <w:jc w:val="center"/>
        <w:rPr>
          <w:rFonts w:ascii="Arial" w:hAnsi="Arial" w:cs="Arial"/>
          <w:b/>
          <w:smallCaps/>
          <w:sz w:val="22"/>
          <w:szCs w:val="22"/>
        </w:rPr>
      </w:pPr>
    </w:p>
    <w:p w14:paraId="7A6B00DC" w14:textId="77777777" w:rsidR="001B5186" w:rsidRPr="00C551E1" w:rsidRDefault="001B5186" w:rsidP="00792B59">
      <w:pPr>
        <w:tabs>
          <w:tab w:val="left" w:pos="1440"/>
          <w:tab w:val="left" w:pos="3060"/>
        </w:tabs>
        <w:jc w:val="center"/>
        <w:rPr>
          <w:rFonts w:ascii="Arial" w:hAnsi="Arial" w:cs="Arial"/>
          <w:b/>
          <w:smallCaps/>
          <w:sz w:val="22"/>
          <w:szCs w:val="22"/>
        </w:rPr>
      </w:pPr>
    </w:p>
    <w:p w14:paraId="760D004A" w14:textId="28E14C4E" w:rsidR="001B5186" w:rsidRPr="00C551E1" w:rsidRDefault="002B5292" w:rsidP="00792B59">
      <w:pPr>
        <w:tabs>
          <w:tab w:val="left" w:pos="1440"/>
          <w:tab w:val="left" w:pos="3060"/>
        </w:tabs>
        <w:jc w:val="center"/>
        <w:rPr>
          <w:rFonts w:ascii="Arial" w:hAnsi="Arial" w:cs="Arial"/>
          <w:b/>
          <w:smallCaps/>
          <w:sz w:val="22"/>
          <w:szCs w:val="22"/>
        </w:rPr>
      </w:pPr>
      <w:r>
        <w:rPr>
          <w:rFonts w:ascii="Arial" w:hAnsi="Arial" w:cs="Arial"/>
          <w:b/>
          <w:smallCaps/>
          <w:sz w:val="22"/>
          <w:szCs w:val="22"/>
        </w:rPr>
        <w:t>Programa</w:t>
      </w:r>
      <w:r w:rsidR="00D92181" w:rsidRPr="00C551E1">
        <w:rPr>
          <w:rFonts w:ascii="Arial" w:hAnsi="Arial" w:cs="Arial"/>
          <w:b/>
          <w:smallCaps/>
          <w:sz w:val="22"/>
          <w:szCs w:val="22"/>
        </w:rPr>
        <w:t xml:space="preserve"> de Fortalecimiento de la </w:t>
      </w:r>
      <w:r w:rsidR="00B33985" w:rsidRPr="00C551E1">
        <w:rPr>
          <w:rFonts w:ascii="Arial" w:hAnsi="Arial" w:cs="Arial"/>
          <w:b/>
          <w:smallCaps/>
          <w:sz w:val="22"/>
          <w:szCs w:val="22"/>
        </w:rPr>
        <w:t>gestión</w:t>
      </w:r>
      <w:r w:rsidR="00D92181" w:rsidRPr="00C551E1">
        <w:rPr>
          <w:rFonts w:ascii="Arial" w:hAnsi="Arial" w:cs="Arial"/>
          <w:b/>
          <w:smallCaps/>
          <w:sz w:val="22"/>
          <w:szCs w:val="22"/>
        </w:rPr>
        <w:t xml:space="preserve"> ambiental del </w:t>
      </w:r>
      <w:r w:rsidR="002C7333" w:rsidRPr="00C551E1">
        <w:rPr>
          <w:rFonts w:ascii="Arial" w:hAnsi="Arial" w:cs="Arial"/>
          <w:b/>
          <w:smallCaps/>
          <w:sz w:val="22"/>
          <w:szCs w:val="22"/>
        </w:rPr>
        <w:t>ministerio de vivienda, ordenamiento territorial y medio ambiente (mvotma)</w:t>
      </w:r>
    </w:p>
    <w:p w14:paraId="6BD10733" w14:textId="77777777" w:rsidR="003B6D39" w:rsidRPr="00C551E1" w:rsidRDefault="003B6D39" w:rsidP="00792B59">
      <w:pPr>
        <w:tabs>
          <w:tab w:val="left" w:pos="1440"/>
          <w:tab w:val="left" w:pos="3060"/>
        </w:tabs>
        <w:jc w:val="center"/>
        <w:rPr>
          <w:rFonts w:ascii="Arial" w:hAnsi="Arial" w:cs="Arial"/>
          <w:b/>
          <w:smallCaps/>
          <w:sz w:val="22"/>
          <w:szCs w:val="22"/>
        </w:rPr>
      </w:pPr>
    </w:p>
    <w:p w14:paraId="4D0E1428" w14:textId="77777777" w:rsidR="00D92181" w:rsidRPr="00C551E1" w:rsidRDefault="00D92181" w:rsidP="00792B59">
      <w:pPr>
        <w:tabs>
          <w:tab w:val="left" w:pos="1440"/>
          <w:tab w:val="left" w:pos="3060"/>
        </w:tabs>
        <w:spacing w:after="240"/>
        <w:jc w:val="center"/>
        <w:rPr>
          <w:rFonts w:ascii="Arial" w:hAnsi="Arial" w:cs="Arial"/>
          <w:b/>
          <w:smallCaps/>
          <w:sz w:val="22"/>
          <w:szCs w:val="22"/>
        </w:rPr>
      </w:pPr>
      <w:r w:rsidRPr="00C551E1">
        <w:rPr>
          <w:rFonts w:ascii="Arial" w:hAnsi="Arial" w:cs="Arial"/>
          <w:b/>
          <w:smallCaps/>
          <w:sz w:val="22"/>
          <w:szCs w:val="22"/>
        </w:rPr>
        <w:t>(UR-L1</w:t>
      </w:r>
      <w:r w:rsidR="002C7333" w:rsidRPr="00C551E1">
        <w:rPr>
          <w:rFonts w:ascii="Arial" w:hAnsi="Arial" w:cs="Arial"/>
          <w:b/>
          <w:smallCaps/>
          <w:sz w:val="22"/>
          <w:szCs w:val="22"/>
        </w:rPr>
        <w:t>157</w:t>
      </w:r>
      <w:r w:rsidRPr="00C551E1">
        <w:rPr>
          <w:rFonts w:ascii="Arial" w:hAnsi="Arial" w:cs="Arial"/>
          <w:b/>
          <w:smallCaps/>
          <w:sz w:val="22"/>
          <w:szCs w:val="22"/>
        </w:rPr>
        <w:t>)</w:t>
      </w:r>
    </w:p>
    <w:p w14:paraId="30281A46" w14:textId="77777777" w:rsidR="001B5186" w:rsidRPr="00C551E1" w:rsidRDefault="001B5186" w:rsidP="00792B59">
      <w:pPr>
        <w:pStyle w:val="Newpage"/>
        <w:rPr>
          <w:rFonts w:ascii="Arial" w:hAnsi="Arial"/>
          <w:b w:val="0"/>
          <w:caps/>
          <w:smallCaps w:val="0"/>
          <w:sz w:val="22"/>
          <w:szCs w:val="22"/>
        </w:rPr>
      </w:pPr>
    </w:p>
    <w:p w14:paraId="0D84BDCF" w14:textId="77777777" w:rsidR="001B5186" w:rsidRPr="00C551E1" w:rsidRDefault="001B5186" w:rsidP="00792B59">
      <w:pPr>
        <w:tabs>
          <w:tab w:val="left" w:pos="1440"/>
          <w:tab w:val="left" w:pos="3060"/>
        </w:tabs>
        <w:jc w:val="center"/>
        <w:rPr>
          <w:rFonts w:ascii="Arial" w:hAnsi="Arial" w:cs="Arial"/>
          <w:smallCaps/>
          <w:sz w:val="22"/>
          <w:szCs w:val="22"/>
        </w:rPr>
      </w:pPr>
    </w:p>
    <w:p w14:paraId="38726187" w14:textId="77777777" w:rsidR="001B5186" w:rsidRPr="00C551E1" w:rsidRDefault="00BD6C4D" w:rsidP="00F311B9">
      <w:pPr>
        <w:jc w:val="center"/>
        <w:rPr>
          <w:rFonts w:ascii="Arial" w:hAnsi="Arial" w:cs="Arial"/>
          <w:b/>
          <w:sz w:val="22"/>
          <w:szCs w:val="22"/>
        </w:rPr>
      </w:pPr>
      <w:r w:rsidRPr="00C551E1">
        <w:rPr>
          <w:rFonts w:ascii="Arial" w:hAnsi="Arial" w:cs="Arial"/>
          <w:b/>
          <w:sz w:val="22"/>
          <w:szCs w:val="22"/>
        </w:rPr>
        <w:t>Plan de Seguimiento y Evaluación</w:t>
      </w:r>
    </w:p>
    <w:p w14:paraId="17143BC8" w14:textId="77777777" w:rsidR="001B5186" w:rsidRPr="00C551E1" w:rsidRDefault="001B5186" w:rsidP="00792B59">
      <w:pPr>
        <w:tabs>
          <w:tab w:val="left" w:pos="1440"/>
          <w:tab w:val="left" w:pos="3060"/>
        </w:tabs>
        <w:jc w:val="both"/>
        <w:outlineLvl w:val="0"/>
        <w:rPr>
          <w:rFonts w:ascii="Arial" w:hAnsi="Arial" w:cs="Arial"/>
          <w:b/>
          <w:smallCaps/>
          <w:sz w:val="22"/>
          <w:szCs w:val="22"/>
        </w:rPr>
      </w:pPr>
    </w:p>
    <w:p w14:paraId="7E4622EC" w14:textId="77777777" w:rsidR="001B5186" w:rsidRPr="00C551E1" w:rsidRDefault="001B5186" w:rsidP="00792B59">
      <w:pPr>
        <w:pStyle w:val="ColorfulList-Accent11"/>
        <w:ind w:left="1080"/>
        <w:jc w:val="both"/>
        <w:rPr>
          <w:rFonts w:ascii="Arial" w:hAnsi="Arial" w:cs="Arial"/>
          <w:b/>
          <w:lang w:val="es-ES_tradnl"/>
        </w:rPr>
      </w:pPr>
    </w:p>
    <w:p w14:paraId="63B6AB92" w14:textId="77777777" w:rsidR="001B5186" w:rsidRPr="00C551E1" w:rsidRDefault="001B5186" w:rsidP="00792B59">
      <w:pPr>
        <w:pStyle w:val="ColorfulList-Accent11"/>
        <w:ind w:left="1080"/>
        <w:jc w:val="both"/>
        <w:rPr>
          <w:rFonts w:ascii="Arial" w:hAnsi="Arial" w:cs="Arial"/>
          <w:b/>
          <w:lang w:val="es-ES_tradnl"/>
        </w:rPr>
      </w:pPr>
    </w:p>
    <w:p w14:paraId="71E0F958" w14:textId="77777777" w:rsidR="001B5186" w:rsidRPr="00C551E1" w:rsidRDefault="001B5186" w:rsidP="00792B59">
      <w:pPr>
        <w:pStyle w:val="ColorfulList-Accent11"/>
        <w:ind w:left="1080"/>
        <w:jc w:val="both"/>
        <w:rPr>
          <w:rFonts w:ascii="Arial" w:hAnsi="Arial" w:cs="Arial"/>
          <w:b/>
          <w:lang w:val="es-ES_tradnl"/>
        </w:rPr>
      </w:pPr>
    </w:p>
    <w:p w14:paraId="5ECAA817" w14:textId="77777777" w:rsidR="001B5186" w:rsidRPr="00C551E1" w:rsidRDefault="001B5186" w:rsidP="00792B59">
      <w:pPr>
        <w:pStyle w:val="ColorfulList-Accent11"/>
        <w:ind w:left="1080"/>
        <w:jc w:val="both"/>
        <w:rPr>
          <w:rFonts w:ascii="Arial" w:hAnsi="Arial" w:cs="Arial"/>
          <w:b/>
          <w:lang w:val="es-ES_tradnl"/>
        </w:rPr>
      </w:pPr>
    </w:p>
    <w:p w14:paraId="1F9F75C4" w14:textId="77777777" w:rsidR="001B5186" w:rsidRPr="00C551E1" w:rsidRDefault="001B5186" w:rsidP="00792B59">
      <w:pPr>
        <w:pStyle w:val="ColorfulList-Accent11"/>
        <w:ind w:left="1080"/>
        <w:jc w:val="both"/>
        <w:rPr>
          <w:rFonts w:ascii="Arial" w:hAnsi="Arial" w:cs="Arial"/>
          <w:b/>
          <w:lang w:val="es-ES_tradnl"/>
        </w:rPr>
      </w:pPr>
    </w:p>
    <w:p w14:paraId="437599E6" w14:textId="77777777" w:rsidR="001B5186" w:rsidRPr="00C551E1" w:rsidRDefault="001B5186" w:rsidP="00792B59">
      <w:pPr>
        <w:pStyle w:val="ColorfulList-Accent11"/>
        <w:ind w:left="1080"/>
        <w:jc w:val="both"/>
        <w:rPr>
          <w:rFonts w:ascii="Arial" w:hAnsi="Arial" w:cs="Arial"/>
          <w:b/>
          <w:lang w:val="es-ES_tradnl"/>
        </w:rPr>
      </w:pPr>
    </w:p>
    <w:p w14:paraId="119DE127" w14:textId="77777777" w:rsidR="001B5186" w:rsidRPr="00C551E1" w:rsidRDefault="001B5186" w:rsidP="00792B59">
      <w:pPr>
        <w:pStyle w:val="ColorfulList-Accent11"/>
        <w:ind w:left="1080"/>
        <w:jc w:val="both"/>
        <w:rPr>
          <w:rFonts w:ascii="Arial" w:hAnsi="Arial" w:cs="Arial"/>
          <w:b/>
          <w:lang w:val="es-ES_tradnl"/>
        </w:rPr>
      </w:pPr>
    </w:p>
    <w:p w14:paraId="70D34B6A" w14:textId="77777777" w:rsidR="001B5186" w:rsidRPr="00C551E1" w:rsidRDefault="001B5186" w:rsidP="00792B59">
      <w:pPr>
        <w:pStyle w:val="ColorfulList-Accent11"/>
        <w:ind w:left="1080"/>
        <w:jc w:val="both"/>
        <w:rPr>
          <w:rFonts w:ascii="Arial" w:hAnsi="Arial" w:cs="Arial"/>
          <w:b/>
          <w:lang w:val="es-ES_tradnl"/>
        </w:rPr>
      </w:pPr>
    </w:p>
    <w:p w14:paraId="75010ED3" w14:textId="77777777" w:rsidR="001B5186" w:rsidRPr="00C551E1" w:rsidRDefault="001B5186" w:rsidP="00792B59">
      <w:pPr>
        <w:pStyle w:val="ColorfulList-Accent11"/>
        <w:ind w:left="1080"/>
        <w:jc w:val="both"/>
        <w:rPr>
          <w:rFonts w:ascii="Arial" w:hAnsi="Arial" w:cs="Arial"/>
          <w:b/>
          <w:lang w:val="es-ES_tradnl"/>
        </w:rPr>
      </w:pPr>
    </w:p>
    <w:p w14:paraId="44A2B574" w14:textId="77777777" w:rsidR="001B5186" w:rsidRPr="00C551E1" w:rsidRDefault="001B5186" w:rsidP="00792B59">
      <w:pPr>
        <w:pStyle w:val="ColorfulList-Accent11"/>
        <w:ind w:left="1080"/>
        <w:jc w:val="both"/>
        <w:rPr>
          <w:rFonts w:ascii="Arial" w:hAnsi="Arial" w:cs="Arial"/>
          <w:b/>
          <w:lang w:val="es-ES_tradnl"/>
        </w:rPr>
      </w:pPr>
    </w:p>
    <w:p w14:paraId="31180646" w14:textId="77777777" w:rsidR="001B5186" w:rsidRPr="00C551E1" w:rsidRDefault="001B5186" w:rsidP="00792B59">
      <w:pPr>
        <w:pStyle w:val="ColorfulList-Accent11"/>
        <w:ind w:left="1080"/>
        <w:jc w:val="both"/>
        <w:rPr>
          <w:rFonts w:ascii="Arial" w:hAnsi="Arial" w:cs="Arial"/>
          <w:b/>
          <w:lang w:val="es-ES_tradnl"/>
        </w:rPr>
      </w:pPr>
    </w:p>
    <w:p w14:paraId="01B56AD3" w14:textId="77777777" w:rsidR="001B5186" w:rsidRPr="00C551E1" w:rsidRDefault="001B5186" w:rsidP="00792B59">
      <w:pPr>
        <w:tabs>
          <w:tab w:val="left" w:pos="1440"/>
          <w:tab w:val="left" w:pos="3060"/>
        </w:tabs>
        <w:jc w:val="both"/>
        <w:rPr>
          <w:rFonts w:ascii="Arial" w:hAnsi="Arial" w:cs="Arial"/>
          <w:sz w:val="22"/>
          <w:szCs w:val="22"/>
        </w:rPr>
      </w:pPr>
    </w:p>
    <w:p w14:paraId="27CFC764" w14:textId="77777777" w:rsidR="00A6381D" w:rsidRPr="00C551E1" w:rsidRDefault="00BD6C4D" w:rsidP="00792B59">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2"/>
          <w:szCs w:val="22"/>
          <w:lang w:val="es-ES_tradnl"/>
        </w:rPr>
      </w:pPr>
      <w:r w:rsidRPr="00C551E1">
        <w:rPr>
          <w:rFonts w:ascii="Arial" w:hAnsi="Arial" w:cs="Arial"/>
          <w:sz w:val="22"/>
          <w:szCs w:val="22"/>
          <w:lang w:val="es-ES_tradnl"/>
        </w:rPr>
        <w:t>Este document</w:t>
      </w:r>
      <w:r w:rsidR="0070507C" w:rsidRPr="00C551E1">
        <w:rPr>
          <w:rFonts w:ascii="Arial" w:hAnsi="Arial" w:cs="Arial"/>
          <w:sz w:val="22"/>
          <w:szCs w:val="22"/>
          <w:lang w:val="es-ES_tradnl"/>
        </w:rPr>
        <w:t>o</w:t>
      </w:r>
      <w:r w:rsidRPr="00C551E1">
        <w:rPr>
          <w:rFonts w:ascii="Arial" w:hAnsi="Arial" w:cs="Arial"/>
          <w:sz w:val="22"/>
          <w:szCs w:val="22"/>
          <w:lang w:val="es-ES_tradnl"/>
        </w:rPr>
        <w:t xml:space="preserve"> fue elaborado por</w:t>
      </w:r>
      <w:r w:rsidR="000F79E3" w:rsidRPr="00C551E1">
        <w:rPr>
          <w:rFonts w:ascii="Arial" w:hAnsi="Arial" w:cs="Arial"/>
          <w:sz w:val="22"/>
          <w:szCs w:val="22"/>
          <w:lang w:val="es-ES_tradnl"/>
        </w:rPr>
        <w:t xml:space="preserve"> </w:t>
      </w:r>
      <w:r w:rsidR="00D801F4" w:rsidRPr="00C551E1">
        <w:rPr>
          <w:rFonts w:ascii="Arial" w:hAnsi="Arial" w:cs="Arial"/>
          <w:sz w:val="22"/>
          <w:szCs w:val="22"/>
          <w:lang w:val="es-ES_tradnl"/>
        </w:rPr>
        <w:t>Maria Vizeu Pinheiro, Onil Banerjee (CSD/RND) y Matías Piaggio (Consultor externo).</w:t>
      </w:r>
    </w:p>
    <w:p w14:paraId="69211DA5" w14:textId="77777777" w:rsidR="00B87A39" w:rsidRPr="00C551E1" w:rsidRDefault="00B87A39" w:rsidP="00792B59">
      <w:pPr>
        <w:pStyle w:val="ColorfulList-Accent11"/>
        <w:ind w:left="1080"/>
        <w:jc w:val="both"/>
        <w:rPr>
          <w:rFonts w:ascii="Arial" w:hAnsi="Arial" w:cs="Arial"/>
          <w:smallCaps/>
          <w:lang w:val="es-ES_tradnl"/>
        </w:rPr>
      </w:pPr>
    </w:p>
    <w:p w14:paraId="367B3D60" w14:textId="77777777" w:rsidR="00B87A39" w:rsidRPr="00C551E1" w:rsidRDefault="00B87A39" w:rsidP="00792B59">
      <w:pPr>
        <w:pStyle w:val="ColorfulList-Accent11"/>
        <w:ind w:left="1080"/>
        <w:jc w:val="both"/>
        <w:rPr>
          <w:rFonts w:ascii="Arial" w:hAnsi="Arial" w:cs="Arial"/>
          <w:smallCaps/>
          <w:lang w:val="es-ES_tradnl"/>
        </w:rPr>
        <w:sectPr w:rsidR="00B87A39" w:rsidRPr="00C551E1" w:rsidSect="002A1ECB">
          <w:footerReference w:type="default" r:id="rId14"/>
          <w:pgSz w:w="12240" w:h="15840"/>
          <w:pgMar w:top="1440" w:right="1800" w:bottom="1440" w:left="1800" w:header="720" w:footer="720" w:gutter="0"/>
          <w:cols w:space="720"/>
          <w:vAlign w:val="both"/>
          <w:docGrid w:linePitch="360"/>
        </w:sectPr>
      </w:pPr>
    </w:p>
    <w:p w14:paraId="30EE5E13" w14:textId="368EFFA5" w:rsidR="00F311B9" w:rsidRPr="0000426F" w:rsidRDefault="00F311B9">
      <w:pPr>
        <w:pStyle w:val="TOCHeading"/>
        <w:rPr>
          <w:rFonts w:ascii="Arial" w:hAnsi="Arial" w:cs="Arial"/>
          <w:color w:val="auto"/>
          <w:sz w:val="22"/>
          <w:szCs w:val="22"/>
          <w:lang w:val="es-ES_tradnl"/>
        </w:rPr>
      </w:pPr>
      <w:r w:rsidRPr="0000426F">
        <w:rPr>
          <w:rFonts w:ascii="Arial" w:hAnsi="Arial" w:cs="Arial"/>
          <w:color w:val="auto"/>
          <w:sz w:val="22"/>
          <w:szCs w:val="22"/>
          <w:lang w:val="es-ES_tradnl"/>
        </w:rPr>
        <w:lastRenderedPageBreak/>
        <w:t>Conten</w:t>
      </w:r>
      <w:r w:rsidR="000707FE" w:rsidRPr="0000426F">
        <w:rPr>
          <w:rFonts w:ascii="Arial" w:hAnsi="Arial" w:cs="Arial"/>
          <w:color w:val="auto"/>
          <w:sz w:val="22"/>
          <w:szCs w:val="22"/>
          <w:lang w:val="es-ES_tradnl"/>
        </w:rPr>
        <w:t>ido</w:t>
      </w:r>
    </w:p>
    <w:p w14:paraId="374079E1" w14:textId="730FE424" w:rsidR="0000426F" w:rsidRPr="0000426F" w:rsidRDefault="00F311B9">
      <w:pPr>
        <w:pStyle w:val="TOC1"/>
        <w:rPr>
          <w:rFonts w:ascii="Arial" w:eastAsiaTheme="minorEastAsia" w:hAnsi="Arial" w:cs="Arial"/>
          <w:smallCaps w:val="0"/>
          <w:spacing w:val="0"/>
          <w:sz w:val="22"/>
          <w:szCs w:val="22"/>
          <w:lang w:val="en-US"/>
        </w:rPr>
      </w:pPr>
      <w:r w:rsidRPr="0000426F">
        <w:rPr>
          <w:rFonts w:ascii="Arial" w:hAnsi="Arial" w:cs="Arial"/>
          <w:noProof w:val="0"/>
          <w:sz w:val="22"/>
          <w:szCs w:val="22"/>
        </w:rPr>
        <w:fldChar w:fldCharType="begin"/>
      </w:r>
      <w:r w:rsidRPr="0000426F">
        <w:rPr>
          <w:rFonts w:ascii="Arial" w:hAnsi="Arial" w:cs="Arial"/>
          <w:noProof w:val="0"/>
          <w:sz w:val="22"/>
          <w:szCs w:val="22"/>
        </w:rPr>
        <w:instrText xml:space="preserve"> TOC \o "1-3" \h \z \u </w:instrText>
      </w:r>
      <w:r w:rsidRPr="0000426F">
        <w:rPr>
          <w:rFonts w:ascii="Arial" w:hAnsi="Arial" w:cs="Arial"/>
          <w:noProof w:val="0"/>
          <w:sz w:val="22"/>
          <w:szCs w:val="22"/>
        </w:rPr>
        <w:fldChar w:fldCharType="separate"/>
      </w:r>
      <w:hyperlink w:anchor="_Toc12264428" w:history="1">
        <w:r w:rsidR="0000426F" w:rsidRPr="0000426F">
          <w:rPr>
            <w:rStyle w:val="Hyperlink"/>
            <w:rFonts w:ascii="Arial" w:hAnsi="Arial" w:cs="Arial"/>
            <w:color w:val="auto"/>
            <w:sz w:val="22"/>
            <w:szCs w:val="22"/>
          </w:rPr>
          <w:t>PARTE A. Plan de Seguimiento</w:t>
        </w:r>
        <w:r w:rsidR="0000426F" w:rsidRPr="0000426F">
          <w:rPr>
            <w:rFonts w:ascii="Arial" w:hAnsi="Arial" w:cs="Arial"/>
            <w:webHidden/>
            <w:sz w:val="22"/>
            <w:szCs w:val="22"/>
          </w:rPr>
          <w:tab/>
        </w:r>
        <w:r w:rsidR="0000426F" w:rsidRPr="0000426F">
          <w:rPr>
            <w:rFonts w:ascii="Arial" w:hAnsi="Arial" w:cs="Arial"/>
            <w:webHidden/>
            <w:sz w:val="22"/>
            <w:szCs w:val="22"/>
          </w:rPr>
          <w:fldChar w:fldCharType="begin"/>
        </w:r>
        <w:r w:rsidR="0000426F" w:rsidRPr="0000426F">
          <w:rPr>
            <w:rFonts w:ascii="Arial" w:hAnsi="Arial" w:cs="Arial"/>
            <w:webHidden/>
            <w:sz w:val="22"/>
            <w:szCs w:val="22"/>
          </w:rPr>
          <w:instrText xml:space="preserve"> PAGEREF _Toc12264428 \h </w:instrText>
        </w:r>
        <w:r w:rsidR="0000426F" w:rsidRPr="0000426F">
          <w:rPr>
            <w:rFonts w:ascii="Arial" w:hAnsi="Arial" w:cs="Arial"/>
            <w:webHidden/>
            <w:sz w:val="22"/>
            <w:szCs w:val="22"/>
          </w:rPr>
        </w:r>
        <w:r w:rsidR="0000426F" w:rsidRPr="0000426F">
          <w:rPr>
            <w:rFonts w:ascii="Arial" w:hAnsi="Arial" w:cs="Arial"/>
            <w:webHidden/>
            <w:sz w:val="22"/>
            <w:szCs w:val="22"/>
          </w:rPr>
          <w:fldChar w:fldCharType="separate"/>
        </w:r>
        <w:r w:rsidR="0000426F" w:rsidRPr="0000426F">
          <w:rPr>
            <w:rFonts w:ascii="Arial" w:hAnsi="Arial" w:cs="Arial"/>
            <w:webHidden/>
            <w:sz w:val="22"/>
            <w:szCs w:val="22"/>
          </w:rPr>
          <w:t>4</w:t>
        </w:r>
        <w:r w:rsidR="0000426F" w:rsidRPr="0000426F">
          <w:rPr>
            <w:rFonts w:ascii="Arial" w:hAnsi="Arial" w:cs="Arial"/>
            <w:webHidden/>
            <w:sz w:val="22"/>
            <w:szCs w:val="22"/>
          </w:rPr>
          <w:fldChar w:fldCharType="end"/>
        </w:r>
      </w:hyperlink>
    </w:p>
    <w:p w14:paraId="3F908A19" w14:textId="12D086D0" w:rsidR="0000426F" w:rsidRPr="0000426F" w:rsidRDefault="0000426F">
      <w:pPr>
        <w:pStyle w:val="TOC1"/>
        <w:rPr>
          <w:rFonts w:ascii="Arial" w:eastAsiaTheme="minorEastAsia" w:hAnsi="Arial" w:cs="Arial"/>
          <w:smallCaps w:val="0"/>
          <w:spacing w:val="0"/>
          <w:sz w:val="22"/>
          <w:szCs w:val="22"/>
          <w:lang w:val="en-US"/>
        </w:rPr>
      </w:pPr>
      <w:hyperlink w:anchor="_Toc12264429" w:history="1">
        <w:r w:rsidRPr="0000426F">
          <w:rPr>
            <w:rStyle w:val="Hyperlink"/>
            <w:rFonts w:ascii="Arial" w:hAnsi="Arial" w:cs="Arial"/>
            <w:color w:val="auto"/>
            <w:sz w:val="22"/>
            <w:szCs w:val="22"/>
          </w:rPr>
          <w:t>1. Introducción</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_Toc12264429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4</w:t>
        </w:r>
        <w:r w:rsidRPr="0000426F">
          <w:rPr>
            <w:rFonts w:ascii="Arial" w:hAnsi="Arial" w:cs="Arial"/>
            <w:webHidden/>
            <w:sz w:val="22"/>
            <w:szCs w:val="22"/>
          </w:rPr>
          <w:fldChar w:fldCharType="end"/>
        </w:r>
      </w:hyperlink>
    </w:p>
    <w:p w14:paraId="270EC75C" w14:textId="038903F6" w:rsidR="0000426F" w:rsidRPr="0000426F" w:rsidRDefault="0000426F">
      <w:pPr>
        <w:pStyle w:val="TOC1"/>
        <w:rPr>
          <w:rFonts w:ascii="Arial" w:eastAsiaTheme="minorEastAsia" w:hAnsi="Arial" w:cs="Arial"/>
          <w:smallCaps w:val="0"/>
          <w:spacing w:val="0"/>
          <w:sz w:val="22"/>
          <w:szCs w:val="22"/>
          <w:lang w:val="en-US"/>
        </w:rPr>
      </w:pPr>
      <w:hyperlink w:anchor="_Toc12264430" w:history="1">
        <w:r w:rsidRPr="0000426F">
          <w:rPr>
            <w:rStyle w:val="Hyperlink"/>
            <w:rFonts w:ascii="Arial" w:hAnsi="Arial" w:cs="Arial"/>
            <w:color w:val="auto"/>
            <w:sz w:val="22"/>
            <w:szCs w:val="22"/>
          </w:rPr>
          <w:t>2.0 Seguimiento</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_Toc12264430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5</w:t>
        </w:r>
        <w:r w:rsidRPr="0000426F">
          <w:rPr>
            <w:rFonts w:ascii="Arial" w:hAnsi="Arial" w:cs="Arial"/>
            <w:webHidden/>
            <w:sz w:val="22"/>
            <w:szCs w:val="22"/>
          </w:rPr>
          <w:fldChar w:fldCharType="end"/>
        </w:r>
      </w:hyperlink>
    </w:p>
    <w:p w14:paraId="7D02EBEF" w14:textId="0EE25AF5" w:rsidR="0000426F" w:rsidRPr="0000426F" w:rsidRDefault="0000426F">
      <w:pPr>
        <w:pStyle w:val="TOC2"/>
        <w:rPr>
          <w:rFonts w:ascii="Arial" w:eastAsiaTheme="minorEastAsia" w:hAnsi="Arial" w:cs="Arial"/>
          <w:spacing w:val="0"/>
          <w:sz w:val="22"/>
          <w:szCs w:val="22"/>
          <w:lang w:val="en-US"/>
        </w:rPr>
      </w:pPr>
      <w:hyperlink w:anchor="_Toc12264431" w:history="1">
        <w:r w:rsidRPr="0000426F">
          <w:rPr>
            <w:rStyle w:val="Hyperlink"/>
            <w:rFonts w:ascii="Arial" w:hAnsi="Arial" w:cs="Arial"/>
            <w:color w:val="auto"/>
            <w:sz w:val="22"/>
            <w:szCs w:val="22"/>
          </w:rPr>
          <w:t>2.1 Instrumentos</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_Toc12264431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5</w:t>
        </w:r>
        <w:r w:rsidRPr="0000426F">
          <w:rPr>
            <w:rFonts w:ascii="Arial" w:hAnsi="Arial" w:cs="Arial"/>
            <w:webHidden/>
            <w:sz w:val="22"/>
            <w:szCs w:val="22"/>
          </w:rPr>
          <w:fldChar w:fldCharType="end"/>
        </w:r>
      </w:hyperlink>
    </w:p>
    <w:p w14:paraId="74223605" w14:textId="4AD195B8" w:rsidR="0000426F" w:rsidRPr="0000426F" w:rsidRDefault="0000426F">
      <w:pPr>
        <w:pStyle w:val="TOC2"/>
        <w:rPr>
          <w:rFonts w:ascii="Arial" w:eastAsiaTheme="minorEastAsia" w:hAnsi="Arial" w:cs="Arial"/>
          <w:spacing w:val="0"/>
          <w:sz w:val="22"/>
          <w:szCs w:val="22"/>
          <w:lang w:val="en-US"/>
        </w:rPr>
      </w:pPr>
      <w:hyperlink w:anchor="_Toc12264432" w:history="1">
        <w:r w:rsidRPr="0000426F">
          <w:rPr>
            <w:rStyle w:val="Hyperlink"/>
            <w:rFonts w:ascii="Arial" w:hAnsi="Arial" w:cs="Arial"/>
            <w:color w:val="auto"/>
            <w:sz w:val="22"/>
            <w:szCs w:val="22"/>
          </w:rPr>
          <w:t>2.2 Indicadores</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_Toc12264432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7</w:t>
        </w:r>
        <w:r w:rsidRPr="0000426F">
          <w:rPr>
            <w:rFonts w:ascii="Arial" w:hAnsi="Arial" w:cs="Arial"/>
            <w:webHidden/>
            <w:sz w:val="22"/>
            <w:szCs w:val="22"/>
          </w:rPr>
          <w:fldChar w:fldCharType="end"/>
        </w:r>
      </w:hyperlink>
    </w:p>
    <w:p w14:paraId="5F7F43F1" w14:textId="215AD93A" w:rsidR="0000426F" w:rsidRPr="0000426F" w:rsidRDefault="0000426F">
      <w:pPr>
        <w:pStyle w:val="TOC2"/>
        <w:rPr>
          <w:rFonts w:ascii="Arial" w:eastAsiaTheme="minorEastAsia" w:hAnsi="Arial" w:cs="Arial"/>
          <w:spacing w:val="0"/>
          <w:sz w:val="22"/>
          <w:szCs w:val="22"/>
          <w:lang w:val="en-US"/>
        </w:rPr>
      </w:pPr>
      <w:hyperlink w:anchor="_Toc12264433" w:history="1">
        <w:r w:rsidRPr="0000426F">
          <w:rPr>
            <w:rStyle w:val="Hyperlink"/>
            <w:rFonts w:ascii="Arial" w:hAnsi="Arial" w:cs="Arial"/>
            <w:color w:val="auto"/>
            <w:sz w:val="22"/>
            <w:szCs w:val="22"/>
          </w:rPr>
          <w:t>2.3. Recopilación de datos e instrumentos</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_Toc12264433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19</w:t>
        </w:r>
        <w:r w:rsidRPr="0000426F">
          <w:rPr>
            <w:rFonts w:ascii="Arial" w:hAnsi="Arial" w:cs="Arial"/>
            <w:webHidden/>
            <w:sz w:val="22"/>
            <w:szCs w:val="22"/>
          </w:rPr>
          <w:fldChar w:fldCharType="end"/>
        </w:r>
      </w:hyperlink>
    </w:p>
    <w:p w14:paraId="305E6492" w14:textId="1A32E0C9" w:rsidR="0000426F" w:rsidRPr="0000426F" w:rsidRDefault="0000426F">
      <w:pPr>
        <w:pStyle w:val="TOC2"/>
        <w:rPr>
          <w:rFonts w:ascii="Arial" w:eastAsiaTheme="minorEastAsia" w:hAnsi="Arial" w:cs="Arial"/>
          <w:spacing w:val="0"/>
          <w:sz w:val="22"/>
          <w:szCs w:val="22"/>
          <w:lang w:val="en-US"/>
        </w:rPr>
      </w:pPr>
      <w:hyperlink w:anchor="_Toc12264434" w:history="1">
        <w:r w:rsidRPr="0000426F">
          <w:rPr>
            <w:rStyle w:val="Hyperlink"/>
            <w:rFonts w:ascii="Arial" w:hAnsi="Arial" w:cs="Arial"/>
            <w:color w:val="auto"/>
            <w:sz w:val="22"/>
            <w:szCs w:val="22"/>
          </w:rPr>
          <w:t>2.4. Presentación de informes</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_Toc12264434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19</w:t>
        </w:r>
        <w:r w:rsidRPr="0000426F">
          <w:rPr>
            <w:rFonts w:ascii="Arial" w:hAnsi="Arial" w:cs="Arial"/>
            <w:webHidden/>
            <w:sz w:val="22"/>
            <w:szCs w:val="22"/>
          </w:rPr>
          <w:fldChar w:fldCharType="end"/>
        </w:r>
      </w:hyperlink>
    </w:p>
    <w:p w14:paraId="3044FDB9" w14:textId="149A9500" w:rsidR="0000426F" w:rsidRPr="0000426F" w:rsidRDefault="0000426F">
      <w:pPr>
        <w:pStyle w:val="TOC3"/>
        <w:rPr>
          <w:rFonts w:ascii="Arial" w:eastAsiaTheme="minorEastAsia" w:hAnsi="Arial" w:cs="Arial"/>
          <w:spacing w:val="0"/>
          <w:sz w:val="22"/>
          <w:szCs w:val="22"/>
          <w:lang w:val="en-US"/>
        </w:rPr>
      </w:pPr>
      <w:hyperlink w:anchor="_Toc12264435" w:history="1">
        <w:r w:rsidRPr="0000426F">
          <w:rPr>
            <w:rStyle w:val="Hyperlink"/>
            <w:rFonts w:ascii="Arial" w:hAnsi="Arial" w:cs="Arial"/>
            <w:color w:val="auto"/>
            <w:sz w:val="22"/>
            <w:szCs w:val="22"/>
          </w:rPr>
          <w:t>2.4.1. Auditorías</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_Toc12264435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19</w:t>
        </w:r>
        <w:r w:rsidRPr="0000426F">
          <w:rPr>
            <w:rFonts w:ascii="Arial" w:hAnsi="Arial" w:cs="Arial"/>
            <w:webHidden/>
            <w:sz w:val="22"/>
            <w:szCs w:val="22"/>
          </w:rPr>
          <w:fldChar w:fldCharType="end"/>
        </w:r>
      </w:hyperlink>
    </w:p>
    <w:p w14:paraId="61C65D06" w14:textId="385D8ADE" w:rsidR="0000426F" w:rsidRPr="0000426F" w:rsidRDefault="0000426F">
      <w:pPr>
        <w:pStyle w:val="TOC3"/>
        <w:rPr>
          <w:rFonts w:ascii="Arial" w:eastAsiaTheme="minorEastAsia" w:hAnsi="Arial" w:cs="Arial"/>
          <w:spacing w:val="0"/>
          <w:sz w:val="22"/>
          <w:szCs w:val="22"/>
          <w:lang w:val="en-US"/>
        </w:rPr>
      </w:pPr>
      <w:hyperlink w:anchor="_Toc12264436" w:history="1">
        <w:r w:rsidRPr="0000426F">
          <w:rPr>
            <w:rStyle w:val="Hyperlink"/>
            <w:rFonts w:ascii="Arial" w:hAnsi="Arial" w:cs="Arial"/>
            <w:color w:val="auto"/>
            <w:sz w:val="22"/>
            <w:szCs w:val="22"/>
          </w:rPr>
          <w:t>2.4.2. Coordinación, plan de trabajo y presupuesto del seguimiento</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_Toc12264436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19</w:t>
        </w:r>
        <w:r w:rsidRPr="0000426F">
          <w:rPr>
            <w:rFonts w:ascii="Arial" w:hAnsi="Arial" w:cs="Arial"/>
            <w:webHidden/>
            <w:sz w:val="22"/>
            <w:szCs w:val="22"/>
          </w:rPr>
          <w:fldChar w:fldCharType="end"/>
        </w:r>
      </w:hyperlink>
    </w:p>
    <w:p w14:paraId="11EB9F93" w14:textId="3BC3780B" w:rsidR="0000426F" w:rsidRPr="0000426F" w:rsidRDefault="0000426F">
      <w:pPr>
        <w:pStyle w:val="TOC1"/>
        <w:rPr>
          <w:rFonts w:ascii="Arial" w:eastAsiaTheme="minorEastAsia" w:hAnsi="Arial" w:cs="Arial"/>
          <w:smallCaps w:val="0"/>
          <w:spacing w:val="0"/>
          <w:sz w:val="22"/>
          <w:szCs w:val="22"/>
          <w:lang w:val="en-US"/>
        </w:rPr>
      </w:pPr>
      <w:hyperlink w:anchor="_Toc12264437" w:history="1">
        <w:r w:rsidRPr="0000426F">
          <w:rPr>
            <w:rStyle w:val="Hyperlink"/>
            <w:rFonts w:ascii="Arial" w:hAnsi="Arial" w:cs="Arial"/>
            <w:color w:val="auto"/>
            <w:sz w:val="22"/>
            <w:szCs w:val="22"/>
          </w:rPr>
          <w:t>Parte II. Plan de Evaluación Económica Ex-Post.</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_Toc12264437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22</w:t>
        </w:r>
        <w:r w:rsidRPr="0000426F">
          <w:rPr>
            <w:rFonts w:ascii="Arial" w:hAnsi="Arial" w:cs="Arial"/>
            <w:webHidden/>
            <w:sz w:val="22"/>
            <w:szCs w:val="22"/>
          </w:rPr>
          <w:fldChar w:fldCharType="end"/>
        </w:r>
      </w:hyperlink>
    </w:p>
    <w:p w14:paraId="17558F90" w14:textId="25669560" w:rsidR="0000426F" w:rsidRPr="0000426F" w:rsidRDefault="0000426F">
      <w:pPr>
        <w:pStyle w:val="TOC1"/>
        <w:rPr>
          <w:rFonts w:ascii="Arial" w:eastAsiaTheme="minorEastAsia" w:hAnsi="Arial" w:cs="Arial"/>
          <w:smallCaps w:val="0"/>
          <w:spacing w:val="0"/>
          <w:sz w:val="22"/>
          <w:szCs w:val="22"/>
          <w:lang w:val="en-US"/>
        </w:rPr>
      </w:pPr>
      <w:hyperlink w:anchor="_Toc12264438" w:history="1">
        <w:r w:rsidRPr="0000426F">
          <w:rPr>
            <w:rStyle w:val="Hyperlink"/>
            <w:rFonts w:ascii="Arial" w:eastAsia="Calibri" w:hAnsi="Arial" w:cs="Arial"/>
            <w:color w:val="auto"/>
            <w:sz w:val="22"/>
            <w:szCs w:val="22"/>
          </w:rPr>
          <w:t>1.0 Introducción</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_Toc12264438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22</w:t>
        </w:r>
        <w:r w:rsidRPr="0000426F">
          <w:rPr>
            <w:rFonts w:ascii="Arial" w:hAnsi="Arial" w:cs="Arial"/>
            <w:webHidden/>
            <w:sz w:val="22"/>
            <w:szCs w:val="22"/>
          </w:rPr>
          <w:fldChar w:fldCharType="end"/>
        </w:r>
      </w:hyperlink>
    </w:p>
    <w:p w14:paraId="487153E4" w14:textId="1B0E9902" w:rsidR="0000426F" w:rsidRPr="0000426F" w:rsidRDefault="0000426F">
      <w:pPr>
        <w:pStyle w:val="TOC2"/>
        <w:rPr>
          <w:rFonts w:ascii="Arial" w:eastAsiaTheme="minorEastAsia" w:hAnsi="Arial" w:cs="Arial"/>
          <w:spacing w:val="0"/>
          <w:sz w:val="22"/>
          <w:szCs w:val="22"/>
          <w:lang w:val="en-US"/>
        </w:rPr>
      </w:pPr>
      <w:hyperlink w:anchor="_Toc12264439" w:history="1">
        <w:r w:rsidRPr="0000426F">
          <w:rPr>
            <w:rStyle w:val="Hyperlink"/>
            <w:rFonts w:ascii="Arial" w:eastAsia="Calibri" w:hAnsi="Arial" w:cs="Arial"/>
            <w:color w:val="auto"/>
            <w:sz w:val="22"/>
            <w:szCs w:val="22"/>
          </w:rPr>
          <w:t>1.1. Teoría de Cambio</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_Toc12264439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22</w:t>
        </w:r>
        <w:r w:rsidRPr="0000426F">
          <w:rPr>
            <w:rFonts w:ascii="Arial" w:hAnsi="Arial" w:cs="Arial"/>
            <w:webHidden/>
            <w:sz w:val="22"/>
            <w:szCs w:val="22"/>
          </w:rPr>
          <w:fldChar w:fldCharType="end"/>
        </w:r>
      </w:hyperlink>
    </w:p>
    <w:p w14:paraId="3EAC1DBB" w14:textId="79D9CC22" w:rsidR="0000426F" w:rsidRPr="0000426F" w:rsidRDefault="0000426F">
      <w:pPr>
        <w:pStyle w:val="TOC2"/>
        <w:rPr>
          <w:rFonts w:ascii="Arial" w:eastAsiaTheme="minorEastAsia" w:hAnsi="Arial" w:cs="Arial"/>
          <w:spacing w:val="0"/>
          <w:sz w:val="22"/>
          <w:szCs w:val="22"/>
          <w:lang w:val="en-US"/>
        </w:rPr>
      </w:pPr>
      <w:hyperlink w:anchor="_Toc12264440" w:history="1">
        <w:r w:rsidRPr="0000426F">
          <w:rPr>
            <w:rStyle w:val="Hyperlink"/>
            <w:rFonts w:ascii="Arial" w:eastAsia="Calibri" w:hAnsi="Arial" w:cs="Arial"/>
            <w:color w:val="auto"/>
            <w:sz w:val="22"/>
            <w:szCs w:val="22"/>
          </w:rPr>
          <w:t>1.2. Revisión de Literatura</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_Toc12264440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25</w:t>
        </w:r>
        <w:r w:rsidRPr="0000426F">
          <w:rPr>
            <w:rFonts w:ascii="Arial" w:hAnsi="Arial" w:cs="Arial"/>
            <w:webHidden/>
            <w:sz w:val="22"/>
            <w:szCs w:val="22"/>
          </w:rPr>
          <w:fldChar w:fldCharType="end"/>
        </w:r>
      </w:hyperlink>
    </w:p>
    <w:p w14:paraId="6BFD68D8" w14:textId="1E5F0361" w:rsidR="0000426F" w:rsidRPr="0000426F" w:rsidRDefault="0000426F">
      <w:pPr>
        <w:pStyle w:val="TOC2"/>
        <w:rPr>
          <w:rFonts w:ascii="Arial" w:eastAsiaTheme="minorEastAsia" w:hAnsi="Arial" w:cs="Arial"/>
          <w:spacing w:val="0"/>
          <w:sz w:val="22"/>
          <w:szCs w:val="22"/>
          <w:lang w:val="en-US"/>
        </w:rPr>
      </w:pPr>
      <w:hyperlink w:anchor="_Toc12264441" w:history="1">
        <w:r w:rsidRPr="0000426F">
          <w:rPr>
            <w:rStyle w:val="Hyperlink"/>
            <w:rFonts w:ascii="Arial" w:eastAsia="Calibri" w:hAnsi="Arial" w:cs="Arial"/>
            <w:color w:val="auto"/>
            <w:sz w:val="22"/>
            <w:szCs w:val="22"/>
          </w:rPr>
          <w:t>1.3. Resumen de la Estrategia de Evaluación Ex-Post</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_Toc12264441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27</w:t>
        </w:r>
        <w:r w:rsidRPr="0000426F">
          <w:rPr>
            <w:rFonts w:ascii="Arial" w:hAnsi="Arial" w:cs="Arial"/>
            <w:webHidden/>
            <w:sz w:val="22"/>
            <w:szCs w:val="22"/>
          </w:rPr>
          <w:fldChar w:fldCharType="end"/>
        </w:r>
      </w:hyperlink>
    </w:p>
    <w:p w14:paraId="73AC2578" w14:textId="03231400" w:rsidR="0000426F" w:rsidRPr="0000426F" w:rsidRDefault="0000426F">
      <w:pPr>
        <w:pStyle w:val="TOC2"/>
        <w:rPr>
          <w:rFonts w:ascii="Arial" w:eastAsiaTheme="minorEastAsia" w:hAnsi="Arial" w:cs="Arial"/>
          <w:spacing w:val="0"/>
          <w:sz w:val="22"/>
          <w:szCs w:val="22"/>
          <w:lang w:val="en-US"/>
        </w:rPr>
      </w:pPr>
      <w:hyperlink w:anchor="_Toc12264442" w:history="1">
        <w:r w:rsidRPr="0000426F">
          <w:rPr>
            <w:rStyle w:val="Hyperlink"/>
            <w:rFonts w:ascii="Arial" w:eastAsia="Calibri" w:hAnsi="Arial" w:cs="Arial"/>
            <w:color w:val="auto"/>
            <w:sz w:val="22"/>
            <w:szCs w:val="22"/>
          </w:rPr>
          <w:t>1.4. Resumen del Análisis Económico Ex-Ante del Programa</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_Toc12264442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27</w:t>
        </w:r>
        <w:r w:rsidRPr="0000426F">
          <w:rPr>
            <w:rFonts w:ascii="Arial" w:hAnsi="Arial" w:cs="Arial"/>
            <w:webHidden/>
            <w:sz w:val="22"/>
            <w:szCs w:val="22"/>
          </w:rPr>
          <w:fldChar w:fldCharType="end"/>
        </w:r>
      </w:hyperlink>
    </w:p>
    <w:p w14:paraId="2E26684D" w14:textId="6BD1D0F0" w:rsidR="0000426F" w:rsidRPr="0000426F" w:rsidRDefault="0000426F">
      <w:pPr>
        <w:pStyle w:val="TOC2"/>
        <w:rPr>
          <w:rFonts w:ascii="Arial" w:eastAsiaTheme="minorEastAsia" w:hAnsi="Arial" w:cs="Arial"/>
          <w:spacing w:val="0"/>
          <w:sz w:val="22"/>
          <w:szCs w:val="22"/>
          <w:lang w:val="en-US"/>
        </w:rPr>
      </w:pPr>
      <w:hyperlink w:anchor="_Toc12264443" w:history="1">
        <w:r w:rsidRPr="0000426F">
          <w:rPr>
            <w:rStyle w:val="Hyperlink"/>
            <w:rFonts w:ascii="Arial" w:eastAsia="Calibri" w:hAnsi="Arial" w:cs="Arial"/>
            <w:color w:val="auto"/>
            <w:sz w:val="22"/>
            <w:szCs w:val="22"/>
          </w:rPr>
          <w:t>1.5. Preguntas de la Evaluación Económica Expost</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_Toc12264443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29</w:t>
        </w:r>
        <w:r w:rsidRPr="0000426F">
          <w:rPr>
            <w:rFonts w:ascii="Arial" w:hAnsi="Arial" w:cs="Arial"/>
            <w:webHidden/>
            <w:sz w:val="22"/>
            <w:szCs w:val="22"/>
          </w:rPr>
          <w:fldChar w:fldCharType="end"/>
        </w:r>
      </w:hyperlink>
    </w:p>
    <w:p w14:paraId="127C279E" w14:textId="3ACCCA49" w:rsidR="0000426F" w:rsidRPr="0000426F" w:rsidRDefault="0000426F">
      <w:pPr>
        <w:pStyle w:val="TOC1"/>
        <w:rPr>
          <w:rFonts w:ascii="Arial" w:eastAsiaTheme="minorEastAsia" w:hAnsi="Arial" w:cs="Arial"/>
          <w:smallCaps w:val="0"/>
          <w:spacing w:val="0"/>
          <w:sz w:val="22"/>
          <w:szCs w:val="22"/>
          <w:lang w:val="en-US"/>
        </w:rPr>
      </w:pPr>
      <w:hyperlink w:anchor="_Toc12264444" w:history="1">
        <w:r w:rsidRPr="0000426F">
          <w:rPr>
            <w:rStyle w:val="Hyperlink"/>
            <w:rFonts w:ascii="Arial" w:eastAsia="Calibri" w:hAnsi="Arial" w:cs="Arial"/>
            <w:color w:val="auto"/>
            <w:sz w:val="22"/>
            <w:szCs w:val="22"/>
          </w:rPr>
          <w:t>2.0. Metodologías de Evaluación Económica Expost</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_Toc12264444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29</w:t>
        </w:r>
        <w:r w:rsidRPr="0000426F">
          <w:rPr>
            <w:rFonts w:ascii="Arial" w:hAnsi="Arial" w:cs="Arial"/>
            <w:webHidden/>
            <w:sz w:val="22"/>
            <w:szCs w:val="22"/>
          </w:rPr>
          <w:fldChar w:fldCharType="end"/>
        </w:r>
      </w:hyperlink>
    </w:p>
    <w:p w14:paraId="4008A37A" w14:textId="36F06967" w:rsidR="0000426F" w:rsidRPr="0000426F" w:rsidRDefault="0000426F">
      <w:pPr>
        <w:pStyle w:val="TOC2"/>
        <w:rPr>
          <w:rFonts w:ascii="Arial" w:eastAsiaTheme="minorEastAsia" w:hAnsi="Arial" w:cs="Arial"/>
          <w:spacing w:val="0"/>
          <w:sz w:val="22"/>
          <w:szCs w:val="22"/>
          <w:lang w:val="en-US"/>
        </w:rPr>
      </w:pPr>
      <w:hyperlink w:anchor="_Toc12264445" w:history="1">
        <w:r w:rsidRPr="0000426F">
          <w:rPr>
            <w:rStyle w:val="Hyperlink"/>
            <w:rFonts w:ascii="Arial" w:hAnsi="Arial" w:cs="Arial"/>
            <w:color w:val="auto"/>
            <w:sz w:val="22"/>
            <w:szCs w:val="22"/>
          </w:rPr>
          <w:t>2.1. Método de asignación aleatoria y método de asignación gradual aleatoria</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_Toc12264445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34</w:t>
        </w:r>
        <w:r w:rsidRPr="0000426F">
          <w:rPr>
            <w:rFonts w:ascii="Arial" w:hAnsi="Arial" w:cs="Arial"/>
            <w:webHidden/>
            <w:sz w:val="22"/>
            <w:szCs w:val="22"/>
          </w:rPr>
          <w:fldChar w:fldCharType="end"/>
        </w:r>
      </w:hyperlink>
    </w:p>
    <w:p w14:paraId="26745950" w14:textId="11E66209" w:rsidR="0000426F" w:rsidRPr="0000426F" w:rsidRDefault="0000426F">
      <w:pPr>
        <w:pStyle w:val="TOC2"/>
        <w:rPr>
          <w:rFonts w:ascii="Arial" w:eastAsiaTheme="minorEastAsia" w:hAnsi="Arial" w:cs="Arial"/>
          <w:spacing w:val="0"/>
          <w:sz w:val="22"/>
          <w:szCs w:val="22"/>
          <w:lang w:val="en-US"/>
        </w:rPr>
      </w:pPr>
      <w:hyperlink w:anchor="_Toc12264446" w:history="1">
        <w:r w:rsidRPr="0000426F">
          <w:rPr>
            <w:rStyle w:val="Hyperlink"/>
            <w:rFonts w:ascii="Arial" w:hAnsi="Arial" w:cs="Arial"/>
            <w:color w:val="auto"/>
            <w:sz w:val="22"/>
            <w:szCs w:val="22"/>
          </w:rPr>
          <w:t>2.2. Método de aplicación gradual por regiones</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_Toc12264446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34</w:t>
        </w:r>
        <w:r w:rsidRPr="0000426F">
          <w:rPr>
            <w:rFonts w:ascii="Arial" w:hAnsi="Arial" w:cs="Arial"/>
            <w:webHidden/>
            <w:sz w:val="22"/>
            <w:szCs w:val="22"/>
          </w:rPr>
          <w:fldChar w:fldCharType="end"/>
        </w:r>
      </w:hyperlink>
    </w:p>
    <w:p w14:paraId="58930B4E" w14:textId="7EAE11C8" w:rsidR="0000426F" w:rsidRPr="0000426F" w:rsidRDefault="0000426F">
      <w:pPr>
        <w:pStyle w:val="TOC2"/>
        <w:rPr>
          <w:rFonts w:ascii="Arial" w:eastAsiaTheme="minorEastAsia" w:hAnsi="Arial" w:cs="Arial"/>
          <w:spacing w:val="0"/>
          <w:sz w:val="22"/>
          <w:szCs w:val="22"/>
          <w:lang w:val="en-US"/>
        </w:rPr>
      </w:pPr>
      <w:hyperlink w:anchor="_Toc12264447" w:history="1">
        <w:r w:rsidRPr="0000426F">
          <w:rPr>
            <w:rStyle w:val="Hyperlink"/>
            <w:rFonts w:ascii="Arial" w:hAnsi="Arial" w:cs="Arial"/>
            <w:color w:val="auto"/>
            <w:sz w:val="22"/>
            <w:szCs w:val="22"/>
          </w:rPr>
          <w:t>2.3. Diseño de aplicación gradual no aleatorio por regiones</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_Toc12264447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35</w:t>
        </w:r>
        <w:r w:rsidRPr="0000426F">
          <w:rPr>
            <w:rFonts w:ascii="Arial" w:hAnsi="Arial" w:cs="Arial"/>
            <w:webHidden/>
            <w:sz w:val="22"/>
            <w:szCs w:val="22"/>
          </w:rPr>
          <w:fldChar w:fldCharType="end"/>
        </w:r>
      </w:hyperlink>
    </w:p>
    <w:p w14:paraId="1C25A6D9" w14:textId="452E13CA" w:rsidR="0000426F" w:rsidRPr="0000426F" w:rsidRDefault="0000426F">
      <w:pPr>
        <w:pStyle w:val="TOC2"/>
        <w:rPr>
          <w:rFonts w:ascii="Arial" w:eastAsiaTheme="minorEastAsia" w:hAnsi="Arial" w:cs="Arial"/>
          <w:spacing w:val="0"/>
          <w:sz w:val="22"/>
          <w:szCs w:val="22"/>
          <w:lang w:val="en-US"/>
        </w:rPr>
      </w:pPr>
      <w:hyperlink w:anchor="_Toc12264448" w:history="1">
        <w:r w:rsidRPr="0000426F">
          <w:rPr>
            <w:rStyle w:val="Hyperlink"/>
            <w:rFonts w:ascii="Arial" w:hAnsi="Arial" w:cs="Arial"/>
            <w:color w:val="auto"/>
            <w:sz w:val="22"/>
            <w:szCs w:val="22"/>
          </w:rPr>
          <w:t>2.4. Método de control sintético</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_Toc12264448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36</w:t>
        </w:r>
        <w:r w:rsidRPr="0000426F">
          <w:rPr>
            <w:rFonts w:ascii="Arial" w:hAnsi="Arial" w:cs="Arial"/>
            <w:webHidden/>
            <w:sz w:val="22"/>
            <w:szCs w:val="22"/>
          </w:rPr>
          <w:fldChar w:fldCharType="end"/>
        </w:r>
      </w:hyperlink>
    </w:p>
    <w:p w14:paraId="6B7EA1CE" w14:textId="1C5D9B46" w:rsidR="0000426F" w:rsidRPr="0000426F" w:rsidRDefault="0000426F">
      <w:pPr>
        <w:pStyle w:val="TOC1"/>
        <w:rPr>
          <w:rFonts w:ascii="Arial" w:eastAsiaTheme="minorEastAsia" w:hAnsi="Arial" w:cs="Arial"/>
          <w:smallCaps w:val="0"/>
          <w:spacing w:val="0"/>
          <w:sz w:val="22"/>
          <w:szCs w:val="22"/>
          <w:lang w:val="en-US"/>
        </w:rPr>
      </w:pPr>
      <w:hyperlink w:anchor="_Toc12264449" w:history="1">
        <w:r w:rsidRPr="0000426F">
          <w:rPr>
            <w:rStyle w:val="Hyperlink"/>
            <w:rFonts w:ascii="Arial" w:eastAsia="Calibri" w:hAnsi="Arial" w:cs="Arial"/>
            <w:color w:val="auto"/>
            <w:sz w:val="22"/>
            <w:szCs w:val="22"/>
          </w:rPr>
          <w:t xml:space="preserve">3.0 </w:t>
        </w:r>
        <w:r w:rsidRPr="0000426F">
          <w:rPr>
            <w:rStyle w:val="Hyperlink"/>
            <w:rFonts w:ascii="Arial" w:eastAsia="Calibri" w:hAnsi="Arial" w:cs="Arial"/>
            <w:bCs/>
            <w:color w:val="auto"/>
            <w:sz w:val="22"/>
            <w:szCs w:val="22"/>
          </w:rPr>
          <w:t>Propuesta de Metodología de Evaluación Económica Expost</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_Toc12264449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37</w:t>
        </w:r>
        <w:r w:rsidRPr="0000426F">
          <w:rPr>
            <w:rFonts w:ascii="Arial" w:hAnsi="Arial" w:cs="Arial"/>
            <w:webHidden/>
            <w:sz w:val="22"/>
            <w:szCs w:val="22"/>
          </w:rPr>
          <w:fldChar w:fldCharType="end"/>
        </w:r>
      </w:hyperlink>
    </w:p>
    <w:p w14:paraId="741246E8" w14:textId="1EC887DA" w:rsidR="0000426F" w:rsidRPr="0000426F" w:rsidRDefault="0000426F">
      <w:pPr>
        <w:pStyle w:val="TOC1"/>
        <w:rPr>
          <w:rFonts w:ascii="Arial" w:eastAsiaTheme="minorEastAsia" w:hAnsi="Arial" w:cs="Arial"/>
          <w:smallCaps w:val="0"/>
          <w:spacing w:val="0"/>
          <w:sz w:val="22"/>
          <w:szCs w:val="22"/>
          <w:lang w:val="en-US"/>
        </w:rPr>
      </w:pPr>
      <w:hyperlink w:anchor="_Toc12264450" w:history="1">
        <w:r w:rsidRPr="0000426F">
          <w:rPr>
            <w:rStyle w:val="Hyperlink"/>
            <w:rFonts w:ascii="Arial" w:hAnsi="Arial" w:cs="Arial"/>
            <w:color w:val="auto"/>
            <w:sz w:val="22"/>
            <w:szCs w:val="22"/>
          </w:rPr>
          <w:t>4.0 Cronograma y presupuesto</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_Toc12264450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39</w:t>
        </w:r>
        <w:r w:rsidRPr="0000426F">
          <w:rPr>
            <w:rFonts w:ascii="Arial" w:hAnsi="Arial" w:cs="Arial"/>
            <w:webHidden/>
            <w:sz w:val="22"/>
            <w:szCs w:val="22"/>
          </w:rPr>
          <w:fldChar w:fldCharType="end"/>
        </w:r>
      </w:hyperlink>
    </w:p>
    <w:p w14:paraId="7C3721D9" w14:textId="6DF5FEB0" w:rsidR="0000426F" w:rsidRPr="0000426F" w:rsidRDefault="0000426F">
      <w:pPr>
        <w:pStyle w:val="TOC1"/>
        <w:rPr>
          <w:rFonts w:ascii="Arial" w:eastAsiaTheme="minorEastAsia" w:hAnsi="Arial" w:cs="Arial"/>
          <w:smallCaps w:val="0"/>
          <w:spacing w:val="0"/>
          <w:sz w:val="22"/>
          <w:szCs w:val="22"/>
          <w:lang w:val="en-US"/>
        </w:rPr>
      </w:pPr>
      <w:hyperlink w:anchor="_Toc12264451" w:history="1">
        <w:r w:rsidRPr="0000426F">
          <w:rPr>
            <w:rStyle w:val="Hyperlink"/>
            <w:rFonts w:ascii="Arial" w:hAnsi="Arial" w:cs="Arial"/>
            <w:color w:val="auto"/>
            <w:sz w:val="22"/>
            <w:szCs w:val="22"/>
          </w:rPr>
          <w:t>Referencias</w:t>
        </w:r>
        <w:r w:rsidRPr="0000426F">
          <w:rPr>
            <w:rFonts w:ascii="Arial" w:hAnsi="Arial" w:cs="Arial"/>
            <w:webHidden/>
            <w:sz w:val="22"/>
            <w:szCs w:val="22"/>
          </w:rPr>
          <w:tab/>
        </w:r>
        <w:r w:rsidRPr="0000426F">
          <w:rPr>
            <w:rFonts w:ascii="Arial" w:hAnsi="Arial" w:cs="Arial"/>
            <w:webHidden/>
            <w:sz w:val="22"/>
            <w:szCs w:val="22"/>
          </w:rPr>
          <w:fldChar w:fldCharType="begin"/>
        </w:r>
        <w:r w:rsidRPr="0000426F">
          <w:rPr>
            <w:rFonts w:ascii="Arial" w:hAnsi="Arial" w:cs="Arial"/>
            <w:webHidden/>
            <w:sz w:val="22"/>
            <w:szCs w:val="22"/>
          </w:rPr>
          <w:instrText xml:space="preserve"> PAGEREF _Toc12264451 \h </w:instrText>
        </w:r>
        <w:r w:rsidRPr="0000426F">
          <w:rPr>
            <w:rFonts w:ascii="Arial" w:hAnsi="Arial" w:cs="Arial"/>
            <w:webHidden/>
            <w:sz w:val="22"/>
            <w:szCs w:val="22"/>
          </w:rPr>
        </w:r>
        <w:r w:rsidRPr="0000426F">
          <w:rPr>
            <w:rFonts w:ascii="Arial" w:hAnsi="Arial" w:cs="Arial"/>
            <w:webHidden/>
            <w:sz w:val="22"/>
            <w:szCs w:val="22"/>
          </w:rPr>
          <w:fldChar w:fldCharType="separate"/>
        </w:r>
        <w:r w:rsidRPr="0000426F">
          <w:rPr>
            <w:rFonts w:ascii="Arial" w:hAnsi="Arial" w:cs="Arial"/>
            <w:webHidden/>
            <w:sz w:val="22"/>
            <w:szCs w:val="22"/>
          </w:rPr>
          <w:t>41</w:t>
        </w:r>
        <w:r w:rsidRPr="0000426F">
          <w:rPr>
            <w:rFonts w:ascii="Arial" w:hAnsi="Arial" w:cs="Arial"/>
            <w:webHidden/>
            <w:sz w:val="22"/>
            <w:szCs w:val="22"/>
          </w:rPr>
          <w:fldChar w:fldCharType="end"/>
        </w:r>
      </w:hyperlink>
    </w:p>
    <w:p w14:paraId="1F148C3D" w14:textId="62E99D32" w:rsidR="00F311B9" w:rsidRPr="00C551E1" w:rsidRDefault="00F311B9">
      <w:pPr>
        <w:rPr>
          <w:rFonts w:ascii="Arial" w:hAnsi="Arial" w:cs="Arial"/>
          <w:sz w:val="22"/>
          <w:szCs w:val="22"/>
        </w:rPr>
      </w:pPr>
      <w:r w:rsidRPr="0000426F">
        <w:rPr>
          <w:rFonts w:ascii="Arial" w:hAnsi="Arial" w:cs="Arial"/>
          <w:b/>
          <w:bCs/>
          <w:sz w:val="22"/>
          <w:szCs w:val="22"/>
        </w:rPr>
        <w:fldChar w:fldCharType="end"/>
      </w:r>
    </w:p>
    <w:p w14:paraId="7254BDD3" w14:textId="77777777" w:rsidR="001B5186" w:rsidRPr="00C551E1" w:rsidRDefault="001C55CD" w:rsidP="00792B59">
      <w:pPr>
        <w:pStyle w:val="heading-b24"/>
        <w:jc w:val="both"/>
        <w:rPr>
          <w:rFonts w:ascii="Arial" w:hAnsi="Arial" w:cs="Arial"/>
          <w:sz w:val="22"/>
          <w:szCs w:val="22"/>
        </w:rPr>
      </w:pPr>
      <w:r w:rsidRPr="00C551E1">
        <w:rPr>
          <w:rFonts w:ascii="Arial" w:eastAsia="Arial Unicode MS" w:hAnsi="Arial" w:cs="Arial"/>
          <w:sz w:val="22"/>
          <w:szCs w:val="22"/>
        </w:rPr>
        <w:br w:type="page"/>
      </w:r>
      <w:r w:rsidR="00BD6C4D" w:rsidRPr="00C551E1">
        <w:rPr>
          <w:rFonts w:ascii="Arial" w:eastAsia="Arial Unicode MS" w:hAnsi="Arial" w:cs="Arial"/>
          <w:sz w:val="22"/>
          <w:szCs w:val="22"/>
        </w:rPr>
        <w:lastRenderedPageBreak/>
        <w:t>Siglas y Abreviaturas</w:t>
      </w:r>
    </w:p>
    <w:tbl>
      <w:tblPr>
        <w:tblW w:w="8640" w:type="dxa"/>
        <w:tblInd w:w="108" w:type="dxa"/>
        <w:tblLook w:val="01E0" w:firstRow="1" w:lastRow="1" w:firstColumn="1" w:lastColumn="1" w:noHBand="0" w:noVBand="0"/>
      </w:tblPr>
      <w:tblGrid>
        <w:gridCol w:w="1336"/>
        <w:gridCol w:w="7304"/>
      </w:tblGrid>
      <w:tr w:rsidR="00DD232E" w:rsidRPr="00C551E1" w14:paraId="626DE254" w14:textId="77777777" w:rsidTr="00C82C7E">
        <w:trPr>
          <w:cantSplit/>
        </w:trPr>
        <w:tc>
          <w:tcPr>
            <w:tcW w:w="1336" w:type="dxa"/>
          </w:tcPr>
          <w:p w14:paraId="3803344D"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ACB</w:t>
            </w:r>
          </w:p>
          <w:p w14:paraId="6DFA3022"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AAO</w:t>
            </w:r>
          </w:p>
        </w:tc>
        <w:tc>
          <w:tcPr>
            <w:tcW w:w="7304" w:type="dxa"/>
          </w:tcPr>
          <w:p w14:paraId="3215711A"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Análisis Costo-Beneficio</w:t>
            </w:r>
          </w:p>
          <w:p w14:paraId="7BA0C9E2"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Autorización Ambiental de Operación</w:t>
            </w:r>
          </w:p>
        </w:tc>
      </w:tr>
      <w:tr w:rsidR="00DD232E" w:rsidRPr="00C551E1" w14:paraId="4EDE5D45" w14:textId="77777777" w:rsidTr="00C82C7E">
        <w:trPr>
          <w:cantSplit/>
        </w:trPr>
        <w:tc>
          <w:tcPr>
            <w:tcW w:w="1336" w:type="dxa"/>
          </w:tcPr>
          <w:p w14:paraId="2C909AD7"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AAP</w:t>
            </w:r>
          </w:p>
        </w:tc>
        <w:tc>
          <w:tcPr>
            <w:tcW w:w="7304" w:type="dxa"/>
          </w:tcPr>
          <w:p w14:paraId="4290FA47"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Autorización Ambiental Previa</w:t>
            </w:r>
          </w:p>
        </w:tc>
      </w:tr>
      <w:tr w:rsidR="00DD232E" w:rsidRPr="00C551E1" w14:paraId="21825EAB" w14:textId="77777777" w:rsidTr="00C82C7E">
        <w:trPr>
          <w:cantSplit/>
        </w:trPr>
        <w:tc>
          <w:tcPr>
            <w:tcW w:w="1336" w:type="dxa"/>
          </w:tcPr>
          <w:p w14:paraId="43ACF3FC"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BID</w:t>
            </w:r>
          </w:p>
        </w:tc>
        <w:tc>
          <w:tcPr>
            <w:tcW w:w="7304" w:type="dxa"/>
          </w:tcPr>
          <w:p w14:paraId="5D18F52B"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Banco Interamericano de Desarrollo</w:t>
            </w:r>
          </w:p>
        </w:tc>
      </w:tr>
      <w:tr w:rsidR="00DD232E" w:rsidRPr="00C551E1" w14:paraId="78270B2D" w14:textId="77777777" w:rsidTr="00C82C7E">
        <w:trPr>
          <w:cantSplit/>
        </w:trPr>
        <w:tc>
          <w:tcPr>
            <w:tcW w:w="1336" w:type="dxa"/>
          </w:tcPr>
          <w:p w14:paraId="21769D1D"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DCDA</w:t>
            </w:r>
          </w:p>
        </w:tc>
        <w:tc>
          <w:tcPr>
            <w:tcW w:w="7304" w:type="dxa"/>
          </w:tcPr>
          <w:p w14:paraId="5E7636F4"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División de Control y Desempeño Ambiental</w:t>
            </w:r>
          </w:p>
        </w:tc>
      </w:tr>
      <w:tr w:rsidR="00DD232E" w:rsidRPr="00C551E1" w14:paraId="65B2850B" w14:textId="77777777" w:rsidTr="00C82C7E">
        <w:trPr>
          <w:cantSplit/>
        </w:trPr>
        <w:tc>
          <w:tcPr>
            <w:tcW w:w="1336" w:type="dxa"/>
          </w:tcPr>
          <w:p w14:paraId="0CE4A3B4"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DEIA</w:t>
            </w:r>
          </w:p>
        </w:tc>
        <w:tc>
          <w:tcPr>
            <w:tcW w:w="7304" w:type="dxa"/>
          </w:tcPr>
          <w:p w14:paraId="3A68E8AA"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División de Evaluación de Impacto Ambiental de DINAMA</w:t>
            </w:r>
          </w:p>
        </w:tc>
      </w:tr>
      <w:tr w:rsidR="00DD232E" w:rsidRPr="00C551E1" w14:paraId="669A808E" w14:textId="77777777" w:rsidTr="00C82C7E">
        <w:trPr>
          <w:cantSplit/>
        </w:trPr>
        <w:tc>
          <w:tcPr>
            <w:tcW w:w="1336" w:type="dxa"/>
          </w:tcPr>
          <w:p w14:paraId="0CA6D52F"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DINAGUA</w:t>
            </w:r>
          </w:p>
        </w:tc>
        <w:tc>
          <w:tcPr>
            <w:tcW w:w="7304" w:type="dxa"/>
          </w:tcPr>
          <w:p w14:paraId="774D2BE9"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Dirección Nacional de Agua</w:t>
            </w:r>
          </w:p>
        </w:tc>
      </w:tr>
      <w:tr w:rsidR="00DD232E" w:rsidRPr="00C551E1" w14:paraId="320E0596" w14:textId="77777777" w:rsidTr="00C82C7E">
        <w:trPr>
          <w:cantSplit/>
        </w:trPr>
        <w:tc>
          <w:tcPr>
            <w:tcW w:w="1336" w:type="dxa"/>
          </w:tcPr>
          <w:p w14:paraId="5042AB9D"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DINAMA</w:t>
            </w:r>
          </w:p>
        </w:tc>
        <w:tc>
          <w:tcPr>
            <w:tcW w:w="7304" w:type="dxa"/>
          </w:tcPr>
          <w:p w14:paraId="28BE92AF"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Dirección Nacional de Medio Ambiente</w:t>
            </w:r>
          </w:p>
        </w:tc>
      </w:tr>
      <w:tr w:rsidR="00DD232E" w:rsidRPr="00C551E1" w14:paraId="7500FE30" w14:textId="77777777" w:rsidTr="00C82C7E">
        <w:trPr>
          <w:cantSplit/>
        </w:trPr>
        <w:tc>
          <w:tcPr>
            <w:tcW w:w="1336" w:type="dxa"/>
          </w:tcPr>
          <w:p w14:paraId="5EF9264E"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DINOT</w:t>
            </w:r>
          </w:p>
        </w:tc>
        <w:tc>
          <w:tcPr>
            <w:tcW w:w="7304" w:type="dxa"/>
          </w:tcPr>
          <w:p w14:paraId="173F5DDF"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Dirección Nacional de Ordenamiento Territorial</w:t>
            </w:r>
          </w:p>
        </w:tc>
      </w:tr>
      <w:tr w:rsidR="00DD232E" w:rsidRPr="00C551E1" w14:paraId="63683659" w14:textId="77777777" w:rsidTr="00C82C7E">
        <w:trPr>
          <w:cantSplit/>
        </w:trPr>
        <w:tc>
          <w:tcPr>
            <w:tcW w:w="1336" w:type="dxa"/>
          </w:tcPr>
          <w:p w14:paraId="422470E5"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DVT</w:t>
            </w:r>
          </w:p>
        </w:tc>
        <w:tc>
          <w:tcPr>
            <w:tcW w:w="7304" w:type="dxa"/>
          </w:tcPr>
          <w:p w14:paraId="0B0BEBF8"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Dictamen de Viabilidad Territorial</w:t>
            </w:r>
          </w:p>
        </w:tc>
      </w:tr>
      <w:tr w:rsidR="00DD232E" w:rsidRPr="00C551E1" w14:paraId="6920799F" w14:textId="77777777" w:rsidTr="00C82C7E">
        <w:trPr>
          <w:cantSplit/>
        </w:trPr>
        <w:tc>
          <w:tcPr>
            <w:tcW w:w="1336" w:type="dxa"/>
          </w:tcPr>
          <w:p w14:paraId="2FF9E972"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EAE</w:t>
            </w:r>
          </w:p>
        </w:tc>
        <w:tc>
          <w:tcPr>
            <w:tcW w:w="7304" w:type="dxa"/>
          </w:tcPr>
          <w:p w14:paraId="217D9095"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Evaluación Ambiental Estratégica</w:t>
            </w:r>
          </w:p>
        </w:tc>
      </w:tr>
      <w:tr w:rsidR="00DD232E" w:rsidRPr="00C551E1" w14:paraId="7A5745AE" w14:textId="77777777" w:rsidTr="00C82C7E">
        <w:trPr>
          <w:cantSplit/>
        </w:trPr>
        <w:tc>
          <w:tcPr>
            <w:tcW w:w="1336" w:type="dxa"/>
          </w:tcPr>
          <w:p w14:paraId="1DE6AC45"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EIA</w:t>
            </w:r>
          </w:p>
        </w:tc>
        <w:tc>
          <w:tcPr>
            <w:tcW w:w="7304" w:type="dxa"/>
          </w:tcPr>
          <w:p w14:paraId="356B8EEF"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Evaluación de Impacto Ambiental</w:t>
            </w:r>
          </w:p>
        </w:tc>
      </w:tr>
      <w:tr w:rsidR="00DD232E" w:rsidRPr="00C551E1" w14:paraId="05802C62" w14:textId="77777777" w:rsidTr="00C82C7E">
        <w:trPr>
          <w:cantSplit/>
        </w:trPr>
        <w:tc>
          <w:tcPr>
            <w:tcW w:w="1336" w:type="dxa"/>
          </w:tcPr>
          <w:p w14:paraId="011922C5"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EsIA</w:t>
            </w:r>
          </w:p>
        </w:tc>
        <w:tc>
          <w:tcPr>
            <w:tcW w:w="7304" w:type="dxa"/>
          </w:tcPr>
          <w:p w14:paraId="3C578B1A"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Estudios de Impacto Ambiental</w:t>
            </w:r>
          </w:p>
        </w:tc>
      </w:tr>
      <w:tr w:rsidR="00DD232E" w:rsidRPr="00C551E1" w14:paraId="3858E3D6" w14:textId="77777777" w:rsidTr="00C82C7E">
        <w:trPr>
          <w:cantSplit/>
        </w:trPr>
        <w:tc>
          <w:tcPr>
            <w:tcW w:w="1336" w:type="dxa"/>
          </w:tcPr>
          <w:p w14:paraId="21335291"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IAO</w:t>
            </w:r>
          </w:p>
        </w:tc>
        <w:tc>
          <w:tcPr>
            <w:tcW w:w="7304" w:type="dxa"/>
          </w:tcPr>
          <w:p w14:paraId="48F34989"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Informe Ambiental de Operación</w:t>
            </w:r>
          </w:p>
        </w:tc>
      </w:tr>
      <w:tr w:rsidR="00DD232E" w:rsidRPr="00C551E1" w14:paraId="4CA00525" w14:textId="77777777" w:rsidTr="00C82C7E">
        <w:trPr>
          <w:cantSplit/>
        </w:trPr>
        <w:tc>
          <w:tcPr>
            <w:tcW w:w="1336" w:type="dxa"/>
          </w:tcPr>
          <w:p w14:paraId="45296521"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IED</w:t>
            </w:r>
          </w:p>
        </w:tc>
        <w:tc>
          <w:tcPr>
            <w:tcW w:w="7304" w:type="dxa"/>
          </w:tcPr>
          <w:p w14:paraId="60197B67"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Inversión Extranjera Directa</w:t>
            </w:r>
          </w:p>
        </w:tc>
      </w:tr>
      <w:tr w:rsidR="00DD232E" w:rsidRPr="00C551E1" w14:paraId="3CEC87C4" w14:textId="77777777" w:rsidTr="00C82C7E">
        <w:trPr>
          <w:cantSplit/>
        </w:trPr>
        <w:tc>
          <w:tcPr>
            <w:tcW w:w="1336" w:type="dxa"/>
          </w:tcPr>
          <w:p w14:paraId="31F23768"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IOT</w:t>
            </w:r>
          </w:p>
        </w:tc>
        <w:tc>
          <w:tcPr>
            <w:tcW w:w="7304" w:type="dxa"/>
          </w:tcPr>
          <w:p w14:paraId="344457E4"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Instrumentos de Ordenamiento Territorial</w:t>
            </w:r>
          </w:p>
        </w:tc>
      </w:tr>
      <w:tr w:rsidR="00DD232E" w:rsidRPr="00C551E1" w14:paraId="65630141" w14:textId="77777777" w:rsidTr="00C82C7E">
        <w:trPr>
          <w:cantSplit/>
        </w:trPr>
        <w:tc>
          <w:tcPr>
            <w:tcW w:w="1336" w:type="dxa"/>
          </w:tcPr>
          <w:p w14:paraId="59213E0C"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ITP</w:t>
            </w:r>
          </w:p>
        </w:tc>
        <w:tc>
          <w:tcPr>
            <w:tcW w:w="7304" w:type="dxa"/>
          </w:tcPr>
          <w:p w14:paraId="6B563603"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Informe de terminación de proyecto</w:t>
            </w:r>
          </w:p>
        </w:tc>
      </w:tr>
      <w:tr w:rsidR="00DD232E" w:rsidRPr="00C551E1" w14:paraId="27EB8891" w14:textId="77777777" w:rsidTr="00C82C7E">
        <w:trPr>
          <w:cantSplit/>
        </w:trPr>
        <w:tc>
          <w:tcPr>
            <w:tcW w:w="1336" w:type="dxa"/>
          </w:tcPr>
          <w:p w14:paraId="223417AC" w14:textId="3E4F662B" w:rsidR="00DD232E" w:rsidRPr="00C551E1" w:rsidRDefault="00DD232E" w:rsidP="00792B59">
            <w:pPr>
              <w:jc w:val="both"/>
              <w:rPr>
                <w:rFonts w:ascii="Arial" w:hAnsi="Arial" w:cs="Arial"/>
                <w:sz w:val="22"/>
                <w:szCs w:val="22"/>
              </w:rPr>
            </w:pPr>
            <w:r w:rsidRPr="00C551E1">
              <w:rPr>
                <w:rFonts w:ascii="Arial" w:hAnsi="Arial" w:cs="Arial"/>
                <w:sz w:val="22"/>
                <w:szCs w:val="22"/>
              </w:rPr>
              <w:t>MR</w:t>
            </w:r>
          </w:p>
        </w:tc>
        <w:tc>
          <w:tcPr>
            <w:tcW w:w="7304" w:type="dxa"/>
          </w:tcPr>
          <w:p w14:paraId="437CDB08"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Matriz de Resultados</w:t>
            </w:r>
          </w:p>
        </w:tc>
      </w:tr>
      <w:tr w:rsidR="00DD232E" w:rsidRPr="00C551E1" w14:paraId="35914A6C" w14:textId="77777777" w:rsidTr="00C82C7E">
        <w:trPr>
          <w:cantSplit/>
        </w:trPr>
        <w:tc>
          <w:tcPr>
            <w:tcW w:w="1336" w:type="dxa"/>
          </w:tcPr>
          <w:p w14:paraId="11E2E12B"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MVOTMA</w:t>
            </w:r>
          </w:p>
        </w:tc>
        <w:tc>
          <w:tcPr>
            <w:tcW w:w="7304" w:type="dxa"/>
          </w:tcPr>
          <w:p w14:paraId="47E4F4D4"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Ministerio de Vivienda, Ordenamiento Territorial y Medio Ambiente</w:t>
            </w:r>
          </w:p>
        </w:tc>
      </w:tr>
      <w:tr w:rsidR="00DD232E" w:rsidRPr="00C551E1" w14:paraId="09DB465C" w14:textId="77777777" w:rsidTr="00C82C7E">
        <w:trPr>
          <w:cantSplit/>
        </w:trPr>
        <w:tc>
          <w:tcPr>
            <w:tcW w:w="1336" w:type="dxa"/>
          </w:tcPr>
          <w:p w14:paraId="21E0F02C"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M&amp;E</w:t>
            </w:r>
          </w:p>
        </w:tc>
        <w:tc>
          <w:tcPr>
            <w:tcW w:w="7304" w:type="dxa"/>
          </w:tcPr>
          <w:p w14:paraId="4D6A80C8"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Monitoreo y Evaluación</w:t>
            </w:r>
          </w:p>
        </w:tc>
      </w:tr>
      <w:tr w:rsidR="00DD232E" w:rsidRPr="00C551E1" w14:paraId="3C4B4F3C" w14:textId="77777777" w:rsidTr="00C82C7E">
        <w:trPr>
          <w:cantSplit/>
        </w:trPr>
        <w:tc>
          <w:tcPr>
            <w:tcW w:w="1336" w:type="dxa"/>
          </w:tcPr>
          <w:p w14:paraId="3C26F8C3"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OE</w:t>
            </w:r>
          </w:p>
        </w:tc>
        <w:tc>
          <w:tcPr>
            <w:tcW w:w="7304" w:type="dxa"/>
          </w:tcPr>
          <w:p w14:paraId="3E22134D"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Organismo Ejecutor</w:t>
            </w:r>
          </w:p>
        </w:tc>
      </w:tr>
      <w:tr w:rsidR="00DD232E" w:rsidRPr="00C551E1" w14:paraId="021EADA1" w14:textId="77777777" w:rsidTr="00C82C7E">
        <w:trPr>
          <w:cantSplit/>
        </w:trPr>
        <w:tc>
          <w:tcPr>
            <w:tcW w:w="1336" w:type="dxa"/>
          </w:tcPr>
          <w:p w14:paraId="302B779B"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PA</w:t>
            </w:r>
          </w:p>
        </w:tc>
        <w:tc>
          <w:tcPr>
            <w:tcW w:w="7304" w:type="dxa"/>
          </w:tcPr>
          <w:p w14:paraId="0E9841BD"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Plan de Adquisiciones</w:t>
            </w:r>
          </w:p>
        </w:tc>
      </w:tr>
      <w:tr w:rsidR="00DD232E" w:rsidRPr="00C551E1" w14:paraId="37CEB6AD" w14:textId="77777777" w:rsidTr="00C82C7E">
        <w:trPr>
          <w:cantSplit/>
        </w:trPr>
        <w:tc>
          <w:tcPr>
            <w:tcW w:w="1336" w:type="dxa"/>
          </w:tcPr>
          <w:p w14:paraId="6DF7B547"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POA</w:t>
            </w:r>
          </w:p>
        </w:tc>
        <w:tc>
          <w:tcPr>
            <w:tcW w:w="7304" w:type="dxa"/>
          </w:tcPr>
          <w:p w14:paraId="52F2630C"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Planes Operativos Anuales</w:t>
            </w:r>
          </w:p>
        </w:tc>
      </w:tr>
      <w:tr w:rsidR="00DD232E" w:rsidRPr="00C551E1" w14:paraId="25B77972" w14:textId="77777777" w:rsidTr="00C82C7E">
        <w:trPr>
          <w:cantSplit/>
        </w:trPr>
        <w:tc>
          <w:tcPr>
            <w:tcW w:w="1336" w:type="dxa"/>
          </w:tcPr>
          <w:p w14:paraId="1042D33B"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POD</w:t>
            </w:r>
          </w:p>
          <w:p w14:paraId="6EAE43BD" w14:textId="77777777" w:rsidR="00DD232E" w:rsidRPr="00C551E1" w:rsidRDefault="00C47A61" w:rsidP="00792B59">
            <w:pPr>
              <w:jc w:val="both"/>
              <w:rPr>
                <w:rFonts w:ascii="Arial" w:hAnsi="Arial" w:cs="Arial"/>
                <w:sz w:val="22"/>
                <w:szCs w:val="22"/>
              </w:rPr>
            </w:pPr>
            <w:r w:rsidRPr="00C551E1">
              <w:rPr>
                <w:rFonts w:ascii="Arial" w:hAnsi="Arial" w:cs="Arial"/>
                <w:sz w:val="22"/>
                <w:szCs w:val="22"/>
              </w:rPr>
              <w:t>UEP</w:t>
            </w:r>
          </w:p>
          <w:p w14:paraId="2E69AA8A"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VAL</w:t>
            </w:r>
          </w:p>
        </w:tc>
        <w:tc>
          <w:tcPr>
            <w:tcW w:w="7304" w:type="dxa"/>
          </w:tcPr>
          <w:p w14:paraId="26C033CC"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Propuesta para el Desarrollo de la Operación</w:t>
            </w:r>
          </w:p>
          <w:p w14:paraId="368FCD69"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Unidad Coordinadora del Proyecto</w:t>
            </w:r>
          </w:p>
          <w:p w14:paraId="45C806BE"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Viabilidad Ambiental de Localización</w:t>
            </w:r>
          </w:p>
        </w:tc>
      </w:tr>
      <w:tr w:rsidR="00DD232E" w:rsidRPr="00C551E1" w14:paraId="3B1363D8" w14:textId="77777777" w:rsidTr="00C82C7E">
        <w:trPr>
          <w:cantSplit/>
        </w:trPr>
        <w:tc>
          <w:tcPr>
            <w:tcW w:w="1336" w:type="dxa"/>
          </w:tcPr>
          <w:p w14:paraId="0ABADCC4"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XPMR</w:t>
            </w:r>
          </w:p>
        </w:tc>
        <w:tc>
          <w:tcPr>
            <w:tcW w:w="7304" w:type="dxa"/>
          </w:tcPr>
          <w:p w14:paraId="3DB3F038"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Informe ampliado de seguimiento del desempeño de proyecto</w:t>
            </w:r>
          </w:p>
        </w:tc>
      </w:tr>
      <w:tr w:rsidR="00DD232E" w:rsidRPr="00F134B3" w14:paraId="693CDE9C" w14:textId="77777777" w:rsidTr="00C82C7E">
        <w:trPr>
          <w:cantSplit/>
        </w:trPr>
        <w:tc>
          <w:tcPr>
            <w:tcW w:w="1336" w:type="dxa"/>
          </w:tcPr>
          <w:p w14:paraId="71EA2497"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ESMR</w:t>
            </w:r>
          </w:p>
        </w:tc>
        <w:tc>
          <w:tcPr>
            <w:tcW w:w="7304" w:type="dxa"/>
          </w:tcPr>
          <w:p w14:paraId="3E8AADDD" w14:textId="77777777" w:rsidR="00DD232E" w:rsidRPr="002B5292" w:rsidRDefault="00DD232E" w:rsidP="00792B59">
            <w:pPr>
              <w:jc w:val="both"/>
              <w:rPr>
                <w:rFonts w:ascii="Arial" w:hAnsi="Arial"/>
                <w:sz w:val="22"/>
                <w:lang w:val="en-US"/>
              </w:rPr>
            </w:pPr>
            <w:r w:rsidRPr="002B5292">
              <w:rPr>
                <w:rFonts w:ascii="Arial" w:hAnsi="Arial"/>
                <w:sz w:val="22"/>
                <w:lang w:val="en-US"/>
              </w:rPr>
              <w:t>Environmental and Social Management Report</w:t>
            </w:r>
          </w:p>
        </w:tc>
      </w:tr>
      <w:tr w:rsidR="00DD232E" w:rsidRPr="00C551E1" w14:paraId="16C6B5BA" w14:textId="77777777" w:rsidTr="00C82C7E">
        <w:trPr>
          <w:cantSplit/>
        </w:trPr>
        <w:tc>
          <w:tcPr>
            <w:tcW w:w="1336" w:type="dxa"/>
          </w:tcPr>
          <w:p w14:paraId="5F34F304"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ESS</w:t>
            </w:r>
          </w:p>
        </w:tc>
        <w:tc>
          <w:tcPr>
            <w:tcW w:w="7304" w:type="dxa"/>
          </w:tcPr>
          <w:p w14:paraId="0D5BD352"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Environmental and Social Strategy</w:t>
            </w:r>
          </w:p>
        </w:tc>
      </w:tr>
      <w:tr w:rsidR="00DD232E" w:rsidRPr="00C551E1" w14:paraId="0CE4902D" w14:textId="77777777" w:rsidTr="00C82C7E">
        <w:trPr>
          <w:cantSplit/>
        </w:trPr>
        <w:tc>
          <w:tcPr>
            <w:tcW w:w="1336" w:type="dxa"/>
          </w:tcPr>
          <w:p w14:paraId="6036583E"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PMR</w:t>
            </w:r>
          </w:p>
        </w:tc>
        <w:tc>
          <w:tcPr>
            <w:tcW w:w="7304" w:type="dxa"/>
          </w:tcPr>
          <w:p w14:paraId="1FE41ACB"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Program Monitoring Report</w:t>
            </w:r>
          </w:p>
        </w:tc>
      </w:tr>
      <w:tr w:rsidR="00DD232E" w:rsidRPr="00F134B3" w14:paraId="57E736E0" w14:textId="77777777" w:rsidTr="00C82C7E">
        <w:trPr>
          <w:cantSplit/>
        </w:trPr>
        <w:tc>
          <w:tcPr>
            <w:tcW w:w="1336" w:type="dxa"/>
          </w:tcPr>
          <w:p w14:paraId="377BCB31" w14:textId="77777777" w:rsidR="00DD232E" w:rsidRPr="00C551E1" w:rsidRDefault="00DD232E" w:rsidP="00792B59">
            <w:pPr>
              <w:jc w:val="both"/>
              <w:rPr>
                <w:rFonts w:ascii="Arial" w:hAnsi="Arial" w:cs="Arial"/>
                <w:sz w:val="22"/>
                <w:szCs w:val="22"/>
              </w:rPr>
            </w:pPr>
            <w:r w:rsidRPr="00C551E1">
              <w:rPr>
                <w:rFonts w:ascii="Arial" w:hAnsi="Arial" w:cs="Arial"/>
                <w:sz w:val="22"/>
                <w:szCs w:val="22"/>
              </w:rPr>
              <w:t>SSF</w:t>
            </w:r>
          </w:p>
        </w:tc>
        <w:tc>
          <w:tcPr>
            <w:tcW w:w="7304" w:type="dxa"/>
          </w:tcPr>
          <w:p w14:paraId="232EDD29" w14:textId="77777777" w:rsidR="00DD232E" w:rsidRPr="002B5292" w:rsidRDefault="00DD232E" w:rsidP="00792B59">
            <w:pPr>
              <w:jc w:val="both"/>
              <w:rPr>
                <w:rFonts w:ascii="Arial" w:hAnsi="Arial"/>
                <w:sz w:val="22"/>
                <w:lang w:val="en-US"/>
              </w:rPr>
            </w:pPr>
            <w:r w:rsidRPr="002B5292">
              <w:rPr>
                <w:rFonts w:ascii="Arial" w:hAnsi="Arial"/>
                <w:sz w:val="22"/>
                <w:lang w:val="en-US"/>
              </w:rPr>
              <w:t>Safeguard and Screening Form for Screening and Classification of Projects</w:t>
            </w:r>
          </w:p>
        </w:tc>
      </w:tr>
    </w:tbl>
    <w:p w14:paraId="5C310611" w14:textId="77777777" w:rsidR="00F5581C" w:rsidRPr="002B5292" w:rsidRDefault="00F5581C" w:rsidP="00792B59">
      <w:pPr>
        <w:pStyle w:val="ColorfulList-Accent11"/>
        <w:ind w:left="1080"/>
        <w:jc w:val="both"/>
        <w:rPr>
          <w:rFonts w:ascii="Arial" w:hAnsi="Arial"/>
          <w:lang w:val="en-US"/>
        </w:rPr>
      </w:pPr>
    </w:p>
    <w:p w14:paraId="5FC29A15" w14:textId="5467C27F" w:rsidR="005C6B46" w:rsidRPr="00C551E1" w:rsidRDefault="001B5186" w:rsidP="003A3C32">
      <w:pPr>
        <w:pStyle w:val="Heading1"/>
        <w:numPr>
          <w:ilvl w:val="0"/>
          <w:numId w:val="0"/>
        </w:numPr>
        <w:ind w:left="288" w:hanging="288"/>
        <w:rPr>
          <w:rFonts w:ascii="Arial" w:hAnsi="Arial" w:cs="Arial"/>
          <w:noProof w:val="0"/>
          <w:sz w:val="22"/>
          <w:szCs w:val="22"/>
          <w:lang w:val="es-ES_tradnl"/>
        </w:rPr>
      </w:pPr>
      <w:r w:rsidRPr="00F134B3">
        <w:rPr>
          <w:rFonts w:ascii="Arial" w:hAnsi="Arial"/>
          <w:noProof w:val="0"/>
          <w:sz w:val="22"/>
          <w:lang w:val="es-MX"/>
        </w:rPr>
        <w:br w:type="page"/>
      </w:r>
      <w:bookmarkStart w:id="0" w:name="_Toc11138469"/>
      <w:bookmarkStart w:id="1" w:name="_Toc12264428"/>
      <w:r w:rsidR="005C6B46" w:rsidRPr="00C551E1">
        <w:rPr>
          <w:rFonts w:ascii="Arial" w:hAnsi="Arial" w:cs="Arial"/>
          <w:noProof w:val="0"/>
          <w:sz w:val="22"/>
          <w:szCs w:val="22"/>
          <w:lang w:val="es-ES_tradnl"/>
        </w:rPr>
        <w:lastRenderedPageBreak/>
        <w:t>PARTE A. Plan de Seguimiento</w:t>
      </w:r>
      <w:bookmarkEnd w:id="0"/>
      <w:bookmarkEnd w:id="1"/>
    </w:p>
    <w:p w14:paraId="479E04A6" w14:textId="1162EC18" w:rsidR="001B5186" w:rsidRPr="00C551E1" w:rsidRDefault="00F311B9" w:rsidP="00F311B9">
      <w:pPr>
        <w:pStyle w:val="Heading1"/>
        <w:numPr>
          <w:ilvl w:val="0"/>
          <w:numId w:val="0"/>
        </w:numPr>
        <w:ind w:left="288" w:hanging="288"/>
        <w:jc w:val="left"/>
        <w:rPr>
          <w:rFonts w:ascii="Arial" w:hAnsi="Arial" w:cs="Arial"/>
          <w:noProof w:val="0"/>
          <w:sz w:val="22"/>
          <w:szCs w:val="22"/>
          <w:lang w:val="es-ES_tradnl"/>
        </w:rPr>
      </w:pPr>
      <w:bookmarkStart w:id="2" w:name="_Toc11138470"/>
      <w:bookmarkStart w:id="3" w:name="_Toc12264429"/>
      <w:r w:rsidRPr="00C551E1">
        <w:rPr>
          <w:rFonts w:ascii="Arial" w:hAnsi="Arial" w:cs="Arial"/>
          <w:noProof w:val="0"/>
          <w:sz w:val="22"/>
          <w:szCs w:val="22"/>
          <w:lang w:val="es-ES_tradnl"/>
        </w:rPr>
        <w:t>1. Introducc</w:t>
      </w:r>
      <w:r w:rsidR="00314214" w:rsidRPr="00C551E1">
        <w:rPr>
          <w:rFonts w:ascii="Arial" w:hAnsi="Arial" w:cs="Arial"/>
          <w:noProof w:val="0"/>
          <w:sz w:val="22"/>
          <w:szCs w:val="22"/>
          <w:lang w:val="es-ES_tradnl"/>
        </w:rPr>
        <w:t>ió</w:t>
      </w:r>
      <w:r w:rsidRPr="00C551E1">
        <w:rPr>
          <w:rFonts w:ascii="Arial" w:hAnsi="Arial" w:cs="Arial"/>
          <w:noProof w:val="0"/>
          <w:sz w:val="22"/>
          <w:szCs w:val="22"/>
          <w:lang w:val="es-ES_tradnl"/>
        </w:rPr>
        <w:t>n</w:t>
      </w:r>
      <w:bookmarkEnd w:id="2"/>
      <w:bookmarkEnd w:id="3"/>
    </w:p>
    <w:p w14:paraId="03BCA21C" w14:textId="5F99C0FA" w:rsidR="000052DB" w:rsidRPr="00C551E1" w:rsidRDefault="000052DB" w:rsidP="00A47D3F">
      <w:pPr>
        <w:pStyle w:val="AutoNumpara"/>
        <w:numPr>
          <w:ilvl w:val="0"/>
          <w:numId w:val="0"/>
        </w:numPr>
        <w:rPr>
          <w:rFonts w:ascii="Arial" w:hAnsi="Arial" w:cs="Arial"/>
          <w:noProof w:val="0"/>
          <w:color w:val="000000"/>
          <w:sz w:val="22"/>
          <w:szCs w:val="22"/>
        </w:rPr>
      </w:pPr>
      <w:r w:rsidRPr="00C551E1">
        <w:rPr>
          <w:rFonts w:ascii="Arial" w:hAnsi="Arial" w:cs="Arial"/>
          <w:bCs/>
          <w:sz w:val="22"/>
          <w:szCs w:val="22"/>
        </w:rPr>
        <w:t xml:space="preserve">El objetivo general del </w:t>
      </w:r>
      <w:r w:rsidR="002B5292">
        <w:rPr>
          <w:rFonts w:ascii="Arial" w:hAnsi="Arial" w:cs="Arial"/>
          <w:bCs/>
          <w:noProof w:val="0"/>
          <w:sz w:val="22"/>
          <w:szCs w:val="22"/>
        </w:rPr>
        <w:t>programa</w:t>
      </w:r>
      <w:r w:rsidRPr="00C551E1">
        <w:rPr>
          <w:rFonts w:ascii="Arial" w:hAnsi="Arial" w:cs="Arial"/>
          <w:bCs/>
          <w:sz w:val="22"/>
          <w:szCs w:val="22"/>
        </w:rPr>
        <w:t xml:space="preserve"> es contribuir a la mejora de la gestión de la calidad y sostenibilidad ambiental, a través del fortalecimiento del MVOTMA y en el marco del Plan Ambiental Nacional para el Desarrollo Sostenible (PANDS) y los planes de acción de cuenca. El </w:t>
      </w:r>
      <w:r w:rsidR="002B5292">
        <w:rPr>
          <w:rFonts w:ascii="Arial" w:hAnsi="Arial" w:cs="Arial"/>
          <w:bCs/>
          <w:noProof w:val="0"/>
          <w:sz w:val="22"/>
          <w:szCs w:val="22"/>
        </w:rPr>
        <w:t>programa</w:t>
      </w:r>
      <w:r w:rsidRPr="00C551E1">
        <w:rPr>
          <w:rFonts w:ascii="Arial" w:hAnsi="Arial" w:cs="Arial"/>
          <w:bCs/>
          <w:sz w:val="22"/>
          <w:szCs w:val="22"/>
        </w:rPr>
        <w:t xml:space="preserve"> tiene dos objetivos específicos: (i) fortalecer las funciones de planificación estratégica, evaluación, control y monitoreo ambiental del MVOTMA; y (ii) fortalecer la gestión integrada de cuencas prioritarias con énfasis en la disminución de cargas contaminantes de origen agropecuario.</w:t>
      </w:r>
    </w:p>
    <w:p w14:paraId="04C5D3D8" w14:textId="4979B5E6" w:rsidR="0048702B" w:rsidRPr="00C551E1" w:rsidRDefault="00DD232E" w:rsidP="00F134B3">
      <w:pPr>
        <w:pStyle w:val="AutoNumpara"/>
        <w:numPr>
          <w:ilvl w:val="0"/>
          <w:numId w:val="0"/>
        </w:numPr>
        <w:rPr>
          <w:rFonts w:ascii="Arial" w:hAnsi="Arial" w:cs="Arial"/>
          <w:bCs/>
          <w:noProof w:val="0"/>
          <w:color w:val="000000"/>
          <w:sz w:val="22"/>
          <w:szCs w:val="22"/>
        </w:rPr>
      </w:pPr>
      <w:r w:rsidRPr="00C551E1">
        <w:rPr>
          <w:rFonts w:ascii="Arial" w:hAnsi="Arial" w:cs="Arial"/>
          <w:bCs/>
          <w:noProof w:val="0"/>
          <w:color w:val="000000"/>
          <w:sz w:val="22"/>
          <w:szCs w:val="22"/>
        </w:rPr>
        <w:t xml:space="preserve">El proyecto está organizado en dos </w:t>
      </w:r>
      <w:r w:rsidR="00BB63E5" w:rsidRPr="00C551E1">
        <w:rPr>
          <w:rFonts w:ascii="Arial" w:hAnsi="Arial" w:cs="Arial"/>
          <w:bCs/>
          <w:noProof w:val="0"/>
          <w:color w:val="000000"/>
          <w:sz w:val="22"/>
          <w:szCs w:val="22"/>
        </w:rPr>
        <w:t>componentes</w:t>
      </w:r>
      <w:r w:rsidR="0048702B" w:rsidRPr="00C551E1">
        <w:rPr>
          <w:rFonts w:ascii="Arial" w:hAnsi="Arial" w:cs="Arial"/>
          <w:bCs/>
          <w:noProof w:val="0"/>
          <w:color w:val="000000"/>
          <w:sz w:val="22"/>
          <w:szCs w:val="22"/>
        </w:rPr>
        <w:t xml:space="preserve">. Componente </w:t>
      </w:r>
      <w:r w:rsidR="0014369E" w:rsidRPr="00C551E1">
        <w:rPr>
          <w:rFonts w:ascii="Arial" w:hAnsi="Arial" w:cs="Arial"/>
          <w:bCs/>
          <w:noProof w:val="0"/>
          <w:color w:val="000000"/>
          <w:sz w:val="22"/>
          <w:szCs w:val="22"/>
        </w:rPr>
        <w:t xml:space="preserve">uno fortalecerá </w:t>
      </w:r>
      <w:r w:rsidR="0048702B" w:rsidRPr="00C551E1">
        <w:rPr>
          <w:rFonts w:ascii="Arial" w:hAnsi="Arial" w:cs="Arial"/>
          <w:bCs/>
          <w:noProof w:val="0"/>
          <w:color w:val="000000"/>
          <w:sz w:val="22"/>
          <w:szCs w:val="22"/>
        </w:rPr>
        <w:t xml:space="preserve">las funciones de planificación estratégica, evaluación, control y monitoreo ambiental del MVOTMA. Este componente tiene cuatro líneas de acción: (i) fortalecerá la planificación estratégica y ordenamiento territorial y financiará: (a) </w:t>
      </w:r>
      <w:r w:rsidR="002B5292">
        <w:rPr>
          <w:rFonts w:ascii="Arial" w:hAnsi="Arial" w:cs="Arial"/>
          <w:bCs/>
          <w:noProof w:val="0"/>
          <w:color w:val="000000"/>
          <w:sz w:val="22"/>
          <w:szCs w:val="22"/>
        </w:rPr>
        <w:t>programa</w:t>
      </w:r>
      <w:r w:rsidR="0048702B" w:rsidRPr="00C551E1">
        <w:rPr>
          <w:rFonts w:ascii="Arial" w:hAnsi="Arial" w:cs="Arial"/>
          <w:bCs/>
          <w:noProof w:val="0"/>
          <w:color w:val="000000"/>
          <w:sz w:val="22"/>
          <w:szCs w:val="22"/>
        </w:rPr>
        <w:t xml:space="preserve">s de ordenamiento territorial para la cuenca del Rio Santa Lucía y la cuenca media del Rio Negro tomando en cuenta la variabilidad climática; (b) la elaboración de un plan de seguimiento del PANDS; y (c) planes estratégicos para aumentar la sostenibilidad del MVOTMA, desconcentrando sus funciones e incorporando mecanismos de financiamiento; (ii) mejorará la capacidad de análisis de la condición del medio ambiente, incluyendo la dimensión de los impactos derivados de la variabilidad y cambio climático, y financiará: (a) el rediseño e implementación de </w:t>
      </w:r>
      <w:r w:rsidR="002B5292">
        <w:rPr>
          <w:rFonts w:ascii="Arial" w:hAnsi="Arial" w:cs="Arial"/>
          <w:bCs/>
          <w:noProof w:val="0"/>
          <w:color w:val="000000"/>
          <w:sz w:val="22"/>
          <w:szCs w:val="22"/>
        </w:rPr>
        <w:t>programa</w:t>
      </w:r>
      <w:r w:rsidR="0048702B" w:rsidRPr="00C551E1">
        <w:rPr>
          <w:rFonts w:ascii="Arial" w:hAnsi="Arial" w:cs="Arial"/>
          <w:bCs/>
          <w:noProof w:val="0"/>
          <w:color w:val="000000"/>
          <w:sz w:val="22"/>
          <w:szCs w:val="22"/>
        </w:rPr>
        <w:t xml:space="preserve">s de evaluación de calidad del agua; (b) el desarrollo de nuevas capacidades analíticas de los laboratorios del MVOTMA para el análisis de cianobacterias y plaguicidas; y (c) la rehabilitación de la red hidrométrica y el establecimiento de sistemas de modelado predictivo de calidad de agua y aire en tres cuencas; (iii) financiará el establecimiento de un sistema de información para el monitoreo y control de emisiones integrado a los sistemas de fiscalización y de denuncias; y (iv) financiará: (a) la mejora de la calidad de procesos/procedimientos de evaluación de impacto ambiental (por ejemplo, la elaboración de guías para la participación, consulta temprana y seguimiento ambiental en las evaluaciones y requisitos mínimos de calidad para la realización y revisión de las evaluaciones); y (b) el diseño y análisis de instrumentos políticos y económicos para fomentar practicas productivas ambientalmente sostenibles . </w:t>
      </w:r>
    </w:p>
    <w:p w14:paraId="730EA019" w14:textId="026C77FE" w:rsidR="00DD232E" w:rsidRPr="00C551E1" w:rsidRDefault="0014369E" w:rsidP="0048702B">
      <w:pPr>
        <w:pStyle w:val="AutoNumpara"/>
        <w:numPr>
          <w:ilvl w:val="0"/>
          <w:numId w:val="0"/>
        </w:numPr>
        <w:rPr>
          <w:rFonts w:ascii="Arial" w:hAnsi="Arial" w:cs="Arial"/>
          <w:noProof w:val="0"/>
          <w:color w:val="000000"/>
          <w:sz w:val="22"/>
          <w:szCs w:val="22"/>
        </w:rPr>
      </w:pPr>
      <w:r w:rsidRPr="00C551E1">
        <w:rPr>
          <w:rFonts w:ascii="Arial" w:hAnsi="Arial" w:cs="Arial"/>
          <w:bCs/>
          <w:noProof w:val="0"/>
          <w:color w:val="000000"/>
          <w:sz w:val="22"/>
          <w:szCs w:val="22"/>
        </w:rPr>
        <w:t>El c</w:t>
      </w:r>
      <w:r w:rsidR="0048702B" w:rsidRPr="00C551E1">
        <w:rPr>
          <w:rFonts w:ascii="Arial" w:hAnsi="Arial" w:cs="Arial"/>
          <w:bCs/>
          <w:noProof w:val="0"/>
          <w:color w:val="000000"/>
          <w:sz w:val="22"/>
          <w:szCs w:val="22"/>
        </w:rPr>
        <w:t xml:space="preserve">omponente </w:t>
      </w:r>
      <w:r w:rsidRPr="00C551E1">
        <w:rPr>
          <w:rFonts w:ascii="Arial" w:hAnsi="Arial" w:cs="Arial"/>
          <w:bCs/>
          <w:noProof w:val="0"/>
          <w:color w:val="000000"/>
          <w:sz w:val="22"/>
          <w:szCs w:val="22"/>
        </w:rPr>
        <w:t>dos</w:t>
      </w:r>
      <w:r w:rsidR="0048702B" w:rsidRPr="00C551E1">
        <w:rPr>
          <w:rFonts w:ascii="Arial" w:hAnsi="Arial" w:cs="Arial"/>
          <w:bCs/>
          <w:noProof w:val="0"/>
          <w:color w:val="000000"/>
          <w:sz w:val="22"/>
          <w:szCs w:val="22"/>
        </w:rPr>
        <w:t xml:space="preserve"> </w:t>
      </w:r>
      <w:r w:rsidRPr="00C551E1">
        <w:rPr>
          <w:rFonts w:ascii="Arial" w:hAnsi="Arial" w:cs="Arial"/>
          <w:bCs/>
          <w:noProof w:val="0"/>
          <w:color w:val="000000"/>
          <w:sz w:val="22"/>
          <w:szCs w:val="22"/>
        </w:rPr>
        <w:t>f</w:t>
      </w:r>
      <w:r w:rsidR="0048702B" w:rsidRPr="00C551E1">
        <w:rPr>
          <w:rFonts w:ascii="Arial" w:hAnsi="Arial" w:cs="Arial"/>
          <w:bCs/>
          <w:noProof w:val="0"/>
          <w:color w:val="000000"/>
          <w:sz w:val="22"/>
          <w:szCs w:val="22"/>
        </w:rPr>
        <w:t>ortalecer</w:t>
      </w:r>
      <w:r w:rsidRPr="00C551E1">
        <w:rPr>
          <w:rFonts w:ascii="Arial" w:hAnsi="Arial" w:cs="Arial"/>
          <w:bCs/>
          <w:noProof w:val="0"/>
          <w:color w:val="000000"/>
          <w:sz w:val="22"/>
          <w:szCs w:val="22"/>
        </w:rPr>
        <w:t>á</w:t>
      </w:r>
      <w:r w:rsidR="0048702B" w:rsidRPr="00C551E1">
        <w:rPr>
          <w:rFonts w:ascii="Arial" w:hAnsi="Arial" w:cs="Arial"/>
          <w:bCs/>
          <w:noProof w:val="0"/>
          <w:color w:val="000000"/>
          <w:sz w:val="22"/>
          <w:szCs w:val="22"/>
        </w:rPr>
        <w:t xml:space="preserve"> la gestión integrada de cuencas prioritarias con énfasis en la disminución de cargas contaminantes de origen agropecuario</w:t>
      </w:r>
      <w:r w:rsidRPr="00C551E1">
        <w:rPr>
          <w:rFonts w:ascii="Arial" w:hAnsi="Arial" w:cs="Arial"/>
          <w:bCs/>
          <w:noProof w:val="0"/>
          <w:color w:val="000000"/>
          <w:sz w:val="22"/>
          <w:szCs w:val="22"/>
        </w:rPr>
        <w:t xml:space="preserve">. </w:t>
      </w:r>
      <w:r w:rsidR="0048702B" w:rsidRPr="00C551E1">
        <w:rPr>
          <w:rFonts w:ascii="Arial" w:hAnsi="Arial" w:cs="Arial"/>
          <w:bCs/>
          <w:noProof w:val="0"/>
          <w:color w:val="000000"/>
          <w:sz w:val="22"/>
          <w:szCs w:val="22"/>
        </w:rPr>
        <w:t xml:space="preserve">Este componente consta de dos líneas de acción en tres cuencas prioritarias del país, específicamente la cuenca del Río Santa Lucía, Río Negro y Laguna de Sauce: (i) financiará la incorporación de sensoramiento remoto en el monitoreo y control ambiental, el manejo y control de las zonas de amortiguación y el desarrollo e implementación de una estrategia de control de fuentes difusas de contaminación; y (ii) financiará el diseño e inicio de promoción de nuevas tecnologías y prácticas de base agroecológica y el diseño e implementación de un sistema de auditorías para los predios lecheros, expandiéndose a otras actividades agropecuarias. </w:t>
      </w:r>
    </w:p>
    <w:p w14:paraId="1320E6DB" w14:textId="4BEB0043" w:rsidR="007F1AB6" w:rsidRPr="00C551E1" w:rsidRDefault="007F1AB6" w:rsidP="00A47D3F">
      <w:pPr>
        <w:pStyle w:val="AutoNumpara"/>
        <w:numPr>
          <w:ilvl w:val="0"/>
          <w:numId w:val="0"/>
        </w:numPr>
        <w:rPr>
          <w:rFonts w:ascii="Arial" w:hAnsi="Arial" w:cs="Arial"/>
          <w:noProof w:val="0"/>
          <w:sz w:val="22"/>
          <w:szCs w:val="22"/>
        </w:rPr>
      </w:pPr>
      <w:r w:rsidRPr="00C551E1">
        <w:rPr>
          <w:rFonts w:ascii="Arial" w:hAnsi="Arial" w:cs="Arial"/>
          <w:noProof w:val="0"/>
          <w:sz w:val="22"/>
          <w:szCs w:val="22"/>
        </w:rPr>
        <w:t>E</w:t>
      </w:r>
      <w:r w:rsidR="0014369E" w:rsidRPr="00C551E1">
        <w:rPr>
          <w:rFonts w:ascii="Arial" w:hAnsi="Arial" w:cs="Arial"/>
          <w:noProof w:val="0"/>
          <w:sz w:val="22"/>
          <w:szCs w:val="22"/>
        </w:rPr>
        <w:t xml:space="preserve">ste Plan de Seguimiento y Evaluación </w:t>
      </w:r>
      <w:r w:rsidRPr="00C551E1">
        <w:rPr>
          <w:rFonts w:ascii="Arial" w:hAnsi="Arial" w:cs="Arial"/>
          <w:bCs/>
          <w:noProof w:val="0"/>
          <w:color w:val="000000"/>
          <w:sz w:val="22"/>
          <w:szCs w:val="22"/>
        </w:rPr>
        <w:t xml:space="preserve">está compuesto por dos secciones. En la primera se describe el proceso de monitoreo del </w:t>
      </w:r>
      <w:r w:rsidR="002B5292">
        <w:rPr>
          <w:rFonts w:ascii="Arial" w:hAnsi="Arial" w:cs="Arial"/>
          <w:bCs/>
          <w:noProof w:val="0"/>
          <w:color w:val="000000"/>
          <w:sz w:val="22"/>
          <w:szCs w:val="22"/>
        </w:rPr>
        <w:t>Programa</w:t>
      </w:r>
      <w:r w:rsidRPr="00C551E1">
        <w:rPr>
          <w:rFonts w:ascii="Arial" w:hAnsi="Arial" w:cs="Arial"/>
          <w:bCs/>
          <w:noProof w:val="0"/>
          <w:color w:val="000000"/>
          <w:sz w:val="22"/>
          <w:szCs w:val="22"/>
        </w:rPr>
        <w:t xml:space="preserve"> incluyendo los indicadores de producto, los informes y reportes</w:t>
      </w:r>
      <w:r w:rsidR="00916801" w:rsidRPr="00C551E1">
        <w:rPr>
          <w:rFonts w:ascii="Arial" w:hAnsi="Arial" w:cs="Arial"/>
          <w:bCs/>
          <w:noProof w:val="0"/>
          <w:color w:val="000000"/>
          <w:sz w:val="22"/>
          <w:szCs w:val="22"/>
        </w:rPr>
        <w:t xml:space="preserve">. </w:t>
      </w:r>
      <w:r w:rsidRPr="00C551E1">
        <w:rPr>
          <w:rFonts w:ascii="Arial" w:hAnsi="Arial" w:cs="Arial"/>
          <w:bCs/>
          <w:noProof w:val="0"/>
          <w:color w:val="000000"/>
          <w:sz w:val="22"/>
          <w:szCs w:val="22"/>
        </w:rPr>
        <w:t>En la segunda sección se describe el plan de evaluación</w:t>
      </w:r>
      <w:r w:rsidR="0014369E" w:rsidRPr="00C551E1">
        <w:rPr>
          <w:rFonts w:ascii="Arial" w:hAnsi="Arial" w:cs="Arial"/>
          <w:bCs/>
          <w:noProof w:val="0"/>
          <w:color w:val="000000"/>
          <w:sz w:val="22"/>
          <w:szCs w:val="22"/>
        </w:rPr>
        <w:t xml:space="preserve"> expost</w:t>
      </w:r>
      <w:r w:rsidRPr="00C551E1">
        <w:rPr>
          <w:rFonts w:ascii="Arial" w:hAnsi="Arial" w:cs="Arial"/>
          <w:bCs/>
          <w:noProof w:val="0"/>
          <w:color w:val="000000"/>
          <w:sz w:val="22"/>
          <w:szCs w:val="22"/>
        </w:rPr>
        <w:t xml:space="preserve"> que incluye la lógica de la intervención, los indicadores de resultados e impactos, la metodología de la evaluación,</w:t>
      </w:r>
      <w:r w:rsidR="0014369E" w:rsidRPr="00C551E1">
        <w:rPr>
          <w:rFonts w:ascii="Arial" w:hAnsi="Arial" w:cs="Arial"/>
          <w:bCs/>
          <w:noProof w:val="0"/>
          <w:color w:val="000000"/>
          <w:sz w:val="22"/>
          <w:szCs w:val="22"/>
        </w:rPr>
        <w:t xml:space="preserve"> </w:t>
      </w:r>
      <w:r w:rsidRPr="00C551E1">
        <w:rPr>
          <w:rFonts w:ascii="Arial" w:hAnsi="Arial" w:cs="Arial"/>
          <w:bCs/>
          <w:noProof w:val="0"/>
          <w:color w:val="000000"/>
          <w:sz w:val="22"/>
          <w:szCs w:val="22"/>
        </w:rPr>
        <w:t>la estrategia de recolección de datos y el cronograma de actividades con el presupuesto específico detallado.</w:t>
      </w:r>
    </w:p>
    <w:p w14:paraId="70451820" w14:textId="747D1656" w:rsidR="005E4798" w:rsidRPr="00C551E1" w:rsidRDefault="00DD232E" w:rsidP="00A47D3F">
      <w:pPr>
        <w:pStyle w:val="AutoNumpara"/>
        <w:numPr>
          <w:ilvl w:val="0"/>
          <w:numId w:val="0"/>
        </w:numPr>
        <w:rPr>
          <w:rFonts w:ascii="Arial" w:hAnsi="Arial" w:cs="Arial"/>
          <w:noProof w:val="0"/>
          <w:color w:val="000000"/>
          <w:sz w:val="22"/>
          <w:szCs w:val="22"/>
        </w:rPr>
      </w:pPr>
      <w:r w:rsidRPr="00C551E1">
        <w:rPr>
          <w:rFonts w:ascii="Arial" w:hAnsi="Arial" w:cs="Arial"/>
          <w:b/>
          <w:noProof w:val="0"/>
          <w:sz w:val="22"/>
          <w:szCs w:val="22"/>
        </w:rPr>
        <w:lastRenderedPageBreak/>
        <w:t>Organismo ejecutor</w:t>
      </w:r>
      <w:r w:rsidRPr="00C551E1">
        <w:rPr>
          <w:rFonts w:ascii="Arial" w:hAnsi="Arial" w:cs="Arial"/>
          <w:noProof w:val="0"/>
          <w:sz w:val="22"/>
          <w:szCs w:val="22"/>
        </w:rPr>
        <w:t>. El proyecto será ejecutado por el MVOTMA, bajo la responsabilidad técnica de la DINAMA, con la colaboración de las otras Direcciones, DINOT</w:t>
      </w:r>
      <w:r w:rsidR="00BB63E5" w:rsidRPr="00C551E1">
        <w:rPr>
          <w:rFonts w:ascii="Arial" w:hAnsi="Arial" w:cs="Arial"/>
          <w:noProof w:val="0"/>
          <w:sz w:val="22"/>
          <w:szCs w:val="22"/>
        </w:rPr>
        <w:t xml:space="preserve">, </w:t>
      </w:r>
      <w:r w:rsidRPr="00C551E1">
        <w:rPr>
          <w:rFonts w:ascii="Arial" w:hAnsi="Arial" w:cs="Arial"/>
          <w:noProof w:val="0"/>
          <w:sz w:val="22"/>
          <w:szCs w:val="22"/>
        </w:rPr>
        <w:t>DINAGUA</w:t>
      </w:r>
      <w:r w:rsidR="00BB63E5" w:rsidRPr="00C551E1">
        <w:rPr>
          <w:rFonts w:ascii="Arial" w:hAnsi="Arial" w:cs="Arial"/>
          <w:noProof w:val="0"/>
          <w:sz w:val="22"/>
          <w:szCs w:val="22"/>
        </w:rPr>
        <w:t xml:space="preserve"> y la División de Cambio Climático</w:t>
      </w:r>
      <w:r w:rsidRPr="00C551E1">
        <w:rPr>
          <w:rFonts w:ascii="Arial" w:hAnsi="Arial" w:cs="Arial"/>
          <w:noProof w:val="0"/>
          <w:sz w:val="22"/>
          <w:szCs w:val="22"/>
        </w:rPr>
        <w:t xml:space="preserve">. DINAMA tomará las decisiones técnicas para el desarrollo de la operación. La ejecución de la nueva operación se realizará a través de una Unidad </w:t>
      </w:r>
      <w:r w:rsidR="005E4798" w:rsidRPr="00C551E1">
        <w:rPr>
          <w:rFonts w:ascii="Arial" w:hAnsi="Arial" w:cs="Arial"/>
          <w:noProof w:val="0"/>
          <w:sz w:val="22"/>
          <w:szCs w:val="22"/>
        </w:rPr>
        <w:t xml:space="preserve">Ejecutora </w:t>
      </w:r>
      <w:r w:rsidRPr="00C551E1">
        <w:rPr>
          <w:rFonts w:ascii="Arial" w:hAnsi="Arial" w:cs="Arial"/>
          <w:noProof w:val="0"/>
          <w:sz w:val="22"/>
          <w:szCs w:val="22"/>
        </w:rPr>
        <w:t xml:space="preserve">del </w:t>
      </w:r>
      <w:r w:rsidR="002B5292">
        <w:rPr>
          <w:rFonts w:ascii="Arial" w:hAnsi="Arial" w:cs="Arial"/>
          <w:noProof w:val="0"/>
          <w:sz w:val="22"/>
          <w:szCs w:val="22"/>
        </w:rPr>
        <w:t>Programa</w:t>
      </w:r>
      <w:r w:rsidRPr="00C551E1">
        <w:rPr>
          <w:rFonts w:ascii="Arial" w:hAnsi="Arial" w:cs="Arial"/>
          <w:noProof w:val="0"/>
          <w:sz w:val="22"/>
          <w:szCs w:val="22"/>
        </w:rPr>
        <w:t xml:space="preserve"> (U</w:t>
      </w:r>
      <w:r w:rsidR="005E4798" w:rsidRPr="00C551E1">
        <w:rPr>
          <w:rFonts w:ascii="Arial" w:hAnsi="Arial" w:cs="Arial"/>
          <w:noProof w:val="0"/>
          <w:sz w:val="22"/>
          <w:szCs w:val="22"/>
        </w:rPr>
        <w:t>E</w:t>
      </w:r>
      <w:r w:rsidRPr="00C551E1">
        <w:rPr>
          <w:rFonts w:ascii="Arial" w:hAnsi="Arial" w:cs="Arial"/>
          <w:noProof w:val="0"/>
          <w:sz w:val="22"/>
          <w:szCs w:val="22"/>
        </w:rPr>
        <w:t>P).</w:t>
      </w:r>
    </w:p>
    <w:p w14:paraId="1921C2E1" w14:textId="0821EA76" w:rsidR="00CE0055" w:rsidRPr="00C551E1" w:rsidRDefault="005E4798" w:rsidP="00A47D3F">
      <w:pPr>
        <w:pStyle w:val="AutoNumpara"/>
        <w:numPr>
          <w:ilvl w:val="0"/>
          <w:numId w:val="0"/>
        </w:numPr>
        <w:rPr>
          <w:rFonts w:ascii="Arial" w:hAnsi="Arial" w:cs="Arial"/>
          <w:noProof w:val="0"/>
          <w:sz w:val="22"/>
          <w:szCs w:val="22"/>
        </w:rPr>
      </w:pPr>
      <w:r w:rsidRPr="00C551E1">
        <w:rPr>
          <w:rFonts w:ascii="Arial" w:hAnsi="Arial" w:cs="Arial"/>
          <w:b/>
          <w:sz w:val="22"/>
          <w:szCs w:val="22"/>
        </w:rPr>
        <w:t>R</w:t>
      </w:r>
      <w:r w:rsidR="00DD232E" w:rsidRPr="00C551E1">
        <w:rPr>
          <w:rFonts w:ascii="Arial" w:hAnsi="Arial" w:cs="Arial"/>
          <w:b/>
          <w:sz w:val="22"/>
          <w:szCs w:val="22"/>
        </w:rPr>
        <w:t>esumen esquema de seguimiento y evaluación</w:t>
      </w:r>
      <w:r w:rsidR="00DD232E" w:rsidRPr="00C551E1">
        <w:rPr>
          <w:rFonts w:ascii="Arial" w:hAnsi="Arial" w:cs="Arial"/>
          <w:sz w:val="22"/>
          <w:szCs w:val="22"/>
        </w:rPr>
        <w:t xml:space="preserve">. La </w:t>
      </w:r>
      <w:r w:rsidR="00C47A61" w:rsidRPr="00C551E1">
        <w:rPr>
          <w:rFonts w:ascii="Arial" w:hAnsi="Arial" w:cs="Arial"/>
          <w:sz w:val="22"/>
          <w:szCs w:val="22"/>
        </w:rPr>
        <w:t>UEP</w:t>
      </w:r>
      <w:r w:rsidR="00DD232E" w:rsidRPr="00C551E1">
        <w:rPr>
          <w:rFonts w:ascii="Arial" w:hAnsi="Arial" w:cs="Arial"/>
          <w:sz w:val="22"/>
          <w:szCs w:val="22"/>
        </w:rPr>
        <w:t xml:space="preserve"> será la responsable del seguimiento y la evaluación</w:t>
      </w:r>
      <w:r w:rsidR="00B620AD" w:rsidRPr="00C551E1">
        <w:rPr>
          <w:rFonts w:ascii="Arial" w:hAnsi="Arial" w:cs="Arial"/>
          <w:sz w:val="22"/>
          <w:szCs w:val="22"/>
        </w:rPr>
        <w:t xml:space="preserve"> del </w:t>
      </w:r>
      <w:r w:rsidR="002B5292">
        <w:rPr>
          <w:rFonts w:ascii="Arial" w:hAnsi="Arial" w:cs="Arial"/>
          <w:noProof w:val="0"/>
          <w:sz w:val="22"/>
          <w:szCs w:val="22"/>
        </w:rPr>
        <w:t>programa</w:t>
      </w:r>
      <w:r w:rsidR="00DD232E" w:rsidRPr="00C551E1">
        <w:rPr>
          <w:rFonts w:ascii="Arial" w:hAnsi="Arial" w:cs="Arial"/>
          <w:sz w:val="22"/>
          <w:szCs w:val="22"/>
        </w:rPr>
        <w:t>, proceso que incluirá</w:t>
      </w:r>
      <w:r w:rsidR="004F265D" w:rsidRPr="00C551E1">
        <w:rPr>
          <w:rFonts w:ascii="Arial" w:hAnsi="Arial" w:cs="Arial"/>
          <w:sz w:val="22"/>
          <w:szCs w:val="22"/>
        </w:rPr>
        <w:t xml:space="preserve"> la preparación y actualización de</w:t>
      </w:r>
      <w:r w:rsidR="00DD232E" w:rsidRPr="00C551E1">
        <w:rPr>
          <w:rFonts w:ascii="Arial" w:hAnsi="Arial" w:cs="Arial"/>
          <w:sz w:val="22"/>
          <w:szCs w:val="22"/>
        </w:rPr>
        <w:t xml:space="preserve">: </w:t>
      </w:r>
      <w:r w:rsidR="004F265D" w:rsidRPr="00C551E1">
        <w:rPr>
          <w:rFonts w:ascii="Arial" w:hAnsi="Arial" w:cs="Arial"/>
          <w:sz w:val="22"/>
          <w:szCs w:val="22"/>
        </w:rPr>
        <w:t>(</w:t>
      </w:r>
      <w:r w:rsidR="00742B55" w:rsidRPr="00C551E1">
        <w:rPr>
          <w:rFonts w:ascii="Arial" w:hAnsi="Arial" w:cs="Arial"/>
          <w:sz w:val="22"/>
          <w:szCs w:val="22"/>
        </w:rPr>
        <w:t xml:space="preserve">i) El Plan de Ejecución del </w:t>
      </w:r>
      <w:r w:rsidR="002B5292">
        <w:rPr>
          <w:rFonts w:ascii="Arial" w:hAnsi="Arial" w:cs="Arial"/>
          <w:noProof w:val="0"/>
          <w:sz w:val="22"/>
          <w:szCs w:val="22"/>
        </w:rPr>
        <w:t>Programa</w:t>
      </w:r>
      <w:r w:rsidR="00742B55" w:rsidRPr="00C551E1">
        <w:rPr>
          <w:rFonts w:ascii="Arial" w:hAnsi="Arial" w:cs="Arial"/>
          <w:sz w:val="22"/>
          <w:szCs w:val="22"/>
        </w:rPr>
        <w:t xml:space="preserve"> (PEP); </w:t>
      </w:r>
      <w:r w:rsidR="004F265D" w:rsidRPr="00C551E1">
        <w:rPr>
          <w:rFonts w:ascii="Arial" w:hAnsi="Arial" w:cs="Arial"/>
          <w:sz w:val="22"/>
          <w:szCs w:val="22"/>
        </w:rPr>
        <w:t>(</w:t>
      </w:r>
      <w:r w:rsidR="00DD232E" w:rsidRPr="00C551E1">
        <w:rPr>
          <w:rFonts w:ascii="Arial" w:hAnsi="Arial" w:cs="Arial"/>
          <w:sz w:val="22"/>
          <w:szCs w:val="22"/>
        </w:rPr>
        <w:t xml:space="preserve">ii) los Planes Operativos Anuales (POA); </w:t>
      </w:r>
      <w:r w:rsidR="004F265D" w:rsidRPr="00C551E1">
        <w:rPr>
          <w:rFonts w:ascii="Arial" w:hAnsi="Arial" w:cs="Arial"/>
          <w:sz w:val="22"/>
          <w:szCs w:val="22"/>
        </w:rPr>
        <w:t>(</w:t>
      </w:r>
      <w:r w:rsidR="00742B55" w:rsidRPr="00C551E1">
        <w:rPr>
          <w:rFonts w:ascii="Arial" w:hAnsi="Arial" w:cs="Arial"/>
          <w:sz w:val="22"/>
          <w:szCs w:val="22"/>
        </w:rPr>
        <w:t xml:space="preserve">iii) el Plan de Adquisiciones (PA); </w:t>
      </w:r>
      <w:r w:rsidR="004F265D" w:rsidRPr="00C551E1">
        <w:rPr>
          <w:rFonts w:ascii="Arial" w:hAnsi="Arial" w:cs="Arial"/>
          <w:sz w:val="22"/>
          <w:szCs w:val="22"/>
        </w:rPr>
        <w:t>(</w:t>
      </w:r>
      <w:r w:rsidR="00DD232E" w:rsidRPr="00C551E1">
        <w:rPr>
          <w:rFonts w:ascii="Arial" w:hAnsi="Arial" w:cs="Arial"/>
          <w:sz w:val="22"/>
          <w:szCs w:val="22"/>
        </w:rPr>
        <w:t>i</w:t>
      </w:r>
      <w:r w:rsidR="00742B55" w:rsidRPr="00C551E1">
        <w:rPr>
          <w:rFonts w:ascii="Arial" w:hAnsi="Arial" w:cs="Arial"/>
          <w:sz w:val="22"/>
          <w:szCs w:val="22"/>
        </w:rPr>
        <w:t>v</w:t>
      </w:r>
      <w:r w:rsidR="00DD232E" w:rsidRPr="00C551E1">
        <w:rPr>
          <w:rFonts w:ascii="Arial" w:hAnsi="Arial" w:cs="Arial"/>
          <w:sz w:val="22"/>
          <w:szCs w:val="22"/>
        </w:rPr>
        <w:t xml:space="preserve">) la verificación anual del cumplimiento de metas establecidas en la Matriz de Resultados (MR); y </w:t>
      </w:r>
      <w:r w:rsidR="004F265D" w:rsidRPr="00C551E1">
        <w:rPr>
          <w:rFonts w:ascii="Arial" w:hAnsi="Arial" w:cs="Arial"/>
          <w:sz w:val="22"/>
          <w:szCs w:val="22"/>
        </w:rPr>
        <w:t>(</w:t>
      </w:r>
      <w:r w:rsidR="00DD232E" w:rsidRPr="00C551E1">
        <w:rPr>
          <w:rFonts w:ascii="Arial" w:hAnsi="Arial" w:cs="Arial"/>
          <w:sz w:val="22"/>
          <w:szCs w:val="22"/>
        </w:rPr>
        <w:t>v) los informes semestrales</w:t>
      </w:r>
      <w:r w:rsidR="00672AEB" w:rsidRPr="00C551E1">
        <w:rPr>
          <w:rFonts w:ascii="Arial" w:hAnsi="Arial" w:cs="Arial"/>
          <w:sz w:val="22"/>
          <w:szCs w:val="22"/>
        </w:rPr>
        <w:t xml:space="preserve"> de Progreso</w:t>
      </w:r>
      <w:r w:rsidR="00DD232E" w:rsidRPr="00C551E1">
        <w:rPr>
          <w:rFonts w:ascii="Arial" w:hAnsi="Arial" w:cs="Arial"/>
          <w:sz w:val="22"/>
          <w:szCs w:val="22"/>
          <w:shd w:val="clear" w:color="auto" w:fill="FFFFFF"/>
        </w:rPr>
        <w:t>. Los informes</w:t>
      </w:r>
      <w:r w:rsidR="00DD232E" w:rsidRPr="00C551E1">
        <w:rPr>
          <w:rFonts w:ascii="Arial" w:hAnsi="Arial" w:cs="Arial"/>
          <w:sz w:val="22"/>
          <w:szCs w:val="22"/>
        </w:rPr>
        <w:t xml:space="preserve"> semestrales contendrán: </w:t>
      </w:r>
      <w:r w:rsidR="004F265D" w:rsidRPr="00C551E1">
        <w:rPr>
          <w:rFonts w:ascii="Arial" w:hAnsi="Arial" w:cs="Arial"/>
          <w:sz w:val="22"/>
          <w:szCs w:val="22"/>
        </w:rPr>
        <w:t>(</w:t>
      </w:r>
      <w:r w:rsidR="00DD232E" w:rsidRPr="00C551E1">
        <w:rPr>
          <w:rFonts w:ascii="Arial" w:hAnsi="Arial" w:cs="Arial"/>
          <w:sz w:val="22"/>
          <w:szCs w:val="22"/>
        </w:rPr>
        <w:t xml:space="preserve">a) las actividades realizadas en el </w:t>
      </w:r>
      <w:r w:rsidR="002B5292">
        <w:rPr>
          <w:rFonts w:ascii="Arial" w:hAnsi="Arial" w:cs="Arial"/>
          <w:noProof w:val="0"/>
          <w:sz w:val="22"/>
          <w:szCs w:val="22"/>
        </w:rPr>
        <w:t>programa</w:t>
      </w:r>
      <w:r w:rsidR="00BB61D4" w:rsidRPr="00C551E1">
        <w:rPr>
          <w:rFonts w:ascii="Arial" w:hAnsi="Arial" w:cs="Arial"/>
          <w:sz w:val="22"/>
          <w:szCs w:val="22"/>
        </w:rPr>
        <w:t xml:space="preserve"> </w:t>
      </w:r>
      <w:r w:rsidR="00B620AD" w:rsidRPr="00C551E1">
        <w:rPr>
          <w:rFonts w:ascii="Arial" w:hAnsi="Arial" w:cs="Arial"/>
          <w:sz w:val="22"/>
          <w:szCs w:val="22"/>
        </w:rPr>
        <w:t xml:space="preserve">organizadas según los productos de la MR y </w:t>
      </w:r>
      <w:r w:rsidR="00BB61D4" w:rsidRPr="00C551E1">
        <w:rPr>
          <w:rFonts w:ascii="Arial" w:hAnsi="Arial" w:cs="Arial"/>
          <w:sz w:val="22"/>
          <w:szCs w:val="22"/>
        </w:rPr>
        <w:t>basadas en las fichas técnicas</w:t>
      </w:r>
      <w:r w:rsidR="00DD232E" w:rsidRPr="00C551E1">
        <w:rPr>
          <w:rFonts w:ascii="Arial" w:hAnsi="Arial" w:cs="Arial"/>
          <w:sz w:val="22"/>
          <w:szCs w:val="22"/>
        </w:rPr>
        <w:t xml:space="preserve">, el avance en su ejecución, los problemas surgidos y la manera de solucionarlos; </w:t>
      </w:r>
      <w:r w:rsidR="004F265D" w:rsidRPr="00C551E1">
        <w:rPr>
          <w:rFonts w:ascii="Arial" w:hAnsi="Arial" w:cs="Arial"/>
          <w:sz w:val="22"/>
          <w:szCs w:val="22"/>
        </w:rPr>
        <w:t>(</w:t>
      </w:r>
      <w:r w:rsidR="00DD232E" w:rsidRPr="00C551E1">
        <w:rPr>
          <w:rFonts w:ascii="Arial" w:hAnsi="Arial" w:cs="Arial"/>
          <w:sz w:val="22"/>
          <w:szCs w:val="22"/>
        </w:rPr>
        <w:t xml:space="preserve">b) evaluación </w:t>
      </w:r>
      <w:r w:rsidR="00B620AD" w:rsidRPr="00C551E1">
        <w:rPr>
          <w:rFonts w:ascii="Arial" w:hAnsi="Arial" w:cs="Arial"/>
          <w:sz w:val="22"/>
          <w:szCs w:val="22"/>
        </w:rPr>
        <w:t xml:space="preserve">los avances reportados </w:t>
      </w:r>
      <w:r w:rsidR="00DD232E" w:rsidRPr="00C551E1">
        <w:rPr>
          <w:rFonts w:ascii="Arial" w:hAnsi="Arial" w:cs="Arial"/>
          <w:sz w:val="22"/>
          <w:szCs w:val="22"/>
        </w:rPr>
        <w:t xml:space="preserve">de la </w:t>
      </w:r>
      <w:r w:rsidR="004F265D" w:rsidRPr="00C551E1">
        <w:rPr>
          <w:rFonts w:ascii="Arial" w:hAnsi="Arial" w:cs="Arial"/>
          <w:sz w:val="22"/>
          <w:szCs w:val="22"/>
        </w:rPr>
        <w:t>MR</w:t>
      </w:r>
      <w:r w:rsidR="00DD232E" w:rsidRPr="00C551E1">
        <w:rPr>
          <w:rFonts w:ascii="Arial" w:hAnsi="Arial" w:cs="Arial"/>
          <w:sz w:val="22"/>
          <w:szCs w:val="22"/>
        </w:rPr>
        <w:t xml:space="preserve">; </w:t>
      </w:r>
      <w:r w:rsidR="004F265D" w:rsidRPr="00C551E1">
        <w:rPr>
          <w:rFonts w:ascii="Arial" w:hAnsi="Arial" w:cs="Arial"/>
          <w:sz w:val="22"/>
          <w:szCs w:val="22"/>
        </w:rPr>
        <w:t>(</w:t>
      </w:r>
      <w:r w:rsidR="00742B55" w:rsidRPr="00C551E1">
        <w:rPr>
          <w:rFonts w:ascii="Arial" w:hAnsi="Arial" w:cs="Arial"/>
          <w:sz w:val="22"/>
          <w:szCs w:val="22"/>
        </w:rPr>
        <w:t xml:space="preserve">c) evaluación del POA; </w:t>
      </w:r>
      <w:r w:rsidR="004F265D" w:rsidRPr="00C551E1">
        <w:rPr>
          <w:rFonts w:ascii="Arial" w:hAnsi="Arial" w:cs="Arial"/>
          <w:sz w:val="22"/>
          <w:szCs w:val="22"/>
        </w:rPr>
        <w:t>(</w:t>
      </w:r>
      <w:r w:rsidR="00742B55" w:rsidRPr="00C551E1">
        <w:rPr>
          <w:rFonts w:ascii="Arial" w:hAnsi="Arial" w:cs="Arial"/>
          <w:sz w:val="22"/>
          <w:szCs w:val="22"/>
        </w:rPr>
        <w:t>d</w:t>
      </w:r>
      <w:r w:rsidR="00DD232E" w:rsidRPr="00C551E1">
        <w:rPr>
          <w:rFonts w:ascii="Arial" w:hAnsi="Arial" w:cs="Arial"/>
          <w:sz w:val="22"/>
          <w:szCs w:val="22"/>
        </w:rPr>
        <w:t xml:space="preserve">) evaluación del PA; </w:t>
      </w:r>
      <w:r w:rsidR="004F265D" w:rsidRPr="00C551E1">
        <w:rPr>
          <w:rFonts w:ascii="Arial" w:hAnsi="Arial" w:cs="Arial"/>
          <w:sz w:val="22"/>
          <w:szCs w:val="22"/>
        </w:rPr>
        <w:t>(</w:t>
      </w:r>
      <w:r w:rsidR="00DD232E" w:rsidRPr="00C551E1">
        <w:rPr>
          <w:rFonts w:ascii="Arial" w:hAnsi="Arial" w:cs="Arial"/>
          <w:sz w:val="22"/>
          <w:szCs w:val="22"/>
        </w:rPr>
        <w:t xml:space="preserve">e) evaluación de la Matriz de Riesgos; y </w:t>
      </w:r>
      <w:r w:rsidR="004F265D" w:rsidRPr="00C551E1">
        <w:rPr>
          <w:rFonts w:ascii="Arial" w:hAnsi="Arial" w:cs="Arial"/>
          <w:sz w:val="22"/>
          <w:szCs w:val="22"/>
        </w:rPr>
        <w:t>(</w:t>
      </w:r>
      <w:r w:rsidR="00DD232E" w:rsidRPr="00C551E1">
        <w:rPr>
          <w:rFonts w:ascii="Arial" w:hAnsi="Arial" w:cs="Arial"/>
          <w:sz w:val="22"/>
          <w:szCs w:val="22"/>
        </w:rPr>
        <w:t xml:space="preserve">f) cualquier otra información que solicite el BID. </w:t>
      </w:r>
      <w:r w:rsidR="00DD232E" w:rsidRPr="00C551E1">
        <w:rPr>
          <w:rFonts w:ascii="Arial" w:hAnsi="Arial" w:cs="Arial"/>
          <w:noProof w:val="0"/>
          <w:sz w:val="22"/>
          <w:szCs w:val="22"/>
        </w:rPr>
        <w:t>El monitoreo de</w:t>
      </w:r>
      <w:r w:rsidR="00BB51DB" w:rsidRPr="00C551E1">
        <w:rPr>
          <w:rFonts w:ascii="Arial" w:hAnsi="Arial" w:cs="Arial"/>
          <w:noProof w:val="0"/>
          <w:sz w:val="22"/>
          <w:szCs w:val="22"/>
        </w:rPr>
        <w:t>l</w:t>
      </w:r>
      <w:r w:rsidR="00DD232E" w:rsidRPr="00C551E1">
        <w:rPr>
          <w:rFonts w:ascii="Arial" w:hAnsi="Arial" w:cs="Arial"/>
          <w:noProof w:val="0"/>
          <w:sz w:val="22"/>
          <w:szCs w:val="22"/>
        </w:rPr>
        <w:t xml:space="preserve"> avanc</w:t>
      </w:r>
      <w:r w:rsidR="00BB51DB" w:rsidRPr="00C551E1">
        <w:rPr>
          <w:rFonts w:ascii="Arial" w:hAnsi="Arial" w:cs="Arial"/>
          <w:noProof w:val="0"/>
          <w:sz w:val="22"/>
          <w:szCs w:val="22"/>
        </w:rPr>
        <w:t>e de la ejecución</w:t>
      </w:r>
      <w:r w:rsidR="00DD232E" w:rsidRPr="00C551E1">
        <w:rPr>
          <w:rFonts w:ascii="Arial" w:hAnsi="Arial" w:cs="Arial"/>
          <w:noProof w:val="0"/>
          <w:sz w:val="22"/>
          <w:szCs w:val="22"/>
        </w:rPr>
        <w:t xml:space="preserve"> se realizará siguiendo los indicadores de productos y resultados, contenidos en la MR</w:t>
      </w:r>
      <w:r w:rsidR="00CE0055" w:rsidRPr="00C551E1">
        <w:rPr>
          <w:rFonts w:ascii="Arial" w:hAnsi="Arial" w:cs="Arial"/>
          <w:noProof w:val="0"/>
          <w:sz w:val="22"/>
          <w:szCs w:val="22"/>
        </w:rPr>
        <w:t xml:space="preserve"> y en lo establecido en el POA</w:t>
      </w:r>
      <w:r w:rsidR="00DD232E" w:rsidRPr="00C551E1">
        <w:rPr>
          <w:rFonts w:ascii="Arial" w:hAnsi="Arial" w:cs="Arial"/>
          <w:noProof w:val="0"/>
          <w:sz w:val="22"/>
          <w:szCs w:val="22"/>
        </w:rPr>
        <w:t xml:space="preserve">. </w:t>
      </w:r>
    </w:p>
    <w:p w14:paraId="268944A8" w14:textId="4617C799" w:rsidR="00DD232E" w:rsidRPr="00C551E1" w:rsidRDefault="00DD232E" w:rsidP="00A47D3F">
      <w:pPr>
        <w:pStyle w:val="AutoNumpara"/>
        <w:numPr>
          <w:ilvl w:val="0"/>
          <w:numId w:val="0"/>
        </w:numPr>
        <w:rPr>
          <w:rFonts w:ascii="Arial" w:hAnsi="Arial" w:cs="Arial"/>
          <w:noProof w:val="0"/>
          <w:sz w:val="22"/>
          <w:szCs w:val="22"/>
        </w:rPr>
      </w:pPr>
      <w:r w:rsidRPr="00C551E1">
        <w:rPr>
          <w:rFonts w:ascii="Arial" w:hAnsi="Arial" w:cs="Arial"/>
          <w:noProof w:val="0"/>
          <w:sz w:val="22"/>
          <w:szCs w:val="22"/>
        </w:rPr>
        <w:t xml:space="preserve">Para la evaluación del </w:t>
      </w:r>
      <w:r w:rsidR="002B5292">
        <w:rPr>
          <w:rFonts w:ascii="Arial" w:hAnsi="Arial" w:cs="Arial"/>
          <w:noProof w:val="0"/>
          <w:sz w:val="22"/>
          <w:szCs w:val="22"/>
        </w:rPr>
        <w:t>programa</w:t>
      </w:r>
      <w:r w:rsidRPr="00C551E1">
        <w:rPr>
          <w:rFonts w:ascii="Arial" w:hAnsi="Arial" w:cs="Arial"/>
          <w:noProof w:val="0"/>
          <w:sz w:val="22"/>
          <w:szCs w:val="22"/>
        </w:rPr>
        <w:t xml:space="preserve"> </w:t>
      </w:r>
      <w:r w:rsidR="00BB51DB" w:rsidRPr="00C551E1">
        <w:rPr>
          <w:rFonts w:ascii="Arial" w:hAnsi="Arial" w:cs="Arial"/>
          <w:noProof w:val="0"/>
          <w:sz w:val="22"/>
          <w:szCs w:val="22"/>
        </w:rPr>
        <w:t xml:space="preserve">se </w:t>
      </w:r>
      <w:r w:rsidR="004A4293" w:rsidRPr="00C551E1">
        <w:rPr>
          <w:rFonts w:ascii="Arial" w:hAnsi="Arial" w:cs="Arial"/>
          <w:noProof w:val="0"/>
          <w:sz w:val="22"/>
          <w:szCs w:val="22"/>
        </w:rPr>
        <w:t>contratarán</w:t>
      </w:r>
      <w:r w:rsidRPr="00C551E1">
        <w:rPr>
          <w:rFonts w:ascii="Arial" w:hAnsi="Arial" w:cs="Arial"/>
          <w:noProof w:val="0"/>
          <w:sz w:val="22"/>
          <w:szCs w:val="22"/>
        </w:rPr>
        <w:t xml:space="preserve">: </w:t>
      </w:r>
      <w:r w:rsidR="00033729" w:rsidRPr="00C551E1">
        <w:rPr>
          <w:rFonts w:ascii="Arial" w:hAnsi="Arial" w:cs="Arial"/>
          <w:noProof w:val="0"/>
          <w:sz w:val="22"/>
          <w:szCs w:val="22"/>
        </w:rPr>
        <w:t>(</w:t>
      </w:r>
      <w:r w:rsidRPr="00C551E1">
        <w:rPr>
          <w:rFonts w:ascii="Arial" w:hAnsi="Arial" w:cs="Arial"/>
          <w:noProof w:val="0"/>
          <w:sz w:val="22"/>
          <w:szCs w:val="22"/>
        </w:rPr>
        <w:t xml:space="preserve">i) </w:t>
      </w:r>
      <w:r w:rsidR="00BB51DB" w:rsidRPr="00C551E1">
        <w:rPr>
          <w:rFonts w:ascii="Arial" w:hAnsi="Arial" w:cs="Arial"/>
          <w:noProof w:val="0"/>
          <w:sz w:val="22"/>
          <w:szCs w:val="22"/>
        </w:rPr>
        <w:t xml:space="preserve">una </w:t>
      </w:r>
      <w:r w:rsidR="00BB51DB" w:rsidRPr="00F134B3">
        <w:rPr>
          <w:rFonts w:ascii="Arial" w:hAnsi="Arial" w:cs="Arial"/>
          <w:b/>
          <w:noProof w:val="0"/>
          <w:sz w:val="22"/>
          <w:szCs w:val="22"/>
        </w:rPr>
        <w:t>evaluación intermedia</w:t>
      </w:r>
      <w:r w:rsidR="00D03019" w:rsidRPr="00F134B3">
        <w:rPr>
          <w:rFonts w:ascii="Arial" w:hAnsi="Arial" w:cs="Arial"/>
          <w:noProof w:val="0"/>
          <w:sz w:val="22"/>
          <w:szCs w:val="22"/>
        </w:rPr>
        <w:t xml:space="preserve"> a los 90 días desde la fecha de </w:t>
      </w:r>
      <w:r w:rsidR="00CE0055" w:rsidRPr="00C551E1">
        <w:rPr>
          <w:rFonts w:ascii="Arial" w:hAnsi="Arial" w:cs="Arial"/>
          <w:noProof w:val="0"/>
          <w:sz w:val="22"/>
          <w:szCs w:val="22"/>
        </w:rPr>
        <w:t>desembolso</w:t>
      </w:r>
      <w:r w:rsidR="00D03019" w:rsidRPr="00F134B3">
        <w:rPr>
          <w:rFonts w:ascii="Arial" w:hAnsi="Arial" w:cs="Arial"/>
          <w:noProof w:val="0"/>
          <w:sz w:val="22"/>
          <w:szCs w:val="22"/>
        </w:rPr>
        <w:t xml:space="preserve"> del 50% de los recursos del préstamo o cuando haya transcurrido el 50% del plazo de ejecución, lo que suceda primero</w:t>
      </w:r>
      <w:r w:rsidRPr="00C551E1">
        <w:rPr>
          <w:rFonts w:ascii="Arial" w:hAnsi="Arial" w:cs="Arial"/>
          <w:noProof w:val="0"/>
          <w:sz w:val="22"/>
          <w:szCs w:val="22"/>
        </w:rPr>
        <w:t xml:space="preserve">;  </w:t>
      </w:r>
      <w:r w:rsidR="00033729" w:rsidRPr="00C551E1">
        <w:rPr>
          <w:rFonts w:ascii="Arial" w:hAnsi="Arial" w:cs="Arial"/>
          <w:noProof w:val="0"/>
          <w:sz w:val="22"/>
          <w:szCs w:val="22"/>
        </w:rPr>
        <w:t>(</w:t>
      </w:r>
      <w:r w:rsidRPr="00C551E1">
        <w:rPr>
          <w:rFonts w:ascii="Arial" w:hAnsi="Arial" w:cs="Arial"/>
          <w:noProof w:val="0"/>
          <w:sz w:val="22"/>
          <w:szCs w:val="22"/>
        </w:rPr>
        <w:t xml:space="preserve">ii) </w:t>
      </w:r>
      <w:r w:rsidR="00EC5791" w:rsidRPr="00F134B3">
        <w:rPr>
          <w:rFonts w:ascii="Arial" w:hAnsi="Arial" w:cs="Arial"/>
          <w:b/>
          <w:noProof w:val="0"/>
          <w:color w:val="000000"/>
          <w:sz w:val="22"/>
          <w:szCs w:val="22"/>
        </w:rPr>
        <w:t>una evaluación final</w:t>
      </w:r>
      <w:r w:rsidR="00EC5791" w:rsidRPr="00C551E1">
        <w:rPr>
          <w:rFonts w:ascii="Arial" w:hAnsi="Arial" w:cs="Arial"/>
          <w:noProof w:val="0"/>
          <w:color w:val="000000"/>
          <w:sz w:val="22"/>
          <w:szCs w:val="22"/>
        </w:rPr>
        <w:t>,</w:t>
      </w:r>
      <w:r w:rsidR="00D03019" w:rsidRPr="00C551E1">
        <w:rPr>
          <w:rFonts w:ascii="Arial" w:hAnsi="Arial" w:cs="Arial"/>
          <w:noProof w:val="0"/>
          <w:color w:val="000000"/>
          <w:sz w:val="22"/>
          <w:szCs w:val="22"/>
        </w:rPr>
        <w:t xml:space="preserve"> </w:t>
      </w:r>
      <w:r w:rsidR="00D03019" w:rsidRPr="00F134B3">
        <w:rPr>
          <w:rFonts w:ascii="Arial" w:hAnsi="Arial" w:cs="Arial"/>
          <w:noProof w:val="0"/>
          <w:color w:val="000000"/>
          <w:sz w:val="22"/>
          <w:szCs w:val="22"/>
        </w:rPr>
        <w:t>a los 90 días desde la fecha de desembolso del 95% de los recursos</w:t>
      </w:r>
      <w:r w:rsidR="00D03019" w:rsidRPr="00C551E1">
        <w:rPr>
          <w:rFonts w:ascii="Arial" w:hAnsi="Arial" w:cs="Arial"/>
          <w:noProof w:val="0"/>
          <w:color w:val="000000"/>
          <w:sz w:val="22"/>
          <w:szCs w:val="22"/>
        </w:rPr>
        <w:t xml:space="preserve"> </w:t>
      </w:r>
      <w:r w:rsidR="00EC5791" w:rsidRPr="00C551E1">
        <w:rPr>
          <w:rFonts w:ascii="Arial" w:hAnsi="Arial" w:cs="Arial"/>
          <w:noProof w:val="0"/>
          <w:color w:val="000000"/>
          <w:sz w:val="22"/>
          <w:szCs w:val="22"/>
        </w:rPr>
        <w:t>que</w:t>
      </w:r>
      <w:r w:rsidR="00D03019" w:rsidRPr="00C551E1">
        <w:rPr>
          <w:rFonts w:ascii="Arial" w:hAnsi="Arial" w:cs="Arial"/>
          <w:noProof w:val="0"/>
          <w:color w:val="000000"/>
          <w:sz w:val="22"/>
          <w:szCs w:val="22"/>
        </w:rPr>
        <w:t xml:space="preserve"> normalmente</w:t>
      </w:r>
      <w:r w:rsidR="00EC5791" w:rsidRPr="00C551E1">
        <w:rPr>
          <w:rFonts w:ascii="Arial" w:hAnsi="Arial" w:cs="Arial"/>
          <w:noProof w:val="0"/>
          <w:color w:val="000000"/>
          <w:sz w:val="22"/>
          <w:szCs w:val="22"/>
        </w:rPr>
        <w:t xml:space="preserve"> ocurrirá durante los últimos seis meses de ejecución del proyecto</w:t>
      </w:r>
      <w:r w:rsidR="00A81C5B" w:rsidRPr="00C551E1">
        <w:rPr>
          <w:rFonts w:ascii="Arial" w:hAnsi="Arial" w:cs="Arial"/>
          <w:noProof w:val="0"/>
          <w:color w:val="000000"/>
          <w:sz w:val="22"/>
          <w:szCs w:val="22"/>
        </w:rPr>
        <w:t xml:space="preserve">; y </w:t>
      </w:r>
      <w:r w:rsidR="00033729" w:rsidRPr="00C551E1">
        <w:rPr>
          <w:rFonts w:ascii="Arial" w:hAnsi="Arial" w:cs="Arial"/>
          <w:noProof w:val="0"/>
          <w:color w:val="000000"/>
          <w:sz w:val="22"/>
          <w:szCs w:val="22"/>
        </w:rPr>
        <w:t>(</w:t>
      </w:r>
      <w:r w:rsidR="00A81C5B" w:rsidRPr="00C551E1">
        <w:rPr>
          <w:rFonts w:ascii="Arial" w:hAnsi="Arial" w:cs="Arial"/>
          <w:noProof w:val="0"/>
          <w:color w:val="000000"/>
          <w:sz w:val="22"/>
          <w:szCs w:val="22"/>
        </w:rPr>
        <w:t xml:space="preserve">iii) </w:t>
      </w:r>
      <w:r w:rsidR="00A81C5B" w:rsidRPr="00F134B3">
        <w:rPr>
          <w:rFonts w:ascii="Arial" w:hAnsi="Arial" w:cs="Arial"/>
          <w:b/>
          <w:noProof w:val="0"/>
          <w:color w:val="000000"/>
          <w:sz w:val="22"/>
          <w:szCs w:val="22"/>
        </w:rPr>
        <w:t>una evaluación ex post</w:t>
      </w:r>
      <w:r w:rsidR="00A81C5B" w:rsidRPr="00C551E1">
        <w:rPr>
          <w:rFonts w:ascii="Arial" w:hAnsi="Arial" w:cs="Arial"/>
          <w:noProof w:val="0"/>
          <w:color w:val="000000"/>
          <w:sz w:val="22"/>
          <w:szCs w:val="22"/>
        </w:rPr>
        <w:t>, que se llevará a cabo en paralelo con la evaluación final</w:t>
      </w:r>
      <w:r w:rsidRPr="00C551E1">
        <w:rPr>
          <w:rFonts w:ascii="Arial" w:hAnsi="Arial" w:cs="Arial"/>
          <w:noProof w:val="0"/>
          <w:sz w:val="22"/>
          <w:szCs w:val="22"/>
        </w:rPr>
        <w:t>.</w:t>
      </w:r>
      <w:r w:rsidR="004C7AFB" w:rsidRPr="00C551E1">
        <w:rPr>
          <w:rFonts w:ascii="Arial" w:hAnsi="Arial" w:cs="Arial"/>
          <w:noProof w:val="0"/>
          <w:sz w:val="22"/>
          <w:szCs w:val="22"/>
        </w:rPr>
        <w:t xml:space="preserve"> Las evaluaciones intermedia y final se concentrarán en la revisión del progreso hacia el cumplimiento de las metas de los indicadores de producto y resultado consignados en la MR. Estas evaluaciones analizarán asimismo el cumplimiento de lo previsto en el Anexo de Ejecución Técnica de la operación.</w:t>
      </w:r>
      <w:r w:rsidR="00A81C5B" w:rsidRPr="00C551E1">
        <w:rPr>
          <w:rFonts w:ascii="Arial" w:hAnsi="Arial" w:cs="Arial"/>
          <w:noProof w:val="0"/>
          <w:sz w:val="22"/>
          <w:szCs w:val="22"/>
        </w:rPr>
        <w:t xml:space="preserve"> La evaluación ex post consistirá en una evaluación costo/beneficio ex post</w:t>
      </w:r>
      <w:r w:rsidR="00E658A7" w:rsidRPr="00C551E1">
        <w:rPr>
          <w:rFonts w:ascii="Arial" w:hAnsi="Arial" w:cs="Arial"/>
          <w:noProof w:val="0"/>
          <w:sz w:val="22"/>
          <w:szCs w:val="22"/>
        </w:rPr>
        <w:t xml:space="preserve"> y se presentará en un plazo de hasta 90 días a partir del término del plazo de desembolsos del </w:t>
      </w:r>
      <w:r w:rsidR="002B5292">
        <w:rPr>
          <w:rFonts w:ascii="Arial" w:hAnsi="Arial" w:cs="Arial"/>
          <w:noProof w:val="0"/>
          <w:sz w:val="22"/>
          <w:szCs w:val="22"/>
        </w:rPr>
        <w:t>programa</w:t>
      </w:r>
      <w:r w:rsidR="00E658A7" w:rsidRPr="00C551E1">
        <w:rPr>
          <w:rFonts w:ascii="Arial" w:hAnsi="Arial" w:cs="Arial"/>
          <w:noProof w:val="0"/>
          <w:sz w:val="22"/>
          <w:szCs w:val="22"/>
        </w:rPr>
        <w:t>.</w:t>
      </w:r>
    </w:p>
    <w:p w14:paraId="6E4AF892" w14:textId="7E68F085" w:rsidR="00D03019" w:rsidRPr="00C551E1" w:rsidRDefault="00CE0055" w:rsidP="00F134B3">
      <w:pPr>
        <w:pStyle w:val="Paragraph"/>
        <w:tabs>
          <w:tab w:val="left" w:pos="720"/>
        </w:tabs>
        <w:ind w:left="0" w:firstLine="0"/>
        <w:outlineLvl w:val="9"/>
        <w:rPr>
          <w:rFonts w:ascii="Arial" w:hAnsi="Arial" w:cs="Arial"/>
          <w:sz w:val="22"/>
          <w:lang w:val="es-ES_tradnl"/>
        </w:rPr>
      </w:pPr>
      <w:r w:rsidRPr="00C551E1">
        <w:rPr>
          <w:rFonts w:ascii="Arial" w:hAnsi="Arial" w:cs="Arial"/>
          <w:sz w:val="22"/>
          <w:lang w:val="es-ES_tradnl"/>
        </w:rPr>
        <w:t>La evaluaci</w:t>
      </w:r>
      <w:r w:rsidR="008770E6" w:rsidRPr="00C551E1">
        <w:rPr>
          <w:rFonts w:ascii="Arial" w:hAnsi="Arial" w:cs="Arial"/>
          <w:sz w:val="22"/>
          <w:lang w:val="es-ES_tradnl"/>
        </w:rPr>
        <w:t>ó</w:t>
      </w:r>
      <w:r w:rsidRPr="00C551E1">
        <w:rPr>
          <w:rFonts w:ascii="Arial" w:hAnsi="Arial" w:cs="Arial"/>
          <w:sz w:val="22"/>
          <w:lang w:val="es-ES_tradnl"/>
        </w:rPr>
        <w:t xml:space="preserve">n intermedia y final </w:t>
      </w:r>
      <w:r w:rsidR="00D03019" w:rsidRPr="00C551E1">
        <w:rPr>
          <w:rFonts w:ascii="Arial" w:hAnsi="Arial" w:cs="Arial"/>
          <w:sz w:val="22"/>
          <w:lang w:val="es-ES_tradnl"/>
        </w:rPr>
        <w:t>se llevará</w:t>
      </w:r>
      <w:r w:rsidRPr="00C551E1">
        <w:rPr>
          <w:rFonts w:ascii="Arial" w:hAnsi="Arial" w:cs="Arial"/>
          <w:sz w:val="22"/>
          <w:lang w:val="es-ES_tradnl"/>
        </w:rPr>
        <w:t>n</w:t>
      </w:r>
      <w:r w:rsidR="00D03019" w:rsidRPr="00C551E1">
        <w:rPr>
          <w:rFonts w:ascii="Arial" w:hAnsi="Arial" w:cs="Arial"/>
          <w:sz w:val="22"/>
          <w:lang w:val="es-ES_tradnl"/>
        </w:rPr>
        <w:t xml:space="preserve"> a cabo a través de consultorías externas independientes contratadas por el OE con cargo a los recursos del préstamo e incluirán: (i) la ejecución financiera por componente, subcomponente y fuente de financiamiento; (ii) los avances en el logro de productos, resultados e impactos de la matriz de resultados; y (iii) el resumen de los estados financieros, adquisiciones, desembolsos y control interno. </w:t>
      </w:r>
    </w:p>
    <w:p w14:paraId="7B1BB04D" w14:textId="07686292" w:rsidR="0046480E" w:rsidRPr="00F134B3" w:rsidRDefault="00A47D3F" w:rsidP="00B55568">
      <w:pPr>
        <w:pStyle w:val="Heading1"/>
        <w:numPr>
          <w:ilvl w:val="0"/>
          <w:numId w:val="0"/>
        </w:numPr>
        <w:ind w:left="288" w:hanging="288"/>
        <w:jc w:val="left"/>
        <w:rPr>
          <w:rFonts w:ascii="Arial" w:hAnsi="Arial"/>
          <w:noProof w:val="0"/>
          <w:sz w:val="22"/>
          <w:lang w:val="es-ES_tradnl"/>
        </w:rPr>
      </w:pPr>
      <w:bookmarkStart w:id="4" w:name="_Toc11138471"/>
      <w:bookmarkStart w:id="5" w:name="_Toc12264430"/>
      <w:r w:rsidRPr="00F134B3">
        <w:rPr>
          <w:rFonts w:ascii="Arial" w:hAnsi="Arial"/>
          <w:noProof w:val="0"/>
          <w:sz w:val="22"/>
          <w:lang w:val="es-ES_tradnl"/>
        </w:rPr>
        <w:t xml:space="preserve">2.0 </w:t>
      </w:r>
      <w:r w:rsidR="00332D8A" w:rsidRPr="00F134B3">
        <w:rPr>
          <w:rFonts w:ascii="Arial" w:hAnsi="Arial"/>
          <w:noProof w:val="0"/>
          <w:sz w:val="22"/>
          <w:lang w:val="es-ES_tradnl"/>
        </w:rPr>
        <w:t>Seguimiento</w:t>
      </w:r>
      <w:bookmarkEnd w:id="4"/>
      <w:bookmarkEnd w:id="5"/>
    </w:p>
    <w:p w14:paraId="704780EA" w14:textId="28AFA14A" w:rsidR="00A47D3F" w:rsidRPr="00C551E1" w:rsidRDefault="00A47D3F" w:rsidP="00A47D3F">
      <w:pPr>
        <w:pStyle w:val="Heading2"/>
        <w:numPr>
          <w:ilvl w:val="0"/>
          <w:numId w:val="0"/>
        </w:numPr>
        <w:rPr>
          <w:rFonts w:ascii="Arial" w:hAnsi="Arial" w:cs="Arial"/>
          <w:noProof w:val="0"/>
          <w:sz w:val="22"/>
          <w:szCs w:val="22"/>
          <w:lang w:val="es-ES_tradnl"/>
        </w:rPr>
      </w:pPr>
      <w:bookmarkStart w:id="6" w:name="_Toc11138472"/>
      <w:bookmarkStart w:id="7" w:name="_Toc12264431"/>
      <w:r w:rsidRPr="00C551E1">
        <w:rPr>
          <w:rFonts w:ascii="Arial" w:hAnsi="Arial" w:cs="Arial"/>
          <w:noProof w:val="0"/>
          <w:sz w:val="22"/>
          <w:szCs w:val="22"/>
          <w:lang w:val="es-ES_tradnl"/>
        </w:rPr>
        <w:t>2.1 Instrumentos</w:t>
      </w:r>
      <w:bookmarkEnd w:id="6"/>
      <w:bookmarkEnd w:id="7"/>
    </w:p>
    <w:p w14:paraId="28B75906" w14:textId="540968D5" w:rsidR="00C933CE" w:rsidRPr="00F134B3" w:rsidRDefault="00C933CE" w:rsidP="00416794">
      <w:pPr>
        <w:pStyle w:val="AutoNumpara"/>
        <w:numPr>
          <w:ilvl w:val="0"/>
          <w:numId w:val="0"/>
        </w:numPr>
        <w:textAlignment w:val="top"/>
        <w:rPr>
          <w:rFonts w:ascii="Arial" w:hAnsi="Arial" w:cs="Arial"/>
          <w:b/>
          <w:noProof w:val="0"/>
          <w:sz w:val="22"/>
          <w:szCs w:val="22"/>
        </w:rPr>
      </w:pPr>
      <w:bookmarkStart w:id="8" w:name="_Toc328143984"/>
      <w:bookmarkStart w:id="9" w:name="_Toc8819828"/>
      <w:r w:rsidRPr="00F134B3">
        <w:rPr>
          <w:rFonts w:ascii="Arial" w:hAnsi="Arial" w:cs="Arial"/>
          <w:b/>
          <w:noProof w:val="0"/>
          <w:sz w:val="22"/>
          <w:szCs w:val="22"/>
        </w:rPr>
        <w:t>Matriz de Resultados</w:t>
      </w:r>
      <w:r w:rsidR="008770E6" w:rsidRPr="00F134B3">
        <w:rPr>
          <w:rFonts w:ascii="Arial" w:hAnsi="Arial" w:cs="Arial"/>
          <w:b/>
          <w:noProof w:val="0"/>
          <w:sz w:val="22"/>
          <w:szCs w:val="22"/>
        </w:rPr>
        <w:t xml:space="preserve"> (MR)</w:t>
      </w:r>
      <w:r w:rsidRPr="00F134B3">
        <w:rPr>
          <w:rFonts w:ascii="Arial" w:hAnsi="Arial" w:cs="Arial"/>
          <w:b/>
          <w:noProof w:val="0"/>
          <w:sz w:val="22"/>
          <w:szCs w:val="22"/>
        </w:rPr>
        <w:t xml:space="preserve">: </w:t>
      </w:r>
      <w:r w:rsidRPr="00F134B3">
        <w:rPr>
          <w:rFonts w:ascii="Arial" w:hAnsi="Arial" w:cs="Arial"/>
          <w:noProof w:val="0"/>
          <w:sz w:val="22"/>
          <w:szCs w:val="22"/>
        </w:rPr>
        <w:t>Se presenta en el Anexo II de la Propuesta de Desarrollo de la Operación (POD) y se organiza en: (i) productos; (ii) costos; (iii) resultados; y (iv) impactos de la operación. La MR es una herramienta fundamental para guiar la planificación, monitoreo y evaluación del proyecto. Se recurrirá a la MR en cada instancia de elaboración del POA y actualización del PEP (los cuales se describen a continuación), y de diseño, seguimiento y evaluación de un componente o subcomponente, una línea de acción o actividad específica.</w:t>
      </w:r>
    </w:p>
    <w:p w14:paraId="4BF77277" w14:textId="0013A780" w:rsidR="00742B55" w:rsidRPr="00F134B3" w:rsidRDefault="00742B55" w:rsidP="00416794">
      <w:pPr>
        <w:pStyle w:val="AutoNumpara"/>
        <w:numPr>
          <w:ilvl w:val="0"/>
          <w:numId w:val="0"/>
        </w:numPr>
        <w:textAlignment w:val="top"/>
        <w:rPr>
          <w:rFonts w:ascii="Arial" w:hAnsi="Arial" w:cs="Arial"/>
          <w:noProof w:val="0"/>
          <w:sz w:val="22"/>
          <w:szCs w:val="22"/>
        </w:rPr>
      </w:pPr>
      <w:r w:rsidRPr="00F134B3">
        <w:rPr>
          <w:rFonts w:ascii="Arial" w:hAnsi="Arial" w:cs="Arial"/>
          <w:b/>
          <w:noProof w:val="0"/>
          <w:sz w:val="22"/>
          <w:szCs w:val="22"/>
        </w:rPr>
        <w:lastRenderedPageBreak/>
        <w:t xml:space="preserve">Plan de Ejecución del </w:t>
      </w:r>
      <w:r w:rsidR="002B5292">
        <w:rPr>
          <w:rFonts w:ascii="Arial" w:hAnsi="Arial" w:cs="Arial"/>
          <w:b/>
          <w:noProof w:val="0"/>
          <w:sz w:val="22"/>
          <w:szCs w:val="22"/>
        </w:rPr>
        <w:t>Programa</w:t>
      </w:r>
      <w:r w:rsidRPr="00F134B3">
        <w:rPr>
          <w:rFonts w:ascii="Arial" w:hAnsi="Arial" w:cs="Arial"/>
          <w:b/>
          <w:noProof w:val="0"/>
          <w:sz w:val="22"/>
          <w:szCs w:val="22"/>
        </w:rPr>
        <w:t xml:space="preserve"> (PEP)</w:t>
      </w:r>
      <w:bookmarkEnd w:id="8"/>
      <w:bookmarkEnd w:id="9"/>
      <w:r w:rsidRPr="00F134B3">
        <w:rPr>
          <w:rFonts w:ascii="Arial" w:hAnsi="Arial" w:cs="Arial"/>
          <w:b/>
          <w:noProof w:val="0"/>
          <w:sz w:val="22"/>
          <w:szCs w:val="22"/>
        </w:rPr>
        <w:t xml:space="preserve">. </w:t>
      </w:r>
      <w:r w:rsidRPr="00F134B3">
        <w:rPr>
          <w:rFonts w:ascii="Arial" w:hAnsi="Arial" w:cs="Arial"/>
          <w:noProof w:val="0"/>
          <w:sz w:val="22"/>
          <w:szCs w:val="22"/>
        </w:rPr>
        <w:t xml:space="preserve">El Plan de Ejecución del </w:t>
      </w:r>
      <w:r w:rsidR="002B5292">
        <w:rPr>
          <w:rFonts w:ascii="Arial" w:hAnsi="Arial" w:cs="Arial"/>
          <w:noProof w:val="0"/>
          <w:sz w:val="22"/>
          <w:szCs w:val="22"/>
        </w:rPr>
        <w:t>Programa</w:t>
      </w:r>
      <w:r w:rsidRPr="00F134B3">
        <w:rPr>
          <w:rFonts w:ascii="Arial" w:hAnsi="Arial" w:cs="Arial"/>
          <w:noProof w:val="0"/>
          <w:sz w:val="22"/>
          <w:szCs w:val="22"/>
        </w:rPr>
        <w:t xml:space="preserve"> (PEP) será preparado sobre la base de las etapas y actividades que se ejecutar</w:t>
      </w:r>
      <w:r w:rsidR="00CE0055" w:rsidRPr="00F134B3">
        <w:rPr>
          <w:rFonts w:ascii="Arial" w:hAnsi="Arial" w:cs="Arial"/>
          <w:noProof w:val="0"/>
          <w:sz w:val="22"/>
          <w:szCs w:val="22"/>
        </w:rPr>
        <w:t>á</w:t>
      </w:r>
      <w:r w:rsidRPr="00F134B3">
        <w:rPr>
          <w:rFonts w:ascii="Arial" w:hAnsi="Arial" w:cs="Arial"/>
          <w:noProof w:val="0"/>
          <w:sz w:val="22"/>
          <w:szCs w:val="22"/>
        </w:rPr>
        <w:t xml:space="preserve">n durante la vida del </w:t>
      </w:r>
      <w:r w:rsidR="002B5292">
        <w:rPr>
          <w:rFonts w:ascii="Arial" w:hAnsi="Arial" w:cs="Arial"/>
          <w:noProof w:val="0"/>
          <w:sz w:val="22"/>
          <w:szCs w:val="22"/>
        </w:rPr>
        <w:t>Programa</w:t>
      </w:r>
      <w:r w:rsidRPr="00F134B3">
        <w:rPr>
          <w:rFonts w:ascii="Arial" w:hAnsi="Arial" w:cs="Arial"/>
          <w:noProof w:val="0"/>
          <w:sz w:val="22"/>
          <w:szCs w:val="22"/>
        </w:rPr>
        <w:t xml:space="preserve">, conforme a lo establecido en la Matriz de Resultados. El PEP presenta la </w:t>
      </w:r>
      <w:r w:rsidR="002B5292">
        <w:rPr>
          <w:rFonts w:ascii="Arial" w:hAnsi="Arial" w:cs="Arial"/>
          <w:noProof w:val="0"/>
          <w:sz w:val="22"/>
          <w:szCs w:val="22"/>
        </w:rPr>
        <w:t>programa</w:t>
      </w:r>
      <w:r w:rsidRPr="00F134B3">
        <w:rPr>
          <w:rFonts w:ascii="Arial" w:hAnsi="Arial" w:cs="Arial"/>
          <w:noProof w:val="0"/>
          <w:sz w:val="22"/>
          <w:szCs w:val="22"/>
        </w:rPr>
        <w:t xml:space="preserve">ción plurianual de componentes, </w:t>
      </w:r>
      <w:r w:rsidR="007D4995" w:rsidRPr="00F134B3">
        <w:rPr>
          <w:rFonts w:ascii="Arial" w:hAnsi="Arial" w:cs="Arial"/>
          <w:noProof w:val="0"/>
          <w:sz w:val="22"/>
          <w:szCs w:val="22"/>
        </w:rPr>
        <w:t>subcomponentes</w:t>
      </w:r>
      <w:r w:rsidRPr="00F134B3">
        <w:rPr>
          <w:rFonts w:ascii="Arial" w:hAnsi="Arial" w:cs="Arial"/>
          <w:noProof w:val="0"/>
          <w:sz w:val="22"/>
          <w:szCs w:val="22"/>
        </w:rPr>
        <w:t xml:space="preserve">, actividades y recursos requeridos para la ejecución del </w:t>
      </w:r>
      <w:r w:rsidR="002B5292">
        <w:rPr>
          <w:rFonts w:ascii="Arial" w:hAnsi="Arial" w:cs="Arial"/>
          <w:noProof w:val="0"/>
          <w:sz w:val="22"/>
          <w:szCs w:val="22"/>
        </w:rPr>
        <w:t>programa</w:t>
      </w:r>
      <w:r w:rsidR="00CE0055" w:rsidRPr="00F134B3">
        <w:rPr>
          <w:rFonts w:ascii="Arial" w:hAnsi="Arial" w:cs="Arial"/>
          <w:noProof w:val="0"/>
          <w:sz w:val="22"/>
          <w:szCs w:val="22"/>
        </w:rPr>
        <w:t xml:space="preserve"> y</w:t>
      </w:r>
      <w:r w:rsidR="00CE0055" w:rsidRPr="00F134B3">
        <w:rPr>
          <w:rFonts w:eastAsia="Calibri"/>
          <w:noProof w:val="0"/>
          <w:color w:val="000000"/>
          <w:spacing w:val="0"/>
          <w:sz w:val="22"/>
          <w:szCs w:val="22"/>
          <w:lang w:eastAsia="en-US"/>
        </w:rPr>
        <w:t xml:space="preserve"> </w:t>
      </w:r>
      <w:r w:rsidR="00CE0055" w:rsidRPr="00F134B3">
        <w:rPr>
          <w:rFonts w:ascii="Arial" w:hAnsi="Arial" w:cs="Arial"/>
          <w:noProof w:val="0"/>
          <w:sz w:val="22"/>
          <w:szCs w:val="22"/>
        </w:rPr>
        <w:t>para alcanzar sus resultados esperados. Especifica los montos y los tiempos de los que se dispone para cada uno de los productos y actividades del proyecto, y señala las distintas rutas críticas para la consecución de cada uno de los productos.</w:t>
      </w:r>
    </w:p>
    <w:p w14:paraId="02299676" w14:textId="09B1B41E" w:rsidR="00416794" w:rsidRPr="00C551E1" w:rsidRDefault="0046480E" w:rsidP="00416794">
      <w:pPr>
        <w:pStyle w:val="AutoNumpara"/>
        <w:numPr>
          <w:ilvl w:val="0"/>
          <w:numId w:val="0"/>
        </w:numPr>
        <w:textAlignment w:val="top"/>
        <w:rPr>
          <w:rFonts w:ascii="Arial" w:hAnsi="Arial" w:cs="Arial"/>
          <w:noProof w:val="0"/>
          <w:sz w:val="22"/>
          <w:szCs w:val="22"/>
        </w:rPr>
      </w:pPr>
      <w:r w:rsidRPr="00C551E1">
        <w:rPr>
          <w:rFonts w:ascii="Arial" w:hAnsi="Arial" w:cs="Arial"/>
          <w:b/>
          <w:noProof w:val="0"/>
          <w:sz w:val="22"/>
          <w:szCs w:val="22"/>
        </w:rPr>
        <w:t>El Plan Operativo Anual</w:t>
      </w:r>
      <w:r w:rsidRPr="00C551E1">
        <w:rPr>
          <w:rFonts w:ascii="Arial" w:hAnsi="Arial" w:cs="Arial"/>
          <w:noProof w:val="0"/>
          <w:sz w:val="22"/>
          <w:szCs w:val="22"/>
        </w:rPr>
        <w:t xml:space="preserve"> </w:t>
      </w:r>
      <w:r w:rsidRPr="00F134B3">
        <w:rPr>
          <w:rFonts w:ascii="Arial" w:hAnsi="Arial" w:cs="Arial"/>
          <w:b/>
          <w:bCs/>
          <w:noProof w:val="0"/>
          <w:sz w:val="22"/>
          <w:szCs w:val="22"/>
        </w:rPr>
        <w:t>(POA)</w:t>
      </w:r>
      <w:r w:rsidR="00CE0055" w:rsidRPr="00F134B3">
        <w:rPr>
          <w:rFonts w:ascii="Arial" w:hAnsi="Arial" w:cs="Arial"/>
          <w:b/>
          <w:bCs/>
          <w:noProof w:val="0"/>
          <w:sz w:val="22"/>
          <w:szCs w:val="22"/>
        </w:rPr>
        <w:t>.</w:t>
      </w:r>
      <w:r w:rsidR="00CE0055" w:rsidRPr="00C551E1">
        <w:rPr>
          <w:rFonts w:ascii="Arial" w:hAnsi="Arial" w:cs="Arial"/>
          <w:noProof w:val="0"/>
          <w:sz w:val="22"/>
          <w:szCs w:val="22"/>
        </w:rPr>
        <w:t xml:space="preserve"> </w:t>
      </w:r>
      <w:r w:rsidR="00CE0055" w:rsidRPr="00F134B3">
        <w:rPr>
          <w:rFonts w:ascii="Arial" w:hAnsi="Arial" w:cs="Arial"/>
          <w:noProof w:val="0"/>
          <w:sz w:val="22"/>
          <w:szCs w:val="22"/>
        </w:rPr>
        <w:t xml:space="preserve">Constituye el instrumento central de planificación de las actividades del Proyecto </w:t>
      </w:r>
      <w:r w:rsidR="005B1887" w:rsidRPr="00F134B3">
        <w:rPr>
          <w:rFonts w:ascii="Arial" w:hAnsi="Arial" w:cs="Arial"/>
          <w:noProof w:val="0"/>
          <w:sz w:val="22"/>
          <w:szCs w:val="22"/>
        </w:rPr>
        <w:t>dentro de</w:t>
      </w:r>
      <w:r w:rsidR="00CE0055" w:rsidRPr="00F134B3">
        <w:rPr>
          <w:rFonts w:ascii="Arial" w:hAnsi="Arial" w:cs="Arial"/>
          <w:noProof w:val="0"/>
          <w:sz w:val="22"/>
          <w:szCs w:val="22"/>
        </w:rPr>
        <w:t xml:space="preserve"> cada año</w:t>
      </w:r>
      <w:r w:rsidR="005B1887" w:rsidRPr="00F134B3">
        <w:rPr>
          <w:rFonts w:ascii="Arial" w:hAnsi="Arial" w:cs="Arial"/>
          <w:noProof w:val="0"/>
          <w:sz w:val="22"/>
          <w:szCs w:val="22"/>
        </w:rPr>
        <w:t>. S</w:t>
      </w:r>
      <w:r w:rsidRPr="00C551E1">
        <w:rPr>
          <w:rFonts w:ascii="Arial" w:hAnsi="Arial" w:cs="Arial"/>
          <w:noProof w:val="0"/>
          <w:sz w:val="22"/>
          <w:szCs w:val="22"/>
        </w:rPr>
        <w:t>erá preparado sobre la base de los objetivos, metas físicas y financieras para el ejercicio presupuestario anual</w:t>
      </w:r>
      <w:r w:rsidR="005B1887" w:rsidRPr="00C551E1">
        <w:rPr>
          <w:rFonts w:ascii="Arial" w:hAnsi="Arial" w:cs="Arial"/>
          <w:noProof w:val="0"/>
          <w:sz w:val="22"/>
          <w:szCs w:val="22"/>
        </w:rPr>
        <w:t xml:space="preserve"> de la Matriz de Resultados y del PEP</w:t>
      </w:r>
      <w:r w:rsidRPr="00C551E1">
        <w:rPr>
          <w:rFonts w:ascii="Arial" w:hAnsi="Arial" w:cs="Arial"/>
          <w:noProof w:val="0"/>
          <w:sz w:val="22"/>
          <w:szCs w:val="22"/>
        </w:rPr>
        <w:t xml:space="preserve">. El POA deberá remitirse al BID en oportunidad del envío del segundo Informe Semestral de cada año (por revisar), e incluirá las actividades a ser financiadas con recursos del financiamiento y la contraparte local que contribuyen al </w:t>
      </w:r>
      <w:r w:rsidR="002B5292">
        <w:rPr>
          <w:rFonts w:ascii="Arial" w:hAnsi="Arial" w:cs="Arial"/>
          <w:noProof w:val="0"/>
          <w:sz w:val="22"/>
          <w:szCs w:val="22"/>
        </w:rPr>
        <w:t>Programa</w:t>
      </w:r>
      <w:r w:rsidRPr="00C551E1">
        <w:rPr>
          <w:rFonts w:ascii="Arial" w:hAnsi="Arial" w:cs="Arial"/>
          <w:noProof w:val="0"/>
          <w:sz w:val="22"/>
          <w:szCs w:val="22"/>
        </w:rPr>
        <w:t>, debiendo contener lo siguiente:</w:t>
      </w:r>
    </w:p>
    <w:p w14:paraId="107DCD50" w14:textId="77777777" w:rsidR="0046480E" w:rsidRPr="00C551E1" w:rsidRDefault="0046480E" w:rsidP="00416794">
      <w:pPr>
        <w:pStyle w:val="AutoNumpara"/>
        <w:numPr>
          <w:ilvl w:val="0"/>
          <w:numId w:val="18"/>
        </w:numPr>
        <w:textAlignment w:val="top"/>
        <w:rPr>
          <w:rFonts w:ascii="Arial" w:hAnsi="Arial" w:cs="Arial"/>
          <w:noProof w:val="0"/>
          <w:sz w:val="22"/>
          <w:szCs w:val="22"/>
        </w:rPr>
      </w:pPr>
      <w:r w:rsidRPr="00C551E1">
        <w:rPr>
          <w:rFonts w:ascii="Arial" w:hAnsi="Arial" w:cs="Arial"/>
          <w:noProof w:val="0"/>
          <w:sz w:val="22"/>
          <w:szCs w:val="22"/>
        </w:rPr>
        <w:t>El Análisis de Situación o evaluación del periodo vigente.</w:t>
      </w:r>
    </w:p>
    <w:p w14:paraId="453A427E" w14:textId="77777777" w:rsidR="00416794" w:rsidRPr="00C551E1" w:rsidRDefault="0046480E" w:rsidP="00416794">
      <w:pPr>
        <w:pStyle w:val="AutoNumpara"/>
        <w:numPr>
          <w:ilvl w:val="0"/>
          <w:numId w:val="18"/>
        </w:numPr>
        <w:rPr>
          <w:rFonts w:ascii="Arial" w:hAnsi="Arial" w:cs="Arial"/>
          <w:noProof w:val="0"/>
          <w:sz w:val="22"/>
          <w:szCs w:val="22"/>
        </w:rPr>
      </w:pPr>
      <w:r w:rsidRPr="00C551E1">
        <w:rPr>
          <w:rFonts w:ascii="Arial" w:hAnsi="Arial" w:cs="Arial"/>
          <w:noProof w:val="0"/>
          <w:sz w:val="22"/>
          <w:szCs w:val="22"/>
        </w:rPr>
        <w:t>La definición de los objetivos de gestión para cada ejercicio fiscal y estrategias.</w:t>
      </w:r>
    </w:p>
    <w:p w14:paraId="6715B0BD" w14:textId="1695A50B" w:rsidR="0046480E" w:rsidRPr="00C551E1" w:rsidRDefault="0046480E" w:rsidP="00416794">
      <w:pPr>
        <w:pStyle w:val="AutoNumpara"/>
        <w:numPr>
          <w:ilvl w:val="0"/>
          <w:numId w:val="18"/>
        </w:numPr>
        <w:rPr>
          <w:rFonts w:ascii="Arial" w:hAnsi="Arial" w:cs="Arial"/>
          <w:noProof w:val="0"/>
          <w:sz w:val="22"/>
          <w:szCs w:val="22"/>
        </w:rPr>
      </w:pPr>
      <w:r w:rsidRPr="00C551E1">
        <w:rPr>
          <w:rFonts w:ascii="Arial" w:hAnsi="Arial" w:cs="Arial"/>
          <w:noProof w:val="0"/>
          <w:sz w:val="22"/>
          <w:szCs w:val="22"/>
        </w:rPr>
        <w:t xml:space="preserve">Los indicadores de gestión y resultados a lograrse, para cada componente, de acuerdo con el PMR (Reporte de Monitoreo del </w:t>
      </w:r>
      <w:r w:rsidR="002B5292">
        <w:rPr>
          <w:rFonts w:ascii="Arial" w:hAnsi="Arial" w:cs="Arial"/>
          <w:noProof w:val="0"/>
          <w:sz w:val="22"/>
          <w:szCs w:val="22"/>
        </w:rPr>
        <w:t>Programa</w:t>
      </w:r>
      <w:r w:rsidRPr="00C551E1">
        <w:rPr>
          <w:rFonts w:ascii="Arial" w:hAnsi="Arial" w:cs="Arial"/>
          <w:noProof w:val="0"/>
          <w:sz w:val="22"/>
          <w:szCs w:val="22"/>
        </w:rPr>
        <w:t xml:space="preserve">, por sus siglas en inglés) del </w:t>
      </w:r>
      <w:r w:rsidR="002B5292">
        <w:rPr>
          <w:rFonts w:ascii="Arial" w:hAnsi="Arial" w:cs="Arial"/>
          <w:noProof w:val="0"/>
          <w:sz w:val="22"/>
          <w:szCs w:val="22"/>
        </w:rPr>
        <w:t>Programa</w:t>
      </w:r>
      <w:r w:rsidRPr="00C551E1">
        <w:rPr>
          <w:rFonts w:ascii="Arial" w:hAnsi="Arial" w:cs="Arial"/>
          <w:noProof w:val="0"/>
          <w:sz w:val="22"/>
          <w:szCs w:val="22"/>
        </w:rPr>
        <w:t>.</w:t>
      </w:r>
    </w:p>
    <w:p w14:paraId="462A421D" w14:textId="77777777" w:rsidR="0046480E" w:rsidRPr="00C551E1" w:rsidRDefault="0046480E" w:rsidP="00416794">
      <w:pPr>
        <w:pStyle w:val="AutoNumpara"/>
        <w:numPr>
          <w:ilvl w:val="0"/>
          <w:numId w:val="18"/>
        </w:numPr>
        <w:rPr>
          <w:rFonts w:ascii="Arial" w:hAnsi="Arial" w:cs="Arial"/>
          <w:noProof w:val="0"/>
          <w:sz w:val="22"/>
          <w:szCs w:val="22"/>
        </w:rPr>
      </w:pPr>
      <w:r w:rsidRPr="00C551E1">
        <w:rPr>
          <w:rFonts w:ascii="Arial" w:hAnsi="Arial" w:cs="Arial"/>
          <w:noProof w:val="0"/>
          <w:sz w:val="22"/>
          <w:szCs w:val="22"/>
        </w:rPr>
        <w:t>La determinación de los recursos requeridos para la ejecución de las operaciones previstas en el POA.</w:t>
      </w:r>
    </w:p>
    <w:p w14:paraId="5E372B40" w14:textId="05E957E4" w:rsidR="0046480E" w:rsidRPr="00C551E1" w:rsidRDefault="0046480E" w:rsidP="00416794">
      <w:pPr>
        <w:pStyle w:val="AutoNumpara"/>
        <w:numPr>
          <w:ilvl w:val="0"/>
          <w:numId w:val="18"/>
        </w:numPr>
        <w:rPr>
          <w:rFonts w:ascii="Arial" w:hAnsi="Arial" w:cs="Arial"/>
          <w:noProof w:val="0"/>
          <w:sz w:val="22"/>
          <w:szCs w:val="22"/>
        </w:rPr>
      </w:pPr>
      <w:r w:rsidRPr="00C551E1">
        <w:rPr>
          <w:rFonts w:ascii="Arial" w:hAnsi="Arial" w:cs="Arial"/>
          <w:noProof w:val="0"/>
          <w:sz w:val="22"/>
          <w:szCs w:val="22"/>
        </w:rPr>
        <w:t>Anexos</w:t>
      </w:r>
      <w:r w:rsidR="005B1887" w:rsidRPr="00C551E1">
        <w:rPr>
          <w:rFonts w:ascii="Arial" w:hAnsi="Arial" w:cs="Arial"/>
          <w:noProof w:val="0"/>
          <w:sz w:val="22"/>
          <w:szCs w:val="22"/>
        </w:rPr>
        <w:t>,</w:t>
      </w:r>
      <w:r w:rsidRPr="00C551E1">
        <w:rPr>
          <w:rFonts w:ascii="Arial" w:hAnsi="Arial" w:cs="Arial"/>
          <w:noProof w:val="0"/>
          <w:sz w:val="22"/>
          <w:szCs w:val="22"/>
        </w:rPr>
        <w:t xml:space="preserve"> que incluirán la </w:t>
      </w:r>
      <w:r w:rsidR="002B5292">
        <w:rPr>
          <w:rFonts w:ascii="Arial" w:hAnsi="Arial" w:cs="Arial"/>
          <w:noProof w:val="0"/>
          <w:sz w:val="22"/>
          <w:szCs w:val="22"/>
        </w:rPr>
        <w:t>Programa</w:t>
      </w:r>
      <w:r w:rsidRPr="00C551E1">
        <w:rPr>
          <w:rFonts w:ascii="Arial" w:hAnsi="Arial" w:cs="Arial"/>
          <w:noProof w:val="0"/>
          <w:sz w:val="22"/>
          <w:szCs w:val="22"/>
        </w:rPr>
        <w:t>ción Financiera y el Plan de Adquisiciones.</w:t>
      </w:r>
    </w:p>
    <w:p w14:paraId="0583127E" w14:textId="77777777" w:rsidR="0046480E" w:rsidRPr="00C551E1" w:rsidRDefault="0046480E" w:rsidP="00416794">
      <w:pPr>
        <w:pStyle w:val="AutoNumpara"/>
        <w:numPr>
          <w:ilvl w:val="0"/>
          <w:numId w:val="18"/>
        </w:numPr>
        <w:rPr>
          <w:rFonts w:ascii="Arial" w:hAnsi="Arial" w:cs="Arial"/>
          <w:noProof w:val="0"/>
          <w:sz w:val="22"/>
          <w:szCs w:val="22"/>
        </w:rPr>
      </w:pPr>
      <w:r w:rsidRPr="00C551E1">
        <w:rPr>
          <w:rFonts w:ascii="Arial" w:hAnsi="Arial" w:cs="Arial"/>
          <w:noProof w:val="0"/>
          <w:sz w:val="22"/>
          <w:szCs w:val="22"/>
        </w:rPr>
        <w:t>Información adicional para el PMR.</w:t>
      </w:r>
    </w:p>
    <w:p w14:paraId="2993666F" w14:textId="77777777" w:rsidR="0046480E" w:rsidRPr="00C551E1" w:rsidRDefault="0046480E" w:rsidP="00416794">
      <w:pPr>
        <w:pStyle w:val="AutoNumpara"/>
        <w:numPr>
          <w:ilvl w:val="0"/>
          <w:numId w:val="0"/>
        </w:numPr>
        <w:rPr>
          <w:rFonts w:ascii="Arial" w:hAnsi="Arial" w:cs="Arial"/>
          <w:noProof w:val="0"/>
          <w:sz w:val="22"/>
          <w:szCs w:val="22"/>
        </w:rPr>
      </w:pPr>
      <w:r w:rsidRPr="00C551E1">
        <w:rPr>
          <w:rFonts w:ascii="Arial" w:hAnsi="Arial" w:cs="Arial"/>
          <w:noProof w:val="0"/>
          <w:sz w:val="22"/>
          <w:szCs w:val="22"/>
        </w:rPr>
        <w:t xml:space="preserve">La elaboración de los POA será liderada por la </w:t>
      </w:r>
      <w:r w:rsidR="00C47A61" w:rsidRPr="00C551E1">
        <w:rPr>
          <w:rFonts w:ascii="Arial" w:hAnsi="Arial" w:cs="Arial"/>
          <w:noProof w:val="0"/>
          <w:sz w:val="22"/>
          <w:szCs w:val="22"/>
        </w:rPr>
        <w:t>UEP</w:t>
      </w:r>
      <w:r w:rsidRPr="00C551E1">
        <w:rPr>
          <w:rFonts w:ascii="Arial" w:hAnsi="Arial" w:cs="Arial"/>
          <w:noProof w:val="0"/>
          <w:sz w:val="22"/>
          <w:szCs w:val="22"/>
        </w:rPr>
        <w:t xml:space="preserve"> en coordinación con las direcciones y áreas/unidades técnicas involucradas en la ejecución, y aprobada por el Director de la UEP.</w:t>
      </w:r>
    </w:p>
    <w:p w14:paraId="16CD8A8A" w14:textId="62137979" w:rsidR="0046480E" w:rsidRPr="00C551E1" w:rsidRDefault="0046480E" w:rsidP="00416794">
      <w:pPr>
        <w:pStyle w:val="AutoNumpara"/>
        <w:numPr>
          <w:ilvl w:val="0"/>
          <w:numId w:val="0"/>
        </w:numPr>
        <w:rPr>
          <w:rFonts w:ascii="Arial" w:hAnsi="Arial" w:cs="Arial"/>
          <w:noProof w:val="0"/>
          <w:sz w:val="22"/>
          <w:szCs w:val="22"/>
        </w:rPr>
      </w:pPr>
      <w:r w:rsidRPr="00C551E1">
        <w:rPr>
          <w:rFonts w:ascii="Arial" w:hAnsi="Arial" w:cs="Arial"/>
          <w:noProof w:val="0"/>
          <w:sz w:val="22"/>
          <w:szCs w:val="22"/>
        </w:rPr>
        <w:t xml:space="preserve">La </w:t>
      </w:r>
      <w:r w:rsidR="002B5292">
        <w:rPr>
          <w:rFonts w:ascii="Arial" w:hAnsi="Arial" w:cs="Arial"/>
          <w:noProof w:val="0"/>
          <w:sz w:val="22"/>
          <w:szCs w:val="22"/>
        </w:rPr>
        <w:t>programa</w:t>
      </w:r>
      <w:r w:rsidRPr="00C551E1">
        <w:rPr>
          <w:rFonts w:ascii="Arial" w:hAnsi="Arial" w:cs="Arial"/>
          <w:noProof w:val="0"/>
          <w:sz w:val="22"/>
          <w:szCs w:val="22"/>
        </w:rPr>
        <w:t xml:space="preserve">ción operativa anual se constituirá en la base de la </w:t>
      </w:r>
      <w:r w:rsidR="002B5292">
        <w:rPr>
          <w:rFonts w:ascii="Arial" w:hAnsi="Arial" w:cs="Arial"/>
          <w:noProof w:val="0"/>
          <w:sz w:val="22"/>
          <w:szCs w:val="22"/>
        </w:rPr>
        <w:t>programa</w:t>
      </w:r>
      <w:r w:rsidRPr="00C551E1">
        <w:rPr>
          <w:rFonts w:ascii="Arial" w:hAnsi="Arial" w:cs="Arial"/>
          <w:noProof w:val="0"/>
          <w:sz w:val="22"/>
          <w:szCs w:val="22"/>
        </w:rPr>
        <w:t xml:space="preserve">ción (e inscripción) presupuestaria de los proyectos en los sistemas nacionales de inversión pública y de presupuestos, así como de la </w:t>
      </w:r>
      <w:r w:rsidR="002B5292">
        <w:rPr>
          <w:rFonts w:ascii="Arial" w:hAnsi="Arial" w:cs="Arial"/>
          <w:noProof w:val="0"/>
          <w:sz w:val="22"/>
          <w:szCs w:val="22"/>
        </w:rPr>
        <w:t>programa</w:t>
      </w:r>
      <w:r w:rsidRPr="00C551E1">
        <w:rPr>
          <w:rFonts w:ascii="Arial" w:hAnsi="Arial" w:cs="Arial"/>
          <w:noProof w:val="0"/>
          <w:sz w:val="22"/>
          <w:szCs w:val="22"/>
        </w:rPr>
        <w:t xml:space="preserve">ción de flujo financiero que permita contar con la liquidez suficiente para la ejecución del </w:t>
      </w:r>
      <w:r w:rsidR="002B5292">
        <w:rPr>
          <w:rFonts w:ascii="Arial" w:hAnsi="Arial" w:cs="Arial"/>
          <w:noProof w:val="0"/>
          <w:sz w:val="22"/>
          <w:szCs w:val="22"/>
        </w:rPr>
        <w:t>Programa</w:t>
      </w:r>
      <w:r w:rsidRPr="00C551E1">
        <w:rPr>
          <w:rFonts w:ascii="Arial" w:hAnsi="Arial" w:cs="Arial"/>
          <w:noProof w:val="0"/>
          <w:sz w:val="22"/>
          <w:szCs w:val="22"/>
        </w:rPr>
        <w:t xml:space="preserve"> de forma oportuna. </w:t>
      </w:r>
    </w:p>
    <w:p w14:paraId="66489E48" w14:textId="2027EFC0" w:rsidR="0046480E" w:rsidRPr="00F134B3" w:rsidRDefault="0046480E" w:rsidP="00416794">
      <w:pPr>
        <w:pStyle w:val="AutoNumpara"/>
        <w:numPr>
          <w:ilvl w:val="0"/>
          <w:numId w:val="0"/>
        </w:numPr>
        <w:rPr>
          <w:rFonts w:ascii="Arial" w:hAnsi="Arial" w:cs="Arial"/>
          <w:b/>
          <w:noProof w:val="0"/>
          <w:sz w:val="22"/>
          <w:szCs w:val="22"/>
        </w:rPr>
      </w:pPr>
      <w:r w:rsidRPr="00C551E1">
        <w:rPr>
          <w:rFonts w:ascii="Arial" w:hAnsi="Arial" w:cs="Arial"/>
          <w:b/>
          <w:noProof w:val="0"/>
          <w:sz w:val="22"/>
          <w:szCs w:val="22"/>
        </w:rPr>
        <w:t>Modificaciones a los POA.</w:t>
      </w:r>
      <w:r w:rsidRPr="00C551E1">
        <w:rPr>
          <w:rFonts w:ascii="Arial" w:hAnsi="Arial" w:cs="Arial"/>
          <w:noProof w:val="0"/>
          <w:sz w:val="22"/>
          <w:szCs w:val="22"/>
        </w:rPr>
        <w:t xml:space="preserve"> Cualquier modificación a los POA que se genere a partir de incorporaciones o cambios en las metas físicas y/o financieras aprobadas para la gestión, deberá ser aprobada por el Coordinador del </w:t>
      </w:r>
      <w:r w:rsidR="002B5292">
        <w:rPr>
          <w:rFonts w:ascii="Arial" w:hAnsi="Arial" w:cs="Arial"/>
          <w:noProof w:val="0"/>
          <w:sz w:val="22"/>
          <w:szCs w:val="22"/>
        </w:rPr>
        <w:t>Programa</w:t>
      </w:r>
      <w:r w:rsidRPr="00C551E1">
        <w:rPr>
          <w:rFonts w:ascii="Arial" w:hAnsi="Arial" w:cs="Arial"/>
          <w:noProof w:val="0"/>
          <w:sz w:val="22"/>
          <w:szCs w:val="22"/>
        </w:rPr>
        <w:t xml:space="preserve"> y puesta a conocimiento para la No Objeción del BID, con la debida documentación respaldatoria. Estas modificaciones deberán tramitarse en los sistemas nacionales, siguiendo los procedimientos que aplican. Asimismo, deben reflejarse en el PA, en caso de que las nuevas metas implican desarrollar/actualizar nuevos procesos de adquisiciones y contrataciones.</w:t>
      </w:r>
    </w:p>
    <w:p w14:paraId="0A7095D9" w14:textId="5700F8E0" w:rsidR="00B620AD" w:rsidRPr="00F134B3" w:rsidRDefault="00B620AD" w:rsidP="00416794">
      <w:pPr>
        <w:pStyle w:val="AutoNumpara"/>
        <w:numPr>
          <w:ilvl w:val="0"/>
          <w:numId w:val="0"/>
        </w:numPr>
        <w:rPr>
          <w:rFonts w:ascii="Arial" w:hAnsi="Arial" w:cs="Arial"/>
          <w:noProof w:val="0"/>
          <w:sz w:val="22"/>
          <w:szCs w:val="22"/>
        </w:rPr>
      </w:pPr>
      <w:r w:rsidRPr="00F134B3">
        <w:rPr>
          <w:rFonts w:ascii="Arial" w:hAnsi="Arial" w:cs="Arial"/>
          <w:b/>
          <w:noProof w:val="0"/>
          <w:sz w:val="22"/>
          <w:szCs w:val="22"/>
        </w:rPr>
        <w:t>Informes Semestrales de Progreso (ISP).</w:t>
      </w:r>
      <w:r w:rsidRPr="00F134B3">
        <w:rPr>
          <w:rFonts w:ascii="Arial" w:hAnsi="Arial" w:cs="Arial"/>
          <w:noProof w:val="0"/>
          <w:sz w:val="22"/>
          <w:szCs w:val="22"/>
        </w:rPr>
        <w:t xml:space="preserve"> Los ISP deberán presentar un resumen de los resultados, productos y costos alcanzados por componentes. El ISP correspondiente a la segunda mitad del año calendario deberá también incluir la proyección de productos y </w:t>
      </w:r>
      <w:r w:rsidRPr="00F134B3">
        <w:rPr>
          <w:rFonts w:ascii="Arial" w:hAnsi="Arial" w:cs="Arial"/>
          <w:noProof w:val="0"/>
          <w:sz w:val="22"/>
          <w:szCs w:val="22"/>
        </w:rPr>
        <w:lastRenderedPageBreak/>
        <w:t>costos para el año siguiente, analizando también el grado de impacto o no impacto de los riesgos. Asimismo, deberán presentar una visión consolidada de las dificultades y lecciones aprendidas, la explicación de cambios realizados a la MR, productos y costos planificados, así como las conclusiones y recomendaciones destinadas a retroalimentar el proyecto.</w:t>
      </w:r>
    </w:p>
    <w:p w14:paraId="6E32E0B3" w14:textId="70BC66CA" w:rsidR="003409E0" w:rsidRPr="00C551E1" w:rsidRDefault="003409E0" w:rsidP="003409E0">
      <w:pPr>
        <w:pStyle w:val="AutoNumpara"/>
        <w:numPr>
          <w:ilvl w:val="0"/>
          <w:numId w:val="0"/>
        </w:numPr>
        <w:rPr>
          <w:rFonts w:ascii="Arial" w:hAnsi="Arial" w:cs="Arial"/>
          <w:noProof w:val="0"/>
          <w:color w:val="000000"/>
          <w:sz w:val="22"/>
          <w:szCs w:val="22"/>
        </w:rPr>
      </w:pPr>
      <w:r w:rsidRPr="00C551E1">
        <w:rPr>
          <w:rFonts w:ascii="Arial" w:hAnsi="Arial" w:cs="Arial"/>
          <w:noProof w:val="0"/>
          <w:color w:val="000000"/>
          <w:sz w:val="22"/>
          <w:szCs w:val="22"/>
        </w:rPr>
        <w:t>E</w:t>
      </w:r>
      <w:r w:rsidR="00C424B6" w:rsidRPr="00C551E1">
        <w:rPr>
          <w:rFonts w:ascii="Arial" w:hAnsi="Arial" w:cs="Arial"/>
          <w:noProof w:val="0"/>
          <w:color w:val="000000"/>
          <w:sz w:val="22"/>
          <w:szCs w:val="22"/>
        </w:rPr>
        <w:t>n específico, e</w:t>
      </w:r>
      <w:r w:rsidRPr="00C551E1">
        <w:rPr>
          <w:rFonts w:ascii="Arial" w:hAnsi="Arial" w:cs="Arial"/>
          <w:noProof w:val="0"/>
          <w:color w:val="000000"/>
          <w:sz w:val="22"/>
          <w:szCs w:val="22"/>
        </w:rPr>
        <w:t xml:space="preserve">stos reportes deberán contener: (i) descripción y avance de las actividades y productos ejecutados por cada componente de la MR, el Plan Operativo Anual y PA del </w:t>
      </w:r>
      <w:r w:rsidR="002B5292">
        <w:rPr>
          <w:rFonts w:ascii="Arial" w:hAnsi="Arial" w:cs="Arial"/>
          <w:noProof w:val="0"/>
          <w:color w:val="000000"/>
          <w:sz w:val="22"/>
          <w:szCs w:val="22"/>
        </w:rPr>
        <w:t>programa</w:t>
      </w:r>
      <w:r w:rsidRPr="00C551E1">
        <w:rPr>
          <w:rFonts w:ascii="Arial" w:hAnsi="Arial" w:cs="Arial"/>
          <w:noProof w:val="0"/>
          <w:color w:val="000000"/>
          <w:sz w:val="22"/>
          <w:szCs w:val="22"/>
        </w:rPr>
        <w:t xml:space="preserve">; (ii) información sobre el desempeño de los contratistas y consultores; (iii) descripción de los procesos de adquisiciones llevados adelante en el período de reporte; (iv) cronograma actualizado de los avances en materia físico-financiera (desembolsos); (v) avances y nivel de cumplimiento de las metas de los indicadores de la MR, de acuerdo al sistema PMR; (vi) identificación de nuevos problemas,  riesgos/eventos que puedan afectar la implementación del proyecto, una actualización de las Matrices de Riesgo generadas a partir del proceso de gestión de riesgos y presentarán las medidas correctivas realizadas para enfrentarlos; (vii) plan de ejecución correspondiente a los dos semestres sucesivos; (ix) un resumen de los estados financieros del </w:t>
      </w:r>
      <w:r w:rsidR="002B5292">
        <w:rPr>
          <w:rFonts w:ascii="Arial" w:hAnsi="Arial" w:cs="Arial"/>
          <w:noProof w:val="0"/>
          <w:color w:val="000000"/>
          <w:sz w:val="22"/>
          <w:szCs w:val="22"/>
        </w:rPr>
        <w:t>Programa</w:t>
      </w:r>
      <w:r w:rsidRPr="00C551E1">
        <w:rPr>
          <w:rFonts w:ascii="Arial" w:hAnsi="Arial" w:cs="Arial"/>
          <w:noProof w:val="0"/>
          <w:color w:val="000000"/>
          <w:sz w:val="22"/>
          <w:szCs w:val="22"/>
        </w:rPr>
        <w:t>; y (x) el flujo de fondos estimado y ajustado cada dos semestres.</w:t>
      </w:r>
    </w:p>
    <w:p w14:paraId="5B5886A9" w14:textId="77777777" w:rsidR="003409E0" w:rsidRPr="00C551E1" w:rsidRDefault="003409E0" w:rsidP="00416794">
      <w:pPr>
        <w:pStyle w:val="AutoNumpara"/>
        <w:numPr>
          <w:ilvl w:val="0"/>
          <w:numId w:val="0"/>
        </w:numPr>
        <w:rPr>
          <w:rFonts w:ascii="Arial" w:hAnsi="Arial" w:cs="Arial"/>
          <w:noProof w:val="0"/>
          <w:sz w:val="22"/>
          <w:szCs w:val="22"/>
        </w:rPr>
      </w:pPr>
    </w:p>
    <w:p w14:paraId="0AED1B4F" w14:textId="17DE5B7C" w:rsidR="0046480E" w:rsidRPr="00C551E1" w:rsidRDefault="0046480E" w:rsidP="003A3C32">
      <w:pPr>
        <w:jc w:val="both"/>
        <w:rPr>
          <w:rFonts w:ascii="Arial" w:hAnsi="Arial" w:cs="Arial"/>
          <w:sz w:val="22"/>
          <w:szCs w:val="22"/>
        </w:rPr>
      </w:pPr>
      <w:bookmarkStart w:id="10" w:name="_Toc305003922"/>
      <w:r w:rsidRPr="00C551E1">
        <w:rPr>
          <w:rFonts w:ascii="Arial" w:hAnsi="Arial" w:cs="Arial"/>
          <w:b/>
          <w:sz w:val="22"/>
          <w:szCs w:val="22"/>
        </w:rPr>
        <w:t>Plan de Adquisiciones</w:t>
      </w:r>
      <w:r w:rsidR="00692AEE" w:rsidRPr="00C551E1">
        <w:rPr>
          <w:rFonts w:ascii="Arial" w:hAnsi="Arial" w:cs="Arial"/>
          <w:b/>
          <w:sz w:val="22"/>
          <w:szCs w:val="22"/>
        </w:rPr>
        <w:t xml:space="preserve"> (PA)</w:t>
      </w:r>
      <w:r w:rsidRPr="00C551E1">
        <w:rPr>
          <w:rFonts w:ascii="Arial" w:hAnsi="Arial" w:cs="Arial"/>
          <w:b/>
          <w:sz w:val="22"/>
          <w:szCs w:val="22"/>
        </w:rPr>
        <w:t xml:space="preserve">.  </w:t>
      </w:r>
      <w:r w:rsidR="005B1887" w:rsidRPr="00C551E1">
        <w:rPr>
          <w:rFonts w:ascii="Arial" w:hAnsi="Arial" w:cs="Arial"/>
          <w:sz w:val="22"/>
          <w:szCs w:val="22"/>
        </w:rPr>
        <w:t xml:space="preserve">El </w:t>
      </w:r>
      <w:r w:rsidR="002B5292">
        <w:rPr>
          <w:rFonts w:ascii="Arial" w:hAnsi="Arial" w:cs="Arial"/>
          <w:sz w:val="22"/>
          <w:szCs w:val="22"/>
        </w:rPr>
        <w:t>Programa</w:t>
      </w:r>
      <w:r w:rsidR="005B1887" w:rsidRPr="00C551E1">
        <w:rPr>
          <w:rFonts w:ascii="Arial" w:hAnsi="Arial" w:cs="Arial"/>
          <w:sz w:val="22"/>
          <w:szCs w:val="22"/>
        </w:rPr>
        <w:t xml:space="preserve"> cuenta con </w:t>
      </w:r>
      <w:r w:rsidRPr="00C551E1">
        <w:rPr>
          <w:rFonts w:ascii="Arial" w:hAnsi="Arial" w:cs="Arial"/>
          <w:sz w:val="22"/>
          <w:szCs w:val="22"/>
        </w:rPr>
        <w:t xml:space="preserve">un PA inicial para </w:t>
      </w:r>
      <w:r w:rsidR="00C2578D" w:rsidRPr="00C551E1">
        <w:rPr>
          <w:rFonts w:ascii="Arial" w:hAnsi="Arial" w:cs="Arial"/>
          <w:sz w:val="22"/>
          <w:szCs w:val="22"/>
        </w:rPr>
        <w:t xml:space="preserve">los primeros 2 años del </w:t>
      </w:r>
      <w:r w:rsidR="002B5292">
        <w:rPr>
          <w:rFonts w:ascii="Arial" w:hAnsi="Arial" w:cs="Arial"/>
          <w:sz w:val="22"/>
          <w:szCs w:val="22"/>
        </w:rPr>
        <w:t>Programa</w:t>
      </w:r>
      <w:r w:rsidR="00C2578D" w:rsidRPr="00C551E1">
        <w:rPr>
          <w:rFonts w:ascii="Arial" w:hAnsi="Arial" w:cs="Arial"/>
          <w:sz w:val="22"/>
          <w:szCs w:val="22"/>
        </w:rPr>
        <w:t xml:space="preserve">. </w:t>
      </w:r>
      <w:r w:rsidR="00C933CE" w:rsidRPr="00C551E1">
        <w:rPr>
          <w:rFonts w:ascii="Arial" w:hAnsi="Arial" w:cs="Arial"/>
          <w:sz w:val="22"/>
          <w:szCs w:val="22"/>
        </w:rPr>
        <w:t xml:space="preserve">El </w:t>
      </w:r>
      <w:r w:rsidR="00692AEE" w:rsidRPr="00C551E1">
        <w:rPr>
          <w:rFonts w:ascii="Arial" w:hAnsi="Arial" w:cs="Arial"/>
          <w:sz w:val="22"/>
          <w:szCs w:val="22"/>
        </w:rPr>
        <w:t xml:space="preserve">PA </w:t>
      </w:r>
      <w:r w:rsidRPr="00C551E1">
        <w:rPr>
          <w:rFonts w:ascii="Arial" w:hAnsi="Arial" w:cs="Arial"/>
          <w:sz w:val="22"/>
          <w:szCs w:val="22"/>
        </w:rPr>
        <w:t>deberá ser consistente con el POA</w:t>
      </w:r>
      <w:r w:rsidR="00C933CE" w:rsidRPr="00C551E1">
        <w:rPr>
          <w:rFonts w:ascii="Arial" w:hAnsi="Arial" w:cs="Arial"/>
          <w:sz w:val="22"/>
          <w:szCs w:val="22"/>
        </w:rPr>
        <w:t xml:space="preserve"> y </w:t>
      </w:r>
      <w:r w:rsidR="00C933CE" w:rsidRPr="00F134B3">
        <w:rPr>
          <w:rFonts w:ascii="Arial" w:hAnsi="Arial" w:cs="Arial"/>
          <w:sz w:val="22"/>
          <w:szCs w:val="22"/>
        </w:rPr>
        <w:t xml:space="preserve">será revisado al menos cada 12 meses o según las necesidades del proyecto, y contar con la no objeción del Banco. En el PA deberá incluir por cada contratación lo siguiente: (i) método de selección/adquisición; (ii) método de revisión; (iii) componente y producto asociado; (iv) cronograma de ejecución; y (v) monto estimado de la contratación. </w:t>
      </w:r>
      <w:bookmarkEnd w:id="10"/>
      <w:r w:rsidR="000172AC" w:rsidRPr="00C551E1">
        <w:rPr>
          <w:rFonts w:ascii="Arial" w:hAnsi="Arial" w:cs="Arial"/>
          <w:sz w:val="22"/>
          <w:szCs w:val="22"/>
        </w:rPr>
        <w:t xml:space="preserve"> Las adquisiciones financiadas total o parcialmente con recursos del Banco serán realizadas de acuerdo con las Políticas para la adquisición de obras y bienes financiados por el BID (GN-2349-9) y las Políticas para la selección y contratación de consultores financiados por el BID (GN-2350-9).</w:t>
      </w:r>
    </w:p>
    <w:p w14:paraId="470BE309" w14:textId="77777777" w:rsidR="00692AEE" w:rsidRPr="00C551E1" w:rsidRDefault="00692AEE" w:rsidP="003A3C32">
      <w:pPr>
        <w:jc w:val="both"/>
        <w:rPr>
          <w:rFonts w:ascii="Arial" w:hAnsi="Arial" w:cs="Arial"/>
          <w:sz w:val="22"/>
          <w:szCs w:val="22"/>
        </w:rPr>
      </w:pPr>
    </w:p>
    <w:p w14:paraId="35645F45" w14:textId="3F9C1FD4" w:rsidR="00C933CE" w:rsidRPr="00C551E1" w:rsidRDefault="00C933CE" w:rsidP="00F134B3">
      <w:pPr>
        <w:spacing w:before="120" w:after="120"/>
        <w:jc w:val="both"/>
        <w:rPr>
          <w:rFonts w:ascii="Arial" w:hAnsi="Arial" w:cs="Arial"/>
          <w:color w:val="000000"/>
          <w:sz w:val="22"/>
          <w:szCs w:val="22"/>
        </w:rPr>
      </w:pPr>
      <w:r w:rsidRPr="00F134B3">
        <w:rPr>
          <w:rFonts w:ascii="Arial" w:hAnsi="Arial" w:cs="Arial"/>
          <w:b/>
          <w:color w:val="000000"/>
          <w:sz w:val="22"/>
          <w:szCs w:val="22"/>
        </w:rPr>
        <w:t>Proyecciones de desembolsos del proyecto</w:t>
      </w:r>
      <w:r w:rsidRPr="00F134B3">
        <w:rPr>
          <w:rFonts w:ascii="Arial" w:hAnsi="Arial" w:cs="Arial"/>
          <w:color w:val="000000"/>
          <w:sz w:val="22"/>
          <w:szCs w:val="22"/>
        </w:rPr>
        <w:t>: A finales de cada año el MVOTMA, en coordinación con el Banco, revisará las proyecciones de desembolsos mensuales del proyecto para el año siguiente, en consistencia con el POA. Estas proyecciones deben ser presentadas cada 30 de enero para ser capturadas en los sistemas del Banco y ejecutadas en el año-calendario. El cumplimiento de las proyecciones formará parte de la evaluación del desempeño del proyecto realizada a través del PMR.</w:t>
      </w:r>
    </w:p>
    <w:p w14:paraId="453D4F6F" w14:textId="77777777" w:rsidR="0046480E" w:rsidRPr="00C551E1" w:rsidRDefault="0046480E" w:rsidP="00792B59">
      <w:pPr>
        <w:jc w:val="both"/>
        <w:rPr>
          <w:rFonts w:ascii="Arial" w:hAnsi="Arial" w:cs="Arial"/>
          <w:sz w:val="22"/>
          <w:szCs w:val="22"/>
        </w:rPr>
      </w:pPr>
    </w:p>
    <w:p w14:paraId="5C1D35D5" w14:textId="0E063465" w:rsidR="001B5186" w:rsidRPr="00C551E1" w:rsidRDefault="00416794" w:rsidP="00416794">
      <w:pPr>
        <w:pStyle w:val="Heading2"/>
        <w:numPr>
          <w:ilvl w:val="0"/>
          <w:numId w:val="0"/>
        </w:numPr>
        <w:ind w:left="720" w:hanging="720"/>
        <w:rPr>
          <w:rFonts w:ascii="Arial" w:hAnsi="Arial" w:cs="Arial"/>
          <w:noProof w:val="0"/>
          <w:sz w:val="22"/>
          <w:szCs w:val="22"/>
          <w:lang w:val="es-ES_tradnl"/>
        </w:rPr>
      </w:pPr>
      <w:bookmarkStart w:id="11" w:name="_Toc11138473"/>
      <w:bookmarkStart w:id="12" w:name="_Toc12264432"/>
      <w:r w:rsidRPr="00C551E1">
        <w:rPr>
          <w:rFonts w:ascii="Arial" w:hAnsi="Arial" w:cs="Arial"/>
          <w:noProof w:val="0"/>
          <w:sz w:val="22"/>
          <w:szCs w:val="22"/>
          <w:lang w:val="es-ES_tradnl"/>
        </w:rPr>
        <w:t xml:space="preserve">2.2 </w:t>
      </w:r>
      <w:r w:rsidR="001B5186" w:rsidRPr="00C551E1">
        <w:rPr>
          <w:rFonts w:ascii="Arial" w:hAnsi="Arial" w:cs="Arial"/>
          <w:noProof w:val="0"/>
          <w:sz w:val="22"/>
          <w:szCs w:val="22"/>
          <w:lang w:val="es-ES_tradnl"/>
        </w:rPr>
        <w:t>Indica</w:t>
      </w:r>
      <w:r w:rsidR="00332D8A" w:rsidRPr="00C551E1">
        <w:rPr>
          <w:rFonts w:ascii="Arial" w:hAnsi="Arial" w:cs="Arial"/>
          <w:noProof w:val="0"/>
          <w:sz w:val="22"/>
          <w:szCs w:val="22"/>
          <w:lang w:val="es-ES_tradnl"/>
        </w:rPr>
        <w:t>dores</w:t>
      </w:r>
      <w:bookmarkEnd w:id="11"/>
      <w:bookmarkEnd w:id="12"/>
    </w:p>
    <w:p w14:paraId="67A7046B" w14:textId="25CCB2C4" w:rsidR="001B5186" w:rsidRPr="00C551E1" w:rsidRDefault="004A4293">
      <w:pPr>
        <w:pStyle w:val="AutoNumpara"/>
        <w:numPr>
          <w:ilvl w:val="0"/>
          <w:numId w:val="0"/>
        </w:numPr>
        <w:textAlignment w:val="top"/>
        <w:rPr>
          <w:rFonts w:ascii="Arial" w:hAnsi="Arial" w:cs="Arial"/>
          <w:noProof w:val="0"/>
          <w:color w:val="000000"/>
          <w:sz w:val="22"/>
          <w:szCs w:val="22"/>
        </w:rPr>
      </w:pPr>
      <w:r w:rsidRPr="00C551E1">
        <w:rPr>
          <w:rFonts w:ascii="Arial" w:hAnsi="Arial" w:cs="Arial"/>
          <w:noProof w:val="0"/>
          <w:sz w:val="22"/>
          <w:szCs w:val="22"/>
        </w:rPr>
        <w:t xml:space="preserve">El Cuadro 1 a </w:t>
      </w:r>
      <w:r w:rsidR="00A63CC0" w:rsidRPr="00C551E1">
        <w:rPr>
          <w:rFonts w:ascii="Arial" w:hAnsi="Arial" w:cs="Arial"/>
          <w:noProof w:val="0"/>
          <w:sz w:val="22"/>
          <w:szCs w:val="22"/>
        </w:rPr>
        <w:t>continuación</w:t>
      </w:r>
      <w:r w:rsidRPr="00C551E1">
        <w:rPr>
          <w:rFonts w:ascii="Arial" w:hAnsi="Arial" w:cs="Arial"/>
          <w:noProof w:val="0"/>
          <w:sz w:val="22"/>
          <w:szCs w:val="22"/>
        </w:rPr>
        <w:t xml:space="preserve"> incluye los indicadores de producto a los que se dará seguimiento</w:t>
      </w:r>
      <w:r w:rsidR="00916801" w:rsidRPr="00C551E1">
        <w:rPr>
          <w:rFonts w:ascii="Arial" w:hAnsi="Arial" w:cs="Arial"/>
          <w:noProof w:val="0"/>
          <w:sz w:val="22"/>
          <w:szCs w:val="22"/>
        </w:rPr>
        <w:t xml:space="preserve">, así como la forma y frecuencia de medición de estos y la fuente de verificación. Estos </w:t>
      </w:r>
      <w:r w:rsidRPr="00C551E1">
        <w:rPr>
          <w:rFonts w:ascii="Arial" w:hAnsi="Arial" w:cs="Arial"/>
          <w:noProof w:val="0"/>
          <w:sz w:val="22"/>
          <w:szCs w:val="22"/>
        </w:rPr>
        <w:t xml:space="preserve">se consignarán en los informe semestrales de seguimiento del </w:t>
      </w:r>
      <w:r w:rsidR="002B5292">
        <w:rPr>
          <w:rFonts w:ascii="Arial" w:hAnsi="Arial" w:cs="Arial"/>
          <w:noProof w:val="0"/>
          <w:sz w:val="22"/>
          <w:szCs w:val="22"/>
        </w:rPr>
        <w:t>programa</w:t>
      </w:r>
      <w:r w:rsidRPr="00C551E1">
        <w:rPr>
          <w:rFonts w:ascii="Arial" w:hAnsi="Arial" w:cs="Arial"/>
          <w:noProof w:val="0"/>
          <w:sz w:val="22"/>
          <w:szCs w:val="22"/>
        </w:rPr>
        <w:t xml:space="preserve">. </w:t>
      </w:r>
    </w:p>
    <w:p w14:paraId="0D61671F" w14:textId="77777777" w:rsidR="001B5186" w:rsidRPr="00C551E1" w:rsidRDefault="001B5186" w:rsidP="00792B59">
      <w:pPr>
        <w:jc w:val="both"/>
        <w:textAlignment w:val="top"/>
        <w:rPr>
          <w:rFonts w:ascii="Arial" w:hAnsi="Arial" w:cs="Arial"/>
          <w:color w:val="000000"/>
          <w:sz w:val="22"/>
          <w:szCs w:val="22"/>
        </w:rPr>
      </w:pPr>
    </w:p>
    <w:p w14:paraId="6CBDD977" w14:textId="77777777" w:rsidR="00B02D77" w:rsidRPr="00C551E1" w:rsidRDefault="00B02D77" w:rsidP="00792B59">
      <w:pPr>
        <w:jc w:val="both"/>
        <w:textAlignment w:val="top"/>
        <w:rPr>
          <w:rFonts w:ascii="Arial" w:hAnsi="Arial" w:cs="Arial"/>
          <w:color w:val="000000"/>
          <w:sz w:val="22"/>
          <w:szCs w:val="22"/>
        </w:rPr>
        <w:sectPr w:rsidR="00B02D77" w:rsidRPr="00C551E1" w:rsidSect="00B87A39">
          <w:pgSz w:w="12240" w:h="15840"/>
          <w:pgMar w:top="1440" w:right="1800" w:bottom="1440" w:left="1800" w:header="720" w:footer="720" w:gutter="0"/>
          <w:cols w:space="720"/>
          <w:docGrid w:linePitch="360"/>
        </w:sectPr>
      </w:pPr>
    </w:p>
    <w:p w14:paraId="4A4C95D4" w14:textId="44EBA37A" w:rsidR="00CA456B" w:rsidRPr="00C551E1" w:rsidRDefault="00CA456B" w:rsidP="00CA456B">
      <w:pPr>
        <w:spacing w:before="120"/>
        <w:textAlignment w:val="baseline"/>
        <w:rPr>
          <w:rFonts w:ascii="Arial" w:hAnsi="Arial" w:cs="Arial"/>
          <w:b/>
          <w:sz w:val="22"/>
          <w:szCs w:val="22"/>
        </w:rPr>
      </w:pPr>
      <w:r w:rsidRPr="00C551E1">
        <w:rPr>
          <w:rFonts w:ascii="Arial" w:hAnsi="Arial" w:cs="Arial"/>
          <w:b/>
          <w:sz w:val="22"/>
          <w:szCs w:val="22"/>
        </w:rPr>
        <w:lastRenderedPageBreak/>
        <w:t>Cuadro 1. Indicadores de seguimiento</w:t>
      </w:r>
    </w:p>
    <w:p w14:paraId="464F0854" w14:textId="23E21F3E" w:rsidR="00B23858" w:rsidRPr="00C551E1" w:rsidRDefault="00B23858" w:rsidP="00B23858">
      <w:pPr>
        <w:spacing w:before="120"/>
        <w:jc w:val="center"/>
        <w:textAlignment w:val="baseline"/>
        <w:rPr>
          <w:rFonts w:ascii="Arial" w:hAnsi="Arial" w:cs="Arial"/>
          <w:b/>
          <w:sz w:val="20"/>
        </w:rPr>
      </w:pPr>
      <w:r w:rsidRPr="00C551E1">
        <w:rPr>
          <w:rFonts w:ascii="Arial" w:hAnsi="Arial" w:cs="Arial"/>
          <w:b/>
          <w:sz w:val="20"/>
        </w:rPr>
        <w:t>Productos e Indicadores</w:t>
      </w:r>
    </w:p>
    <w:tbl>
      <w:tblPr>
        <w:tblStyle w:val="TableGrid"/>
        <w:tblW w:w="13585" w:type="dxa"/>
        <w:tblLayout w:type="fixed"/>
        <w:tblLook w:val="04A0" w:firstRow="1" w:lastRow="0" w:firstColumn="1" w:lastColumn="0" w:noHBand="0" w:noVBand="1"/>
      </w:tblPr>
      <w:tblGrid>
        <w:gridCol w:w="1885"/>
        <w:gridCol w:w="2340"/>
        <w:gridCol w:w="990"/>
        <w:gridCol w:w="837"/>
        <w:gridCol w:w="693"/>
        <w:gridCol w:w="691"/>
        <w:gridCol w:w="691"/>
        <w:gridCol w:w="691"/>
        <w:gridCol w:w="691"/>
        <w:gridCol w:w="1008"/>
        <w:gridCol w:w="3068"/>
      </w:tblGrid>
      <w:tr w:rsidR="00B23858" w:rsidRPr="00C551E1" w14:paraId="272628B3" w14:textId="77777777" w:rsidTr="00C34ED4">
        <w:trPr>
          <w:tblHeader/>
        </w:trPr>
        <w:tc>
          <w:tcPr>
            <w:tcW w:w="1885" w:type="dxa"/>
            <w:shd w:val="clear" w:color="auto" w:fill="EDEDED" w:themeFill="accent3" w:themeFillTint="33"/>
          </w:tcPr>
          <w:p w14:paraId="60FF6A43"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Producto</w:t>
            </w:r>
          </w:p>
        </w:tc>
        <w:tc>
          <w:tcPr>
            <w:tcW w:w="2340" w:type="dxa"/>
            <w:shd w:val="clear" w:color="auto" w:fill="EDEDED" w:themeFill="accent3" w:themeFillTint="33"/>
          </w:tcPr>
          <w:p w14:paraId="419C6DD2"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Indicador</w:t>
            </w:r>
          </w:p>
        </w:tc>
        <w:tc>
          <w:tcPr>
            <w:tcW w:w="990" w:type="dxa"/>
            <w:shd w:val="clear" w:color="auto" w:fill="EDEDED" w:themeFill="accent3" w:themeFillTint="33"/>
          </w:tcPr>
          <w:p w14:paraId="292DF731"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Unidad de medida</w:t>
            </w:r>
          </w:p>
        </w:tc>
        <w:tc>
          <w:tcPr>
            <w:tcW w:w="837" w:type="dxa"/>
            <w:shd w:val="clear" w:color="auto" w:fill="EDEDED" w:themeFill="accent3" w:themeFillTint="33"/>
          </w:tcPr>
          <w:p w14:paraId="6370EDD6"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Línea base; año</w:t>
            </w:r>
          </w:p>
        </w:tc>
        <w:tc>
          <w:tcPr>
            <w:tcW w:w="693" w:type="dxa"/>
            <w:shd w:val="clear" w:color="auto" w:fill="EDEDED" w:themeFill="accent3" w:themeFillTint="33"/>
          </w:tcPr>
          <w:p w14:paraId="7E611F2D"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Año 1</w:t>
            </w:r>
          </w:p>
        </w:tc>
        <w:tc>
          <w:tcPr>
            <w:tcW w:w="691" w:type="dxa"/>
            <w:shd w:val="clear" w:color="auto" w:fill="EDEDED" w:themeFill="accent3" w:themeFillTint="33"/>
          </w:tcPr>
          <w:p w14:paraId="6EF60BE3"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Año 2</w:t>
            </w:r>
          </w:p>
        </w:tc>
        <w:tc>
          <w:tcPr>
            <w:tcW w:w="691" w:type="dxa"/>
            <w:shd w:val="clear" w:color="auto" w:fill="EDEDED" w:themeFill="accent3" w:themeFillTint="33"/>
          </w:tcPr>
          <w:p w14:paraId="7032FE1F"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Año 3</w:t>
            </w:r>
          </w:p>
        </w:tc>
        <w:tc>
          <w:tcPr>
            <w:tcW w:w="691" w:type="dxa"/>
            <w:shd w:val="clear" w:color="auto" w:fill="EDEDED" w:themeFill="accent3" w:themeFillTint="33"/>
          </w:tcPr>
          <w:p w14:paraId="6F4BD26F"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Año 4</w:t>
            </w:r>
          </w:p>
        </w:tc>
        <w:tc>
          <w:tcPr>
            <w:tcW w:w="691" w:type="dxa"/>
            <w:shd w:val="clear" w:color="auto" w:fill="EDEDED" w:themeFill="accent3" w:themeFillTint="33"/>
          </w:tcPr>
          <w:p w14:paraId="4AD4F12C"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Año Final</w:t>
            </w:r>
          </w:p>
        </w:tc>
        <w:tc>
          <w:tcPr>
            <w:tcW w:w="1008" w:type="dxa"/>
            <w:shd w:val="clear" w:color="auto" w:fill="EDEDED" w:themeFill="accent3" w:themeFillTint="33"/>
          </w:tcPr>
          <w:p w14:paraId="663500C5"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Total</w:t>
            </w:r>
          </w:p>
        </w:tc>
        <w:tc>
          <w:tcPr>
            <w:tcW w:w="3068" w:type="dxa"/>
            <w:shd w:val="clear" w:color="auto" w:fill="EDEDED" w:themeFill="accent3" w:themeFillTint="33"/>
          </w:tcPr>
          <w:p w14:paraId="1A6B72F7" w14:textId="77777777" w:rsidR="00B23858" w:rsidRPr="00C551E1" w:rsidRDefault="00B23858" w:rsidP="00C34ED4">
            <w:pPr>
              <w:spacing w:before="120"/>
              <w:jc w:val="center"/>
              <w:textAlignment w:val="baseline"/>
              <w:rPr>
                <w:rFonts w:ascii="Arial" w:hAnsi="Arial" w:cs="Arial"/>
                <w:b/>
                <w:sz w:val="20"/>
              </w:rPr>
            </w:pPr>
            <w:r w:rsidRPr="00C551E1">
              <w:rPr>
                <w:rFonts w:ascii="Arial" w:hAnsi="Arial" w:cs="Arial"/>
                <w:b/>
                <w:sz w:val="20"/>
              </w:rPr>
              <w:t>Medio de verificación y comentarios</w:t>
            </w:r>
          </w:p>
        </w:tc>
      </w:tr>
      <w:tr w:rsidR="00B23858" w:rsidRPr="00C551E1" w14:paraId="1C551D8E" w14:textId="77777777" w:rsidTr="00C34ED4">
        <w:tc>
          <w:tcPr>
            <w:tcW w:w="13585" w:type="dxa"/>
            <w:gridSpan w:val="11"/>
            <w:shd w:val="clear" w:color="auto" w:fill="DEEAF6" w:themeFill="accent5" w:themeFillTint="33"/>
          </w:tcPr>
          <w:p w14:paraId="7DF432F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Objetivo</w:t>
            </w:r>
            <w:r w:rsidRPr="00C551E1">
              <w:rPr>
                <w:rFonts w:ascii="Arial" w:hAnsi="Arial" w:cs="Arial"/>
                <w:sz w:val="20"/>
                <w:shd w:val="clear" w:color="auto" w:fill="DEEAF6" w:themeFill="accent5" w:themeFillTint="33"/>
              </w:rPr>
              <w:t>/componente 1. Línea de acción 1: Fortalecimiento de la Planificación Estratégica y Ordenamiento Territorial</w:t>
            </w:r>
          </w:p>
        </w:tc>
      </w:tr>
      <w:tr w:rsidR="00B23858" w:rsidRPr="00C551E1" w14:paraId="047858D0" w14:textId="77777777" w:rsidTr="00C34ED4">
        <w:tc>
          <w:tcPr>
            <w:tcW w:w="1885" w:type="dxa"/>
            <w:vMerge w:val="restart"/>
          </w:tcPr>
          <w:p w14:paraId="085B9DFE"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Capacidad de ordenamiento territorial para el desarrollo sostenible a nivel departamental y de cuenca consolidada</w:t>
            </w:r>
          </w:p>
        </w:tc>
        <w:tc>
          <w:tcPr>
            <w:tcW w:w="2340" w:type="dxa"/>
          </w:tcPr>
          <w:p w14:paraId="3DC8BEBD" w14:textId="4C73C433"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1. </w:t>
            </w:r>
            <w:r w:rsidR="002B5292">
              <w:rPr>
                <w:rFonts w:ascii="Arial" w:hAnsi="Arial" w:cs="Arial"/>
                <w:sz w:val="20"/>
              </w:rPr>
              <w:t>Programa</w:t>
            </w:r>
            <w:r w:rsidRPr="00C551E1">
              <w:rPr>
                <w:rFonts w:ascii="Arial" w:hAnsi="Arial" w:cs="Arial"/>
                <w:sz w:val="20"/>
              </w:rPr>
              <w:t xml:space="preserve"> de ordenamiento territorial de la cuenca del Rio Santa Lucia y de la cuenca media del R. Negro (región Centro) aprobados a través de decreto presidencial y en vigencia. </w:t>
            </w:r>
          </w:p>
        </w:tc>
        <w:tc>
          <w:tcPr>
            <w:tcW w:w="990" w:type="dxa"/>
          </w:tcPr>
          <w:p w14:paraId="594A2B9B" w14:textId="37E7C5AA" w:rsidR="00B23858" w:rsidRPr="00C551E1" w:rsidRDefault="002B5292" w:rsidP="00C34ED4">
            <w:pPr>
              <w:spacing w:before="120"/>
              <w:textAlignment w:val="baseline"/>
              <w:rPr>
                <w:rFonts w:ascii="Arial" w:hAnsi="Arial" w:cs="Arial"/>
                <w:sz w:val="20"/>
              </w:rPr>
            </w:pPr>
            <w:r>
              <w:rPr>
                <w:rFonts w:ascii="Arial" w:hAnsi="Arial" w:cs="Arial"/>
                <w:sz w:val="20"/>
              </w:rPr>
              <w:t>Programa</w:t>
            </w:r>
            <w:r w:rsidR="00B23858" w:rsidRPr="00C551E1">
              <w:rPr>
                <w:rFonts w:ascii="Arial" w:hAnsi="Arial" w:cs="Arial"/>
                <w:sz w:val="20"/>
              </w:rPr>
              <w:t xml:space="preserve"> de OT</w:t>
            </w:r>
          </w:p>
        </w:tc>
        <w:tc>
          <w:tcPr>
            <w:tcW w:w="837" w:type="dxa"/>
          </w:tcPr>
          <w:p w14:paraId="0D77B613" w14:textId="14452CE3"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w:t>
            </w:r>
            <w:r w:rsidR="00B255C9">
              <w:rPr>
                <w:rFonts w:ascii="Arial" w:hAnsi="Arial" w:cs="Arial"/>
                <w:sz w:val="20"/>
              </w:rPr>
              <w:t xml:space="preserve">; </w:t>
            </w:r>
            <w:r w:rsidRPr="00C551E1">
              <w:rPr>
                <w:rFonts w:ascii="Arial" w:hAnsi="Arial" w:cs="Arial"/>
                <w:sz w:val="20"/>
              </w:rPr>
              <w:t>2019</w:t>
            </w:r>
            <w:r w:rsidR="00B255C9">
              <w:rPr>
                <w:rFonts w:ascii="Arial" w:hAnsi="Arial" w:cs="Arial"/>
                <w:sz w:val="20"/>
              </w:rPr>
              <w:t>.</w:t>
            </w:r>
          </w:p>
        </w:tc>
        <w:tc>
          <w:tcPr>
            <w:tcW w:w="693" w:type="dxa"/>
          </w:tcPr>
          <w:p w14:paraId="4490A56F" w14:textId="77777777" w:rsidR="00B23858" w:rsidRPr="00C551E1" w:rsidRDefault="00B23858" w:rsidP="00C34ED4">
            <w:pPr>
              <w:spacing w:before="120"/>
              <w:jc w:val="both"/>
              <w:textAlignment w:val="baseline"/>
              <w:rPr>
                <w:rFonts w:ascii="Arial" w:hAnsi="Arial" w:cs="Arial"/>
                <w:sz w:val="20"/>
              </w:rPr>
            </w:pPr>
          </w:p>
        </w:tc>
        <w:tc>
          <w:tcPr>
            <w:tcW w:w="691" w:type="dxa"/>
          </w:tcPr>
          <w:p w14:paraId="7C27657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0E6BA341" w14:textId="77777777" w:rsidR="00B23858" w:rsidRPr="00C551E1" w:rsidRDefault="00B23858" w:rsidP="00C34ED4">
            <w:pPr>
              <w:spacing w:before="120"/>
              <w:jc w:val="both"/>
              <w:textAlignment w:val="baseline"/>
              <w:rPr>
                <w:rFonts w:ascii="Arial" w:hAnsi="Arial" w:cs="Arial"/>
                <w:sz w:val="20"/>
              </w:rPr>
            </w:pPr>
          </w:p>
        </w:tc>
        <w:tc>
          <w:tcPr>
            <w:tcW w:w="691" w:type="dxa"/>
          </w:tcPr>
          <w:p w14:paraId="5262AA3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2E27C868" w14:textId="77777777" w:rsidR="00B23858" w:rsidRPr="00C551E1" w:rsidRDefault="00B23858" w:rsidP="00C34ED4">
            <w:pPr>
              <w:spacing w:before="120"/>
              <w:jc w:val="both"/>
              <w:textAlignment w:val="baseline"/>
              <w:rPr>
                <w:rFonts w:ascii="Arial" w:hAnsi="Arial" w:cs="Arial"/>
                <w:sz w:val="20"/>
              </w:rPr>
            </w:pPr>
          </w:p>
        </w:tc>
        <w:tc>
          <w:tcPr>
            <w:tcW w:w="1008" w:type="dxa"/>
          </w:tcPr>
          <w:p w14:paraId="474016DF"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2</w:t>
            </w:r>
          </w:p>
        </w:tc>
        <w:tc>
          <w:tcPr>
            <w:tcW w:w="3068" w:type="dxa"/>
          </w:tcPr>
          <w:p w14:paraId="00BA41B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Publicación de decretos.</w:t>
            </w:r>
          </w:p>
        </w:tc>
      </w:tr>
      <w:tr w:rsidR="00B23858" w:rsidRPr="00C551E1" w14:paraId="0271B0BF" w14:textId="77777777" w:rsidTr="00C34ED4">
        <w:tc>
          <w:tcPr>
            <w:tcW w:w="1885" w:type="dxa"/>
            <w:vMerge/>
          </w:tcPr>
          <w:p w14:paraId="17F3C7AF" w14:textId="77777777" w:rsidR="00B23858" w:rsidRPr="00C551E1" w:rsidRDefault="00B23858" w:rsidP="00C34ED4">
            <w:pPr>
              <w:spacing w:before="120"/>
              <w:textAlignment w:val="baseline"/>
              <w:rPr>
                <w:rFonts w:ascii="Arial" w:hAnsi="Arial" w:cs="Arial"/>
                <w:sz w:val="20"/>
              </w:rPr>
            </w:pPr>
          </w:p>
        </w:tc>
        <w:tc>
          <w:tcPr>
            <w:tcW w:w="2340" w:type="dxa"/>
          </w:tcPr>
          <w:p w14:paraId="7E40324F"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2. Número de departamentos implementan instrumentos de ordenamiento territorial que integran los resultados de Evaluación Ambiental Estratégica</w:t>
            </w:r>
          </w:p>
        </w:tc>
        <w:tc>
          <w:tcPr>
            <w:tcW w:w="990" w:type="dxa"/>
          </w:tcPr>
          <w:p w14:paraId="7FD7084C"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Número de departamentos.</w:t>
            </w:r>
          </w:p>
        </w:tc>
        <w:tc>
          <w:tcPr>
            <w:tcW w:w="837" w:type="dxa"/>
          </w:tcPr>
          <w:p w14:paraId="77664AE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2A54BDDD" w14:textId="77777777" w:rsidR="00B23858" w:rsidRPr="00C551E1" w:rsidRDefault="00B23858" w:rsidP="00C34ED4">
            <w:pPr>
              <w:spacing w:before="120"/>
              <w:jc w:val="both"/>
              <w:textAlignment w:val="baseline"/>
              <w:rPr>
                <w:rFonts w:ascii="Arial" w:hAnsi="Arial" w:cs="Arial"/>
                <w:sz w:val="20"/>
              </w:rPr>
            </w:pPr>
          </w:p>
        </w:tc>
        <w:tc>
          <w:tcPr>
            <w:tcW w:w="691" w:type="dxa"/>
          </w:tcPr>
          <w:p w14:paraId="10048C7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198CBDF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4761852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033EE94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2</w:t>
            </w:r>
          </w:p>
        </w:tc>
        <w:tc>
          <w:tcPr>
            <w:tcW w:w="1008" w:type="dxa"/>
          </w:tcPr>
          <w:p w14:paraId="1F8787F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5</w:t>
            </w:r>
          </w:p>
        </w:tc>
        <w:tc>
          <w:tcPr>
            <w:tcW w:w="3068" w:type="dxa"/>
          </w:tcPr>
          <w:p w14:paraId="2D787D7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Reporte del sistema de información ambiental.</w:t>
            </w:r>
          </w:p>
        </w:tc>
      </w:tr>
      <w:tr w:rsidR="00B23858" w:rsidRPr="00C551E1" w14:paraId="504DB708" w14:textId="77777777" w:rsidTr="00C34ED4">
        <w:tc>
          <w:tcPr>
            <w:tcW w:w="1885" w:type="dxa"/>
          </w:tcPr>
          <w:p w14:paraId="5E964E8D"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Seguimiento de planes ambientales (Plan Ambiental Nacional y planes de acción de cuencas)  </w:t>
            </w:r>
          </w:p>
          <w:p w14:paraId="475055C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 </w:t>
            </w:r>
          </w:p>
        </w:tc>
        <w:tc>
          <w:tcPr>
            <w:tcW w:w="2340" w:type="dxa"/>
          </w:tcPr>
          <w:p w14:paraId="6FF7D356"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Seguimiento de planes ambientales (Plan Ambiental Nacional y planes de acción de cuencas)  </w:t>
            </w:r>
          </w:p>
          <w:p w14:paraId="117389D9"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Implementado y validado a través de informes de avance de </w:t>
            </w:r>
            <w:r w:rsidRPr="00C551E1">
              <w:rPr>
                <w:rFonts w:ascii="Arial" w:hAnsi="Arial" w:cs="Arial"/>
                <w:sz w:val="20"/>
              </w:rPr>
              <w:lastRenderedPageBreak/>
              <w:t>los planes disponibles al público.</w:t>
            </w:r>
          </w:p>
          <w:p w14:paraId="187C0A33" w14:textId="77777777" w:rsidR="00B23858" w:rsidRPr="00C551E1" w:rsidRDefault="00B23858" w:rsidP="00C34ED4">
            <w:pPr>
              <w:spacing w:before="120"/>
              <w:textAlignment w:val="baseline"/>
              <w:rPr>
                <w:rFonts w:ascii="Arial" w:hAnsi="Arial" w:cs="Arial"/>
                <w:sz w:val="20"/>
              </w:rPr>
            </w:pPr>
          </w:p>
          <w:p w14:paraId="699FFB2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Hito 1: conjunto de indicadores de seguimiento definido en el año 1.</w:t>
            </w:r>
          </w:p>
          <w:p w14:paraId="3971E819"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Hito 2 plan desarrollo PNADS consensuado en el año 1.</w:t>
            </w:r>
          </w:p>
        </w:tc>
        <w:tc>
          <w:tcPr>
            <w:tcW w:w="990" w:type="dxa"/>
          </w:tcPr>
          <w:p w14:paraId="61E1C904"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lastRenderedPageBreak/>
              <w:t>Número de informes anuales.</w:t>
            </w:r>
          </w:p>
        </w:tc>
        <w:tc>
          <w:tcPr>
            <w:tcW w:w="837" w:type="dxa"/>
          </w:tcPr>
          <w:p w14:paraId="2DE998A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75926F0C" w14:textId="77777777" w:rsidR="00B23858" w:rsidRPr="00C551E1" w:rsidRDefault="00B23858" w:rsidP="00C34ED4">
            <w:pPr>
              <w:spacing w:before="120"/>
              <w:jc w:val="both"/>
              <w:textAlignment w:val="baseline"/>
              <w:rPr>
                <w:rFonts w:ascii="Arial" w:hAnsi="Arial" w:cs="Arial"/>
                <w:sz w:val="20"/>
              </w:rPr>
            </w:pPr>
          </w:p>
        </w:tc>
        <w:tc>
          <w:tcPr>
            <w:tcW w:w="691" w:type="dxa"/>
          </w:tcPr>
          <w:p w14:paraId="0DBB0F88"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4</w:t>
            </w:r>
          </w:p>
        </w:tc>
        <w:tc>
          <w:tcPr>
            <w:tcW w:w="691" w:type="dxa"/>
          </w:tcPr>
          <w:p w14:paraId="5C4F84B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3</w:t>
            </w:r>
          </w:p>
        </w:tc>
        <w:tc>
          <w:tcPr>
            <w:tcW w:w="691" w:type="dxa"/>
          </w:tcPr>
          <w:p w14:paraId="71A4003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4</w:t>
            </w:r>
          </w:p>
        </w:tc>
        <w:tc>
          <w:tcPr>
            <w:tcW w:w="691" w:type="dxa"/>
          </w:tcPr>
          <w:p w14:paraId="3BA8B7E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3</w:t>
            </w:r>
          </w:p>
        </w:tc>
        <w:tc>
          <w:tcPr>
            <w:tcW w:w="1008" w:type="dxa"/>
          </w:tcPr>
          <w:p w14:paraId="52A44A9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3 cuencas/año a partir del año 2; </w:t>
            </w:r>
          </w:p>
          <w:p w14:paraId="03CDB69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 PNADS/bianual.</w:t>
            </w:r>
          </w:p>
        </w:tc>
        <w:tc>
          <w:tcPr>
            <w:tcW w:w="3068" w:type="dxa"/>
          </w:tcPr>
          <w:p w14:paraId="05E2290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Reporte del sistema de información ambiental.</w:t>
            </w:r>
          </w:p>
        </w:tc>
      </w:tr>
      <w:tr w:rsidR="00B23858" w:rsidRPr="00C551E1" w14:paraId="76A6E00C" w14:textId="77777777" w:rsidTr="00C34ED4">
        <w:tc>
          <w:tcPr>
            <w:tcW w:w="1885" w:type="dxa"/>
          </w:tcPr>
          <w:p w14:paraId="5073898B"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Plan estratégico de desarrollo del área ambiental del MVOTMA incluyendo sostenibilidad de recursos humanos y su financiamiento y estrategia de desconcentración de funciones.</w:t>
            </w:r>
          </w:p>
        </w:tc>
        <w:tc>
          <w:tcPr>
            <w:tcW w:w="2340" w:type="dxa"/>
          </w:tcPr>
          <w:p w14:paraId="7B7078F4"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Plan estratégico de desarrollo del área ambiental del MVOTMA incluyendo sostenibilidad de recursos humanos y su financiamiento, y estrategia de desconcentración de funciones validado por el ministro/a del MVOTMA.</w:t>
            </w:r>
          </w:p>
        </w:tc>
        <w:tc>
          <w:tcPr>
            <w:tcW w:w="990" w:type="dxa"/>
          </w:tcPr>
          <w:p w14:paraId="24DD1237"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Plan.</w:t>
            </w:r>
          </w:p>
          <w:p w14:paraId="50109F45" w14:textId="77777777" w:rsidR="00B23858" w:rsidRPr="00C551E1" w:rsidRDefault="00B23858" w:rsidP="00C34ED4">
            <w:pPr>
              <w:spacing w:before="120"/>
              <w:jc w:val="center"/>
              <w:rPr>
                <w:rFonts w:ascii="Arial" w:hAnsi="Arial" w:cs="Arial"/>
                <w:sz w:val="20"/>
              </w:rPr>
            </w:pPr>
          </w:p>
        </w:tc>
        <w:tc>
          <w:tcPr>
            <w:tcW w:w="837" w:type="dxa"/>
          </w:tcPr>
          <w:p w14:paraId="28BB0B5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2AAF947A" w14:textId="77777777" w:rsidR="00B23858" w:rsidRPr="00C551E1" w:rsidRDefault="00B23858" w:rsidP="00C34ED4">
            <w:pPr>
              <w:spacing w:before="120"/>
              <w:jc w:val="both"/>
              <w:textAlignment w:val="baseline"/>
              <w:rPr>
                <w:rFonts w:ascii="Arial" w:hAnsi="Arial" w:cs="Arial"/>
                <w:sz w:val="20"/>
              </w:rPr>
            </w:pPr>
          </w:p>
        </w:tc>
        <w:tc>
          <w:tcPr>
            <w:tcW w:w="691" w:type="dxa"/>
          </w:tcPr>
          <w:p w14:paraId="2CDFCDCF"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20E74E99" w14:textId="77777777" w:rsidR="00B23858" w:rsidRPr="00C551E1" w:rsidRDefault="00B23858" w:rsidP="00C34ED4">
            <w:pPr>
              <w:spacing w:before="120"/>
              <w:jc w:val="both"/>
              <w:textAlignment w:val="baseline"/>
              <w:rPr>
                <w:rFonts w:ascii="Arial" w:hAnsi="Arial" w:cs="Arial"/>
                <w:sz w:val="20"/>
              </w:rPr>
            </w:pPr>
          </w:p>
        </w:tc>
        <w:tc>
          <w:tcPr>
            <w:tcW w:w="691" w:type="dxa"/>
          </w:tcPr>
          <w:p w14:paraId="64BF1999" w14:textId="77777777" w:rsidR="00B23858" w:rsidRPr="00C551E1" w:rsidRDefault="00B23858" w:rsidP="00C34ED4">
            <w:pPr>
              <w:spacing w:before="120"/>
              <w:jc w:val="both"/>
              <w:textAlignment w:val="baseline"/>
              <w:rPr>
                <w:rFonts w:ascii="Arial" w:hAnsi="Arial" w:cs="Arial"/>
                <w:sz w:val="20"/>
              </w:rPr>
            </w:pPr>
          </w:p>
        </w:tc>
        <w:tc>
          <w:tcPr>
            <w:tcW w:w="691" w:type="dxa"/>
          </w:tcPr>
          <w:p w14:paraId="1245F081" w14:textId="77777777" w:rsidR="00B23858" w:rsidRPr="00C551E1" w:rsidRDefault="00B23858" w:rsidP="00C34ED4">
            <w:pPr>
              <w:spacing w:before="120"/>
              <w:jc w:val="both"/>
              <w:textAlignment w:val="baseline"/>
              <w:rPr>
                <w:rFonts w:ascii="Arial" w:hAnsi="Arial" w:cs="Arial"/>
                <w:sz w:val="20"/>
              </w:rPr>
            </w:pPr>
          </w:p>
        </w:tc>
        <w:tc>
          <w:tcPr>
            <w:tcW w:w="1008" w:type="dxa"/>
          </w:tcPr>
          <w:p w14:paraId="20284A4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3068" w:type="dxa"/>
          </w:tcPr>
          <w:p w14:paraId="44B5345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Resolución MVOTMA.</w:t>
            </w:r>
          </w:p>
        </w:tc>
      </w:tr>
      <w:tr w:rsidR="00B23858" w:rsidRPr="00C551E1" w14:paraId="1E5E5FFE" w14:textId="77777777" w:rsidTr="00C34ED4">
        <w:tc>
          <w:tcPr>
            <w:tcW w:w="13585" w:type="dxa"/>
            <w:gridSpan w:val="11"/>
            <w:shd w:val="clear" w:color="auto" w:fill="DEEAF6" w:themeFill="accent5" w:themeFillTint="33"/>
          </w:tcPr>
          <w:p w14:paraId="7AEE2DC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Objetivo/componente 1. Línea de acción 2: Mejora de capacidades de análisis y evaluación del estado del ambiente.</w:t>
            </w:r>
          </w:p>
        </w:tc>
      </w:tr>
      <w:tr w:rsidR="00B23858" w:rsidRPr="00C551E1" w14:paraId="6B72C818" w14:textId="77777777" w:rsidTr="00C34ED4">
        <w:tc>
          <w:tcPr>
            <w:tcW w:w="1885" w:type="dxa"/>
          </w:tcPr>
          <w:p w14:paraId="25955822" w14:textId="242B9A80" w:rsidR="00B23858" w:rsidRPr="00C551E1" w:rsidRDefault="002B5292" w:rsidP="00C34ED4">
            <w:pPr>
              <w:spacing w:before="120"/>
              <w:jc w:val="both"/>
              <w:textAlignment w:val="baseline"/>
              <w:rPr>
                <w:rFonts w:ascii="Arial" w:hAnsi="Arial" w:cs="Arial"/>
                <w:sz w:val="20"/>
              </w:rPr>
            </w:pPr>
            <w:r>
              <w:rPr>
                <w:rFonts w:ascii="Arial" w:hAnsi="Arial" w:cs="Arial"/>
                <w:sz w:val="20"/>
              </w:rPr>
              <w:t>Programa</w:t>
            </w:r>
            <w:r w:rsidR="00B23858" w:rsidRPr="00C551E1">
              <w:rPr>
                <w:rFonts w:ascii="Arial" w:hAnsi="Arial" w:cs="Arial"/>
                <w:sz w:val="20"/>
              </w:rPr>
              <w:t xml:space="preserve"> de evaluación de la calidad de los recursos hídricos rediseñados e implantados para mejorar la </w:t>
            </w:r>
            <w:r w:rsidR="00B23858" w:rsidRPr="00C551E1">
              <w:rPr>
                <w:rFonts w:ascii="Arial" w:hAnsi="Arial" w:cs="Arial"/>
                <w:sz w:val="20"/>
              </w:rPr>
              <w:lastRenderedPageBreak/>
              <w:t xml:space="preserve">integridad ecosistémica.   </w:t>
            </w:r>
          </w:p>
          <w:p w14:paraId="6D62E76A" w14:textId="77777777" w:rsidR="00B23858" w:rsidRPr="00C551E1" w:rsidRDefault="00B23858" w:rsidP="00C34ED4">
            <w:pPr>
              <w:spacing w:before="120"/>
              <w:jc w:val="both"/>
              <w:textAlignment w:val="baseline"/>
              <w:rPr>
                <w:rFonts w:ascii="Arial" w:hAnsi="Arial" w:cs="Arial"/>
                <w:sz w:val="20"/>
              </w:rPr>
            </w:pPr>
          </w:p>
        </w:tc>
        <w:tc>
          <w:tcPr>
            <w:tcW w:w="2340" w:type="dxa"/>
          </w:tcPr>
          <w:p w14:paraId="0654D043" w14:textId="2E20AF3C"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 xml:space="preserve">1. </w:t>
            </w:r>
            <w:r w:rsidR="002B5292">
              <w:rPr>
                <w:rFonts w:ascii="Arial" w:hAnsi="Arial" w:cs="Arial"/>
                <w:sz w:val="20"/>
              </w:rPr>
              <w:t>Programa</w:t>
            </w:r>
            <w:r w:rsidRPr="00C551E1">
              <w:rPr>
                <w:rFonts w:ascii="Arial" w:hAnsi="Arial" w:cs="Arial"/>
                <w:sz w:val="20"/>
              </w:rPr>
              <w:t xml:space="preserve"> de evaluación de la calidad de los recursos hídricos rediseñado e implantados generando información para </w:t>
            </w:r>
            <w:r w:rsidRPr="00C551E1">
              <w:rPr>
                <w:rFonts w:ascii="Arial" w:hAnsi="Arial" w:cs="Arial"/>
                <w:sz w:val="20"/>
              </w:rPr>
              <w:lastRenderedPageBreak/>
              <w:t>indicadores biológicos y matrices de suelos</w:t>
            </w:r>
          </w:p>
          <w:p w14:paraId="7EC64C77" w14:textId="77777777" w:rsidR="00B23858" w:rsidRPr="00C551E1" w:rsidRDefault="00B23858" w:rsidP="00C34ED4">
            <w:pPr>
              <w:spacing w:before="120"/>
              <w:jc w:val="both"/>
              <w:textAlignment w:val="baseline"/>
              <w:rPr>
                <w:rFonts w:ascii="Arial" w:hAnsi="Arial" w:cs="Arial"/>
                <w:sz w:val="20"/>
              </w:rPr>
            </w:pPr>
          </w:p>
          <w:p w14:paraId="18705EE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Hito 1: funcionalidad y procedimientos para incorporar información generada por terceros incorporados al sistema - año 2</w:t>
            </w:r>
          </w:p>
        </w:tc>
        <w:tc>
          <w:tcPr>
            <w:tcW w:w="990" w:type="dxa"/>
          </w:tcPr>
          <w:p w14:paraId="29F680F1" w14:textId="188D4FE4"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 xml:space="preserve">Número de </w:t>
            </w:r>
            <w:r w:rsidR="002B5292">
              <w:rPr>
                <w:rFonts w:ascii="Arial" w:hAnsi="Arial" w:cs="Arial"/>
                <w:sz w:val="20"/>
              </w:rPr>
              <w:t>programa</w:t>
            </w:r>
            <w:r w:rsidRPr="00C551E1">
              <w:rPr>
                <w:rFonts w:ascii="Arial" w:hAnsi="Arial" w:cs="Arial"/>
                <w:sz w:val="20"/>
              </w:rPr>
              <w:t>s.</w:t>
            </w:r>
          </w:p>
        </w:tc>
        <w:tc>
          <w:tcPr>
            <w:tcW w:w="837" w:type="dxa"/>
          </w:tcPr>
          <w:p w14:paraId="70BD6508"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2CD9C8B0" w14:textId="77777777" w:rsidR="00B23858" w:rsidRPr="00C551E1" w:rsidRDefault="00B23858" w:rsidP="00C34ED4">
            <w:pPr>
              <w:spacing w:before="120"/>
              <w:jc w:val="both"/>
              <w:textAlignment w:val="baseline"/>
              <w:rPr>
                <w:rFonts w:ascii="Arial" w:hAnsi="Arial" w:cs="Arial"/>
                <w:sz w:val="20"/>
              </w:rPr>
            </w:pPr>
          </w:p>
        </w:tc>
        <w:tc>
          <w:tcPr>
            <w:tcW w:w="691" w:type="dxa"/>
          </w:tcPr>
          <w:p w14:paraId="39F4C74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7E8CCEBE" w14:textId="77777777" w:rsidR="00B23858" w:rsidRPr="00C551E1" w:rsidRDefault="00B23858" w:rsidP="00C34ED4">
            <w:pPr>
              <w:spacing w:before="120"/>
              <w:jc w:val="both"/>
              <w:textAlignment w:val="baseline"/>
              <w:rPr>
                <w:rFonts w:ascii="Arial" w:hAnsi="Arial" w:cs="Arial"/>
                <w:sz w:val="20"/>
              </w:rPr>
            </w:pPr>
          </w:p>
        </w:tc>
        <w:tc>
          <w:tcPr>
            <w:tcW w:w="691" w:type="dxa"/>
          </w:tcPr>
          <w:p w14:paraId="7AE44FD2" w14:textId="77777777" w:rsidR="00B23858" w:rsidRPr="00C551E1" w:rsidRDefault="00B23858" w:rsidP="00C34ED4">
            <w:pPr>
              <w:spacing w:before="120"/>
              <w:jc w:val="both"/>
              <w:textAlignment w:val="baseline"/>
              <w:rPr>
                <w:rFonts w:ascii="Arial" w:hAnsi="Arial" w:cs="Arial"/>
                <w:sz w:val="20"/>
              </w:rPr>
            </w:pPr>
          </w:p>
        </w:tc>
        <w:tc>
          <w:tcPr>
            <w:tcW w:w="691" w:type="dxa"/>
          </w:tcPr>
          <w:p w14:paraId="23D734C9" w14:textId="77777777" w:rsidR="00B23858" w:rsidRPr="00C551E1" w:rsidRDefault="00B23858" w:rsidP="00C34ED4">
            <w:pPr>
              <w:spacing w:before="120"/>
              <w:jc w:val="both"/>
              <w:textAlignment w:val="baseline"/>
              <w:rPr>
                <w:rFonts w:ascii="Arial" w:hAnsi="Arial" w:cs="Arial"/>
                <w:sz w:val="20"/>
              </w:rPr>
            </w:pPr>
          </w:p>
        </w:tc>
        <w:tc>
          <w:tcPr>
            <w:tcW w:w="1008" w:type="dxa"/>
          </w:tcPr>
          <w:p w14:paraId="1210C27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3068" w:type="dxa"/>
          </w:tcPr>
          <w:p w14:paraId="2801E31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Reporte del sistema de información ambiental.</w:t>
            </w:r>
          </w:p>
        </w:tc>
      </w:tr>
      <w:tr w:rsidR="00B23858" w:rsidRPr="00C551E1" w14:paraId="69FEF07D" w14:textId="77777777" w:rsidTr="00C34ED4">
        <w:tc>
          <w:tcPr>
            <w:tcW w:w="1885" w:type="dxa"/>
          </w:tcPr>
          <w:p w14:paraId="2D732486" w14:textId="77777777" w:rsidR="00B23858" w:rsidRPr="00C551E1" w:rsidRDefault="00B23858" w:rsidP="00C34ED4">
            <w:pPr>
              <w:spacing w:before="120"/>
              <w:jc w:val="both"/>
              <w:textAlignment w:val="baseline"/>
              <w:rPr>
                <w:rFonts w:ascii="Arial" w:hAnsi="Arial" w:cs="Arial"/>
                <w:sz w:val="20"/>
              </w:rPr>
            </w:pPr>
          </w:p>
        </w:tc>
        <w:tc>
          <w:tcPr>
            <w:tcW w:w="2340" w:type="dxa"/>
          </w:tcPr>
          <w:p w14:paraId="354D006C"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2. Caudales ambientales establecidos en 2 cuencas prioritarias.</w:t>
            </w:r>
          </w:p>
        </w:tc>
        <w:tc>
          <w:tcPr>
            <w:tcW w:w="990" w:type="dxa"/>
          </w:tcPr>
          <w:p w14:paraId="6615FD9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Número de caudales ambientales.</w:t>
            </w:r>
          </w:p>
        </w:tc>
        <w:tc>
          <w:tcPr>
            <w:tcW w:w="837" w:type="dxa"/>
          </w:tcPr>
          <w:p w14:paraId="74AF235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7DEC6A84" w14:textId="77777777" w:rsidR="00B23858" w:rsidRPr="00C551E1" w:rsidRDefault="00B23858" w:rsidP="00C34ED4">
            <w:pPr>
              <w:spacing w:before="120"/>
              <w:jc w:val="both"/>
              <w:textAlignment w:val="baseline"/>
              <w:rPr>
                <w:rFonts w:ascii="Arial" w:hAnsi="Arial" w:cs="Arial"/>
                <w:sz w:val="20"/>
              </w:rPr>
            </w:pPr>
          </w:p>
        </w:tc>
        <w:tc>
          <w:tcPr>
            <w:tcW w:w="691" w:type="dxa"/>
          </w:tcPr>
          <w:p w14:paraId="71BF51F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53B7A4D4" w14:textId="77777777" w:rsidR="00B23858" w:rsidRPr="00C551E1" w:rsidRDefault="00B23858" w:rsidP="00C34ED4">
            <w:pPr>
              <w:spacing w:before="120"/>
              <w:jc w:val="both"/>
              <w:textAlignment w:val="baseline"/>
              <w:rPr>
                <w:rFonts w:ascii="Arial" w:hAnsi="Arial" w:cs="Arial"/>
                <w:sz w:val="20"/>
              </w:rPr>
            </w:pPr>
          </w:p>
        </w:tc>
        <w:tc>
          <w:tcPr>
            <w:tcW w:w="691" w:type="dxa"/>
          </w:tcPr>
          <w:p w14:paraId="473B32D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451ACD3B" w14:textId="77777777" w:rsidR="00B23858" w:rsidRPr="00C551E1" w:rsidRDefault="00B23858" w:rsidP="00C34ED4">
            <w:pPr>
              <w:spacing w:before="120"/>
              <w:jc w:val="both"/>
              <w:textAlignment w:val="baseline"/>
              <w:rPr>
                <w:rFonts w:ascii="Arial" w:hAnsi="Arial" w:cs="Arial"/>
                <w:sz w:val="20"/>
              </w:rPr>
            </w:pPr>
          </w:p>
        </w:tc>
        <w:tc>
          <w:tcPr>
            <w:tcW w:w="1008" w:type="dxa"/>
          </w:tcPr>
          <w:p w14:paraId="304029D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2</w:t>
            </w:r>
          </w:p>
        </w:tc>
        <w:tc>
          <w:tcPr>
            <w:tcW w:w="3068" w:type="dxa"/>
          </w:tcPr>
          <w:p w14:paraId="289151E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Resolución MVOTMA. Según metodología aprobada por MVOTMA.</w:t>
            </w:r>
          </w:p>
        </w:tc>
      </w:tr>
      <w:tr w:rsidR="00B23858" w:rsidRPr="00C551E1" w14:paraId="509380D2" w14:textId="77777777" w:rsidTr="00C34ED4">
        <w:tc>
          <w:tcPr>
            <w:tcW w:w="1885" w:type="dxa"/>
          </w:tcPr>
          <w:p w14:paraId="745CDDBF"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Capacidades analíticas de DINAMA para el seguimiento y evaluación de cianobacterias y plaguicidas.</w:t>
            </w:r>
          </w:p>
        </w:tc>
        <w:tc>
          <w:tcPr>
            <w:tcW w:w="2340" w:type="dxa"/>
          </w:tcPr>
          <w:p w14:paraId="29B3EFA2"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Mejores capacidades analíticas de DINAMA para el seguimiento y evaluación de cianobacterias y plaguicidas a través de la ampliación del número de nuevos parámetros (plaguicidas y toxinas) validados analíticamente en matrices ambientales</w:t>
            </w:r>
          </w:p>
        </w:tc>
        <w:tc>
          <w:tcPr>
            <w:tcW w:w="990" w:type="dxa"/>
          </w:tcPr>
          <w:p w14:paraId="76FCEE71"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Número de plaguicidas y número de toxinas.</w:t>
            </w:r>
          </w:p>
        </w:tc>
        <w:tc>
          <w:tcPr>
            <w:tcW w:w="837" w:type="dxa"/>
          </w:tcPr>
          <w:p w14:paraId="60546806"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39 plaguicidas; 1 toxina; 2019.</w:t>
            </w:r>
          </w:p>
        </w:tc>
        <w:tc>
          <w:tcPr>
            <w:tcW w:w="693" w:type="dxa"/>
          </w:tcPr>
          <w:p w14:paraId="21279B81" w14:textId="77777777" w:rsidR="00B23858" w:rsidRPr="00C551E1" w:rsidRDefault="00B23858" w:rsidP="00C34ED4">
            <w:pPr>
              <w:spacing w:before="120"/>
              <w:jc w:val="center"/>
              <w:textAlignment w:val="baseline"/>
              <w:rPr>
                <w:rFonts w:ascii="Arial" w:hAnsi="Arial" w:cs="Arial"/>
                <w:sz w:val="20"/>
              </w:rPr>
            </w:pPr>
          </w:p>
        </w:tc>
        <w:tc>
          <w:tcPr>
            <w:tcW w:w="691" w:type="dxa"/>
          </w:tcPr>
          <w:p w14:paraId="078557DE"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2 toxinas</w:t>
            </w:r>
          </w:p>
        </w:tc>
        <w:tc>
          <w:tcPr>
            <w:tcW w:w="691" w:type="dxa"/>
          </w:tcPr>
          <w:p w14:paraId="21889560"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50 nuevos plaguicidas.</w:t>
            </w:r>
          </w:p>
        </w:tc>
        <w:tc>
          <w:tcPr>
            <w:tcW w:w="691" w:type="dxa"/>
          </w:tcPr>
          <w:p w14:paraId="0FD7406C" w14:textId="77777777" w:rsidR="00B23858" w:rsidRPr="00C551E1" w:rsidRDefault="00B23858" w:rsidP="00C34ED4">
            <w:pPr>
              <w:spacing w:before="120"/>
              <w:jc w:val="center"/>
              <w:textAlignment w:val="baseline"/>
              <w:rPr>
                <w:rFonts w:ascii="Arial" w:hAnsi="Arial" w:cs="Arial"/>
                <w:sz w:val="20"/>
              </w:rPr>
            </w:pPr>
          </w:p>
        </w:tc>
        <w:tc>
          <w:tcPr>
            <w:tcW w:w="691" w:type="dxa"/>
          </w:tcPr>
          <w:p w14:paraId="4FCF19B8" w14:textId="77777777" w:rsidR="00B23858" w:rsidRPr="00C551E1" w:rsidRDefault="00B23858" w:rsidP="00C34ED4">
            <w:pPr>
              <w:spacing w:before="120"/>
              <w:jc w:val="center"/>
              <w:textAlignment w:val="baseline"/>
              <w:rPr>
                <w:rFonts w:ascii="Arial" w:hAnsi="Arial" w:cs="Arial"/>
                <w:sz w:val="20"/>
              </w:rPr>
            </w:pPr>
          </w:p>
        </w:tc>
        <w:tc>
          <w:tcPr>
            <w:tcW w:w="1008" w:type="dxa"/>
          </w:tcPr>
          <w:p w14:paraId="571A814F"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89 plaguicidas; 3 toxinas.</w:t>
            </w:r>
          </w:p>
        </w:tc>
        <w:tc>
          <w:tcPr>
            <w:tcW w:w="3068" w:type="dxa"/>
          </w:tcPr>
          <w:p w14:paraId="2EDF88E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Informe de laboratorio de DINAMA.</w:t>
            </w:r>
          </w:p>
        </w:tc>
      </w:tr>
      <w:tr w:rsidR="00B23858" w:rsidRPr="00C551E1" w14:paraId="0A44CA33" w14:textId="77777777" w:rsidTr="00C34ED4">
        <w:tc>
          <w:tcPr>
            <w:tcW w:w="1885" w:type="dxa"/>
          </w:tcPr>
          <w:p w14:paraId="45C1EB0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Red hidrométrica fortalecida para mejorar la calidad de información.</w:t>
            </w:r>
          </w:p>
        </w:tc>
        <w:tc>
          <w:tcPr>
            <w:tcW w:w="2340" w:type="dxa"/>
          </w:tcPr>
          <w:p w14:paraId="3B6162B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Número de cuencas con estaciones hidrométricas rehabilitadas y </w:t>
            </w:r>
            <w:r w:rsidRPr="00C551E1">
              <w:rPr>
                <w:rFonts w:ascii="Arial" w:hAnsi="Arial" w:cs="Arial"/>
                <w:sz w:val="20"/>
              </w:rPr>
              <w:lastRenderedPageBreak/>
              <w:t>automatizadas para mejorar la calidad de información.</w:t>
            </w:r>
          </w:p>
        </w:tc>
        <w:tc>
          <w:tcPr>
            <w:tcW w:w="990" w:type="dxa"/>
          </w:tcPr>
          <w:p w14:paraId="2215397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Número de cuencas</w:t>
            </w:r>
          </w:p>
        </w:tc>
        <w:tc>
          <w:tcPr>
            <w:tcW w:w="837" w:type="dxa"/>
          </w:tcPr>
          <w:p w14:paraId="234B219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14537126" w14:textId="77777777" w:rsidR="00B23858" w:rsidRPr="00C551E1" w:rsidRDefault="00B23858" w:rsidP="00C34ED4">
            <w:pPr>
              <w:spacing w:before="120"/>
              <w:jc w:val="center"/>
              <w:textAlignment w:val="baseline"/>
              <w:rPr>
                <w:rFonts w:ascii="Arial" w:hAnsi="Arial" w:cs="Arial"/>
                <w:sz w:val="20"/>
              </w:rPr>
            </w:pPr>
          </w:p>
        </w:tc>
        <w:tc>
          <w:tcPr>
            <w:tcW w:w="691" w:type="dxa"/>
          </w:tcPr>
          <w:p w14:paraId="60287E7E"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1</w:t>
            </w:r>
          </w:p>
        </w:tc>
        <w:tc>
          <w:tcPr>
            <w:tcW w:w="691" w:type="dxa"/>
          </w:tcPr>
          <w:p w14:paraId="0C8990C0" w14:textId="77777777" w:rsidR="00B23858" w:rsidRPr="00C551E1" w:rsidRDefault="00B23858" w:rsidP="00C34ED4">
            <w:pPr>
              <w:spacing w:before="120"/>
              <w:jc w:val="center"/>
              <w:textAlignment w:val="baseline"/>
              <w:rPr>
                <w:rFonts w:ascii="Arial" w:hAnsi="Arial" w:cs="Arial"/>
                <w:sz w:val="20"/>
              </w:rPr>
            </w:pPr>
          </w:p>
        </w:tc>
        <w:tc>
          <w:tcPr>
            <w:tcW w:w="691" w:type="dxa"/>
          </w:tcPr>
          <w:p w14:paraId="1482DB96"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1</w:t>
            </w:r>
          </w:p>
        </w:tc>
        <w:tc>
          <w:tcPr>
            <w:tcW w:w="691" w:type="dxa"/>
          </w:tcPr>
          <w:p w14:paraId="7B2EC80E"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1</w:t>
            </w:r>
          </w:p>
        </w:tc>
        <w:tc>
          <w:tcPr>
            <w:tcW w:w="1008" w:type="dxa"/>
          </w:tcPr>
          <w:p w14:paraId="4CBDB4A0"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3</w:t>
            </w:r>
          </w:p>
        </w:tc>
        <w:tc>
          <w:tcPr>
            <w:tcW w:w="3068" w:type="dxa"/>
          </w:tcPr>
          <w:p w14:paraId="24C73B9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Informe de laboratorio de DINAMA.</w:t>
            </w:r>
          </w:p>
        </w:tc>
      </w:tr>
      <w:tr w:rsidR="00B23858" w:rsidRPr="00C551E1" w14:paraId="7588BE94" w14:textId="77777777" w:rsidTr="00C34ED4">
        <w:tc>
          <w:tcPr>
            <w:tcW w:w="1885" w:type="dxa"/>
          </w:tcPr>
          <w:p w14:paraId="0C0DB39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Modelos predictivos integrados para cuencas/calidad aire que generan escenarios para instrumentar tomas de decisión.</w:t>
            </w:r>
          </w:p>
        </w:tc>
        <w:tc>
          <w:tcPr>
            <w:tcW w:w="2340" w:type="dxa"/>
          </w:tcPr>
          <w:p w14:paraId="04AE552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de cuencas con modelos predictivos integrados para cuencas/calidad del aire que generan escenarios para instrumentar la toma de decisión.</w:t>
            </w:r>
          </w:p>
        </w:tc>
        <w:tc>
          <w:tcPr>
            <w:tcW w:w="990" w:type="dxa"/>
          </w:tcPr>
          <w:p w14:paraId="2F05C21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Número de cuencas</w:t>
            </w:r>
          </w:p>
        </w:tc>
        <w:tc>
          <w:tcPr>
            <w:tcW w:w="837" w:type="dxa"/>
          </w:tcPr>
          <w:p w14:paraId="0AF2B42F" w14:textId="1967C463"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w:t>
            </w:r>
            <w:r w:rsidR="00B255C9">
              <w:rPr>
                <w:rFonts w:ascii="Arial" w:hAnsi="Arial" w:cs="Arial"/>
                <w:sz w:val="20"/>
              </w:rPr>
              <w:t xml:space="preserve">; </w:t>
            </w:r>
            <w:r w:rsidRPr="00C551E1">
              <w:rPr>
                <w:rFonts w:ascii="Arial" w:hAnsi="Arial" w:cs="Arial"/>
                <w:sz w:val="20"/>
              </w:rPr>
              <w:t>2019.</w:t>
            </w:r>
          </w:p>
        </w:tc>
        <w:tc>
          <w:tcPr>
            <w:tcW w:w="693" w:type="dxa"/>
          </w:tcPr>
          <w:p w14:paraId="1BF736C8" w14:textId="77777777" w:rsidR="00B23858" w:rsidRPr="00C551E1" w:rsidRDefault="00B23858" w:rsidP="00C34ED4">
            <w:pPr>
              <w:spacing w:before="120"/>
              <w:jc w:val="both"/>
              <w:textAlignment w:val="baseline"/>
              <w:rPr>
                <w:rFonts w:ascii="Arial" w:hAnsi="Arial" w:cs="Arial"/>
                <w:sz w:val="20"/>
              </w:rPr>
            </w:pPr>
          </w:p>
        </w:tc>
        <w:tc>
          <w:tcPr>
            <w:tcW w:w="691" w:type="dxa"/>
          </w:tcPr>
          <w:p w14:paraId="75FD69F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15D77510" w14:textId="77777777" w:rsidR="00B23858" w:rsidRPr="00C551E1" w:rsidRDefault="00B23858" w:rsidP="00C34ED4">
            <w:pPr>
              <w:spacing w:before="120"/>
              <w:jc w:val="both"/>
              <w:textAlignment w:val="baseline"/>
              <w:rPr>
                <w:rFonts w:ascii="Arial" w:hAnsi="Arial" w:cs="Arial"/>
                <w:sz w:val="20"/>
              </w:rPr>
            </w:pPr>
          </w:p>
        </w:tc>
        <w:tc>
          <w:tcPr>
            <w:tcW w:w="691" w:type="dxa"/>
          </w:tcPr>
          <w:p w14:paraId="05B2A72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31C4445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1008" w:type="dxa"/>
          </w:tcPr>
          <w:p w14:paraId="517D782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3</w:t>
            </w:r>
          </w:p>
        </w:tc>
        <w:tc>
          <w:tcPr>
            <w:tcW w:w="3068" w:type="dxa"/>
          </w:tcPr>
          <w:p w14:paraId="5577F1EC" w14:textId="7DEE5142"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Informe semestral de la Unidad Ejecutora del </w:t>
            </w:r>
            <w:r w:rsidR="002B5292">
              <w:rPr>
                <w:rFonts w:ascii="Arial" w:hAnsi="Arial" w:cs="Arial"/>
                <w:sz w:val="20"/>
              </w:rPr>
              <w:t>Programa</w:t>
            </w:r>
            <w:r w:rsidRPr="00C551E1">
              <w:rPr>
                <w:rFonts w:ascii="Arial" w:hAnsi="Arial" w:cs="Arial"/>
                <w:sz w:val="20"/>
              </w:rPr>
              <w:t xml:space="preserve"> (UEP).</w:t>
            </w:r>
          </w:p>
        </w:tc>
      </w:tr>
      <w:tr w:rsidR="00B23858" w:rsidRPr="00C551E1" w14:paraId="2A035431" w14:textId="77777777" w:rsidTr="00C34ED4">
        <w:tc>
          <w:tcPr>
            <w:tcW w:w="13585" w:type="dxa"/>
            <w:gridSpan w:val="11"/>
            <w:shd w:val="clear" w:color="auto" w:fill="DEEAF6" w:themeFill="accent5" w:themeFillTint="33"/>
          </w:tcPr>
          <w:p w14:paraId="1A04176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Objetivo/componente 1. Línea de acción 3: Mejora de capacidades de control de la contaminación.</w:t>
            </w:r>
          </w:p>
        </w:tc>
      </w:tr>
      <w:tr w:rsidR="00B23858" w:rsidRPr="00C551E1" w14:paraId="6E68300B" w14:textId="77777777" w:rsidTr="00C34ED4">
        <w:tc>
          <w:tcPr>
            <w:tcW w:w="1885" w:type="dxa"/>
          </w:tcPr>
          <w:p w14:paraId="5CC199F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Sistema de información para el monitoreo y control continuo de emisiones (efluentes y emisiones) incluyendo la funcionalidad de sistema de alerta de vertidos fuera del régimen </w:t>
            </w:r>
          </w:p>
          <w:p w14:paraId="0A3D75FA" w14:textId="77777777" w:rsidR="00B23858" w:rsidRPr="00C551E1" w:rsidRDefault="00B23858" w:rsidP="00C34ED4">
            <w:pPr>
              <w:spacing w:before="120"/>
              <w:jc w:val="both"/>
              <w:textAlignment w:val="baseline"/>
              <w:rPr>
                <w:rFonts w:ascii="Arial" w:hAnsi="Arial" w:cs="Arial"/>
                <w:sz w:val="20"/>
              </w:rPr>
            </w:pPr>
          </w:p>
        </w:tc>
        <w:tc>
          <w:tcPr>
            <w:tcW w:w="2340" w:type="dxa"/>
          </w:tcPr>
          <w:p w14:paraId="72E39CF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Sistema de información para el monitoreo y control continuo de efluentes y emisiones incluyendo la funcionalidad de sistema de alerta de vertidos fuera del régimen y generación de indicadores de calidad ambiental y de gestión implementada.</w:t>
            </w:r>
          </w:p>
          <w:p w14:paraId="210A4CFC" w14:textId="77777777" w:rsidR="00B23858" w:rsidRPr="00C551E1" w:rsidRDefault="00B23858" w:rsidP="00C34ED4">
            <w:pPr>
              <w:spacing w:before="120"/>
              <w:jc w:val="both"/>
              <w:textAlignment w:val="baseline"/>
              <w:rPr>
                <w:rFonts w:ascii="Arial" w:hAnsi="Arial" w:cs="Arial"/>
                <w:sz w:val="20"/>
              </w:rPr>
            </w:pPr>
          </w:p>
          <w:p w14:paraId="2338268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Hito 1: Plataforma de comunicación de monitoreo empresas - DINAMA implantada y operativa- año 2.</w:t>
            </w:r>
          </w:p>
        </w:tc>
        <w:tc>
          <w:tcPr>
            <w:tcW w:w="990" w:type="dxa"/>
          </w:tcPr>
          <w:p w14:paraId="3C29FD3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Número de sistemas automatizados. </w:t>
            </w:r>
          </w:p>
        </w:tc>
        <w:tc>
          <w:tcPr>
            <w:tcW w:w="837" w:type="dxa"/>
          </w:tcPr>
          <w:p w14:paraId="31E4762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2495BF70" w14:textId="77777777" w:rsidR="00B23858" w:rsidRPr="00C551E1" w:rsidRDefault="00B23858" w:rsidP="00C34ED4">
            <w:pPr>
              <w:spacing w:before="120"/>
              <w:jc w:val="both"/>
              <w:textAlignment w:val="baseline"/>
              <w:rPr>
                <w:rFonts w:ascii="Arial" w:hAnsi="Arial" w:cs="Arial"/>
                <w:sz w:val="20"/>
              </w:rPr>
            </w:pPr>
          </w:p>
        </w:tc>
        <w:tc>
          <w:tcPr>
            <w:tcW w:w="691" w:type="dxa"/>
          </w:tcPr>
          <w:p w14:paraId="1FDDFC8A" w14:textId="77777777" w:rsidR="00B23858" w:rsidRPr="00C551E1" w:rsidRDefault="00B23858" w:rsidP="00C34ED4">
            <w:pPr>
              <w:spacing w:before="120"/>
              <w:jc w:val="both"/>
              <w:textAlignment w:val="baseline"/>
              <w:rPr>
                <w:rFonts w:ascii="Arial" w:hAnsi="Arial" w:cs="Arial"/>
                <w:sz w:val="20"/>
              </w:rPr>
            </w:pPr>
          </w:p>
        </w:tc>
        <w:tc>
          <w:tcPr>
            <w:tcW w:w="691" w:type="dxa"/>
          </w:tcPr>
          <w:p w14:paraId="222DED3C" w14:textId="77777777" w:rsidR="00B23858" w:rsidRPr="00C551E1" w:rsidRDefault="00B23858" w:rsidP="00C34ED4">
            <w:pPr>
              <w:spacing w:before="120"/>
              <w:jc w:val="both"/>
              <w:textAlignment w:val="baseline"/>
              <w:rPr>
                <w:rFonts w:ascii="Arial" w:hAnsi="Arial" w:cs="Arial"/>
                <w:sz w:val="20"/>
              </w:rPr>
            </w:pPr>
          </w:p>
        </w:tc>
        <w:tc>
          <w:tcPr>
            <w:tcW w:w="691" w:type="dxa"/>
          </w:tcPr>
          <w:p w14:paraId="56F2EBF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405436E8" w14:textId="77777777" w:rsidR="00B23858" w:rsidRPr="00C551E1" w:rsidRDefault="00B23858" w:rsidP="00C34ED4">
            <w:pPr>
              <w:spacing w:before="120"/>
              <w:jc w:val="both"/>
              <w:textAlignment w:val="baseline"/>
              <w:rPr>
                <w:rFonts w:ascii="Arial" w:hAnsi="Arial" w:cs="Arial"/>
                <w:sz w:val="20"/>
              </w:rPr>
            </w:pPr>
          </w:p>
        </w:tc>
        <w:tc>
          <w:tcPr>
            <w:tcW w:w="1008" w:type="dxa"/>
          </w:tcPr>
          <w:p w14:paraId="79CB2EA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3068" w:type="dxa"/>
          </w:tcPr>
          <w:p w14:paraId="02C8DA37"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Reporte del Sistema de Información Ambiental.</w:t>
            </w:r>
          </w:p>
        </w:tc>
      </w:tr>
      <w:tr w:rsidR="00B23858" w:rsidRPr="00C551E1" w14:paraId="4DB63D3A" w14:textId="77777777" w:rsidTr="00C34ED4">
        <w:tc>
          <w:tcPr>
            <w:tcW w:w="1885" w:type="dxa"/>
          </w:tcPr>
          <w:p w14:paraId="2E07FB7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 xml:space="preserve">Integración de procesos de fiscalización a partir de información generada por autocontrol, monitoreo continuo de vertidos y sensoramiento remoto. </w:t>
            </w:r>
          </w:p>
        </w:tc>
        <w:tc>
          <w:tcPr>
            <w:tcW w:w="2340" w:type="dxa"/>
          </w:tcPr>
          <w:p w14:paraId="0346597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Sistema integrado de fiscalización a partir de información generada por autocontrol, monitoreo continuo de vertidos y sensoramiento remoto.</w:t>
            </w:r>
          </w:p>
        </w:tc>
        <w:tc>
          <w:tcPr>
            <w:tcW w:w="990" w:type="dxa"/>
          </w:tcPr>
          <w:p w14:paraId="3CE24F1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Número de sistemas </w:t>
            </w:r>
          </w:p>
        </w:tc>
        <w:tc>
          <w:tcPr>
            <w:tcW w:w="837" w:type="dxa"/>
          </w:tcPr>
          <w:p w14:paraId="51021089" w14:textId="5A18B23D"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w:t>
            </w:r>
            <w:r w:rsidR="00B255C9">
              <w:rPr>
                <w:rFonts w:ascii="Arial" w:hAnsi="Arial" w:cs="Arial"/>
                <w:sz w:val="20"/>
              </w:rPr>
              <w:t xml:space="preserve">; </w:t>
            </w:r>
            <w:r w:rsidRPr="00C551E1">
              <w:rPr>
                <w:rFonts w:ascii="Arial" w:hAnsi="Arial" w:cs="Arial"/>
                <w:sz w:val="20"/>
              </w:rPr>
              <w:t>2019</w:t>
            </w:r>
            <w:r w:rsidR="00B255C9">
              <w:rPr>
                <w:rFonts w:ascii="Arial" w:hAnsi="Arial" w:cs="Arial"/>
                <w:sz w:val="20"/>
              </w:rPr>
              <w:t>.</w:t>
            </w:r>
          </w:p>
        </w:tc>
        <w:tc>
          <w:tcPr>
            <w:tcW w:w="693" w:type="dxa"/>
          </w:tcPr>
          <w:p w14:paraId="5741320F" w14:textId="77777777" w:rsidR="00B23858" w:rsidRPr="00C551E1" w:rsidRDefault="00B23858" w:rsidP="00C34ED4">
            <w:pPr>
              <w:spacing w:before="120"/>
              <w:jc w:val="both"/>
              <w:textAlignment w:val="baseline"/>
              <w:rPr>
                <w:rFonts w:ascii="Arial" w:hAnsi="Arial" w:cs="Arial"/>
                <w:sz w:val="20"/>
              </w:rPr>
            </w:pPr>
          </w:p>
        </w:tc>
        <w:tc>
          <w:tcPr>
            <w:tcW w:w="691" w:type="dxa"/>
          </w:tcPr>
          <w:p w14:paraId="7B2A3E91" w14:textId="77777777" w:rsidR="00B23858" w:rsidRPr="00C551E1" w:rsidRDefault="00B23858" w:rsidP="00C34ED4">
            <w:pPr>
              <w:spacing w:before="120"/>
              <w:jc w:val="both"/>
              <w:textAlignment w:val="baseline"/>
              <w:rPr>
                <w:rFonts w:ascii="Arial" w:hAnsi="Arial" w:cs="Arial"/>
                <w:sz w:val="20"/>
              </w:rPr>
            </w:pPr>
          </w:p>
        </w:tc>
        <w:tc>
          <w:tcPr>
            <w:tcW w:w="691" w:type="dxa"/>
          </w:tcPr>
          <w:p w14:paraId="1EAF27B4" w14:textId="77777777" w:rsidR="00B23858" w:rsidRPr="00C551E1" w:rsidRDefault="00B23858" w:rsidP="00C34ED4">
            <w:pPr>
              <w:spacing w:before="120"/>
              <w:jc w:val="both"/>
              <w:textAlignment w:val="baseline"/>
              <w:rPr>
                <w:rFonts w:ascii="Arial" w:hAnsi="Arial" w:cs="Arial"/>
                <w:sz w:val="20"/>
              </w:rPr>
            </w:pPr>
          </w:p>
        </w:tc>
        <w:tc>
          <w:tcPr>
            <w:tcW w:w="691" w:type="dxa"/>
          </w:tcPr>
          <w:p w14:paraId="4092F4F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60CB7F24" w14:textId="77777777" w:rsidR="00B23858" w:rsidRPr="00C551E1" w:rsidRDefault="00B23858" w:rsidP="00C34ED4">
            <w:pPr>
              <w:spacing w:before="120"/>
              <w:jc w:val="both"/>
              <w:textAlignment w:val="baseline"/>
              <w:rPr>
                <w:rFonts w:ascii="Arial" w:hAnsi="Arial" w:cs="Arial"/>
                <w:sz w:val="20"/>
              </w:rPr>
            </w:pPr>
          </w:p>
        </w:tc>
        <w:tc>
          <w:tcPr>
            <w:tcW w:w="1008" w:type="dxa"/>
          </w:tcPr>
          <w:p w14:paraId="79D96DC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3068" w:type="dxa"/>
          </w:tcPr>
          <w:p w14:paraId="2554719D" w14:textId="77777777" w:rsidR="00B23858" w:rsidRPr="00C551E1" w:rsidRDefault="00B23858" w:rsidP="00C34ED4">
            <w:pPr>
              <w:spacing w:before="120"/>
              <w:rPr>
                <w:rFonts w:ascii="Arial" w:hAnsi="Arial" w:cs="Arial"/>
                <w:sz w:val="20"/>
              </w:rPr>
            </w:pPr>
            <w:r w:rsidRPr="00C551E1">
              <w:rPr>
                <w:rFonts w:ascii="Arial" w:hAnsi="Arial" w:cs="Arial"/>
                <w:sz w:val="20"/>
              </w:rPr>
              <w:t>reporte del sistema de información ambiental</w:t>
            </w:r>
          </w:p>
          <w:p w14:paraId="3397481D" w14:textId="77777777" w:rsidR="00B23858" w:rsidRPr="00C551E1" w:rsidRDefault="00B23858" w:rsidP="00C34ED4">
            <w:pPr>
              <w:spacing w:before="120"/>
              <w:jc w:val="both"/>
              <w:textAlignment w:val="baseline"/>
              <w:rPr>
                <w:rFonts w:ascii="Arial" w:hAnsi="Arial" w:cs="Arial"/>
                <w:sz w:val="20"/>
              </w:rPr>
            </w:pPr>
          </w:p>
        </w:tc>
      </w:tr>
      <w:tr w:rsidR="00B23858" w:rsidRPr="00C551E1" w14:paraId="609EF41E" w14:textId="77777777" w:rsidTr="00C34ED4">
        <w:tc>
          <w:tcPr>
            <w:tcW w:w="1885" w:type="dxa"/>
          </w:tcPr>
          <w:p w14:paraId="6357B8D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Implantación del Registro Nacional de Laboratorios Ambientales. </w:t>
            </w:r>
          </w:p>
        </w:tc>
        <w:tc>
          <w:tcPr>
            <w:tcW w:w="2340" w:type="dxa"/>
          </w:tcPr>
          <w:p w14:paraId="375B7AC8"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Laboratorios ambientales registrados bajo el Registro Nacional de Laboratorio Ambiental según requisitos de la ISO/EC 1725.</w:t>
            </w:r>
          </w:p>
        </w:tc>
        <w:tc>
          <w:tcPr>
            <w:tcW w:w="990" w:type="dxa"/>
          </w:tcPr>
          <w:p w14:paraId="4B82209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Número de laboratorios.</w:t>
            </w:r>
          </w:p>
        </w:tc>
        <w:tc>
          <w:tcPr>
            <w:tcW w:w="837" w:type="dxa"/>
          </w:tcPr>
          <w:p w14:paraId="5A297488"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03687547" w14:textId="77777777" w:rsidR="00B23858" w:rsidRPr="00C551E1" w:rsidRDefault="00B23858" w:rsidP="00C34ED4">
            <w:pPr>
              <w:spacing w:before="120"/>
              <w:jc w:val="both"/>
              <w:textAlignment w:val="baseline"/>
              <w:rPr>
                <w:rFonts w:ascii="Arial" w:hAnsi="Arial" w:cs="Arial"/>
                <w:sz w:val="20"/>
              </w:rPr>
            </w:pPr>
          </w:p>
        </w:tc>
        <w:tc>
          <w:tcPr>
            <w:tcW w:w="691" w:type="dxa"/>
          </w:tcPr>
          <w:p w14:paraId="5967DF8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5</w:t>
            </w:r>
          </w:p>
        </w:tc>
        <w:tc>
          <w:tcPr>
            <w:tcW w:w="691" w:type="dxa"/>
          </w:tcPr>
          <w:p w14:paraId="00F7743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5</w:t>
            </w:r>
          </w:p>
        </w:tc>
        <w:tc>
          <w:tcPr>
            <w:tcW w:w="691" w:type="dxa"/>
          </w:tcPr>
          <w:p w14:paraId="30316B7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5</w:t>
            </w:r>
          </w:p>
        </w:tc>
        <w:tc>
          <w:tcPr>
            <w:tcW w:w="691" w:type="dxa"/>
          </w:tcPr>
          <w:p w14:paraId="72F3C09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5</w:t>
            </w:r>
          </w:p>
        </w:tc>
        <w:tc>
          <w:tcPr>
            <w:tcW w:w="1008" w:type="dxa"/>
          </w:tcPr>
          <w:p w14:paraId="0C31485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20</w:t>
            </w:r>
          </w:p>
        </w:tc>
        <w:tc>
          <w:tcPr>
            <w:tcW w:w="3068" w:type="dxa"/>
          </w:tcPr>
          <w:p w14:paraId="59B06EF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Directorio de Laboratorios Ambientales (https://bit.ly/2q6KgyY)</w:t>
            </w:r>
          </w:p>
        </w:tc>
      </w:tr>
      <w:tr w:rsidR="00B23858" w:rsidRPr="00C551E1" w14:paraId="57048FB1" w14:textId="77777777" w:rsidTr="00C34ED4">
        <w:tc>
          <w:tcPr>
            <w:tcW w:w="1885" w:type="dxa"/>
          </w:tcPr>
          <w:p w14:paraId="4D0807A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Sistema de atención de denuncias ambientales fortalecido en olores y plaguicidas.</w:t>
            </w:r>
          </w:p>
          <w:p w14:paraId="481B5D73" w14:textId="77777777" w:rsidR="00B23858" w:rsidRPr="00C551E1" w:rsidRDefault="00B23858" w:rsidP="00C34ED4">
            <w:pPr>
              <w:spacing w:before="120"/>
              <w:jc w:val="both"/>
              <w:textAlignment w:val="baseline"/>
              <w:rPr>
                <w:rFonts w:ascii="Arial" w:hAnsi="Arial" w:cs="Arial"/>
                <w:sz w:val="20"/>
              </w:rPr>
            </w:pPr>
          </w:p>
        </w:tc>
        <w:tc>
          <w:tcPr>
            <w:tcW w:w="2340" w:type="dxa"/>
          </w:tcPr>
          <w:p w14:paraId="5CDCEA4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Sistema de atención de denuncias ambientales fortalecido en olores y plaguicidas medido a través del porcentaje del total de denuncias vinculadas a olores y plaguicidas resueltas.</w:t>
            </w:r>
          </w:p>
          <w:p w14:paraId="221590E6" w14:textId="77777777" w:rsidR="00B23858" w:rsidRPr="00C551E1" w:rsidRDefault="00B23858" w:rsidP="00C34ED4">
            <w:pPr>
              <w:spacing w:before="120"/>
              <w:jc w:val="both"/>
              <w:textAlignment w:val="baseline"/>
              <w:rPr>
                <w:rFonts w:ascii="Arial" w:hAnsi="Arial" w:cs="Arial"/>
                <w:sz w:val="20"/>
              </w:rPr>
            </w:pPr>
          </w:p>
          <w:p w14:paraId="306483E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hito 1: dos (2) protocolos operativos de actuación aprobados mediante Resolución DINAMA en el año 2.</w:t>
            </w:r>
          </w:p>
        </w:tc>
        <w:tc>
          <w:tcPr>
            <w:tcW w:w="990" w:type="dxa"/>
          </w:tcPr>
          <w:p w14:paraId="1B23E45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Porcentaje.</w:t>
            </w:r>
          </w:p>
        </w:tc>
        <w:tc>
          <w:tcPr>
            <w:tcW w:w="837" w:type="dxa"/>
          </w:tcPr>
          <w:p w14:paraId="4AFADD4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0% olores; 0% plaguicidas. </w:t>
            </w:r>
          </w:p>
          <w:p w14:paraId="1506DAB0" w14:textId="77777777" w:rsidR="00B23858" w:rsidRPr="00C551E1" w:rsidRDefault="00B23858" w:rsidP="00C34ED4">
            <w:pPr>
              <w:spacing w:before="120"/>
              <w:jc w:val="both"/>
              <w:textAlignment w:val="baseline"/>
              <w:rPr>
                <w:rFonts w:ascii="Arial" w:hAnsi="Arial" w:cs="Arial"/>
                <w:sz w:val="20"/>
              </w:rPr>
            </w:pPr>
          </w:p>
        </w:tc>
        <w:tc>
          <w:tcPr>
            <w:tcW w:w="693" w:type="dxa"/>
          </w:tcPr>
          <w:p w14:paraId="43003DC5" w14:textId="77777777" w:rsidR="00B23858" w:rsidRPr="00C551E1" w:rsidRDefault="00B23858" w:rsidP="00C34ED4">
            <w:pPr>
              <w:spacing w:before="120"/>
              <w:jc w:val="both"/>
              <w:textAlignment w:val="baseline"/>
              <w:rPr>
                <w:rFonts w:ascii="Arial" w:hAnsi="Arial" w:cs="Arial"/>
                <w:sz w:val="20"/>
              </w:rPr>
            </w:pPr>
          </w:p>
        </w:tc>
        <w:tc>
          <w:tcPr>
            <w:tcW w:w="691" w:type="dxa"/>
          </w:tcPr>
          <w:p w14:paraId="7B4E925E" w14:textId="77777777" w:rsidR="00B23858" w:rsidRPr="00C551E1" w:rsidRDefault="00B23858" w:rsidP="00C34ED4">
            <w:pPr>
              <w:spacing w:before="120"/>
              <w:jc w:val="both"/>
              <w:textAlignment w:val="baseline"/>
              <w:rPr>
                <w:rFonts w:ascii="Arial" w:hAnsi="Arial" w:cs="Arial"/>
                <w:sz w:val="20"/>
              </w:rPr>
            </w:pPr>
          </w:p>
        </w:tc>
        <w:tc>
          <w:tcPr>
            <w:tcW w:w="691" w:type="dxa"/>
          </w:tcPr>
          <w:p w14:paraId="10521E42" w14:textId="77777777" w:rsidR="00B23858" w:rsidRPr="00C551E1" w:rsidRDefault="00B23858" w:rsidP="00C34ED4">
            <w:pPr>
              <w:spacing w:before="120"/>
              <w:jc w:val="both"/>
              <w:textAlignment w:val="baseline"/>
              <w:rPr>
                <w:rFonts w:ascii="Arial" w:hAnsi="Arial" w:cs="Arial"/>
                <w:sz w:val="20"/>
              </w:rPr>
            </w:pPr>
          </w:p>
        </w:tc>
        <w:tc>
          <w:tcPr>
            <w:tcW w:w="691" w:type="dxa"/>
          </w:tcPr>
          <w:p w14:paraId="395F7210" w14:textId="77777777" w:rsidR="00B23858" w:rsidRPr="00C551E1" w:rsidRDefault="00B23858" w:rsidP="00C34ED4">
            <w:pPr>
              <w:spacing w:before="120"/>
              <w:jc w:val="both"/>
              <w:textAlignment w:val="baseline"/>
              <w:rPr>
                <w:rFonts w:ascii="Arial" w:hAnsi="Arial" w:cs="Arial"/>
                <w:sz w:val="20"/>
              </w:rPr>
            </w:pPr>
          </w:p>
        </w:tc>
        <w:tc>
          <w:tcPr>
            <w:tcW w:w="691" w:type="dxa"/>
          </w:tcPr>
          <w:p w14:paraId="1DA7B079" w14:textId="77777777" w:rsidR="00B23858" w:rsidRPr="00C551E1" w:rsidRDefault="00B23858" w:rsidP="00C34ED4">
            <w:pPr>
              <w:spacing w:before="120"/>
              <w:rPr>
                <w:rFonts w:ascii="Arial" w:hAnsi="Arial" w:cs="Arial"/>
                <w:sz w:val="20"/>
              </w:rPr>
            </w:pPr>
            <w:r w:rsidRPr="00C551E1">
              <w:rPr>
                <w:rFonts w:ascii="Arial" w:hAnsi="Arial" w:cs="Arial"/>
                <w:sz w:val="20"/>
              </w:rPr>
              <w:t>plaguicidas: 30% olores: 60%</w:t>
            </w:r>
          </w:p>
        </w:tc>
        <w:tc>
          <w:tcPr>
            <w:tcW w:w="1008" w:type="dxa"/>
          </w:tcPr>
          <w:p w14:paraId="4529D192" w14:textId="77777777" w:rsidR="00B23858" w:rsidRPr="00C551E1" w:rsidRDefault="00B23858" w:rsidP="00C34ED4">
            <w:pPr>
              <w:spacing w:before="120"/>
              <w:rPr>
                <w:rFonts w:ascii="Arial" w:hAnsi="Arial" w:cs="Arial"/>
                <w:sz w:val="20"/>
              </w:rPr>
            </w:pPr>
            <w:r w:rsidRPr="00C551E1">
              <w:rPr>
                <w:rFonts w:ascii="Arial" w:hAnsi="Arial" w:cs="Arial"/>
                <w:sz w:val="20"/>
              </w:rPr>
              <w:t>plaguicidas: 30% olores: 60%</w:t>
            </w:r>
          </w:p>
          <w:p w14:paraId="7059B00B" w14:textId="77777777" w:rsidR="00B23858" w:rsidRPr="00C551E1" w:rsidRDefault="00B23858" w:rsidP="00C34ED4">
            <w:pPr>
              <w:spacing w:before="120"/>
              <w:jc w:val="both"/>
              <w:textAlignment w:val="baseline"/>
              <w:rPr>
                <w:rFonts w:ascii="Arial" w:hAnsi="Arial" w:cs="Arial"/>
                <w:sz w:val="20"/>
              </w:rPr>
            </w:pPr>
          </w:p>
        </w:tc>
        <w:tc>
          <w:tcPr>
            <w:tcW w:w="3068" w:type="dxa"/>
          </w:tcPr>
          <w:p w14:paraId="3BC3865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Reportes del sistema de atención a denuncias que integra el Sistema de Información Ambiental.</w:t>
            </w:r>
          </w:p>
        </w:tc>
      </w:tr>
      <w:tr w:rsidR="00B23858" w:rsidRPr="00C551E1" w14:paraId="31740180" w14:textId="77777777" w:rsidTr="00C34ED4">
        <w:tc>
          <w:tcPr>
            <w:tcW w:w="13585" w:type="dxa"/>
            <w:gridSpan w:val="11"/>
            <w:shd w:val="clear" w:color="auto" w:fill="DEEAF6" w:themeFill="accent5" w:themeFillTint="33"/>
          </w:tcPr>
          <w:p w14:paraId="650950F7"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Objetivo/componente 1. Línea de acción: 4. Mejora de la calidad de los procesos de Evaluación de Impacto Ambiental</w:t>
            </w:r>
          </w:p>
        </w:tc>
      </w:tr>
      <w:tr w:rsidR="00B23858" w:rsidRPr="00C551E1" w14:paraId="45B2A526" w14:textId="77777777" w:rsidTr="00C34ED4">
        <w:tc>
          <w:tcPr>
            <w:tcW w:w="1885" w:type="dxa"/>
          </w:tcPr>
          <w:p w14:paraId="4A6A694F"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Mejora de la calidad de los procesos de evaluación de impacto ambiental (EIA).</w:t>
            </w:r>
          </w:p>
          <w:p w14:paraId="6F56E56C" w14:textId="77777777" w:rsidR="00B23858" w:rsidRPr="00C551E1" w:rsidRDefault="00B23858" w:rsidP="00C34ED4">
            <w:pPr>
              <w:spacing w:before="120"/>
              <w:jc w:val="both"/>
              <w:textAlignment w:val="baseline"/>
              <w:rPr>
                <w:rFonts w:ascii="Arial" w:hAnsi="Arial" w:cs="Arial"/>
                <w:sz w:val="20"/>
              </w:rPr>
            </w:pPr>
          </w:p>
        </w:tc>
        <w:tc>
          <w:tcPr>
            <w:tcW w:w="2340" w:type="dxa"/>
          </w:tcPr>
          <w:p w14:paraId="73AC4562"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Mejora de la calidad de los procesos de evaluación y seguimiento ambiental de emprendimientos clase C definidos e implementados, incluyendo aplicación de herramienta de verificación de información predictiva.</w:t>
            </w:r>
          </w:p>
          <w:p w14:paraId="32EEC932" w14:textId="77777777" w:rsidR="00B23858" w:rsidRPr="00C551E1" w:rsidRDefault="00B23858" w:rsidP="00C34ED4">
            <w:pPr>
              <w:spacing w:before="120"/>
              <w:textAlignment w:val="baseline"/>
              <w:rPr>
                <w:rFonts w:ascii="Arial" w:hAnsi="Arial" w:cs="Arial"/>
                <w:sz w:val="20"/>
              </w:rPr>
            </w:pPr>
          </w:p>
          <w:p w14:paraId="0DA9621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Hito: Procedimientos detallados para participación, consulta temprana y seguimiento ambiental participativo en el marco de EIA: año 2</w:t>
            </w:r>
          </w:p>
          <w:p w14:paraId="3625383E"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Hito 2: Requisitos mínimos de calidad para la realización y revisión de EIAs establecidos para al menos 10 tipologías de actividades - año 4.</w:t>
            </w:r>
          </w:p>
        </w:tc>
        <w:tc>
          <w:tcPr>
            <w:tcW w:w="990" w:type="dxa"/>
          </w:tcPr>
          <w:p w14:paraId="4CEB703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Número de procedimientos implantados.</w:t>
            </w:r>
          </w:p>
        </w:tc>
        <w:tc>
          <w:tcPr>
            <w:tcW w:w="837" w:type="dxa"/>
          </w:tcPr>
          <w:p w14:paraId="7F3D2267" w14:textId="007AAE72"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w:t>
            </w:r>
            <w:r w:rsidR="00B255C9">
              <w:rPr>
                <w:rFonts w:ascii="Arial" w:hAnsi="Arial" w:cs="Arial"/>
                <w:sz w:val="20"/>
              </w:rPr>
              <w:t xml:space="preserve"> </w:t>
            </w:r>
            <w:r w:rsidRPr="00C551E1">
              <w:rPr>
                <w:rFonts w:ascii="Arial" w:hAnsi="Arial" w:cs="Arial"/>
                <w:sz w:val="20"/>
              </w:rPr>
              <w:t>2019.</w:t>
            </w:r>
          </w:p>
        </w:tc>
        <w:tc>
          <w:tcPr>
            <w:tcW w:w="693" w:type="dxa"/>
          </w:tcPr>
          <w:p w14:paraId="675DD89B" w14:textId="77777777" w:rsidR="00B23858" w:rsidRPr="00C551E1" w:rsidRDefault="00B23858" w:rsidP="00C34ED4">
            <w:pPr>
              <w:spacing w:before="120"/>
              <w:jc w:val="both"/>
              <w:textAlignment w:val="baseline"/>
              <w:rPr>
                <w:rFonts w:ascii="Arial" w:hAnsi="Arial" w:cs="Arial"/>
                <w:sz w:val="20"/>
              </w:rPr>
            </w:pPr>
          </w:p>
        </w:tc>
        <w:tc>
          <w:tcPr>
            <w:tcW w:w="691" w:type="dxa"/>
          </w:tcPr>
          <w:p w14:paraId="164B90A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6BF8D7B7" w14:textId="77777777" w:rsidR="00B23858" w:rsidRPr="00C551E1" w:rsidRDefault="00B23858" w:rsidP="00C34ED4">
            <w:pPr>
              <w:spacing w:before="120"/>
              <w:jc w:val="both"/>
              <w:textAlignment w:val="baseline"/>
              <w:rPr>
                <w:rFonts w:ascii="Arial" w:hAnsi="Arial" w:cs="Arial"/>
                <w:sz w:val="20"/>
              </w:rPr>
            </w:pPr>
          </w:p>
        </w:tc>
        <w:tc>
          <w:tcPr>
            <w:tcW w:w="691" w:type="dxa"/>
          </w:tcPr>
          <w:p w14:paraId="44787626" w14:textId="77777777" w:rsidR="00B23858" w:rsidRPr="00C551E1" w:rsidRDefault="00B23858" w:rsidP="00C34ED4">
            <w:pPr>
              <w:spacing w:before="120"/>
              <w:jc w:val="both"/>
              <w:textAlignment w:val="baseline"/>
              <w:rPr>
                <w:rFonts w:ascii="Arial" w:hAnsi="Arial" w:cs="Arial"/>
                <w:sz w:val="20"/>
              </w:rPr>
            </w:pPr>
          </w:p>
        </w:tc>
        <w:tc>
          <w:tcPr>
            <w:tcW w:w="691" w:type="dxa"/>
          </w:tcPr>
          <w:p w14:paraId="5C59749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3</w:t>
            </w:r>
          </w:p>
        </w:tc>
        <w:tc>
          <w:tcPr>
            <w:tcW w:w="1008" w:type="dxa"/>
          </w:tcPr>
          <w:p w14:paraId="6EDA5DB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4</w:t>
            </w:r>
          </w:p>
        </w:tc>
        <w:tc>
          <w:tcPr>
            <w:tcW w:w="3068" w:type="dxa"/>
          </w:tcPr>
          <w:p w14:paraId="4A4AB476"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guías/procedimientos DINAMA publicados en la web; procedimiento marco, + 3 específicos.</w:t>
            </w:r>
          </w:p>
          <w:p w14:paraId="2EF9F181"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Emprendimientos clase C: impacto ambiental mayor que requieren EIA completo. </w:t>
            </w:r>
          </w:p>
        </w:tc>
      </w:tr>
      <w:tr w:rsidR="00B23858" w:rsidRPr="00C551E1" w14:paraId="6A3F501C" w14:textId="77777777" w:rsidTr="00C34ED4">
        <w:tc>
          <w:tcPr>
            <w:tcW w:w="13585" w:type="dxa"/>
            <w:gridSpan w:val="11"/>
            <w:shd w:val="clear" w:color="auto" w:fill="DEEAF6" w:themeFill="accent5" w:themeFillTint="33"/>
          </w:tcPr>
          <w:p w14:paraId="717680F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Objetivo/componente 1. Línea de acción 5: Fortalecer las capacidades del MVOTMA para el desarrollo y aplicación de instrumentos económicos</w:t>
            </w:r>
          </w:p>
        </w:tc>
      </w:tr>
      <w:tr w:rsidR="00B23858" w:rsidRPr="00C551E1" w14:paraId="6497546D" w14:textId="77777777" w:rsidTr="00C34ED4">
        <w:tc>
          <w:tcPr>
            <w:tcW w:w="1885" w:type="dxa"/>
            <w:vMerge w:val="restart"/>
          </w:tcPr>
          <w:p w14:paraId="19F13916"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Diseño e implementación </w:t>
            </w:r>
            <w:r w:rsidRPr="00C551E1">
              <w:rPr>
                <w:rFonts w:ascii="Arial" w:hAnsi="Arial" w:cs="Arial"/>
                <w:sz w:val="20"/>
              </w:rPr>
              <w:lastRenderedPageBreak/>
              <w:t>técnica de instrumentos de política (económico-ambientales) para la mejora de la calidad ambiental.</w:t>
            </w:r>
          </w:p>
          <w:p w14:paraId="5627BE95" w14:textId="77777777" w:rsidR="00B23858" w:rsidRPr="00C551E1" w:rsidRDefault="00B23858" w:rsidP="00C34ED4">
            <w:pPr>
              <w:spacing w:before="120"/>
              <w:jc w:val="both"/>
              <w:textAlignment w:val="baseline"/>
              <w:rPr>
                <w:rFonts w:ascii="Arial" w:hAnsi="Arial" w:cs="Arial"/>
                <w:sz w:val="20"/>
              </w:rPr>
            </w:pPr>
          </w:p>
        </w:tc>
        <w:tc>
          <w:tcPr>
            <w:tcW w:w="2340" w:type="dxa"/>
          </w:tcPr>
          <w:p w14:paraId="4DC73FC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 xml:space="preserve">1. Diseño e implementación técnica </w:t>
            </w:r>
            <w:r w:rsidRPr="00C551E1">
              <w:rPr>
                <w:rFonts w:ascii="Arial" w:hAnsi="Arial" w:cs="Arial"/>
                <w:sz w:val="20"/>
              </w:rPr>
              <w:lastRenderedPageBreak/>
              <w:t xml:space="preserve">de instrumentos económicos de carácter fiscal (residuos y agroquímicos) para la mejora de la calidad ambiental. </w:t>
            </w:r>
          </w:p>
          <w:p w14:paraId="6FE7AE5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Hito 1. Metodología para el análisis costo beneficio de planes de cuencas en base a valorización de servicios ecosistémicos: Año 3</w:t>
            </w:r>
          </w:p>
        </w:tc>
        <w:tc>
          <w:tcPr>
            <w:tcW w:w="990" w:type="dxa"/>
          </w:tcPr>
          <w:p w14:paraId="2617CD5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 xml:space="preserve">Número de </w:t>
            </w:r>
            <w:r w:rsidRPr="00C551E1">
              <w:rPr>
                <w:rFonts w:ascii="Arial" w:hAnsi="Arial" w:cs="Arial"/>
                <w:sz w:val="20"/>
              </w:rPr>
              <w:lastRenderedPageBreak/>
              <w:t>documentos.</w:t>
            </w:r>
          </w:p>
        </w:tc>
        <w:tc>
          <w:tcPr>
            <w:tcW w:w="837" w:type="dxa"/>
          </w:tcPr>
          <w:p w14:paraId="7A2C7F8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0; 2019.</w:t>
            </w:r>
          </w:p>
        </w:tc>
        <w:tc>
          <w:tcPr>
            <w:tcW w:w="693" w:type="dxa"/>
          </w:tcPr>
          <w:p w14:paraId="18265057"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2</w:t>
            </w:r>
          </w:p>
        </w:tc>
        <w:tc>
          <w:tcPr>
            <w:tcW w:w="691" w:type="dxa"/>
          </w:tcPr>
          <w:p w14:paraId="10E4E6D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387943D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1F2B5DC1" w14:textId="77777777" w:rsidR="00B23858" w:rsidRPr="00C551E1" w:rsidRDefault="00B23858" w:rsidP="00C34ED4">
            <w:pPr>
              <w:spacing w:before="120"/>
              <w:jc w:val="both"/>
              <w:textAlignment w:val="baseline"/>
              <w:rPr>
                <w:rFonts w:ascii="Arial" w:hAnsi="Arial" w:cs="Arial"/>
                <w:sz w:val="20"/>
              </w:rPr>
            </w:pPr>
          </w:p>
        </w:tc>
        <w:tc>
          <w:tcPr>
            <w:tcW w:w="691" w:type="dxa"/>
          </w:tcPr>
          <w:p w14:paraId="5DB86AC3" w14:textId="77777777" w:rsidR="00B23858" w:rsidRPr="00C551E1" w:rsidRDefault="00B23858" w:rsidP="00C34ED4">
            <w:pPr>
              <w:spacing w:before="120"/>
              <w:jc w:val="both"/>
              <w:textAlignment w:val="baseline"/>
              <w:rPr>
                <w:rFonts w:ascii="Arial" w:hAnsi="Arial" w:cs="Arial"/>
                <w:sz w:val="20"/>
              </w:rPr>
            </w:pPr>
          </w:p>
        </w:tc>
        <w:tc>
          <w:tcPr>
            <w:tcW w:w="1008" w:type="dxa"/>
          </w:tcPr>
          <w:p w14:paraId="06E496C8"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4</w:t>
            </w:r>
          </w:p>
        </w:tc>
        <w:tc>
          <w:tcPr>
            <w:tcW w:w="3068" w:type="dxa"/>
          </w:tcPr>
          <w:p w14:paraId="0A792544"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informes semestrales de la UEP; propuestas técnicas y de decreto</w:t>
            </w:r>
          </w:p>
        </w:tc>
      </w:tr>
      <w:tr w:rsidR="00B23858" w:rsidRPr="00C551E1" w14:paraId="7A3C3138" w14:textId="77777777" w:rsidTr="00C34ED4">
        <w:tc>
          <w:tcPr>
            <w:tcW w:w="1885" w:type="dxa"/>
            <w:vMerge/>
          </w:tcPr>
          <w:p w14:paraId="1C8ED8AE" w14:textId="77777777" w:rsidR="00B23858" w:rsidRPr="00C551E1" w:rsidRDefault="00B23858" w:rsidP="00C34ED4">
            <w:pPr>
              <w:spacing w:before="120"/>
              <w:jc w:val="both"/>
              <w:textAlignment w:val="baseline"/>
              <w:rPr>
                <w:rFonts w:ascii="Arial" w:hAnsi="Arial" w:cs="Arial"/>
                <w:sz w:val="20"/>
              </w:rPr>
            </w:pPr>
          </w:p>
        </w:tc>
        <w:tc>
          <w:tcPr>
            <w:tcW w:w="2340" w:type="dxa"/>
          </w:tcPr>
          <w:p w14:paraId="2F1B4116"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2. Numero de planes de acción de cuencas con medidas evaluadas económicamente (a partir de una valorización de servicios ecosistémicos).</w:t>
            </w:r>
          </w:p>
        </w:tc>
        <w:tc>
          <w:tcPr>
            <w:tcW w:w="990" w:type="dxa"/>
          </w:tcPr>
          <w:p w14:paraId="439CB37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Número de análisis económico.</w:t>
            </w:r>
          </w:p>
        </w:tc>
        <w:tc>
          <w:tcPr>
            <w:tcW w:w="837" w:type="dxa"/>
          </w:tcPr>
          <w:p w14:paraId="6D9DF18F"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5F48FB86" w14:textId="77777777" w:rsidR="00B23858" w:rsidRPr="00C551E1" w:rsidRDefault="00B23858" w:rsidP="00C34ED4">
            <w:pPr>
              <w:spacing w:before="120"/>
              <w:jc w:val="both"/>
              <w:textAlignment w:val="baseline"/>
              <w:rPr>
                <w:rFonts w:ascii="Arial" w:hAnsi="Arial" w:cs="Arial"/>
                <w:sz w:val="20"/>
              </w:rPr>
            </w:pPr>
          </w:p>
        </w:tc>
        <w:tc>
          <w:tcPr>
            <w:tcW w:w="691" w:type="dxa"/>
          </w:tcPr>
          <w:p w14:paraId="0DE63832" w14:textId="77777777" w:rsidR="00B23858" w:rsidRPr="00C551E1" w:rsidRDefault="00B23858" w:rsidP="00C34ED4">
            <w:pPr>
              <w:spacing w:before="120"/>
              <w:jc w:val="both"/>
              <w:textAlignment w:val="baseline"/>
              <w:rPr>
                <w:rFonts w:ascii="Arial" w:hAnsi="Arial" w:cs="Arial"/>
                <w:sz w:val="20"/>
              </w:rPr>
            </w:pPr>
          </w:p>
        </w:tc>
        <w:tc>
          <w:tcPr>
            <w:tcW w:w="691" w:type="dxa"/>
          </w:tcPr>
          <w:p w14:paraId="54069AF3" w14:textId="77777777" w:rsidR="00B23858" w:rsidRPr="00C551E1" w:rsidRDefault="00B23858" w:rsidP="00C34ED4">
            <w:pPr>
              <w:spacing w:before="120"/>
              <w:jc w:val="both"/>
              <w:textAlignment w:val="baseline"/>
              <w:rPr>
                <w:rFonts w:ascii="Arial" w:hAnsi="Arial" w:cs="Arial"/>
                <w:sz w:val="20"/>
              </w:rPr>
            </w:pPr>
          </w:p>
        </w:tc>
        <w:tc>
          <w:tcPr>
            <w:tcW w:w="691" w:type="dxa"/>
          </w:tcPr>
          <w:p w14:paraId="1C732C61" w14:textId="77777777" w:rsidR="00B23858" w:rsidRPr="00C551E1" w:rsidRDefault="00B23858" w:rsidP="00C34ED4">
            <w:pPr>
              <w:spacing w:before="120"/>
              <w:jc w:val="both"/>
              <w:textAlignment w:val="baseline"/>
              <w:rPr>
                <w:rFonts w:ascii="Arial" w:hAnsi="Arial" w:cs="Arial"/>
                <w:sz w:val="20"/>
              </w:rPr>
            </w:pPr>
          </w:p>
        </w:tc>
        <w:tc>
          <w:tcPr>
            <w:tcW w:w="691" w:type="dxa"/>
          </w:tcPr>
          <w:p w14:paraId="097A3F6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1008" w:type="dxa"/>
          </w:tcPr>
          <w:p w14:paraId="31DE6AA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3068" w:type="dxa"/>
          </w:tcPr>
          <w:p w14:paraId="3CADFFD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Reporte del Sistema de Información Ambiental</w:t>
            </w:r>
          </w:p>
        </w:tc>
      </w:tr>
      <w:tr w:rsidR="00B23858" w:rsidRPr="00C551E1" w14:paraId="60A3ACA8" w14:textId="77777777" w:rsidTr="00C34ED4">
        <w:tc>
          <w:tcPr>
            <w:tcW w:w="1885" w:type="dxa"/>
          </w:tcPr>
          <w:p w14:paraId="72391CF0" w14:textId="77777777" w:rsidR="00B23858" w:rsidRPr="00C551E1" w:rsidRDefault="00B23858" w:rsidP="00C34ED4">
            <w:pPr>
              <w:spacing w:before="120"/>
              <w:jc w:val="both"/>
              <w:textAlignment w:val="baseline"/>
              <w:rPr>
                <w:rFonts w:ascii="Arial" w:hAnsi="Arial" w:cs="Arial"/>
                <w:sz w:val="20"/>
              </w:rPr>
            </w:pPr>
          </w:p>
        </w:tc>
        <w:tc>
          <w:tcPr>
            <w:tcW w:w="2340" w:type="dxa"/>
          </w:tcPr>
          <w:p w14:paraId="14181D1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3. (i) Guía metodológica y procedimientos para el análisis de aplicaciones de seguros y garantías; (ii) primera fase de implantación.</w:t>
            </w:r>
          </w:p>
        </w:tc>
        <w:tc>
          <w:tcPr>
            <w:tcW w:w="990" w:type="dxa"/>
          </w:tcPr>
          <w:p w14:paraId="7C210FEF"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Número de guías.</w:t>
            </w:r>
          </w:p>
        </w:tc>
        <w:tc>
          <w:tcPr>
            <w:tcW w:w="837" w:type="dxa"/>
          </w:tcPr>
          <w:p w14:paraId="1B6D4B7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0; 2019. </w:t>
            </w:r>
          </w:p>
        </w:tc>
        <w:tc>
          <w:tcPr>
            <w:tcW w:w="693" w:type="dxa"/>
          </w:tcPr>
          <w:p w14:paraId="4AF42590" w14:textId="77777777" w:rsidR="00B23858" w:rsidRPr="00C551E1" w:rsidRDefault="00B23858" w:rsidP="00C34ED4">
            <w:pPr>
              <w:spacing w:before="120"/>
              <w:jc w:val="center"/>
              <w:textAlignment w:val="baseline"/>
              <w:rPr>
                <w:rFonts w:ascii="Arial" w:hAnsi="Arial" w:cs="Arial"/>
                <w:sz w:val="20"/>
              </w:rPr>
            </w:pPr>
          </w:p>
        </w:tc>
        <w:tc>
          <w:tcPr>
            <w:tcW w:w="691" w:type="dxa"/>
          </w:tcPr>
          <w:p w14:paraId="1351D44A"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1</w:t>
            </w:r>
          </w:p>
        </w:tc>
        <w:tc>
          <w:tcPr>
            <w:tcW w:w="691" w:type="dxa"/>
          </w:tcPr>
          <w:p w14:paraId="4549DF98" w14:textId="77777777" w:rsidR="00B23858" w:rsidRPr="00C551E1" w:rsidRDefault="00B23858" w:rsidP="00C34ED4">
            <w:pPr>
              <w:spacing w:before="120"/>
              <w:jc w:val="center"/>
              <w:textAlignment w:val="baseline"/>
              <w:rPr>
                <w:rFonts w:ascii="Arial" w:hAnsi="Arial" w:cs="Arial"/>
                <w:sz w:val="20"/>
              </w:rPr>
            </w:pPr>
          </w:p>
        </w:tc>
        <w:tc>
          <w:tcPr>
            <w:tcW w:w="691" w:type="dxa"/>
          </w:tcPr>
          <w:p w14:paraId="3E139359" w14:textId="77777777" w:rsidR="00B23858" w:rsidRPr="00C551E1" w:rsidRDefault="00B23858" w:rsidP="00C34ED4">
            <w:pPr>
              <w:spacing w:before="120"/>
              <w:jc w:val="center"/>
              <w:textAlignment w:val="baseline"/>
              <w:rPr>
                <w:rFonts w:ascii="Arial" w:hAnsi="Arial" w:cs="Arial"/>
                <w:sz w:val="20"/>
              </w:rPr>
            </w:pPr>
          </w:p>
        </w:tc>
        <w:tc>
          <w:tcPr>
            <w:tcW w:w="691" w:type="dxa"/>
          </w:tcPr>
          <w:p w14:paraId="1008A1F7"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1</w:t>
            </w:r>
          </w:p>
        </w:tc>
        <w:tc>
          <w:tcPr>
            <w:tcW w:w="1008" w:type="dxa"/>
          </w:tcPr>
          <w:p w14:paraId="363A3209"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2</w:t>
            </w:r>
          </w:p>
        </w:tc>
        <w:tc>
          <w:tcPr>
            <w:tcW w:w="3068" w:type="dxa"/>
          </w:tcPr>
          <w:p w14:paraId="719E4AA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Informes semestrales de la UEP; reporte del Sistema de Información Ambiental.</w:t>
            </w:r>
          </w:p>
        </w:tc>
      </w:tr>
      <w:tr w:rsidR="00B23858" w:rsidRPr="00C551E1" w14:paraId="29C1DB45" w14:textId="77777777" w:rsidTr="00C34ED4">
        <w:tc>
          <w:tcPr>
            <w:tcW w:w="13585" w:type="dxa"/>
            <w:gridSpan w:val="11"/>
            <w:shd w:val="clear" w:color="auto" w:fill="FBE4D5" w:themeFill="accent2" w:themeFillTint="33"/>
          </w:tcPr>
          <w:p w14:paraId="022392C2"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Objetivo/componente 2. Línea de acción 1: Apoyo a la implementación de los planes de acción de cuencas prioritarias</w:t>
            </w:r>
            <w:r w:rsidRPr="00C551E1" w:rsidDel="00000C20">
              <w:rPr>
                <w:rFonts w:ascii="Arial" w:hAnsi="Arial" w:cs="Arial"/>
                <w:sz w:val="20"/>
              </w:rPr>
              <w:t xml:space="preserve"> </w:t>
            </w:r>
          </w:p>
        </w:tc>
      </w:tr>
      <w:tr w:rsidR="00B23858" w:rsidRPr="00C551E1" w14:paraId="080B7AC8" w14:textId="77777777" w:rsidTr="00C34ED4">
        <w:tc>
          <w:tcPr>
            <w:tcW w:w="1885" w:type="dxa"/>
          </w:tcPr>
          <w:p w14:paraId="0D05A1C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Incorporación del sensoramiento remoto como herramienta para el </w:t>
            </w:r>
            <w:r w:rsidRPr="00C551E1">
              <w:rPr>
                <w:rFonts w:ascii="Arial" w:hAnsi="Arial" w:cs="Arial"/>
                <w:sz w:val="20"/>
              </w:rPr>
              <w:lastRenderedPageBreak/>
              <w:t xml:space="preserve">monitoreo y control ambiental </w:t>
            </w:r>
          </w:p>
        </w:tc>
        <w:tc>
          <w:tcPr>
            <w:tcW w:w="2340" w:type="dxa"/>
          </w:tcPr>
          <w:p w14:paraId="2C1C83F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 xml:space="preserve">Sensoramiento remoto integrado en el sistema de monitoreo y control del cumplimiento de las zonas buffer implantado </w:t>
            </w:r>
            <w:r w:rsidRPr="00C551E1">
              <w:rPr>
                <w:rFonts w:ascii="Arial" w:hAnsi="Arial" w:cs="Arial"/>
                <w:sz w:val="20"/>
              </w:rPr>
              <w:lastRenderedPageBreak/>
              <w:t>(relacionar producto 2.2 y 1.4).</w:t>
            </w:r>
          </w:p>
          <w:p w14:paraId="5CFEB247" w14:textId="77777777" w:rsidR="00B23858" w:rsidRPr="00C551E1" w:rsidRDefault="00B23858" w:rsidP="00C34ED4">
            <w:pPr>
              <w:spacing w:before="120"/>
              <w:jc w:val="both"/>
              <w:textAlignment w:val="baseline"/>
              <w:rPr>
                <w:rFonts w:ascii="Arial" w:hAnsi="Arial" w:cs="Arial"/>
                <w:sz w:val="20"/>
              </w:rPr>
            </w:pPr>
          </w:p>
          <w:p w14:paraId="320A460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Hito 1. Sistema de monitoreo de clorofila basado en sensoramiento remoto calibrado en tres cuencas: año 2 (Sta. Lucia); Año 3 Río Negro.</w:t>
            </w:r>
          </w:p>
        </w:tc>
        <w:tc>
          <w:tcPr>
            <w:tcW w:w="990" w:type="dxa"/>
          </w:tcPr>
          <w:p w14:paraId="4F2E4F0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Número de sistemas</w:t>
            </w:r>
          </w:p>
        </w:tc>
        <w:tc>
          <w:tcPr>
            <w:tcW w:w="837" w:type="dxa"/>
          </w:tcPr>
          <w:p w14:paraId="3E9A34A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3CE3C416" w14:textId="77777777" w:rsidR="00B23858" w:rsidRPr="00C551E1" w:rsidRDefault="00B23858" w:rsidP="00C34ED4">
            <w:pPr>
              <w:spacing w:before="120"/>
              <w:jc w:val="both"/>
              <w:textAlignment w:val="baseline"/>
              <w:rPr>
                <w:rFonts w:ascii="Arial" w:hAnsi="Arial" w:cs="Arial"/>
                <w:sz w:val="20"/>
              </w:rPr>
            </w:pPr>
          </w:p>
        </w:tc>
        <w:tc>
          <w:tcPr>
            <w:tcW w:w="691" w:type="dxa"/>
          </w:tcPr>
          <w:p w14:paraId="08E667C6"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1</w:t>
            </w:r>
          </w:p>
        </w:tc>
        <w:tc>
          <w:tcPr>
            <w:tcW w:w="691" w:type="dxa"/>
          </w:tcPr>
          <w:p w14:paraId="0A27BA00" w14:textId="77777777" w:rsidR="00B23858" w:rsidRPr="00C551E1" w:rsidRDefault="00B23858" w:rsidP="00C34ED4">
            <w:pPr>
              <w:spacing w:before="120"/>
              <w:jc w:val="center"/>
              <w:textAlignment w:val="baseline"/>
              <w:rPr>
                <w:rFonts w:ascii="Arial" w:hAnsi="Arial" w:cs="Arial"/>
                <w:sz w:val="20"/>
              </w:rPr>
            </w:pPr>
            <w:r w:rsidRPr="00C551E1">
              <w:rPr>
                <w:rFonts w:ascii="Arial" w:hAnsi="Arial" w:cs="Arial"/>
                <w:sz w:val="20"/>
              </w:rPr>
              <w:t>1</w:t>
            </w:r>
          </w:p>
        </w:tc>
        <w:tc>
          <w:tcPr>
            <w:tcW w:w="691" w:type="dxa"/>
          </w:tcPr>
          <w:p w14:paraId="311745C7" w14:textId="77777777" w:rsidR="00B23858" w:rsidRPr="00C551E1" w:rsidRDefault="00B23858" w:rsidP="00C34ED4">
            <w:pPr>
              <w:spacing w:before="120"/>
              <w:jc w:val="center"/>
              <w:textAlignment w:val="baseline"/>
              <w:rPr>
                <w:rFonts w:ascii="Arial" w:hAnsi="Arial" w:cs="Arial"/>
                <w:sz w:val="20"/>
              </w:rPr>
            </w:pPr>
          </w:p>
        </w:tc>
        <w:tc>
          <w:tcPr>
            <w:tcW w:w="691" w:type="dxa"/>
          </w:tcPr>
          <w:p w14:paraId="64DCAA79" w14:textId="77777777" w:rsidR="00B23858" w:rsidRPr="00C551E1" w:rsidRDefault="00B23858" w:rsidP="00C34ED4">
            <w:pPr>
              <w:spacing w:before="120"/>
              <w:jc w:val="both"/>
              <w:textAlignment w:val="baseline"/>
              <w:rPr>
                <w:rFonts w:ascii="Arial" w:hAnsi="Arial" w:cs="Arial"/>
                <w:sz w:val="20"/>
              </w:rPr>
            </w:pPr>
          </w:p>
        </w:tc>
        <w:tc>
          <w:tcPr>
            <w:tcW w:w="1008" w:type="dxa"/>
          </w:tcPr>
          <w:p w14:paraId="0084D33B" w14:textId="77777777" w:rsidR="00B23858" w:rsidRPr="00C551E1" w:rsidRDefault="00B23858" w:rsidP="00C34ED4">
            <w:pPr>
              <w:spacing w:before="120"/>
              <w:jc w:val="both"/>
              <w:textAlignment w:val="baseline"/>
              <w:rPr>
                <w:rFonts w:ascii="Arial" w:hAnsi="Arial" w:cs="Arial"/>
                <w:sz w:val="20"/>
              </w:rPr>
            </w:pPr>
          </w:p>
        </w:tc>
        <w:tc>
          <w:tcPr>
            <w:tcW w:w="3068" w:type="dxa"/>
          </w:tcPr>
          <w:p w14:paraId="02A827C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Sistema de Información Ambiental.</w:t>
            </w:r>
          </w:p>
        </w:tc>
      </w:tr>
      <w:tr w:rsidR="00B23858" w:rsidRPr="00C551E1" w14:paraId="407BCAA4" w14:textId="77777777" w:rsidTr="00C34ED4">
        <w:tc>
          <w:tcPr>
            <w:tcW w:w="1885" w:type="dxa"/>
          </w:tcPr>
          <w:p w14:paraId="3B71F61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Zonas de amortiguación implantadas y control operativo para las tres cuencas.</w:t>
            </w:r>
          </w:p>
        </w:tc>
        <w:tc>
          <w:tcPr>
            <w:tcW w:w="2340" w:type="dxa"/>
          </w:tcPr>
          <w:p w14:paraId="1DFA16EF"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Sistema de control de zonas de amortiguación desarrollado y en funcionamiento en las cuencas de Santa Lucia, Rio Negro y Laguna de Sauce.</w:t>
            </w:r>
          </w:p>
          <w:p w14:paraId="1E4E9C01" w14:textId="77777777" w:rsidR="00B23858" w:rsidRPr="00C551E1" w:rsidRDefault="00B23858" w:rsidP="00C34ED4">
            <w:pPr>
              <w:spacing w:before="120"/>
              <w:textAlignment w:val="baseline"/>
              <w:rPr>
                <w:rFonts w:ascii="Arial" w:hAnsi="Arial" w:cs="Arial"/>
                <w:sz w:val="20"/>
              </w:rPr>
            </w:pPr>
          </w:p>
          <w:p w14:paraId="48C3894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Hito 1. Resoluciones que establecen las zonas de amortiguación: </w:t>
            </w:r>
          </w:p>
          <w:p w14:paraId="107694D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Cuenca de Santa Lucia (ampliación de acuerdo al Plan de 2da Generación)- año 1; </w:t>
            </w:r>
          </w:p>
          <w:p w14:paraId="303864A7"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Rio Negro – año 2. (*).</w:t>
            </w:r>
          </w:p>
        </w:tc>
        <w:tc>
          <w:tcPr>
            <w:tcW w:w="990" w:type="dxa"/>
          </w:tcPr>
          <w:p w14:paraId="7E7A3A20" w14:textId="77777777" w:rsidR="00B23858" w:rsidRPr="00C551E1" w:rsidRDefault="00B23858" w:rsidP="00C34ED4">
            <w:pPr>
              <w:spacing w:before="120"/>
              <w:rPr>
                <w:rFonts w:ascii="Arial" w:hAnsi="Arial" w:cs="Arial"/>
                <w:sz w:val="20"/>
              </w:rPr>
            </w:pPr>
            <w:r w:rsidRPr="00C551E1">
              <w:rPr>
                <w:rFonts w:ascii="Arial" w:hAnsi="Arial" w:cs="Arial"/>
                <w:sz w:val="20"/>
              </w:rPr>
              <w:t>% predios bajo control sistemático de zonas amortiguación.</w:t>
            </w:r>
          </w:p>
        </w:tc>
        <w:tc>
          <w:tcPr>
            <w:tcW w:w="837" w:type="dxa"/>
          </w:tcPr>
          <w:p w14:paraId="3214C733" w14:textId="16193B2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w:t>
            </w:r>
            <w:r w:rsidR="00F25121">
              <w:rPr>
                <w:rFonts w:ascii="Arial" w:hAnsi="Arial" w:cs="Arial"/>
                <w:sz w:val="20"/>
              </w:rPr>
              <w:t xml:space="preserve"> </w:t>
            </w:r>
            <w:r w:rsidRPr="00C551E1">
              <w:rPr>
                <w:rFonts w:ascii="Arial" w:hAnsi="Arial" w:cs="Arial"/>
                <w:sz w:val="20"/>
              </w:rPr>
              <w:t>2019.</w:t>
            </w:r>
          </w:p>
        </w:tc>
        <w:tc>
          <w:tcPr>
            <w:tcW w:w="693" w:type="dxa"/>
          </w:tcPr>
          <w:p w14:paraId="622AC6D1" w14:textId="77777777" w:rsidR="00B23858" w:rsidRPr="00C551E1" w:rsidRDefault="00B23858" w:rsidP="00C34ED4">
            <w:pPr>
              <w:spacing w:before="120"/>
              <w:jc w:val="both"/>
              <w:textAlignment w:val="baseline"/>
              <w:rPr>
                <w:rFonts w:ascii="Arial" w:hAnsi="Arial" w:cs="Arial"/>
                <w:sz w:val="20"/>
              </w:rPr>
            </w:pPr>
          </w:p>
        </w:tc>
        <w:tc>
          <w:tcPr>
            <w:tcW w:w="691" w:type="dxa"/>
          </w:tcPr>
          <w:p w14:paraId="1E1A3138"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25%</w:t>
            </w:r>
          </w:p>
        </w:tc>
        <w:tc>
          <w:tcPr>
            <w:tcW w:w="691" w:type="dxa"/>
          </w:tcPr>
          <w:p w14:paraId="6DDEFD65" w14:textId="77777777" w:rsidR="00B23858" w:rsidRPr="00C551E1" w:rsidRDefault="00B23858" w:rsidP="00C34ED4">
            <w:pPr>
              <w:spacing w:before="120"/>
              <w:jc w:val="both"/>
              <w:textAlignment w:val="baseline"/>
              <w:rPr>
                <w:rFonts w:ascii="Arial" w:hAnsi="Arial" w:cs="Arial"/>
                <w:sz w:val="20"/>
              </w:rPr>
            </w:pPr>
          </w:p>
        </w:tc>
        <w:tc>
          <w:tcPr>
            <w:tcW w:w="691" w:type="dxa"/>
          </w:tcPr>
          <w:p w14:paraId="1EABF38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40%</w:t>
            </w:r>
          </w:p>
        </w:tc>
        <w:tc>
          <w:tcPr>
            <w:tcW w:w="691" w:type="dxa"/>
          </w:tcPr>
          <w:p w14:paraId="45AAEC0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15%</w:t>
            </w:r>
          </w:p>
        </w:tc>
        <w:tc>
          <w:tcPr>
            <w:tcW w:w="1008" w:type="dxa"/>
          </w:tcPr>
          <w:p w14:paraId="492E45F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80% del total.</w:t>
            </w:r>
          </w:p>
        </w:tc>
        <w:tc>
          <w:tcPr>
            <w:tcW w:w="3068" w:type="dxa"/>
          </w:tcPr>
          <w:p w14:paraId="0F3E60F5"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Reportes sistema de información ambiental; </w:t>
            </w:r>
          </w:p>
          <w:p w14:paraId="671A5D22"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Laguna del Sauce ya cuenta con resolución.</w:t>
            </w:r>
          </w:p>
          <w:p w14:paraId="7973E226" w14:textId="77777777" w:rsidR="00B23858" w:rsidRPr="00C551E1" w:rsidRDefault="00B23858" w:rsidP="00C34ED4">
            <w:pPr>
              <w:spacing w:before="120"/>
              <w:textAlignment w:val="baseline"/>
              <w:rPr>
                <w:rFonts w:ascii="Arial" w:hAnsi="Arial" w:cs="Arial"/>
                <w:sz w:val="20"/>
              </w:rPr>
            </w:pPr>
          </w:p>
          <w:p w14:paraId="6DB7D539"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El total de área necesaria a controlar por la aplicación de la medida de zonas buffer pasará de 10.000 ha a más de 100.000 ha.</w:t>
            </w:r>
          </w:p>
        </w:tc>
      </w:tr>
      <w:tr w:rsidR="00B23858" w:rsidRPr="00C551E1" w14:paraId="4FBBFE04" w14:textId="77777777" w:rsidTr="00C34ED4">
        <w:tc>
          <w:tcPr>
            <w:tcW w:w="1885" w:type="dxa"/>
          </w:tcPr>
          <w:p w14:paraId="6819D4CF"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Desarrollo de Plan estratégico con pautas de manejo </w:t>
            </w:r>
            <w:r w:rsidRPr="00C551E1">
              <w:rPr>
                <w:rFonts w:ascii="Arial" w:hAnsi="Arial" w:cs="Arial"/>
                <w:sz w:val="20"/>
              </w:rPr>
              <w:lastRenderedPageBreak/>
              <w:t>de zonas de amortiguación y conservación de áreas riparias a nivel de predios para mejorar la eficacia de la retención de contaminantes.</w:t>
            </w:r>
          </w:p>
        </w:tc>
        <w:tc>
          <w:tcPr>
            <w:tcW w:w="2340" w:type="dxa"/>
          </w:tcPr>
          <w:p w14:paraId="4206043B"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lastRenderedPageBreak/>
              <w:t xml:space="preserve">Plan Estratégico con pautas de manejo de zonas de amortiguación </w:t>
            </w:r>
            <w:r w:rsidRPr="00C551E1">
              <w:rPr>
                <w:rFonts w:ascii="Arial" w:hAnsi="Arial" w:cs="Arial"/>
                <w:sz w:val="20"/>
              </w:rPr>
              <w:lastRenderedPageBreak/>
              <w:t xml:space="preserve">y conservación de áreas riparias a nivel de predios para mejorar la eficacia de la retención de contaminantes aprobado. </w:t>
            </w:r>
          </w:p>
        </w:tc>
        <w:tc>
          <w:tcPr>
            <w:tcW w:w="990" w:type="dxa"/>
          </w:tcPr>
          <w:p w14:paraId="7BDD2F0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Plan</w:t>
            </w:r>
          </w:p>
        </w:tc>
        <w:tc>
          <w:tcPr>
            <w:tcW w:w="837" w:type="dxa"/>
          </w:tcPr>
          <w:p w14:paraId="6F616F4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07F744A0" w14:textId="77777777" w:rsidR="00B23858" w:rsidRPr="00C551E1" w:rsidRDefault="00B23858" w:rsidP="00C34ED4">
            <w:pPr>
              <w:spacing w:before="120"/>
              <w:jc w:val="both"/>
              <w:textAlignment w:val="baseline"/>
              <w:rPr>
                <w:rFonts w:ascii="Arial" w:hAnsi="Arial" w:cs="Arial"/>
                <w:sz w:val="20"/>
              </w:rPr>
            </w:pPr>
          </w:p>
        </w:tc>
        <w:tc>
          <w:tcPr>
            <w:tcW w:w="691" w:type="dxa"/>
          </w:tcPr>
          <w:p w14:paraId="34106067" w14:textId="77777777" w:rsidR="00B23858" w:rsidRPr="00C551E1" w:rsidRDefault="00B23858" w:rsidP="00C34ED4">
            <w:pPr>
              <w:spacing w:before="120"/>
              <w:jc w:val="both"/>
              <w:textAlignment w:val="baseline"/>
              <w:rPr>
                <w:rFonts w:ascii="Arial" w:hAnsi="Arial" w:cs="Arial"/>
                <w:sz w:val="20"/>
              </w:rPr>
            </w:pPr>
          </w:p>
        </w:tc>
        <w:tc>
          <w:tcPr>
            <w:tcW w:w="691" w:type="dxa"/>
          </w:tcPr>
          <w:p w14:paraId="734F24AF"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3E3F428A" w14:textId="77777777" w:rsidR="00B23858" w:rsidRPr="00C551E1" w:rsidRDefault="00B23858" w:rsidP="00C34ED4">
            <w:pPr>
              <w:spacing w:before="120"/>
              <w:jc w:val="both"/>
              <w:textAlignment w:val="baseline"/>
              <w:rPr>
                <w:rFonts w:ascii="Arial" w:hAnsi="Arial" w:cs="Arial"/>
                <w:sz w:val="20"/>
              </w:rPr>
            </w:pPr>
          </w:p>
        </w:tc>
        <w:tc>
          <w:tcPr>
            <w:tcW w:w="691" w:type="dxa"/>
          </w:tcPr>
          <w:p w14:paraId="1BE87071" w14:textId="77777777" w:rsidR="00B23858" w:rsidRPr="00C551E1" w:rsidRDefault="00B23858" w:rsidP="00C34ED4">
            <w:pPr>
              <w:spacing w:before="120"/>
              <w:jc w:val="both"/>
              <w:textAlignment w:val="baseline"/>
              <w:rPr>
                <w:rFonts w:ascii="Arial" w:hAnsi="Arial" w:cs="Arial"/>
                <w:sz w:val="20"/>
              </w:rPr>
            </w:pPr>
          </w:p>
        </w:tc>
        <w:tc>
          <w:tcPr>
            <w:tcW w:w="1008" w:type="dxa"/>
          </w:tcPr>
          <w:p w14:paraId="3F2E5D6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3068" w:type="dxa"/>
          </w:tcPr>
          <w:p w14:paraId="70C1A3F6"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Resolución administrativa MVOTMA; reportes del Sistema de Información Ambiental.</w:t>
            </w:r>
          </w:p>
        </w:tc>
      </w:tr>
      <w:tr w:rsidR="00B23858" w:rsidRPr="00C551E1" w14:paraId="2342E47D" w14:textId="77777777" w:rsidTr="00C34ED4">
        <w:tc>
          <w:tcPr>
            <w:tcW w:w="1885" w:type="dxa"/>
          </w:tcPr>
          <w:p w14:paraId="7A0CBDC9"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Control integrado de fuentes difusas implementado en primera fase para la cuenca del Rio Santa Lucia. </w:t>
            </w:r>
          </w:p>
          <w:p w14:paraId="55D9BC28" w14:textId="77777777" w:rsidR="00B23858" w:rsidRPr="00C551E1" w:rsidRDefault="00B23858" w:rsidP="00C34ED4">
            <w:pPr>
              <w:spacing w:before="120"/>
              <w:jc w:val="both"/>
              <w:textAlignment w:val="baseline"/>
              <w:rPr>
                <w:rFonts w:ascii="Arial" w:hAnsi="Arial" w:cs="Arial"/>
                <w:sz w:val="20"/>
              </w:rPr>
            </w:pPr>
          </w:p>
        </w:tc>
        <w:tc>
          <w:tcPr>
            <w:tcW w:w="2340" w:type="dxa"/>
          </w:tcPr>
          <w:p w14:paraId="1D14395A" w14:textId="77777777" w:rsidR="00B23858" w:rsidRPr="00C551E1" w:rsidRDefault="00B23858" w:rsidP="00C34ED4">
            <w:pPr>
              <w:spacing w:before="120"/>
              <w:rPr>
                <w:rFonts w:ascii="Arial" w:hAnsi="Arial" w:cs="Arial"/>
                <w:sz w:val="20"/>
              </w:rPr>
            </w:pPr>
            <w:r w:rsidRPr="00C551E1">
              <w:rPr>
                <w:rFonts w:ascii="Arial" w:hAnsi="Arial" w:cs="Arial"/>
                <w:sz w:val="20"/>
              </w:rPr>
              <w:t>Porcentaje predios bajo control integrado de fuentes difusas en primera fase para la cuenca del Río Santa Lucia(*)</w:t>
            </w:r>
          </w:p>
          <w:p w14:paraId="2BE8FDF9" w14:textId="77777777" w:rsidR="00B23858" w:rsidRPr="00C551E1" w:rsidRDefault="00B23858" w:rsidP="00C34ED4">
            <w:pPr>
              <w:spacing w:before="120"/>
              <w:rPr>
                <w:rFonts w:ascii="Arial" w:hAnsi="Arial" w:cs="Arial"/>
                <w:sz w:val="20"/>
              </w:rPr>
            </w:pPr>
          </w:p>
          <w:p w14:paraId="24640FDA" w14:textId="77777777" w:rsidR="00B23858" w:rsidRPr="00C551E1" w:rsidRDefault="00B23858" w:rsidP="00C34ED4">
            <w:pPr>
              <w:spacing w:before="120"/>
              <w:rPr>
                <w:rFonts w:ascii="Arial" w:hAnsi="Arial" w:cs="Arial"/>
                <w:sz w:val="20"/>
              </w:rPr>
            </w:pPr>
            <w:r w:rsidRPr="00C551E1">
              <w:rPr>
                <w:rFonts w:ascii="Arial" w:hAnsi="Arial" w:cs="Arial"/>
                <w:sz w:val="20"/>
              </w:rPr>
              <w:t>Hito 1. Estrategia de control diseñada para todas las cuencas - año 2.</w:t>
            </w:r>
          </w:p>
        </w:tc>
        <w:tc>
          <w:tcPr>
            <w:tcW w:w="990" w:type="dxa"/>
          </w:tcPr>
          <w:p w14:paraId="2DC0E23B"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predios de la cuenca del Rio Santa Lucia.</w:t>
            </w:r>
          </w:p>
        </w:tc>
        <w:tc>
          <w:tcPr>
            <w:tcW w:w="837" w:type="dxa"/>
          </w:tcPr>
          <w:p w14:paraId="5BB3C89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1B2292C3" w14:textId="77777777" w:rsidR="00B23858" w:rsidRPr="00C551E1" w:rsidRDefault="00B23858" w:rsidP="00C34ED4">
            <w:pPr>
              <w:spacing w:before="120"/>
              <w:jc w:val="both"/>
              <w:textAlignment w:val="baseline"/>
              <w:rPr>
                <w:rFonts w:ascii="Arial" w:hAnsi="Arial" w:cs="Arial"/>
                <w:sz w:val="20"/>
              </w:rPr>
            </w:pPr>
          </w:p>
        </w:tc>
        <w:tc>
          <w:tcPr>
            <w:tcW w:w="691" w:type="dxa"/>
          </w:tcPr>
          <w:p w14:paraId="1864F0C6" w14:textId="77777777" w:rsidR="00B23858" w:rsidRPr="00C551E1" w:rsidRDefault="00B23858" w:rsidP="00C34ED4">
            <w:pPr>
              <w:spacing w:before="120"/>
              <w:jc w:val="both"/>
              <w:textAlignment w:val="baseline"/>
              <w:rPr>
                <w:rFonts w:ascii="Arial" w:hAnsi="Arial" w:cs="Arial"/>
                <w:sz w:val="20"/>
              </w:rPr>
            </w:pPr>
          </w:p>
        </w:tc>
        <w:tc>
          <w:tcPr>
            <w:tcW w:w="691" w:type="dxa"/>
          </w:tcPr>
          <w:p w14:paraId="73759CA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20%</w:t>
            </w:r>
          </w:p>
        </w:tc>
        <w:tc>
          <w:tcPr>
            <w:tcW w:w="691" w:type="dxa"/>
          </w:tcPr>
          <w:p w14:paraId="0208239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10%</w:t>
            </w:r>
          </w:p>
        </w:tc>
        <w:tc>
          <w:tcPr>
            <w:tcW w:w="691" w:type="dxa"/>
          </w:tcPr>
          <w:p w14:paraId="0D49244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10%</w:t>
            </w:r>
          </w:p>
        </w:tc>
        <w:tc>
          <w:tcPr>
            <w:tcW w:w="1008" w:type="dxa"/>
          </w:tcPr>
          <w:p w14:paraId="4A009C6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40%</w:t>
            </w:r>
          </w:p>
        </w:tc>
        <w:tc>
          <w:tcPr>
            <w:tcW w:w="3068" w:type="dxa"/>
          </w:tcPr>
          <w:p w14:paraId="147CA3C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reportes sistema de información ambiental; </w:t>
            </w:r>
          </w:p>
          <w:p w14:paraId="0CA4C738"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 Control integrado a partir de datos de tasas de aplicación de agroquímicos, uso del agua, monitoreos de calidad suelos y agua, modelos causa-efecto entre vertidos difusos y calidad agua. </w:t>
            </w:r>
          </w:p>
          <w:p w14:paraId="287B575B" w14:textId="77777777" w:rsidR="00B23858" w:rsidRPr="00C551E1" w:rsidRDefault="00B23858" w:rsidP="00C34ED4">
            <w:pPr>
              <w:spacing w:before="120"/>
              <w:textAlignment w:val="baseline"/>
              <w:rPr>
                <w:rFonts w:ascii="Arial" w:hAnsi="Arial" w:cs="Arial"/>
                <w:sz w:val="20"/>
              </w:rPr>
            </w:pPr>
          </w:p>
          <w:p w14:paraId="1ED317C0"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Universo total: 20.000 unidades productivas </w:t>
            </w:r>
          </w:p>
        </w:tc>
      </w:tr>
      <w:tr w:rsidR="00B23858" w:rsidRPr="00C551E1" w14:paraId="4E3D8AD4" w14:textId="77777777" w:rsidTr="00C34ED4">
        <w:tc>
          <w:tcPr>
            <w:tcW w:w="1885" w:type="dxa"/>
          </w:tcPr>
          <w:p w14:paraId="58444AA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Comisiones de Cuencas fortalecidas.</w:t>
            </w:r>
          </w:p>
          <w:p w14:paraId="4EF1C2B0" w14:textId="77777777" w:rsidR="00B23858" w:rsidRPr="00C551E1" w:rsidRDefault="00B23858" w:rsidP="00C34ED4">
            <w:pPr>
              <w:spacing w:before="120"/>
              <w:jc w:val="both"/>
              <w:textAlignment w:val="baseline"/>
              <w:rPr>
                <w:rFonts w:ascii="Arial" w:hAnsi="Arial" w:cs="Arial"/>
                <w:sz w:val="20"/>
              </w:rPr>
            </w:pPr>
          </w:p>
        </w:tc>
        <w:tc>
          <w:tcPr>
            <w:tcW w:w="2340" w:type="dxa"/>
          </w:tcPr>
          <w:p w14:paraId="2BC6ACBC"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Número de planes operativos anuales para las Comisiones de Cuencas de las tres cuencas prioritarias.</w:t>
            </w:r>
          </w:p>
        </w:tc>
        <w:tc>
          <w:tcPr>
            <w:tcW w:w="990" w:type="dxa"/>
          </w:tcPr>
          <w:p w14:paraId="7FDD771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Número de planes.</w:t>
            </w:r>
          </w:p>
        </w:tc>
        <w:tc>
          <w:tcPr>
            <w:tcW w:w="837" w:type="dxa"/>
          </w:tcPr>
          <w:p w14:paraId="6E2FBD6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0; 2019. </w:t>
            </w:r>
          </w:p>
        </w:tc>
        <w:tc>
          <w:tcPr>
            <w:tcW w:w="693" w:type="dxa"/>
          </w:tcPr>
          <w:p w14:paraId="3881C381" w14:textId="77777777" w:rsidR="00B23858" w:rsidRPr="00C551E1" w:rsidRDefault="00B23858" w:rsidP="00C34ED4">
            <w:pPr>
              <w:spacing w:before="120"/>
              <w:jc w:val="both"/>
              <w:textAlignment w:val="baseline"/>
              <w:rPr>
                <w:rFonts w:ascii="Arial" w:hAnsi="Arial" w:cs="Arial"/>
                <w:sz w:val="20"/>
              </w:rPr>
            </w:pPr>
          </w:p>
        </w:tc>
        <w:tc>
          <w:tcPr>
            <w:tcW w:w="691" w:type="dxa"/>
          </w:tcPr>
          <w:p w14:paraId="6535F06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615540C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1EA3724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7F62FE87"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3 </w:t>
            </w:r>
          </w:p>
        </w:tc>
        <w:tc>
          <w:tcPr>
            <w:tcW w:w="1008" w:type="dxa"/>
          </w:tcPr>
          <w:p w14:paraId="13CB75DC"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3 planes/año a partir del año 4</w:t>
            </w:r>
          </w:p>
        </w:tc>
        <w:tc>
          <w:tcPr>
            <w:tcW w:w="3068" w:type="dxa"/>
          </w:tcPr>
          <w:p w14:paraId="7F75334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Documento de Planes operativos aprobados por Comisión de Cuenca</w:t>
            </w:r>
          </w:p>
        </w:tc>
      </w:tr>
      <w:tr w:rsidR="00B23858" w:rsidRPr="00C551E1" w14:paraId="6DAB5BFC" w14:textId="77777777" w:rsidTr="00C34ED4">
        <w:tc>
          <w:tcPr>
            <w:tcW w:w="13585" w:type="dxa"/>
            <w:gridSpan w:val="11"/>
            <w:shd w:val="clear" w:color="auto" w:fill="FBE4D5" w:themeFill="accent2" w:themeFillTint="33"/>
          </w:tcPr>
          <w:p w14:paraId="2A03C50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Objetivo/componente 2. Línea de acción 2: Promover prácticas ambientalmente sostenibles</w:t>
            </w:r>
          </w:p>
        </w:tc>
      </w:tr>
      <w:tr w:rsidR="00B23858" w:rsidRPr="00C551E1" w14:paraId="2353592A" w14:textId="77777777" w:rsidTr="00C34ED4">
        <w:tc>
          <w:tcPr>
            <w:tcW w:w="1885" w:type="dxa"/>
            <w:vMerge w:val="restart"/>
          </w:tcPr>
          <w:p w14:paraId="61F4D1B3"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Diseño e inicio de implantación de estrategia de </w:t>
            </w:r>
            <w:r w:rsidRPr="00C551E1">
              <w:rPr>
                <w:rFonts w:ascii="Arial" w:hAnsi="Arial" w:cs="Arial"/>
                <w:sz w:val="20"/>
              </w:rPr>
              <w:lastRenderedPageBreak/>
              <w:t>promoción de incorporaciones tecnológicas y prácticas de base agroecológicas en predios productivos.</w:t>
            </w:r>
          </w:p>
        </w:tc>
        <w:tc>
          <w:tcPr>
            <w:tcW w:w="2340" w:type="dxa"/>
          </w:tcPr>
          <w:p w14:paraId="081DA350"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 xml:space="preserve">Estrategia de promoción de tecnologías y </w:t>
            </w:r>
            <w:r w:rsidRPr="00C551E1">
              <w:rPr>
                <w:rFonts w:ascii="Arial" w:hAnsi="Arial" w:cs="Arial"/>
                <w:sz w:val="20"/>
              </w:rPr>
              <w:lastRenderedPageBreak/>
              <w:t>prácticas de base agroecológica elaborada</w:t>
            </w:r>
          </w:p>
          <w:p w14:paraId="740EDB06" w14:textId="77777777" w:rsidR="00B23858" w:rsidRPr="00C551E1" w:rsidRDefault="00B23858" w:rsidP="00C34ED4">
            <w:pPr>
              <w:spacing w:before="120"/>
              <w:jc w:val="both"/>
              <w:textAlignment w:val="baseline"/>
              <w:rPr>
                <w:rFonts w:ascii="Arial" w:hAnsi="Arial" w:cs="Arial"/>
                <w:sz w:val="20"/>
              </w:rPr>
            </w:pPr>
          </w:p>
          <w:p w14:paraId="78F56066"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t xml:space="preserve">Hito 1: Relevamiento de las tecnologías y prácticas agroecológicas a nivel de predios en las Cuencas Prioritarias (línea base (áreas, prácticas y % de participación de mujeres - Año 2. </w:t>
            </w:r>
          </w:p>
          <w:p w14:paraId="7880268E" w14:textId="77777777" w:rsidR="00B23858" w:rsidRPr="00C551E1" w:rsidRDefault="00B23858" w:rsidP="00C34ED4">
            <w:pPr>
              <w:spacing w:before="120"/>
              <w:textAlignment w:val="baseline"/>
              <w:rPr>
                <w:rFonts w:ascii="Arial" w:hAnsi="Arial" w:cs="Arial"/>
                <w:sz w:val="20"/>
              </w:rPr>
            </w:pPr>
          </w:p>
          <w:p w14:paraId="67541F6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Hito 2: Desarrollo de estrategia para la implementación de tecnologías y prácticas agroecológicas.</w:t>
            </w:r>
          </w:p>
        </w:tc>
        <w:tc>
          <w:tcPr>
            <w:tcW w:w="990" w:type="dxa"/>
          </w:tcPr>
          <w:p w14:paraId="2144A79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 xml:space="preserve">Número de </w:t>
            </w:r>
            <w:r w:rsidRPr="00C551E1">
              <w:rPr>
                <w:rFonts w:ascii="Arial" w:hAnsi="Arial" w:cs="Arial"/>
                <w:sz w:val="20"/>
              </w:rPr>
              <w:lastRenderedPageBreak/>
              <w:t xml:space="preserve">estrategias </w:t>
            </w:r>
          </w:p>
          <w:p w14:paraId="61DD9C59" w14:textId="77777777" w:rsidR="00B23858" w:rsidRPr="00C551E1" w:rsidRDefault="00B23858" w:rsidP="00C34ED4">
            <w:pPr>
              <w:spacing w:before="120"/>
              <w:jc w:val="both"/>
              <w:textAlignment w:val="baseline"/>
              <w:rPr>
                <w:rFonts w:ascii="Arial" w:hAnsi="Arial" w:cs="Arial"/>
                <w:sz w:val="20"/>
              </w:rPr>
            </w:pPr>
          </w:p>
        </w:tc>
        <w:tc>
          <w:tcPr>
            <w:tcW w:w="837" w:type="dxa"/>
          </w:tcPr>
          <w:p w14:paraId="0DC3FC6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lastRenderedPageBreak/>
              <w:t>0; 2019.</w:t>
            </w:r>
          </w:p>
        </w:tc>
        <w:tc>
          <w:tcPr>
            <w:tcW w:w="693" w:type="dxa"/>
          </w:tcPr>
          <w:p w14:paraId="32B65E0C" w14:textId="77777777" w:rsidR="00B23858" w:rsidRPr="00C551E1" w:rsidRDefault="00B23858" w:rsidP="00C34ED4">
            <w:pPr>
              <w:spacing w:before="120"/>
              <w:jc w:val="both"/>
              <w:textAlignment w:val="baseline"/>
              <w:rPr>
                <w:rFonts w:ascii="Arial" w:hAnsi="Arial" w:cs="Arial"/>
                <w:sz w:val="20"/>
              </w:rPr>
            </w:pPr>
          </w:p>
        </w:tc>
        <w:tc>
          <w:tcPr>
            <w:tcW w:w="691" w:type="dxa"/>
          </w:tcPr>
          <w:p w14:paraId="1942C46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691" w:type="dxa"/>
          </w:tcPr>
          <w:p w14:paraId="31759FA6" w14:textId="77777777" w:rsidR="00B23858" w:rsidRPr="00C551E1" w:rsidRDefault="00B23858" w:rsidP="00C34ED4">
            <w:pPr>
              <w:spacing w:before="120"/>
              <w:jc w:val="both"/>
              <w:textAlignment w:val="baseline"/>
              <w:rPr>
                <w:rFonts w:ascii="Arial" w:hAnsi="Arial" w:cs="Arial"/>
                <w:sz w:val="20"/>
              </w:rPr>
            </w:pPr>
          </w:p>
        </w:tc>
        <w:tc>
          <w:tcPr>
            <w:tcW w:w="691" w:type="dxa"/>
          </w:tcPr>
          <w:p w14:paraId="087A834B" w14:textId="77777777" w:rsidR="00B23858" w:rsidRPr="00C551E1" w:rsidRDefault="00B23858" w:rsidP="00C34ED4">
            <w:pPr>
              <w:spacing w:before="120"/>
              <w:jc w:val="both"/>
              <w:textAlignment w:val="baseline"/>
              <w:rPr>
                <w:rFonts w:ascii="Arial" w:hAnsi="Arial" w:cs="Arial"/>
                <w:sz w:val="20"/>
              </w:rPr>
            </w:pPr>
          </w:p>
        </w:tc>
        <w:tc>
          <w:tcPr>
            <w:tcW w:w="691" w:type="dxa"/>
          </w:tcPr>
          <w:p w14:paraId="5F0B7B82" w14:textId="77777777" w:rsidR="00B23858" w:rsidRPr="00C551E1" w:rsidRDefault="00B23858" w:rsidP="00C34ED4">
            <w:pPr>
              <w:spacing w:before="120"/>
              <w:jc w:val="both"/>
              <w:textAlignment w:val="baseline"/>
              <w:rPr>
                <w:rFonts w:ascii="Arial" w:hAnsi="Arial" w:cs="Arial"/>
                <w:sz w:val="20"/>
              </w:rPr>
            </w:pPr>
          </w:p>
        </w:tc>
        <w:tc>
          <w:tcPr>
            <w:tcW w:w="1008" w:type="dxa"/>
          </w:tcPr>
          <w:p w14:paraId="568E0AF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w:t>
            </w:r>
          </w:p>
        </w:tc>
        <w:tc>
          <w:tcPr>
            <w:tcW w:w="3068" w:type="dxa"/>
          </w:tcPr>
          <w:p w14:paraId="224745F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Documento de Plan validado por la Dirección Nacional de Medio Ambiente.</w:t>
            </w:r>
          </w:p>
        </w:tc>
      </w:tr>
      <w:tr w:rsidR="00B23858" w:rsidRPr="00C551E1" w14:paraId="51918921" w14:textId="77777777" w:rsidTr="00C34ED4">
        <w:tc>
          <w:tcPr>
            <w:tcW w:w="1885" w:type="dxa"/>
            <w:vMerge/>
          </w:tcPr>
          <w:p w14:paraId="4F906A96" w14:textId="77777777" w:rsidR="00B23858" w:rsidRPr="00C551E1" w:rsidRDefault="00B23858" w:rsidP="00C34ED4">
            <w:pPr>
              <w:spacing w:before="120"/>
              <w:textAlignment w:val="baseline"/>
              <w:rPr>
                <w:rFonts w:ascii="Arial" w:hAnsi="Arial" w:cs="Arial"/>
                <w:sz w:val="20"/>
              </w:rPr>
            </w:pPr>
          </w:p>
        </w:tc>
        <w:tc>
          <w:tcPr>
            <w:tcW w:w="2340" w:type="dxa"/>
          </w:tcPr>
          <w:p w14:paraId="7255DD86" w14:textId="77777777" w:rsidR="00B23858" w:rsidRPr="00F134B3" w:rsidRDefault="00B23858" w:rsidP="00C34ED4">
            <w:pPr>
              <w:spacing w:before="120"/>
              <w:jc w:val="both"/>
              <w:textAlignment w:val="baseline"/>
              <w:rPr>
                <w:rFonts w:ascii="Arial" w:hAnsi="Arial" w:cs="Arial"/>
                <w:sz w:val="20"/>
              </w:rPr>
            </w:pPr>
            <w:r w:rsidRPr="00F42B76">
              <w:rPr>
                <w:rFonts w:ascii="Arial" w:hAnsi="Arial" w:cs="Arial"/>
                <w:sz w:val="20"/>
              </w:rPr>
              <w:t xml:space="preserve">Grado de avance en la implantación de estrategia de promoción de producción en base a tecnologías y prácticas agroecológicas. </w:t>
            </w:r>
          </w:p>
          <w:p w14:paraId="63204022" w14:textId="77777777" w:rsidR="00B23858" w:rsidRPr="00F134B3" w:rsidRDefault="00B23858" w:rsidP="00C34ED4">
            <w:pPr>
              <w:spacing w:before="120"/>
              <w:jc w:val="both"/>
              <w:textAlignment w:val="baseline"/>
              <w:rPr>
                <w:rFonts w:ascii="Arial" w:hAnsi="Arial" w:cs="Arial"/>
                <w:sz w:val="20"/>
              </w:rPr>
            </w:pPr>
            <w:r w:rsidRPr="00F134B3">
              <w:rPr>
                <w:rFonts w:ascii="Arial" w:hAnsi="Arial" w:cs="Arial"/>
                <w:sz w:val="20"/>
              </w:rPr>
              <w:t xml:space="preserve">Hito 3: fase inicial de implementación en una cuenca prioritaria. </w:t>
            </w:r>
          </w:p>
        </w:tc>
        <w:tc>
          <w:tcPr>
            <w:tcW w:w="990" w:type="dxa"/>
          </w:tcPr>
          <w:p w14:paraId="67494C43" w14:textId="77777777" w:rsidR="00B23858" w:rsidRPr="00F134B3" w:rsidRDefault="00B23858" w:rsidP="00C34ED4">
            <w:pPr>
              <w:spacing w:before="120"/>
              <w:jc w:val="both"/>
              <w:textAlignment w:val="baseline"/>
              <w:rPr>
                <w:rFonts w:ascii="Arial" w:hAnsi="Arial" w:cs="Arial"/>
                <w:sz w:val="20"/>
              </w:rPr>
            </w:pPr>
            <w:r w:rsidRPr="00F134B3">
              <w:rPr>
                <w:rFonts w:ascii="Arial" w:hAnsi="Arial" w:cs="Arial"/>
                <w:sz w:val="20"/>
              </w:rPr>
              <w:t>% de avance agroecológica.</w:t>
            </w:r>
          </w:p>
        </w:tc>
        <w:tc>
          <w:tcPr>
            <w:tcW w:w="837" w:type="dxa"/>
          </w:tcPr>
          <w:p w14:paraId="01FFA679" w14:textId="60FF03C9" w:rsidR="00B23858" w:rsidRPr="00F134B3" w:rsidRDefault="00602105" w:rsidP="00C34ED4">
            <w:pPr>
              <w:spacing w:before="120"/>
              <w:jc w:val="both"/>
              <w:textAlignment w:val="baseline"/>
              <w:rPr>
                <w:rFonts w:ascii="Arial" w:hAnsi="Arial" w:cs="Arial"/>
                <w:sz w:val="20"/>
              </w:rPr>
            </w:pPr>
            <w:r w:rsidRPr="00F134B3">
              <w:rPr>
                <w:rFonts w:ascii="Arial" w:hAnsi="Arial" w:cs="Arial"/>
                <w:sz w:val="20"/>
              </w:rPr>
              <w:t>0%; 2019</w:t>
            </w:r>
            <w:r w:rsidR="00F25121">
              <w:rPr>
                <w:rFonts w:ascii="Arial" w:hAnsi="Arial" w:cs="Arial"/>
                <w:sz w:val="20"/>
              </w:rPr>
              <w:t>.</w:t>
            </w:r>
          </w:p>
        </w:tc>
        <w:tc>
          <w:tcPr>
            <w:tcW w:w="693" w:type="dxa"/>
          </w:tcPr>
          <w:p w14:paraId="47A2144C" w14:textId="77777777" w:rsidR="00B23858" w:rsidRPr="00F42B76" w:rsidRDefault="00B23858" w:rsidP="00C34ED4">
            <w:pPr>
              <w:spacing w:before="120"/>
              <w:jc w:val="both"/>
              <w:textAlignment w:val="baseline"/>
              <w:rPr>
                <w:rFonts w:ascii="Arial" w:hAnsi="Arial" w:cs="Arial"/>
                <w:sz w:val="20"/>
              </w:rPr>
            </w:pPr>
          </w:p>
        </w:tc>
        <w:tc>
          <w:tcPr>
            <w:tcW w:w="691" w:type="dxa"/>
          </w:tcPr>
          <w:p w14:paraId="2FF18520" w14:textId="77777777" w:rsidR="00B23858" w:rsidRPr="00C551E1" w:rsidRDefault="00B23858" w:rsidP="00C34ED4">
            <w:pPr>
              <w:spacing w:before="120"/>
              <w:jc w:val="both"/>
              <w:textAlignment w:val="baseline"/>
              <w:rPr>
                <w:rFonts w:ascii="Arial" w:hAnsi="Arial" w:cs="Arial"/>
                <w:sz w:val="20"/>
              </w:rPr>
            </w:pPr>
          </w:p>
        </w:tc>
        <w:tc>
          <w:tcPr>
            <w:tcW w:w="691" w:type="dxa"/>
          </w:tcPr>
          <w:p w14:paraId="5F8CDB1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5 %</w:t>
            </w:r>
          </w:p>
        </w:tc>
        <w:tc>
          <w:tcPr>
            <w:tcW w:w="691" w:type="dxa"/>
          </w:tcPr>
          <w:p w14:paraId="39BED41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10 %</w:t>
            </w:r>
          </w:p>
        </w:tc>
        <w:tc>
          <w:tcPr>
            <w:tcW w:w="691" w:type="dxa"/>
          </w:tcPr>
          <w:p w14:paraId="68DBF137"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25% </w:t>
            </w:r>
          </w:p>
        </w:tc>
        <w:tc>
          <w:tcPr>
            <w:tcW w:w="1008" w:type="dxa"/>
          </w:tcPr>
          <w:p w14:paraId="58C1A9E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25% </w:t>
            </w:r>
          </w:p>
        </w:tc>
        <w:tc>
          <w:tcPr>
            <w:tcW w:w="3068" w:type="dxa"/>
          </w:tcPr>
          <w:p w14:paraId="18A0552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Incremento con relación a línea de base a definir año 2. </w:t>
            </w:r>
          </w:p>
          <w:p w14:paraId="59F02052" w14:textId="77777777" w:rsidR="00B23858" w:rsidRPr="00C551E1" w:rsidRDefault="00B23858" w:rsidP="00C34ED4">
            <w:pPr>
              <w:spacing w:before="120"/>
              <w:jc w:val="both"/>
              <w:textAlignment w:val="baseline"/>
              <w:rPr>
                <w:rFonts w:ascii="Arial" w:hAnsi="Arial" w:cs="Arial"/>
                <w:sz w:val="20"/>
              </w:rPr>
            </w:pPr>
          </w:p>
          <w:p w14:paraId="6C14D17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Sistema de Información Ambiental</w:t>
            </w:r>
          </w:p>
          <w:p w14:paraId="75B5913B" w14:textId="77777777" w:rsidR="00B23858" w:rsidRPr="00C551E1" w:rsidRDefault="00B23858" w:rsidP="00C34ED4">
            <w:pPr>
              <w:spacing w:before="120"/>
              <w:jc w:val="both"/>
              <w:textAlignment w:val="baseline"/>
              <w:rPr>
                <w:rFonts w:ascii="Arial" w:hAnsi="Arial" w:cs="Arial"/>
                <w:sz w:val="20"/>
              </w:rPr>
            </w:pPr>
          </w:p>
        </w:tc>
      </w:tr>
      <w:tr w:rsidR="00B23858" w:rsidRPr="00C551E1" w14:paraId="01C944A6" w14:textId="77777777" w:rsidTr="00C34ED4">
        <w:tc>
          <w:tcPr>
            <w:tcW w:w="1885" w:type="dxa"/>
          </w:tcPr>
          <w:p w14:paraId="5746AB33" w14:textId="77777777" w:rsidR="00B23858" w:rsidRPr="00C551E1" w:rsidRDefault="00B23858" w:rsidP="00C34ED4">
            <w:pPr>
              <w:spacing w:before="120"/>
              <w:textAlignment w:val="baseline"/>
              <w:rPr>
                <w:rFonts w:ascii="Arial" w:hAnsi="Arial" w:cs="Arial"/>
                <w:sz w:val="20"/>
              </w:rPr>
            </w:pPr>
            <w:r w:rsidRPr="00C551E1">
              <w:rPr>
                <w:rFonts w:ascii="Arial" w:hAnsi="Arial" w:cs="Arial"/>
                <w:sz w:val="20"/>
              </w:rPr>
              <w:lastRenderedPageBreak/>
              <w:t>Sistema de auditorías aplicado a predios lecheros y desarrollo de estrategia y procedimientos para otros sectores agropecuarios relevantes.</w:t>
            </w:r>
          </w:p>
        </w:tc>
        <w:tc>
          <w:tcPr>
            <w:tcW w:w="2340" w:type="dxa"/>
          </w:tcPr>
          <w:p w14:paraId="4D22B92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 de predios lecheros de 300+ vacas en la cuenca del Rio Santa Lucia que realizan sistema de auditorías. </w:t>
            </w:r>
          </w:p>
        </w:tc>
        <w:tc>
          <w:tcPr>
            <w:tcW w:w="990" w:type="dxa"/>
          </w:tcPr>
          <w:p w14:paraId="482660D7"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Porcentaje de predios.</w:t>
            </w:r>
          </w:p>
        </w:tc>
        <w:tc>
          <w:tcPr>
            <w:tcW w:w="837" w:type="dxa"/>
          </w:tcPr>
          <w:p w14:paraId="035DF71E"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46DDF9AA" w14:textId="77777777" w:rsidR="00B23858" w:rsidRPr="00C551E1" w:rsidRDefault="00B23858" w:rsidP="00C34ED4">
            <w:pPr>
              <w:spacing w:before="120"/>
              <w:jc w:val="both"/>
              <w:textAlignment w:val="baseline"/>
              <w:rPr>
                <w:rFonts w:ascii="Arial" w:hAnsi="Arial" w:cs="Arial"/>
                <w:sz w:val="20"/>
              </w:rPr>
            </w:pPr>
          </w:p>
        </w:tc>
        <w:tc>
          <w:tcPr>
            <w:tcW w:w="691" w:type="dxa"/>
          </w:tcPr>
          <w:p w14:paraId="4CBFB856"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5</w:t>
            </w:r>
          </w:p>
        </w:tc>
        <w:tc>
          <w:tcPr>
            <w:tcW w:w="691" w:type="dxa"/>
          </w:tcPr>
          <w:p w14:paraId="720FA351"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10</w:t>
            </w:r>
          </w:p>
        </w:tc>
        <w:tc>
          <w:tcPr>
            <w:tcW w:w="691" w:type="dxa"/>
          </w:tcPr>
          <w:p w14:paraId="5CF93FB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10</w:t>
            </w:r>
          </w:p>
        </w:tc>
        <w:tc>
          <w:tcPr>
            <w:tcW w:w="691" w:type="dxa"/>
          </w:tcPr>
          <w:p w14:paraId="610EB296"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20</w:t>
            </w:r>
          </w:p>
        </w:tc>
        <w:tc>
          <w:tcPr>
            <w:tcW w:w="1008" w:type="dxa"/>
          </w:tcPr>
          <w:p w14:paraId="0BE6138A"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45</w:t>
            </w:r>
          </w:p>
        </w:tc>
        <w:tc>
          <w:tcPr>
            <w:tcW w:w="3068" w:type="dxa"/>
          </w:tcPr>
          <w:p w14:paraId="14884FF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Informes semestrales de la UEP y reportes del Sistema de Información Ambiental.</w:t>
            </w:r>
          </w:p>
          <w:p w14:paraId="4C700DAB"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Son 132 productores lecheros de más 300 vacas masa</w:t>
            </w:r>
          </w:p>
        </w:tc>
      </w:tr>
      <w:tr w:rsidR="00B23858" w:rsidRPr="00C551E1" w14:paraId="34AA7489" w14:textId="77777777" w:rsidTr="00C34ED4">
        <w:tc>
          <w:tcPr>
            <w:tcW w:w="1885" w:type="dxa"/>
          </w:tcPr>
          <w:p w14:paraId="215B3A85"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Capacitación y concientización de técnicos, profesionales y productores para promover la adopción de prácticas productivas sostenibles.</w:t>
            </w:r>
          </w:p>
          <w:p w14:paraId="43E0CC39" w14:textId="77777777" w:rsidR="00B23858" w:rsidRPr="00C551E1" w:rsidRDefault="00B23858" w:rsidP="00C34ED4">
            <w:pPr>
              <w:spacing w:before="120"/>
              <w:jc w:val="both"/>
              <w:textAlignment w:val="baseline"/>
              <w:rPr>
                <w:rFonts w:ascii="Arial" w:hAnsi="Arial" w:cs="Arial"/>
                <w:sz w:val="20"/>
              </w:rPr>
            </w:pPr>
          </w:p>
        </w:tc>
        <w:tc>
          <w:tcPr>
            <w:tcW w:w="2340" w:type="dxa"/>
          </w:tcPr>
          <w:p w14:paraId="2207714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Capacitación y concientización de técnicos, profesionales y productores para promover la adopción de prácticas productivas sostenibles.</w:t>
            </w:r>
          </w:p>
          <w:p w14:paraId="1290E6EB" w14:textId="77777777" w:rsidR="00B23858" w:rsidRPr="00C551E1" w:rsidRDefault="00B23858" w:rsidP="00C34ED4">
            <w:pPr>
              <w:spacing w:before="120"/>
              <w:jc w:val="both"/>
              <w:textAlignment w:val="baseline"/>
              <w:rPr>
                <w:rFonts w:ascii="Arial" w:hAnsi="Arial" w:cs="Arial"/>
                <w:sz w:val="20"/>
              </w:rPr>
            </w:pPr>
          </w:p>
        </w:tc>
        <w:tc>
          <w:tcPr>
            <w:tcW w:w="990" w:type="dxa"/>
          </w:tcPr>
          <w:p w14:paraId="5BF77519"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Número de productores.</w:t>
            </w:r>
          </w:p>
        </w:tc>
        <w:tc>
          <w:tcPr>
            <w:tcW w:w="837" w:type="dxa"/>
          </w:tcPr>
          <w:p w14:paraId="3F5434F8"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0; 2019.</w:t>
            </w:r>
          </w:p>
        </w:tc>
        <w:tc>
          <w:tcPr>
            <w:tcW w:w="693" w:type="dxa"/>
          </w:tcPr>
          <w:p w14:paraId="1C80F5B9" w14:textId="77777777" w:rsidR="00B23858" w:rsidRPr="00C551E1" w:rsidRDefault="00B23858" w:rsidP="00C34ED4">
            <w:pPr>
              <w:spacing w:before="120"/>
              <w:jc w:val="both"/>
              <w:textAlignment w:val="baseline"/>
              <w:rPr>
                <w:rFonts w:ascii="Arial" w:hAnsi="Arial" w:cs="Arial"/>
                <w:sz w:val="20"/>
              </w:rPr>
            </w:pPr>
          </w:p>
        </w:tc>
        <w:tc>
          <w:tcPr>
            <w:tcW w:w="691" w:type="dxa"/>
          </w:tcPr>
          <w:p w14:paraId="1A5F75B4"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50</w:t>
            </w:r>
          </w:p>
        </w:tc>
        <w:tc>
          <w:tcPr>
            <w:tcW w:w="691" w:type="dxa"/>
          </w:tcPr>
          <w:p w14:paraId="5B333668"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50</w:t>
            </w:r>
          </w:p>
        </w:tc>
        <w:tc>
          <w:tcPr>
            <w:tcW w:w="691" w:type="dxa"/>
          </w:tcPr>
          <w:p w14:paraId="56BB2093"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100</w:t>
            </w:r>
          </w:p>
        </w:tc>
        <w:tc>
          <w:tcPr>
            <w:tcW w:w="691" w:type="dxa"/>
          </w:tcPr>
          <w:p w14:paraId="63DD9DB6"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100</w:t>
            </w:r>
          </w:p>
        </w:tc>
        <w:tc>
          <w:tcPr>
            <w:tcW w:w="1008" w:type="dxa"/>
          </w:tcPr>
          <w:p w14:paraId="47F8480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300</w:t>
            </w:r>
          </w:p>
        </w:tc>
        <w:tc>
          <w:tcPr>
            <w:tcW w:w="3068" w:type="dxa"/>
          </w:tcPr>
          <w:p w14:paraId="1AF0FB02"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 xml:space="preserve">Informes semestrales de la UEP. </w:t>
            </w:r>
          </w:p>
          <w:p w14:paraId="29DA3EDD" w14:textId="77777777" w:rsidR="00B23858" w:rsidRPr="00C551E1" w:rsidRDefault="00B23858" w:rsidP="00C34ED4">
            <w:pPr>
              <w:spacing w:before="120"/>
              <w:jc w:val="both"/>
              <w:textAlignment w:val="baseline"/>
              <w:rPr>
                <w:rFonts w:ascii="Arial" w:hAnsi="Arial" w:cs="Arial"/>
                <w:sz w:val="20"/>
              </w:rPr>
            </w:pPr>
            <w:r w:rsidRPr="00C551E1">
              <w:rPr>
                <w:rFonts w:ascii="Arial" w:hAnsi="Arial" w:cs="Arial"/>
                <w:sz w:val="20"/>
              </w:rPr>
              <w:t>Este producto se relaciona directamente con el objetivo 2 y el resultado: Productores del sector agropecuario incorporan medidas de gestión y practicas ambientalmente sostenibles.</w:t>
            </w:r>
          </w:p>
        </w:tc>
      </w:tr>
    </w:tbl>
    <w:p w14:paraId="65846277" w14:textId="1AC51F39" w:rsidR="00FE067A" w:rsidRPr="00C551E1" w:rsidRDefault="007E5F12" w:rsidP="00FE067A">
      <w:pPr>
        <w:autoSpaceDE w:val="0"/>
        <w:autoSpaceDN w:val="0"/>
        <w:adjustRightInd w:val="0"/>
        <w:spacing w:before="120"/>
        <w:rPr>
          <w:rFonts w:ascii="Arial" w:hAnsi="Arial" w:cs="Arial"/>
          <w:b/>
          <w:smallCaps/>
          <w:color w:val="000000"/>
          <w:sz w:val="20"/>
        </w:rPr>
      </w:pPr>
      <w:r w:rsidRPr="00C551E1">
        <w:rPr>
          <w:rFonts w:ascii="Arial" w:hAnsi="Arial" w:cs="Arial"/>
          <w:b/>
          <w:smallCaps/>
          <w:color w:val="000000"/>
          <w:sz w:val="20"/>
        </w:rPr>
        <w:t>fuente: Matriz de resul</w:t>
      </w:r>
      <w:r w:rsidR="00C50FC7" w:rsidRPr="00C551E1">
        <w:rPr>
          <w:rFonts w:ascii="Arial" w:hAnsi="Arial" w:cs="Arial"/>
          <w:b/>
          <w:smallCaps/>
          <w:color w:val="000000"/>
          <w:sz w:val="20"/>
        </w:rPr>
        <w:t>t</w:t>
      </w:r>
      <w:r w:rsidRPr="00C551E1">
        <w:rPr>
          <w:rFonts w:ascii="Arial" w:hAnsi="Arial" w:cs="Arial"/>
          <w:b/>
          <w:smallCaps/>
          <w:color w:val="000000"/>
          <w:sz w:val="20"/>
        </w:rPr>
        <w:t>ados</w:t>
      </w:r>
      <w:r w:rsidR="00C50FC7" w:rsidRPr="00C551E1">
        <w:rPr>
          <w:rFonts w:ascii="Arial" w:hAnsi="Arial" w:cs="Arial"/>
          <w:b/>
          <w:smallCaps/>
          <w:color w:val="000000"/>
          <w:sz w:val="20"/>
        </w:rPr>
        <w:t xml:space="preserve"> del </w:t>
      </w:r>
      <w:r w:rsidR="002B5292">
        <w:rPr>
          <w:rFonts w:ascii="Arial" w:hAnsi="Arial" w:cs="Arial"/>
          <w:b/>
          <w:smallCaps/>
          <w:color w:val="000000"/>
          <w:sz w:val="20"/>
        </w:rPr>
        <w:t>programa</w:t>
      </w:r>
      <w:r w:rsidR="00C50FC7" w:rsidRPr="00C551E1">
        <w:rPr>
          <w:rFonts w:ascii="Arial" w:hAnsi="Arial" w:cs="Arial"/>
          <w:b/>
          <w:smallCaps/>
          <w:color w:val="000000"/>
          <w:sz w:val="20"/>
        </w:rPr>
        <w:t>.</w:t>
      </w:r>
    </w:p>
    <w:p w14:paraId="4261B4B3" w14:textId="77777777" w:rsidR="00B02D77" w:rsidRPr="00C551E1" w:rsidRDefault="00B02D77" w:rsidP="0001782B">
      <w:pPr>
        <w:jc w:val="both"/>
        <w:rPr>
          <w:rFonts w:ascii="Arial" w:hAnsi="Arial" w:cs="Arial"/>
          <w:sz w:val="22"/>
          <w:szCs w:val="22"/>
        </w:rPr>
      </w:pPr>
    </w:p>
    <w:p w14:paraId="395E209A" w14:textId="77777777" w:rsidR="00B02D77" w:rsidRPr="00C551E1" w:rsidRDefault="00B02D77" w:rsidP="0001782B">
      <w:pPr>
        <w:jc w:val="both"/>
        <w:rPr>
          <w:rFonts w:ascii="Arial" w:hAnsi="Arial" w:cs="Arial"/>
          <w:sz w:val="22"/>
          <w:szCs w:val="22"/>
        </w:rPr>
      </w:pPr>
    </w:p>
    <w:p w14:paraId="35961E7F" w14:textId="77777777" w:rsidR="00C50FC7" w:rsidRPr="00C551E1" w:rsidRDefault="00C50FC7" w:rsidP="0001782B">
      <w:pPr>
        <w:jc w:val="both"/>
        <w:rPr>
          <w:rFonts w:ascii="Arial" w:hAnsi="Arial" w:cs="Arial"/>
          <w:sz w:val="22"/>
          <w:szCs w:val="22"/>
        </w:rPr>
        <w:sectPr w:rsidR="00C50FC7" w:rsidRPr="00C551E1" w:rsidSect="00C50FC7">
          <w:pgSz w:w="15840" w:h="12240" w:orient="landscape"/>
          <w:pgMar w:top="1800" w:right="1440" w:bottom="1800" w:left="1440" w:header="720" w:footer="720" w:gutter="0"/>
          <w:cols w:space="720"/>
          <w:docGrid w:linePitch="360"/>
        </w:sectPr>
      </w:pPr>
    </w:p>
    <w:p w14:paraId="75C4CA97" w14:textId="54B4AB0A" w:rsidR="001B5186" w:rsidRPr="00C551E1" w:rsidRDefault="0001782B" w:rsidP="0001782B">
      <w:pPr>
        <w:pStyle w:val="Heading2"/>
        <w:numPr>
          <w:ilvl w:val="0"/>
          <w:numId w:val="0"/>
        </w:numPr>
        <w:ind w:left="720" w:hanging="720"/>
        <w:rPr>
          <w:rFonts w:ascii="Arial" w:hAnsi="Arial" w:cs="Arial"/>
          <w:noProof w:val="0"/>
          <w:sz w:val="22"/>
          <w:szCs w:val="22"/>
          <w:lang w:val="es-ES_tradnl"/>
        </w:rPr>
      </w:pPr>
      <w:bookmarkStart w:id="13" w:name="_Toc11138474"/>
      <w:bookmarkStart w:id="14" w:name="_Toc12264433"/>
      <w:r w:rsidRPr="00C551E1">
        <w:rPr>
          <w:rFonts w:ascii="Arial" w:hAnsi="Arial" w:cs="Arial"/>
          <w:noProof w:val="0"/>
          <w:sz w:val="22"/>
          <w:szCs w:val="22"/>
          <w:lang w:val="es-ES_tradnl"/>
        </w:rPr>
        <w:lastRenderedPageBreak/>
        <w:t xml:space="preserve">2.3. </w:t>
      </w:r>
      <w:r w:rsidR="005258AC" w:rsidRPr="00C551E1">
        <w:rPr>
          <w:rFonts w:ascii="Arial" w:hAnsi="Arial" w:cs="Arial"/>
          <w:noProof w:val="0"/>
          <w:sz w:val="22"/>
          <w:szCs w:val="22"/>
          <w:lang w:val="es-ES_tradnl"/>
        </w:rPr>
        <w:t>Recopilación de datos e instrumentos</w:t>
      </w:r>
      <w:bookmarkEnd w:id="13"/>
      <w:bookmarkEnd w:id="14"/>
    </w:p>
    <w:p w14:paraId="199CF14D" w14:textId="68F5EC6D" w:rsidR="005B2FB2" w:rsidRPr="00C551E1" w:rsidRDefault="005B2FB2" w:rsidP="0001782B">
      <w:pPr>
        <w:pStyle w:val="AutoNumpara"/>
        <w:numPr>
          <w:ilvl w:val="0"/>
          <w:numId w:val="0"/>
        </w:numPr>
        <w:rPr>
          <w:rFonts w:ascii="Arial" w:hAnsi="Arial" w:cs="Arial"/>
          <w:noProof w:val="0"/>
          <w:sz w:val="22"/>
          <w:szCs w:val="22"/>
        </w:rPr>
      </w:pPr>
      <w:r w:rsidRPr="00C551E1">
        <w:rPr>
          <w:rFonts w:ascii="Arial" w:hAnsi="Arial" w:cs="Arial"/>
          <w:noProof w:val="0"/>
          <w:sz w:val="22"/>
          <w:szCs w:val="22"/>
        </w:rPr>
        <w:t xml:space="preserve">La información para el seguimiento será obtenida por la </w:t>
      </w:r>
      <w:r w:rsidR="00C47A61" w:rsidRPr="00C551E1">
        <w:rPr>
          <w:rFonts w:ascii="Arial" w:hAnsi="Arial" w:cs="Arial"/>
          <w:noProof w:val="0"/>
          <w:sz w:val="22"/>
          <w:szCs w:val="22"/>
        </w:rPr>
        <w:t>UEP</w:t>
      </w:r>
      <w:r w:rsidRPr="00C551E1">
        <w:rPr>
          <w:rFonts w:ascii="Arial" w:hAnsi="Arial" w:cs="Arial"/>
          <w:noProof w:val="0"/>
          <w:sz w:val="22"/>
          <w:szCs w:val="22"/>
        </w:rPr>
        <w:t xml:space="preserve"> a través de los siguientes medios: reuniones quincenales con los </w:t>
      </w:r>
      <w:r w:rsidR="00F16DDE" w:rsidRPr="00C551E1">
        <w:rPr>
          <w:rFonts w:ascii="Arial" w:hAnsi="Arial" w:cs="Arial"/>
          <w:noProof w:val="0"/>
          <w:sz w:val="22"/>
          <w:szCs w:val="22"/>
        </w:rPr>
        <w:t>Directores de D</w:t>
      </w:r>
      <w:r w:rsidRPr="00C551E1">
        <w:rPr>
          <w:rFonts w:ascii="Arial" w:hAnsi="Arial" w:cs="Arial"/>
          <w:noProof w:val="0"/>
          <w:sz w:val="22"/>
          <w:szCs w:val="22"/>
        </w:rPr>
        <w:t xml:space="preserve">ivisión </w:t>
      </w:r>
      <w:r w:rsidR="00F16DDE" w:rsidRPr="00C551E1">
        <w:rPr>
          <w:rFonts w:ascii="Arial" w:hAnsi="Arial" w:cs="Arial"/>
          <w:noProof w:val="0"/>
          <w:sz w:val="22"/>
          <w:szCs w:val="22"/>
        </w:rPr>
        <w:t>o U</w:t>
      </w:r>
      <w:r w:rsidRPr="00C551E1">
        <w:rPr>
          <w:rFonts w:ascii="Arial" w:hAnsi="Arial" w:cs="Arial"/>
          <w:noProof w:val="0"/>
          <w:sz w:val="22"/>
          <w:szCs w:val="22"/>
        </w:rPr>
        <w:t>nidad de DINAMA</w:t>
      </w:r>
      <w:r w:rsidR="00F31D79" w:rsidRPr="00C551E1">
        <w:rPr>
          <w:rFonts w:ascii="Arial" w:hAnsi="Arial" w:cs="Arial"/>
          <w:noProof w:val="0"/>
          <w:sz w:val="22"/>
          <w:szCs w:val="22"/>
        </w:rPr>
        <w:t>, DINAGUA</w:t>
      </w:r>
      <w:r w:rsidRPr="00C551E1">
        <w:rPr>
          <w:rFonts w:ascii="Arial" w:hAnsi="Arial" w:cs="Arial"/>
          <w:noProof w:val="0"/>
          <w:sz w:val="22"/>
          <w:szCs w:val="22"/>
        </w:rPr>
        <w:t xml:space="preserve"> y DINOT; informes trimestrales de avance de producto a cargo de los </w:t>
      </w:r>
      <w:r w:rsidR="00B63192" w:rsidRPr="00C551E1">
        <w:rPr>
          <w:rFonts w:ascii="Arial" w:hAnsi="Arial" w:cs="Arial"/>
          <w:noProof w:val="0"/>
          <w:sz w:val="22"/>
          <w:szCs w:val="22"/>
        </w:rPr>
        <w:t>consultores contra</w:t>
      </w:r>
      <w:r w:rsidR="003F00F9" w:rsidRPr="00C551E1">
        <w:rPr>
          <w:rFonts w:ascii="Arial" w:hAnsi="Arial" w:cs="Arial"/>
          <w:noProof w:val="0"/>
          <w:sz w:val="22"/>
          <w:szCs w:val="22"/>
        </w:rPr>
        <w:t>t</w:t>
      </w:r>
      <w:r w:rsidR="00B63192" w:rsidRPr="00C551E1">
        <w:rPr>
          <w:rFonts w:ascii="Arial" w:hAnsi="Arial" w:cs="Arial"/>
          <w:noProof w:val="0"/>
          <w:sz w:val="22"/>
          <w:szCs w:val="22"/>
        </w:rPr>
        <w:t xml:space="preserve">ados y aprobados por los Directores </w:t>
      </w:r>
      <w:r w:rsidRPr="00C551E1">
        <w:rPr>
          <w:rFonts w:ascii="Arial" w:hAnsi="Arial" w:cs="Arial"/>
          <w:noProof w:val="0"/>
          <w:sz w:val="22"/>
          <w:szCs w:val="22"/>
        </w:rPr>
        <w:t>de división o unidad; informes trimestrales y finales de actividades a cargo de los consultores y contratistas; inspección visual de equipos adquiridos y control de facturas.</w:t>
      </w:r>
      <w:r w:rsidR="00D7208D" w:rsidRPr="00C551E1">
        <w:rPr>
          <w:rFonts w:ascii="Arial" w:hAnsi="Arial" w:cs="Arial"/>
          <w:noProof w:val="0"/>
          <w:sz w:val="22"/>
          <w:szCs w:val="22"/>
        </w:rPr>
        <w:t xml:space="preserve"> </w:t>
      </w:r>
    </w:p>
    <w:p w14:paraId="34E1E6EC" w14:textId="777AA9A7" w:rsidR="001B5186" w:rsidRPr="00C551E1" w:rsidRDefault="005B2FB2" w:rsidP="0001782B">
      <w:pPr>
        <w:pStyle w:val="AutoNumpara"/>
        <w:numPr>
          <w:ilvl w:val="0"/>
          <w:numId w:val="0"/>
        </w:numPr>
        <w:rPr>
          <w:rFonts w:ascii="Arial" w:hAnsi="Arial" w:cs="Arial"/>
          <w:noProof w:val="0"/>
          <w:color w:val="000000"/>
          <w:sz w:val="22"/>
          <w:szCs w:val="22"/>
        </w:rPr>
      </w:pPr>
      <w:r w:rsidRPr="00C551E1">
        <w:rPr>
          <w:rFonts w:ascii="Arial" w:hAnsi="Arial" w:cs="Arial"/>
          <w:noProof w:val="0"/>
          <w:color w:val="000000"/>
          <w:sz w:val="22"/>
          <w:szCs w:val="22"/>
        </w:rPr>
        <w:t xml:space="preserve">Todos los indicadores de producto serán medidos directamente. Los avances correspondientes a los diferentes indicadores serán contrastados con los productos y resultados esperados de la MR. </w:t>
      </w:r>
      <w:r w:rsidR="001B5186" w:rsidRPr="00C551E1">
        <w:rPr>
          <w:rFonts w:ascii="Arial" w:hAnsi="Arial" w:cs="Arial"/>
          <w:noProof w:val="0"/>
          <w:color w:val="000000"/>
          <w:sz w:val="22"/>
          <w:szCs w:val="22"/>
        </w:rPr>
        <w:t xml:space="preserve"> </w:t>
      </w:r>
    </w:p>
    <w:p w14:paraId="5964BE4E" w14:textId="2AC644C9" w:rsidR="001B5186" w:rsidRPr="00C551E1" w:rsidRDefault="0001782B" w:rsidP="0001782B">
      <w:pPr>
        <w:pStyle w:val="Heading2"/>
        <w:numPr>
          <w:ilvl w:val="0"/>
          <w:numId w:val="0"/>
        </w:numPr>
        <w:ind w:left="720" w:hanging="720"/>
        <w:rPr>
          <w:rFonts w:ascii="Arial" w:hAnsi="Arial" w:cs="Arial"/>
          <w:noProof w:val="0"/>
          <w:sz w:val="22"/>
          <w:szCs w:val="22"/>
          <w:lang w:val="es-ES_tradnl"/>
        </w:rPr>
      </w:pPr>
      <w:bookmarkStart w:id="15" w:name="_Toc11138475"/>
      <w:bookmarkStart w:id="16" w:name="_Toc12264434"/>
      <w:r w:rsidRPr="00C551E1">
        <w:rPr>
          <w:rFonts w:ascii="Arial" w:hAnsi="Arial" w:cs="Arial"/>
          <w:noProof w:val="0"/>
          <w:sz w:val="22"/>
          <w:szCs w:val="22"/>
          <w:lang w:val="es-ES_tradnl"/>
        </w:rPr>
        <w:t xml:space="preserve">2.4. </w:t>
      </w:r>
      <w:r w:rsidR="005258AC" w:rsidRPr="00C551E1">
        <w:rPr>
          <w:rFonts w:ascii="Arial" w:hAnsi="Arial" w:cs="Arial"/>
          <w:noProof w:val="0"/>
          <w:sz w:val="22"/>
          <w:szCs w:val="22"/>
          <w:lang w:val="es-ES_tradnl"/>
        </w:rPr>
        <w:t>Presentación de informes</w:t>
      </w:r>
      <w:bookmarkEnd w:id="15"/>
      <w:bookmarkEnd w:id="16"/>
    </w:p>
    <w:p w14:paraId="08E5969F" w14:textId="43D4012B" w:rsidR="005B2FB2" w:rsidRPr="00C551E1" w:rsidRDefault="0001782B" w:rsidP="0001782B">
      <w:pPr>
        <w:pStyle w:val="AutoNumpara"/>
        <w:numPr>
          <w:ilvl w:val="0"/>
          <w:numId w:val="0"/>
        </w:numPr>
        <w:rPr>
          <w:rFonts w:ascii="Arial" w:hAnsi="Arial" w:cs="Arial"/>
          <w:noProof w:val="0"/>
          <w:color w:val="000000"/>
          <w:sz w:val="22"/>
          <w:szCs w:val="22"/>
        </w:rPr>
      </w:pPr>
      <w:r w:rsidRPr="00C551E1">
        <w:rPr>
          <w:rFonts w:ascii="Arial" w:hAnsi="Arial" w:cs="Arial"/>
          <w:noProof w:val="0"/>
          <w:color w:val="000000"/>
          <w:sz w:val="22"/>
          <w:szCs w:val="22"/>
        </w:rPr>
        <w:t xml:space="preserve">Además </w:t>
      </w:r>
      <w:r w:rsidR="005B2FB2" w:rsidRPr="00C551E1">
        <w:rPr>
          <w:rFonts w:ascii="Arial" w:hAnsi="Arial" w:cs="Arial"/>
          <w:noProof w:val="0"/>
          <w:color w:val="000000"/>
          <w:sz w:val="22"/>
          <w:szCs w:val="22"/>
        </w:rPr>
        <w:t xml:space="preserve">de los POA y los PA, la </w:t>
      </w:r>
      <w:r w:rsidR="00C47A61" w:rsidRPr="00C551E1">
        <w:rPr>
          <w:rFonts w:ascii="Arial" w:hAnsi="Arial" w:cs="Arial"/>
          <w:noProof w:val="0"/>
          <w:color w:val="000000"/>
          <w:sz w:val="22"/>
          <w:szCs w:val="22"/>
        </w:rPr>
        <w:t>UEP</w:t>
      </w:r>
      <w:r w:rsidR="003B1F53" w:rsidRPr="00C551E1">
        <w:rPr>
          <w:rFonts w:ascii="Arial" w:hAnsi="Arial" w:cs="Arial"/>
          <w:noProof w:val="0"/>
          <w:color w:val="000000"/>
          <w:sz w:val="22"/>
          <w:szCs w:val="22"/>
        </w:rPr>
        <w:t>, en coordinación con el MVOTMA,</w:t>
      </w:r>
      <w:r w:rsidR="005B2FB2" w:rsidRPr="00C551E1">
        <w:rPr>
          <w:rFonts w:ascii="Arial" w:hAnsi="Arial" w:cs="Arial"/>
          <w:noProof w:val="0"/>
          <w:color w:val="000000"/>
          <w:sz w:val="22"/>
          <w:szCs w:val="22"/>
        </w:rPr>
        <w:t xml:space="preserve"> remitirá al Banco </w:t>
      </w:r>
      <w:r w:rsidR="003409E0" w:rsidRPr="00C551E1">
        <w:rPr>
          <w:rFonts w:ascii="Arial" w:hAnsi="Arial" w:cs="Arial"/>
          <w:noProof w:val="0"/>
          <w:color w:val="000000"/>
          <w:sz w:val="22"/>
          <w:szCs w:val="22"/>
        </w:rPr>
        <w:t xml:space="preserve">los ISP </w:t>
      </w:r>
      <w:r w:rsidR="005B2FB2" w:rsidRPr="00C551E1">
        <w:rPr>
          <w:rFonts w:ascii="Arial" w:hAnsi="Arial" w:cs="Arial"/>
          <w:noProof w:val="0"/>
          <w:color w:val="000000"/>
          <w:sz w:val="22"/>
          <w:szCs w:val="22"/>
        </w:rPr>
        <w:t xml:space="preserve">durante todo el período de ejecución del </w:t>
      </w:r>
      <w:r w:rsidR="002B5292">
        <w:rPr>
          <w:rFonts w:ascii="Arial" w:hAnsi="Arial" w:cs="Arial"/>
          <w:noProof w:val="0"/>
          <w:color w:val="000000"/>
          <w:sz w:val="22"/>
          <w:szCs w:val="22"/>
        </w:rPr>
        <w:t>Programa</w:t>
      </w:r>
      <w:r w:rsidR="005B2FB2" w:rsidRPr="00C551E1">
        <w:rPr>
          <w:rFonts w:ascii="Arial" w:hAnsi="Arial" w:cs="Arial"/>
          <w:noProof w:val="0"/>
          <w:color w:val="000000"/>
          <w:sz w:val="22"/>
          <w:szCs w:val="22"/>
        </w:rPr>
        <w:t xml:space="preserve">. Los </w:t>
      </w:r>
      <w:r w:rsidR="00C424B6" w:rsidRPr="00C551E1">
        <w:rPr>
          <w:rFonts w:ascii="Arial" w:hAnsi="Arial" w:cs="Arial"/>
          <w:noProof w:val="0"/>
          <w:color w:val="000000"/>
          <w:sz w:val="22"/>
          <w:szCs w:val="22"/>
        </w:rPr>
        <w:t>ISP</w:t>
      </w:r>
      <w:r w:rsidR="005B2FB2" w:rsidRPr="00C551E1">
        <w:rPr>
          <w:rFonts w:ascii="Arial" w:hAnsi="Arial" w:cs="Arial"/>
          <w:noProof w:val="0"/>
          <w:color w:val="000000"/>
          <w:sz w:val="22"/>
          <w:szCs w:val="22"/>
        </w:rPr>
        <w:t xml:space="preserve"> serán remitidos dentro del plazo de sesenta (60) días posteriores a la terminación de cada semestre. </w:t>
      </w:r>
    </w:p>
    <w:p w14:paraId="6AD014E5" w14:textId="334632E0" w:rsidR="004C7AFB" w:rsidRPr="00C551E1" w:rsidRDefault="0001782B" w:rsidP="0001782B">
      <w:pPr>
        <w:pStyle w:val="Heading3"/>
        <w:numPr>
          <w:ilvl w:val="0"/>
          <w:numId w:val="0"/>
        </w:numPr>
        <w:rPr>
          <w:rFonts w:ascii="Arial" w:hAnsi="Arial" w:cs="Arial"/>
          <w:noProof w:val="0"/>
          <w:sz w:val="22"/>
          <w:szCs w:val="22"/>
          <w:lang w:val="es-ES_tradnl"/>
        </w:rPr>
      </w:pPr>
      <w:bookmarkStart w:id="17" w:name="_Toc11138476"/>
      <w:bookmarkStart w:id="18" w:name="_Toc12264435"/>
      <w:r w:rsidRPr="00C551E1">
        <w:rPr>
          <w:rFonts w:ascii="Arial" w:hAnsi="Arial" w:cs="Arial"/>
          <w:noProof w:val="0"/>
          <w:sz w:val="22"/>
          <w:szCs w:val="22"/>
          <w:lang w:val="es-ES_tradnl"/>
        </w:rPr>
        <w:t xml:space="preserve">2.4.1. </w:t>
      </w:r>
      <w:r w:rsidR="004C7AFB" w:rsidRPr="00C551E1">
        <w:rPr>
          <w:rFonts w:ascii="Arial" w:hAnsi="Arial" w:cs="Arial"/>
          <w:noProof w:val="0"/>
          <w:sz w:val="22"/>
          <w:szCs w:val="22"/>
          <w:lang w:val="es-ES_tradnl"/>
        </w:rPr>
        <w:t>Auditorías</w:t>
      </w:r>
      <w:bookmarkEnd w:id="17"/>
      <w:bookmarkEnd w:id="18"/>
    </w:p>
    <w:p w14:paraId="4BBE8BCD" w14:textId="4DA3BE5E" w:rsidR="004C7AFB" w:rsidRPr="00C551E1" w:rsidRDefault="006702EF" w:rsidP="007011EF">
      <w:pPr>
        <w:pStyle w:val="AutoNumpara"/>
        <w:numPr>
          <w:ilvl w:val="0"/>
          <w:numId w:val="0"/>
        </w:numPr>
        <w:rPr>
          <w:rFonts w:ascii="Arial" w:hAnsi="Arial" w:cs="Arial"/>
          <w:noProof w:val="0"/>
          <w:sz w:val="22"/>
          <w:szCs w:val="22"/>
        </w:rPr>
      </w:pPr>
      <w:bookmarkStart w:id="19" w:name="_Hlk9830917"/>
      <w:r w:rsidRPr="00C551E1">
        <w:rPr>
          <w:rFonts w:ascii="Arial" w:hAnsi="Arial" w:cs="Arial"/>
          <w:noProof w:val="0"/>
          <w:sz w:val="22"/>
          <w:szCs w:val="22"/>
        </w:rPr>
        <w:t>Se realizará una auditoría</w:t>
      </w:r>
      <w:r w:rsidR="001A7821" w:rsidRPr="00C551E1">
        <w:rPr>
          <w:rFonts w:ascii="Arial" w:hAnsi="Arial" w:cs="Arial"/>
          <w:noProof w:val="0"/>
          <w:sz w:val="22"/>
          <w:szCs w:val="22"/>
        </w:rPr>
        <w:t xml:space="preserve"> a los Estados Financieros Auditados</w:t>
      </w:r>
      <w:r w:rsidRPr="00C551E1">
        <w:rPr>
          <w:rFonts w:ascii="Arial" w:hAnsi="Arial" w:cs="Arial"/>
          <w:noProof w:val="0"/>
          <w:sz w:val="22"/>
          <w:szCs w:val="22"/>
        </w:rPr>
        <w:t xml:space="preserve"> por el Tribunal de Cuentas o por una Firma de Auditoría Independiente.</w:t>
      </w:r>
      <w:r w:rsidR="00726C59" w:rsidRPr="00C551E1">
        <w:rPr>
          <w:rFonts w:ascii="Arial" w:hAnsi="Arial" w:cs="Arial"/>
          <w:noProof w:val="0"/>
          <w:sz w:val="22"/>
          <w:szCs w:val="22"/>
        </w:rPr>
        <w:t xml:space="preserve"> </w:t>
      </w:r>
      <w:r w:rsidR="00A05530" w:rsidRPr="00C551E1">
        <w:rPr>
          <w:rFonts w:ascii="Arial" w:hAnsi="Arial" w:cs="Arial"/>
          <w:noProof w:val="0"/>
          <w:sz w:val="22"/>
          <w:szCs w:val="22"/>
        </w:rPr>
        <w:t xml:space="preserve">Estos Estados Contables </w:t>
      </w:r>
      <w:r w:rsidR="003B1F53" w:rsidRPr="00C551E1">
        <w:rPr>
          <w:rFonts w:ascii="Arial" w:hAnsi="Arial" w:cs="Arial"/>
          <w:noProof w:val="0"/>
          <w:sz w:val="22"/>
          <w:szCs w:val="22"/>
        </w:rPr>
        <w:t xml:space="preserve">se realizarán de forma anual y serán </w:t>
      </w:r>
      <w:r w:rsidR="00A05530" w:rsidRPr="00C551E1">
        <w:rPr>
          <w:rFonts w:ascii="Arial" w:hAnsi="Arial" w:cs="Arial"/>
          <w:noProof w:val="0"/>
          <w:sz w:val="22"/>
          <w:szCs w:val="22"/>
        </w:rPr>
        <w:t>presentados al BID dentro de los 120 días siguientes al cierre del ejercicio fiscal del OE</w:t>
      </w:r>
      <w:r w:rsidR="00CE7F0A" w:rsidRPr="00C551E1">
        <w:rPr>
          <w:rFonts w:ascii="Arial" w:hAnsi="Arial" w:cs="Arial"/>
          <w:noProof w:val="0"/>
          <w:sz w:val="22"/>
          <w:szCs w:val="22"/>
        </w:rPr>
        <w:t>.</w:t>
      </w:r>
      <w:r w:rsidR="003B1F53" w:rsidRPr="00C551E1">
        <w:rPr>
          <w:rFonts w:ascii="Arial" w:hAnsi="Arial" w:cs="Arial"/>
          <w:noProof w:val="0"/>
          <w:sz w:val="22"/>
          <w:szCs w:val="22"/>
        </w:rPr>
        <w:t xml:space="preserve"> La auditoría de cierre se realizará dentro de los 12</w:t>
      </w:r>
      <w:r w:rsidR="00500858" w:rsidRPr="00C551E1">
        <w:rPr>
          <w:rFonts w:ascii="Arial" w:hAnsi="Arial" w:cs="Arial"/>
          <w:noProof w:val="0"/>
          <w:sz w:val="22"/>
          <w:szCs w:val="22"/>
        </w:rPr>
        <w:t>0</w:t>
      </w:r>
      <w:r w:rsidR="003B1F53" w:rsidRPr="00C551E1">
        <w:rPr>
          <w:rFonts w:ascii="Arial" w:hAnsi="Arial" w:cs="Arial"/>
          <w:noProof w:val="0"/>
          <w:sz w:val="22"/>
          <w:szCs w:val="22"/>
        </w:rPr>
        <w:t xml:space="preserve"> días posteriores al último desembolso.</w:t>
      </w:r>
      <w:r w:rsidR="007213E8" w:rsidRPr="00C551E1">
        <w:rPr>
          <w:rFonts w:ascii="Arial" w:hAnsi="Arial" w:cs="Arial"/>
          <w:noProof w:val="0"/>
          <w:sz w:val="22"/>
          <w:szCs w:val="22"/>
        </w:rPr>
        <w:t xml:space="preserve"> </w:t>
      </w:r>
      <w:r w:rsidR="004C7AFB" w:rsidRPr="00C551E1">
        <w:rPr>
          <w:rFonts w:ascii="Arial" w:hAnsi="Arial" w:cs="Arial"/>
          <w:noProof w:val="0"/>
          <w:sz w:val="22"/>
          <w:szCs w:val="22"/>
        </w:rPr>
        <w:t xml:space="preserve">La determinación del alcance </w:t>
      </w:r>
      <w:r w:rsidR="007213E8" w:rsidRPr="00C551E1">
        <w:rPr>
          <w:rFonts w:ascii="Arial" w:hAnsi="Arial" w:cs="Arial"/>
          <w:noProof w:val="0"/>
          <w:sz w:val="22"/>
          <w:szCs w:val="22"/>
        </w:rPr>
        <w:t xml:space="preserve">de las auditorías </w:t>
      </w:r>
      <w:r w:rsidR="004C7AFB" w:rsidRPr="00C551E1">
        <w:rPr>
          <w:rFonts w:ascii="Arial" w:hAnsi="Arial" w:cs="Arial"/>
          <w:noProof w:val="0"/>
          <w:sz w:val="22"/>
          <w:szCs w:val="22"/>
        </w:rPr>
        <w:t>y otros aspectos relacionados se regirá por la Política de Gestión Financiera para Proyectos Financiados por el Banco (OP-273-</w:t>
      </w:r>
      <w:r w:rsidR="000172AC" w:rsidRPr="00C551E1">
        <w:rPr>
          <w:rFonts w:ascii="Arial" w:hAnsi="Arial" w:cs="Arial"/>
          <w:noProof w:val="0"/>
          <w:sz w:val="22"/>
          <w:szCs w:val="22"/>
        </w:rPr>
        <w:t>6</w:t>
      </w:r>
      <w:r w:rsidR="004C7AFB" w:rsidRPr="00C551E1">
        <w:rPr>
          <w:rFonts w:ascii="Arial" w:hAnsi="Arial" w:cs="Arial"/>
          <w:noProof w:val="0"/>
          <w:sz w:val="22"/>
          <w:szCs w:val="22"/>
        </w:rPr>
        <w:t xml:space="preserve">) y la Guía de Estados Financieros y Auditoría Externa. </w:t>
      </w:r>
    </w:p>
    <w:p w14:paraId="680625FD" w14:textId="24B01127" w:rsidR="004C7AFB" w:rsidRPr="00C551E1" w:rsidRDefault="003F00F9" w:rsidP="007011EF">
      <w:pPr>
        <w:pStyle w:val="AutoNumpara"/>
        <w:numPr>
          <w:ilvl w:val="0"/>
          <w:numId w:val="0"/>
        </w:numPr>
        <w:rPr>
          <w:rFonts w:ascii="Arial" w:hAnsi="Arial" w:cs="Arial"/>
          <w:noProof w:val="0"/>
          <w:sz w:val="22"/>
          <w:szCs w:val="22"/>
        </w:rPr>
      </w:pPr>
      <w:r w:rsidRPr="00C551E1">
        <w:rPr>
          <w:rFonts w:ascii="Arial" w:hAnsi="Arial" w:cs="Arial"/>
          <w:noProof w:val="0"/>
          <w:sz w:val="22"/>
          <w:szCs w:val="22"/>
        </w:rPr>
        <w:t xml:space="preserve">Los pagos al Tribunal de Cuentas </w:t>
      </w:r>
      <w:r w:rsidR="006702EF" w:rsidRPr="00C551E1">
        <w:rPr>
          <w:rFonts w:ascii="Arial" w:hAnsi="Arial" w:cs="Arial"/>
          <w:noProof w:val="0"/>
          <w:sz w:val="22"/>
          <w:szCs w:val="22"/>
        </w:rPr>
        <w:t xml:space="preserve">o </w:t>
      </w:r>
      <w:r w:rsidR="001A7821" w:rsidRPr="00C551E1">
        <w:rPr>
          <w:rFonts w:ascii="Arial" w:hAnsi="Arial" w:cs="Arial"/>
          <w:noProof w:val="0"/>
          <w:sz w:val="22"/>
          <w:szCs w:val="22"/>
        </w:rPr>
        <w:t xml:space="preserve">Firma de Auditoría Independiente </w:t>
      </w:r>
      <w:r w:rsidRPr="00C551E1">
        <w:rPr>
          <w:rFonts w:ascii="Arial" w:hAnsi="Arial" w:cs="Arial"/>
          <w:noProof w:val="0"/>
          <w:sz w:val="22"/>
          <w:szCs w:val="22"/>
        </w:rPr>
        <w:t>que realiza la</w:t>
      </w:r>
      <w:r w:rsidR="006702EF" w:rsidRPr="00C551E1">
        <w:rPr>
          <w:rFonts w:ascii="Arial" w:hAnsi="Arial" w:cs="Arial"/>
          <w:noProof w:val="0"/>
          <w:sz w:val="22"/>
          <w:szCs w:val="22"/>
        </w:rPr>
        <w:t>s</w:t>
      </w:r>
      <w:r w:rsidRPr="00C551E1">
        <w:rPr>
          <w:rFonts w:ascii="Arial" w:hAnsi="Arial" w:cs="Arial"/>
          <w:noProof w:val="0"/>
          <w:sz w:val="22"/>
          <w:szCs w:val="22"/>
        </w:rPr>
        <w:t xml:space="preserve"> auditoria</w:t>
      </w:r>
      <w:r w:rsidR="006702EF" w:rsidRPr="00C551E1">
        <w:rPr>
          <w:rFonts w:ascii="Arial" w:hAnsi="Arial" w:cs="Arial"/>
          <w:noProof w:val="0"/>
          <w:sz w:val="22"/>
          <w:szCs w:val="22"/>
        </w:rPr>
        <w:t xml:space="preserve">s </w:t>
      </w:r>
      <w:r w:rsidR="004C7AFB" w:rsidRPr="00C551E1">
        <w:rPr>
          <w:rFonts w:ascii="Arial" w:hAnsi="Arial" w:cs="Arial"/>
          <w:noProof w:val="0"/>
          <w:sz w:val="22"/>
          <w:szCs w:val="22"/>
        </w:rPr>
        <w:t>serán cubiertos</w:t>
      </w:r>
      <w:r w:rsidRPr="00C551E1">
        <w:rPr>
          <w:rFonts w:ascii="Arial" w:hAnsi="Arial" w:cs="Arial"/>
          <w:noProof w:val="0"/>
          <w:sz w:val="22"/>
          <w:szCs w:val="22"/>
        </w:rPr>
        <w:t xml:space="preserve"> con recursos del </w:t>
      </w:r>
      <w:r w:rsidR="002B5292">
        <w:rPr>
          <w:rFonts w:ascii="Arial" w:hAnsi="Arial" w:cs="Arial"/>
          <w:noProof w:val="0"/>
          <w:sz w:val="22"/>
          <w:szCs w:val="22"/>
        </w:rPr>
        <w:t>Programa</w:t>
      </w:r>
      <w:r w:rsidRPr="00C551E1">
        <w:rPr>
          <w:rFonts w:ascii="Arial" w:hAnsi="Arial" w:cs="Arial"/>
          <w:noProof w:val="0"/>
          <w:sz w:val="22"/>
          <w:szCs w:val="22"/>
        </w:rPr>
        <w:t xml:space="preserve"> con aportes locales. </w:t>
      </w:r>
    </w:p>
    <w:p w14:paraId="4EEC580A" w14:textId="4A71816D" w:rsidR="001B5186" w:rsidRPr="00C551E1" w:rsidRDefault="0001782B" w:rsidP="007011EF">
      <w:pPr>
        <w:pStyle w:val="Heading3"/>
        <w:numPr>
          <w:ilvl w:val="0"/>
          <w:numId w:val="0"/>
        </w:numPr>
        <w:rPr>
          <w:rFonts w:ascii="Arial" w:hAnsi="Arial" w:cs="Arial"/>
          <w:noProof w:val="0"/>
          <w:sz w:val="22"/>
          <w:szCs w:val="22"/>
          <w:lang w:val="es-ES_tradnl"/>
        </w:rPr>
      </w:pPr>
      <w:bookmarkStart w:id="20" w:name="_Toc11138477"/>
      <w:bookmarkStart w:id="21" w:name="_Toc12264436"/>
      <w:bookmarkEnd w:id="19"/>
      <w:r w:rsidRPr="00C551E1">
        <w:rPr>
          <w:rFonts w:ascii="Arial" w:hAnsi="Arial" w:cs="Arial"/>
          <w:noProof w:val="0"/>
          <w:sz w:val="22"/>
          <w:szCs w:val="22"/>
          <w:lang w:val="es-ES_tradnl"/>
        </w:rPr>
        <w:t xml:space="preserve">2.4.2. </w:t>
      </w:r>
      <w:r w:rsidR="005258AC" w:rsidRPr="00C551E1">
        <w:rPr>
          <w:rFonts w:ascii="Arial" w:hAnsi="Arial" w:cs="Arial"/>
          <w:noProof w:val="0"/>
          <w:sz w:val="22"/>
          <w:szCs w:val="22"/>
          <w:lang w:val="es-ES_tradnl"/>
        </w:rPr>
        <w:t>Coordinación, plan de trabajo y presupuesto del seguimiento</w:t>
      </w:r>
      <w:bookmarkEnd w:id="20"/>
      <w:bookmarkEnd w:id="21"/>
    </w:p>
    <w:p w14:paraId="5BFA5E82" w14:textId="2AF69A01" w:rsidR="004C7AFB" w:rsidRPr="00C551E1" w:rsidRDefault="004C7AFB" w:rsidP="007011EF">
      <w:pPr>
        <w:pStyle w:val="AutoNumpara"/>
        <w:numPr>
          <w:ilvl w:val="0"/>
          <w:numId w:val="0"/>
        </w:numPr>
        <w:rPr>
          <w:rFonts w:ascii="Arial" w:hAnsi="Arial" w:cs="Arial"/>
          <w:noProof w:val="0"/>
          <w:color w:val="000000"/>
          <w:sz w:val="22"/>
          <w:szCs w:val="22"/>
        </w:rPr>
      </w:pPr>
      <w:r w:rsidRPr="00C551E1">
        <w:rPr>
          <w:rFonts w:ascii="Arial" w:hAnsi="Arial" w:cs="Arial"/>
          <w:noProof w:val="0"/>
          <w:color w:val="000000"/>
          <w:sz w:val="22"/>
          <w:szCs w:val="22"/>
        </w:rPr>
        <w:t xml:space="preserve">La </w:t>
      </w:r>
      <w:r w:rsidR="00C47A61" w:rsidRPr="00C551E1">
        <w:rPr>
          <w:rFonts w:ascii="Arial" w:hAnsi="Arial" w:cs="Arial"/>
          <w:noProof w:val="0"/>
          <w:color w:val="000000"/>
          <w:sz w:val="22"/>
          <w:szCs w:val="22"/>
        </w:rPr>
        <w:t>UEP</w:t>
      </w:r>
      <w:r w:rsidRPr="00C551E1">
        <w:rPr>
          <w:rFonts w:ascii="Arial" w:hAnsi="Arial" w:cs="Arial"/>
          <w:noProof w:val="0"/>
          <w:color w:val="000000"/>
          <w:sz w:val="22"/>
          <w:szCs w:val="22"/>
        </w:rPr>
        <w:t xml:space="preserve"> será la responsable de monitorear el desempeño y avances del </w:t>
      </w:r>
      <w:r w:rsidR="002B5292">
        <w:rPr>
          <w:rFonts w:ascii="Arial" w:hAnsi="Arial" w:cs="Arial"/>
          <w:noProof w:val="0"/>
          <w:color w:val="000000"/>
          <w:sz w:val="22"/>
          <w:szCs w:val="22"/>
        </w:rPr>
        <w:t>programa</w:t>
      </w:r>
      <w:r w:rsidRPr="00C551E1">
        <w:rPr>
          <w:rFonts w:ascii="Arial" w:hAnsi="Arial" w:cs="Arial"/>
          <w:noProof w:val="0"/>
          <w:color w:val="000000"/>
          <w:sz w:val="22"/>
          <w:szCs w:val="22"/>
        </w:rPr>
        <w:t xml:space="preserve"> durante el período de ejecución. Para ello la </w:t>
      </w:r>
      <w:r w:rsidR="00C47A61" w:rsidRPr="00C551E1">
        <w:rPr>
          <w:rFonts w:ascii="Arial" w:hAnsi="Arial" w:cs="Arial"/>
          <w:noProof w:val="0"/>
          <w:color w:val="000000"/>
          <w:sz w:val="22"/>
          <w:szCs w:val="22"/>
        </w:rPr>
        <w:t>UEP</w:t>
      </w:r>
      <w:r w:rsidRPr="00C551E1">
        <w:rPr>
          <w:rFonts w:ascii="Arial" w:hAnsi="Arial" w:cs="Arial"/>
          <w:noProof w:val="0"/>
          <w:color w:val="000000"/>
          <w:sz w:val="22"/>
          <w:szCs w:val="22"/>
        </w:rPr>
        <w:t xml:space="preserve"> deberá recolectar la información correspondiente a los diferentes indicadores de producto y resultado incluidos en la MR del </w:t>
      </w:r>
      <w:r w:rsidR="002B5292">
        <w:rPr>
          <w:rFonts w:ascii="Arial" w:hAnsi="Arial" w:cs="Arial"/>
          <w:noProof w:val="0"/>
          <w:color w:val="000000"/>
          <w:sz w:val="22"/>
          <w:szCs w:val="22"/>
        </w:rPr>
        <w:t>programa</w:t>
      </w:r>
      <w:r w:rsidRPr="00C551E1">
        <w:rPr>
          <w:rFonts w:ascii="Arial" w:hAnsi="Arial" w:cs="Arial"/>
          <w:noProof w:val="0"/>
          <w:color w:val="000000"/>
          <w:sz w:val="22"/>
          <w:szCs w:val="22"/>
        </w:rPr>
        <w:t xml:space="preserve">, establecer los mecanismos de control administrativo que permitan reportar semestralmente el avance físico-financiero por producto, así como recolectar la información correspondiente a los planes de implementación. La </w:t>
      </w:r>
      <w:r w:rsidR="00C47A61" w:rsidRPr="00C551E1">
        <w:rPr>
          <w:rFonts w:ascii="Arial" w:hAnsi="Arial" w:cs="Arial"/>
          <w:noProof w:val="0"/>
          <w:color w:val="000000"/>
          <w:sz w:val="22"/>
          <w:szCs w:val="22"/>
        </w:rPr>
        <w:t>UEP</w:t>
      </w:r>
      <w:r w:rsidRPr="00C551E1">
        <w:rPr>
          <w:rFonts w:ascii="Arial" w:hAnsi="Arial" w:cs="Arial"/>
          <w:noProof w:val="0"/>
          <w:color w:val="000000"/>
          <w:sz w:val="22"/>
          <w:szCs w:val="22"/>
        </w:rPr>
        <w:t xml:space="preserve"> también será responsable de monitorear el progreso del </w:t>
      </w:r>
      <w:r w:rsidR="002B5292">
        <w:rPr>
          <w:rFonts w:ascii="Arial" w:hAnsi="Arial" w:cs="Arial"/>
          <w:noProof w:val="0"/>
          <w:color w:val="000000"/>
          <w:sz w:val="22"/>
          <w:szCs w:val="22"/>
        </w:rPr>
        <w:t>programa</w:t>
      </w:r>
      <w:r w:rsidRPr="00C551E1">
        <w:rPr>
          <w:rFonts w:ascii="Arial" w:hAnsi="Arial" w:cs="Arial"/>
          <w:noProof w:val="0"/>
          <w:color w:val="000000"/>
          <w:sz w:val="22"/>
          <w:szCs w:val="22"/>
        </w:rPr>
        <w:t xml:space="preserve"> en relación a las metas acordadas. Como parte de su personal mínimo, la </w:t>
      </w:r>
      <w:r w:rsidR="00C47A61" w:rsidRPr="00C551E1">
        <w:rPr>
          <w:rFonts w:ascii="Arial" w:hAnsi="Arial" w:cs="Arial"/>
          <w:noProof w:val="0"/>
          <w:color w:val="000000"/>
          <w:sz w:val="22"/>
          <w:szCs w:val="22"/>
        </w:rPr>
        <w:t>UEP</w:t>
      </w:r>
      <w:r w:rsidRPr="00C551E1">
        <w:rPr>
          <w:rFonts w:ascii="Arial" w:hAnsi="Arial" w:cs="Arial"/>
          <w:noProof w:val="0"/>
          <w:color w:val="000000"/>
          <w:sz w:val="22"/>
          <w:szCs w:val="22"/>
        </w:rPr>
        <w:t xml:space="preserve"> contará con </w:t>
      </w:r>
      <w:r w:rsidRPr="00C551E1">
        <w:rPr>
          <w:rFonts w:ascii="Arial" w:hAnsi="Arial" w:cs="Arial"/>
          <w:noProof w:val="0"/>
          <w:sz w:val="22"/>
          <w:szCs w:val="22"/>
        </w:rPr>
        <w:t>un especialista en monitoreo y evaluación</w:t>
      </w:r>
      <w:r w:rsidRPr="00C551E1">
        <w:rPr>
          <w:rFonts w:ascii="Arial" w:hAnsi="Arial" w:cs="Arial"/>
          <w:noProof w:val="0"/>
          <w:color w:val="000000"/>
          <w:sz w:val="22"/>
          <w:szCs w:val="22"/>
        </w:rPr>
        <w:t>.</w:t>
      </w:r>
      <w:r w:rsidRPr="00C551E1">
        <w:rPr>
          <w:rFonts w:ascii="Arial" w:hAnsi="Arial" w:cs="Arial"/>
          <w:noProof w:val="0"/>
          <w:sz w:val="22"/>
          <w:szCs w:val="22"/>
        </w:rPr>
        <w:t xml:space="preserve"> </w:t>
      </w:r>
    </w:p>
    <w:p w14:paraId="2F088A21" w14:textId="517ED4E8" w:rsidR="004C7AFB" w:rsidRPr="00C551E1" w:rsidRDefault="004C7AFB" w:rsidP="007011EF">
      <w:pPr>
        <w:pStyle w:val="AutoNumpara"/>
        <w:numPr>
          <w:ilvl w:val="0"/>
          <w:numId w:val="0"/>
        </w:numPr>
        <w:rPr>
          <w:rFonts w:ascii="Arial" w:hAnsi="Arial" w:cs="Arial"/>
          <w:noProof w:val="0"/>
          <w:sz w:val="22"/>
          <w:szCs w:val="22"/>
        </w:rPr>
      </w:pPr>
      <w:r w:rsidRPr="00C551E1">
        <w:rPr>
          <w:rFonts w:ascii="Arial" w:hAnsi="Arial" w:cs="Arial"/>
          <w:noProof w:val="0"/>
          <w:sz w:val="22"/>
          <w:szCs w:val="22"/>
        </w:rPr>
        <w:t>Los dispositivos para el seguimiento, en el caso de consultores, serán planes de trabajo que incluyan metas intermedias y finales,</w:t>
      </w:r>
      <w:r w:rsidR="00F16DDE" w:rsidRPr="00C551E1">
        <w:rPr>
          <w:rFonts w:ascii="Arial" w:hAnsi="Arial" w:cs="Arial"/>
          <w:noProof w:val="0"/>
          <w:sz w:val="22"/>
          <w:szCs w:val="22"/>
        </w:rPr>
        <w:t xml:space="preserve"> y</w:t>
      </w:r>
      <w:r w:rsidRPr="00C551E1">
        <w:rPr>
          <w:rFonts w:ascii="Arial" w:hAnsi="Arial" w:cs="Arial"/>
          <w:noProof w:val="0"/>
          <w:sz w:val="22"/>
          <w:szCs w:val="22"/>
        </w:rPr>
        <w:t xml:space="preserve"> reuniones de coordinación con los </w:t>
      </w:r>
      <w:r w:rsidR="00F16DDE" w:rsidRPr="00C551E1">
        <w:rPr>
          <w:rFonts w:ascii="Arial" w:hAnsi="Arial" w:cs="Arial"/>
          <w:noProof w:val="0"/>
          <w:sz w:val="22"/>
          <w:szCs w:val="22"/>
        </w:rPr>
        <w:t>Directores de D</w:t>
      </w:r>
      <w:r w:rsidRPr="00C551E1">
        <w:rPr>
          <w:rFonts w:ascii="Arial" w:hAnsi="Arial" w:cs="Arial"/>
          <w:noProof w:val="0"/>
          <w:sz w:val="22"/>
          <w:szCs w:val="22"/>
        </w:rPr>
        <w:t xml:space="preserve">ivisión </w:t>
      </w:r>
      <w:r w:rsidR="00F16DDE" w:rsidRPr="00C551E1">
        <w:rPr>
          <w:rFonts w:ascii="Arial" w:hAnsi="Arial" w:cs="Arial"/>
          <w:noProof w:val="0"/>
          <w:sz w:val="22"/>
          <w:szCs w:val="22"/>
        </w:rPr>
        <w:t>o U</w:t>
      </w:r>
      <w:r w:rsidRPr="00C551E1">
        <w:rPr>
          <w:rFonts w:ascii="Arial" w:hAnsi="Arial" w:cs="Arial"/>
          <w:noProof w:val="0"/>
          <w:sz w:val="22"/>
          <w:szCs w:val="22"/>
        </w:rPr>
        <w:t>nidad involucrados en el Proyecto</w:t>
      </w:r>
      <w:r w:rsidR="00F16DDE" w:rsidRPr="00C551E1">
        <w:rPr>
          <w:rFonts w:ascii="Arial" w:hAnsi="Arial" w:cs="Arial"/>
          <w:noProof w:val="0"/>
          <w:sz w:val="22"/>
          <w:szCs w:val="22"/>
        </w:rPr>
        <w:t>;</w:t>
      </w:r>
      <w:r w:rsidRPr="00C551E1">
        <w:rPr>
          <w:rFonts w:ascii="Arial" w:hAnsi="Arial" w:cs="Arial"/>
          <w:noProof w:val="0"/>
          <w:sz w:val="22"/>
          <w:szCs w:val="22"/>
        </w:rPr>
        <w:t xml:space="preserve"> y la conformidad de los informes entregados por los consultores o contratistas será potestad del Director de División y del Coordinador Técnico del Proyecto. El plazo de estos informes será concordante con las metas de trabajo y entrega de productos. A partir de estos informes y de las reuniones mencionadas se alimentará el sistema de seguimiento y se prepararán los reportes </w:t>
      </w:r>
      <w:r w:rsidRPr="00C551E1">
        <w:rPr>
          <w:rFonts w:ascii="Arial" w:hAnsi="Arial" w:cs="Arial"/>
          <w:noProof w:val="0"/>
          <w:sz w:val="22"/>
          <w:szCs w:val="22"/>
        </w:rPr>
        <w:lastRenderedPageBreak/>
        <w:t>pertinentes. Para el caso de bienes adquiridos</w:t>
      </w:r>
      <w:r w:rsidR="00F16DDE" w:rsidRPr="00C551E1">
        <w:rPr>
          <w:rFonts w:ascii="Arial" w:hAnsi="Arial" w:cs="Arial"/>
          <w:noProof w:val="0"/>
          <w:sz w:val="22"/>
          <w:szCs w:val="22"/>
        </w:rPr>
        <w:t>,</w:t>
      </w:r>
      <w:r w:rsidRPr="00C551E1">
        <w:rPr>
          <w:rFonts w:ascii="Arial" w:hAnsi="Arial" w:cs="Arial"/>
          <w:noProof w:val="0"/>
          <w:sz w:val="22"/>
          <w:szCs w:val="22"/>
        </w:rPr>
        <w:t xml:space="preserve"> la </w:t>
      </w:r>
      <w:r w:rsidR="00C47A61" w:rsidRPr="00C551E1">
        <w:rPr>
          <w:rFonts w:ascii="Arial" w:hAnsi="Arial" w:cs="Arial"/>
          <w:noProof w:val="0"/>
          <w:sz w:val="22"/>
          <w:szCs w:val="22"/>
        </w:rPr>
        <w:t>UEP</w:t>
      </w:r>
      <w:r w:rsidRPr="00C551E1">
        <w:rPr>
          <w:rFonts w:ascii="Arial" w:hAnsi="Arial" w:cs="Arial"/>
          <w:noProof w:val="0"/>
          <w:sz w:val="22"/>
          <w:szCs w:val="22"/>
        </w:rPr>
        <w:t xml:space="preserve"> verificará la</w:t>
      </w:r>
      <w:r w:rsidR="00F16DDE" w:rsidRPr="00C551E1">
        <w:rPr>
          <w:rFonts w:ascii="Arial" w:hAnsi="Arial" w:cs="Arial"/>
          <w:noProof w:val="0"/>
          <w:sz w:val="22"/>
          <w:szCs w:val="22"/>
        </w:rPr>
        <w:t>s características</w:t>
      </w:r>
      <w:r w:rsidRPr="00C551E1">
        <w:rPr>
          <w:rFonts w:ascii="Arial" w:hAnsi="Arial" w:cs="Arial"/>
          <w:noProof w:val="0"/>
          <w:sz w:val="22"/>
          <w:szCs w:val="22"/>
        </w:rPr>
        <w:t xml:space="preserve"> de </w:t>
      </w:r>
      <w:r w:rsidR="007D4995" w:rsidRPr="00C551E1">
        <w:rPr>
          <w:rFonts w:ascii="Arial" w:hAnsi="Arial" w:cs="Arial"/>
          <w:noProof w:val="0"/>
          <w:sz w:val="22"/>
          <w:szCs w:val="22"/>
        </w:rPr>
        <w:t>estos</w:t>
      </w:r>
      <w:r w:rsidRPr="00C551E1">
        <w:rPr>
          <w:rFonts w:ascii="Arial" w:hAnsi="Arial" w:cs="Arial"/>
          <w:noProof w:val="0"/>
          <w:sz w:val="22"/>
          <w:szCs w:val="22"/>
        </w:rPr>
        <w:t xml:space="preserve"> y puesta en uso de tales bienes.</w:t>
      </w:r>
    </w:p>
    <w:p w14:paraId="279EC5CC" w14:textId="48E82EBA" w:rsidR="007E5F12" w:rsidRPr="00F134B3" w:rsidRDefault="007E5F12" w:rsidP="00F134B3">
      <w:pPr>
        <w:pStyle w:val="NormalWeb"/>
        <w:jc w:val="both"/>
        <w:rPr>
          <w:rFonts w:ascii="Arial" w:hAnsi="Arial" w:cs="Arial"/>
          <w:spacing w:val="-2"/>
          <w:sz w:val="22"/>
          <w:szCs w:val="22"/>
          <w:lang w:val="es-ES_tradnl" w:eastAsia="x-none"/>
        </w:rPr>
      </w:pPr>
      <w:r w:rsidRPr="00F134B3">
        <w:rPr>
          <w:rFonts w:ascii="Arial" w:hAnsi="Arial" w:cs="Arial"/>
          <w:spacing w:val="-2"/>
          <w:sz w:val="22"/>
          <w:szCs w:val="22"/>
          <w:lang w:val="es-ES_tradnl" w:eastAsia="x-none"/>
        </w:rPr>
        <w:t xml:space="preserve">Las principales actividades relacionadas con el monitoreo y evaluación del </w:t>
      </w:r>
      <w:r w:rsidR="002B5292">
        <w:rPr>
          <w:rFonts w:ascii="Arial" w:hAnsi="Arial" w:cs="Arial"/>
          <w:spacing w:val="-2"/>
          <w:sz w:val="22"/>
          <w:szCs w:val="22"/>
          <w:lang w:val="es-ES_tradnl" w:eastAsia="x-none"/>
        </w:rPr>
        <w:t>programa</w:t>
      </w:r>
      <w:r w:rsidR="006834EE" w:rsidRPr="00C551E1">
        <w:rPr>
          <w:rFonts w:ascii="Arial" w:hAnsi="Arial" w:cs="Arial"/>
          <w:spacing w:val="-2"/>
          <w:sz w:val="22"/>
          <w:szCs w:val="22"/>
          <w:lang w:val="es-ES_tradnl" w:eastAsia="x-none"/>
        </w:rPr>
        <w:t>,</w:t>
      </w:r>
      <w:r w:rsidRPr="00F134B3">
        <w:rPr>
          <w:rFonts w:ascii="Arial" w:hAnsi="Arial" w:cs="Arial"/>
          <w:spacing w:val="-2"/>
          <w:sz w:val="22"/>
          <w:szCs w:val="22"/>
          <w:lang w:val="es-ES_tradnl" w:eastAsia="x-none"/>
        </w:rPr>
        <w:t xml:space="preserve"> así como el costo y fuente de financiamiento están detalladas en </w:t>
      </w:r>
      <w:r w:rsidR="008F4115" w:rsidRPr="00C551E1">
        <w:rPr>
          <w:rFonts w:ascii="Arial" w:hAnsi="Arial" w:cs="Arial"/>
          <w:spacing w:val="-2"/>
          <w:sz w:val="22"/>
          <w:szCs w:val="22"/>
          <w:lang w:val="es-ES_tradnl" w:eastAsia="x-none"/>
        </w:rPr>
        <w:t>el cuadro 2</w:t>
      </w:r>
      <w:r w:rsidRPr="00F134B3">
        <w:rPr>
          <w:rFonts w:ascii="Arial" w:hAnsi="Arial" w:cs="Arial"/>
          <w:spacing w:val="-2"/>
          <w:sz w:val="22"/>
          <w:szCs w:val="22"/>
          <w:lang w:val="es-ES_tradnl" w:eastAsia="x-none"/>
        </w:rPr>
        <w:t xml:space="preserve">. Estas actividades son responsabilidad de la </w:t>
      </w:r>
      <w:r w:rsidR="006834EE" w:rsidRPr="00C551E1">
        <w:rPr>
          <w:rFonts w:ascii="Arial" w:hAnsi="Arial" w:cs="Arial"/>
          <w:spacing w:val="-2"/>
          <w:sz w:val="22"/>
          <w:szCs w:val="22"/>
          <w:lang w:val="es-ES_tradnl" w:eastAsia="x-none"/>
        </w:rPr>
        <w:t>U</w:t>
      </w:r>
      <w:r w:rsidRPr="00F134B3">
        <w:rPr>
          <w:rFonts w:ascii="Arial" w:hAnsi="Arial" w:cs="Arial"/>
          <w:spacing w:val="-2"/>
          <w:sz w:val="22"/>
          <w:szCs w:val="22"/>
          <w:lang w:val="es-ES_tradnl" w:eastAsia="x-none"/>
        </w:rPr>
        <w:t xml:space="preserve">nidad </w:t>
      </w:r>
      <w:r w:rsidR="006834EE" w:rsidRPr="00C551E1">
        <w:rPr>
          <w:rFonts w:ascii="Arial" w:hAnsi="Arial" w:cs="Arial"/>
          <w:spacing w:val="-2"/>
          <w:sz w:val="22"/>
          <w:szCs w:val="22"/>
          <w:lang w:val="es-ES_tradnl" w:eastAsia="x-none"/>
        </w:rPr>
        <w:t>E</w:t>
      </w:r>
      <w:r w:rsidRPr="00F134B3">
        <w:rPr>
          <w:rFonts w:ascii="Arial" w:hAnsi="Arial" w:cs="Arial"/>
          <w:spacing w:val="-2"/>
          <w:sz w:val="22"/>
          <w:szCs w:val="22"/>
          <w:lang w:val="es-ES_tradnl" w:eastAsia="x-none"/>
        </w:rPr>
        <w:t>jecutora</w:t>
      </w:r>
      <w:r w:rsidR="006834EE" w:rsidRPr="00C551E1">
        <w:rPr>
          <w:rFonts w:ascii="Arial" w:hAnsi="Arial" w:cs="Arial"/>
          <w:spacing w:val="-2"/>
          <w:sz w:val="22"/>
          <w:szCs w:val="22"/>
          <w:lang w:val="es-ES_tradnl" w:eastAsia="x-none"/>
        </w:rPr>
        <w:t xml:space="preserve"> y </w:t>
      </w:r>
      <w:r w:rsidR="009D10CE" w:rsidRPr="00C551E1">
        <w:rPr>
          <w:rFonts w:ascii="Arial" w:hAnsi="Arial" w:cs="Arial"/>
          <w:spacing w:val="-2"/>
          <w:sz w:val="22"/>
          <w:szCs w:val="22"/>
          <w:lang w:val="es-ES_tradnl" w:eastAsia="x-none"/>
        </w:rPr>
        <w:t>B</w:t>
      </w:r>
      <w:r w:rsidR="006834EE" w:rsidRPr="00C551E1">
        <w:rPr>
          <w:rFonts w:ascii="Arial" w:hAnsi="Arial" w:cs="Arial"/>
          <w:spacing w:val="-2"/>
          <w:sz w:val="22"/>
          <w:szCs w:val="22"/>
          <w:lang w:val="es-ES_tradnl" w:eastAsia="x-none"/>
        </w:rPr>
        <w:t>anco</w:t>
      </w:r>
      <w:r w:rsidRPr="00F134B3">
        <w:rPr>
          <w:rFonts w:ascii="Arial" w:hAnsi="Arial" w:cs="Arial"/>
          <w:spacing w:val="-2"/>
          <w:sz w:val="22"/>
          <w:szCs w:val="22"/>
          <w:lang w:val="es-ES_tradnl" w:eastAsia="x-none"/>
        </w:rPr>
        <w:t xml:space="preserve"> y serán financiadas principalmente con recursos del </w:t>
      </w:r>
      <w:r w:rsidR="002B5292">
        <w:rPr>
          <w:rFonts w:ascii="Arial" w:hAnsi="Arial" w:cs="Arial"/>
          <w:spacing w:val="-2"/>
          <w:sz w:val="22"/>
          <w:szCs w:val="22"/>
          <w:lang w:val="es-ES_tradnl" w:eastAsia="x-none"/>
        </w:rPr>
        <w:t>programa</w:t>
      </w:r>
      <w:r w:rsidRPr="00F134B3">
        <w:rPr>
          <w:rFonts w:ascii="Arial" w:hAnsi="Arial" w:cs="Arial"/>
          <w:spacing w:val="-2"/>
          <w:sz w:val="22"/>
          <w:szCs w:val="22"/>
          <w:lang w:val="es-ES_tradnl" w:eastAsia="x-none"/>
        </w:rPr>
        <w:t>, presupuestos de supervisión y presupuesto administrativo.</w:t>
      </w:r>
      <w:r w:rsidR="005703B5">
        <w:rPr>
          <w:rFonts w:ascii="Arial" w:hAnsi="Arial" w:cs="Arial"/>
          <w:spacing w:val="-2"/>
          <w:sz w:val="22"/>
          <w:szCs w:val="22"/>
          <w:lang w:val="es-ES_tradnl" w:eastAsia="x-none"/>
        </w:rPr>
        <w:t xml:space="preserve"> El costo total del Plan de Seguimiento es US$135.000.</w:t>
      </w:r>
    </w:p>
    <w:p w14:paraId="4250DE3F" w14:textId="77777777" w:rsidR="001B5186" w:rsidRPr="00C551E1" w:rsidRDefault="001B5186" w:rsidP="00792B59">
      <w:pPr>
        <w:pStyle w:val="AutoNumpara"/>
        <w:numPr>
          <w:ilvl w:val="0"/>
          <w:numId w:val="0"/>
        </w:numPr>
        <w:ind w:left="720"/>
        <w:rPr>
          <w:rFonts w:ascii="Arial" w:hAnsi="Arial" w:cs="Arial"/>
          <w:noProof w:val="0"/>
          <w:color w:val="000000"/>
          <w:sz w:val="22"/>
          <w:szCs w:val="22"/>
        </w:rPr>
      </w:pPr>
    </w:p>
    <w:p w14:paraId="336AE3D7" w14:textId="77777777" w:rsidR="001B5186" w:rsidRPr="00C551E1" w:rsidRDefault="001B5186" w:rsidP="00792B59">
      <w:pPr>
        <w:pStyle w:val="ColorfulList-Accent11"/>
        <w:jc w:val="both"/>
        <w:rPr>
          <w:rFonts w:ascii="Arial" w:hAnsi="Arial" w:cs="Arial"/>
          <w:color w:val="000000"/>
          <w:lang w:val="es-ES_tradnl"/>
        </w:rPr>
      </w:pPr>
    </w:p>
    <w:p w14:paraId="26B3777D" w14:textId="77777777" w:rsidR="001B5186" w:rsidRPr="00C551E1" w:rsidRDefault="001B5186" w:rsidP="00792B59">
      <w:pPr>
        <w:pStyle w:val="ColorfulList-Accent11"/>
        <w:ind w:left="0"/>
        <w:jc w:val="both"/>
        <w:rPr>
          <w:rFonts w:ascii="Arial" w:hAnsi="Arial" w:cs="Arial"/>
          <w:color w:val="000000"/>
          <w:lang w:val="es-ES_tradnl"/>
        </w:rPr>
        <w:sectPr w:rsidR="001B5186" w:rsidRPr="00C551E1" w:rsidSect="00C50FC7">
          <w:pgSz w:w="12240" w:h="15840"/>
          <w:pgMar w:top="1440" w:right="1800" w:bottom="1440" w:left="1800" w:header="720" w:footer="720" w:gutter="0"/>
          <w:cols w:space="720"/>
          <w:docGrid w:linePitch="360"/>
        </w:sectPr>
      </w:pPr>
    </w:p>
    <w:p w14:paraId="4DFBBBB8" w14:textId="77777777" w:rsidR="001B5186" w:rsidRPr="00C551E1" w:rsidRDefault="00DD2D6F">
      <w:pPr>
        <w:pStyle w:val="heading-b24"/>
        <w:keepNext/>
        <w:spacing w:after="0"/>
        <w:jc w:val="both"/>
        <w:rPr>
          <w:rFonts w:ascii="Arial" w:eastAsia="Calibri" w:hAnsi="Arial" w:cs="Arial"/>
          <w:smallCaps w:val="0"/>
          <w:sz w:val="22"/>
          <w:szCs w:val="22"/>
        </w:rPr>
      </w:pPr>
      <w:r w:rsidRPr="00C551E1">
        <w:rPr>
          <w:rFonts w:ascii="Arial" w:hAnsi="Arial" w:cs="Arial"/>
          <w:smallCaps w:val="0"/>
          <w:sz w:val="22"/>
          <w:szCs w:val="22"/>
        </w:rPr>
        <w:lastRenderedPageBreak/>
        <w:t>Cuadro</w:t>
      </w:r>
      <w:r w:rsidR="007011EF" w:rsidRPr="00C551E1">
        <w:rPr>
          <w:rFonts w:ascii="Arial" w:hAnsi="Arial" w:cs="Arial"/>
          <w:smallCaps w:val="0"/>
          <w:sz w:val="22"/>
          <w:szCs w:val="22"/>
        </w:rPr>
        <w:t xml:space="preserve"> 2. </w:t>
      </w:r>
      <w:r w:rsidRPr="00C551E1">
        <w:rPr>
          <w:rFonts w:ascii="Arial" w:eastAsia="Calibri" w:hAnsi="Arial" w:cs="Arial"/>
          <w:smallCaps w:val="0"/>
          <w:sz w:val="22"/>
          <w:szCs w:val="22"/>
        </w:rPr>
        <w:t>Plan de trabajo de seguimiento</w:t>
      </w:r>
    </w:p>
    <w:tbl>
      <w:tblPr>
        <w:tblW w:w="0" w:type="auto"/>
        <w:tblInd w:w="-5" w:type="dxa"/>
        <w:tblLook w:val="04A0" w:firstRow="1" w:lastRow="0" w:firstColumn="1" w:lastColumn="0" w:noHBand="0" w:noVBand="1"/>
      </w:tblPr>
      <w:tblGrid>
        <w:gridCol w:w="3837"/>
        <w:gridCol w:w="339"/>
        <w:gridCol w:w="339"/>
        <w:gridCol w:w="339"/>
        <w:gridCol w:w="339"/>
        <w:gridCol w:w="339"/>
        <w:gridCol w:w="339"/>
        <w:gridCol w:w="339"/>
        <w:gridCol w:w="339"/>
        <w:gridCol w:w="363"/>
        <w:gridCol w:w="424"/>
        <w:gridCol w:w="339"/>
        <w:gridCol w:w="339"/>
        <w:gridCol w:w="339"/>
        <w:gridCol w:w="339"/>
        <w:gridCol w:w="339"/>
        <w:gridCol w:w="339"/>
        <w:gridCol w:w="339"/>
        <w:gridCol w:w="339"/>
        <w:gridCol w:w="339"/>
        <w:gridCol w:w="339"/>
        <w:gridCol w:w="1134"/>
        <w:gridCol w:w="2535"/>
      </w:tblGrid>
      <w:tr w:rsidR="006F7108" w:rsidRPr="00C551E1" w14:paraId="7104A0E1" w14:textId="77777777" w:rsidTr="00F134B3">
        <w:trPr>
          <w:trHeight w:val="89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D21C34"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Principales actividades de seguimiento/Productos por actividad</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90BA2E"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Año 1</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432E88"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Año 2</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A5CFD9B"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Año 3</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7A1A39"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Año 4</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4CBA4C"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Año 5</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748E791" w14:textId="73559DF4" w:rsidR="006F7108" w:rsidRDefault="006F7108">
            <w:pPr>
              <w:keepNext/>
              <w:jc w:val="center"/>
              <w:rPr>
                <w:rFonts w:ascii="Arial" w:hAnsi="Arial" w:cs="Arial"/>
                <w:b/>
                <w:bCs/>
                <w:color w:val="000000"/>
                <w:spacing w:val="0"/>
                <w:sz w:val="22"/>
                <w:szCs w:val="22"/>
              </w:rPr>
            </w:pPr>
            <w:r w:rsidRPr="00F134B3">
              <w:rPr>
                <w:rFonts w:ascii="Arial" w:hAnsi="Arial" w:cs="Arial"/>
                <w:b/>
                <w:bCs/>
                <w:color w:val="000000"/>
                <w:spacing w:val="0"/>
                <w:sz w:val="22"/>
                <w:szCs w:val="22"/>
              </w:rPr>
              <w:t>Costo</w:t>
            </w:r>
          </w:p>
          <w:p w14:paraId="7193DB49" w14:textId="1679C148" w:rsidR="005703B5" w:rsidRPr="00F134B3" w:rsidRDefault="005703B5" w:rsidP="00F134B3">
            <w:pPr>
              <w:keepNext/>
              <w:jc w:val="center"/>
              <w:rPr>
                <w:rFonts w:ascii="Arial" w:hAnsi="Arial" w:cs="Arial"/>
                <w:b/>
                <w:bCs/>
                <w:color w:val="000000"/>
                <w:spacing w:val="0"/>
                <w:sz w:val="22"/>
                <w:szCs w:val="22"/>
              </w:rPr>
            </w:pPr>
            <w:r>
              <w:rPr>
                <w:rFonts w:ascii="Arial" w:hAnsi="Arial" w:cs="Arial"/>
                <w:b/>
                <w:bCs/>
                <w:color w:val="000000"/>
                <w:spacing w:val="0"/>
                <w:sz w:val="22"/>
                <w:szCs w:val="22"/>
              </w:rPr>
              <w:t>US$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84CAFE4"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 xml:space="preserve">Fuente de financiamiento y responsables </w:t>
            </w:r>
          </w:p>
        </w:tc>
      </w:tr>
      <w:tr w:rsidR="006F7108" w:rsidRPr="00C551E1" w14:paraId="4C0D7A87" w14:textId="77777777" w:rsidTr="00F134B3">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CDCE2" w14:textId="77777777" w:rsidR="006F7108" w:rsidRPr="00F134B3" w:rsidRDefault="006F7108" w:rsidP="00F134B3">
            <w:pPr>
              <w:keepNext/>
              <w:rPr>
                <w:rFonts w:ascii="Arial" w:hAnsi="Arial" w:cs="Arial"/>
                <w:b/>
                <w:bCs/>
                <w:color w:val="000000"/>
                <w:spacing w:val="0"/>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1D2C1C2" w14:textId="77777777" w:rsidR="006F7108" w:rsidRPr="00F134B3" w:rsidRDefault="006F7108" w:rsidP="00F134B3">
            <w:pPr>
              <w:keepNext/>
              <w:rPr>
                <w:rFonts w:ascii="Arial" w:hAnsi="Arial" w:cs="Arial"/>
                <w:b/>
                <w:bCs/>
                <w:color w:val="000000"/>
                <w:spacing w:val="0"/>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D6032C0" w14:textId="77777777" w:rsidR="006F7108" w:rsidRPr="00F134B3" w:rsidRDefault="006F7108" w:rsidP="00F134B3">
            <w:pPr>
              <w:keepNext/>
              <w:rPr>
                <w:rFonts w:ascii="Arial" w:hAnsi="Arial" w:cs="Arial"/>
                <w:b/>
                <w:bCs/>
                <w:color w:val="000000"/>
                <w:spacing w:val="0"/>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E87D295" w14:textId="77777777" w:rsidR="006F7108" w:rsidRPr="00F134B3" w:rsidRDefault="006F7108" w:rsidP="00F134B3">
            <w:pPr>
              <w:keepNext/>
              <w:rPr>
                <w:rFonts w:ascii="Arial" w:hAnsi="Arial" w:cs="Arial"/>
                <w:b/>
                <w:bCs/>
                <w:color w:val="000000"/>
                <w:spacing w:val="0"/>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BA66803" w14:textId="77777777" w:rsidR="006F7108" w:rsidRPr="00F134B3" w:rsidRDefault="006F7108" w:rsidP="00F134B3">
            <w:pPr>
              <w:keepNext/>
              <w:rPr>
                <w:rFonts w:ascii="Arial" w:hAnsi="Arial" w:cs="Arial"/>
                <w:b/>
                <w:bCs/>
                <w:color w:val="000000"/>
                <w:spacing w:val="0"/>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9F0F250" w14:textId="77777777" w:rsidR="006F7108" w:rsidRPr="00F134B3" w:rsidRDefault="006F7108" w:rsidP="00F134B3">
            <w:pPr>
              <w:keepNext/>
              <w:rPr>
                <w:rFonts w:ascii="Arial" w:hAnsi="Arial" w:cs="Arial"/>
                <w:b/>
                <w:bCs/>
                <w:color w:val="000000"/>
                <w:spacing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CBBE2" w14:textId="77777777" w:rsidR="006F7108" w:rsidRPr="00F134B3" w:rsidRDefault="006F7108" w:rsidP="00F134B3">
            <w:pPr>
              <w:keepNext/>
              <w:rPr>
                <w:rFonts w:ascii="Arial" w:hAnsi="Arial" w:cs="Arial"/>
                <w:b/>
                <w:bCs/>
                <w:color w:val="000000"/>
                <w:spacing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DD691" w14:textId="77777777" w:rsidR="006F7108" w:rsidRPr="00F134B3" w:rsidRDefault="006F7108" w:rsidP="00F134B3">
            <w:pPr>
              <w:keepNext/>
              <w:rPr>
                <w:rFonts w:ascii="Arial" w:hAnsi="Arial" w:cs="Arial"/>
                <w:b/>
                <w:bCs/>
                <w:color w:val="000000"/>
                <w:spacing w:val="0"/>
                <w:sz w:val="22"/>
                <w:szCs w:val="22"/>
              </w:rPr>
            </w:pPr>
          </w:p>
        </w:tc>
      </w:tr>
      <w:tr w:rsidR="00C34ED4" w:rsidRPr="00C551E1" w14:paraId="1C1A93D1" w14:textId="77777777" w:rsidTr="00D02FA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26A2E" w14:textId="77777777" w:rsidR="006F7108" w:rsidRPr="00F134B3" w:rsidRDefault="006F7108" w:rsidP="00F134B3">
            <w:pPr>
              <w:keepNext/>
              <w:rPr>
                <w:rFonts w:ascii="Arial" w:hAnsi="Arial" w:cs="Arial"/>
                <w:b/>
                <w:bCs/>
                <w:color w:val="000000"/>
                <w:spacing w:val="0"/>
                <w:sz w:val="22"/>
                <w:szCs w:val="22"/>
              </w:rPr>
            </w:pPr>
          </w:p>
        </w:tc>
        <w:tc>
          <w:tcPr>
            <w:tcW w:w="0" w:type="auto"/>
            <w:tcBorders>
              <w:top w:val="nil"/>
              <w:left w:val="nil"/>
              <w:bottom w:val="single" w:sz="4" w:space="0" w:color="auto"/>
              <w:right w:val="single" w:sz="4" w:space="0" w:color="auto"/>
            </w:tcBorders>
            <w:shd w:val="clear" w:color="000000" w:fill="D9D9D9"/>
            <w:vAlign w:val="center"/>
            <w:hideMark/>
          </w:tcPr>
          <w:p w14:paraId="0F503816"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1</w:t>
            </w:r>
          </w:p>
        </w:tc>
        <w:tc>
          <w:tcPr>
            <w:tcW w:w="0" w:type="auto"/>
            <w:tcBorders>
              <w:top w:val="nil"/>
              <w:left w:val="nil"/>
              <w:bottom w:val="single" w:sz="4" w:space="0" w:color="auto"/>
              <w:right w:val="single" w:sz="4" w:space="0" w:color="auto"/>
            </w:tcBorders>
            <w:shd w:val="clear" w:color="000000" w:fill="D9D9D9"/>
            <w:vAlign w:val="center"/>
            <w:hideMark/>
          </w:tcPr>
          <w:p w14:paraId="13846183"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2</w:t>
            </w:r>
          </w:p>
        </w:tc>
        <w:tc>
          <w:tcPr>
            <w:tcW w:w="0" w:type="auto"/>
            <w:tcBorders>
              <w:top w:val="nil"/>
              <w:left w:val="nil"/>
              <w:bottom w:val="single" w:sz="4" w:space="0" w:color="auto"/>
              <w:right w:val="single" w:sz="4" w:space="0" w:color="auto"/>
            </w:tcBorders>
            <w:shd w:val="clear" w:color="000000" w:fill="D9D9D9"/>
            <w:vAlign w:val="center"/>
            <w:hideMark/>
          </w:tcPr>
          <w:p w14:paraId="589D96EF"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3</w:t>
            </w:r>
          </w:p>
        </w:tc>
        <w:tc>
          <w:tcPr>
            <w:tcW w:w="0" w:type="auto"/>
            <w:tcBorders>
              <w:top w:val="nil"/>
              <w:left w:val="nil"/>
              <w:bottom w:val="single" w:sz="4" w:space="0" w:color="auto"/>
              <w:right w:val="single" w:sz="4" w:space="0" w:color="auto"/>
            </w:tcBorders>
            <w:shd w:val="clear" w:color="000000" w:fill="D9D9D9"/>
            <w:vAlign w:val="center"/>
            <w:hideMark/>
          </w:tcPr>
          <w:p w14:paraId="30B43F71"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4</w:t>
            </w:r>
          </w:p>
        </w:tc>
        <w:tc>
          <w:tcPr>
            <w:tcW w:w="0" w:type="auto"/>
            <w:tcBorders>
              <w:top w:val="nil"/>
              <w:left w:val="nil"/>
              <w:bottom w:val="single" w:sz="4" w:space="0" w:color="auto"/>
              <w:right w:val="single" w:sz="4" w:space="0" w:color="auto"/>
            </w:tcBorders>
            <w:shd w:val="clear" w:color="000000" w:fill="D9D9D9"/>
            <w:vAlign w:val="center"/>
            <w:hideMark/>
          </w:tcPr>
          <w:p w14:paraId="0DF2AC1E"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1</w:t>
            </w:r>
          </w:p>
        </w:tc>
        <w:tc>
          <w:tcPr>
            <w:tcW w:w="0" w:type="auto"/>
            <w:tcBorders>
              <w:top w:val="nil"/>
              <w:left w:val="nil"/>
              <w:bottom w:val="single" w:sz="4" w:space="0" w:color="auto"/>
              <w:right w:val="single" w:sz="4" w:space="0" w:color="auto"/>
            </w:tcBorders>
            <w:shd w:val="clear" w:color="000000" w:fill="D9D9D9"/>
            <w:vAlign w:val="center"/>
            <w:hideMark/>
          </w:tcPr>
          <w:p w14:paraId="31C1BB1D"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2</w:t>
            </w:r>
          </w:p>
        </w:tc>
        <w:tc>
          <w:tcPr>
            <w:tcW w:w="0" w:type="auto"/>
            <w:tcBorders>
              <w:top w:val="nil"/>
              <w:left w:val="nil"/>
              <w:bottom w:val="single" w:sz="4" w:space="0" w:color="auto"/>
              <w:right w:val="single" w:sz="4" w:space="0" w:color="auto"/>
            </w:tcBorders>
            <w:shd w:val="clear" w:color="000000" w:fill="D9D9D9"/>
            <w:vAlign w:val="center"/>
            <w:hideMark/>
          </w:tcPr>
          <w:p w14:paraId="7034148F"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3</w:t>
            </w:r>
          </w:p>
        </w:tc>
        <w:tc>
          <w:tcPr>
            <w:tcW w:w="0" w:type="auto"/>
            <w:tcBorders>
              <w:top w:val="nil"/>
              <w:left w:val="nil"/>
              <w:bottom w:val="single" w:sz="4" w:space="0" w:color="auto"/>
              <w:right w:val="single" w:sz="4" w:space="0" w:color="auto"/>
            </w:tcBorders>
            <w:shd w:val="clear" w:color="000000" w:fill="D9D9D9"/>
            <w:vAlign w:val="center"/>
            <w:hideMark/>
          </w:tcPr>
          <w:p w14:paraId="1905A7AA"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4</w:t>
            </w:r>
          </w:p>
        </w:tc>
        <w:tc>
          <w:tcPr>
            <w:tcW w:w="0" w:type="auto"/>
            <w:tcBorders>
              <w:top w:val="nil"/>
              <w:left w:val="nil"/>
              <w:bottom w:val="single" w:sz="4" w:space="0" w:color="auto"/>
              <w:right w:val="single" w:sz="4" w:space="0" w:color="auto"/>
            </w:tcBorders>
            <w:shd w:val="clear" w:color="000000" w:fill="D9D9D9"/>
            <w:vAlign w:val="center"/>
            <w:hideMark/>
          </w:tcPr>
          <w:p w14:paraId="08FDE606"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1</w:t>
            </w:r>
          </w:p>
        </w:tc>
        <w:tc>
          <w:tcPr>
            <w:tcW w:w="0" w:type="auto"/>
            <w:tcBorders>
              <w:top w:val="nil"/>
              <w:left w:val="nil"/>
              <w:bottom w:val="single" w:sz="4" w:space="0" w:color="auto"/>
              <w:right w:val="single" w:sz="4" w:space="0" w:color="auto"/>
            </w:tcBorders>
            <w:shd w:val="clear" w:color="000000" w:fill="D9D9D9"/>
            <w:vAlign w:val="center"/>
            <w:hideMark/>
          </w:tcPr>
          <w:p w14:paraId="0F6E2FAD"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2</w:t>
            </w:r>
          </w:p>
        </w:tc>
        <w:tc>
          <w:tcPr>
            <w:tcW w:w="0" w:type="auto"/>
            <w:tcBorders>
              <w:top w:val="nil"/>
              <w:left w:val="nil"/>
              <w:bottom w:val="single" w:sz="4" w:space="0" w:color="auto"/>
              <w:right w:val="single" w:sz="4" w:space="0" w:color="auto"/>
            </w:tcBorders>
            <w:shd w:val="clear" w:color="000000" w:fill="D9D9D9"/>
            <w:vAlign w:val="center"/>
            <w:hideMark/>
          </w:tcPr>
          <w:p w14:paraId="1127BBDE"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3</w:t>
            </w:r>
          </w:p>
        </w:tc>
        <w:tc>
          <w:tcPr>
            <w:tcW w:w="0" w:type="auto"/>
            <w:tcBorders>
              <w:top w:val="nil"/>
              <w:left w:val="nil"/>
              <w:bottom w:val="single" w:sz="4" w:space="0" w:color="auto"/>
              <w:right w:val="single" w:sz="4" w:space="0" w:color="auto"/>
            </w:tcBorders>
            <w:shd w:val="clear" w:color="000000" w:fill="D9D9D9"/>
            <w:vAlign w:val="center"/>
            <w:hideMark/>
          </w:tcPr>
          <w:p w14:paraId="3C5EFA15"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4</w:t>
            </w:r>
          </w:p>
        </w:tc>
        <w:tc>
          <w:tcPr>
            <w:tcW w:w="0" w:type="auto"/>
            <w:tcBorders>
              <w:top w:val="nil"/>
              <w:left w:val="nil"/>
              <w:bottom w:val="single" w:sz="4" w:space="0" w:color="auto"/>
              <w:right w:val="single" w:sz="4" w:space="0" w:color="auto"/>
            </w:tcBorders>
            <w:shd w:val="clear" w:color="000000" w:fill="D9D9D9"/>
            <w:vAlign w:val="center"/>
            <w:hideMark/>
          </w:tcPr>
          <w:p w14:paraId="22ACC794"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1</w:t>
            </w:r>
          </w:p>
        </w:tc>
        <w:tc>
          <w:tcPr>
            <w:tcW w:w="0" w:type="auto"/>
            <w:tcBorders>
              <w:top w:val="nil"/>
              <w:left w:val="nil"/>
              <w:bottom w:val="single" w:sz="4" w:space="0" w:color="auto"/>
              <w:right w:val="single" w:sz="4" w:space="0" w:color="auto"/>
            </w:tcBorders>
            <w:shd w:val="clear" w:color="000000" w:fill="D9D9D9"/>
            <w:vAlign w:val="center"/>
            <w:hideMark/>
          </w:tcPr>
          <w:p w14:paraId="59714B56"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2</w:t>
            </w:r>
          </w:p>
        </w:tc>
        <w:tc>
          <w:tcPr>
            <w:tcW w:w="0" w:type="auto"/>
            <w:tcBorders>
              <w:top w:val="nil"/>
              <w:left w:val="nil"/>
              <w:bottom w:val="single" w:sz="4" w:space="0" w:color="auto"/>
              <w:right w:val="single" w:sz="4" w:space="0" w:color="auto"/>
            </w:tcBorders>
            <w:shd w:val="clear" w:color="000000" w:fill="D9D9D9"/>
            <w:vAlign w:val="center"/>
            <w:hideMark/>
          </w:tcPr>
          <w:p w14:paraId="6A640286"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3</w:t>
            </w:r>
          </w:p>
        </w:tc>
        <w:tc>
          <w:tcPr>
            <w:tcW w:w="0" w:type="auto"/>
            <w:tcBorders>
              <w:top w:val="nil"/>
              <w:left w:val="nil"/>
              <w:bottom w:val="single" w:sz="4" w:space="0" w:color="auto"/>
              <w:right w:val="single" w:sz="4" w:space="0" w:color="auto"/>
            </w:tcBorders>
            <w:shd w:val="clear" w:color="000000" w:fill="D9D9D9"/>
            <w:vAlign w:val="center"/>
            <w:hideMark/>
          </w:tcPr>
          <w:p w14:paraId="19C1B82E"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4</w:t>
            </w:r>
          </w:p>
        </w:tc>
        <w:tc>
          <w:tcPr>
            <w:tcW w:w="0" w:type="auto"/>
            <w:tcBorders>
              <w:top w:val="nil"/>
              <w:left w:val="nil"/>
              <w:bottom w:val="single" w:sz="4" w:space="0" w:color="auto"/>
              <w:right w:val="single" w:sz="4" w:space="0" w:color="auto"/>
            </w:tcBorders>
            <w:shd w:val="clear" w:color="000000" w:fill="D9D9D9"/>
            <w:vAlign w:val="center"/>
            <w:hideMark/>
          </w:tcPr>
          <w:p w14:paraId="37C38CF6"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1</w:t>
            </w:r>
          </w:p>
        </w:tc>
        <w:tc>
          <w:tcPr>
            <w:tcW w:w="0" w:type="auto"/>
            <w:tcBorders>
              <w:top w:val="nil"/>
              <w:left w:val="nil"/>
              <w:bottom w:val="single" w:sz="4" w:space="0" w:color="auto"/>
              <w:right w:val="single" w:sz="4" w:space="0" w:color="auto"/>
            </w:tcBorders>
            <w:shd w:val="clear" w:color="000000" w:fill="D9D9D9"/>
            <w:vAlign w:val="center"/>
            <w:hideMark/>
          </w:tcPr>
          <w:p w14:paraId="64038172"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2</w:t>
            </w:r>
          </w:p>
        </w:tc>
        <w:tc>
          <w:tcPr>
            <w:tcW w:w="0" w:type="auto"/>
            <w:tcBorders>
              <w:top w:val="nil"/>
              <w:left w:val="nil"/>
              <w:bottom w:val="single" w:sz="4" w:space="0" w:color="auto"/>
              <w:right w:val="single" w:sz="4" w:space="0" w:color="auto"/>
            </w:tcBorders>
            <w:shd w:val="clear" w:color="000000" w:fill="D9D9D9"/>
            <w:vAlign w:val="center"/>
            <w:hideMark/>
          </w:tcPr>
          <w:p w14:paraId="7589E893"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3</w:t>
            </w:r>
          </w:p>
        </w:tc>
        <w:tc>
          <w:tcPr>
            <w:tcW w:w="0" w:type="auto"/>
            <w:tcBorders>
              <w:top w:val="nil"/>
              <w:left w:val="nil"/>
              <w:bottom w:val="single" w:sz="4" w:space="0" w:color="auto"/>
              <w:right w:val="single" w:sz="4" w:space="0" w:color="auto"/>
            </w:tcBorders>
            <w:shd w:val="clear" w:color="000000" w:fill="D9D9D9"/>
            <w:vAlign w:val="center"/>
            <w:hideMark/>
          </w:tcPr>
          <w:p w14:paraId="46AC3A66" w14:textId="77777777" w:rsidR="006F7108" w:rsidRPr="00F134B3" w:rsidRDefault="006F7108" w:rsidP="00F134B3">
            <w:pPr>
              <w:keepNext/>
              <w:jc w:val="both"/>
              <w:rPr>
                <w:rFonts w:ascii="Arial" w:hAnsi="Arial" w:cs="Arial"/>
                <w:b/>
                <w:bCs/>
                <w:color w:val="000000"/>
                <w:spacing w:val="0"/>
                <w:sz w:val="22"/>
                <w:szCs w:val="22"/>
              </w:rPr>
            </w:pPr>
            <w:r w:rsidRPr="00F134B3">
              <w:rPr>
                <w:rFonts w:ascii="Arial" w:hAnsi="Arial" w:cs="Arial"/>
                <w:b/>
                <w:bCs/>
                <w:color w:val="000000"/>
                <w:spacing w:val="0"/>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94394" w14:textId="77777777" w:rsidR="006F7108" w:rsidRPr="00F134B3" w:rsidRDefault="006F7108" w:rsidP="00F134B3">
            <w:pPr>
              <w:keepNext/>
              <w:rPr>
                <w:rFonts w:ascii="Arial" w:hAnsi="Arial" w:cs="Arial"/>
                <w:b/>
                <w:bCs/>
                <w:color w:val="000000"/>
                <w:spacing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0383F" w14:textId="77777777" w:rsidR="006F7108" w:rsidRPr="00F134B3" w:rsidRDefault="006F7108" w:rsidP="00F134B3">
            <w:pPr>
              <w:keepNext/>
              <w:rPr>
                <w:rFonts w:ascii="Arial" w:hAnsi="Arial" w:cs="Arial"/>
                <w:b/>
                <w:bCs/>
                <w:color w:val="000000"/>
                <w:spacing w:val="0"/>
                <w:sz w:val="22"/>
                <w:szCs w:val="22"/>
              </w:rPr>
            </w:pPr>
          </w:p>
        </w:tc>
      </w:tr>
      <w:tr w:rsidR="006F7108" w:rsidRPr="00C551E1" w14:paraId="18209EB7" w14:textId="77777777" w:rsidTr="00F134B3">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84FA"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Monitoreo y Seguimiento</w:t>
            </w:r>
          </w:p>
        </w:tc>
        <w:tc>
          <w:tcPr>
            <w:tcW w:w="0" w:type="auto"/>
            <w:tcBorders>
              <w:top w:val="nil"/>
              <w:left w:val="nil"/>
              <w:bottom w:val="single" w:sz="4" w:space="0" w:color="auto"/>
              <w:right w:val="single" w:sz="4" w:space="0" w:color="auto"/>
            </w:tcBorders>
            <w:shd w:val="clear" w:color="auto" w:fill="auto"/>
            <w:vAlign w:val="center"/>
            <w:hideMark/>
          </w:tcPr>
          <w:p w14:paraId="62EB52AB"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78CF60E1"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46C4941F"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7E7330D1"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2424ADAD"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2E27811E"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3C912960"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27ED1AAC"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4E25074F"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7D963ED5"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07F5691E"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6CCE6190"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4481BDF5"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40614887"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6F284BCA"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77F08209"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60B984A2"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4822344F"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633DA565"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4EFF06B5"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28B120A0"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FB6364"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UE-MVTOMA</w:t>
            </w:r>
          </w:p>
        </w:tc>
      </w:tr>
      <w:tr w:rsidR="006F7108" w:rsidRPr="00C551E1" w14:paraId="438CE7C9" w14:textId="77777777" w:rsidTr="00F134B3">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58C7A" w14:textId="36999D4A"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Evaluación Intermedia</w:t>
            </w:r>
          </w:p>
        </w:tc>
        <w:tc>
          <w:tcPr>
            <w:tcW w:w="0" w:type="auto"/>
            <w:tcBorders>
              <w:top w:val="nil"/>
              <w:left w:val="nil"/>
              <w:bottom w:val="single" w:sz="4" w:space="0" w:color="auto"/>
              <w:right w:val="single" w:sz="4" w:space="0" w:color="auto"/>
            </w:tcBorders>
            <w:shd w:val="clear" w:color="auto" w:fill="auto"/>
            <w:noWrap/>
            <w:vAlign w:val="bottom"/>
            <w:hideMark/>
          </w:tcPr>
          <w:p w14:paraId="569AEE6C"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B997BA"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FE8307"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0F56FD2"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CFA1AE"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7A7A9C"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BE89D0"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B9D3EB"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303B2AB"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3FEA0ADC"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10AF715E"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9CECA7"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2FA3C6"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EAACC5B"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6E8857"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713DCF"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5CFD9F"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7AAB48"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09BFEC"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14A79C"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6EF491" w14:textId="1244A91E" w:rsidR="006F7108" w:rsidRPr="00F134B3" w:rsidRDefault="006F7108" w:rsidP="00F134B3">
            <w:pPr>
              <w:keepNext/>
              <w:jc w:val="center"/>
              <w:rPr>
                <w:rFonts w:ascii="Arial" w:hAnsi="Arial" w:cs="Arial"/>
                <w:color w:val="000000"/>
                <w:spacing w:val="0"/>
                <w:sz w:val="22"/>
                <w:szCs w:val="22"/>
              </w:rPr>
            </w:pPr>
            <w:r w:rsidRPr="00F134B3">
              <w:rPr>
                <w:rFonts w:ascii="Arial" w:hAnsi="Arial" w:cs="Arial"/>
                <w:color w:val="000000"/>
                <w:spacing w:val="0"/>
                <w:sz w:val="22"/>
                <w:szCs w:val="22"/>
              </w:rPr>
              <w:t>$20.000</w:t>
            </w:r>
          </w:p>
        </w:tc>
        <w:tc>
          <w:tcPr>
            <w:tcW w:w="0" w:type="auto"/>
            <w:tcBorders>
              <w:top w:val="nil"/>
              <w:left w:val="nil"/>
              <w:bottom w:val="single" w:sz="4" w:space="0" w:color="auto"/>
              <w:right w:val="single" w:sz="4" w:space="0" w:color="auto"/>
            </w:tcBorders>
            <w:shd w:val="clear" w:color="auto" w:fill="auto"/>
            <w:noWrap/>
            <w:vAlign w:val="bottom"/>
            <w:hideMark/>
          </w:tcPr>
          <w:p w14:paraId="375E9BD4"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UE-MVTOMA</w:t>
            </w:r>
          </w:p>
        </w:tc>
      </w:tr>
      <w:tr w:rsidR="006F7108" w:rsidRPr="00C551E1" w14:paraId="571CBC8A" w14:textId="77777777" w:rsidTr="00F134B3">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A4E6B6"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Informes Semestrales</w:t>
            </w:r>
          </w:p>
        </w:tc>
        <w:tc>
          <w:tcPr>
            <w:tcW w:w="0" w:type="auto"/>
            <w:tcBorders>
              <w:top w:val="nil"/>
              <w:left w:val="nil"/>
              <w:bottom w:val="single" w:sz="4" w:space="0" w:color="auto"/>
              <w:right w:val="single" w:sz="4" w:space="0" w:color="auto"/>
            </w:tcBorders>
            <w:shd w:val="clear" w:color="auto" w:fill="auto"/>
            <w:noWrap/>
            <w:vAlign w:val="bottom"/>
            <w:hideMark/>
          </w:tcPr>
          <w:p w14:paraId="44337BAE"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1C9875"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211769B"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42FFD154"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B0E661E"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22708E9A"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31B6D9B"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5E48ADF8"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546FB0E"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2F1A1A82"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777BF93"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7FD35C7"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8050927"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743D12A7"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60189AD"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40B992C"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C001955"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1AD89E62"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340DA8A"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A0C97CD"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28921C" w14:textId="6F18A29C" w:rsidR="006F7108" w:rsidRPr="00F134B3" w:rsidRDefault="006F7108" w:rsidP="00F134B3">
            <w:pPr>
              <w:keepNext/>
              <w:jc w:val="center"/>
              <w:rPr>
                <w:rFonts w:ascii="Arial" w:hAnsi="Arial" w:cs="Arial"/>
                <w:color w:val="000000"/>
                <w:spacing w:val="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7176014C"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UE-MVTOMA</w:t>
            </w:r>
          </w:p>
        </w:tc>
      </w:tr>
      <w:tr w:rsidR="006F7108" w:rsidRPr="00C551E1" w14:paraId="63A6A3CB" w14:textId="77777777" w:rsidTr="00F134B3">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79E4C2" w14:textId="3E33FF44"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xml:space="preserve">Evaluación Final </w:t>
            </w:r>
          </w:p>
        </w:tc>
        <w:tc>
          <w:tcPr>
            <w:tcW w:w="0" w:type="auto"/>
            <w:tcBorders>
              <w:top w:val="nil"/>
              <w:left w:val="nil"/>
              <w:bottom w:val="single" w:sz="4" w:space="0" w:color="auto"/>
              <w:right w:val="single" w:sz="4" w:space="0" w:color="auto"/>
            </w:tcBorders>
            <w:shd w:val="clear" w:color="auto" w:fill="auto"/>
            <w:noWrap/>
            <w:vAlign w:val="bottom"/>
            <w:hideMark/>
          </w:tcPr>
          <w:p w14:paraId="5349AC29"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5E77E3"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2A14E2"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6FFEA3"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889992"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782E4F"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957659"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EA1285"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D53828"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D82715"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600E37"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0E6005"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868C64"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4C4935F"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568271"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D72E93"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228B41"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450BE4"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EE5E40C"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646A7F5E"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4A51F46" w14:textId="1F233C26" w:rsidR="006F7108" w:rsidRPr="00F134B3" w:rsidRDefault="006F7108" w:rsidP="00F134B3">
            <w:pPr>
              <w:keepNext/>
              <w:jc w:val="center"/>
              <w:rPr>
                <w:rFonts w:ascii="Arial" w:hAnsi="Arial" w:cs="Arial"/>
                <w:color w:val="000000"/>
                <w:spacing w:val="0"/>
                <w:sz w:val="22"/>
                <w:szCs w:val="22"/>
              </w:rPr>
            </w:pPr>
            <w:r w:rsidRPr="00F134B3">
              <w:rPr>
                <w:rFonts w:ascii="Arial" w:hAnsi="Arial" w:cs="Arial"/>
                <w:color w:val="000000"/>
                <w:spacing w:val="0"/>
                <w:sz w:val="22"/>
                <w:szCs w:val="22"/>
              </w:rPr>
              <w:t>$75.000</w:t>
            </w:r>
          </w:p>
        </w:tc>
        <w:tc>
          <w:tcPr>
            <w:tcW w:w="0" w:type="auto"/>
            <w:tcBorders>
              <w:top w:val="nil"/>
              <w:left w:val="nil"/>
              <w:bottom w:val="single" w:sz="4" w:space="0" w:color="auto"/>
              <w:right w:val="single" w:sz="4" w:space="0" w:color="auto"/>
            </w:tcBorders>
            <w:shd w:val="clear" w:color="auto" w:fill="auto"/>
            <w:noWrap/>
            <w:vAlign w:val="bottom"/>
            <w:hideMark/>
          </w:tcPr>
          <w:p w14:paraId="7B541495"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UE-MVTOMA</w:t>
            </w:r>
          </w:p>
        </w:tc>
      </w:tr>
      <w:tr w:rsidR="006F7108" w:rsidRPr="00C551E1" w14:paraId="4CF7ECD0" w14:textId="77777777" w:rsidTr="00F134B3">
        <w:trPr>
          <w:trHeight w:val="54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692C4"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Visitas de Inspección- reuniones de seguimiento</w:t>
            </w:r>
          </w:p>
        </w:tc>
        <w:tc>
          <w:tcPr>
            <w:tcW w:w="0" w:type="auto"/>
            <w:tcBorders>
              <w:top w:val="nil"/>
              <w:left w:val="nil"/>
              <w:bottom w:val="single" w:sz="4" w:space="0" w:color="auto"/>
              <w:right w:val="single" w:sz="4" w:space="0" w:color="auto"/>
            </w:tcBorders>
            <w:shd w:val="clear" w:color="auto" w:fill="auto"/>
            <w:vAlign w:val="center"/>
            <w:hideMark/>
          </w:tcPr>
          <w:p w14:paraId="4A9931E2"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721B8C48"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25E1968D"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5A596461"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326CD02E"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137B409E"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7A6AA0F2"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67AD62EA"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01B8A6B8"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23E0900D"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790306D5"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042A0E7F"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5C7ACE04"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6E3E4BEA"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66F32F64"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1A6DF203"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06EA1909"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5DCF2DBB"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701A595D"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3DE33D58" w14:textId="77777777" w:rsidR="006F7108" w:rsidRPr="00F134B3" w:rsidRDefault="006F7108" w:rsidP="00F134B3">
            <w:pPr>
              <w:keepNext/>
              <w:jc w:val="both"/>
              <w:rPr>
                <w:rFonts w:ascii="Arial" w:hAnsi="Arial" w:cs="Arial"/>
                <w:spacing w:val="0"/>
                <w:sz w:val="22"/>
                <w:szCs w:val="22"/>
              </w:rPr>
            </w:pPr>
            <w:r w:rsidRPr="00F134B3">
              <w:rPr>
                <w:rFonts w:ascii="Arial" w:hAnsi="Arial" w:cs="Arial"/>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51B53CD9" w14:textId="25C752DA" w:rsidR="006F7108" w:rsidRPr="00F134B3" w:rsidRDefault="006F7108" w:rsidP="00F134B3">
            <w:pPr>
              <w:keepNext/>
              <w:jc w:val="center"/>
              <w:rPr>
                <w:rFonts w:ascii="Arial" w:hAnsi="Arial" w:cs="Arial"/>
                <w:color w:val="000000"/>
                <w:spacing w:val="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6FE8B1BF"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BID</w:t>
            </w:r>
          </w:p>
        </w:tc>
      </w:tr>
      <w:tr w:rsidR="006F7108" w:rsidRPr="00C551E1" w14:paraId="11A0A999" w14:textId="77777777" w:rsidTr="00F134B3">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4CE4A" w14:textId="6BD4B64E"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xml:space="preserve">Misiones de Administración </w:t>
            </w:r>
          </w:p>
        </w:tc>
        <w:tc>
          <w:tcPr>
            <w:tcW w:w="0" w:type="auto"/>
            <w:tcBorders>
              <w:top w:val="nil"/>
              <w:left w:val="nil"/>
              <w:bottom w:val="single" w:sz="4" w:space="0" w:color="auto"/>
              <w:right w:val="single" w:sz="4" w:space="0" w:color="auto"/>
            </w:tcBorders>
            <w:shd w:val="clear" w:color="auto" w:fill="auto"/>
            <w:noWrap/>
            <w:vAlign w:val="bottom"/>
            <w:hideMark/>
          </w:tcPr>
          <w:p w14:paraId="10AAC7D9"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C196F1"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C85D7D"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B75842"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0C1B045"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942E2C"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BBFF10"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34E1AE" w14:textId="5A62D009" w:rsidR="006F7108" w:rsidRPr="00F134B3" w:rsidRDefault="006F7108" w:rsidP="00F134B3">
            <w:pPr>
              <w:keepNext/>
              <w:rPr>
                <w:rFonts w:ascii="Arial" w:hAnsi="Arial" w:cs="Arial"/>
                <w:color w:val="000000"/>
                <w:spacing w:val="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5EC29F85" w14:textId="3B95F99D"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6EA89A" w14:textId="6316D4A0"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X </w:t>
            </w:r>
          </w:p>
        </w:tc>
        <w:tc>
          <w:tcPr>
            <w:tcW w:w="0" w:type="auto"/>
            <w:tcBorders>
              <w:top w:val="nil"/>
              <w:left w:val="nil"/>
              <w:bottom w:val="single" w:sz="4" w:space="0" w:color="auto"/>
              <w:right w:val="single" w:sz="4" w:space="0" w:color="auto"/>
            </w:tcBorders>
            <w:shd w:val="clear" w:color="auto" w:fill="auto"/>
            <w:noWrap/>
            <w:vAlign w:val="bottom"/>
            <w:hideMark/>
          </w:tcPr>
          <w:p w14:paraId="0F46FC62"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4CE663" w14:textId="1BD3D34C" w:rsidR="006F7108" w:rsidRPr="00F134B3" w:rsidRDefault="006F7108" w:rsidP="00F134B3">
            <w:pPr>
              <w:keepNext/>
              <w:rPr>
                <w:rFonts w:ascii="Arial" w:hAnsi="Arial" w:cs="Arial"/>
                <w:color w:val="000000"/>
                <w:spacing w:val="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6E2F32F0" w14:textId="0EC3783A"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3C20C43"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5D2F8B" w14:textId="08DBC436"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F5D318"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34B01344"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DFDF7C"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8D7255"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68225D"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FB0A73" w14:textId="6AC22EE3" w:rsidR="006F7108" w:rsidRPr="00F134B3" w:rsidRDefault="006F7108" w:rsidP="00F134B3">
            <w:pPr>
              <w:keepNext/>
              <w:jc w:val="center"/>
              <w:rPr>
                <w:rFonts w:ascii="Arial" w:hAnsi="Arial" w:cs="Arial"/>
                <w:color w:val="000000"/>
                <w:spacing w:val="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3E45AA3D"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BID</w:t>
            </w:r>
          </w:p>
        </w:tc>
      </w:tr>
      <w:tr w:rsidR="006F7108" w:rsidRPr="00C551E1" w14:paraId="650488B2" w14:textId="77777777" w:rsidTr="00F134B3">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71857"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xml:space="preserve">Auditorias </w:t>
            </w:r>
          </w:p>
        </w:tc>
        <w:tc>
          <w:tcPr>
            <w:tcW w:w="0" w:type="auto"/>
            <w:tcBorders>
              <w:top w:val="nil"/>
              <w:left w:val="nil"/>
              <w:bottom w:val="single" w:sz="4" w:space="0" w:color="auto"/>
              <w:right w:val="single" w:sz="4" w:space="0" w:color="auto"/>
            </w:tcBorders>
            <w:shd w:val="clear" w:color="auto" w:fill="auto"/>
            <w:noWrap/>
            <w:vAlign w:val="bottom"/>
            <w:hideMark/>
          </w:tcPr>
          <w:p w14:paraId="4E8D9F91"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2F4EFA"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F5835E"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BD8FFB"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495A22"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3C13D545"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E988EA"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36527A"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06C126"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462CBCCD"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53D0D3"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7F0C03"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FCB55E"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38C6AEAA"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278F98"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BC79E9"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9DA243"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746683CF"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DB8122"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F5B32B"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E74CD7" w14:textId="368DB56C" w:rsidR="006F7108" w:rsidRPr="00F134B3" w:rsidRDefault="006F7108" w:rsidP="00F134B3">
            <w:pPr>
              <w:keepNext/>
              <w:jc w:val="center"/>
              <w:rPr>
                <w:rFonts w:ascii="Arial" w:hAnsi="Arial" w:cs="Arial"/>
                <w:color w:val="000000"/>
                <w:spacing w:val="0"/>
                <w:sz w:val="22"/>
                <w:szCs w:val="22"/>
              </w:rPr>
            </w:pPr>
            <w:r w:rsidRPr="00F134B3">
              <w:rPr>
                <w:rFonts w:ascii="Arial" w:hAnsi="Arial" w:cs="Arial"/>
                <w:color w:val="000000"/>
                <w:spacing w:val="0"/>
                <w:sz w:val="22"/>
                <w:szCs w:val="22"/>
              </w:rPr>
              <w:t>$40.000</w:t>
            </w:r>
          </w:p>
        </w:tc>
        <w:tc>
          <w:tcPr>
            <w:tcW w:w="0" w:type="auto"/>
            <w:tcBorders>
              <w:top w:val="nil"/>
              <w:left w:val="nil"/>
              <w:bottom w:val="single" w:sz="4" w:space="0" w:color="auto"/>
              <w:right w:val="single" w:sz="4" w:space="0" w:color="auto"/>
            </w:tcBorders>
            <w:shd w:val="clear" w:color="auto" w:fill="auto"/>
            <w:noWrap/>
            <w:vAlign w:val="bottom"/>
            <w:hideMark/>
          </w:tcPr>
          <w:p w14:paraId="2ABE63B9" w14:textId="77777777" w:rsidR="006F7108" w:rsidRPr="00F134B3" w:rsidRDefault="006F7108" w:rsidP="00F134B3">
            <w:pPr>
              <w:keepNext/>
              <w:rPr>
                <w:rFonts w:ascii="Arial" w:hAnsi="Arial" w:cs="Arial"/>
                <w:color w:val="000000"/>
                <w:spacing w:val="0"/>
                <w:sz w:val="22"/>
                <w:szCs w:val="22"/>
              </w:rPr>
            </w:pPr>
            <w:r w:rsidRPr="00F134B3">
              <w:rPr>
                <w:rFonts w:ascii="Arial" w:hAnsi="Arial" w:cs="Arial"/>
                <w:color w:val="000000"/>
                <w:spacing w:val="0"/>
                <w:sz w:val="22"/>
                <w:szCs w:val="22"/>
              </w:rPr>
              <w:t>UE-MVTOMA</w:t>
            </w:r>
          </w:p>
        </w:tc>
      </w:tr>
      <w:tr w:rsidR="007207B9" w:rsidRPr="00C551E1" w14:paraId="535E6307" w14:textId="77777777" w:rsidTr="00F134B3">
        <w:trPr>
          <w:trHeight w:val="2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4784F" w14:textId="6D7C7FBE" w:rsidR="007207B9" w:rsidRPr="00F42B76" w:rsidRDefault="007207B9">
            <w:pPr>
              <w:keepNext/>
              <w:rPr>
                <w:rFonts w:ascii="Arial" w:hAnsi="Arial" w:cs="Arial"/>
                <w:color w:val="000000"/>
                <w:spacing w:val="0"/>
                <w:sz w:val="22"/>
                <w:szCs w:val="22"/>
              </w:rPr>
            </w:pPr>
            <w:r>
              <w:rPr>
                <w:rFonts w:ascii="Arial" w:hAnsi="Arial" w:cs="Arial"/>
                <w:color w:val="000000"/>
                <w:spacing w:val="0"/>
                <w:sz w:val="22"/>
                <w:szCs w:val="22"/>
              </w:rPr>
              <w:t>Costo total:</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1C85DE6"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EC6E2F1"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EFD4611"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575D729"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CC29B1"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768576C"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EEA832"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6B75776"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2A326C8"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138320"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F9A2C81"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AA2E73"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3C4C698"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F03A6BC"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205B55"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65C87F9"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6D928DC"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4014BC0"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0C3D7B2"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36A46D" w14:textId="77777777" w:rsidR="007207B9" w:rsidRPr="00F134B3" w:rsidRDefault="007207B9">
            <w:pPr>
              <w:keepNext/>
              <w:rPr>
                <w:rFonts w:ascii="Arial" w:hAnsi="Arial" w:cs="Arial"/>
                <w:color w:val="000000"/>
                <w:spacing w:val="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F4EBE7E" w14:textId="113E7475" w:rsidR="007207B9" w:rsidRPr="00F42B76" w:rsidRDefault="005703B5">
            <w:pPr>
              <w:keepNext/>
              <w:jc w:val="center"/>
              <w:rPr>
                <w:rFonts w:ascii="Arial" w:hAnsi="Arial" w:cs="Arial"/>
                <w:color w:val="000000"/>
                <w:spacing w:val="0"/>
                <w:sz w:val="22"/>
                <w:szCs w:val="22"/>
              </w:rPr>
            </w:pPr>
            <w:r>
              <w:rPr>
                <w:rFonts w:ascii="Arial" w:hAnsi="Arial" w:cs="Arial"/>
                <w:color w:val="000000"/>
                <w:spacing w:val="0"/>
                <w:sz w:val="22"/>
                <w:szCs w:val="22"/>
              </w:rPr>
              <w:t>$135.000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AEEB9E6" w14:textId="77777777" w:rsidR="007207B9" w:rsidRPr="00F134B3" w:rsidRDefault="007207B9">
            <w:pPr>
              <w:keepNext/>
              <w:rPr>
                <w:rFonts w:ascii="Arial" w:hAnsi="Arial" w:cs="Arial"/>
                <w:color w:val="000000"/>
                <w:spacing w:val="0"/>
                <w:sz w:val="22"/>
                <w:szCs w:val="22"/>
              </w:rPr>
            </w:pPr>
          </w:p>
        </w:tc>
      </w:tr>
    </w:tbl>
    <w:p w14:paraId="63696AD8" w14:textId="5908B184" w:rsidR="007011EF" w:rsidRPr="00C551E1" w:rsidRDefault="00FE067A" w:rsidP="00F134B3">
      <w:pPr>
        <w:keepNext/>
        <w:rPr>
          <w:rFonts w:ascii="Arial" w:hAnsi="Arial" w:cs="Arial"/>
          <w:sz w:val="22"/>
          <w:szCs w:val="22"/>
        </w:rPr>
      </w:pPr>
      <w:r w:rsidRPr="00C551E1">
        <w:rPr>
          <w:rFonts w:ascii="Arial" w:hAnsi="Arial" w:cs="Arial"/>
          <w:sz w:val="22"/>
          <w:szCs w:val="22"/>
        </w:rPr>
        <w:t>Fuente:  elaboración de los autores.</w:t>
      </w:r>
    </w:p>
    <w:p w14:paraId="5E34C253" w14:textId="77777777" w:rsidR="007011EF" w:rsidRPr="00C551E1" w:rsidRDefault="007011EF" w:rsidP="007011EF">
      <w:pPr>
        <w:rPr>
          <w:rFonts w:ascii="Arial" w:hAnsi="Arial" w:cs="Arial"/>
          <w:sz w:val="22"/>
          <w:szCs w:val="22"/>
        </w:rPr>
      </w:pPr>
    </w:p>
    <w:p w14:paraId="227C5211" w14:textId="55812342" w:rsidR="00730B80" w:rsidRPr="00F134B3" w:rsidRDefault="00730B80" w:rsidP="007011EF">
      <w:pPr>
        <w:rPr>
          <w:rFonts w:ascii="Calibri" w:eastAsia="Calibri" w:hAnsi="Calibri"/>
          <w:spacing w:val="0"/>
          <w:sz w:val="20"/>
        </w:rPr>
      </w:pPr>
      <w:r w:rsidRPr="00222974">
        <w:rPr>
          <w:rFonts w:ascii="Arial" w:hAnsi="Arial" w:cs="Arial"/>
          <w:sz w:val="22"/>
          <w:szCs w:val="22"/>
        </w:rPr>
        <w:fldChar w:fldCharType="begin"/>
      </w:r>
      <w:r w:rsidRPr="00C551E1">
        <w:rPr>
          <w:rFonts w:ascii="Arial" w:hAnsi="Arial" w:cs="Arial"/>
          <w:sz w:val="22"/>
          <w:szCs w:val="22"/>
        </w:rPr>
        <w:instrText xml:space="preserve"> LINK Excel.Sheet.12 "C:\\Users\\mvizeu\\AppData\\Local\\Microsoft\\Windows\\INetCache\\Content.Outlook\\2SW21KT4\\Copy of plan seguimiento matriz presupuesto (002).xlsx" "Hoja2!R3C2:R12C25" \a \f 5 \h </w:instrText>
      </w:r>
      <w:r w:rsidRPr="00F134B3">
        <w:rPr>
          <w:rFonts w:ascii="Arial" w:hAnsi="Arial" w:cs="Arial"/>
          <w:sz w:val="22"/>
          <w:szCs w:val="22"/>
        </w:rPr>
        <w:fldChar w:fldCharType="separate"/>
      </w:r>
    </w:p>
    <w:p w14:paraId="290FCC89" w14:textId="187AF03F" w:rsidR="007011EF" w:rsidRPr="00C551E1" w:rsidRDefault="00730B80" w:rsidP="007011EF">
      <w:pPr>
        <w:rPr>
          <w:rFonts w:ascii="Arial" w:hAnsi="Arial" w:cs="Arial"/>
          <w:sz w:val="22"/>
          <w:szCs w:val="22"/>
        </w:rPr>
        <w:sectPr w:rsidR="007011EF" w:rsidRPr="00C551E1" w:rsidSect="00B87A39">
          <w:pgSz w:w="15840" w:h="12240" w:orient="landscape" w:code="1"/>
          <w:pgMar w:top="1440" w:right="720" w:bottom="720" w:left="720" w:header="720" w:footer="720" w:gutter="0"/>
          <w:cols w:space="720"/>
          <w:docGrid w:linePitch="360"/>
        </w:sectPr>
      </w:pPr>
      <w:r w:rsidRPr="00F42B76">
        <w:rPr>
          <w:rFonts w:ascii="Arial" w:hAnsi="Arial" w:cs="Arial"/>
          <w:sz w:val="22"/>
          <w:szCs w:val="22"/>
        </w:rPr>
        <w:fldChar w:fldCharType="end"/>
      </w:r>
    </w:p>
    <w:p w14:paraId="5E266A33" w14:textId="799271E5" w:rsidR="001B5186" w:rsidRPr="00C551E1" w:rsidRDefault="007011EF" w:rsidP="007011EF">
      <w:pPr>
        <w:pStyle w:val="Heading1"/>
        <w:numPr>
          <w:ilvl w:val="0"/>
          <w:numId w:val="0"/>
        </w:numPr>
        <w:jc w:val="both"/>
        <w:rPr>
          <w:rFonts w:ascii="Arial" w:hAnsi="Arial" w:cs="Arial"/>
          <w:smallCaps w:val="0"/>
          <w:noProof w:val="0"/>
          <w:sz w:val="22"/>
          <w:szCs w:val="22"/>
          <w:lang w:val="es-ES_tradnl"/>
        </w:rPr>
      </w:pPr>
      <w:bookmarkStart w:id="22" w:name="_Toc11138478"/>
      <w:bookmarkStart w:id="23" w:name="_Toc12264437"/>
      <w:r w:rsidRPr="00C551E1">
        <w:rPr>
          <w:rFonts w:ascii="Arial" w:hAnsi="Arial" w:cs="Arial"/>
          <w:smallCaps w:val="0"/>
          <w:noProof w:val="0"/>
          <w:sz w:val="22"/>
          <w:szCs w:val="22"/>
          <w:lang w:val="es-ES_tradnl"/>
        </w:rPr>
        <w:lastRenderedPageBreak/>
        <w:t>Parte II. Plan de Evaluación Económica Ex-Post.</w:t>
      </w:r>
      <w:bookmarkEnd w:id="22"/>
      <w:bookmarkEnd w:id="23"/>
    </w:p>
    <w:p w14:paraId="02C51CD8" w14:textId="4240ED7F" w:rsidR="00792B59" w:rsidRPr="00C551E1" w:rsidRDefault="007011EF" w:rsidP="0091595B">
      <w:pPr>
        <w:pStyle w:val="Heading1"/>
        <w:numPr>
          <w:ilvl w:val="0"/>
          <w:numId w:val="0"/>
        </w:numPr>
        <w:ind w:left="288" w:hanging="288"/>
        <w:jc w:val="left"/>
        <w:rPr>
          <w:rFonts w:ascii="Arial" w:eastAsia="Calibri" w:hAnsi="Arial" w:cs="Arial"/>
          <w:noProof w:val="0"/>
          <w:sz w:val="22"/>
          <w:szCs w:val="22"/>
          <w:lang w:val="es-ES_tradnl"/>
        </w:rPr>
      </w:pPr>
      <w:bookmarkStart w:id="24" w:name="_Toc11138479"/>
      <w:bookmarkStart w:id="25" w:name="_Toc12264438"/>
      <w:r w:rsidRPr="00C551E1">
        <w:rPr>
          <w:rFonts w:ascii="Arial" w:eastAsia="Calibri" w:hAnsi="Arial" w:cs="Arial"/>
          <w:noProof w:val="0"/>
          <w:sz w:val="22"/>
          <w:szCs w:val="22"/>
          <w:lang w:val="es-ES_tradnl"/>
        </w:rPr>
        <w:t xml:space="preserve">1.0 </w:t>
      </w:r>
      <w:r w:rsidR="00792B59" w:rsidRPr="00C551E1">
        <w:rPr>
          <w:rFonts w:ascii="Arial" w:eastAsia="Calibri" w:hAnsi="Arial" w:cs="Arial"/>
          <w:noProof w:val="0"/>
          <w:sz w:val="22"/>
          <w:szCs w:val="22"/>
          <w:lang w:val="es-ES_tradnl"/>
        </w:rPr>
        <w:t>Introducción</w:t>
      </w:r>
      <w:bookmarkEnd w:id="24"/>
      <w:bookmarkEnd w:id="25"/>
    </w:p>
    <w:p w14:paraId="5EF036AD" w14:textId="7915F75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de Fortalecimiento de Gestión Ambiental del Ministerio de Vivienda, Ordenamiento Territorial y Medio Ambiente, Uruguay contiene dos objetivos específicos</w:t>
      </w:r>
      <w:r w:rsidR="00810706">
        <w:rPr>
          <w:rFonts w:ascii="Arial" w:eastAsia="Calibri" w:hAnsi="Arial" w:cs="Arial"/>
          <w:sz w:val="22"/>
          <w:szCs w:val="22"/>
          <w:lang w:val="es-ES_tradnl"/>
        </w:rPr>
        <w:t>: (i)</w:t>
      </w:r>
      <w:r w:rsidRPr="00C551E1">
        <w:rPr>
          <w:rFonts w:ascii="Arial" w:eastAsia="Calibri" w:hAnsi="Arial" w:cs="Arial"/>
          <w:sz w:val="22"/>
          <w:szCs w:val="22"/>
          <w:lang w:val="es-ES_tradnl"/>
        </w:rPr>
        <w:t xml:space="preserve"> </w:t>
      </w:r>
      <w:r w:rsidR="00810706">
        <w:rPr>
          <w:rFonts w:ascii="Arial" w:eastAsia="Calibri" w:hAnsi="Arial" w:cs="Arial"/>
          <w:sz w:val="22"/>
          <w:szCs w:val="22"/>
          <w:lang w:val="es-ES_tradnl"/>
        </w:rPr>
        <w:t>f</w:t>
      </w:r>
      <w:r w:rsidRPr="00C551E1">
        <w:rPr>
          <w:rFonts w:ascii="Arial" w:eastAsia="Calibri" w:hAnsi="Arial" w:cs="Arial"/>
          <w:sz w:val="22"/>
          <w:szCs w:val="22"/>
          <w:lang w:val="es-ES_tradnl"/>
        </w:rPr>
        <w:t xml:space="preserve">ortalecer las funciones de planificación estratégica, evaluación, control y monitoreo ambiental del MVOTMA, y </w:t>
      </w:r>
      <w:r w:rsidR="00810706">
        <w:rPr>
          <w:rFonts w:ascii="Arial" w:eastAsia="Calibri" w:hAnsi="Arial" w:cs="Arial"/>
          <w:sz w:val="22"/>
          <w:szCs w:val="22"/>
          <w:lang w:val="es-ES_tradnl"/>
        </w:rPr>
        <w:t>(ii)</w:t>
      </w:r>
      <w:r w:rsidRPr="00C551E1">
        <w:rPr>
          <w:rFonts w:ascii="Arial" w:eastAsia="Calibri" w:hAnsi="Arial" w:cs="Arial"/>
          <w:sz w:val="22"/>
          <w:szCs w:val="22"/>
          <w:lang w:val="es-ES_tradnl"/>
        </w:rPr>
        <w:t xml:space="preserve"> </w:t>
      </w:r>
      <w:r w:rsidR="00810706">
        <w:rPr>
          <w:rFonts w:ascii="Arial" w:eastAsia="Calibri" w:hAnsi="Arial" w:cs="Arial"/>
          <w:sz w:val="22"/>
          <w:szCs w:val="22"/>
          <w:lang w:val="es-ES_tradnl"/>
        </w:rPr>
        <w:t>f</w:t>
      </w:r>
      <w:r w:rsidRPr="00C551E1">
        <w:rPr>
          <w:rFonts w:ascii="Arial" w:eastAsia="Calibri" w:hAnsi="Arial" w:cs="Arial"/>
          <w:sz w:val="22"/>
          <w:szCs w:val="22"/>
          <w:lang w:val="es-ES_tradnl"/>
        </w:rPr>
        <w:t>ortalecer la gestión integrada de cuencas prioritarias con énfasis en la disminución de cargas contaminantes de origen agropecuaria. A través de dichos objetivos, se espera contribuir a la mejora de la gestión de la calidad y sostenibilidad ambiental por parte del MVOTMA, en el marco del Plan Nacional Ambiental para el Desarrollo Sostenible.</w:t>
      </w:r>
    </w:p>
    <w:p w14:paraId="3289CAE8" w14:textId="77777777" w:rsidR="00592282" w:rsidRPr="00F134B3" w:rsidRDefault="00592282" w:rsidP="00F134B3">
      <w:pPr>
        <w:pStyle w:val="Heading2"/>
        <w:numPr>
          <w:ilvl w:val="0"/>
          <w:numId w:val="0"/>
        </w:numPr>
        <w:ind w:left="720" w:hanging="720"/>
        <w:rPr>
          <w:rFonts w:ascii="Arial" w:eastAsia="Calibri" w:hAnsi="Arial" w:cs="Arial"/>
          <w:sz w:val="20"/>
          <w:lang w:val="es-ES_tradnl"/>
        </w:rPr>
      </w:pPr>
      <w:bookmarkStart w:id="26" w:name="_Toc12264439"/>
      <w:r w:rsidRPr="00F134B3">
        <w:rPr>
          <w:rFonts w:ascii="Arial" w:eastAsia="Calibri" w:hAnsi="Arial" w:cs="Arial"/>
          <w:noProof w:val="0"/>
          <w:sz w:val="20"/>
          <w:lang w:val="es-ES_tradnl"/>
        </w:rPr>
        <w:t>1.1. Teoría de Cambio</w:t>
      </w:r>
      <w:bookmarkEnd w:id="26"/>
    </w:p>
    <w:p w14:paraId="3DE30972" w14:textId="3A92683D" w:rsidR="00810706"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La teoría de cambio del presente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adopta aspectos del marco conceptual desarrollado por</w:t>
      </w:r>
      <w:r w:rsidR="00810706">
        <w:rPr>
          <w:rFonts w:ascii="Arial" w:eastAsia="Calibri" w:hAnsi="Arial" w:cs="Arial"/>
          <w:sz w:val="22"/>
          <w:szCs w:val="22"/>
          <w:lang w:val="es-ES_tradnl"/>
        </w:rPr>
        <w:t xml:space="preserve"> Keeler et al. (2012). </w:t>
      </w:r>
      <w:r w:rsidRPr="00C551E1">
        <w:rPr>
          <w:rFonts w:ascii="Arial" w:eastAsia="Calibri" w:hAnsi="Arial" w:cs="Arial"/>
          <w:sz w:val="22"/>
          <w:szCs w:val="22"/>
          <w:lang w:val="es-ES_tradnl"/>
        </w:rPr>
        <w:t xml:space="preserve">Este marco vincula las acciones del uso y manejo de la tierra, con atributos relacionados a la calidad del agua, los servicios ecosistémicos que se ven afectados por estos cambios, y el impacto en el bienestar de la población. Entre los atributos relacionados a la calidad del agua se encuentran aquellos relacionados con el uso del suelo, como ser la presencia de nitrógeno, fósforo, sedimento, residuos de plaguicidas, como aquellos relacionados exclusivamente con el ambiente, como ser la temperatura y las precipitaciones. </w:t>
      </w:r>
    </w:p>
    <w:p w14:paraId="53D2E237" w14:textId="77777777" w:rsidR="00810706"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Existe una gama de servicios ecosistémicos que se podría considerar que se pueden ver afectados por cambios en la calidad del agua, como ser las actividades de recreación, incluyendo la pesca, natación, la navegación, y la observación de la naturaleza y valores espirituales. A estos, se suman servicios de navegación</w:t>
      </w:r>
      <w:r w:rsidR="00326BD1" w:rsidRPr="00C551E1">
        <w:rPr>
          <w:rFonts w:ascii="Arial" w:eastAsia="Calibri" w:hAnsi="Arial" w:cs="Arial"/>
          <w:sz w:val="22"/>
          <w:szCs w:val="22"/>
          <w:lang w:val="es-ES_tradnl"/>
        </w:rPr>
        <w:t xml:space="preserve"> comercial</w:t>
      </w:r>
      <w:r w:rsidRPr="00C551E1">
        <w:rPr>
          <w:rFonts w:ascii="Arial" w:eastAsia="Calibri" w:hAnsi="Arial" w:cs="Arial"/>
          <w:sz w:val="22"/>
          <w:szCs w:val="22"/>
          <w:lang w:val="es-ES_tradnl"/>
        </w:rPr>
        <w:t xml:space="preserve">, y de generación hidroeléctrica, la cual es importante en la cuenca del Rio Negro, la pesca comercial y servicios de provisión de agua potable. </w:t>
      </w:r>
    </w:p>
    <w:p w14:paraId="406E6B22" w14:textId="1DB5D00B"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Cambios en estos servicios ecosistémicos producen cambios en el bienestar de la población, que pueden ser cuantificados a través de estimaciones de los cambios en la valoración económica de la población respecto a cada uno de ellos. Algunos de estos valores se afectan bienes que son transados en el mercado, teniendo un impacto económico directo, como ser los cambios en los costos de potabilización del agua, o los cambios en la captura de pesca comercial. Otros producen cambios a través de bienes y servicios que no son transados en el mercado, y su valor puede ser estimado a través de técnicas de valoración de bienes de no mercado, como ser el cambio en el bienestar por disminución de riesgo para la salud, o el cambio en el bienestar por actividades recreativas.</w:t>
      </w:r>
    </w:p>
    <w:p w14:paraId="6710D17D" w14:textId="595C14C5" w:rsidR="00792B59" w:rsidRPr="00F134B3" w:rsidRDefault="00792B59" w:rsidP="00792B59">
      <w:pPr>
        <w:jc w:val="both"/>
        <w:rPr>
          <w:rFonts w:ascii="Arial" w:eastAsia="Calibri" w:hAnsi="Arial" w:cs="Arial"/>
          <w:sz w:val="22"/>
          <w:szCs w:val="22"/>
        </w:rPr>
      </w:pPr>
      <w:r w:rsidRPr="00C551E1">
        <w:rPr>
          <w:rFonts w:ascii="Arial" w:eastAsia="Calibri" w:hAnsi="Arial" w:cs="Arial"/>
          <w:sz w:val="22"/>
          <w:szCs w:val="22"/>
        </w:rPr>
        <w:t xml:space="preserve">Las líneas de acción del </w:t>
      </w:r>
      <w:r w:rsidR="00A039EA">
        <w:rPr>
          <w:rFonts w:ascii="Arial" w:eastAsia="Calibri" w:hAnsi="Arial" w:cs="Arial"/>
          <w:sz w:val="22"/>
          <w:szCs w:val="22"/>
        </w:rPr>
        <w:t xml:space="preserve">primer objetivo </w:t>
      </w:r>
      <w:r w:rsidRPr="00C551E1">
        <w:rPr>
          <w:rFonts w:ascii="Arial" w:eastAsia="Calibri" w:hAnsi="Arial" w:cs="Arial"/>
          <w:sz w:val="22"/>
          <w:szCs w:val="22"/>
        </w:rPr>
        <w:t xml:space="preserve">de este </w:t>
      </w:r>
      <w:r w:rsidR="002B5292">
        <w:rPr>
          <w:rFonts w:ascii="Arial" w:eastAsia="Calibri" w:hAnsi="Arial" w:cs="Arial"/>
          <w:sz w:val="22"/>
          <w:szCs w:val="22"/>
        </w:rPr>
        <w:t>programa</w:t>
      </w:r>
      <w:r w:rsidRPr="00C551E1">
        <w:rPr>
          <w:rFonts w:ascii="Arial" w:eastAsia="Calibri" w:hAnsi="Arial" w:cs="Arial"/>
          <w:sz w:val="22"/>
          <w:szCs w:val="22"/>
        </w:rPr>
        <w:t xml:space="preserve"> buscan fortalecer la capacidad de monitoreo y control de la DINAMA, así como el desarrollo de instrumentos específicos para esa función. Esto contempla líneas de acción que esperan tener como resultado la mejora de la calidad y disponibilidad de la información ambiental para la toma de decisiones estratégicas, mejorar la sustentabilidad de los servicios de gestión ambiental del MVOTMA, e incrementar la eficacia de las funciones de control y evaluación</w:t>
      </w:r>
      <w:r w:rsidR="00A039EA">
        <w:rPr>
          <w:rFonts w:ascii="Arial" w:eastAsia="Calibri" w:hAnsi="Arial" w:cs="Arial"/>
          <w:sz w:val="22"/>
          <w:szCs w:val="22"/>
        </w:rPr>
        <w:t>, así reduciendo costos</w:t>
      </w:r>
      <w:r w:rsidRPr="00C551E1">
        <w:rPr>
          <w:rFonts w:ascii="Arial" w:eastAsia="Calibri" w:hAnsi="Arial" w:cs="Arial"/>
          <w:sz w:val="22"/>
          <w:szCs w:val="22"/>
        </w:rPr>
        <w:t xml:space="preserve">. </w:t>
      </w:r>
      <w:r w:rsidRPr="00C551E1">
        <w:rPr>
          <w:rFonts w:ascii="Arial" w:hAnsi="Arial" w:cs="Arial"/>
          <w:sz w:val="22"/>
          <w:szCs w:val="22"/>
        </w:rPr>
        <w:t xml:space="preserve">El Documento Marco del Sector de Medio Ambiente y Biodiversidad del BID y las lecciones aprendidas desde que el BID comenzó a apoyar el medio ambiente en la década de 1990 muestran que una gobernanza sólida respaldada por sistemas de información sólidos es fundamental para la efectividad de los instrumentos de política para mejorar la calidad ambiental  (Rojas-Suarez et al., 2018, Blackman et al., 2018, </w:t>
      </w:r>
      <w:r w:rsidRPr="00C551E1">
        <w:rPr>
          <w:rFonts w:ascii="Arial" w:hAnsi="Arial" w:cs="Arial"/>
          <w:sz w:val="22"/>
          <w:szCs w:val="22"/>
        </w:rPr>
        <w:lastRenderedPageBreak/>
        <w:t>Caffera, 2010, UN Environment, 2019). La evidencia empírica muestra que los países con sistemas de monitoreo y control mostraron un fuerte desempeño ambiental (OCDE, 2009, Shimshack, 2014) mientras que el acceso público a la información y la participación fomentan la responsabilidad y mejoran los resultados ambientales (Blackman, 2010, CEPAL, 2018, Sánchez-Triana et al., 2007).</w:t>
      </w:r>
    </w:p>
    <w:p w14:paraId="0B4195F5" w14:textId="5EAB91EC"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La </w:t>
      </w:r>
      <w:r w:rsidR="00AE1B4F">
        <w:rPr>
          <w:rFonts w:ascii="Arial" w:eastAsia="Calibri" w:hAnsi="Arial" w:cs="Arial"/>
          <w:sz w:val="22"/>
          <w:szCs w:val="22"/>
          <w:lang w:val="es-ES_tradnl"/>
        </w:rPr>
        <w:t>figura 1</w:t>
      </w:r>
      <w:r w:rsidRPr="00C551E1">
        <w:rPr>
          <w:rFonts w:ascii="Arial" w:eastAsia="Calibri" w:hAnsi="Arial" w:cs="Arial"/>
          <w:sz w:val="22"/>
          <w:szCs w:val="22"/>
          <w:lang w:val="es-ES_tradnl"/>
        </w:rPr>
        <w:t xml:space="preserve"> muestra la teoría del cambio a través de la cual la implementación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impacta en la calidad del agua y en el bienestar humano. Al nivel de impacto y más allá de la vida del proyecto, 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busca mejorar la calidad ambiental del país, especialmente con relación a la calidad de agua. Los resultados asociados al</w:t>
      </w:r>
      <w:r w:rsidR="00AE1B4F">
        <w:rPr>
          <w:rFonts w:ascii="Arial" w:eastAsia="Calibri" w:hAnsi="Arial" w:cs="Arial"/>
          <w:sz w:val="22"/>
          <w:szCs w:val="22"/>
          <w:lang w:val="es-ES_tradnl"/>
        </w:rPr>
        <w:t xml:space="preserve"> primer objetivo ti</w:t>
      </w:r>
      <w:r w:rsidRPr="00C551E1">
        <w:rPr>
          <w:rFonts w:ascii="Arial" w:eastAsia="Calibri" w:hAnsi="Arial" w:cs="Arial"/>
          <w:sz w:val="22"/>
          <w:szCs w:val="22"/>
          <w:lang w:val="es-ES_tradnl"/>
        </w:rPr>
        <w:t>enen como objetivo el fortalecimiento de las funciones de la DINAMA, y por ende, se reflejarán en los resultados asociados a la a las líneas de acción del</w:t>
      </w:r>
      <w:r w:rsidR="00AE1B4F">
        <w:rPr>
          <w:rFonts w:ascii="Arial" w:eastAsia="Calibri" w:hAnsi="Arial" w:cs="Arial"/>
          <w:sz w:val="22"/>
          <w:szCs w:val="22"/>
          <w:lang w:val="es-ES_tradnl"/>
        </w:rPr>
        <w:t xml:space="preserve"> segundo objetivo. </w:t>
      </w:r>
      <w:r w:rsidRPr="00C551E1">
        <w:rPr>
          <w:rFonts w:ascii="Arial" w:eastAsia="Calibri" w:hAnsi="Arial" w:cs="Arial"/>
          <w:sz w:val="22"/>
          <w:szCs w:val="22"/>
          <w:lang w:val="es-ES_tradnl"/>
        </w:rPr>
        <w:t>Dado lo anterior, incluimos en la</w:t>
      </w:r>
      <w:r w:rsidR="00AE1B4F">
        <w:rPr>
          <w:rFonts w:ascii="Arial" w:eastAsia="Calibri" w:hAnsi="Arial" w:cs="Arial"/>
          <w:sz w:val="22"/>
          <w:szCs w:val="22"/>
          <w:lang w:val="es-ES_tradnl"/>
        </w:rPr>
        <w:t xml:space="preserve"> figura 1 </w:t>
      </w:r>
      <w:r w:rsidRPr="00C551E1">
        <w:rPr>
          <w:rFonts w:ascii="Arial" w:eastAsia="Calibri" w:hAnsi="Arial" w:cs="Arial"/>
          <w:sz w:val="22"/>
          <w:szCs w:val="22"/>
          <w:lang w:val="es-ES_tradnl"/>
        </w:rPr>
        <w:t xml:space="preserve">los mecanismos a través de los cuales las diferentes líneas de acción impactarán en la calidad del agua, los servicios ecosistémicos y del bienestar de la población. </w:t>
      </w:r>
    </w:p>
    <w:p w14:paraId="6E22A0E8" w14:textId="7709F80D" w:rsidR="00792B59" w:rsidRPr="00C551E1" w:rsidRDefault="00792B59" w:rsidP="002F7913">
      <w:pPr>
        <w:pStyle w:val="Caption"/>
        <w:keepNext/>
        <w:widowControl/>
        <w:spacing w:before="120" w:after="120"/>
        <w:jc w:val="both"/>
        <w:rPr>
          <w:rFonts w:ascii="Arial" w:eastAsia="Calibri" w:hAnsi="Arial" w:cs="Arial"/>
          <w:sz w:val="22"/>
          <w:szCs w:val="22"/>
        </w:rPr>
      </w:pPr>
      <w:bookmarkStart w:id="27" w:name="_Ref9274262"/>
      <w:bookmarkStart w:id="28" w:name="_Ref9351655"/>
      <w:r w:rsidRPr="00C551E1">
        <w:rPr>
          <w:rFonts w:ascii="Arial" w:hAnsi="Arial" w:cs="Arial"/>
          <w:sz w:val="22"/>
          <w:szCs w:val="22"/>
        </w:rPr>
        <w:t xml:space="preserve">Figura </w:t>
      </w:r>
      <w:r w:rsidRPr="00F42B76">
        <w:rPr>
          <w:rFonts w:ascii="Arial" w:hAnsi="Arial" w:cs="Arial"/>
          <w:sz w:val="22"/>
          <w:szCs w:val="22"/>
        </w:rPr>
        <w:fldChar w:fldCharType="begin"/>
      </w:r>
      <w:r w:rsidRPr="00C551E1">
        <w:rPr>
          <w:rFonts w:ascii="Arial" w:hAnsi="Arial" w:cs="Arial"/>
          <w:sz w:val="22"/>
          <w:szCs w:val="22"/>
        </w:rPr>
        <w:instrText xml:space="preserve"> SEQ Figura \* ARABIC </w:instrText>
      </w:r>
      <w:r w:rsidRPr="00F134B3">
        <w:rPr>
          <w:rFonts w:ascii="Arial" w:hAnsi="Arial" w:cs="Arial"/>
          <w:sz w:val="22"/>
          <w:szCs w:val="22"/>
        </w:rPr>
        <w:fldChar w:fldCharType="separate"/>
      </w:r>
      <w:r w:rsidRPr="00C551E1">
        <w:rPr>
          <w:rFonts w:ascii="Arial" w:hAnsi="Arial" w:cs="Arial"/>
          <w:sz w:val="22"/>
          <w:szCs w:val="22"/>
        </w:rPr>
        <w:t>1</w:t>
      </w:r>
      <w:r w:rsidRPr="00F42B76">
        <w:rPr>
          <w:rFonts w:ascii="Arial" w:hAnsi="Arial" w:cs="Arial"/>
          <w:sz w:val="22"/>
          <w:szCs w:val="22"/>
        </w:rPr>
        <w:fldChar w:fldCharType="end"/>
      </w:r>
      <w:bookmarkEnd w:id="27"/>
      <w:r w:rsidRPr="00C551E1">
        <w:rPr>
          <w:rFonts w:ascii="Arial" w:hAnsi="Arial" w:cs="Arial"/>
          <w:sz w:val="22"/>
          <w:szCs w:val="22"/>
        </w:rPr>
        <w:t xml:space="preserve">: Teoría del cambio del </w:t>
      </w:r>
      <w:r w:rsidR="002B5292">
        <w:rPr>
          <w:rFonts w:ascii="Arial" w:hAnsi="Arial" w:cs="Arial"/>
          <w:sz w:val="22"/>
          <w:szCs w:val="22"/>
        </w:rPr>
        <w:t>programa</w:t>
      </w:r>
      <w:r w:rsidRPr="00C551E1">
        <w:rPr>
          <w:rFonts w:ascii="Arial" w:hAnsi="Arial" w:cs="Arial"/>
          <w:sz w:val="22"/>
          <w:szCs w:val="22"/>
        </w:rPr>
        <w:t xml:space="preserve"> en la calidad del agua y el bienestar</w:t>
      </w:r>
      <w:bookmarkEnd w:id="28"/>
    </w:p>
    <w:p w14:paraId="4183DA5E" w14:textId="4BA7BDD0" w:rsidR="00792B59" w:rsidRPr="00C551E1" w:rsidRDefault="00C562CC" w:rsidP="002F7913">
      <w:pPr>
        <w:pStyle w:val="Normal1"/>
        <w:keepNext/>
        <w:spacing w:before="120" w:after="120"/>
        <w:jc w:val="both"/>
        <w:rPr>
          <w:rFonts w:ascii="Arial" w:eastAsia="Calibri" w:hAnsi="Arial" w:cs="Arial"/>
          <w:sz w:val="22"/>
          <w:szCs w:val="22"/>
          <w:lang w:val="es-ES_tradnl"/>
        </w:rPr>
      </w:pPr>
      <w:r w:rsidRPr="00F42B76">
        <w:rPr>
          <w:rFonts w:ascii="Arial" w:eastAsia="Calibri" w:hAnsi="Arial" w:cs="Arial"/>
          <w:noProof/>
          <w:sz w:val="22"/>
          <w:szCs w:val="22"/>
          <w:lang w:val="es-ES_tradnl"/>
        </w:rPr>
        <w:drawing>
          <wp:inline distT="0" distB="0" distL="0" distR="0" wp14:anchorId="5EEE6C87" wp14:editId="570F5B3C">
            <wp:extent cx="6240780" cy="51130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0780" cy="5113020"/>
                    </a:xfrm>
                    <a:prstGeom prst="rect">
                      <a:avLst/>
                    </a:prstGeom>
                    <a:noFill/>
                  </pic:spPr>
                </pic:pic>
              </a:graphicData>
            </a:graphic>
          </wp:inline>
        </w:drawing>
      </w:r>
    </w:p>
    <w:p w14:paraId="7A5D2C2D" w14:textId="77777777" w:rsidR="00792B59" w:rsidRPr="00C551E1" w:rsidRDefault="002F7913" w:rsidP="002F7913">
      <w:pPr>
        <w:pStyle w:val="Normal1"/>
        <w:keepNext/>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Fuente: Elaboración de los autores con base en Keeler et al., 2012. </w:t>
      </w:r>
    </w:p>
    <w:p w14:paraId="05663C4E" w14:textId="0E70A70C" w:rsidR="0003601E"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La </w:t>
      </w:r>
      <w:r w:rsidR="0061655B">
        <w:rPr>
          <w:rFonts w:ascii="Arial" w:eastAsia="Calibri" w:hAnsi="Arial" w:cs="Arial"/>
          <w:sz w:val="22"/>
          <w:szCs w:val="22"/>
          <w:lang w:val="es-ES_tradnl"/>
        </w:rPr>
        <w:t xml:space="preserve">figura 1 </w:t>
      </w:r>
      <w:r w:rsidRPr="00C551E1">
        <w:rPr>
          <w:rFonts w:ascii="Arial" w:eastAsia="Calibri" w:hAnsi="Arial" w:cs="Arial"/>
          <w:sz w:val="22"/>
          <w:szCs w:val="22"/>
          <w:lang w:val="es-ES_tradnl"/>
        </w:rPr>
        <w:t>presenta aquellos servicios ecosistémicos asociados a cambios en la calidad del agua considerados en el marco conceptual de</w:t>
      </w:r>
      <w:r w:rsidR="0061655B">
        <w:rPr>
          <w:rFonts w:ascii="Arial" w:eastAsia="Calibri" w:hAnsi="Arial" w:cs="Arial"/>
          <w:sz w:val="22"/>
          <w:szCs w:val="22"/>
          <w:lang w:val="es-ES_tradnl"/>
        </w:rPr>
        <w:t xml:space="preserve"> Keeler et al. (2012) que se h</w:t>
      </w:r>
      <w:r w:rsidRPr="00C551E1">
        <w:rPr>
          <w:rFonts w:ascii="Arial" w:eastAsia="Calibri" w:hAnsi="Arial" w:cs="Arial"/>
          <w:sz w:val="22"/>
          <w:szCs w:val="22"/>
          <w:lang w:val="es-ES_tradnl"/>
        </w:rPr>
        <w:t xml:space="preserve">an identificado como relevantes para este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en términos de impacto económico: cambios en los costos de potabilización del agua y cambios en las actividades recreativas asociadas a los recursos hídricos. Estos han sido incluidos en el análisis económico</w:t>
      </w:r>
      <w:r w:rsidR="007D4995" w:rsidRPr="00C551E1">
        <w:rPr>
          <w:rFonts w:ascii="Arial" w:eastAsia="Calibri" w:hAnsi="Arial" w:cs="Arial"/>
          <w:sz w:val="22"/>
          <w:szCs w:val="22"/>
          <w:lang w:val="es-ES_tradnl"/>
        </w:rPr>
        <w:t xml:space="preserve"> ex</w:t>
      </w:r>
      <w:r w:rsidRPr="00C551E1">
        <w:rPr>
          <w:rFonts w:ascii="Arial" w:eastAsia="Calibri" w:hAnsi="Arial" w:cs="Arial"/>
          <w:sz w:val="22"/>
          <w:szCs w:val="22"/>
          <w:lang w:val="es-ES_tradnl"/>
        </w:rPr>
        <w:t xml:space="preserve">ante para demostrar la viabilidad económica del </w:t>
      </w:r>
      <w:r w:rsidR="002B5292">
        <w:rPr>
          <w:rFonts w:ascii="Arial" w:eastAsia="Calibri" w:hAnsi="Arial" w:cs="Arial"/>
          <w:sz w:val="22"/>
          <w:szCs w:val="22"/>
          <w:lang w:val="es-ES_tradnl"/>
        </w:rPr>
        <w:t>programa</w:t>
      </w:r>
      <w:r w:rsidR="00797B1A" w:rsidRPr="00C551E1">
        <w:rPr>
          <w:rFonts w:ascii="Arial" w:eastAsia="Calibri" w:hAnsi="Arial" w:cs="Arial"/>
          <w:sz w:val="22"/>
          <w:szCs w:val="22"/>
          <w:lang w:val="es-ES_tradnl"/>
        </w:rPr>
        <w:t>, junto con el aumento en la eficacia y eficiencia del MVOTMA en el desempeño de sus funciones, lo cual implica un ahorro de ciertos costos</w:t>
      </w:r>
      <w:r w:rsidRPr="00C551E1">
        <w:rPr>
          <w:rFonts w:ascii="Arial" w:eastAsia="Calibri" w:hAnsi="Arial" w:cs="Arial"/>
          <w:sz w:val="22"/>
          <w:szCs w:val="22"/>
          <w:lang w:val="es-ES_tradnl"/>
        </w:rPr>
        <w:t>.</w:t>
      </w:r>
      <w:r w:rsidR="00337284">
        <w:rPr>
          <w:rFonts w:ascii="Arial" w:eastAsia="Calibri" w:hAnsi="Arial" w:cs="Arial"/>
          <w:sz w:val="22"/>
          <w:szCs w:val="22"/>
          <w:lang w:val="es-ES_tradnl"/>
        </w:rPr>
        <w:t xml:space="preserve"> La evaluación expost del presente programa se enfocará en aumentos en la eficacia/eficiencia del MVOTMA y </w:t>
      </w:r>
      <w:r w:rsidR="004532E9">
        <w:rPr>
          <w:rFonts w:ascii="Arial" w:eastAsia="Calibri" w:hAnsi="Arial" w:cs="Arial"/>
          <w:sz w:val="22"/>
          <w:szCs w:val="22"/>
          <w:lang w:val="es-ES_tradnl"/>
        </w:rPr>
        <w:t>los ahorros consecuentes, y; el establecimiento de las zonas de amortiguación.</w:t>
      </w:r>
      <w:r w:rsidR="00910488">
        <w:rPr>
          <w:rFonts w:ascii="Arial" w:eastAsia="Calibri" w:hAnsi="Arial" w:cs="Arial"/>
          <w:sz w:val="22"/>
          <w:szCs w:val="22"/>
          <w:lang w:val="es-ES_tradnl"/>
        </w:rPr>
        <w:t xml:space="preserve"> La revisión de literatura que sigue presenta la evidencia con respecto a</w:t>
      </w:r>
      <w:r w:rsidR="0003601E">
        <w:rPr>
          <w:rFonts w:ascii="Arial" w:eastAsia="Calibri" w:hAnsi="Arial" w:cs="Arial"/>
          <w:sz w:val="22"/>
          <w:szCs w:val="22"/>
          <w:lang w:val="es-ES_tradnl"/>
        </w:rPr>
        <w:t xml:space="preserve">l uso de suelo y la calidad de agua. </w:t>
      </w:r>
      <w:r w:rsidR="0025665F">
        <w:rPr>
          <w:rFonts w:ascii="Arial" w:eastAsia="Calibri" w:hAnsi="Arial" w:cs="Arial"/>
          <w:sz w:val="22"/>
          <w:szCs w:val="22"/>
          <w:lang w:val="es-ES_tradnl"/>
        </w:rPr>
        <w:t xml:space="preserve">De interés </w:t>
      </w:r>
      <w:proofErr w:type="spellStart"/>
      <w:r w:rsidR="0025665F">
        <w:rPr>
          <w:rFonts w:ascii="Arial" w:eastAsia="Calibri" w:hAnsi="Arial" w:cs="Arial"/>
          <w:sz w:val="22"/>
          <w:szCs w:val="22"/>
          <w:lang w:val="es-ES_tradnl"/>
        </w:rPr>
        <w:t>especifico</w:t>
      </w:r>
      <w:proofErr w:type="spellEnd"/>
      <w:r w:rsidR="0025665F">
        <w:rPr>
          <w:rFonts w:ascii="Arial" w:eastAsia="Calibri" w:hAnsi="Arial" w:cs="Arial"/>
          <w:sz w:val="22"/>
          <w:szCs w:val="22"/>
          <w:lang w:val="es-ES_tradnl"/>
        </w:rPr>
        <w:t xml:space="preserve"> para la evaluación expost es la relación entre las zonas de amortiguación</w:t>
      </w:r>
      <w:r w:rsidR="00D35182">
        <w:rPr>
          <w:rFonts w:ascii="Arial" w:eastAsia="Calibri" w:hAnsi="Arial" w:cs="Arial"/>
          <w:sz w:val="22"/>
          <w:szCs w:val="22"/>
          <w:lang w:val="es-ES_tradnl"/>
        </w:rPr>
        <w:t xml:space="preserve">, </w:t>
      </w:r>
      <w:r w:rsidR="0025665F">
        <w:rPr>
          <w:rFonts w:ascii="Arial" w:eastAsia="Calibri" w:hAnsi="Arial" w:cs="Arial"/>
          <w:sz w:val="22"/>
          <w:szCs w:val="22"/>
          <w:lang w:val="es-ES_tradnl"/>
        </w:rPr>
        <w:t>la calidad de agua</w:t>
      </w:r>
      <w:r w:rsidR="00D35182">
        <w:rPr>
          <w:rFonts w:ascii="Arial" w:eastAsia="Calibri" w:hAnsi="Arial" w:cs="Arial"/>
          <w:sz w:val="22"/>
          <w:szCs w:val="22"/>
          <w:lang w:val="es-ES_tradnl"/>
        </w:rPr>
        <w:t xml:space="preserve"> y su efecto en reducir la erosión y </w:t>
      </w:r>
      <w:r w:rsidR="00967C03">
        <w:rPr>
          <w:rFonts w:ascii="Arial" w:eastAsia="Calibri" w:hAnsi="Arial" w:cs="Arial"/>
          <w:sz w:val="22"/>
          <w:szCs w:val="22"/>
          <w:lang w:val="es-ES_tradnl"/>
        </w:rPr>
        <w:t xml:space="preserve">aumentar la productividad agrícola. </w:t>
      </w:r>
      <w:r w:rsidR="0025665F">
        <w:rPr>
          <w:rFonts w:ascii="Arial" w:eastAsia="Calibri" w:hAnsi="Arial" w:cs="Arial"/>
          <w:sz w:val="22"/>
          <w:szCs w:val="22"/>
          <w:lang w:val="es-ES_tradnl"/>
        </w:rPr>
        <w:t>La evidencia presentada aquí es más amplia en el sentido que provee evidencia del impacto de varias actividades del programa</w:t>
      </w:r>
      <w:r w:rsidR="00967C03">
        <w:rPr>
          <w:rFonts w:ascii="Arial" w:eastAsia="Calibri" w:hAnsi="Arial" w:cs="Arial"/>
          <w:sz w:val="22"/>
          <w:szCs w:val="22"/>
          <w:lang w:val="es-ES_tradnl"/>
        </w:rPr>
        <w:t xml:space="preserve">, incluyendo prácticas agroecológicas, </w:t>
      </w:r>
      <w:r w:rsidR="0025665F">
        <w:rPr>
          <w:rFonts w:ascii="Arial" w:eastAsia="Calibri" w:hAnsi="Arial" w:cs="Arial"/>
          <w:sz w:val="22"/>
          <w:szCs w:val="22"/>
          <w:lang w:val="es-ES_tradnl"/>
        </w:rPr>
        <w:t xml:space="preserve">sobre la calidad de agua más allá de las zonas de amortiguación.  </w:t>
      </w:r>
      <w:r w:rsidR="0003601E">
        <w:rPr>
          <w:rFonts w:ascii="Arial" w:eastAsia="Calibri" w:hAnsi="Arial" w:cs="Arial"/>
          <w:sz w:val="22"/>
          <w:szCs w:val="22"/>
          <w:lang w:val="es-ES_tradnl"/>
        </w:rPr>
        <w:t xml:space="preserve"> </w:t>
      </w:r>
    </w:p>
    <w:p w14:paraId="327EC4F1" w14:textId="12C52DD6" w:rsidR="00592282" w:rsidRPr="00F134B3" w:rsidRDefault="00592282" w:rsidP="00592282">
      <w:pPr>
        <w:pStyle w:val="Heading2"/>
        <w:numPr>
          <w:ilvl w:val="0"/>
          <w:numId w:val="0"/>
        </w:numPr>
        <w:ind w:left="720" w:hanging="720"/>
        <w:rPr>
          <w:rFonts w:ascii="Arial" w:eastAsia="Calibri" w:hAnsi="Arial" w:cs="Arial"/>
          <w:noProof w:val="0"/>
          <w:sz w:val="20"/>
          <w:lang w:val="es-ES_tradnl"/>
        </w:rPr>
      </w:pPr>
      <w:bookmarkStart w:id="29" w:name="_Toc12264440"/>
      <w:r w:rsidRPr="00F134B3">
        <w:rPr>
          <w:rFonts w:ascii="Arial" w:eastAsia="Calibri" w:hAnsi="Arial" w:cs="Arial"/>
          <w:noProof w:val="0"/>
          <w:sz w:val="20"/>
          <w:lang w:val="es-ES_tradnl"/>
        </w:rPr>
        <w:t>1.2. Revisión de Literatura</w:t>
      </w:r>
      <w:bookmarkEnd w:id="29"/>
    </w:p>
    <w:p w14:paraId="1212A2EC" w14:textId="6638BC51" w:rsidR="00B94C03"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Existe amplia evidencia de que los cambios en la calidad del agua están asociados a cambios en los costos de potabilización del agua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{"citationItems":[{"id":"ITEM-1","itemData":{"author":[{"dropping-particle":"","family":"Forster","given":"D Lynn","non-dropping-particle":"","parse-names":false,"suffix":""},{"dropping-particle":"","family":"Bardos","given":"Chris I","non-dropping-particle":"","parse-names":false,"suffix":""},{"dropping-particle":"","family":"Southgate","given":"Douglas D","non-dropping-particle":"","parse-names":false,"suffix":""}],"id":"ITEM-1","issue":"October","issued":{"date-parts":[["1987"]]},"page":"349-352","title":"Soil erosion and water costs","type":"article-journal"},"uris":["http://www.mendeley.com/documents/?uuid=a47e396a-2c7e-40d5-8667-d39e886c11ab"]},{"id":"ITEM-2","itemData":{"DOI":"10.2307/3146308","ISSN":"00237639","author":[{"dropping-particle":"","family":"Holmes","given":"Thomas P.","non-dropping-particle":"","parse-names":false,"suffix":""}],"container-title":"Land Economics","id":"ITEM-2","issue":"4","issued":{"date-parts":[["1988","11"]]},"page":"356","title":"The Offsite Impact of Soil Erosion on the Water Treatment Industry","type":"article-journal","volume":"64"},"uris":["http://www.mendeley.com/documents/?uuid=80e03f9f-78b6-3b71-be77-b9dd8104041b"]},{"id":"ITEM-3","itemData":{"DOI":"10.1029/2002WR001592","author":[{"dropping-particle":"","family":"Piper","given":"Steven","non-dropping-particle":"","parse-names":false,"suffix":""}],"id":"ITEM-3","issue":"5","issued":{"date-parts":[["2003"]]},"title":"Impact of water quality on municipal water price and residential water demand and implications for water supply benefits","type":"article-journal","volume":"39"},"uris":["http://www.mendeley.com/documents/?uuid=6dfa743a-ac30-4b55-a6af-e02143734b0f"]},{"id":"ITEM-4","itemData":{"author":[{"dropping-particle":"","family":"Kraus","given":"Yoanna","non-dropping-particle":"","parse-names":false,"suffix":""},{"dropping-particle":"","family":"Kramer","given":"Randall A","non-dropping-particle":"","parse-names":false,"suffix":""},{"dropping-particle":"","family":"Jenkins","given":"W Aaron","non-dropping-particle":"","parse-names":false,"suffix":""}],"id":"ITEM-4","issue":"August","issued":{"date-parts":[["2010"]]},"page":"474-482","title":"Valuing Drinking Water Provision as an Ecosystem Service in the Neuse River Basin","type":"article-journal"},"uris":["http://www.mendeley.com/documents/?uuid=9e936e82-7de6-4d5d-be85-0a467ff76f82"]},{"id":"ITEM-5","itemData":{"DOI":"10.1590/S0100-06832011000200001","ISSN":"0100-0683","author":[{"dropping-particle":"","family":"Telles","given":"Tiago Santos","non-dropping-particle":"","parse-names":false,"suffix":""},{"dropping-particle":"","family":"Guimarães","given":"Maria de Fátima","non-dropping-particle":"","parse-names":false,"suffix":""},{"dropping-particle":"","family":"Dechen","given":"Sonia Carmela Falci","non-dropping-particle":"","parse-names":false,"suffix":""}],"container-title":"Revista Brasileira de Ciência do Solo","id":"ITEM-5","issue":"2","issued":{"date-parts":[["2011","4"]]},"page":"287-298","publisher":"Sociedade Brasileira de Ciência do Solo","title":"The costs of soil erosion","type":"article-journal","volume":"35"},"uris":["http://www.mendeley.com/documents/?uuid=a3aee626-0a90-3b28-b0f9-c9533f77b29c"]},{"id":"ITEM-6","itemData":{"ISSN":"1794-1237","abstract":"Analysis of river Cauca turbidity and behavior of clarified and filtrated water allowed evaluating the effect of increase in raw water turbidity over water treatment conventional processes of Puerto Mallarino plant at Cali (Colombia)","author":[{"dropping-particle":"","family":"Montoya","given":"Carolina","non-dropping-particle":"","parse-names":false,"suffix":""},{"dropping-particle":"","family":"Loaiza","given":"Diana","non-dropping-particle":"","parse-names":false,"suffix":""},{"dropping-particle":"","family":"Torres","given":"Patricia","non-dropping-particle":"","parse-names":false,"suffix":""},{"dropping-particle":"","family":"Cruz","given":"Camilo Hernán","non-dropping-particle":"","parse-names":false,"suffix":""},{"dropping-particle":"","family":"Escobar","given":"Juan Carlos","non-dropping-particle":"","parse-names":false,"suffix":""}],"container-title":"Revista EIA","id":"ITEM-6","issue":"1794-1237","issued":{"date-parts":[["2011"]]},"page":"137-148","publisher":"Escuela de ingenieria de Antioquia","title":"Effect of increase of raw water turbidity on efficiency of conventional drinking water treatment processes","type":"article-journal","volume":"16"},"uris":["http://www.mendeley.com/documents/?uuid=e0f95360-f730-3917-965f-0cfdeb747ce8"]},{"id":"ITEM-7","itemData":{"DOI":"10.1029/98WR00213","ISSN":"00431397","author":[{"dropping-particle":"","family":"Dearmont","given":"David","non-dropping-particle":"","parse-names":false,"suffix":""},{"dropping-particle":"","family":"McCarl","given":"Bruce A.","non-dropping-particle":"","parse-names":false,"suffix":""},{"dropping-particle":"","family":"Tolman","given":"Deborah A.","non-dropping-particle":"","parse-names":false,"suffix":""}],"container-title":"Water Resources Research","id":"ITEM-7","issue":"4","issued":{"date-parts":[["1998","4","1"]]},"page":"849-853","publisher":"John Wiley &amp; Sons, Ltd","title":"Costs of water treatment due to diminished water quality: A case study in Texas","type":"article-journal","volume":"34"},"uris":["http://www.mendeley.com/documents/?uuid=086d466a-8a4c-337a-8dcc-c703c8bfda92"]}],"mendeley":{"formattedCitation":"(Forster, Bardos and Southgate, 1987; Holmes, 1988; Dearmont, McCarl and Tolman, 1998; Piper, 2003; Kraus, Kramer and Jenkins, 2010; Montoya &lt;i&gt;et al.&lt;/i&gt;, 2011; Telles, Guimarães and Dechen, 2011)","plainTextFormattedCitation":"(Forster, Bardos and Southgate, 1987; Holmes, 1988; Dearmont, McCarl and Tolman, 1998; Piper, 2003; Kraus, Kramer and Jenkins, 2010; Montoya et al., 2011; Telles, Guimarães and Dechen, 2011)","previouslyFormattedCitation":"(Forster, Bardos and Southgate, 1987; Holmes, 1988; Dearmont, McCarl and Tolman, 1998; Piper, 2003; Kraus, Kramer and Jenkins, 2010; Montoya &lt;i&gt;et al.&lt;/i&gt;, 2011; Telles, Guimarães and Dechen, 2011)"},"properties":{"noteIndex":0},"schema":"https://github.com/citation-style-language/schema/raw/master/csl-citation.json"}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w:t>
      </w:r>
      <w:proofErr w:type="spellStart"/>
      <w:r w:rsidR="0006575A" w:rsidRPr="00F134B3">
        <w:rPr>
          <w:rFonts w:ascii="Arial" w:eastAsia="Calibri" w:hAnsi="Arial" w:cs="Arial"/>
          <w:sz w:val="22"/>
          <w:szCs w:val="22"/>
          <w:lang w:val="es-ES_tradnl"/>
        </w:rPr>
        <w:t>Forster</w:t>
      </w:r>
      <w:proofErr w:type="spellEnd"/>
      <w:r w:rsidR="0006575A" w:rsidRPr="00F134B3">
        <w:rPr>
          <w:rFonts w:ascii="Arial" w:eastAsia="Calibri" w:hAnsi="Arial" w:cs="Arial"/>
          <w:sz w:val="22"/>
          <w:szCs w:val="22"/>
          <w:lang w:val="es-ES_tradnl"/>
        </w:rPr>
        <w:t xml:space="preserve">, Bardos and </w:t>
      </w:r>
      <w:proofErr w:type="spellStart"/>
      <w:r w:rsidR="0006575A" w:rsidRPr="00F134B3">
        <w:rPr>
          <w:rFonts w:ascii="Arial" w:eastAsia="Calibri" w:hAnsi="Arial" w:cs="Arial"/>
          <w:sz w:val="22"/>
          <w:szCs w:val="22"/>
          <w:lang w:val="es-ES_tradnl"/>
        </w:rPr>
        <w:t>Southgate</w:t>
      </w:r>
      <w:proofErr w:type="spellEnd"/>
      <w:r w:rsidR="0006575A" w:rsidRPr="00F134B3">
        <w:rPr>
          <w:rFonts w:ascii="Arial" w:eastAsia="Calibri" w:hAnsi="Arial" w:cs="Arial"/>
          <w:sz w:val="22"/>
          <w:szCs w:val="22"/>
          <w:lang w:val="es-ES_tradnl"/>
        </w:rPr>
        <w:t xml:space="preserve">, 1987; Holmes, 1988; </w:t>
      </w:r>
      <w:proofErr w:type="spellStart"/>
      <w:r w:rsidR="0006575A" w:rsidRPr="00F134B3">
        <w:rPr>
          <w:rFonts w:ascii="Arial" w:eastAsia="Calibri" w:hAnsi="Arial" w:cs="Arial"/>
          <w:sz w:val="22"/>
          <w:szCs w:val="22"/>
          <w:lang w:val="es-ES_tradnl"/>
        </w:rPr>
        <w:t>Dearmont</w:t>
      </w:r>
      <w:proofErr w:type="spellEnd"/>
      <w:r w:rsidR="0006575A" w:rsidRPr="00F134B3">
        <w:rPr>
          <w:rFonts w:ascii="Arial" w:eastAsia="Calibri" w:hAnsi="Arial" w:cs="Arial"/>
          <w:sz w:val="22"/>
          <w:szCs w:val="22"/>
          <w:lang w:val="es-ES_tradnl"/>
        </w:rPr>
        <w:t xml:space="preserve">, </w:t>
      </w:r>
      <w:proofErr w:type="spellStart"/>
      <w:r w:rsidR="0006575A" w:rsidRPr="00F134B3">
        <w:rPr>
          <w:rFonts w:ascii="Arial" w:eastAsia="Calibri" w:hAnsi="Arial" w:cs="Arial"/>
          <w:sz w:val="22"/>
          <w:szCs w:val="22"/>
          <w:lang w:val="es-ES_tradnl"/>
        </w:rPr>
        <w:t>McCarl</w:t>
      </w:r>
      <w:proofErr w:type="spellEnd"/>
      <w:r w:rsidR="0006575A" w:rsidRPr="00F134B3">
        <w:rPr>
          <w:rFonts w:ascii="Arial" w:eastAsia="Calibri" w:hAnsi="Arial" w:cs="Arial"/>
          <w:sz w:val="22"/>
          <w:szCs w:val="22"/>
          <w:lang w:val="es-ES_tradnl"/>
        </w:rPr>
        <w:t xml:space="preserve"> and Tolman, 1998; Piper, 2003; Kraus, Kramer and Jenkins, 2010; Montoya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2011; Telles, Guimarães and </w:t>
      </w:r>
      <w:proofErr w:type="spellStart"/>
      <w:r w:rsidR="0006575A" w:rsidRPr="00F134B3">
        <w:rPr>
          <w:rFonts w:ascii="Arial" w:eastAsia="Calibri" w:hAnsi="Arial" w:cs="Arial"/>
          <w:sz w:val="22"/>
          <w:szCs w:val="22"/>
          <w:lang w:val="es-ES_tradnl"/>
        </w:rPr>
        <w:t>Dechen</w:t>
      </w:r>
      <w:proofErr w:type="spellEnd"/>
      <w:r w:rsidR="0006575A" w:rsidRPr="00F134B3">
        <w:rPr>
          <w:rFonts w:ascii="Arial" w:eastAsia="Calibri" w:hAnsi="Arial" w:cs="Arial"/>
          <w:sz w:val="22"/>
          <w:szCs w:val="22"/>
          <w:lang w:val="es-ES_tradnl"/>
        </w:rPr>
        <w:t>, 2011)</w:t>
      </w:r>
      <w:r w:rsidRPr="00F134B3">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así como en la elección de lugares turísticos a visitar y el gasto asociado a éste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{"citationItems":[{"id":"ITEM-1","itemData":{"DOI":"10.1890/140124","ISSN":"1540-9295","author":[{"dropping-particle":"","family":"Keeler","given":"Bonnie L","non-dropping-particle":"","parse-names":false,"suffix":""},{"dropping-particle":"","family":"Wood","given":"Spencer A","non-dropping-particle":"","parse-names":false,"suffix":""},{"dropping-particle":"","family":"Polasky","given":"Stephen","non-dropping-particle":"","parse-names":false,"suffix":""},{"dropping-particle":"","family":"Kling","given":"Catherine","non-dropping-particle":"","parse-names":false,"suffix":""},{"dropping-particle":"","family":"Filstrup","given":"Christopher T","non-dropping-particle":"","parse-names":false,"suffix":""},{"dropping-particle":"","family":"Downing","given":"John A","non-dropping-particle":"","parse-names":false,"suffix":""}],"container-title":"Frontiers in Ecology and the Environment","id":"ITEM-1","issue":"2","issued":{"date-parts":[["2015","3","1"]]},"page":"76-81","publisher":"John Wiley &amp; Sons, Ltd","title":"Recreational demand for clean water: evidence from geotagged photographs by visitors to lakes","type":"article-journal","volume":"13"},"uris":["http://www.mendeley.com/documents/?uuid=b8146f15-939e-331b-b908-82a9c94f62ed"]},{"id":"ITEM-2","itemData":{"DOI":"10.1111/j.1467-8276.2008.01182.x","ISSN":"00029092","author":[{"dropping-particle":"","family":"Egan","given":"Kevin J.","non-dropping-particle":"","parse-names":false,"suffix":""},{"dropping-particle":"","family":"Herriges","given":"Joseph A.","non-dropping-particle":"","parse-names":false,"suffix":""},{"dropping-particle":"","family":"Kling","given":"Catherine L.","non-dropping-particle":"","parse-names":false,"suffix":""},{"dropping-particle":"","family":"Downing","given":"John A.","non-dropping-particle":"","parse-names":false,"suffix":""}],"container-title":"American Journal of Agricultural Economics","id":"ITEM-2","issue":"1","issued":{"date-parts":[["2009","2","1"]]},"page":"106-123","publisher":"Narnia","title":"Valuing Water Quality as a Function of Water Quality Measures","type":"article-journal","volume":"91"},"uris":["http://www.mendeley.com/documents/?uuid=f387f69f-81dd-3432-87c9-6ac719b8146c"]},{"id":"ITEM-3","itemData":{"DOI":"10.1086/mre.10.4.42629129","ISSN":"0738-1360","abstract":"This paper reviews the empirical literature on the economic value of marine recreation fishing, beach visits, and boating. Questions addressed include: What values do people place on changes in the attributes of recreation sites and activities? What do we know about how water pollution control policy affects these attributes? And, is it feasible to use the value information obtained for specific sites and/or activities to estimate the benefits of improving marine water quality? The literature establishes that some measures of pollution reduce the values of trips to beaches and that improved fishing success is valued by recreational anglers. However, there is substantial variation in value measures across studies. Welfare estimates can be sensitive to model specification and estimation. In the case of marine recreational fishing, the links between pollution control policy and the attributes of the activity that people value (catch rate) have not been established.","author":[{"dropping-particle":"","family":"Freeman","given":"Myrick A","non-dropping-particle":"","parse-names":false,"suffix":""}],"container-title":"Marine Resource Economics","id":"ITEM-3","issue":"4","issued":{"date-parts":[["1995","12","29"]]},"page":"385-406","publisher":"Marine Resource Foundation, Inc.","title":"The Benefits of Water Quality Improvements for Marine Recreation: A Review of the Empirical Evidence","type":"article-journal","volume":"10"},"uris":["http://www.mendeley.com/documents/?uuid=86a61852-4b03-3e18-bda8-cbfea1b7b24c"]},{"id":"ITEM-4","itemData":{"DOI":"10.1016/J.JENVMAN.2009.12.005","ISSN":"0301-4797","abstract":"The implementation of the European Union Water Framework Directive (WFD) requires nationally generalizable estimates of the benefits of protecting inland and coastal waters. As an alternative to benefit transfers and meta-analyses, we utilize national recreation inventory data combined with water quality data to model recreation participation and estimate the benefits of water quality improvements. Using hurdle models, we analyze the association of water clarity in individuals' home municipalities with the three most common water recreation activities – swimming, fishing and boating. The results show no effect on boating, but improved water clarity would increase the frequency of close-to-home swimming and fishing, as well as the number of fishers. Furthermore, to value the potential benefits of the WFD, we estimate the consumer surplus of a water recreation day using a travel cost approach. A water policy scenario with a 1-m improvement in water clarity for both inland and coastal waters indicates that the consumer surplus would increase 6% for swimmers and 15% for fishers. In contrast to previously estimated abatement costs to improve water quality, net benefits could turn out to be positive. Our study is a promising example of applying existing national recreation inventory data to estimate the benefits of water quality improvements for the purposes of the WFD.","author":[{"dropping-particle":"","family":"Vesterinen","given":"J.","non-dropping-particle":"","parse-names":false,"suffix":""},{"dropping-particle":"","family":"Pouta","given":"E.","non-dropping-particle":"","parse-names":false,"suffix":""},{"dropping-particle":"","family":"Huhtala","given":"A.","non-dropping-particle":"","parse-names":false,"suffix":""},{"dropping-particle":"","family":"Neuvonen","given":"M.","non-dropping-particle":"","parse-names":false,"suffix":""}],"container-title":"Journal of Environmental Management","id":"ITEM-4","issue":"4","issued":{"date-parts":[["2010","3","1"]]},"page":"984-994","publisher":"Academic Press","title":"Impacts of changes in water quality on recreation behavior and benefits in Finland","type":"article-journal","volume":"91"},"uris":["http://www.mendeley.com/documents/?uuid=3fcb854e-bdda-33fb-9b6b-a6b4941711d3"]},{"id":"ITEM-5","itemData":{"DOI":"10.1080/21606544.2017.1335241","ISSN":"2160-6544","abstract":"ABSTRACTThis study combines routinely collected water quality data from Ireland and an on-site survey of waterway users to evaluate whether trip duration is responsive to changes in water quality. Four categories of recreational users are considered: anglers, boaters, other water sports (e.g. rowing, swimming, canoeing, etc.) and land-based activities at water sites, specifically walking and cycling. Water quality measures included in the analysis include Water Framework Directive (WFD) status, biochemical oxygen demand, ammonia, phosphorus and faecal coliform. The analysis finds evidence that higher levels of recreational demand (i.e. trips of longer duration) occur at sites with better water quality. However, we also find no statistical association between the overall WFD status and the duration of the recreational trip, which indicates that WFD status is of limited practical use for recreational users.","author":[{"dropping-particle":"","family":"Breen","given":"Benjamin","non-dropping-particle":"","parse-names":false,"suffix":""},{"dropping-particle":"","family":"Curtis","given":"John","non-dropping-particle":"","parse-names":false,"suffix":""},{"dropping-particle":"","family":"Hynes","given":"Stephen","non-dropping-particle":"","parse-names":false,"suffix":""}],"container-title":"Journal of Environmental Economics and Policy","id":"ITEM-5","issue":"1","issued":{"date-parts":[["2018","1","2"]]},"page":"1-15","publisher":"Routledge","title":"Water quality and recreational use of public waterways","type":"article-journal","volume":"7"},"uris":["http://www.mendeley.com/documents/?uuid=ab03a239-5e0a-3e88-b229-a6b7a13b613a"]}],"mendeley":{"formattedCitation":"(Freeman, 1995; Egan &lt;i&gt;et al.&lt;/i&gt;, 2009; Vesterinen &lt;i&gt;et al.&lt;/i&gt;, 2010; Keeler &lt;i&gt;et al.&lt;/i&gt;, 2015; Breen, Curtis and Hynes, 2018)","plainTextFormattedCitation":"(Freeman, 1995; Egan et al., 2009; Vesterinen et al., 2010; Keeler et al., 2015; Breen, Curtis and Hynes, 2018)","previouslyFormattedCitation":"(Freeman, 1995; Egan &lt;i&gt;et al.&lt;/i&gt;, 2009; Vesterinen &lt;i&gt;et al.&lt;/i&gt;, 2010; Keeler &lt;i&gt;et al.&lt;/i&gt;, 2015; Breen, Curtis and Hynes, 2018)"},"properties":{"noteIndex":0},"schema":"https://github.com/citation-style-language/schema/raw/master/csl-citation.json"}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 xml:space="preserve">(Freeman, 1995; Egan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2009; </w:t>
      </w:r>
      <w:proofErr w:type="spellStart"/>
      <w:r w:rsidR="0006575A" w:rsidRPr="00F134B3">
        <w:rPr>
          <w:rFonts w:ascii="Arial" w:eastAsia="Calibri" w:hAnsi="Arial" w:cs="Arial"/>
          <w:sz w:val="22"/>
          <w:szCs w:val="22"/>
          <w:lang w:val="es-ES_tradnl"/>
        </w:rPr>
        <w:t>Vesterinen</w:t>
      </w:r>
      <w:proofErr w:type="spellEnd"/>
      <w:r w:rsidR="0006575A" w:rsidRPr="00F134B3">
        <w:rPr>
          <w:rFonts w:ascii="Arial" w:eastAsia="Calibri" w:hAnsi="Arial" w:cs="Arial"/>
          <w:sz w:val="22"/>
          <w:szCs w:val="22"/>
          <w:lang w:val="es-ES_tradnl"/>
        </w:rPr>
        <w:t xml:space="preserve">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2010; Keeler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2015; Breen, Curtis and </w:t>
      </w:r>
      <w:proofErr w:type="spellStart"/>
      <w:r w:rsidR="0006575A" w:rsidRPr="00F134B3">
        <w:rPr>
          <w:rFonts w:ascii="Arial" w:eastAsia="Calibri" w:hAnsi="Arial" w:cs="Arial"/>
          <w:sz w:val="22"/>
          <w:szCs w:val="22"/>
          <w:lang w:val="es-ES_tradnl"/>
        </w:rPr>
        <w:t>Hynes</w:t>
      </w:r>
      <w:proofErr w:type="spellEnd"/>
      <w:r w:rsidR="0006575A" w:rsidRPr="00F134B3">
        <w:rPr>
          <w:rFonts w:ascii="Arial" w:eastAsia="Calibri" w:hAnsi="Arial" w:cs="Arial"/>
          <w:sz w:val="22"/>
          <w:szCs w:val="22"/>
          <w:lang w:val="es-ES_tradnl"/>
        </w:rPr>
        <w:t>, 2018)</w:t>
      </w:r>
      <w:r w:rsidRPr="00F134B3">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Eso no quiere decir que los otros servicios ecosistémicos relacionados a la mejora de la calidad del agua en Uruguay no sean relevantes. Pero es solamente para estos dos servicios donde hay mecanismos claros que nos permite introducirlos en el modelo de simulaci</w:t>
      </w:r>
      <w:r w:rsidR="00C34ED4" w:rsidRPr="00C551E1">
        <w:rPr>
          <w:rFonts w:ascii="Arial" w:eastAsia="Calibri" w:hAnsi="Arial" w:cs="Arial"/>
          <w:sz w:val="22"/>
          <w:szCs w:val="22"/>
          <w:lang w:val="es-ES_tradnl"/>
        </w:rPr>
        <w:t>ón</w:t>
      </w:r>
      <w:r w:rsidRPr="00C551E1">
        <w:rPr>
          <w:rFonts w:ascii="Arial" w:eastAsia="Calibri" w:hAnsi="Arial" w:cs="Arial"/>
          <w:sz w:val="22"/>
          <w:szCs w:val="22"/>
          <w:lang w:val="es-ES_tradnl"/>
        </w:rPr>
        <w:t xml:space="preserve"> que se desarrolló en el análisis ex</w:t>
      </w:r>
      <w:r w:rsidR="00C34ED4" w:rsidRPr="00C551E1">
        <w:rPr>
          <w:rFonts w:ascii="Arial" w:eastAsia="Calibri" w:hAnsi="Arial" w:cs="Arial"/>
          <w:sz w:val="22"/>
          <w:szCs w:val="22"/>
          <w:lang w:val="es-ES_tradnl"/>
        </w:rPr>
        <w:t>-</w:t>
      </w:r>
      <w:r w:rsidRPr="00C551E1">
        <w:rPr>
          <w:rFonts w:ascii="Arial" w:eastAsia="Calibri" w:hAnsi="Arial" w:cs="Arial"/>
          <w:sz w:val="22"/>
          <w:szCs w:val="22"/>
          <w:lang w:val="es-ES_tradnl"/>
        </w:rPr>
        <w:t>ante (i.e.</w:t>
      </w:r>
      <w:r w:rsidR="00B94C03" w:rsidRPr="00C551E1">
        <w:rPr>
          <w:rFonts w:ascii="Arial" w:eastAsia="Calibri" w:hAnsi="Arial" w:cs="Arial"/>
          <w:sz w:val="22"/>
          <w:szCs w:val="22"/>
          <w:lang w:val="es-ES_tradnl"/>
        </w:rPr>
        <w:t xml:space="preserve"> </w:t>
      </w:r>
      <w:r w:rsidR="000A7CB9" w:rsidRPr="00C551E1">
        <w:rPr>
          <w:rFonts w:ascii="Arial" w:eastAsia="Calibri" w:hAnsi="Arial" w:cs="Arial"/>
          <w:sz w:val="22"/>
          <w:szCs w:val="22"/>
          <w:lang w:val="es-ES_tradnl"/>
        </w:rPr>
        <w:t>la Plataforma IEEM; ver: (Banerjee et al., 2016, Banerjee et al., 2019a, Banerjee et al., 2019b).</w:t>
      </w:r>
    </w:p>
    <w:p w14:paraId="7000E297" w14:textId="299D5B2D"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Al nivel de impacto, en el mediano y largo plazo, 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contribuirá a la mejora de la calidad del agua a través de reducir las cargas de contaminantes en las cuencas prioritarias a través de la implementación de zonas de amortiguación en los márgenes de los cursos de agua, y de cambios en la forma de producción de las actividades agropecuarias. En general, las actividades agropecuarias remueven la vegetación natural, dejando el suelo expuesto. Como consecuencia de la exposición del suelo y los sistemas de rotación, los procesos de erosión y de escurrimientos exportan sedimentos, nutrientes, y otros materiales a los cursos de agua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10.5194/hess-2-323-1998","ISSN":"1607-7938","author":[{"dropping-particle":"","family":"Neal","given":"C.","non-dropping-particle":"","parse-names":false,"suffix":""},{"dropping-particle":"","family":"Reynolds","given":"B.","non-dropping-particle":"","parse-names":false,"suffix":""},{"dropping-particle":"","family":"Wilkinson","given":"J.","non-dropping-particle":"","parse-names":false,"suffix":""},{"dropping-particle":"","family":"Hill","given":"T.","non-dropping-particle":"","parse-names":false,"suffix":""},{"dropping-particle":"","family":"Neal","given":"M.","non-dropping-particle":"","parse-names":false,"suffix":""},{"dropping-particle":"","family":"Hill","given":"S.","non-dropping-particle":"","parse-names":false,"suffix":""},{"dropping-particle":"","family":"Harrow","given":"M.","non-dropping-particle":"","parse-names":false,"suffix":""}],"container-title":"Hydrology and Earth System Sciences","id":"ITEM-1","issue":"2/3","issued":{"date-parts":[["1998"]]},"page":"323-344","publisher":"Copernicus GmbH","title":"The impacts of conifer harvesting on runoff water quality: a regional survey for Wales","type":"article-journal","volume":"2"},"uris":["http://www.mendeley.com/documents/?uuid=5138eb5f-e205-3a2a-b4e1-170476526a53"]},{"id":"ITEM-2","itemData":{"DOI":"10.1029/2000WR900138","ISSN":"00431397","author":[{"dropping-particle":"","family":"Bowling","given":"Laura C.","non-dropping-particle":"","parse-names":false,"suffix":""},{"dropping-particle":"","family":"Storck","given":"Pascal","non-dropping-particle":"","parse-names":false,"suffix":""},{"dropping-particle":"","family":"Lettenmaier","given":"Dennis P.","non-dropping-particle":"","parse-names":false,"suffix":""}],"container-title":"Water Resources Research","id":"ITEM-2","issue":"11","issued":{"date-parts":[["2000","11"]]},"page":"3223-3240","title":"Hydrologic effects of logging in western Washington, United States","type":"article-journal","volume":"36"},"uris":["http://www.mendeley.com/documents/?uuid=01c305a9-f64e-3843-8c25-7d20e01e93f7"]},{"id":"ITEM-3","itemData":{"DOI":"10.1139/a05-016","ISSN":"1208-6053","abstract":"The opening or removal of forest canopies during harvesting or land clearing results in a predictable sequence of responses, the descriptions of which appear remarkably similar around the world. Such activities are now widely acknowledged to have adverse impacts upon water quality and in-stream ecology. Sediment delivery, therefore, encapsulates the dominant process by which water resources are impacted and the process that can be best managed to limit off-site impacts. This paper is a review of current processes, and perceptions, of sediment delivery in managed forests. We outline the major components of sediment and runoff delivery as they relate specifically to timber harvesting activities. Whilst much existing research has focused upon soil loss as the major component of timber harvesting impacts, this review highlights both the need for, and benefits from, a conceptual advance in our thinking of sediment delivery. We advocate that by managing runoff delivery pathways and the resultant pattern of hydr...","author":[{"dropping-particle":"","family":"Croke","given":"J C","non-dropping-particle":"","parse-names":false,"suffix":""},{"dropping-particle":"","family":"Hairsine","given":"P B","non-dropping-particle":"","parse-names":false,"suffix":""}],"container-title":"Environmental Reviews","id":"ITEM-3","issue":"1","issued":{"date-parts":[["2006","3"]]},"page":"59-87","publisher":" NRC Research Press Ottawa, Canada ","title":"Sediment delivery in managed forests: a review","type":"article-journal","volume":"14"},"uris":["http://www.mendeley.com/documents/?uuid=7dd60408-89b0-3b31-abaa-975260a1e324"]},{"id":"ITEM-4","itemData":{"DOI":"10.3390/w8100436","ISSN":"20734441","abstract":"Land cover can change frequently on intensively managed landscapes, affecting water quality across different spatiotemporal scales. Multi-resolution datasets are necessary in order to assess the extent and trends of these changes, as well as potential cross-scale interactions. In this study, both spatial and temporal analyses of land disturbance (i.e., soil exposure from vegetation removal) and water quality were performed on datasets ranging from daily to yearly time scales. Time-series analyses of land disturbance were compared against the water quality variables of total suspended solids (TSS), turbidity, and visual clarity for the Hoteo River catchment on the North Island of New Zealand for the 2000–2013 period. During forest harvest and recovery phases, exotic forests were the dominant disturbance, up to ﬁve times the area of grassland disturbance; while after recovery, grasslands assumed the dominant role, for up to 16 times the area of forest disturbance. Time-series of TSS from ﬁeld sampling (2000–2013) and TSS-event analyses (2012–2014) displayed distinct nonlinear patterns, suggesting that after major events, sediment that is stored in the landscape is exhausted and a period of sediment build-up follows until the next major event. Time-series analyses also showed a connection between trends in connected land disturbance and visual water clarity, with connected disturbance having the potential to be a water quality indicator. Future research should be conducted at even ﬁner spatiotemporal scales over longer periods in order to identify effects of localized land disturbances on downstream water quality.","author":[{"dropping-particle":"","family":"Kamarinas","given":"Ioannis","non-dropping-particle":"","parse-names":false,"suffix":""},{"dropping-particle":"","family":"Julian","given":"Jason P.","non-dropping-particle":"","parse-names":false,"suffix":""},{"dropping-particle":"","family":"Hughes","given":"Andrew O.","non-dropping-particle":"","parse-names":false,"suffix":""},{"dropping-particle":"","family":"Owsley","given":"Braden C.","non-dropping-particle":"","parse-names":false,"suffix":""},{"dropping-particle":"","family":"Beurs","given":"Kirsten M.","non-dropping-particle":"de","parse-names":false,"suffix":""}],"container-title":"Water (Switzerland)","id":"ITEM-4","issue":"10","issued":{"date-parts":[["2016"]]},"title":"Nonlinear changes in land cover and sediment runoff in a New Zealand catchment dominated by plantation forestry and livestock grazing","type":"article-journal","volume":"8"},"uris":["http://www.mendeley.com/documents/?uuid=b5610ca4-aeff-438c-b97f-18afa764edfd"]},{"id":"ITEM-5","itemData":{"author":[{"dropping-particle":"","family":"Failde","given":"Alicia","non-dropping-particle":"","parse-names":false,"suffix":""},{"dropping-particle":"","family":"Lanzilotta","given":"Bibiana","non-dropping-particle":"","parse-names":false,"suffix":""},{"dropping-particle":"","family":"Perdomo","given":"Carlos","non-dropping-particle":"","parse-names":false,"suffix":""},{"dropping-particle":"","family":"Pérez Bidegain","given":"Mario","non-dropping-particle":"","parse-names":false,"suffix":""},{"dropping-particle":"","family":"Rosas","given":"Francisco","non-dropping-particle":"","parse-names":false,"suffix":""}],"id":"ITEM-5","issued":{"date-parts":[["2015"]]},"page":"94","title":"Instrumentos fiscales para el control y la reducción de la contaminación en cursos de agua. Estudio aplicado a la Cuenca del Río Santa Lucía. Informe.","type":"article-journal"},"uris":["http://www.mendeley.com/documents/?uuid=5de8ab44-5330-457c-b003-e8c5a410f780"]},{"id":"ITEM-6","itemData":{"DOI":"10.26461/13.08","author":[{"dropping-particle":"","family":"Lescano","given":"Carolina","non-dropping-particle":"","parse-names":false,"suffix":""}],"container-title":"Innotec","id":"ITEM-6","issue":"13","issued":{"date-parts":[["2017"]]},"page":"78-91","title":"Rol de los pastizales naturales en la retención de nutrientes provenientes de la agricultura","type":"article-journal","volume":"13"},"uris":["http://www.mendeley.com/documents/?uuid=5be67fb3-b051-4cd5-9fa2-6e5f81f01389"]},{"id":"ITEM-7","itemData":{"author":[{"dropping-particle":"","family":"Lizarralde, Ciganda, Baethgen","given":"Quincke","non-dropping-particle":"","parse-names":false,"suffix":""}],"container-title":"Revista INIA","id":"ITEM-7","issued":{"date-parts":[["2016"]]},"page":"41-43","title":"Perdida de nutrientes en agua de escurrimiento en sistemas de rotaciones contrastantes","type":"article-journal","volume":"46"},"uris":["http://www.mendeley.com/documents/?uuid=fc0ee184-aed1-4321-9156-13e00fe16225"]},{"id":"ITEM-8","itemData":{"author":[{"dropping-particle":"","family":"Barreto","given":"P.","non-dropping-particle":"","parse-names":false,"suffix":""},{"dropping-particle":"","family":"Ernst","given":"O.","non-dropping-particle":"","parse-names":false,"suffix":""},{"dropping-particle":"","family":"Bidegain Pérez","given":"M","non-dropping-particle":"","parse-names":false,"suffix":""},{"dropping-particle":"","family":"Perdomo","given":"C.","non-dropping-particle":"","parse-names":false,"suffix":""}],"id":"ITEM-8","issued":{"date-parts":[["2014"]]},"title":"CUANTIFICACIÓN DE LAS PÉRDIDA DE FOSFORO POR ESCORRENTÍA EN DIFERENTES ROTACIÓNES DE SUELOS DE URUGUAY","type":"report"},"uris":["http://www.mendeley.com/documents/?uuid=9cad764e-e459-3702-a0bc-bf93239c3301"]},{"id":"ITEM-9","itemData":{"author":[{"dropping-particle":"","family":"Piñeiro Rodríguez","given":"V","non-dropping-particle":"","parse-names":false,"suffix":""},{"dropping-particle":"","family":"Perdomo","given":"C.","non-dropping-particle":"","parse-names":false,"suffix":""}],"id":"ITEM-9","issued":{"date-parts":[["2014"]]},"title":"CUANTIFICACIÓN DE NIVELES CRÍTICOS AMBIENTALES DE FÓSFORO EN PASTURAS CONVENCIONALES","type":"report"},"uris":["http://www.mendeley.com/documents/?uuid=034fd29e-84d3-384a-a7bf-3b10eb445fe6"]}],"mendeley":{"formattedCitation":"(Neal &lt;i&gt;et al.&lt;/i&gt;, 1998; Bowling, Storck and Lettenmaier, 2000; Croke and Hairsine, 2006; Barreto &lt;i&gt;et al.&lt;/i&gt;, 2014; Piñeiro Rodríguez and Perdomo, 2014; Failde &lt;i&gt;et al.&lt;/i&gt;, 2015; Kamarinas &lt;i&gt;et al.&lt;/i&gt;, 2016; Lizarralde, Ciganda, Baethgen, 2016; Lescano, 2017)","plainTextFormattedCitation":"(Neal et al., 1998; Bowling, Storck and Lettenmaier, 2000; Croke and Hairsine, 2006; Barreto et al., 2014; Piñeiro Rodríguez and Perdomo, 2014; Failde et al., 2015; Kamarinas et al., 2016; Lizarralde, Ciganda, Baethgen, 2016; Lescano, 2017)","previouslyFormattedCitation":"(Neal &lt;i&gt;et al.&lt;/i&gt;, 1998; Bowling, Storck and Lettenmaier, 2000; Croke and Hairsine, 2006; Barreto &lt;i&gt;et al.&lt;/i&gt;, 2014; Piñeiro Rodríguez and Perdomo, 2014; Failde &lt;i&gt;et al.&lt;/i&gt;, 2015; Kamarinas &lt;i&gt;et al.&lt;/i&gt;, 2016; Lizarralde, Ciganda, Baethgen, 2016; Lescano, 2017)"},"properties":{"noteIndex":0},"schema":"https://github.com/citation-style-language/schema/raw/master/csl-citation.json"}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 xml:space="preserve">(Neal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1998; Bowling, </w:t>
      </w:r>
      <w:proofErr w:type="spellStart"/>
      <w:r w:rsidR="0006575A" w:rsidRPr="00F134B3">
        <w:rPr>
          <w:rFonts w:ascii="Arial" w:eastAsia="Calibri" w:hAnsi="Arial" w:cs="Arial"/>
          <w:sz w:val="22"/>
          <w:szCs w:val="22"/>
          <w:lang w:val="es-ES_tradnl"/>
        </w:rPr>
        <w:t>Storck</w:t>
      </w:r>
      <w:proofErr w:type="spellEnd"/>
      <w:r w:rsidR="0006575A" w:rsidRPr="00F134B3">
        <w:rPr>
          <w:rFonts w:ascii="Arial" w:eastAsia="Calibri" w:hAnsi="Arial" w:cs="Arial"/>
          <w:sz w:val="22"/>
          <w:szCs w:val="22"/>
          <w:lang w:val="es-ES_tradnl"/>
        </w:rPr>
        <w:t xml:space="preserve"> and </w:t>
      </w:r>
      <w:proofErr w:type="spellStart"/>
      <w:r w:rsidR="0006575A" w:rsidRPr="00F134B3">
        <w:rPr>
          <w:rFonts w:ascii="Arial" w:eastAsia="Calibri" w:hAnsi="Arial" w:cs="Arial"/>
          <w:sz w:val="22"/>
          <w:szCs w:val="22"/>
          <w:lang w:val="es-ES_tradnl"/>
        </w:rPr>
        <w:t>Lettenmaier</w:t>
      </w:r>
      <w:proofErr w:type="spellEnd"/>
      <w:r w:rsidR="0006575A" w:rsidRPr="00F134B3">
        <w:rPr>
          <w:rFonts w:ascii="Arial" w:eastAsia="Calibri" w:hAnsi="Arial" w:cs="Arial"/>
          <w:sz w:val="22"/>
          <w:szCs w:val="22"/>
          <w:lang w:val="es-ES_tradnl"/>
        </w:rPr>
        <w:t xml:space="preserve">, 2000; </w:t>
      </w:r>
      <w:proofErr w:type="spellStart"/>
      <w:r w:rsidR="0006575A" w:rsidRPr="00F134B3">
        <w:rPr>
          <w:rFonts w:ascii="Arial" w:eastAsia="Calibri" w:hAnsi="Arial" w:cs="Arial"/>
          <w:sz w:val="22"/>
          <w:szCs w:val="22"/>
          <w:lang w:val="es-ES_tradnl"/>
        </w:rPr>
        <w:t>Croke</w:t>
      </w:r>
      <w:proofErr w:type="spellEnd"/>
      <w:r w:rsidR="0006575A" w:rsidRPr="00F134B3">
        <w:rPr>
          <w:rFonts w:ascii="Arial" w:eastAsia="Calibri" w:hAnsi="Arial" w:cs="Arial"/>
          <w:sz w:val="22"/>
          <w:szCs w:val="22"/>
          <w:lang w:val="es-ES_tradnl"/>
        </w:rPr>
        <w:t xml:space="preserve"> and </w:t>
      </w:r>
      <w:proofErr w:type="spellStart"/>
      <w:r w:rsidR="0006575A" w:rsidRPr="00F134B3">
        <w:rPr>
          <w:rFonts w:ascii="Arial" w:eastAsia="Calibri" w:hAnsi="Arial" w:cs="Arial"/>
          <w:sz w:val="22"/>
          <w:szCs w:val="22"/>
          <w:lang w:val="es-ES_tradnl"/>
        </w:rPr>
        <w:t>Hairsine</w:t>
      </w:r>
      <w:proofErr w:type="spellEnd"/>
      <w:r w:rsidR="0006575A" w:rsidRPr="00F134B3">
        <w:rPr>
          <w:rFonts w:ascii="Arial" w:eastAsia="Calibri" w:hAnsi="Arial" w:cs="Arial"/>
          <w:sz w:val="22"/>
          <w:szCs w:val="22"/>
          <w:lang w:val="es-ES_tradnl"/>
        </w:rPr>
        <w:t xml:space="preserve">, 2006; Barreto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2014; Piñeiro Rodríguez and Perdomo, 2014; </w:t>
      </w:r>
      <w:proofErr w:type="spellStart"/>
      <w:r w:rsidR="0006575A" w:rsidRPr="00F134B3">
        <w:rPr>
          <w:rFonts w:ascii="Arial" w:eastAsia="Calibri" w:hAnsi="Arial" w:cs="Arial"/>
          <w:sz w:val="22"/>
          <w:szCs w:val="22"/>
          <w:lang w:val="es-ES_tradnl"/>
        </w:rPr>
        <w:t>Failde</w:t>
      </w:r>
      <w:proofErr w:type="spellEnd"/>
      <w:r w:rsidR="0006575A" w:rsidRPr="00F134B3">
        <w:rPr>
          <w:rFonts w:ascii="Arial" w:eastAsia="Calibri" w:hAnsi="Arial" w:cs="Arial"/>
          <w:sz w:val="22"/>
          <w:szCs w:val="22"/>
          <w:lang w:val="es-ES_tradnl"/>
        </w:rPr>
        <w:t xml:space="preserve">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2015; </w:t>
      </w:r>
      <w:proofErr w:type="spellStart"/>
      <w:r w:rsidR="0006575A" w:rsidRPr="00F134B3">
        <w:rPr>
          <w:rFonts w:ascii="Arial" w:eastAsia="Calibri" w:hAnsi="Arial" w:cs="Arial"/>
          <w:sz w:val="22"/>
          <w:szCs w:val="22"/>
          <w:lang w:val="es-ES_tradnl"/>
        </w:rPr>
        <w:t>Kamarinas</w:t>
      </w:r>
      <w:proofErr w:type="spellEnd"/>
      <w:r w:rsidR="0006575A" w:rsidRPr="00F134B3">
        <w:rPr>
          <w:rFonts w:ascii="Arial" w:eastAsia="Calibri" w:hAnsi="Arial" w:cs="Arial"/>
          <w:sz w:val="22"/>
          <w:szCs w:val="22"/>
          <w:lang w:val="es-ES_tradnl"/>
        </w:rPr>
        <w:t xml:space="preserve">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2016; Lizarralde, Ciganda, </w:t>
      </w:r>
      <w:proofErr w:type="spellStart"/>
      <w:r w:rsidR="0006575A" w:rsidRPr="00F134B3">
        <w:rPr>
          <w:rFonts w:ascii="Arial" w:eastAsia="Calibri" w:hAnsi="Arial" w:cs="Arial"/>
          <w:sz w:val="22"/>
          <w:szCs w:val="22"/>
          <w:lang w:val="es-ES_tradnl"/>
        </w:rPr>
        <w:t>Baethgen</w:t>
      </w:r>
      <w:proofErr w:type="spellEnd"/>
      <w:r w:rsidR="0006575A" w:rsidRPr="00F134B3">
        <w:rPr>
          <w:rFonts w:ascii="Arial" w:eastAsia="Calibri" w:hAnsi="Arial" w:cs="Arial"/>
          <w:sz w:val="22"/>
          <w:szCs w:val="22"/>
          <w:lang w:val="es-ES_tradnl"/>
        </w:rPr>
        <w:t>, 2016; Lescano, 2017)</w:t>
      </w:r>
      <w:r w:rsidRPr="00F134B3">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w:t>
      </w:r>
    </w:p>
    <w:p w14:paraId="6D01B729" w14:textId="12E32323"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En Uruguay existe una larga tradición de estudios de suelo dónde se analizan los efectos de las rotaciones de cultivos, de aplicación de fertilizantes, y de la cobertura natural en la exportación de nutrientes y sedimentos a los cursos de agua. Lescano et al., (2017) encontraron que los pastizales naturales redujeron el escurrimiento respecto a las pasturas artificiales. La evidencia muestra una retención de fosfato del 55%, nitrógeno inorgánico disuelto 44%, sólidos en suspensión 28%, nitrógeno total 47% y fósforo total 42 % (Lescano et al., 2017). Lizarralde et al. (2017) muestran que las rotaciones del suelo con pastos naturales pueden reducir la escorrentía de nutrientes en los cursos de agua un 40% (Lizarralde et al., 2016). </w:t>
      </w:r>
      <w:r w:rsidR="002A1ECB" w:rsidRPr="00C551E1">
        <w:rPr>
          <w:rFonts w:ascii="Arial" w:eastAsia="Calibri" w:hAnsi="Arial" w:cs="Arial"/>
          <w:sz w:val="22"/>
          <w:szCs w:val="22"/>
          <w:lang w:val="es-ES_tradnl"/>
        </w:rPr>
        <w:t>Piñeiro et al. (2014)</w:t>
      </w:r>
      <w:r w:rsidR="003818B7">
        <w:rPr>
          <w:rFonts w:ascii="Arial" w:eastAsia="Calibri" w:hAnsi="Arial" w:cs="Arial"/>
          <w:sz w:val="22"/>
          <w:szCs w:val="22"/>
          <w:lang w:val="es-ES_tradnl"/>
        </w:rPr>
        <w:t xml:space="preserve"> </w:t>
      </w:r>
      <w:r w:rsidRPr="00C551E1">
        <w:rPr>
          <w:rFonts w:ascii="Arial" w:eastAsia="Calibri" w:hAnsi="Arial" w:cs="Arial"/>
          <w:sz w:val="22"/>
          <w:szCs w:val="22"/>
          <w:lang w:val="es-ES_tradnl"/>
        </w:rPr>
        <w:t>encuentran que el agua de escurrimiento de cuatro eventos de lluvias fue mayor en praderas que en campo natural</w:t>
      </w:r>
      <w:r w:rsidR="002A1ECB" w:rsidRPr="00C551E1">
        <w:rPr>
          <w:rFonts w:ascii="Arial" w:eastAsia="Calibri" w:hAnsi="Arial" w:cs="Arial"/>
          <w:sz w:val="22"/>
          <w:szCs w:val="22"/>
          <w:lang w:val="es-ES_tradnl"/>
        </w:rPr>
        <w:t xml:space="preserve"> </w:t>
      </w:r>
      <w:r w:rsidR="002A1ECB" w:rsidRPr="00F42B76">
        <w:rPr>
          <w:rFonts w:ascii="Arial" w:eastAsia="Calibri" w:hAnsi="Arial" w:cs="Arial"/>
          <w:sz w:val="22"/>
          <w:szCs w:val="22"/>
          <w:lang w:val="es-ES_tradnl"/>
        </w:rPr>
        <w:fldChar w:fldCharType="begin" w:fldLock="1"/>
      </w:r>
      <w:r w:rsidR="002A1ECB" w:rsidRPr="00C551E1">
        <w:rPr>
          <w:rFonts w:ascii="Arial" w:eastAsia="Calibri" w:hAnsi="Arial" w:cs="Arial"/>
          <w:sz w:val="22"/>
          <w:szCs w:val="22"/>
          <w:lang w:val="es-ES_tradnl"/>
        </w:rPr>
        <w:instrText>ADDIN CSL_CITATION {"citationItems":[{"id":"ITEM-1","itemData":{"author":[{"dropping-particle":"","family":"Piñeiro Rodríguez","given":"V","non-dropping-particle":"","parse-names":false,"suffix":""},{"dropping-particle":"","family":"Perdomo","given":"C.","non-dropping-particle":"","parse-names":false,"suffix":""}],"id":"ITEM-1","issued":{"date-parts":[["2014"]]},"title":"CUANTIFICACIÓN DE NIVELES CRÍTICOS AMBIENTALES DE FÓSFORO EN PASTURAS CONVENCIONALES","type":"report"},"uris":["http://www.mendeley.com/documents/?uuid=034fd29e-84d3-384a-a7bf-3b10eb445fe6"]}],"mendeley":{"formattedCitation":"(Piñeiro Rodríguez and Perdomo, 2014)","plainTextFormattedCitation":"(Piñeiro Rodríguez and Perdomo, 2014)","previouslyFormattedCitation":"(Piñeiro Rodríguez and Perdomo, 2014)"},"properties":{"noteIndex":0},"schema":"https://github.com/citation-style-language/schema/raw/master/csl-citation.json"}</w:instrText>
      </w:r>
      <w:r w:rsidR="002A1ECB" w:rsidRPr="00F134B3">
        <w:rPr>
          <w:rFonts w:ascii="Arial" w:eastAsia="Calibri" w:hAnsi="Arial" w:cs="Arial"/>
          <w:sz w:val="22"/>
          <w:szCs w:val="22"/>
          <w:lang w:val="es-ES_tradnl"/>
        </w:rPr>
        <w:fldChar w:fldCharType="separate"/>
      </w:r>
      <w:r w:rsidR="002A1ECB" w:rsidRPr="00F134B3">
        <w:rPr>
          <w:rFonts w:ascii="Arial" w:eastAsia="Calibri" w:hAnsi="Arial" w:cs="Arial"/>
          <w:sz w:val="22"/>
          <w:szCs w:val="22"/>
          <w:lang w:val="es-ES_tradnl"/>
        </w:rPr>
        <w:t>(Piñeiro Rodríguez and Perdomo, 2014)</w:t>
      </w:r>
      <w:r w:rsidR="002A1ECB"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w:t>
      </w:r>
    </w:p>
    <w:p w14:paraId="75DC86EB" w14:textId="1A8B6081"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lastRenderedPageBreak/>
        <w:t xml:space="preserve">Existe amplia evidencia de que el incremento en la cobertura boscosa en las zonas riparias mejoran la calidad del agua de los cursos de aguas receptores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{"citationItems":[{"id":"ITEM-1","itemData":{"DOI":"10.1016/j.agee.2004.01.015","ISBN":"3120646245","ISSN":"01678809","PMID":"20043182162","abstract":"Differing perceptions of the impacts on hydrological functions of tropical forest clearance and conversion to other land uses have given rise to growing and often heated debate about directions of public environmental policy in southeast Asia. In order to help bring more balance and clarity to such debate, this paper reviews a wide range of available scientific evidence with respect to the influence exerted by the presence or absence of a good forest cover on regional climate (rainfall), total and seasonal water yield (floods, low flows), as well as on different forms of erosion and catchment sediment yield under humid tropical conditions in general and in southeast Asia in particular. It is concluded that effects of forest disturbance and conversion on rainfall will be smaller than the average decrease of 8% predicted for a complete conversion to grassland in southeast Asia because the radiative properties of secondary regrowth quickly resemble those of the original forest again. In addition, under the prevailing 'maritime' climatic conditions, effects of land-cover change on climate can be expected to be less pronounced than those of changes in sea-surface temperatures. Total annual water yield is seen to increase with the percentage of forest biomass removed, with maximum gains in water yield upon total clearing. Actual amounts differ between sites and years due to differences in rainfall and degree of surface disturbance. As long as surface disturbance remains limited, the bulk of the annual increase in water yield occurs as baseflow (low flows), but often rainfall infiltration opportunities are reduced to the extent that groundwater reserves are replenished insufficiently during the rainy season, with strong declines in dry season flows as a result. Although reforestation and soil conservation measures are capable of reducing the enhanced peak flows and stormflows associated with soil degradation, no well-documented case exists where this has also produced a corresponding increase in low flows. To some extent this will reflect the higher water use of the newly planted trees but it cannot be ruled out that soil water storage opportunities may have declined too much as a result of soil erosion during the post-clearing phase for remediation to have a net positive effect. A good plant cover is generally capable of preventing surface erosion and, in the case of a well-developed tree cover, shallow landsliding as well, but more deep-seated (&gt;3 m) slides …","author":[{"dropping-particle":"","family":"Bruijnzeel","given":"L. A.","non-dropping-particle":"","parse-names":false,"suffix":""}],"container-title":"Agriculture, Ecosystems and Environment","id":"ITEM-1","issue":"1","issued":{"date-parts":[["2004"]]},"number-of-pages":"185-228","title":"Hydrological functions of tropical forests: Not seeing the soil for the trees?","type":"book","volume":"104"},"uris":["http://www.mendeley.com/documents/?uuid=f123353c-489b-451a-9e4b-aeafc5e0dafe"]},{"id":"ITEM-2","itemData":{"author":[{"dropping-particle":"","family":"Auquilla","given":"Ruth Cecilia","non-dropping-particle":"","parse-names":false,"suffix":""},{"dropping-particle":"","family":"Jiménez","given":"Francisco","non-dropping-particle":"","parse-names":false,"suffix":""}],"container-title":"Recursos Naturales y Ambiente","id":"ITEM-2","issue":"48","issued":{"date-parts":[["2005"]]},"page":"81-92","title":"Influencia del uso del suelo en la calidad del agua en la subcuenca del río Jabonal","type":"article-journal"},"uris":["http://www.mendeley.com/documents/?uuid=7630e3b2-9da6-4c9b-8cf9-8db958cdebb8"]},{"id":"ITEM-3","itemData":{"DOI":"10.1002/rra.1502","ISBN":"1535-1459","ISSN":"15351459","abstract":"Quantitative studies of the relationships between river water quality and environmental variables are needed to improve understanding of the impacts of natural and human factors on aquatic environments. However, multicollinearity between environmental variables can hinder the identification of key factors when water quality–environment relationship is studied using traditional regression methods. This study utilized two alternative statistical methods, variation and hierarchical partitioning, to address these difficulties in studies of river water quality. Using these methods, we explored the effects of catchment physiography, climate and land use variables on total phosphorus and nitrogen, pH, water colour and dissolved oxygen during the years 1995–2005 in 32 boreal rivers in Finland. Catchment physiography and land use explained most of the variation in water quality, especially in phosphorus, nitrogen and water colour data. The strong correlations (rs&gt; 0.8) between agricultural land use and phosphorus and nitrogen concentrations indicate that water quality is highly affected by agriculture in boreal regions. By determining the environmental drivers of different water quality variables, we can estimate the water quality of different catchments in response to environmental changes and identify areas that are sensitive to global changes. Our study shows that novel statistical methods integrated with geographic information system data and techniques provide deeper insights into water quality–environment relationships than traditional regression, and these should be considered when developing, for example, conservation planning for rivers","author":[{"dropping-particle":"","family":"Varanka","given":"S.","non-dropping-particle":"","parse-names":false,"suffix":""},{"dropping-particle":"","family":"Luoto","given":"M.","non-dropping-particle":"","parse-names":false,"suffix":""}],"container-title":"River Research and Applications","id":"ITEM-3","issue":"7","issued":{"date-parts":[["2012","9"]]},"page":"1034-1046","publisher":"John Wiley &amp; Sons, Ltd","title":"Environmental determinants of water quality in boreal rivers based on partitioning methods","type":"article-journal","volume":"28"},"uris":["http://www.mendeley.com/documents/?uuid=903f7ded-1501-32f0-aa8e-83f883668293"]},{"id":"ITEM-4","itemData":{"DOI":"10.1002/2013JG002516","ISSN":"21698953","author":[{"dropping-particle":"","family":"Carlson","given":"Kimberly M.","non-dropping-particle":"","parse-names":false,"suffix":""},{"dropping-particle":"","family":"Curran","given":"Lisa M.","non-dropping-particle":"","parse-names":false,"suffix":""},{"dropping-particle":"","family":"Ponette-González","given":"Alexandra G.","non-dropping-particle":"","parse-names":false,"suffix":""},{"dropping-particle":"","family":"Ratnasari","given":"Dessy","non-dropping-particle":"","parse-names":false,"suffix":""},{"dropping-particle":"","family":"Ruspita","given":"Neli","non-dropping-particle":"","parse-names":false,"suffix":""},{"dropping-particle":"","family":"Lisnawati","given":"Neli","non-dropping-particle":"","parse-names":false,"suffix":""},{"dropping-particle":"","family":"Purwanto","given":"Yadi","non-dropping-particle":"","parse-names":false,"suffix":""},{"dropping-particle":"","family":"Brauman","given":"Kate A.","non-dropping-particle":"","parse-names":false,"suffix":""},{"dropping-particle":"","family":"Raymond","given":"Peter A.","non-dropping-particle":"","parse-names":false,"suffix":""}],"container-title":"Journal of Geophysical Research: Biogeosciences","id":"ITEM-4","issue":"6","issued":{"date-parts":[["2014","6"]]},"page":"1110-1128","title":"Influence of watershed-climate interactions on stream temperature, sediment yield, and metabolism along a land use intensity gradient in Indonesian Borneo","type":"article-journal","volume":"119"},"uris":["http://www.mendeley.com/documents/?uuid=7c18e6e9-75ca-313a-9eac-3e8552ca8b7c"]},{"id":"ITEM-5","itemData":{"abstract":"Tesis (M. Sc) -- CATIE, Turrialba (Costa Rica), 2005","author":[{"dropping-particle":"","family":"Arcos Torres","given":"Inty","non-dropping-particle":"","parse-names":false,"suffix":""}],"id":"ITEM-5","issued":{"date-parts":[["2005"]]},"publisher":"CATIE, Turrialba (Costa Rica)","title":"Efecto del ancho de los ecosistemas riparios en la conservación de la calidad del agua y la biodiversidad en la microcuenca del río Sesesmiles, Copán, Honduras","type":"thesis"},"uris":["http://www.mendeley.com/documents/?uuid=2bc0c148-837a-3aac-997f-1c0ac2e07ee5"]}],"mendeley":{"formattedCitation":"(Bruijnzeel, 2004; Arcos Torres, 2005; Auquilla and Jiménez, 2005; Varanka and Luoto, 2012; Carlson &lt;i&gt;et al.&lt;/i&gt;, 2014)","plainTextFormattedCitation":"(Bruijnzeel, 2004; Arcos Torres, 2005; Auquilla and Jiménez, 2005; Varanka and Luoto, 2012; Carlson et al., 2014)","previouslyFormattedCitation":"(Bruijnzeel, 2004; Arcos Torres, 2005; Auquilla and Jiménez, 2005; Varanka and Luoto, 2012; Carlson &lt;i&gt;et al.&lt;/i&gt;, 2014)"},"properties":{"noteIndex":0},"schema":"https://github.com/citation-style-language/schema/raw/master/csl-citation.json"}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w:t>
      </w:r>
      <w:proofErr w:type="spellStart"/>
      <w:r w:rsidR="0006575A" w:rsidRPr="00F134B3">
        <w:rPr>
          <w:rFonts w:ascii="Arial" w:eastAsia="Calibri" w:hAnsi="Arial" w:cs="Arial"/>
          <w:sz w:val="22"/>
          <w:szCs w:val="22"/>
          <w:lang w:val="es-ES_tradnl"/>
        </w:rPr>
        <w:t>Bruijnzeel</w:t>
      </w:r>
      <w:proofErr w:type="spellEnd"/>
      <w:r w:rsidR="0006575A" w:rsidRPr="00F134B3">
        <w:rPr>
          <w:rFonts w:ascii="Arial" w:eastAsia="Calibri" w:hAnsi="Arial" w:cs="Arial"/>
          <w:sz w:val="22"/>
          <w:szCs w:val="22"/>
          <w:lang w:val="es-ES_tradnl"/>
        </w:rPr>
        <w:t xml:space="preserve">, 2004; Arcos Torres, 2005; Auquilla and Jiménez, 2005; </w:t>
      </w:r>
      <w:proofErr w:type="spellStart"/>
      <w:r w:rsidR="0006575A" w:rsidRPr="00F134B3">
        <w:rPr>
          <w:rFonts w:ascii="Arial" w:eastAsia="Calibri" w:hAnsi="Arial" w:cs="Arial"/>
          <w:sz w:val="22"/>
          <w:szCs w:val="22"/>
          <w:lang w:val="es-ES_tradnl"/>
        </w:rPr>
        <w:t>Varanka</w:t>
      </w:r>
      <w:proofErr w:type="spellEnd"/>
      <w:r w:rsidR="0006575A" w:rsidRPr="00F134B3">
        <w:rPr>
          <w:rFonts w:ascii="Arial" w:eastAsia="Calibri" w:hAnsi="Arial" w:cs="Arial"/>
          <w:sz w:val="22"/>
          <w:szCs w:val="22"/>
          <w:lang w:val="es-ES_tradnl"/>
        </w:rPr>
        <w:t xml:space="preserve"> and </w:t>
      </w:r>
      <w:proofErr w:type="spellStart"/>
      <w:r w:rsidR="0006575A" w:rsidRPr="00F134B3">
        <w:rPr>
          <w:rFonts w:ascii="Arial" w:eastAsia="Calibri" w:hAnsi="Arial" w:cs="Arial"/>
          <w:sz w:val="22"/>
          <w:szCs w:val="22"/>
          <w:lang w:val="es-ES_tradnl"/>
        </w:rPr>
        <w:t>Luoto</w:t>
      </w:r>
      <w:proofErr w:type="spellEnd"/>
      <w:r w:rsidR="0006575A" w:rsidRPr="00F134B3">
        <w:rPr>
          <w:rFonts w:ascii="Arial" w:eastAsia="Calibri" w:hAnsi="Arial" w:cs="Arial"/>
          <w:sz w:val="22"/>
          <w:szCs w:val="22"/>
          <w:lang w:val="es-ES_tradnl"/>
        </w:rPr>
        <w:t xml:space="preserve">, 2012; Carlson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2014)</w:t>
      </w:r>
      <w:r w:rsidRPr="00F134B3">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Klapproth y Johnson (2009) revisan la literatura sobre la efectividad de las zonas de amortiguamiento en los contaminantes que llegan a las vías fluviales, encontrando que éstos pueden reducir el nitrógeno exportado a través de la escorrentía agrícola entre 68% y 95% (Lowrance et al., 1984; Peterjohn y Correll, 1984; Jordan, 1993). Los montes riparios también son efectivos para reducir la escorrentía de fósforo, pero en menor cuantía. Lowrance (1984b) reportó reducciones del 30%, al tiempo que</w:t>
      </w:r>
      <w:r w:rsidR="002A1ECB" w:rsidRPr="00C551E1">
        <w:rPr>
          <w:rFonts w:ascii="Arial" w:eastAsia="Calibri" w:hAnsi="Arial" w:cs="Arial"/>
          <w:sz w:val="22"/>
          <w:szCs w:val="22"/>
          <w:lang w:val="es-ES_tradnl"/>
        </w:rPr>
        <w:t xml:space="preserve"> Udawatta et al. (2010)</w:t>
      </w:r>
      <w:r w:rsidRPr="00C551E1">
        <w:rPr>
          <w:rFonts w:ascii="Arial" w:eastAsia="Calibri" w:hAnsi="Arial" w:cs="Arial"/>
          <w:sz w:val="22"/>
          <w:szCs w:val="22"/>
          <w:lang w:val="es-ES_tradnl"/>
        </w:rPr>
        <w:t xml:space="preserve"> reportan una disminución de entre 22% y 24% respecto a una parcela de control, y una reducción de la erosión de 28% en un período de 5 años</w:t>
      </w:r>
      <w:r w:rsidR="002A1ECB" w:rsidRPr="00C551E1">
        <w:rPr>
          <w:rFonts w:ascii="Arial" w:eastAsia="Calibri" w:hAnsi="Arial" w:cs="Arial"/>
          <w:sz w:val="22"/>
          <w:szCs w:val="22"/>
          <w:lang w:val="es-ES_tradnl"/>
        </w:rPr>
        <w:t xml:space="preserve"> </w:t>
      </w:r>
      <w:r w:rsidR="002A1ECB" w:rsidRPr="00F42B76">
        <w:rPr>
          <w:rFonts w:ascii="Arial" w:eastAsia="Calibri" w:hAnsi="Arial" w:cs="Arial"/>
          <w:sz w:val="22"/>
          <w:szCs w:val="22"/>
          <w:lang w:val="es-ES_tradnl"/>
        </w:rPr>
        <w:fldChar w:fldCharType="begin" w:fldLock="1"/>
      </w:r>
      <w:r w:rsidR="002A1ECB" w:rsidRPr="00C551E1">
        <w:rPr>
          <w:rFonts w:ascii="Arial" w:eastAsia="Calibri" w:hAnsi="Arial" w:cs="Arial"/>
          <w:sz w:val="22"/>
          <w:szCs w:val="22"/>
          <w:lang w:val="es-ES_tradnl"/>
        </w:rPr>
        <w:instrText>ADDIN CSL_CITATION {"citationItems":[{"id":"ITEM-1","itemData":{"DOI":"10.1007/s10457-010-9288-9","ISSN":"0167-4366","author":[{"dropping-particle":"","family":"Udawatta","given":"Ranjith P.","non-dropping-particle":"","parse-names":false,"suffix":""},{"dropping-particle":"","family":"Garrett","given":"Harold E.","non-dropping-particle":"","parse-names":false,"suffix":""},{"dropping-particle":"","family":"Kallenbach","given":"Robert L.","non-dropping-particle":"","parse-names":false,"suffix":""}],"container-title":"Agroforestry Systems","id":"ITEM-1","issue":"1","issued":{"date-parts":[["2010","5","21"]]},"page":"81-87","publisher":"Springer Netherlands","title":"Agroforestry and grass buffer effects on water quality in grazed pastures","type":"article-journal","volume":"79"},"uris":["http://www.mendeley.com/documents/?uuid=c02408b0-184c-3a8e-8935-50b97d69f400"]}],"mendeley":{"formattedCitation":"(Udawatta, Garrett and Kallenbach, 2010)","plainTextFormattedCitation":"(Udawatta, Garrett and Kallenbach, 2010)","previouslyFormattedCitation":"(Udawatta, Garrett and Kallenbach, 2010)"},"properties":{"noteIndex":0},"schema":"https://github.com/citation-style-language/schema/raw/master/csl-citation.json"}</w:instrText>
      </w:r>
      <w:r w:rsidR="002A1ECB" w:rsidRPr="00F134B3">
        <w:rPr>
          <w:rFonts w:ascii="Arial" w:eastAsia="Calibri" w:hAnsi="Arial" w:cs="Arial"/>
          <w:sz w:val="22"/>
          <w:szCs w:val="22"/>
          <w:lang w:val="es-ES_tradnl"/>
        </w:rPr>
        <w:fldChar w:fldCharType="separate"/>
      </w:r>
      <w:r w:rsidR="002A1ECB" w:rsidRPr="00F134B3">
        <w:rPr>
          <w:rFonts w:ascii="Arial" w:eastAsia="Calibri" w:hAnsi="Arial" w:cs="Arial"/>
          <w:sz w:val="22"/>
          <w:szCs w:val="22"/>
          <w:lang w:val="es-ES_tradnl"/>
        </w:rPr>
        <w:t xml:space="preserve">(Udawatta, Garrett and </w:t>
      </w:r>
      <w:proofErr w:type="spellStart"/>
      <w:r w:rsidR="002A1ECB" w:rsidRPr="00F134B3">
        <w:rPr>
          <w:rFonts w:ascii="Arial" w:eastAsia="Calibri" w:hAnsi="Arial" w:cs="Arial"/>
          <w:sz w:val="22"/>
          <w:szCs w:val="22"/>
          <w:lang w:val="es-ES_tradnl"/>
        </w:rPr>
        <w:t>Kallenbach</w:t>
      </w:r>
      <w:proofErr w:type="spellEnd"/>
      <w:r w:rsidR="002A1ECB" w:rsidRPr="00F134B3">
        <w:rPr>
          <w:rFonts w:ascii="Arial" w:eastAsia="Calibri" w:hAnsi="Arial" w:cs="Arial"/>
          <w:sz w:val="22"/>
          <w:szCs w:val="22"/>
          <w:lang w:val="es-ES_tradnl"/>
        </w:rPr>
        <w:t>, 2010)</w:t>
      </w:r>
      <w:r w:rsidR="002A1ECB"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Más aún, </w:t>
      </w:r>
      <w:r w:rsidR="002A1ECB" w:rsidRPr="00C551E1">
        <w:rPr>
          <w:rFonts w:ascii="Arial" w:eastAsia="Calibri" w:hAnsi="Arial" w:cs="Arial"/>
          <w:sz w:val="22"/>
          <w:szCs w:val="22"/>
          <w:lang w:val="es-ES_tradnl"/>
        </w:rPr>
        <w:t xml:space="preserve">Lin et al. (2003) </w:t>
      </w:r>
      <w:r w:rsidRPr="00C551E1">
        <w:rPr>
          <w:rFonts w:ascii="Arial" w:eastAsia="Calibri" w:hAnsi="Arial" w:cs="Arial"/>
          <w:sz w:val="22"/>
          <w:szCs w:val="22"/>
          <w:lang w:val="es-ES_tradnl"/>
        </w:rPr>
        <w:t xml:space="preserve">encuentran que solamente el parche de pasturas de 8 m de ancho de una zona buffer es capaz de remover del 75 al 80 % de atrazina, </w:t>
      </w:r>
      <w:proofErr w:type="spellStart"/>
      <w:r w:rsidRPr="00C551E1">
        <w:rPr>
          <w:rFonts w:ascii="Arial" w:eastAsia="Calibri" w:hAnsi="Arial" w:cs="Arial"/>
          <w:sz w:val="22"/>
          <w:szCs w:val="22"/>
          <w:lang w:val="es-ES_tradnl"/>
        </w:rPr>
        <w:t>metolach</w:t>
      </w:r>
      <w:r w:rsidR="00487D1C">
        <w:rPr>
          <w:rFonts w:ascii="Arial" w:eastAsia="Calibri" w:hAnsi="Arial" w:cs="Arial"/>
          <w:sz w:val="22"/>
          <w:szCs w:val="22"/>
          <w:lang w:val="es-ES_tradnl"/>
        </w:rPr>
        <w:t>l</w:t>
      </w:r>
      <w:r w:rsidRPr="00C551E1">
        <w:rPr>
          <w:rFonts w:ascii="Arial" w:eastAsia="Calibri" w:hAnsi="Arial" w:cs="Arial"/>
          <w:sz w:val="22"/>
          <w:szCs w:val="22"/>
          <w:lang w:val="es-ES_tradnl"/>
        </w:rPr>
        <w:t>or</w:t>
      </w:r>
      <w:proofErr w:type="spellEnd"/>
      <w:r w:rsidRPr="00C551E1">
        <w:rPr>
          <w:rFonts w:ascii="Arial" w:eastAsia="Calibri" w:hAnsi="Arial" w:cs="Arial"/>
          <w:sz w:val="22"/>
          <w:szCs w:val="22"/>
          <w:lang w:val="es-ES_tradnl"/>
        </w:rPr>
        <w:t xml:space="preserve"> y glifosato de la escorrentía</w:t>
      </w:r>
      <w:r w:rsidR="00A75859" w:rsidRPr="00C551E1">
        <w:rPr>
          <w:rFonts w:ascii="Arial" w:eastAsia="Calibri" w:hAnsi="Arial" w:cs="Arial"/>
          <w:sz w:val="22"/>
          <w:szCs w:val="22"/>
          <w:lang w:val="es-ES_tradnl"/>
        </w:rPr>
        <w:t xml:space="preserve"> </w:t>
      </w:r>
      <w:r w:rsidR="00A75859" w:rsidRPr="00F42B76">
        <w:rPr>
          <w:rFonts w:ascii="Arial" w:eastAsia="Calibri" w:hAnsi="Arial" w:cs="Arial"/>
          <w:sz w:val="22"/>
          <w:szCs w:val="22"/>
          <w:lang w:val="es-ES_tradnl"/>
        </w:rPr>
        <w:fldChar w:fldCharType="begin" w:fldLock="1"/>
      </w:r>
      <w:r w:rsidR="00A75859" w:rsidRPr="00C551E1">
        <w:rPr>
          <w:rFonts w:ascii="Arial" w:eastAsia="Calibri" w:hAnsi="Arial" w:cs="Arial"/>
          <w:sz w:val="22"/>
          <w:szCs w:val="22"/>
          <w:lang w:val="es-ES_tradnl"/>
        </w:rPr>
        <w:instrText>ADDIN CSL_CITATION {"citationItems":[{"id":"ITEM-1","itemData":{"DOI":"10.2134/jeq2003.1992","ISSN":"1537-2537","author":[{"dropping-particle":"","family":"Lin","given":"C. H.","non-dropping-particle":"","parse-names":false,"suffix":""},{"dropping-particle":"","family":"Lerch","given":"R. N.","non-dropping-particle":"","parse-names":false,"suffix":""},{"dropping-particle":"","family":"Garrett","given":"H. E.","non-dropping-particle":"","parse-names":false,"suffix":""},{"dropping-particle":"","family":"Johnson","given":"W. G.","non-dropping-particle":"","parse-names":false,"suffix":""},{"dropping-particle":"","family":"Jordan","given":"D.","non-dropping-particle":"","parse-names":false,"suffix":""},{"dropping-particle":"","family":"George","given":"M. F.","non-dropping-particle":"","parse-names":false,"suffix":""}],"container-title":"Journal of Environment Quality","id":"ITEM-1","issue":"6","issued":{"date-parts":[["2003","11","1"]]},"page":"1992","publisher":"American Society of Agronomy, Crop Science Society of America, Soil Science Society","title":"The Effect of Five Forage Species on Transport and Transformation of Atrazine and Isoxaflutole (Balance) in Lysimeter Leachate","type":"article-journal","volume":"32"},"uris":["http://www.mendeley.com/documents/?uuid=c4452284-1541-3e32-830f-bdee22a836a2"]}],"mendeley":{"formattedCitation":"(Lin &lt;i&gt;et al.&lt;/i&gt;, 2003)","plainTextFormattedCitation":"(Lin et al., 2003)","previouslyFormattedCitation":"(Lin &lt;i&gt;et al.&lt;/i&gt;, 2003)"},"properties":{"noteIndex":0},"schema":"https://github.com/citation-style-language/schema/raw/master/csl-citation.json"}</w:instrText>
      </w:r>
      <w:r w:rsidR="00A75859" w:rsidRPr="00F134B3">
        <w:rPr>
          <w:rFonts w:ascii="Arial" w:eastAsia="Calibri" w:hAnsi="Arial" w:cs="Arial"/>
          <w:sz w:val="22"/>
          <w:szCs w:val="22"/>
          <w:lang w:val="es-ES_tradnl"/>
        </w:rPr>
        <w:fldChar w:fldCharType="separate"/>
      </w:r>
      <w:r w:rsidR="00A75859" w:rsidRPr="00F134B3">
        <w:rPr>
          <w:rFonts w:ascii="Arial" w:eastAsia="Calibri" w:hAnsi="Arial" w:cs="Arial"/>
          <w:sz w:val="22"/>
          <w:szCs w:val="22"/>
          <w:lang w:val="es-ES_tradnl"/>
        </w:rPr>
        <w:t xml:space="preserve">(Lin </w:t>
      </w:r>
      <w:r w:rsidR="00A75859" w:rsidRPr="00F134B3">
        <w:rPr>
          <w:rFonts w:ascii="Arial" w:eastAsia="Calibri" w:hAnsi="Arial" w:cs="Arial"/>
          <w:i/>
          <w:sz w:val="22"/>
          <w:szCs w:val="22"/>
          <w:lang w:val="es-ES_tradnl"/>
        </w:rPr>
        <w:t>et al.</w:t>
      </w:r>
      <w:r w:rsidR="00A75859" w:rsidRPr="00F134B3">
        <w:rPr>
          <w:rFonts w:ascii="Arial" w:eastAsia="Calibri" w:hAnsi="Arial" w:cs="Arial"/>
          <w:sz w:val="22"/>
          <w:szCs w:val="22"/>
          <w:lang w:val="es-ES_tradnl"/>
        </w:rPr>
        <w:t>, 2003)</w:t>
      </w:r>
      <w:r w:rsidR="00A75859"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En Uruguay, </w:t>
      </w:r>
      <w:r w:rsidR="00A75859" w:rsidRPr="00C551E1">
        <w:rPr>
          <w:rFonts w:ascii="Arial" w:eastAsia="Calibri" w:hAnsi="Arial" w:cs="Arial"/>
          <w:sz w:val="22"/>
          <w:szCs w:val="22"/>
          <w:lang w:val="es-ES_tradnl"/>
        </w:rPr>
        <w:t xml:space="preserve">Bizzozero et al. (2017) </w:t>
      </w:r>
      <w:r w:rsidRPr="00C551E1">
        <w:rPr>
          <w:rFonts w:ascii="Arial" w:eastAsia="Calibri" w:hAnsi="Arial" w:cs="Arial"/>
          <w:sz w:val="22"/>
          <w:szCs w:val="22"/>
          <w:lang w:val="es-ES_tradnl"/>
        </w:rPr>
        <w:t>se encuentran analizando estudios experimentales con la implementación de zonas de amortiguación con árboles frutales en la zona de la Laguna del Cisne, aunque aún no han publicado resultados</w:t>
      </w:r>
      <w:r w:rsidR="00A75859" w:rsidRPr="00C551E1">
        <w:rPr>
          <w:rFonts w:ascii="Arial" w:eastAsia="Calibri" w:hAnsi="Arial" w:cs="Arial"/>
          <w:sz w:val="22"/>
          <w:szCs w:val="22"/>
          <w:lang w:val="es-ES_tradnl"/>
        </w:rPr>
        <w:t xml:space="preserve"> </w:t>
      </w:r>
      <w:r w:rsidR="00A75859" w:rsidRPr="00F42B76">
        <w:rPr>
          <w:rFonts w:ascii="Arial" w:eastAsia="Calibri" w:hAnsi="Arial" w:cs="Arial"/>
          <w:sz w:val="22"/>
          <w:szCs w:val="22"/>
          <w:lang w:val="es-ES_tradnl"/>
        </w:rPr>
        <w:fldChar w:fldCharType="begin" w:fldLock="1"/>
      </w:r>
      <w:r w:rsidR="00A75859" w:rsidRPr="00C551E1">
        <w:rPr>
          <w:rFonts w:ascii="Arial" w:eastAsia="Calibri" w:hAnsi="Arial" w:cs="Arial"/>
          <w:sz w:val="22"/>
          <w:szCs w:val="22"/>
          <w:lang w:val="es-ES_tradnl"/>
        </w:rPr>
        <w:instrText>ADDIN CSL_CITATION {"citationItems":[{"id":"ITEM-1","itemData":{"author":[{"dropping-particle":"","family":"Bizzozero","given":"Federico","non-dropping-particle":"","parse-names":false,"suffix":""},{"dropping-particle":"","family":"Carro","given":"Gastón","non-dropping-particle":"","parse-names":false,"suffix":""},{"dropping-particle":"","family":"Achkar","given":"Marcel","non-dropping-particle":"","parse-names":false,"suffix":""},{"dropping-particle":"","family":"Platero","given":"Raúl","non-dropping-particle":"","parse-names":false,"suffix":""},{"dropping-particle":"","family":"Cabrera","given":"Danilo","non-dropping-particle":"","parse-names":false,"suffix":""},{"dropping-particle":"","family":"Gonzáles","given":"Laura","non-dropping-particle":"","parse-names":false,"suffix":""}],"container-title":"RECIENTES AVANCES EN INVESTIGACIÓN PARA LA GESTIÓN Y CONSERVACIÓN DEL BOSQUE NATIVO DE URUGUAY","editor":[{"dropping-particle":"","family":"Brazeiro","given":"A.","non-dropping-particle":"","parse-names":false,"suffix":""}],"id":"ITEM-1","issued":{"date-parts":[["2017"]]},"publisher":"Ministerio de Ganadería, Agricultura y Pesca","publisher-place":"Montevideo","title":"Zonas buffer productivas para agroecosistemas familiares de la cuenca de la laguna del cisne","type":"paper-conference"},"uris":["http://www.mendeley.com/documents/?uuid=3b4f9e7b-b176-4084-adf1-afb437620630"]}],"mendeley":{"formattedCitation":"(Bizzozero &lt;i&gt;et al.&lt;/i&gt;, 2017)","plainTextFormattedCitation":"(Bizzozero et al., 2017)","previouslyFormattedCitation":"(Bizzozero &lt;i&gt;et al.&lt;/i&gt;, 2017)"},"properties":{"noteIndex":0},"schema":"https://github.com/citation-style-language/schema/raw/master/csl-citation.json"}</w:instrText>
      </w:r>
      <w:r w:rsidR="00A75859" w:rsidRPr="00F134B3">
        <w:rPr>
          <w:rFonts w:ascii="Arial" w:eastAsia="Calibri" w:hAnsi="Arial" w:cs="Arial"/>
          <w:sz w:val="22"/>
          <w:szCs w:val="22"/>
          <w:lang w:val="es-ES_tradnl"/>
        </w:rPr>
        <w:fldChar w:fldCharType="separate"/>
      </w:r>
      <w:r w:rsidR="00A75859" w:rsidRPr="00F134B3">
        <w:rPr>
          <w:rFonts w:ascii="Arial" w:eastAsia="Calibri" w:hAnsi="Arial" w:cs="Arial"/>
          <w:sz w:val="22"/>
          <w:szCs w:val="22"/>
          <w:lang w:val="es-ES_tradnl"/>
        </w:rPr>
        <w:t xml:space="preserve">(Bizzozero </w:t>
      </w:r>
      <w:r w:rsidR="00A75859" w:rsidRPr="00F134B3">
        <w:rPr>
          <w:rFonts w:ascii="Arial" w:eastAsia="Calibri" w:hAnsi="Arial" w:cs="Arial"/>
          <w:i/>
          <w:sz w:val="22"/>
          <w:szCs w:val="22"/>
          <w:lang w:val="es-ES_tradnl"/>
        </w:rPr>
        <w:t>et al.</w:t>
      </w:r>
      <w:r w:rsidR="00A75859" w:rsidRPr="00F134B3">
        <w:rPr>
          <w:rFonts w:ascii="Arial" w:eastAsia="Calibri" w:hAnsi="Arial" w:cs="Arial"/>
          <w:sz w:val="22"/>
          <w:szCs w:val="22"/>
          <w:lang w:val="es-ES_tradnl"/>
        </w:rPr>
        <w:t>, 2017)</w:t>
      </w:r>
      <w:r w:rsidR="00A75859"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Adicionalmente, Miralles y Trier (2018) atribuyen altas cargas de nutrientes con la pérdida de áreas de amortiguamiento ribereñas</w:t>
      </w:r>
      <w:r w:rsidR="00B94C03" w:rsidRPr="00C551E1">
        <w:rPr>
          <w:rFonts w:ascii="Arial" w:eastAsia="Calibri" w:hAnsi="Arial" w:cs="Arial"/>
          <w:sz w:val="22"/>
          <w:szCs w:val="22"/>
          <w:lang w:val="es-ES_tradnl"/>
        </w:rPr>
        <w:t xml:space="preserve">. </w:t>
      </w:r>
    </w:p>
    <w:p w14:paraId="2830DC49" w14:textId="7777777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Por otro lado, cambios en el manejo de efluentes de los establecimientos lecheros pueden representar una importante disminución de la exportación de nutrientes a los cursos de agua, asociados con el manejo del estiércol del ganado. La dispersión del abono en el cultivo de pastura puede servir también para aumentar la productividad de la producción de forraje, y así, la productividad del ganado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author":[{"dropping-particle":"","family":"Aguirre","given":"Emilio","non-dropping-particle":"","parse-names":false,"suffix":""},{"dropping-particle":"","family":"Baraldo","given":"Juan","non-dropping-particle":"","parse-names":false,"suffix":""},{"dropping-particle":"","family":"Durán","given":"Verónica","non-dropping-particle":"","parse-names":false,"suffix":""}],"container-title":"Anuario 2017 OPyPA","id":"ITEM-1","issue":"December 2017","issued":{"date-parts":[["2017"]]},"page":"23","publisher":"Ministerio de Ganadería, Agricultura y Pesca","publisher-place":"Montevideo","title":"Evaluación costo beneficio ex-ante del proyecto DACC Adicional","type":"chapter"},"uris":["http://www.mendeley.com/documents/?uuid=9db0ab80-3051-4d2c-941c-0425e37c0542"]},{"id":"ITEM-2","itemData":{"DOI":"10.1016/J.AGEE.2009.01.022","ISSN":"0167-8809","abstract":"Manure disposal is a major challenge for the fast-growing dairy industry in New Mexico. There are currently over 355,000 milking cows in the state and limited cropland on which to use the manure generated by these cows. On the other hand, 80% of the state lands classified as rangelands are suffering from a lack of organic matter and nutrients. Application of dairy manure to rangelands could serve a dual purpose: (1) manure disposal from dairies and (2) soil amendment to improve soil characteristics and promote herbaceous production. Manure was applied at two rates according to phosphorus (P) content: (1) a recommended (light) rate (54kgPha−1) to enhance blue grama growth and (2) a gross over-application (heavy) rate (493kgPha−1) to determine the effects on runoff and soil properties. Light applications enhanced soil properties including decreased sediment runoff, increased soil organic matter, increased extractable P, and increased soil moisture, whereas heavy applications increased soil salinity, sodium adsorption ratio, and runoff water. Dairy manure can be safely applied at light rates to conserve and enhance rangeland soil properties and their herbaceous productivity. Manure disposal at heavy rates are unsafe. Further study is required to find out if other safe disposal exists between the light and heavy treatments.","author":[{"dropping-particle":"","family":"Cabrera","given":"V.E.","non-dropping-particle":"","parse-names":false,"suffix":""},{"dropping-particle":"","family":"Stavast","given":"L.J.","non-dropping-particle":"","parse-names":false,"suffix":""},{"dropping-particle":"","family":"Baker","given":"T.T.","non-dropping-particle":"","parse-names":false,"suffix":""},{"dropping-particle":"","family":"Wood","given":"M.K.","non-dropping-particle":"","parse-names":false,"suffix":""},{"dropping-particle":"","family":"Cram","given":"D.S.","non-dropping-particle":"","parse-names":false,"suffix":""},{"dropping-particle":"","family":"Flynn","given":"R.P.","non-dropping-particle":"","parse-names":false,"suffix":""},{"dropping-particle":"","family":"Ulery","given":"A.L.","non-dropping-particle":"","parse-names":false,"suffix":""}],"container-title":"Agriculture, Ecosystems &amp; Environment","id":"ITEM-2","issue":"3-4","issued":{"date-parts":[["2009","6","1"]]},"page":"255-262","publisher":"Elsevier","title":"Soil and runoff response to dairy manure application on New Mexico rangeland","type":"article-journal","volume":"131"},"uris":["http://www.mendeley.com/documents/?uuid=117b4093-20b6-3eac-95fa-c0f23f6cca3b"]}],"mendeley":{"formattedCitation":"(Cabrera &lt;i&gt;et al.&lt;/i&gt;, 2009; Aguirre, Baraldo and Durán, 2017)","plainTextFormattedCitation":"(Cabrera et al., 2009; Aguirre, Baraldo and Durán, 2017)","previouslyFormattedCitation":"(Cabrera &lt;i&gt;et al.&lt;/i&gt;, 2009; Aguirre, Baraldo and Durán, 2017)"},"properties":{"noteIndex":0},"schema":"https://github.com/citation-style-language/schema/raw/master/csl-citation.json"}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 xml:space="preserve">(Cabrera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2009; Aguirre, </w:t>
      </w:r>
      <w:proofErr w:type="spellStart"/>
      <w:r w:rsidR="0006575A" w:rsidRPr="00F134B3">
        <w:rPr>
          <w:rFonts w:ascii="Arial" w:eastAsia="Calibri" w:hAnsi="Arial" w:cs="Arial"/>
          <w:sz w:val="22"/>
          <w:szCs w:val="22"/>
          <w:lang w:val="es-ES_tradnl"/>
        </w:rPr>
        <w:t>Baraldo</w:t>
      </w:r>
      <w:proofErr w:type="spellEnd"/>
      <w:r w:rsidR="0006575A" w:rsidRPr="00F134B3">
        <w:rPr>
          <w:rFonts w:ascii="Arial" w:eastAsia="Calibri" w:hAnsi="Arial" w:cs="Arial"/>
          <w:sz w:val="22"/>
          <w:szCs w:val="22"/>
          <w:lang w:val="es-ES_tradnl"/>
        </w:rPr>
        <w:t xml:space="preserve"> and Durán, 2017)</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Sin embargo, se ha de ser cauteloso con la dosis de aplicación de abono en el terreno, ya que si se hace un vertimiento de una gran concentración, el nivel de emisiones a los cursos de agua podría ser igualmente muy alto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{"citationItems":[{"id":"ITEM-1","itemData":{"DOI":"10.1016/J.AGEE.2009.01.022","ISSN":"0167-8809","abstract":"Manure disposal is a major challenge for the fast-growing dairy industry in New Mexico. There are currently over 355,000 milking cows in the state and limited cropland on which to use the manure generated by these cows. On the other hand, 80% of the state lands classified as rangelands are suffering from a lack of organic matter and nutrients. Application of dairy manure to rangelands could serve a dual purpose: (1) manure disposal from dairies and (2) soil amendment to improve soil characteristics and promote herbaceous production. Manure was applied at two rates according to phosphorus (P) content: (1) a recommended (light) rate (54kgPha−1) to enhance blue grama growth and (2) a gross over-application (heavy) rate (493kgPha−1) to determine the effects on runoff and soil properties. Light applications enhanced soil properties including decreased sediment runoff, increased soil organic matter, increased extractable P, and increased soil moisture, whereas heavy applications increased soil salinity, sodium adsorption ratio, and runoff water. Dairy manure can be safely applied at light rates to conserve and enhance rangeland soil properties and their herbaceous productivity. Manure disposal at heavy rates are unsafe. Further study is required to find out if other safe disposal exists between the light and heavy treatments.","author":[{"dropping-particle":"","family":"Cabrera","given":"V.E.","non-dropping-particle":"","parse-names":false,"suffix":""},{"dropping-particle":"","family":"Stavast","given":"L.J.","non-dropping-particle":"","parse-names":false,"suffix":""},{"dropping-particle":"","family":"Baker","given":"T.T.","non-dropping-particle":"","parse-names":false,"suffix":""},{"dropping-particle":"","family":"Wood","given":"M.K.","non-dropping-particle":"","parse-names":false,"suffix":""},{"dropping-particle":"","family":"Cram","given":"D.S.","non-dropping-particle":"","parse-names":false,"suffix":""},{"dropping-particle":"","family":"Flynn","given":"R.P.","non-dropping-particle":"","parse-names":false,"suffix":""},{"dropping-particle":"","family":"Ulery","given":"A.L.","non-dropping-particle":"","parse-names":false,"suffix":""}],"container-title":"Agriculture, Ecosystems &amp; Environment","id":"ITEM-1","issue":"3-4","issued":{"date-parts":[["2009","6","1"]]},"page":"255-262","publisher":"Elsevier","title":"Soil and runoff response to dairy manure application on New Mexico rangeland","type":"article-journal","volume":"131"},"uris":["http://www.mendeley.com/documents/?uuid=117b4093-20b6-3eac-95fa-c0f23f6cca3b"]}],"mendeley":{"formattedCitation":"(Cabrera &lt;i&gt;et al.&lt;/i&gt;, 2009)","plainTextFormattedCitation":"(Cabrera et al., 2009)","previouslyFormattedCitation":"(Cabrera &lt;i&gt;et al.&lt;/i&gt;, 2009)"},"properties":{"noteIndex":0},"schema":"https://github.com/citation-style-language/schema/raw/master/csl-citation.json"}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 xml:space="preserve">(Cabrera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2009)</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w:t>
      </w:r>
    </w:p>
    <w:p w14:paraId="757F9A2F" w14:textId="7001FC31"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Finalmente, la exportación de nutrientes a los cursos de agua puede mitigarse a través de cambios en las prácticas de aplicación de fertilizantes. Existe en Uruguay evidencia de que gran parte de la exportación de nutrientes a los cursos de agua viene dada no sólo por la erosión, sino también por la escorrentía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{"citationItems":[{"id":"ITEM-1","itemData":{"DOI":"10.26461/14.04","abstract":"El río Santa Lucía (RSL), principal fuente de agua potable de Uruguay, presenta síntomas de eutrofzación. Este&amp;nbsp;estudio evaluó algunos factores que inﬂuyen en la eutrofzación del río para contribuir a la conservación y gestión del recurso. Se analizó la mayor base de datos de calidad de agua del RSL (2004 - 2016), con indicadores de&amp;nbsp;intensifcación productiva y cambios en el uso del suelo. La eutrofzación del RSL tendió a estabilizarse en 2010,&amp;nbsp;con máximos de fósforo total (PT) en 2013. Los embalses aumentaron su estado hipereutrófco, y los arroyos&amp;nbsp;Canelón Grande y Chico se mantienen en hipereutrofa. El fósforo reactivo soluble se correlacionó con el PT (r2&amp;nbsp;= 0,95, 76 % del total), asociado al exceso de fertilización de suelos y no se relacionó con indicadores de erosión.&amp;nbsp;La relación signifcativa entre el PT y la importación de fertilizantes (indicador proxy) reﬂeja el impacto de las&amp;nbsp;actividades productivas (máximas: 2011 - 2015) en la eutrofzación del RSL. Para mejorar la efcacia en la retención&amp;nbsp;de nutrientes será necesario profundizar en las medidas de control de la fertilización y de eﬂuentes de tambos, la&amp;nbsp;extensión de las zonas de amortiguación hacia los tributarios de menor orden y las nacientes.","author":[{"dropping-particle":"","family":"Aubriot","given":"Luis Eduardo","non-dropping-particle":"","parse-names":false,"suffix":""},{"dropping-particle":"","family":"Delbene","given":"Lucía","non-dropping-particle":"","parse-names":false,"suffix":""},{"dropping-particle":"","family":"Haakonsson","given":"Signe","non-dropping-particle":"","parse-names":false,"suffix":""},{"dropping-particle":"","family":"Somma","given":"Andrea","non-dropping-particle":"","parse-names":false,"suffix":""},{"dropping-particle":"","family":"Hirsch","given":"Federica","non-dropping-particle":"","parse-names":false,"suffix":""},{"dropping-particle":"","family":"Bonilla","given":"Sylvia","non-dropping-particle":"","parse-names":false,"suffix":""}],"container-title":"Innotec","id":"ITEM-1","issued":{"date-parts":[["2018"]]},"page":"7-16","title":"Evolución de la eutrofización en el Río Santa Lucía: influencia de la intensificación productiva y perspectivas","type":"article-journal","volume":"14"},"uris":["http://www.mendeley.com/documents/?uuid=a2d103df-cf0a-4d97-8069-c5f93d0ef7c8"]},{"id":"ITEM-2","itemData":{"DOI":"10.1177/1178622117715446","ISSN":"1178-6221","abstract":"The Santa Lucia River basin provides drinking water to 60% of Uruguay population. The input of excessive amounts of nitrogen and phosphorus both from point and nonpoint sources could impair surface water quality and prevent its use for human consumption. The objective of this work was to evaluate surface water quality in small catchments under agricultural use located within this river basin. To this end, 5 streams and 4 small polders were surveyed between September 2008 and December 2009. The median concentrations of total phosphorus and total nitrogen in the streams across all sites and periods were 770 and 1659 µg L−1, respectively, exceeding in the case of total phosphorus national and international thresholds. Furthermore, soluble phosphorous, the most readily available form to algae, represented 88.3% of total phosphorus. Concentrations of phosphorous and nitrogen in polders were also high. The eutrophication process of this water bodies could be linked to the intensive agricultural land use in the ...","author":[{"dropping-particle":"","family":"Barreto","given":"Patricia","non-dropping-particle":"","parse-names":false,"suffix":""},{"dropping-particle":"","family":"Dogliotti","given":"Santiago","non-dropping-particle":"","parse-names":false,"suffix":""},{"dropping-particle":"","family":"Perdomo","given":"Carlos","non-dropping-particle":"","parse-names":false,"suffix":""}],"container-title":"Air, Soil and Water Research","id":"ITEM-2","issued":{"date-parts":[["2017","1","14"]]},"page":"117862211771544","publisher":"SAGE PublicationsSage UK: London, England","title":"Surface Water Quality of Intensive Farming Areas Within the Santa Lucia River Basin of Uruguay","type":"article-journal","volume":"10"},"uris":["http://www.mendeley.com/documents/?uuid=dd2814d8-bd17-3249-a006-fb56d4afd32f"]}],"mendeley":{"formattedCitation":"(Barreto, Dogliotti and Perdomo, 2017; Aubriot &lt;i&gt;et al.&lt;/i&gt;, 2018)","plainTextFormattedCitation":"(Barreto, Dogliotti and Perdomo, 2017; Aubriot et al., 2018)","previouslyFormattedCitation":"(Barreto, Dogliotti and Perdomo, 2017; Aubriot &lt;i&gt;et al.&lt;/i&gt;, 2018)"},"properties":{"noteIndex":0},"schema":"https://github.com/citation-style-language/schema/raw/master/csl-citation.json"}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 xml:space="preserve">(Barreto, Dogliotti and Perdomo, 2017; </w:t>
      </w:r>
      <w:proofErr w:type="spellStart"/>
      <w:r w:rsidR="0006575A" w:rsidRPr="00F134B3">
        <w:rPr>
          <w:rFonts w:ascii="Arial" w:eastAsia="Calibri" w:hAnsi="Arial" w:cs="Arial"/>
          <w:sz w:val="22"/>
          <w:szCs w:val="22"/>
          <w:lang w:val="es-ES_tradnl"/>
        </w:rPr>
        <w:t>Aubriot</w:t>
      </w:r>
      <w:proofErr w:type="spellEnd"/>
      <w:r w:rsidR="0006575A" w:rsidRPr="00F134B3">
        <w:rPr>
          <w:rFonts w:ascii="Arial" w:eastAsia="Calibri" w:hAnsi="Arial" w:cs="Arial"/>
          <w:sz w:val="22"/>
          <w:szCs w:val="22"/>
          <w:lang w:val="es-ES_tradnl"/>
        </w:rPr>
        <w:t xml:space="preserve">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2018)</w:t>
      </w:r>
      <w:r w:rsidRPr="00F134B3">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En el mundo, existen diversas iniciativas que buscan cambiar las prácticas productivas agrícolas para la disminución de la exportación de nutrientes a los cursos de agua. El 4R Nutrient Stewardship Certification Program es un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que busca mejorar el manejo de fertilizantes de forma tal que también se incrementen las ganancias a partir de reducir las pérdidas de nutrientes, que eventualmente degradan el ambiente. Para ello,  se basan en 4 principios (4R) sobre los procesos de los cultivos y sus necesidades: (i) tipo de fertilizante adecuado (Right source), (ii) dosis correcta (Right rate), (iii) en el momento adecuado (Right time), y (iv) en el lugar correcto (Right place). </w:t>
      </w:r>
    </w:p>
    <w:p w14:paraId="3B4AE9B9" w14:textId="62A8D148"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Hasta noviembre del 2016 había 36 proveedores de nutrientes, con influencia en cerca de 2,7 millones de hectáreas de cultivos, certificados en 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Si bien el impacto de la certificación aún no se ha cuantificado, el impacto de aplicar los principios del 4R Stewardship se considera que ha sido muy positivo para la mejora de la calidad del agua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{"citationItems":[{"id":"ITEM-1","itemData":{"DOI":"10.1016/J.JGLR.2016.09.004","ISSN":"0380-1330","abstract":"Harmful algal blooms in the Western Lake Erie Basin (WLEB) can be considered a wicked problem—there are conflicting interpretations of the problem and science, stakeholders have different values and goals, and there is no definitive solution. This paper provides an overview and lessons learned of how one set of diverse stakeholders worked together to initiate a voluntary 4R Nutrient Stewardship Certification Program to address the wicked problem in the WLEB. 4R Nutrient Stewardship (Right rate, Right time, Right place, and Right source) provides the foundation for a science-based framework that achieves sustainable plant nutrition management while considering the environment, society, and economics. The 4R Certification Program ensures a third-party auditor objectively evaluates the nutrient service providers' implementation of the 41 criteria of the program that encompass education, recordkeeping, nutrient recommendations, and applications. While the environmental impact of 4R Certification Program adoption is being evaluated currently, implementing the 4Rs has been identified as a key step to improving water quality. In two years, the 4R Certification Program has influenced nearly 40% of WLEB's farmland through the 30 4R certified providers. While any single organization could have created a nutrient management program, it would not have been as robust, as practical, or as accepted as the one created by the broad group of stakeholders involved with the WLEB 4R Advisory Committee. The rigor, structure, governance, and credibility of the 4R Certification Program make it a top candidate to act in other regions with wicked problems related to nutrient management.","author":[{"dropping-particle":"","family":"Vollmer-Sanders","given":"Carrie","non-dropping-particle":"","parse-names":false,"suffix":""},{"dropping-particle":"","family":"Allman","given":"Andrew","non-dropping-particle":"","parse-names":false,"suffix":""},{"dropping-particle":"","family":"Busdeker","given":"Doug","non-dropping-particle":"","parse-names":false,"suffix":""},{"dropping-particle":"","family":"Moody","given":"Lara Beal","non-dropping-particle":"","parse-names":false,"suffix":""},{"dropping-particle":"","family":"Stanley","given":"William G.","non-dropping-particle":"","parse-names":false,"suffix":""}],"container-title":"Journal of Great Lakes Research","id":"ITEM-1","issue":"6","issued":{"date-parts":[["2016","12","1"]]},"page":"1395-1402","publisher":"Elsevier","title":"Building partnerships to scale up conservation: 4R Nutrient Stewardship Certification Program in the Lake Erie watershed","type":"article-journal","volume":"42"},"uris":["http://www.mendeley.com/documents/?uuid=3804d308-a66f-3a99-befb-7af77f7b22d4"]}],"mendeley":{"formattedCitation":"(Vollmer-Sanders &lt;i&gt;et al.&lt;/i&gt;, 2016)","plainTextFormattedCitation":"(Vollmer-Sanders et al., 2016)","previouslyFormattedCitation":"(Vollmer-Sanders &lt;i&gt;et al.&lt;/i&gt;, 2016)"},"properties":{"noteIndex":0},"schema":"https://github.com/citation-style-language/schema/raw/master/csl-citation.json"}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w:t>
      </w:r>
      <w:proofErr w:type="spellStart"/>
      <w:r w:rsidR="0006575A" w:rsidRPr="00F134B3">
        <w:rPr>
          <w:rFonts w:ascii="Arial" w:eastAsia="Calibri" w:hAnsi="Arial" w:cs="Arial"/>
          <w:sz w:val="22"/>
          <w:szCs w:val="22"/>
          <w:lang w:val="es-ES_tradnl"/>
        </w:rPr>
        <w:t>Vollmer</w:t>
      </w:r>
      <w:proofErr w:type="spellEnd"/>
      <w:r w:rsidR="0006575A" w:rsidRPr="00F134B3">
        <w:rPr>
          <w:rFonts w:ascii="Arial" w:eastAsia="Calibri" w:hAnsi="Arial" w:cs="Arial"/>
          <w:sz w:val="22"/>
          <w:szCs w:val="22"/>
          <w:lang w:val="es-ES_tradnl"/>
        </w:rPr>
        <w:t xml:space="preserve">-Sanders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2016)</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Por otro lado, la Yahara Pride Farms es una organización sin fines de lucro liderada por productores agropecuarios en Madison, Wisconsin. En esta zona, se estima que los establecimientos agrícolas aportan el 90 por ciento de los sedimentos y el 84 por ciento del fósforo que llega a los lagos. Entre sus actividades, </w:t>
      </w:r>
      <w:r w:rsidR="00E04732" w:rsidRPr="00C551E1">
        <w:rPr>
          <w:rFonts w:ascii="Arial" w:eastAsia="Calibri" w:hAnsi="Arial" w:cs="Arial"/>
          <w:sz w:val="22"/>
          <w:szCs w:val="22"/>
          <w:lang w:val="es-ES_tradnl"/>
        </w:rPr>
        <w:t>cofinancian</w:t>
      </w:r>
      <w:r w:rsidRPr="00C551E1">
        <w:rPr>
          <w:rFonts w:ascii="Arial" w:eastAsia="Calibri" w:hAnsi="Arial" w:cs="Arial"/>
          <w:sz w:val="22"/>
          <w:szCs w:val="22"/>
          <w:lang w:val="es-ES_tradnl"/>
        </w:rPr>
        <w:t xml:space="preserve"> la implementación de medidas para la conservación, como ser cultivos de cobertura, franjas de labranza, o inyección de estiércol de bajo impacto. Entre 2013 y 2015 las hectáreas aplicando fertilizantes insertados </w:t>
      </w:r>
      <w:r w:rsidRPr="00C551E1">
        <w:rPr>
          <w:rFonts w:ascii="Arial" w:eastAsia="Calibri" w:hAnsi="Arial" w:cs="Arial"/>
          <w:sz w:val="22"/>
          <w:szCs w:val="22"/>
          <w:lang w:val="es-ES_tradnl"/>
        </w:rPr>
        <w:lastRenderedPageBreak/>
        <w:t xml:space="preserve">en el suelo se incrementó de 321 ha a 566 ha al tiempo que la labranza en franjas se incrementó de 150 ha a 1.488 ha y el uso de cultivos de cobertura de 2.382 ha a 9.908 ha durante el mismo período. Esto se estima que ha ayudado a disminuir 7200 Kg de fósforo durante el período de esos 3 años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{"citationItems":[{"id":"ITEM-1","itemData":{"author":[{"dropping-particle":"","family":"Yahara Pride Farms","given":"","non-dropping-particle":"","parse-names":false,"suffix":""}],"id":"ITEM-1","issued":{"date-parts":[["2016"]]},"title":"2015 Phosphorus Reduction Report","type":"report"},"uris":["http://www.mendeley.com/documents/?uuid=3ddf26cd-5f9b-4aa4-99f1-cc4a6034c920"]}],"mendeley":{"formattedCitation":"(Yahara Pride Farms, 2016)","plainTextFormattedCitation":"(Yahara Pride Farms, 2016)","previouslyFormattedCitation":"(Yahara Pride Farms, 2016)"},"properties":{"noteIndex":0},"schema":"https://github.com/citation-style-language/schema/raw/master/csl-citation.json"}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(Yahara Pride Farms, 2016)</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w:t>
      </w:r>
    </w:p>
    <w:p w14:paraId="43F5205E" w14:textId="644421EA" w:rsidR="00792B59"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En Uruguay, existe limitada evidencia respecto al efecto de las prácticas de aplicación de fertilizantes en la exportación de nutrientes a cursos de agua. (Barreto et al., 2014) encuentran que la siembra directa incrementa las pérdidas de fósforo soluble de los suelos en relación al laboreo tradicional, incluso en situaciones sin fertilización reciente y con niveles medios a bajos de fósforo disponible en el suelo. Dichos resultados indican que la pérdida de fósforo es mayor en seguida de la fertilización superficial, para luego baja sustancialmente y rápidamente a medida que transcurre el tiempo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author":[{"dropping-particle":"","family":"Barreto","given":"P.","non-dropping-particle":"","parse-names":false,"suffix":""},{"dropping-particle":"","family":"Ernst","given":"O.","non-dropping-particle":"","parse-names":false,"suffix":""},{"dropping-particle":"","family":"Bidegain Pérez","given":"M","non-dropping-particle":"","parse-names":false,"suffix":""},{"dropping-particle":"","family":"Perdomo","given":"C.","non-dropping-particle":"","parse-names":false,"suffix":""}],"id":"ITEM-1","issued":{"date-parts":[["2014"]]},"title":"CUANTIFICACIÓN DE LAS PÉRDIDA DE FOSFORO POR ESCORRENTÍA EN DIFERENTES ROTACIÓNES DE SUELOS DE URUGUAY","type":"report"},"uris":["http://www.mendeley.com/documents/?uuid=9cad764e-e459-3702-a0bc-bf93239c3301"]},{"id":"ITEM-2","itemData":{"author":[{"dropping-particle":"","family":"Failde","given":"Alicia","non-dropping-particle":"","parse-names":false,"suffix":""},{"dropping-particle":"","family":"Lanzilotta","given":"Bibiana","non-dropping-particle":"","parse-names":false,"suffix":""},{"dropping-particle":"","family":"Perdomo","given":"Carlos","non-dropping-particle":"","parse-names":false,"suffix":""},{"dropping-particle":"","family":"Pérez Bidegain","given":"Mario","non-dropping-particle":"","parse-names":false,"suffix":""},{"dropping-particle":"","family":"Rosas","given":"Francisco","non-dropping-particle":"","parse-names":false,"suffix":""}],"id":"ITEM-2","issued":{"date-parts":[["2015"]]},"page":"94","title":"Instrumentos fiscales para el control y la reducción de la contaminación en cursos de agua. Estudio aplicado a la Cuenca del Río Santa Lucía. Informe.","type":"article-journal"},"uris":["http://www.mendeley.com/documents/?uuid=5de8ab44-5330-457c-b003-e8c5a410f780"]}],"mendeley":{"formattedCitation":"(Barreto &lt;i&gt;et al.&lt;/i&gt;, 2014; Failde &lt;i&gt;et al.&lt;/i&gt;, 2015)","plainTextFormattedCitation":"(Barreto et al., 2014; Failde et al., 2015)","previouslyFormattedCitation":"(Barreto &lt;i&gt;et al.&lt;/i&gt;, 2014; Failde &lt;i&gt;et al.&lt;/i&gt;, 2015)"},"properties":{"noteIndex":0},"schema":"https://github.com/citation-style-language/schema/raw/master/csl-citation.json"}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 xml:space="preserve">(Barreto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xml:space="preserve">, 2014; </w:t>
      </w:r>
      <w:proofErr w:type="spellStart"/>
      <w:r w:rsidR="0006575A" w:rsidRPr="00F134B3">
        <w:rPr>
          <w:rFonts w:ascii="Arial" w:eastAsia="Calibri" w:hAnsi="Arial" w:cs="Arial"/>
          <w:sz w:val="22"/>
          <w:szCs w:val="22"/>
          <w:lang w:val="es-ES_tradnl"/>
        </w:rPr>
        <w:t>Failde</w:t>
      </w:r>
      <w:proofErr w:type="spellEnd"/>
      <w:r w:rsidR="0006575A" w:rsidRPr="00F134B3">
        <w:rPr>
          <w:rFonts w:ascii="Arial" w:eastAsia="Calibri" w:hAnsi="Arial" w:cs="Arial"/>
          <w:sz w:val="22"/>
          <w:szCs w:val="22"/>
          <w:lang w:val="es-ES_tradnl"/>
        </w:rPr>
        <w:t xml:space="preserve">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2015)</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Sin embargo, esta es una evaluación de la práctica productiva, y no de la técnica de aplicación del fertilizante.</w:t>
      </w:r>
    </w:p>
    <w:p w14:paraId="24D5F38A" w14:textId="5EEB4CBE" w:rsidR="00506CE9" w:rsidRPr="00C551E1" w:rsidRDefault="00506CE9" w:rsidP="00F42B76">
      <w:pPr>
        <w:pStyle w:val="Normal1"/>
        <w:widowControl w:val="0"/>
        <w:spacing w:before="120" w:after="120"/>
        <w:jc w:val="both"/>
        <w:rPr>
          <w:rFonts w:ascii="Arial" w:eastAsia="Calibri" w:hAnsi="Arial" w:cs="Arial"/>
          <w:sz w:val="22"/>
          <w:szCs w:val="22"/>
          <w:lang w:val="es-ES_tradnl"/>
        </w:rPr>
      </w:pPr>
      <w:r w:rsidRPr="00506CE9">
        <w:rPr>
          <w:rFonts w:ascii="Arial" w:eastAsia="Calibri" w:hAnsi="Arial" w:cs="Arial"/>
          <w:sz w:val="22"/>
          <w:szCs w:val="22"/>
          <w:lang w:val="es-ES_tradnl"/>
        </w:rPr>
        <w:t xml:space="preserve">Panagos et al. (2018) </w:t>
      </w:r>
      <w:r>
        <w:rPr>
          <w:rFonts w:ascii="Arial" w:eastAsia="Calibri" w:hAnsi="Arial" w:cs="Arial"/>
          <w:sz w:val="22"/>
          <w:szCs w:val="22"/>
          <w:lang w:val="es-ES_tradnl"/>
        </w:rPr>
        <w:t xml:space="preserve">ha recopilad evidencia que </w:t>
      </w:r>
      <w:r w:rsidRPr="00506CE9">
        <w:rPr>
          <w:rFonts w:ascii="Arial" w:eastAsia="Calibri" w:hAnsi="Arial" w:cs="Arial"/>
          <w:sz w:val="22"/>
          <w:szCs w:val="22"/>
          <w:lang w:val="es-ES_tradnl"/>
        </w:rPr>
        <w:t>demuestra que incrementos en la cobertura forestal en cuencas</w:t>
      </w:r>
      <w:r>
        <w:rPr>
          <w:rFonts w:ascii="Arial" w:eastAsia="Calibri" w:hAnsi="Arial" w:cs="Arial"/>
          <w:sz w:val="22"/>
          <w:szCs w:val="22"/>
          <w:lang w:val="es-ES_tradnl"/>
        </w:rPr>
        <w:t>, incluyendo en las zonas de amortiguación,</w:t>
      </w:r>
      <w:r w:rsidRPr="00506CE9">
        <w:rPr>
          <w:rFonts w:ascii="Arial" w:eastAsia="Calibri" w:hAnsi="Arial" w:cs="Arial"/>
          <w:sz w:val="22"/>
          <w:szCs w:val="22"/>
          <w:lang w:val="es-ES_tradnl"/>
        </w:rPr>
        <w:t xml:space="preserve"> disminuye los niveles de erosión y, como consecuencia, tiene efectos positivos sobre los niveles de productividad de las actividades agrícolas. Esta base robusta de evidencia fue establecida desde los años 1970 e incluye evidencia empírica hasta 2009.</w:t>
      </w:r>
      <w:r>
        <w:rPr>
          <w:rFonts w:ascii="Arial" w:eastAsia="Calibri" w:hAnsi="Arial" w:cs="Arial"/>
          <w:sz w:val="22"/>
          <w:szCs w:val="22"/>
          <w:lang w:val="es-ES_tradnl"/>
        </w:rPr>
        <w:t xml:space="preserve"> Con base en esta evidencia, Pangos et al. (2018) </w:t>
      </w:r>
      <w:r w:rsidR="00F17F9A">
        <w:rPr>
          <w:rFonts w:ascii="Arial" w:eastAsia="Calibri" w:hAnsi="Arial" w:cs="Arial"/>
          <w:sz w:val="22"/>
          <w:szCs w:val="22"/>
          <w:lang w:val="es-ES_tradnl"/>
        </w:rPr>
        <w:t xml:space="preserve">estima un impacto de 8% sobre la productividad en relación a la erosión severa. Los beneficios contabilizados en el análisis económico ex-ante del programa analiza </w:t>
      </w:r>
      <w:r w:rsidR="00FF7DAA">
        <w:rPr>
          <w:rFonts w:ascii="Arial" w:eastAsia="Calibri" w:hAnsi="Arial" w:cs="Arial"/>
          <w:sz w:val="22"/>
          <w:szCs w:val="22"/>
          <w:lang w:val="es-ES_tradnl"/>
        </w:rPr>
        <w:t>un rango de posibles impactos sobre la productividad con base en la evidencia presentada por Panagos et al. (2018).</w:t>
      </w:r>
    </w:p>
    <w:p w14:paraId="0F4DB88E" w14:textId="1B635CC3" w:rsidR="00E01461" w:rsidRPr="00F134B3" w:rsidRDefault="00E01461" w:rsidP="00E01461">
      <w:pPr>
        <w:pStyle w:val="Heading2"/>
        <w:numPr>
          <w:ilvl w:val="0"/>
          <w:numId w:val="0"/>
        </w:numPr>
        <w:ind w:left="720" w:hanging="720"/>
        <w:rPr>
          <w:rFonts w:ascii="Arial" w:eastAsia="Calibri" w:hAnsi="Arial" w:cs="Arial"/>
          <w:noProof w:val="0"/>
          <w:sz w:val="20"/>
          <w:lang w:val="es-ES_tradnl"/>
        </w:rPr>
      </w:pPr>
      <w:bookmarkStart w:id="30" w:name="_Toc12264441"/>
      <w:r w:rsidRPr="00F134B3">
        <w:rPr>
          <w:rFonts w:ascii="Arial" w:eastAsia="Calibri" w:hAnsi="Arial" w:cs="Arial"/>
          <w:noProof w:val="0"/>
          <w:sz w:val="20"/>
          <w:lang w:val="es-ES_tradnl"/>
        </w:rPr>
        <w:t xml:space="preserve">1.3. Resumen de la Estrategia de </w:t>
      </w:r>
      <w:r w:rsidR="00E04732" w:rsidRPr="00C551E1">
        <w:rPr>
          <w:rFonts w:ascii="Arial" w:eastAsia="Calibri" w:hAnsi="Arial" w:cs="Arial"/>
          <w:noProof w:val="0"/>
          <w:sz w:val="20"/>
          <w:lang w:val="es-ES_tradnl"/>
        </w:rPr>
        <w:t>Evaluación</w:t>
      </w:r>
      <w:r w:rsidRPr="00F134B3">
        <w:rPr>
          <w:rFonts w:ascii="Arial" w:eastAsia="Calibri" w:hAnsi="Arial" w:cs="Arial"/>
          <w:noProof w:val="0"/>
          <w:sz w:val="20"/>
          <w:lang w:val="es-ES_tradnl"/>
        </w:rPr>
        <w:t xml:space="preserve"> Ex-Post</w:t>
      </w:r>
      <w:bookmarkEnd w:id="30"/>
    </w:p>
    <w:p w14:paraId="37158953" w14:textId="70C26F2D" w:rsidR="001C67F0"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La evaluación económico ex-post se realizará </w:t>
      </w:r>
      <w:r w:rsidR="00294D42" w:rsidRPr="00C551E1">
        <w:rPr>
          <w:rFonts w:ascii="Arial" w:eastAsia="Calibri" w:hAnsi="Arial" w:cs="Arial"/>
          <w:sz w:val="22"/>
          <w:szCs w:val="22"/>
          <w:lang w:val="es-ES_tradnl"/>
        </w:rPr>
        <w:t>mediante la aplicación de</w:t>
      </w:r>
      <w:r w:rsidR="001C67F0" w:rsidRPr="00C551E1">
        <w:rPr>
          <w:rFonts w:ascii="Arial" w:eastAsia="Calibri" w:hAnsi="Arial" w:cs="Arial"/>
          <w:sz w:val="22"/>
          <w:szCs w:val="22"/>
          <w:lang w:val="es-ES_tradnl"/>
        </w:rPr>
        <w:t xml:space="preserve"> un modelo de equilibrio general, la Platafor</w:t>
      </w:r>
      <w:r w:rsidR="00A611B4" w:rsidRPr="00C551E1">
        <w:rPr>
          <w:rFonts w:ascii="Arial" w:eastAsia="Calibri" w:hAnsi="Arial" w:cs="Arial"/>
          <w:sz w:val="22"/>
          <w:szCs w:val="22"/>
          <w:lang w:val="es-ES_tradnl"/>
        </w:rPr>
        <w:t>m</w:t>
      </w:r>
      <w:r w:rsidR="001C67F0" w:rsidRPr="00C551E1">
        <w:rPr>
          <w:rFonts w:ascii="Arial" w:eastAsia="Calibri" w:hAnsi="Arial" w:cs="Arial"/>
          <w:sz w:val="22"/>
          <w:szCs w:val="22"/>
          <w:lang w:val="es-ES_tradnl"/>
        </w:rPr>
        <w:t xml:space="preserve">a IEEM </w:t>
      </w:r>
      <w:r w:rsidR="00873340" w:rsidRPr="00C551E1">
        <w:rPr>
          <w:rFonts w:ascii="Arial" w:eastAsia="Calibri" w:hAnsi="Arial" w:cs="Arial"/>
          <w:sz w:val="22"/>
          <w:szCs w:val="22"/>
          <w:lang w:val="es-ES_tradnl"/>
        </w:rPr>
        <w:t>desarrollada</w:t>
      </w:r>
      <w:r w:rsidR="001C67F0" w:rsidRPr="00C551E1">
        <w:rPr>
          <w:rFonts w:ascii="Arial" w:eastAsia="Calibri" w:hAnsi="Arial" w:cs="Arial"/>
          <w:sz w:val="22"/>
          <w:szCs w:val="22"/>
          <w:lang w:val="es-ES_tradnl"/>
        </w:rPr>
        <w:t xml:space="preserve"> en el análisis </w:t>
      </w:r>
      <w:r w:rsidR="00412988">
        <w:rPr>
          <w:rFonts w:ascii="Arial" w:eastAsia="Calibri" w:hAnsi="Arial" w:cs="Arial"/>
          <w:sz w:val="22"/>
          <w:szCs w:val="22"/>
          <w:lang w:val="es-ES_tradnl"/>
        </w:rPr>
        <w:t xml:space="preserve">económico </w:t>
      </w:r>
      <w:r w:rsidR="001C67F0" w:rsidRPr="00C551E1">
        <w:rPr>
          <w:rFonts w:ascii="Arial" w:eastAsia="Calibri" w:hAnsi="Arial" w:cs="Arial"/>
          <w:sz w:val="22"/>
          <w:szCs w:val="22"/>
          <w:lang w:val="es-ES_tradnl"/>
        </w:rPr>
        <w:t xml:space="preserve">exante del presente </w:t>
      </w:r>
      <w:r w:rsidR="002B5292">
        <w:rPr>
          <w:rFonts w:ascii="Arial" w:eastAsia="Calibri" w:hAnsi="Arial" w:cs="Arial"/>
          <w:sz w:val="22"/>
          <w:szCs w:val="22"/>
          <w:lang w:val="es-ES_tradnl"/>
        </w:rPr>
        <w:t>programa</w:t>
      </w:r>
      <w:r w:rsidR="001C67F0" w:rsidRPr="00C551E1">
        <w:rPr>
          <w:rFonts w:ascii="Arial" w:eastAsia="Calibri" w:hAnsi="Arial" w:cs="Arial"/>
          <w:sz w:val="22"/>
          <w:szCs w:val="22"/>
          <w:lang w:val="es-ES_tradnl"/>
        </w:rPr>
        <w:t xml:space="preserve">, y un análisis costo beneficio expost. </w:t>
      </w:r>
      <w:r w:rsidR="00873340" w:rsidRPr="00C551E1">
        <w:rPr>
          <w:rFonts w:ascii="Arial" w:eastAsia="Calibri" w:hAnsi="Arial" w:cs="Arial"/>
          <w:sz w:val="22"/>
          <w:szCs w:val="22"/>
          <w:lang w:val="es-ES_tradnl"/>
        </w:rPr>
        <w:t xml:space="preserve">Como se describe en el análisis exante, se estimaron los valores de ciertos </w:t>
      </w:r>
      <w:r w:rsidR="00D13DB6" w:rsidRPr="00C551E1">
        <w:rPr>
          <w:rFonts w:ascii="Arial" w:eastAsia="Calibri" w:hAnsi="Arial" w:cs="Arial"/>
          <w:sz w:val="22"/>
          <w:szCs w:val="22"/>
          <w:lang w:val="es-ES_tradnl"/>
        </w:rPr>
        <w:t xml:space="preserve">variables para luego estimar su impacto económico, específicamente, ahorros del MVOTMA en tiempo </w:t>
      </w:r>
      <w:r w:rsidR="00A611B4" w:rsidRPr="00C551E1">
        <w:rPr>
          <w:rFonts w:ascii="Arial" w:eastAsia="Calibri" w:hAnsi="Arial" w:cs="Arial"/>
          <w:sz w:val="22"/>
          <w:szCs w:val="22"/>
          <w:lang w:val="es-ES_tradnl"/>
        </w:rPr>
        <w:t>y</w:t>
      </w:r>
      <w:r w:rsidR="00D13DB6" w:rsidRPr="00C551E1">
        <w:rPr>
          <w:rFonts w:ascii="Arial" w:eastAsia="Calibri" w:hAnsi="Arial" w:cs="Arial"/>
          <w:sz w:val="22"/>
          <w:szCs w:val="22"/>
          <w:lang w:val="es-ES_tradnl"/>
        </w:rPr>
        <w:t xml:space="preserve"> recursos con la implementación del </w:t>
      </w:r>
      <w:r w:rsidR="002B5292">
        <w:rPr>
          <w:rFonts w:ascii="Arial" w:eastAsia="Calibri" w:hAnsi="Arial" w:cs="Arial"/>
          <w:sz w:val="22"/>
          <w:szCs w:val="22"/>
          <w:lang w:val="es-ES_tradnl"/>
        </w:rPr>
        <w:t>programa</w:t>
      </w:r>
      <w:r w:rsidR="00D13DB6" w:rsidRPr="00C551E1">
        <w:rPr>
          <w:rFonts w:ascii="Arial" w:eastAsia="Calibri" w:hAnsi="Arial" w:cs="Arial"/>
          <w:sz w:val="22"/>
          <w:szCs w:val="22"/>
          <w:lang w:val="es-ES_tradnl"/>
        </w:rPr>
        <w:t xml:space="preserve"> y el área de zonas de amortiguación establecido</w:t>
      </w:r>
      <w:r w:rsidR="00A611B4" w:rsidRPr="00C551E1">
        <w:rPr>
          <w:rFonts w:ascii="Arial" w:eastAsia="Calibri" w:hAnsi="Arial" w:cs="Arial"/>
          <w:sz w:val="22"/>
          <w:szCs w:val="22"/>
          <w:lang w:val="es-ES_tradnl"/>
        </w:rPr>
        <w:t xml:space="preserve"> a través del </w:t>
      </w:r>
      <w:r w:rsidR="002B5292">
        <w:rPr>
          <w:rFonts w:ascii="Arial" w:eastAsia="Calibri" w:hAnsi="Arial" w:cs="Arial"/>
          <w:sz w:val="22"/>
          <w:szCs w:val="22"/>
          <w:lang w:val="es-ES_tradnl"/>
        </w:rPr>
        <w:t>programa</w:t>
      </w:r>
      <w:r w:rsidR="00A611B4" w:rsidRPr="00C551E1">
        <w:rPr>
          <w:rFonts w:ascii="Arial" w:eastAsia="Calibri" w:hAnsi="Arial" w:cs="Arial"/>
          <w:sz w:val="22"/>
          <w:szCs w:val="22"/>
          <w:lang w:val="es-ES_tradnl"/>
        </w:rPr>
        <w:t xml:space="preserve">. Al final del </w:t>
      </w:r>
      <w:r w:rsidR="002B5292">
        <w:rPr>
          <w:rFonts w:ascii="Arial" w:eastAsia="Calibri" w:hAnsi="Arial" w:cs="Arial"/>
          <w:sz w:val="22"/>
          <w:szCs w:val="22"/>
          <w:lang w:val="es-ES_tradnl"/>
        </w:rPr>
        <w:t>programa</w:t>
      </w:r>
      <w:r w:rsidR="00A611B4" w:rsidRPr="00C551E1">
        <w:rPr>
          <w:rFonts w:ascii="Arial" w:eastAsia="Calibri" w:hAnsi="Arial" w:cs="Arial"/>
          <w:sz w:val="22"/>
          <w:szCs w:val="22"/>
          <w:lang w:val="es-ES_tradnl"/>
        </w:rPr>
        <w:t xml:space="preserve">, existirá mejor información sobre estos variables que se recolectará y sustituirá en la Plataforma IEEM para estimar los impactos del </w:t>
      </w:r>
      <w:r w:rsidR="002B5292">
        <w:rPr>
          <w:rFonts w:ascii="Arial" w:eastAsia="Calibri" w:hAnsi="Arial" w:cs="Arial"/>
          <w:sz w:val="22"/>
          <w:szCs w:val="22"/>
          <w:lang w:val="es-ES_tradnl"/>
        </w:rPr>
        <w:t>programa</w:t>
      </w:r>
      <w:r w:rsidR="00A611B4" w:rsidRPr="00C551E1">
        <w:rPr>
          <w:rFonts w:ascii="Arial" w:eastAsia="Calibri" w:hAnsi="Arial" w:cs="Arial"/>
          <w:sz w:val="22"/>
          <w:szCs w:val="22"/>
          <w:lang w:val="es-ES_tradnl"/>
        </w:rPr>
        <w:t xml:space="preserve"> expost sobre el bienestar y calcular nuevamente la tasa interna de retorno (TIR) y valor presente neto (VPN) del </w:t>
      </w:r>
      <w:r w:rsidR="002B5292">
        <w:rPr>
          <w:rFonts w:ascii="Arial" w:eastAsia="Calibri" w:hAnsi="Arial" w:cs="Arial"/>
          <w:sz w:val="22"/>
          <w:szCs w:val="22"/>
          <w:lang w:val="es-ES_tradnl"/>
        </w:rPr>
        <w:t>programa</w:t>
      </w:r>
      <w:r w:rsidR="00A611B4" w:rsidRPr="00C551E1">
        <w:rPr>
          <w:rFonts w:ascii="Arial" w:eastAsia="Calibri" w:hAnsi="Arial" w:cs="Arial"/>
          <w:sz w:val="22"/>
          <w:szCs w:val="22"/>
          <w:lang w:val="es-ES_tradnl"/>
        </w:rPr>
        <w:t xml:space="preserve">. </w:t>
      </w:r>
      <w:r w:rsidR="00873340" w:rsidRPr="00C551E1">
        <w:rPr>
          <w:rFonts w:ascii="Arial" w:eastAsia="Calibri" w:hAnsi="Arial" w:cs="Arial"/>
          <w:sz w:val="22"/>
          <w:szCs w:val="22"/>
          <w:lang w:val="es-ES_tradnl"/>
        </w:rPr>
        <w:t xml:space="preserve"> </w:t>
      </w:r>
    </w:p>
    <w:p w14:paraId="6B2E98A2" w14:textId="5C121AD9" w:rsidR="00C32613" w:rsidRPr="00C551E1" w:rsidRDefault="00C32613"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En lo que sigue, se </w:t>
      </w:r>
      <w:r w:rsidR="002E285C" w:rsidRPr="00C551E1">
        <w:rPr>
          <w:rFonts w:ascii="Arial" w:eastAsia="Calibri" w:hAnsi="Arial" w:cs="Arial"/>
          <w:sz w:val="22"/>
          <w:szCs w:val="22"/>
          <w:lang w:val="es-ES_tradnl"/>
        </w:rPr>
        <w:t xml:space="preserve">presenta un resumen del análisis exante del </w:t>
      </w:r>
      <w:r w:rsidR="002B5292">
        <w:rPr>
          <w:rFonts w:ascii="Arial" w:eastAsia="Calibri" w:hAnsi="Arial" w:cs="Arial"/>
          <w:sz w:val="22"/>
          <w:szCs w:val="22"/>
          <w:lang w:val="es-ES_tradnl"/>
        </w:rPr>
        <w:t>programa</w:t>
      </w:r>
      <w:r w:rsidR="002E285C" w:rsidRPr="00C551E1">
        <w:rPr>
          <w:rFonts w:ascii="Arial" w:eastAsia="Calibri" w:hAnsi="Arial" w:cs="Arial"/>
          <w:sz w:val="22"/>
          <w:szCs w:val="22"/>
          <w:lang w:val="es-ES_tradnl"/>
        </w:rPr>
        <w:t xml:space="preserve">. </w:t>
      </w:r>
      <w:r w:rsidR="00B9684A">
        <w:rPr>
          <w:rFonts w:ascii="Arial" w:eastAsia="Calibri" w:hAnsi="Arial" w:cs="Arial"/>
          <w:sz w:val="22"/>
          <w:szCs w:val="22"/>
          <w:lang w:val="es-ES_tradnl"/>
        </w:rPr>
        <w:t xml:space="preserve">La sección 1.5 presenta </w:t>
      </w:r>
      <w:r w:rsidR="0057548B" w:rsidRPr="00C551E1">
        <w:rPr>
          <w:rFonts w:ascii="Arial" w:eastAsia="Calibri" w:hAnsi="Arial" w:cs="Arial"/>
          <w:sz w:val="22"/>
          <w:szCs w:val="22"/>
          <w:lang w:val="es-ES_tradnl"/>
        </w:rPr>
        <w:t>las preguntas que esta evaluación económica expost responder</w:t>
      </w:r>
      <w:r w:rsidR="00412988">
        <w:rPr>
          <w:rFonts w:ascii="Arial" w:eastAsia="Calibri" w:hAnsi="Arial" w:cs="Arial"/>
          <w:sz w:val="22"/>
          <w:szCs w:val="22"/>
          <w:lang w:val="es-ES_tradnl"/>
        </w:rPr>
        <w:t>á</w:t>
      </w:r>
      <w:r w:rsidR="0057548B" w:rsidRPr="00C551E1">
        <w:rPr>
          <w:rFonts w:ascii="Arial" w:eastAsia="Calibri" w:hAnsi="Arial" w:cs="Arial"/>
          <w:sz w:val="22"/>
          <w:szCs w:val="22"/>
          <w:lang w:val="es-ES_tradnl"/>
        </w:rPr>
        <w:t xml:space="preserve">. </w:t>
      </w:r>
      <w:r w:rsidR="002E285C" w:rsidRPr="00C551E1">
        <w:rPr>
          <w:rFonts w:ascii="Arial" w:eastAsia="Calibri" w:hAnsi="Arial" w:cs="Arial"/>
          <w:sz w:val="22"/>
          <w:szCs w:val="22"/>
          <w:lang w:val="es-ES_tradnl"/>
        </w:rPr>
        <w:t>En</w:t>
      </w:r>
      <w:r w:rsidR="00B9684A">
        <w:rPr>
          <w:rFonts w:ascii="Arial" w:eastAsia="Calibri" w:hAnsi="Arial" w:cs="Arial"/>
          <w:sz w:val="22"/>
          <w:szCs w:val="22"/>
          <w:lang w:val="es-ES_tradnl"/>
        </w:rPr>
        <w:t xml:space="preserve"> la sección 2, s</w:t>
      </w:r>
      <w:r w:rsidR="0057548B" w:rsidRPr="00C551E1">
        <w:rPr>
          <w:rFonts w:ascii="Arial" w:eastAsia="Calibri" w:hAnsi="Arial" w:cs="Arial"/>
          <w:sz w:val="22"/>
          <w:szCs w:val="22"/>
          <w:lang w:val="es-ES_tradnl"/>
        </w:rPr>
        <w:t xml:space="preserve">e </w:t>
      </w:r>
      <w:r w:rsidR="002E285C" w:rsidRPr="00C551E1">
        <w:rPr>
          <w:rFonts w:ascii="Arial" w:eastAsia="Calibri" w:hAnsi="Arial" w:cs="Arial"/>
          <w:sz w:val="22"/>
          <w:szCs w:val="22"/>
          <w:lang w:val="es-ES_tradnl"/>
        </w:rPr>
        <w:t>discut</w:t>
      </w:r>
      <w:r w:rsidR="003350B7">
        <w:rPr>
          <w:rFonts w:ascii="Arial" w:eastAsia="Calibri" w:hAnsi="Arial" w:cs="Arial"/>
          <w:sz w:val="22"/>
          <w:szCs w:val="22"/>
          <w:lang w:val="es-ES_tradnl"/>
        </w:rPr>
        <w:t>e</w:t>
      </w:r>
      <w:r w:rsidR="002E285C" w:rsidRPr="00C551E1">
        <w:rPr>
          <w:rFonts w:ascii="Arial" w:eastAsia="Calibri" w:hAnsi="Arial" w:cs="Arial"/>
          <w:sz w:val="22"/>
          <w:szCs w:val="22"/>
          <w:lang w:val="es-ES_tradnl"/>
        </w:rPr>
        <w:t xml:space="preserve"> </w:t>
      </w:r>
      <w:r w:rsidRPr="00C551E1">
        <w:rPr>
          <w:rFonts w:ascii="Arial" w:eastAsia="Calibri" w:hAnsi="Arial" w:cs="Arial"/>
          <w:sz w:val="22"/>
          <w:szCs w:val="22"/>
          <w:lang w:val="es-ES_tradnl"/>
        </w:rPr>
        <w:t xml:space="preserve">varias metodologías de evaluación </w:t>
      </w:r>
      <w:r w:rsidR="002E285C" w:rsidRPr="00C551E1">
        <w:rPr>
          <w:rFonts w:ascii="Arial" w:eastAsia="Calibri" w:hAnsi="Arial" w:cs="Arial"/>
          <w:sz w:val="22"/>
          <w:szCs w:val="22"/>
          <w:lang w:val="es-ES_tradnl"/>
        </w:rPr>
        <w:t>económica</w:t>
      </w:r>
      <w:r w:rsidRPr="00C551E1">
        <w:rPr>
          <w:rFonts w:ascii="Arial" w:eastAsia="Calibri" w:hAnsi="Arial" w:cs="Arial"/>
          <w:sz w:val="22"/>
          <w:szCs w:val="22"/>
          <w:lang w:val="es-ES_tradnl"/>
        </w:rPr>
        <w:t xml:space="preserve"> expost. </w:t>
      </w:r>
      <w:r w:rsidR="003350B7">
        <w:rPr>
          <w:rFonts w:ascii="Arial" w:eastAsia="Calibri" w:hAnsi="Arial" w:cs="Arial"/>
          <w:sz w:val="22"/>
          <w:szCs w:val="22"/>
          <w:lang w:val="es-ES_tradnl"/>
        </w:rPr>
        <w:t xml:space="preserve">La sección tres </w:t>
      </w:r>
      <w:r w:rsidR="0057548B" w:rsidRPr="00C551E1">
        <w:rPr>
          <w:rFonts w:ascii="Arial" w:eastAsia="Calibri" w:hAnsi="Arial" w:cs="Arial"/>
          <w:sz w:val="22"/>
          <w:szCs w:val="22"/>
          <w:lang w:val="es-ES_tradnl"/>
        </w:rPr>
        <w:t xml:space="preserve">describe la metodología que se aplicará en la evaluación del </w:t>
      </w:r>
      <w:r w:rsidR="002B5292">
        <w:rPr>
          <w:rFonts w:ascii="Arial" w:eastAsia="Calibri" w:hAnsi="Arial" w:cs="Arial"/>
          <w:sz w:val="22"/>
          <w:szCs w:val="22"/>
          <w:lang w:val="es-ES_tradnl"/>
        </w:rPr>
        <w:t>programa</w:t>
      </w:r>
      <w:r w:rsidR="0057548B" w:rsidRPr="00C551E1">
        <w:rPr>
          <w:rFonts w:ascii="Arial" w:eastAsia="Calibri" w:hAnsi="Arial" w:cs="Arial"/>
          <w:sz w:val="22"/>
          <w:szCs w:val="22"/>
          <w:lang w:val="es-ES_tradnl"/>
        </w:rPr>
        <w:t xml:space="preserve"> propuesto. La sección </w:t>
      </w:r>
      <w:r w:rsidR="003350B7">
        <w:rPr>
          <w:rFonts w:ascii="Arial" w:eastAsia="Calibri" w:hAnsi="Arial" w:cs="Arial"/>
          <w:sz w:val="22"/>
          <w:szCs w:val="22"/>
          <w:lang w:val="es-ES_tradnl"/>
        </w:rPr>
        <w:t>cuatro</w:t>
      </w:r>
      <w:r w:rsidR="0057548B" w:rsidRPr="00C551E1">
        <w:rPr>
          <w:rFonts w:ascii="Arial" w:eastAsia="Calibri" w:hAnsi="Arial" w:cs="Arial"/>
          <w:sz w:val="22"/>
          <w:szCs w:val="22"/>
          <w:lang w:val="es-ES_tradnl"/>
        </w:rPr>
        <w:t xml:space="preserve"> presenta los datos </w:t>
      </w:r>
      <w:r w:rsidR="0033168B" w:rsidRPr="00C551E1">
        <w:rPr>
          <w:rFonts w:ascii="Arial" w:eastAsia="Calibri" w:hAnsi="Arial" w:cs="Arial"/>
          <w:sz w:val="22"/>
          <w:szCs w:val="22"/>
          <w:lang w:val="es-ES_tradnl"/>
        </w:rPr>
        <w:t xml:space="preserve">y su disponibilidad, un cronograma de trabajo y un presupuesto para la evaluación económica expost. </w:t>
      </w:r>
      <w:r w:rsidR="00E67B7E">
        <w:rPr>
          <w:rFonts w:ascii="Arial" w:eastAsia="Calibri" w:hAnsi="Arial" w:cs="Arial"/>
          <w:sz w:val="22"/>
          <w:szCs w:val="22"/>
          <w:lang w:val="es-ES_tradnl"/>
        </w:rPr>
        <w:t xml:space="preserve"> </w:t>
      </w:r>
    </w:p>
    <w:p w14:paraId="25FC0E91" w14:textId="584C42F5" w:rsidR="00E01461" w:rsidRPr="00F134B3" w:rsidRDefault="00E01461" w:rsidP="00E01461">
      <w:pPr>
        <w:pStyle w:val="Heading2"/>
        <w:numPr>
          <w:ilvl w:val="0"/>
          <w:numId w:val="0"/>
        </w:numPr>
        <w:ind w:left="720" w:hanging="720"/>
        <w:rPr>
          <w:rFonts w:ascii="Arial" w:eastAsia="Calibri" w:hAnsi="Arial" w:cs="Arial"/>
          <w:noProof w:val="0"/>
          <w:sz w:val="20"/>
          <w:lang w:val="es-ES_tradnl"/>
        </w:rPr>
      </w:pPr>
      <w:bookmarkStart w:id="31" w:name="_Toc12264442"/>
      <w:r w:rsidRPr="00F134B3">
        <w:rPr>
          <w:rFonts w:ascii="Arial" w:eastAsia="Calibri" w:hAnsi="Arial" w:cs="Arial"/>
          <w:noProof w:val="0"/>
          <w:sz w:val="20"/>
          <w:lang w:val="es-ES_tradnl"/>
        </w:rPr>
        <w:t xml:space="preserve">1.4. Resumen del Análisis </w:t>
      </w:r>
      <w:r w:rsidR="00E04732" w:rsidRPr="00C551E1">
        <w:rPr>
          <w:rFonts w:ascii="Arial" w:eastAsia="Calibri" w:hAnsi="Arial" w:cs="Arial"/>
          <w:noProof w:val="0"/>
          <w:sz w:val="20"/>
          <w:lang w:val="es-ES_tradnl"/>
        </w:rPr>
        <w:t>Económico</w:t>
      </w:r>
      <w:r w:rsidRPr="00F134B3">
        <w:rPr>
          <w:rFonts w:ascii="Arial" w:eastAsia="Calibri" w:hAnsi="Arial" w:cs="Arial"/>
          <w:noProof w:val="0"/>
          <w:sz w:val="20"/>
          <w:lang w:val="es-ES_tradnl"/>
        </w:rPr>
        <w:t xml:space="preserve"> Ex-Ante del </w:t>
      </w:r>
      <w:r w:rsidR="002B5292">
        <w:rPr>
          <w:rFonts w:ascii="Arial" w:eastAsia="Calibri" w:hAnsi="Arial" w:cs="Arial"/>
          <w:noProof w:val="0"/>
          <w:sz w:val="20"/>
          <w:lang w:val="es-ES_tradnl"/>
        </w:rPr>
        <w:t>Programa</w:t>
      </w:r>
      <w:bookmarkEnd w:id="31"/>
    </w:p>
    <w:p w14:paraId="38F6C40A" w14:textId="09C8D29A" w:rsidR="0089632D" w:rsidRPr="00C551E1" w:rsidRDefault="0065737A" w:rsidP="0065737A">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El análisis económico exante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se realizó a través del desarrollo y aplicación de una Plataforma IEEM (Integrated Economic-Environmental Modelling) desarrollado por el BID. Con este tipo de modelo de equilibrio general</w:t>
      </w:r>
      <w:r w:rsidR="003350B7">
        <w:rPr>
          <w:rFonts w:ascii="Arial" w:eastAsia="Calibri" w:hAnsi="Arial" w:cs="Arial"/>
          <w:sz w:val="22"/>
          <w:szCs w:val="22"/>
          <w:lang w:val="es-ES_tradnl"/>
        </w:rPr>
        <w:t xml:space="preserve"> computable</w:t>
      </w:r>
      <w:r w:rsidRPr="00C551E1">
        <w:rPr>
          <w:rFonts w:ascii="Arial" w:eastAsia="Calibri" w:hAnsi="Arial" w:cs="Arial"/>
          <w:sz w:val="22"/>
          <w:szCs w:val="22"/>
          <w:lang w:val="es-ES_tradnl"/>
        </w:rPr>
        <w:t xml:space="preserve">, es posible evaluar los efectos macro y meso-económicos de corto y largo plazo de distintos shocks, dentro de un marco de consistencia analítica que permita enfoques alternativos de equilibrio parcial. La consistencia estará asegurada al considerarse, de manera simultánea, los equilibrios macroeconómicos, los equilibrios sectoriales de oferta y demanda, y la igualdad entre ingresos y gastos de cada uno </w:t>
      </w:r>
      <w:r w:rsidRPr="00C551E1">
        <w:rPr>
          <w:rFonts w:ascii="Arial" w:eastAsia="Calibri" w:hAnsi="Arial" w:cs="Arial"/>
          <w:sz w:val="22"/>
          <w:szCs w:val="22"/>
          <w:lang w:val="es-ES_tradnl"/>
        </w:rPr>
        <w:lastRenderedPageBreak/>
        <w:t xml:space="preserve">de los sectores institucionales (hogares, empresas, gobierno, resto del mundo, entre los más importantes). </w:t>
      </w:r>
    </w:p>
    <w:p w14:paraId="3EA39E48" w14:textId="67CB388A" w:rsidR="00E01461" w:rsidRPr="00C551E1" w:rsidRDefault="0065737A" w:rsidP="0065737A">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En los últimos años, IEEM se</w:t>
      </w:r>
      <w:r w:rsidR="009130D7">
        <w:rPr>
          <w:rFonts w:ascii="Arial" w:eastAsia="Calibri" w:hAnsi="Arial" w:cs="Arial"/>
          <w:sz w:val="22"/>
          <w:szCs w:val="22"/>
          <w:lang w:val="es-ES_tradnl"/>
        </w:rPr>
        <w:t xml:space="preserve"> ha </w:t>
      </w:r>
      <w:r w:rsidRPr="00C551E1">
        <w:rPr>
          <w:rFonts w:ascii="Arial" w:eastAsia="Calibri" w:hAnsi="Arial" w:cs="Arial"/>
          <w:sz w:val="22"/>
          <w:szCs w:val="22"/>
          <w:lang w:val="es-ES_tradnl"/>
        </w:rPr>
        <w:t>aplic</w:t>
      </w:r>
      <w:r w:rsidR="009130D7">
        <w:rPr>
          <w:rFonts w:ascii="Arial" w:eastAsia="Calibri" w:hAnsi="Arial" w:cs="Arial"/>
          <w:sz w:val="22"/>
          <w:szCs w:val="22"/>
          <w:lang w:val="es-ES_tradnl"/>
        </w:rPr>
        <w:t>ado</w:t>
      </w:r>
      <w:r w:rsidRPr="00C551E1">
        <w:rPr>
          <w:rFonts w:ascii="Arial" w:eastAsia="Calibri" w:hAnsi="Arial" w:cs="Arial"/>
          <w:sz w:val="22"/>
          <w:szCs w:val="22"/>
          <w:lang w:val="es-ES_tradnl"/>
        </w:rPr>
        <w:t xml:space="preserve"> a diversas cuestiones vinculadas con la interacción entre </w:t>
      </w:r>
      <w:r w:rsidR="00CD3AF2">
        <w:rPr>
          <w:rFonts w:ascii="Arial" w:eastAsia="Calibri" w:hAnsi="Arial" w:cs="Arial"/>
          <w:sz w:val="22"/>
          <w:szCs w:val="22"/>
          <w:lang w:val="es-ES_tradnl"/>
        </w:rPr>
        <w:t xml:space="preserve">la </w:t>
      </w:r>
      <w:r w:rsidRPr="00C551E1">
        <w:rPr>
          <w:rFonts w:ascii="Arial" w:eastAsia="Calibri" w:hAnsi="Arial" w:cs="Arial"/>
          <w:sz w:val="22"/>
          <w:szCs w:val="22"/>
          <w:lang w:val="es-ES_tradnl"/>
        </w:rPr>
        <w:t>economía y medioambiente (ver, entre otros artículos, Banerjee et al. 2016, 2019a y 2019b). En términos de los datos, la fuente principal de información para calibrar IEEM viene dada por una Matriz de Contabilidad Social</w:t>
      </w:r>
      <w:r w:rsidR="009130D7">
        <w:rPr>
          <w:rFonts w:ascii="Arial" w:eastAsia="Calibri" w:hAnsi="Arial" w:cs="Arial"/>
          <w:sz w:val="22"/>
          <w:szCs w:val="22"/>
          <w:lang w:val="es-ES_tradnl"/>
        </w:rPr>
        <w:t xml:space="preserve"> para Uruguay, recién construida</w:t>
      </w:r>
      <w:r w:rsidR="0006476A">
        <w:rPr>
          <w:rFonts w:ascii="Arial" w:eastAsia="Calibri" w:hAnsi="Arial" w:cs="Arial"/>
          <w:sz w:val="22"/>
          <w:szCs w:val="22"/>
          <w:lang w:val="es-ES_tradnl"/>
        </w:rPr>
        <w:t xml:space="preserve"> por los autores y</w:t>
      </w:r>
      <w:r w:rsidR="009130D7">
        <w:rPr>
          <w:rFonts w:ascii="Arial" w:eastAsia="Calibri" w:hAnsi="Arial" w:cs="Arial"/>
          <w:sz w:val="22"/>
          <w:szCs w:val="22"/>
          <w:lang w:val="es-ES_tradnl"/>
        </w:rPr>
        <w:t xml:space="preserve"> con el año base de 2017</w:t>
      </w:r>
      <w:r w:rsidR="0089632D" w:rsidRPr="00C551E1">
        <w:rPr>
          <w:rFonts w:ascii="Arial" w:eastAsia="Calibri" w:hAnsi="Arial" w:cs="Arial"/>
          <w:sz w:val="22"/>
          <w:szCs w:val="22"/>
          <w:lang w:val="es-ES_tradnl"/>
        </w:rPr>
        <w:t xml:space="preserve">. </w:t>
      </w:r>
      <w:r w:rsidR="00EB1529" w:rsidRPr="00C551E1">
        <w:rPr>
          <w:rFonts w:ascii="Arial" w:eastAsia="Calibri" w:hAnsi="Arial" w:cs="Arial"/>
          <w:sz w:val="22"/>
          <w:szCs w:val="22"/>
          <w:lang w:val="es-ES_tradnl"/>
        </w:rPr>
        <w:t xml:space="preserve">Los shocks que se implementaron en IEEM simulan distintos elementos del </w:t>
      </w:r>
      <w:r w:rsidR="002B5292">
        <w:rPr>
          <w:rFonts w:ascii="Arial" w:eastAsia="Calibri" w:hAnsi="Arial" w:cs="Arial"/>
          <w:sz w:val="22"/>
          <w:szCs w:val="22"/>
          <w:lang w:val="es-ES_tradnl"/>
        </w:rPr>
        <w:t>programa</w:t>
      </w:r>
      <w:r w:rsidR="00EB1529" w:rsidRPr="00C551E1">
        <w:rPr>
          <w:rFonts w:ascii="Arial" w:eastAsia="Calibri" w:hAnsi="Arial" w:cs="Arial"/>
          <w:sz w:val="22"/>
          <w:szCs w:val="22"/>
          <w:lang w:val="es-ES_tradnl"/>
        </w:rPr>
        <w:t xml:space="preserve"> mientras que su impacto económico se cuantifica a través de cambios en la provisión de servicios ecosistémicos. La teoría de cambio del </w:t>
      </w:r>
      <w:r w:rsidR="002B5292">
        <w:rPr>
          <w:rFonts w:ascii="Arial" w:eastAsia="Calibri" w:hAnsi="Arial" w:cs="Arial"/>
          <w:sz w:val="22"/>
          <w:szCs w:val="22"/>
          <w:lang w:val="es-ES_tradnl"/>
        </w:rPr>
        <w:t>programa</w:t>
      </w:r>
      <w:r w:rsidR="00AA5738" w:rsidRPr="00C551E1">
        <w:rPr>
          <w:rFonts w:ascii="Arial" w:eastAsia="Calibri" w:hAnsi="Arial" w:cs="Arial"/>
          <w:sz w:val="22"/>
          <w:szCs w:val="22"/>
          <w:lang w:val="es-ES_tradnl"/>
        </w:rPr>
        <w:t xml:space="preserve"> (figura 1)</w:t>
      </w:r>
      <w:r w:rsidR="00EB1529" w:rsidRPr="00C551E1">
        <w:rPr>
          <w:rFonts w:ascii="Arial" w:eastAsia="Calibri" w:hAnsi="Arial" w:cs="Arial"/>
          <w:sz w:val="22"/>
          <w:szCs w:val="22"/>
          <w:lang w:val="es-ES_tradnl"/>
        </w:rPr>
        <w:t xml:space="preserve"> muestra cómo se traducen las actividades del </w:t>
      </w:r>
      <w:r w:rsidR="002B5292">
        <w:rPr>
          <w:rFonts w:ascii="Arial" w:eastAsia="Calibri" w:hAnsi="Arial" w:cs="Arial"/>
          <w:sz w:val="22"/>
          <w:szCs w:val="22"/>
          <w:lang w:val="es-ES_tradnl"/>
        </w:rPr>
        <w:t>programa</w:t>
      </w:r>
      <w:r w:rsidR="00EB1529" w:rsidRPr="00C551E1">
        <w:rPr>
          <w:rFonts w:ascii="Arial" w:eastAsia="Calibri" w:hAnsi="Arial" w:cs="Arial"/>
          <w:sz w:val="22"/>
          <w:szCs w:val="22"/>
          <w:lang w:val="es-ES_tradnl"/>
        </w:rPr>
        <w:t xml:space="preserve"> en cambios en servicios ecosistémicos, los cuales se valoran para estimar los beneficios del </w:t>
      </w:r>
      <w:r w:rsidR="002B5292">
        <w:rPr>
          <w:rFonts w:ascii="Arial" w:eastAsia="Calibri" w:hAnsi="Arial" w:cs="Arial"/>
          <w:sz w:val="22"/>
          <w:szCs w:val="22"/>
          <w:lang w:val="es-ES_tradnl"/>
        </w:rPr>
        <w:t>programa</w:t>
      </w:r>
      <w:r w:rsidR="00EB1529" w:rsidRPr="00C551E1">
        <w:rPr>
          <w:rFonts w:ascii="Arial" w:eastAsia="Calibri" w:hAnsi="Arial" w:cs="Arial"/>
          <w:sz w:val="22"/>
          <w:szCs w:val="22"/>
          <w:lang w:val="es-ES_tradnl"/>
        </w:rPr>
        <w:t>.</w:t>
      </w:r>
    </w:p>
    <w:p w14:paraId="7605790F" w14:textId="38D87FA4" w:rsidR="00AA5738" w:rsidRPr="00C551E1" w:rsidRDefault="00814CE8" w:rsidP="0065737A">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Adicional a la </w:t>
      </w:r>
      <w:r w:rsidR="00233E62" w:rsidRPr="00C551E1">
        <w:rPr>
          <w:rFonts w:ascii="Arial" w:eastAsia="Calibri" w:hAnsi="Arial" w:cs="Arial"/>
          <w:sz w:val="22"/>
          <w:szCs w:val="22"/>
          <w:lang w:val="es-ES_tradnl"/>
        </w:rPr>
        <w:t>línea</w:t>
      </w:r>
      <w:r w:rsidRPr="00C551E1">
        <w:rPr>
          <w:rFonts w:ascii="Arial" w:eastAsia="Calibri" w:hAnsi="Arial" w:cs="Arial"/>
          <w:sz w:val="22"/>
          <w:szCs w:val="22"/>
          <w:lang w:val="es-ES_tradnl"/>
        </w:rPr>
        <w:t xml:space="preserve"> base, se </w:t>
      </w:r>
      <w:r w:rsidR="00233E62" w:rsidRPr="00C551E1">
        <w:rPr>
          <w:rFonts w:ascii="Arial" w:eastAsia="Calibri" w:hAnsi="Arial" w:cs="Arial"/>
          <w:sz w:val="22"/>
          <w:szCs w:val="22"/>
          <w:lang w:val="es-ES_tradnl"/>
        </w:rPr>
        <w:t>calibraron</w:t>
      </w:r>
      <w:r w:rsidRPr="00C551E1">
        <w:rPr>
          <w:rFonts w:ascii="Arial" w:eastAsia="Calibri" w:hAnsi="Arial" w:cs="Arial"/>
          <w:sz w:val="22"/>
          <w:szCs w:val="22"/>
          <w:lang w:val="es-ES_tradnl"/>
        </w:rPr>
        <w:t xml:space="preserve"> </w:t>
      </w:r>
      <w:r w:rsidR="00696343" w:rsidRPr="00C551E1">
        <w:rPr>
          <w:rFonts w:ascii="Arial" w:eastAsia="Calibri" w:hAnsi="Arial" w:cs="Arial"/>
          <w:sz w:val="22"/>
          <w:szCs w:val="22"/>
          <w:lang w:val="es-ES_tradnl"/>
        </w:rPr>
        <w:t>5</w:t>
      </w:r>
      <w:r w:rsidRPr="00C551E1">
        <w:rPr>
          <w:rFonts w:ascii="Arial" w:eastAsia="Calibri" w:hAnsi="Arial" w:cs="Arial"/>
          <w:sz w:val="22"/>
          <w:szCs w:val="22"/>
          <w:lang w:val="es-ES_tradnl"/>
        </w:rPr>
        <w:t xml:space="preserve"> escenarios para simular los distintos elementos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w:t>
      </w:r>
      <w:r w:rsidR="00233E62" w:rsidRPr="00C551E1">
        <w:rPr>
          <w:rFonts w:ascii="Arial" w:eastAsia="Calibri" w:hAnsi="Arial" w:cs="Arial"/>
          <w:sz w:val="22"/>
          <w:szCs w:val="22"/>
          <w:lang w:val="es-ES_tradnl"/>
        </w:rPr>
        <w:t xml:space="preserve">El escenario INVEST analiza los efectos que tendría un incremento de la inversión pública de 6 millones de dólares (contribución del BID). El escenario LGOVPRD capta los aspectos claves del primer objetivo del </w:t>
      </w:r>
      <w:r w:rsidR="002B5292">
        <w:rPr>
          <w:rFonts w:ascii="Arial" w:eastAsia="Calibri" w:hAnsi="Arial" w:cs="Arial"/>
          <w:sz w:val="22"/>
          <w:szCs w:val="22"/>
          <w:lang w:val="es-ES_tradnl"/>
        </w:rPr>
        <w:t>programa</w:t>
      </w:r>
      <w:r w:rsidR="00233E62" w:rsidRPr="00C551E1">
        <w:rPr>
          <w:rFonts w:ascii="Arial" w:eastAsia="Calibri" w:hAnsi="Arial" w:cs="Arial"/>
          <w:sz w:val="22"/>
          <w:szCs w:val="22"/>
          <w:lang w:val="es-ES_tradnl"/>
        </w:rPr>
        <w:t xml:space="preserve">, y simula un aumento en la eficiencia del MVOTMA y el ahorro de recursos. Este efecto sobre la eficiencia del MVOTMA tiene tres canales a través de los cuales el </w:t>
      </w:r>
      <w:r w:rsidR="002B5292">
        <w:rPr>
          <w:rFonts w:ascii="Arial" w:eastAsia="Calibri" w:hAnsi="Arial" w:cs="Arial"/>
          <w:sz w:val="22"/>
          <w:szCs w:val="22"/>
          <w:lang w:val="es-ES_tradnl"/>
        </w:rPr>
        <w:t>programa</w:t>
      </w:r>
      <w:r w:rsidR="00233E62" w:rsidRPr="00C551E1">
        <w:rPr>
          <w:rFonts w:ascii="Arial" w:eastAsia="Calibri" w:hAnsi="Arial" w:cs="Arial"/>
          <w:sz w:val="22"/>
          <w:szCs w:val="22"/>
          <w:lang w:val="es-ES_tradnl"/>
        </w:rPr>
        <w:t xml:space="preserve"> generaría ahorros del presupuesto básico de la institución: (i) recaudación por prestación del servicio de evaluación de impacto ambiental; (ii) incremento en la eficiencia de las actividades de monitoreo y control, como consecuencia de los nuevos sistemas de información </w:t>
      </w:r>
      <w:r w:rsidR="00A35B67">
        <w:rPr>
          <w:rFonts w:ascii="Arial" w:eastAsia="Calibri" w:hAnsi="Arial" w:cs="Arial"/>
          <w:sz w:val="22"/>
          <w:szCs w:val="22"/>
          <w:lang w:val="es-ES_tradnl"/>
        </w:rPr>
        <w:t>y el sistema de control de caudal vertido en tiempo real que permitirá ahorrar visitas de campo y mejor direccionar los esfuerzos de control y la aplicaci</w:t>
      </w:r>
      <w:r w:rsidR="0075219F">
        <w:rPr>
          <w:rFonts w:ascii="Arial" w:eastAsia="Calibri" w:hAnsi="Arial" w:cs="Arial"/>
          <w:sz w:val="22"/>
          <w:szCs w:val="22"/>
          <w:lang w:val="es-ES_tradnl"/>
        </w:rPr>
        <w:t>ó</w:t>
      </w:r>
      <w:r w:rsidR="00A35B67">
        <w:rPr>
          <w:rFonts w:ascii="Arial" w:eastAsia="Calibri" w:hAnsi="Arial" w:cs="Arial"/>
          <w:sz w:val="22"/>
          <w:szCs w:val="22"/>
          <w:lang w:val="es-ES_tradnl"/>
        </w:rPr>
        <w:t>n de sanciones temporáneas</w:t>
      </w:r>
      <w:r w:rsidR="00233E62" w:rsidRPr="00C551E1">
        <w:rPr>
          <w:rFonts w:ascii="Arial" w:eastAsia="Calibri" w:hAnsi="Arial" w:cs="Arial"/>
          <w:sz w:val="22"/>
          <w:szCs w:val="22"/>
          <w:lang w:val="es-ES_tradnl"/>
        </w:rPr>
        <w:t>; y (iii) ahorros en el sector público asociados a la reducción del número de emergencias asociadas con el deterioro de la calidad del agua. El escenario LGOVPRD</w:t>
      </w:r>
      <w:r w:rsidR="002B73B3" w:rsidRPr="00C551E1">
        <w:rPr>
          <w:rFonts w:ascii="Arial" w:eastAsia="Calibri" w:hAnsi="Arial" w:cs="Arial"/>
          <w:sz w:val="22"/>
          <w:szCs w:val="22"/>
          <w:lang w:val="es-ES_tradnl"/>
        </w:rPr>
        <w:t>, en el análisis exante,</w:t>
      </w:r>
      <w:r w:rsidR="00233E62" w:rsidRPr="00C551E1">
        <w:rPr>
          <w:rFonts w:ascii="Arial" w:eastAsia="Calibri" w:hAnsi="Arial" w:cs="Arial"/>
          <w:sz w:val="22"/>
          <w:szCs w:val="22"/>
          <w:lang w:val="es-ES_tradnl"/>
        </w:rPr>
        <w:t xml:space="preserve"> se enfoca en el segundo canal: incremento en la eficiencia de las actividades de monitoreo y control.</w:t>
      </w:r>
    </w:p>
    <w:p w14:paraId="74028A2D" w14:textId="608624CB" w:rsidR="002B73B3" w:rsidRPr="00C551E1" w:rsidRDefault="002B73B3" w:rsidP="0065737A">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El escenario BUFFER simula la creación de </w:t>
      </w:r>
      <w:r w:rsidR="0000450B" w:rsidRPr="00C551E1">
        <w:rPr>
          <w:rFonts w:ascii="Arial" w:eastAsia="Calibri" w:hAnsi="Arial" w:cs="Arial"/>
          <w:sz w:val="22"/>
          <w:szCs w:val="22"/>
          <w:lang w:val="es-ES_tradnl"/>
        </w:rPr>
        <w:t xml:space="preserve">70.000 ha de </w:t>
      </w:r>
      <w:r w:rsidRPr="00C551E1">
        <w:rPr>
          <w:rFonts w:ascii="Arial" w:eastAsia="Calibri" w:hAnsi="Arial" w:cs="Arial"/>
          <w:sz w:val="22"/>
          <w:szCs w:val="22"/>
          <w:lang w:val="es-ES_tradnl"/>
        </w:rPr>
        <w:t>zonas de amortiguación en las cuencas del Río Santa Lucia, Río Negro, y Laguna del Sauce. Este escenario capta dos impactos principales del establecimiento de zonas de amortiguación. Por un lado, la implantación de las zonas de amortiguación implica el retiro de áreas al margen de los cursos de agua de usos productivos. Por otro lado, su establecimiento reduce la erosión y contribuye a la productividad agrícola. Además de estos impactos, las zonas de amortiguación tienen un impacto sobre la calidad de agua por el retiro de las actividades agrícolas y ganado de estas áreas y la reducción de</w:t>
      </w:r>
      <w:r w:rsidR="004B2EDF">
        <w:rPr>
          <w:rFonts w:ascii="Arial" w:eastAsia="Calibri" w:hAnsi="Arial" w:cs="Arial"/>
          <w:sz w:val="22"/>
          <w:szCs w:val="22"/>
          <w:lang w:val="es-ES_tradnl"/>
        </w:rPr>
        <w:t>l</w:t>
      </w:r>
      <w:r w:rsidRPr="00C551E1">
        <w:rPr>
          <w:rFonts w:ascii="Arial" w:eastAsia="Calibri" w:hAnsi="Arial" w:cs="Arial"/>
          <w:sz w:val="22"/>
          <w:szCs w:val="22"/>
          <w:lang w:val="es-ES_tradnl"/>
        </w:rPr>
        <w:t xml:space="preserve"> escurrimiento.</w:t>
      </w:r>
    </w:p>
    <w:p w14:paraId="2391D3D1" w14:textId="3AA3D04C" w:rsidR="0000450B" w:rsidRPr="00C551E1" w:rsidRDefault="0000450B" w:rsidP="0065737A">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El escenario de TURISMO se supone que reducciones en el nivel de nutrientes y otros contaminantes del agua evitarán efectos negativos sobre la demanda turística y el número de días que los turistas pasan en cada uno de los siguientes departamentos costeros con playas turísticamente importantes: Maldonado, Colonia, Montevideo, Canelones, y Rocha.</w:t>
      </w:r>
      <w:r w:rsidR="00FD07B0" w:rsidRPr="00C551E1">
        <w:rPr>
          <w:rFonts w:ascii="Arial" w:eastAsia="Calibri" w:hAnsi="Arial" w:cs="Arial"/>
          <w:sz w:val="22"/>
          <w:szCs w:val="22"/>
          <w:lang w:val="es-ES_tradnl"/>
        </w:rPr>
        <w:t xml:space="preserve"> Impactos sobre la demanda turística incorporan retardos temporales para tomar en cuenta el periodo entre la implementación de las actividades del </w:t>
      </w:r>
      <w:r w:rsidR="002B5292">
        <w:rPr>
          <w:rFonts w:ascii="Arial" w:eastAsia="Calibri" w:hAnsi="Arial" w:cs="Arial"/>
          <w:sz w:val="22"/>
          <w:szCs w:val="22"/>
          <w:lang w:val="es-ES_tradnl"/>
        </w:rPr>
        <w:t>programa</w:t>
      </w:r>
      <w:r w:rsidR="004B2EDF">
        <w:rPr>
          <w:rFonts w:ascii="Arial" w:eastAsia="Calibri" w:hAnsi="Arial" w:cs="Arial"/>
          <w:sz w:val="22"/>
          <w:szCs w:val="22"/>
          <w:lang w:val="es-ES_tradnl"/>
        </w:rPr>
        <w:t xml:space="preserve"> y </w:t>
      </w:r>
      <w:r w:rsidR="00FD07B0" w:rsidRPr="00C551E1">
        <w:rPr>
          <w:rFonts w:ascii="Arial" w:eastAsia="Calibri" w:hAnsi="Arial" w:cs="Arial"/>
          <w:sz w:val="22"/>
          <w:szCs w:val="22"/>
          <w:lang w:val="es-ES_tradnl"/>
        </w:rPr>
        <w:t>cambios efectivos en la calidad de agua.</w:t>
      </w:r>
    </w:p>
    <w:p w14:paraId="75E72BE1" w14:textId="4045D7A9" w:rsidR="000F0F79" w:rsidRPr="00C551E1" w:rsidRDefault="000F0F79" w:rsidP="0065737A">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En el escenario de AGUA, se consideran reducciones en el costo de potabilización del agua que podrían darse como consecuencia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w:t>
      </w:r>
      <w:r w:rsidR="0075219F">
        <w:rPr>
          <w:rFonts w:ascii="Arial" w:eastAsia="Calibri" w:hAnsi="Arial" w:cs="Arial"/>
          <w:sz w:val="22"/>
          <w:szCs w:val="22"/>
          <w:lang w:val="es-ES_tradnl"/>
        </w:rPr>
        <w:t xml:space="preserve"> </w:t>
      </w:r>
      <w:r w:rsidRPr="00C551E1">
        <w:rPr>
          <w:rFonts w:ascii="Arial" w:eastAsia="Calibri" w:hAnsi="Arial" w:cs="Arial"/>
          <w:sz w:val="22"/>
          <w:szCs w:val="22"/>
          <w:lang w:val="es-ES_tradnl"/>
        </w:rPr>
        <w:t xml:space="preserve">Estas reducciones de costo de potabilización </w:t>
      </w:r>
      <w:r w:rsidR="00FD07B0" w:rsidRPr="00C551E1">
        <w:rPr>
          <w:rFonts w:ascii="Arial" w:eastAsia="Calibri" w:hAnsi="Arial" w:cs="Arial"/>
          <w:sz w:val="22"/>
          <w:szCs w:val="22"/>
          <w:lang w:val="es-ES_tradnl"/>
        </w:rPr>
        <w:t xml:space="preserve">también </w:t>
      </w:r>
      <w:r w:rsidRPr="00C551E1">
        <w:rPr>
          <w:rFonts w:ascii="Arial" w:eastAsia="Calibri" w:hAnsi="Arial" w:cs="Arial"/>
          <w:sz w:val="22"/>
          <w:szCs w:val="22"/>
          <w:lang w:val="es-ES_tradnl"/>
        </w:rPr>
        <w:t>incorporan retardos temporales</w:t>
      </w:r>
      <w:r w:rsidR="00FD07B0" w:rsidRPr="00C551E1">
        <w:rPr>
          <w:rFonts w:ascii="Arial" w:eastAsia="Calibri" w:hAnsi="Arial" w:cs="Arial"/>
          <w:sz w:val="22"/>
          <w:szCs w:val="22"/>
          <w:lang w:val="es-ES_tradnl"/>
        </w:rPr>
        <w:t xml:space="preserve">. </w:t>
      </w:r>
      <w:r w:rsidRPr="00C551E1">
        <w:rPr>
          <w:rFonts w:ascii="Arial" w:eastAsia="Calibri" w:hAnsi="Arial" w:cs="Arial"/>
          <w:sz w:val="22"/>
          <w:szCs w:val="22"/>
          <w:lang w:val="es-ES_tradnl"/>
        </w:rPr>
        <w:t xml:space="preserve"> </w:t>
      </w:r>
    </w:p>
    <w:p w14:paraId="6F872FA4" w14:textId="73E610F8" w:rsidR="00FD07B0" w:rsidRPr="00C551E1" w:rsidRDefault="00FD07B0" w:rsidP="0065737A">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Finalmente, el escenario COMBI simula el conjunto de los escenarios previamente descritos. </w:t>
      </w:r>
    </w:p>
    <w:p w14:paraId="5C25F8B9" w14:textId="30A173C5" w:rsidR="00FD07B0" w:rsidRPr="00C551E1" w:rsidRDefault="00D86E18" w:rsidP="0065737A">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lastRenderedPageBreak/>
        <w:t xml:space="preserve">El análisis económico exante reporta los impactos de cada escenario sobre indicadores macroeconómicos y sectoriales. Con base en los impactos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sobre nuestro indicador de bienestar, la variación equivalente, estimamos el VPN y TIR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La figura </w:t>
      </w:r>
      <w:r w:rsidR="00696343" w:rsidRPr="00C551E1">
        <w:rPr>
          <w:rFonts w:ascii="Arial" w:eastAsia="Calibri" w:hAnsi="Arial" w:cs="Arial"/>
          <w:sz w:val="22"/>
          <w:szCs w:val="22"/>
          <w:lang w:val="es-ES_tradnl"/>
        </w:rPr>
        <w:t>2</w:t>
      </w:r>
      <w:r w:rsidRPr="00C551E1">
        <w:rPr>
          <w:rFonts w:ascii="Arial" w:eastAsia="Calibri" w:hAnsi="Arial" w:cs="Arial"/>
          <w:sz w:val="22"/>
          <w:szCs w:val="22"/>
          <w:lang w:val="es-ES_tradnl"/>
        </w:rPr>
        <w:t xml:space="preserve"> muestra los impactos sobre el VPN. En resumen, </w:t>
      </w:r>
      <w:r w:rsidR="00B34C5E" w:rsidRPr="00C551E1">
        <w:rPr>
          <w:rFonts w:ascii="Arial" w:eastAsia="Calibri" w:hAnsi="Arial" w:cs="Arial"/>
          <w:sz w:val="22"/>
          <w:szCs w:val="22"/>
          <w:lang w:val="es-ES_tradnl"/>
        </w:rPr>
        <w:t xml:space="preserve">con una tasa </w:t>
      </w:r>
      <w:r w:rsidR="004B2EDF">
        <w:rPr>
          <w:rFonts w:ascii="Arial" w:eastAsia="Calibri" w:hAnsi="Arial" w:cs="Arial"/>
          <w:sz w:val="22"/>
          <w:szCs w:val="22"/>
          <w:lang w:val="es-ES_tradnl"/>
        </w:rPr>
        <w:t>de descuento de</w:t>
      </w:r>
      <w:r w:rsidR="00B34C5E" w:rsidRPr="00C551E1">
        <w:rPr>
          <w:rFonts w:ascii="Arial" w:eastAsia="Calibri" w:hAnsi="Arial" w:cs="Arial"/>
          <w:sz w:val="22"/>
          <w:szCs w:val="22"/>
          <w:lang w:val="es-ES_tradnl"/>
        </w:rPr>
        <w:t xml:space="preserve"> 12%, </w:t>
      </w:r>
      <w:r w:rsidRPr="00C551E1">
        <w:rPr>
          <w:rFonts w:ascii="Arial" w:eastAsia="Calibri" w:hAnsi="Arial" w:cs="Arial"/>
          <w:sz w:val="22"/>
          <w:szCs w:val="22"/>
          <w:lang w:val="es-ES_tradnl"/>
        </w:rPr>
        <w:t xml:space="preserve">el VPN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se estimó </w:t>
      </w:r>
      <w:r w:rsidR="008B1A56" w:rsidRPr="00C551E1">
        <w:rPr>
          <w:rFonts w:ascii="Arial" w:eastAsia="Calibri" w:hAnsi="Arial" w:cs="Arial"/>
          <w:sz w:val="22"/>
          <w:szCs w:val="22"/>
          <w:lang w:val="es-ES_tradnl"/>
        </w:rPr>
        <w:t xml:space="preserve">en US$5,5 millones (dólares de 2019) con una </w:t>
      </w:r>
      <w:r w:rsidR="00C070D2">
        <w:rPr>
          <w:rFonts w:ascii="Arial" w:eastAsia="Calibri" w:hAnsi="Arial" w:cs="Arial"/>
          <w:sz w:val="22"/>
          <w:szCs w:val="22"/>
          <w:lang w:val="es-ES_tradnl"/>
        </w:rPr>
        <w:t xml:space="preserve">TIR </w:t>
      </w:r>
      <w:r w:rsidR="008B1A56" w:rsidRPr="00C551E1">
        <w:rPr>
          <w:rFonts w:ascii="Arial" w:eastAsia="Calibri" w:hAnsi="Arial" w:cs="Arial"/>
          <w:sz w:val="22"/>
          <w:szCs w:val="22"/>
          <w:lang w:val="es-ES_tradnl"/>
        </w:rPr>
        <w:t>de 15,4%.</w:t>
      </w:r>
    </w:p>
    <w:p w14:paraId="656116B5" w14:textId="45B57E46" w:rsidR="008B1A56" w:rsidRPr="00C551E1" w:rsidRDefault="008B1A56" w:rsidP="00F134B3">
      <w:pPr>
        <w:pStyle w:val="Normal1"/>
        <w:keepNext/>
        <w:jc w:val="both"/>
        <w:rPr>
          <w:rFonts w:ascii="Arial" w:eastAsia="Calibri" w:hAnsi="Arial" w:cs="Arial"/>
          <w:sz w:val="22"/>
          <w:szCs w:val="22"/>
          <w:lang w:val="es-ES_tradnl"/>
        </w:rPr>
      </w:pPr>
      <w:r w:rsidRPr="00C551E1">
        <w:rPr>
          <w:rFonts w:ascii="Arial" w:eastAsia="Calibri" w:hAnsi="Arial" w:cs="Arial"/>
          <w:sz w:val="22"/>
          <w:szCs w:val="22"/>
          <w:lang w:val="es-ES_tradnl"/>
        </w:rPr>
        <w:t>Figura 2. Valor presente neto (mil</w:t>
      </w:r>
      <w:r w:rsidRPr="00F134B3">
        <w:rPr>
          <w:rFonts w:ascii="Arial" w:eastAsia="Calibri" w:hAnsi="Arial" w:cs="Arial"/>
          <w:sz w:val="22"/>
          <w:szCs w:val="22"/>
          <w:lang w:val="es-ES_tradnl"/>
        </w:rPr>
        <w:t xml:space="preserve">lones de dólares de 2019). </w:t>
      </w:r>
    </w:p>
    <w:p w14:paraId="03A80AB2" w14:textId="5EBA21FD" w:rsidR="008B1A56" w:rsidRPr="00C551E1" w:rsidRDefault="008B1A56" w:rsidP="00F134B3">
      <w:pPr>
        <w:pStyle w:val="Normal1"/>
        <w:keepNext/>
        <w:jc w:val="both"/>
        <w:rPr>
          <w:rFonts w:ascii="Arial" w:eastAsia="Calibri" w:hAnsi="Arial" w:cs="Arial"/>
          <w:sz w:val="22"/>
          <w:szCs w:val="22"/>
          <w:lang w:val="es-ES_tradnl"/>
        </w:rPr>
      </w:pPr>
      <w:r w:rsidRPr="00F42B76">
        <w:rPr>
          <w:rFonts w:ascii="Arial" w:eastAsia="Calibri" w:hAnsi="Arial" w:cs="Arial"/>
          <w:noProof/>
          <w:sz w:val="22"/>
          <w:szCs w:val="22"/>
          <w:lang w:val="es-ES_tradnl"/>
        </w:rPr>
        <w:drawing>
          <wp:inline distT="0" distB="0" distL="0" distR="0" wp14:anchorId="758BA3C5" wp14:editId="57B218BC">
            <wp:extent cx="3108960" cy="27584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8960" cy="2758440"/>
                    </a:xfrm>
                    <a:prstGeom prst="rect">
                      <a:avLst/>
                    </a:prstGeom>
                    <a:noFill/>
                  </pic:spPr>
                </pic:pic>
              </a:graphicData>
            </a:graphic>
          </wp:inline>
        </w:drawing>
      </w:r>
    </w:p>
    <w:p w14:paraId="25B6C998" w14:textId="078B1122" w:rsidR="008B1A56" w:rsidRPr="00C551E1" w:rsidRDefault="008B1A56" w:rsidP="00F134B3">
      <w:pPr>
        <w:pStyle w:val="Normal1"/>
        <w:keepNext/>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Elaboración de los autores. </w:t>
      </w:r>
    </w:p>
    <w:p w14:paraId="0CD4A9EE" w14:textId="192EDB98" w:rsidR="00146A2E" w:rsidRPr="00A248B2" w:rsidRDefault="00A248B2" w:rsidP="00A248B2">
      <w:pPr>
        <w:pStyle w:val="Heading2"/>
        <w:numPr>
          <w:ilvl w:val="0"/>
          <w:numId w:val="0"/>
        </w:numPr>
        <w:ind w:left="720" w:hanging="720"/>
        <w:rPr>
          <w:rFonts w:ascii="Arial" w:eastAsia="Calibri" w:hAnsi="Arial" w:cs="Arial"/>
          <w:sz w:val="22"/>
          <w:szCs w:val="22"/>
        </w:rPr>
      </w:pPr>
      <w:bookmarkStart w:id="32" w:name="_Toc11138480"/>
      <w:bookmarkStart w:id="33" w:name="_Toc12264443"/>
      <w:r w:rsidRPr="00A248B2">
        <w:rPr>
          <w:rFonts w:ascii="Arial" w:eastAsia="Calibri" w:hAnsi="Arial" w:cs="Arial"/>
          <w:sz w:val="22"/>
          <w:szCs w:val="22"/>
        </w:rPr>
        <w:t>1.5.</w:t>
      </w:r>
      <w:r w:rsidR="0091595B" w:rsidRPr="00A248B2">
        <w:rPr>
          <w:rFonts w:ascii="Arial" w:eastAsia="Calibri" w:hAnsi="Arial" w:cs="Arial"/>
          <w:sz w:val="22"/>
          <w:szCs w:val="22"/>
        </w:rPr>
        <w:t xml:space="preserve"> </w:t>
      </w:r>
      <w:r w:rsidR="00146A2E" w:rsidRPr="00A248B2">
        <w:rPr>
          <w:rFonts w:ascii="Arial" w:eastAsia="Calibri" w:hAnsi="Arial" w:cs="Arial"/>
          <w:sz w:val="22"/>
          <w:szCs w:val="22"/>
        </w:rPr>
        <w:t>Preguntas de la Evaluación Económica Expost</w:t>
      </w:r>
      <w:bookmarkEnd w:id="33"/>
    </w:p>
    <w:p w14:paraId="263ED63E" w14:textId="2932D423" w:rsidR="00146A2E" w:rsidRPr="00C551E1" w:rsidRDefault="00146A2E" w:rsidP="00281145">
      <w:pPr>
        <w:jc w:val="both"/>
        <w:rPr>
          <w:rFonts w:ascii="Arial" w:eastAsia="Calibri" w:hAnsi="Arial" w:cs="Arial"/>
          <w:sz w:val="22"/>
          <w:szCs w:val="22"/>
        </w:rPr>
      </w:pPr>
      <w:r w:rsidRPr="00C551E1">
        <w:rPr>
          <w:rFonts w:ascii="Arial" w:eastAsia="Calibri" w:hAnsi="Arial" w:cs="Arial"/>
          <w:sz w:val="22"/>
          <w:szCs w:val="22"/>
        </w:rPr>
        <w:t>La pregunta principal que la evaluación económica expost responderá es</w:t>
      </w:r>
      <w:r w:rsidR="008B4C6C" w:rsidRPr="00C551E1">
        <w:rPr>
          <w:rFonts w:ascii="Arial" w:eastAsia="Calibri" w:hAnsi="Arial" w:cs="Arial"/>
          <w:sz w:val="22"/>
          <w:szCs w:val="22"/>
        </w:rPr>
        <w:t>:</w:t>
      </w:r>
      <w:r w:rsidRPr="00C551E1">
        <w:rPr>
          <w:rFonts w:ascii="Arial" w:eastAsia="Calibri" w:hAnsi="Arial" w:cs="Arial"/>
          <w:sz w:val="22"/>
          <w:szCs w:val="22"/>
        </w:rPr>
        <w:t xml:space="preserve"> </w:t>
      </w:r>
      <w:r w:rsidR="0069633D" w:rsidRPr="00C551E1">
        <w:rPr>
          <w:rFonts w:ascii="Arial" w:eastAsia="Calibri" w:hAnsi="Arial" w:cs="Arial"/>
          <w:sz w:val="22"/>
          <w:szCs w:val="22"/>
        </w:rPr>
        <w:t>cu</w:t>
      </w:r>
      <w:r w:rsidR="008B4C6C" w:rsidRPr="00C551E1">
        <w:rPr>
          <w:rFonts w:ascii="Arial" w:eastAsia="Calibri" w:hAnsi="Arial" w:cs="Arial"/>
          <w:sz w:val="22"/>
          <w:szCs w:val="22"/>
        </w:rPr>
        <w:t>á</w:t>
      </w:r>
      <w:r w:rsidR="0069633D" w:rsidRPr="00C551E1">
        <w:rPr>
          <w:rFonts w:ascii="Arial" w:eastAsia="Calibri" w:hAnsi="Arial" w:cs="Arial"/>
          <w:sz w:val="22"/>
          <w:szCs w:val="22"/>
        </w:rPr>
        <w:t xml:space="preserve">l fue el impacto económico del </w:t>
      </w:r>
      <w:r w:rsidR="002B5292">
        <w:rPr>
          <w:rFonts w:ascii="Arial" w:eastAsia="Calibri" w:hAnsi="Arial" w:cs="Arial"/>
          <w:sz w:val="22"/>
          <w:szCs w:val="22"/>
        </w:rPr>
        <w:t>programa</w:t>
      </w:r>
      <w:r w:rsidR="0069633D" w:rsidRPr="00C551E1">
        <w:rPr>
          <w:rFonts w:ascii="Arial" w:eastAsia="Calibri" w:hAnsi="Arial" w:cs="Arial"/>
          <w:sz w:val="22"/>
          <w:szCs w:val="22"/>
        </w:rPr>
        <w:t xml:space="preserve"> una vez concluido el </w:t>
      </w:r>
      <w:r w:rsidR="00D360AE">
        <w:rPr>
          <w:rFonts w:ascii="Arial" w:eastAsia="Calibri" w:hAnsi="Arial" w:cs="Arial"/>
          <w:sz w:val="22"/>
          <w:szCs w:val="22"/>
        </w:rPr>
        <w:t>ú</w:t>
      </w:r>
      <w:r w:rsidR="0069633D" w:rsidRPr="00C551E1">
        <w:rPr>
          <w:rFonts w:ascii="Arial" w:eastAsia="Calibri" w:hAnsi="Arial" w:cs="Arial"/>
          <w:sz w:val="22"/>
          <w:szCs w:val="22"/>
        </w:rPr>
        <w:t>ltimo desembolso</w:t>
      </w:r>
      <w:r w:rsidR="008B4C6C" w:rsidRPr="00C551E1">
        <w:rPr>
          <w:rFonts w:ascii="Arial" w:eastAsia="Calibri" w:hAnsi="Arial" w:cs="Arial"/>
          <w:sz w:val="22"/>
          <w:szCs w:val="22"/>
        </w:rPr>
        <w:t>?</w:t>
      </w:r>
      <w:r w:rsidR="0069633D" w:rsidRPr="00C551E1">
        <w:rPr>
          <w:rFonts w:ascii="Arial" w:eastAsia="Calibri" w:hAnsi="Arial" w:cs="Arial"/>
          <w:sz w:val="22"/>
          <w:szCs w:val="22"/>
        </w:rPr>
        <w:t xml:space="preserve"> El impacto económico se medirá con un indicador de bienestar (variación equivalente) y </w:t>
      </w:r>
      <w:r w:rsidR="006E60CE" w:rsidRPr="00C551E1">
        <w:rPr>
          <w:rFonts w:ascii="Arial" w:eastAsia="Calibri" w:hAnsi="Arial" w:cs="Arial"/>
          <w:sz w:val="22"/>
          <w:szCs w:val="22"/>
        </w:rPr>
        <w:t>a través de un análisis costo beneficio expost</w:t>
      </w:r>
      <w:r w:rsidR="008B4C6C" w:rsidRPr="00C551E1">
        <w:rPr>
          <w:rFonts w:ascii="Arial" w:eastAsia="Calibri" w:hAnsi="Arial" w:cs="Arial"/>
          <w:sz w:val="22"/>
          <w:szCs w:val="22"/>
        </w:rPr>
        <w:t xml:space="preserve"> que calculará el VPN y la TIR expost</w:t>
      </w:r>
      <w:r w:rsidR="006E60CE" w:rsidRPr="00C551E1">
        <w:rPr>
          <w:rFonts w:ascii="Arial" w:eastAsia="Calibri" w:hAnsi="Arial" w:cs="Arial"/>
          <w:sz w:val="22"/>
          <w:szCs w:val="22"/>
        </w:rPr>
        <w:t xml:space="preserve">. Para llegar a la estimación de estos impactos, hay 3 preguntas intermedias que habrá que responder, las cuales son </w:t>
      </w:r>
      <w:r w:rsidR="00281145" w:rsidRPr="00C551E1">
        <w:rPr>
          <w:rFonts w:ascii="Arial" w:eastAsia="Calibri" w:hAnsi="Arial" w:cs="Arial"/>
          <w:sz w:val="22"/>
          <w:szCs w:val="22"/>
        </w:rPr>
        <w:t>indicativas</w:t>
      </w:r>
      <w:r w:rsidR="006E60CE" w:rsidRPr="00C551E1">
        <w:rPr>
          <w:rFonts w:ascii="Arial" w:eastAsia="Calibri" w:hAnsi="Arial" w:cs="Arial"/>
          <w:sz w:val="22"/>
          <w:szCs w:val="22"/>
        </w:rPr>
        <w:t xml:space="preserve"> de los datos </w:t>
      </w:r>
      <w:r w:rsidR="00575500">
        <w:rPr>
          <w:rFonts w:ascii="Arial" w:eastAsia="Calibri" w:hAnsi="Arial" w:cs="Arial"/>
          <w:sz w:val="22"/>
          <w:szCs w:val="22"/>
        </w:rPr>
        <w:t>E</w:t>
      </w:r>
      <w:r w:rsidR="006E60CE" w:rsidRPr="00C551E1">
        <w:rPr>
          <w:rFonts w:ascii="Arial" w:eastAsia="Calibri" w:hAnsi="Arial" w:cs="Arial"/>
          <w:sz w:val="22"/>
          <w:szCs w:val="22"/>
        </w:rPr>
        <w:t xml:space="preserve"> </w:t>
      </w:r>
      <w:r w:rsidR="00281145" w:rsidRPr="00C551E1">
        <w:rPr>
          <w:rFonts w:ascii="Arial" w:eastAsia="Calibri" w:hAnsi="Arial" w:cs="Arial"/>
          <w:sz w:val="22"/>
          <w:szCs w:val="22"/>
        </w:rPr>
        <w:t>información</w:t>
      </w:r>
      <w:r w:rsidR="006E60CE" w:rsidRPr="00C551E1">
        <w:rPr>
          <w:rFonts w:ascii="Arial" w:eastAsia="Calibri" w:hAnsi="Arial" w:cs="Arial"/>
          <w:sz w:val="22"/>
          <w:szCs w:val="22"/>
        </w:rPr>
        <w:t xml:space="preserve"> que se habrá que recolectar para </w:t>
      </w:r>
      <w:r w:rsidR="00281145" w:rsidRPr="00C551E1">
        <w:rPr>
          <w:rFonts w:ascii="Arial" w:eastAsia="Calibri" w:hAnsi="Arial" w:cs="Arial"/>
          <w:sz w:val="22"/>
          <w:szCs w:val="22"/>
        </w:rPr>
        <w:t xml:space="preserve">el análisis. Estas son: (i) </w:t>
      </w:r>
      <w:r w:rsidR="007630D4" w:rsidRPr="00C551E1">
        <w:rPr>
          <w:rFonts w:ascii="Arial" w:eastAsia="Calibri" w:hAnsi="Arial" w:cs="Arial"/>
          <w:sz w:val="22"/>
          <w:szCs w:val="22"/>
        </w:rPr>
        <w:t>cuá</w:t>
      </w:r>
      <w:r w:rsidR="00281145" w:rsidRPr="00C551E1">
        <w:rPr>
          <w:rFonts w:ascii="Arial" w:eastAsia="Calibri" w:hAnsi="Arial" w:cs="Arial"/>
          <w:sz w:val="22"/>
          <w:szCs w:val="22"/>
        </w:rPr>
        <w:t xml:space="preserve">nto ha sido (US$) la recaudación por </w:t>
      </w:r>
      <w:r w:rsidR="007630D4" w:rsidRPr="00C551E1">
        <w:rPr>
          <w:rFonts w:ascii="Arial" w:eastAsia="Calibri" w:hAnsi="Arial" w:cs="Arial"/>
          <w:sz w:val="22"/>
          <w:szCs w:val="22"/>
        </w:rPr>
        <w:t xml:space="preserve">la </w:t>
      </w:r>
      <w:r w:rsidR="00281145" w:rsidRPr="00C551E1">
        <w:rPr>
          <w:rFonts w:ascii="Arial" w:eastAsia="Calibri" w:hAnsi="Arial" w:cs="Arial"/>
          <w:sz w:val="22"/>
          <w:szCs w:val="22"/>
        </w:rPr>
        <w:t xml:space="preserve">prestación del servicio de evaluación de impacto ambiental </w:t>
      </w:r>
      <w:r w:rsidR="007630D4" w:rsidRPr="00C551E1">
        <w:rPr>
          <w:rFonts w:ascii="Arial" w:eastAsia="Calibri" w:hAnsi="Arial" w:cs="Arial"/>
          <w:sz w:val="22"/>
          <w:szCs w:val="22"/>
        </w:rPr>
        <w:t xml:space="preserve">a emprendimientos </w:t>
      </w:r>
      <w:r w:rsidR="00281145" w:rsidRPr="00C551E1">
        <w:rPr>
          <w:rFonts w:ascii="Arial" w:eastAsia="Calibri" w:hAnsi="Arial" w:cs="Arial"/>
          <w:sz w:val="22"/>
          <w:szCs w:val="22"/>
        </w:rPr>
        <w:t xml:space="preserve">que se implementó a través del </w:t>
      </w:r>
      <w:r w:rsidR="002B5292">
        <w:rPr>
          <w:rFonts w:ascii="Arial" w:eastAsia="Calibri" w:hAnsi="Arial" w:cs="Arial"/>
          <w:sz w:val="22"/>
          <w:szCs w:val="22"/>
        </w:rPr>
        <w:t>programa</w:t>
      </w:r>
      <w:r w:rsidR="007630D4" w:rsidRPr="00C551E1">
        <w:rPr>
          <w:rFonts w:ascii="Arial" w:eastAsia="Calibri" w:hAnsi="Arial" w:cs="Arial"/>
          <w:sz w:val="22"/>
          <w:szCs w:val="22"/>
        </w:rPr>
        <w:t>?</w:t>
      </w:r>
      <w:r w:rsidR="00281145" w:rsidRPr="00C551E1">
        <w:rPr>
          <w:rFonts w:ascii="Arial" w:eastAsia="Calibri" w:hAnsi="Arial" w:cs="Arial"/>
          <w:sz w:val="22"/>
          <w:szCs w:val="22"/>
        </w:rPr>
        <w:t>; (ii) a través del incremento en la eficiencia de las actividades de monitoreo y control, cuanto</w:t>
      </w:r>
      <w:r w:rsidR="007630D4" w:rsidRPr="00C551E1">
        <w:rPr>
          <w:rFonts w:ascii="Arial" w:eastAsia="Calibri" w:hAnsi="Arial" w:cs="Arial"/>
          <w:sz w:val="22"/>
          <w:szCs w:val="22"/>
        </w:rPr>
        <w:t xml:space="preserve">s ahorros se han generado? </w:t>
      </w:r>
      <w:r w:rsidR="008B4C6C" w:rsidRPr="00C551E1">
        <w:rPr>
          <w:rFonts w:ascii="Arial" w:eastAsia="Calibri" w:hAnsi="Arial" w:cs="Arial"/>
          <w:sz w:val="22"/>
          <w:szCs w:val="22"/>
        </w:rPr>
        <w:t xml:space="preserve">(iii) cuál ha sido el área de zonas de amortiguación establecido a través del </w:t>
      </w:r>
      <w:r w:rsidR="002B5292">
        <w:rPr>
          <w:rFonts w:ascii="Arial" w:eastAsia="Calibri" w:hAnsi="Arial" w:cs="Arial"/>
          <w:sz w:val="22"/>
          <w:szCs w:val="22"/>
        </w:rPr>
        <w:t>programa</w:t>
      </w:r>
      <w:r w:rsidR="008B4C6C" w:rsidRPr="00C551E1">
        <w:rPr>
          <w:rFonts w:ascii="Arial" w:eastAsia="Calibri" w:hAnsi="Arial" w:cs="Arial"/>
          <w:sz w:val="22"/>
          <w:szCs w:val="22"/>
        </w:rPr>
        <w:t>?</w:t>
      </w:r>
      <w:r w:rsidR="007A0A4B" w:rsidRPr="00C551E1">
        <w:rPr>
          <w:rFonts w:ascii="Arial" w:eastAsia="Calibri" w:hAnsi="Arial" w:cs="Arial"/>
          <w:sz w:val="22"/>
          <w:szCs w:val="22"/>
        </w:rPr>
        <w:t xml:space="preserve"> A continuación se describe distintas metodologías de evaluación económica expost.</w:t>
      </w:r>
      <w:r w:rsidR="003B47C8">
        <w:rPr>
          <w:rFonts w:ascii="Arial" w:eastAsia="Calibri" w:hAnsi="Arial" w:cs="Arial"/>
          <w:sz w:val="22"/>
          <w:szCs w:val="22"/>
        </w:rPr>
        <w:t xml:space="preserve"> Es importante tomar en cuenta que esta discusión se con</w:t>
      </w:r>
      <w:r w:rsidR="00326C10">
        <w:rPr>
          <w:rFonts w:ascii="Arial" w:eastAsia="Calibri" w:hAnsi="Arial" w:cs="Arial"/>
          <w:sz w:val="22"/>
          <w:szCs w:val="22"/>
        </w:rPr>
        <w:t xml:space="preserve">centra en distintas metodologías que se podría aplicar principalmente al tercer punto arriba mencionado- el área de zonas de amortiguación establecido </w:t>
      </w:r>
      <w:r w:rsidR="00DB1D6B">
        <w:rPr>
          <w:rFonts w:ascii="Arial" w:eastAsia="Calibri" w:hAnsi="Arial" w:cs="Arial"/>
          <w:sz w:val="22"/>
          <w:szCs w:val="22"/>
        </w:rPr>
        <w:t>y atribuible al pro</w:t>
      </w:r>
      <w:r w:rsidR="00326C10">
        <w:rPr>
          <w:rFonts w:ascii="Arial" w:eastAsia="Calibri" w:hAnsi="Arial" w:cs="Arial"/>
          <w:sz w:val="22"/>
          <w:szCs w:val="22"/>
        </w:rPr>
        <w:t xml:space="preserve">grama. </w:t>
      </w:r>
      <w:r w:rsidR="007A0A4B" w:rsidRPr="00C551E1">
        <w:rPr>
          <w:rFonts w:ascii="Arial" w:eastAsia="Calibri" w:hAnsi="Arial" w:cs="Arial"/>
          <w:sz w:val="22"/>
          <w:szCs w:val="22"/>
        </w:rPr>
        <w:t xml:space="preserve"> </w:t>
      </w:r>
    </w:p>
    <w:p w14:paraId="3E0A0BE4" w14:textId="4A09E9FD" w:rsidR="00792B59" w:rsidRPr="00A248B2" w:rsidRDefault="00146A2E" w:rsidP="00A248B2">
      <w:pPr>
        <w:pStyle w:val="Heading1"/>
        <w:numPr>
          <w:ilvl w:val="0"/>
          <w:numId w:val="0"/>
        </w:numPr>
        <w:ind w:left="288" w:hanging="288"/>
        <w:jc w:val="left"/>
        <w:rPr>
          <w:rFonts w:ascii="Arial" w:eastAsia="Calibri" w:hAnsi="Arial" w:cs="Arial"/>
          <w:sz w:val="22"/>
          <w:szCs w:val="22"/>
        </w:rPr>
      </w:pPr>
      <w:bookmarkStart w:id="34" w:name="_Toc12264444"/>
      <w:r w:rsidRPr="00A248B2">
        <w:rPr>
          <w:rFonts w:ascii="Arial" w:eastAsia="Calibri" w:hAnsi="Arial" w:cs="Arial"/>
          <w:sz w:val="22"/>
          <w:szCs w:val="22"/>
        </w:rPr>
        <w:t>2.</w:t>
      </w:r>
      <w:r w:rsidR="00A248B2" w:rsidRPr="00A248B2">
        <w:rPr>
          <w:rFonts w:ascii="Arial" w:eastAsia="Calibri" w:hAnsi="Arial" w:cs="Arial"/>
          <w:sz w:val="22"/>
          <w:szCs w:val="22"/>
        </w:rPr>
        <w:t>0.</w:t>
      </w:r>
      <w:r w:rsidRPr="00A248B2">
        <w:rPr>
          <w:rFonts w:ascii="Arial" w:eastAsia="Calibri" w:hAnsi="Arial" w:cs="Arial"/>
          <w:sz w:val="22"/>
          <w:szCs w:val="22"/>
        </w:rPr>
        <w:t xml:space="preserve"> </w:t>
      </w:r>
      <w:bookmarkEnd w:id="32"/>
      <w:r w:rsidR="00CE2FC3" w:rsidRPr="00A248B2">
        <w:rPr>
          <w:rFonts w:ascii="Arial" w:eastAsia="Calibri" w:hAnsi="Arial" w:cs="Arial"/>
          <w:sz w:val="22"/>
          <w:szCs w:val="22"/>
        </w:rPr>
        <w:t>Metodologías de Evaluación Económica Expost</w:t>
      </w:r>
      <w:bookmarkEnd w:id="34"/>
    </w:p>
    <w:p w14:paraId="6072E836" w14:textId="35658FD1" w:rsidR="00630895" w:rsidRPr="00C551E1" w:rsidRDefault="00CE2FC3" w:rsidP="009379ED">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rPr>
        <w:t xml:space="preserve">La evaluación de políticas ex-post es una herramienta para evaluar el grado de alcance de los objetivos de la política a partir de la evidencia empírica de lo que realmente ha sucedido una vez implementada la misma (Gertler et al. 2017). </w:t>
      </w:r>
      <w:r w:rsidR="00792B59" w:rsidRPr="00C551E1">
        <w:rPr>
          <w:rFonts w:ascii="Arial" w:eastAsia="Calibri" w:hAnsi="Arial" w:cs="Arial"/>
          <w:sz w:val="22"/>
          <w:szCs w:val="22"/>
          <w:lang w:val="es-ES_tradnl"/>
        </w:rPr>
        <w:t xml:space="preserve">Por lo general, la evaluación de impacto ex-post mide el impacto promedio del </w:t>
      </w:r>
      <w:r w:rsidR="002B5292">
        <w:rPr>
          <w:rFonts w:ascii="Arial" w:eastAsia="Calibri" w:hAnsi="Arial" w:cs="Arial"/>
          <w:sz w:val="22"/>
          <w:szCs w:val="22"/>
          <w:lang w:val="es-ES_tradnl"/>
        </w:rPr>
        <w:t>programa</w:t>
      </w:r>
      <w:r w:rsidR="00792B59" w:rsidRPr="00C551E1">
        <w:rPr>
          <w:rFonts w:ascii="Arial" w:eastAsia="Calibri" w:hAnsi="Arial" w:cs="Arial"/>
          <w:sz w:val="22"/>
          <w:szCs w:val="22"/>
          <w:lang w:val="es-ES_tradnl"/>
        </w:rPr>
        <w:t xml:space="preserve"> o política evaluados. Así, un reto fundamental a la hora de llevar adelante este enfoque consiste en identificar la relación causal entre el </w:t>
      </w:r>
      <w:r w:rsidR="002B5292">
        <w:rPr>
          <w:rFonts w:ascii="Arial" w:eastAsia="Calibri" w:hAnsi="Arial" w:cs="Arial"/>
          <w:sz w:val="22"/>
          <w:szCs w:val="22"/>
          <w:lang w:val="es-ES_tradnl"/>
        </w:rPr>
        <w:t>programa</w:t>
      </w:r>
      <w:r w:rsidR="00792B59" w:rsidRPr="00C551E1">
        <w:rPr>
          <w:rFonts w:ascii="Arial" w:eastAsia="Calibri" w:hAnsi="Arial" w:cs="Arial"/>
          <w:sz w:val="22"/>
          <w:szCs w:val="22"/>
          <w:lang w:val="es-ES_tradnl"/>
        </w:rPr>
        <w:t xml:space="preserve"> o la política, y el resultado (Angrist y Pischke 2009). Para poder identificar este </w:t>
      </w:r>
      <w:r w:rsidR="00792B59" w:rsidRPr="00C551E1">
        <w:rPr>
          <w:rFonts w:ascii="Arial" w:eastAsia="Calibri" w:hAnsi="Arial" w:cs="Arial"/>
          <w:sz w:val="22"/>
          <w:szCs w:val="22"/>
          <w:lang w:val="es-ES_tradnl"/>
        </w:rPr>
        <w:lastRenderedPageBreak/>
        <w:t xml:space="preserve">efecto, es necesario establecer una línea de base, y diseñar un método de evaluación de la política a partir de la medición de impacto basada en datos empíricos. Para ello, es muy deseable establecer tanto el diseño de la evaluación de la política y la línea de base previo a la implementación de </w:t>
      </w:r>
      <w:r w:rsidR="007D4995" w:rsidRPr="00C551E1">
        <w:rPr>
          <w:rFonts w:ascii="Arial" w:eastAsia="Calibri" w:hAnsi="Arial" w:cs="Arial"/>
          <w:sz w:val="22"/>
          <w:szCs w:val="22"/>
          <w:lang w:val="es-ES_tradnl"/>
        </w:rPr>
        <w:t>esta</w:t>
      </w:r>
      <w:r w:rsidR="00792B59" w:rsidRPr="00C551E1">
        <w:rPr>
          <w:rFonts w:ascii="Arial" w:eastAsia="Calibri" w:hAnsi="Arial" w:cs="Arial"/>
          <w:sz w:val="22"/>
          <w:szCs w:val="22"/>
          <w:lang w:val="es-ES_tradnl"/>
        </w:rPr>
        <w:t xml:space="preserve">. </w:t>
      </w:r>
    </w:p>
    <w:p w14:paraId="4CF0F07B" w14:textId="22DA4BF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rPr>
        <w:t xml:space="preserve">La elección del método de evaluación de impacto está determinada por las características operativas del </w:t>
      </w:r>
      <w:r w:rsidR="002B5292">
        <w:rPr>
          <w:rFonts w:ascii="Arial" w:eastAsia="Calibri" w:hAnsi="Arial" w:cs="Arial"/>
          <w:sz w:val="22"/>
          <w:szCs w:val="22"/>
          <w:lang w:val="es-ES_tradnl"/>
        </w:rPr>
        <w:t>programa</w:t>
      </w:r>
      <w:r w:rsidRPr="00C551E1">
        <w:rPr>
          <w:rFonts w:ascii="Arial" w:eastAsia="Calibri" w:hAnsi="Arial" w:cs="Arial"/>
          <w:sz w:val="22"/>
          <w:szCs w:val="22"/>
        </w:rPr>
        <w:t xml:space="preserve">, como ser si el </w:t>
      </w:r>
      <w:r w:rsidR="002B5292">
        <w:rPr>
          <w:rFonts w:ascii="Arial" w:eastAsia="Calibri" w:hAnsi="Arial" w:cs="Arial"/>
          <w:sz w:val="22"/>
          <w:szCs w:val="22"/>
          <w:lang w:val="es-ES_tradnl"/>
        </w:rPr>
        <w:t>programa</w:t>
      </w:r>
      <w:r w:rsidRPr="00C551E1">
        <w:rPr>
          <w:rFonts w:ascii="Arial" w:eastAsia="Calibri" w:hAnsi="Arial" w:cs="Arial"/>
          <w:sz w:val="22"/>
          <w:szCs w:val="22"/>
        </w:rPr>
        <w:t xml:space="preserve"> será universal o estará focalizado en parte de los posibles individuos que pueden ser objetivo de la misma, y si la política se aplicará de una vez a todos los individuos, o se aplicará de forma secuencial (es decir, primero a unos, y luego se irá expandiendo al resto de los productores agropecuarios, en los casos que nos compete).</w:t>
      </w:r>
      <w:r w:rsidR="00630895" w:rsidRPr="00C551E1">
        <w:rPr>
          <w:rFonts w:ascii="Arial" w:eastAsia="Calibri" w:hAnsi="Arial" w:cs="Arial"/>
          <w:sz w:val="22"/>
          <w:szCs w:val="22"/>
        </w:rPr>
        <w:t xml:space="preserve"> </w:t>
      </w:r>
      <w:r w:rsidRPr="00C551E1">
        <w:rPr>
          <w:rFonts w:ascii="Arial" w:eastAsia="Calibri" w:hAnsi="Arial" w:cs="Arial"/>
          <w:sz w:val="22"/>
          <w:szCs w:val="22"/>
          <w:lang w:val="es-ES_tradnl"/>
        </w:rPr>
        <w:t xml:space="preserve">A lo largo de este documento seguiremos los planteos realizados por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{"citationItems":[{"id":"ITEM-1","itemData":{"abstract":"The core methods in today's econometric toolkit are linear regression for statistical control, instrumental variables methods for the analysis of natural experiments, and differences-in-differences methods that exploit policy changes. In the modern experimentalist paradigm, these techniques address clear causal questions such as: Do smaller classes increase learning? Should wife batterers be arrested? How much does education raise wages? Mostly Harmless Econometrics shows how the basic tools of applied econometrics allow the data to speak. In addition to econometric essentials, Mostly Harmless Econometrics covers important new extensions--regression-discontinuity designs and quantile regression--as well as how to get standard errors right. Joshua Angrist and Jörn-Steffen Pischke explain why fancier econometric techniques are typically unnecessary and even dangerous. The applied econometric methods emphasized in this book are easy to use and relevant for many areas of contemporary social science. An irreverent review of econometric essentials A focus on tools that applied researchers use most Chapters on regression-discontinuity designs, quantile regression, and standard errors Many empirical examples A clear and concise resource with wide applications","author":[{"dropping-particle":"","family":"Angrist","given":"Joshua D","non-dropping-particle":"","parse-names":false,"suffix":""},{"dropping-particle":"","family":"Pischke","given":"Jorn-Steffen","non-dropping-particle":"","parse-names":false,"suffix":""}],"id":"ITEM-1","issued":{"date-parts":[["2009"]]},"publisher":"Princeton University Press","title":"Mostly Harmless Econometrics: An Empiricist's Companion","type":"book"},"uris":["http://www.mendeley.com/documents/?uuid=603ad143-ee8a-395f-b5b9-2dea25013256"]}],"mendeley":{"formattedCitation":"(Angrist and Pischke, 2009)","plainTextFormattedCitation":"(Angrist and Pischke, 2009)","previouslyFormattedCitation":"(Angrist and Pischke, 2009)"},"properties":{"noteIndex":0},"schema":"https://github.com/citation-style-language/schema/raw/master/csl-citation.json"}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(Angrist and Pischke, 2009)</w:t>
      </w:r>
      <w:r w:rsidRPr="00F42B76">
        <w:rPr>
          <w:rFonts w:ascii="Arial" w:eastAsia="Calibri" w:hAnsi="Arial" w:cs="Arial"/>
          <w:sz w:val="22"/>
          <w:szCs w:val="22"/>
          <w:lang w:val="es-ES_tradnl"/>
        </w:rPr>
        <w:fldChar w:fldCharType="end"/>
      </w:r>
      <w:r w:rsidR="00A92BD6" w:rsidRPr="00C551E1">
        <w:rPr>
          <w:rFonts w:ascii="Arial" w:eastAsia="Calibri" w:hAnsi="Arial" w:cs="Arial"/>
          <w:sz w:val="22"/>
          <w:szCs w:val="22"/>
          <w:lang w:val="es-ES_tradnl"/>
        </w:rPr>
        <w:t xml:space="preserve"> </w:t>
      </w:r>
      <w:r w:rsidRPr="00C551E1">
        <w:rPr>
          <w:rFonts w:ascii="Arial" w:eastAsia="Calibri" w:hAnsi="Arial" w:cs="Arial"/>
          <w:sz w:val="22"/>
          <w:szCs w:val="22"/>
          <w:lang w:val="es-ES_tradnl"/>
        </w:rPr>
        <w:t xml:space="preserve">y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author":[{"dropping-particle":"","family":"Gertler","given":"Paul;","non-dropping-particle":"","parse-names":false,"suffix":""},{"dropping-particle":"","family":"Martinez","given":"Sebastian;","non-dropping-particle":"","parse-names":false,"suffix":""},{"dropping-particle":"","family":"Rawlings","given":"Laura B.;","non-dropping-particle":"","parse-names":false,"suffix":""},{"dropping-particle":"","family":"Premand","given":"Patrick;","non-dropping-particle":"","parse-names":false,"suffix":""},{"dropping-particle":"","family":"Vermeersch","given":"Christel M. J.","non-dropping-particle":"","parse-names":false,"suffix":""}],"id":"ITEM-1","issued":{"date-parts":[["2017"]]},"number-of-pages":"372","publisher":"Banco Internacional para la Reconstrucción y el Desarrollo/Banco Mundial","publisher-place":"Washingotn D.C.","title":"La evaluación de impacto en la práctica: Segunda edición","type":"book"},"uris":["http://www.mendeley.com/documents/?uuid=c66e4ca3-5376-38ac-95a2-5eee83a089b2"]}],"mendeley":{"formattedCitation":"(Gertler &lt;i&gt;et al.&lt;/i&gt;, 2017)","plainTextFormattedCitation":"(Gertler et al., 2017)","previouslyFormattedCitation":"(Gertler &lt;i&gt;et al.&lt;/i&gt;, 2017)"},"properties":{"noteIndex":0},"schema":"https://github.com/citation-style-language/schema/raw/master/csl-citation.json"}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 xml:space="preserve">(Gertler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2017)</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en lo que respecta al diseño de evaluación de impacto de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s y políticas. Existen diversas aproximaciones para diseñar evaluaciones de políticas ex-post. Repasamos en este documento sólo aquellas que creemos pertinentes respecto a la implementación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w:t>
      </w:r>
    </w:p>
    <w:p w14:paraId="68F46D29" w14:textId="1874C3E2"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A la hora de diseñar una evaluación de impacto ex-post hay dos conceptos a tener en cuenta que son esenciales: la inferencia causal y los contrafactuales (Gertler et al. 2017). El concepto de inferencia causal refiere al hecho de analizar la causa-efecto entre una intervención y su resultado. Por ejemplo, ¿la implementación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disminuye las cargas de contaminantes de fuentes difusas a los cursos de agua? Tal vez, los productores agrícolas habrían disminuido la emisión de cargas de contaminantes de todos modos, aunque no hubieran sido objeto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como consecuencia de la introducción de una tecnología de producción muy viable para mejorar disminuir las cargas sin afectar su rentabilidad, la implementación de otros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s de política, o de otros posibles factores que pueden influir en las prácticas productivas del sector agropecuario. La evaluación de impacto ex-post permite atribuir causalidad a partir de determinar empíricamente en qué medida ese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o política (y solamente ese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o política) produce un cambio en el resultado de interés.</w:t>
      </w:r>
    </w:p>
    <w:p w14:paraId="040CA7EC" w14:textId="7777777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El impacto (</w:t>
      </w:r>
      <w:r w:rsidR="006F2E2C" w:rsidRPr="00F42B76">
        <w:rPr>
          <w:rFonts w:ascii="Arial" w:hAnsi="Arial" w:cs="Arial"/>
          <w:noProof/>
          <w:sz w:val="22"/>
          <w:szCs w:val="22"/>
          <w:lang w:val="es-ES_tradnl" w:eastAsia="en-US"/>
        </w:rPr>
        <w:drawing>
          <wp:inline distT="0" distB="0" distL="0" distR="0" wp14:anchorId="4973BF59" wp14:editId="7880A5E6">
            <wp:extent cx="95250" cy="182880"/>
            <wp:effectExtent l="0" t="0" r="0" b="0"/>
            <wp:docPr id="2" name="image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r w:rsidRPr="00C551E1">
        <w:rPr>
          <w:rFonts w:ascii="Arial" w:eastAsia="Calibri" w:hAnsi="Arial" w:cs="Arial"/>
          <w:sz w:val="22"/>
          <w:szCs w:val="22"/>
          <w:lang w:val="es-ES_tradnl"/>
        </w:rPr>
        <w:t>) de una política (</w:t>
      </w:r>
      <w:r w:rsidRPr="00C551E1">
        <w:rPr>
          <w:rFonts w:ascii="Arial" w:eastAsia="Calibri" w:hAnsi="Arial" w:cs="Arial"/>
          <w:i/>
          <w:sz w:val="22"/>
          <w:szCs w:val="22"/>
          <w:lang w:val="es-ES_tradnl"/>
        </w:rPr>
        <w:t>P</w:t>
      </w:r>
      <w:r w:rsidRPr="00C551E1">
        <w:rPr>
          <w:rFonts w:ascii="Arial" w:eastAsia="Calibri" w:hAnsi="Arial" w:cs="Arial"/>
          <w:sz w:val="22"/>
          <w:szCs w:val="22"/>
          <w:lang w:val="es-ES_tradnl"/>
        </w:rPr>
        <w:t>) sobre una variable resultado de interés (</w:t>
      </w:r>
      <w:r w:rsidRPr="00C551E1">
        <w:rPr>
          <w:rFonts w:ascii="Arial" w:eastAsia="Calibri" w:hAnsi="Arial" w:cs="Arial"/>
          <w:i/>
          <w:sz w:val="22"/>
          <w:szCs w:val="22"/>
          <w:lang w:val="es-ES_tradnl"/>
        </w:rPr>
        <w:t>Y</w:t>
      </w:r>
      <w:r w:rsidRPr="00C551E1">
        <w:rPr>
          <w:rFonts w:ascii="Arial" w:eastAsia="Calibri" w:hAnsi="Arial" w:cs="Arial"/>
          <w:sz w:val="22"/>
          <w:szCs w:val="22"/>
          <w:lang w:val="es-ES_tradnl"/>
        </w:rPr>
        <w:t>) puede escribirse cómo:</w:t>
      </w:r>
    </w:p>
    <w:p w14:paraId="7492BD08" w14:textId="4729D3E9" w:rsidR="00792B59" w:rsidRPr="00C551E1" w:rsidRDefault="006F2E2C" w:rsidP="009D5846">
      <w:pPr>
        <w:pStyle w:val="Normal1"/>
        <w:widowControl w:val="0"/>
        <w:numPr>
          <w:ilvl w:val="0"/>
          <w:numId w:val="15"/>
        </w:numPr>
        <w:spacing w:before="120" w:after="120"/>
        <w:contextualSpacing/>
        <w:jc w:val="both"/>
        <w:rPr>
          <w:rFonts w:ascii="Arial" w:eastAsia="Calibri" w:hAnsi="Arial" w:cs="Arial"/>
          <w:sz w:val="22"/>
          <w:szCs w:val="22"/>
          <w:lang w:val="es-ES_tradnl"/>
        </w:rPr>
      </w:pPr>
      <w:r w:rsidRPr="00F42B76">
        <w:rPr>
          <w:rFonts w:ascii="Arial" w:hAnsi="Arial" w:cs="Arial"/>
          <w:noProof/>
          <w:sz w:val="22"/>
          <w:szCs w:val="22"/>
          <w:lang w:val="es-ES_tradnl" w:eastAsia="en-US"/>
        </w:rPr>
        <w:drawing>
          <wp:inline distT="0" distB="0" distL="0" distR="0" wp14:anchorId="7A697052" wp14:editId="3A06FF16">
            <wp:extent cx="1960245" cy="182880"/>
            <wp:effectExtent l="0" t="0" r="0" b="0"/>
            <wp:docPr id="3" name="image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0245" cy="182880"/>
                    </a:xfrm>
                    <a:prstGeom prst="rect">
                      <a:avLst/>
                    </a:prstGeom>
                    <a:noFill/>
                    <a:ln>
                      <a:noFill/>
                    </a:ln>
                  </pic:spPr>
                </pic:pic>
              </a:graphicData>
            </a:graphic>
          </wp:inline>
        </w:drawing>
      </w:r>
      <w:r w:rsidRPr="00F42B76">
        <w:rPr>
          <w:rFonts w:ascii="Arial" w:hAnsi="Arial" w:cs="Arial"/>
          <w:noProof/>
          <w:sz w:val="22"/>
          <w:szCs w:val="22"/>
          <w:lang w:val="es-ES_tradnl" w:eastAsia="en-US"/>
        </w:rPr>
        <w:drawing>
          <wp:inline distT="0" distB="0" distL="0" distR="0" wp14:anchorId="3974CE3A" wp14:editId="51185BBD">
            <wp:extent cx="1960245" cy="182880"/>
            <wp:effectExtent l="0" t="0" r="0" b="0"/>
            <wp:docPr id="4" name="image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0245" cy="182880"/>
                    </a:xfrm>
                    <a:prstGeom prst="rect">
                      <a:avLst/>
                    </a:prstGeom>
                    <a:noFill/>
                    <a:ln>
                      <a:noFill/>
                    </a:ln>
                  </pic:spPr>
                </pic:pic>
              </a:graphicData>
            </a:graphic>
          </wp:inline>
        </w:drawing>
      </w:r>
    </w:p>
    <w:p w14:paraId="3C6AD3DE" w14:textId="77777777" w:rsidR="00792B59" w:rsidRPr="00C551E1" w:rsidRDefault="00792B59" w:rsidP="00792B59">
      <w:pPr>
        <w:pStyle w:val="Normal1"/>
        <w:widowControl w:val="0"/>
        <w:spacing w:before="120" w:after="120"/>
        <w:ind w:left="1701"/>
        <w:jc w:val="both"/>
        <w:rPr>
          <w:rFonts w:ascii="Arial" w:eastAsia="Calibri" w:hAnsi="Arial" w:cs="Arial"/>
          <w:sz w:val="22"/>
          <w:szCs w:val="22"/>
          <w:lang w:val="es-ES_tradnl"/>
        </w:rPr>
      </w:pPr>
    </w:p>
    <w:p w14:paraId="694EBE24" w14:textId="6A1F7E10" w:rsidR="00792B59" w:rsidRPr="00C551E1" w:rsidRDefault="00687B4A"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E</w:t>
      </w:r>
      <w:r w:rsidR="00792B59" w:rsidRPr="00C551E1">
        <w:rPr>
          <w:rFonts w:ascii="Arial" w:eastAsia="Calibri" w:hAnsi="Arial" w:cs="Arial"/>
          <w:sz w:val="22"/>
          <w:szCs w:val="22"/>
          <w:lang w:val="es-ES_tradnl"/>
        </w:rPr>
        <w:t>s decir, la diferencia entre el resultado (</w:t>
      </w:r>
      <w:r w:rsidR="00792B59" w:rsidRPr="00C551E1">
        <w:rPr>
          <w:rFonts w:ascii="Arial" w:eastAsia="Calibri" w:hAnsi="Arial" w:cs="Arial"/>
          <w:i/>
          <w:sz w:val="22"/>
          <w:szCs w:val="22"/>
          <w:lang w:val="es-ES_tradnl"/>
        </w:rPr>
        <w:t>Y</w:t>
      </w:r>
      <w:r w:rsidR="00792B59" w:rsidRPr="00C551E1">
        <w:rPr>
          <w:rFonts w:ascii="Arial" w:eastAsia="Calibri" w:hAnsi="Arial" w:cs="Arial"/>
          <w:sz w:val="22"/>
          <w:szCs w:val="22"/>
          <w:lang w:val="es-ES_tradnl"/>
        </w:rPr>
        <w:t>) cuando la política ha sido implementada (</w:t>
      </w:r>
      <w:r w:rsidR="00792B59" w:rsidRPr="00C551E1">
        <w:rPr>
          <w:rFonts w:ascii="Arial" w:eastAsia="Calibri" w:hAnsi="Arial" w:cs="Arial"/>
          <w:i/>
          <w:sz w:val="22"/>
          <w:szCs w:val="22"/>
          <w:lang w:val="es-ES_tradnl"/>
        </w:rPr>
        <w:t>P</w:t>
      </w:r>
      <w:r w:rsidR="00792B59" w:rsidRPr="00C551E1">
        <w:rPr>
          <w:rFonts w:ascii="Arial" w:eastAsia="Calibri" w:hAnsi="Arial" w:cs="Arial"/>
          <w:sz w:val="22"/>
          <w:szCs w:val="22"/>
          <w:lang w:val="es-ES_tradnl"/>
        </w:rPr>
        <w:t>=1) y el mismo resultado (</w:t>
      </w:r>
      <w:r w:rsidR="00792B59" w:rsidRPr="00C551E1">
        <w:rPr>
          <w:rFonts w:ascii="Arial" w:eastAsia="Calibri" w:hAnsi="Arial" w:cs="Arial"/>
          <w:i/>
          <w:sz w:val="22"/>
          <w:szCs w:val="22"/>
          <w:lang w:val="es-ES_tradnl"/>
        </w:rPr>
        <w:t>Y</w:t>
      </w:r>
      <w:r w:rsidR="00792B59" w:rsidRPr="00C551E1">
        <w:rPr>
          <w:rFonts w:ascii="Arial" w:eastAsia="Calibri" w:hAnsi="Arial" w:cs="Arial"/>
          <w:sz w:val="22"/>
          <w:szCs w:val="22"/>
          <w:lang w:val="es-ES_tradnl"/>
        </w:rPr>
        <w:t>) sin que se hubiese implementado la política (</w:t>
      </w:r>
      <w:r w:rsidR="00792B59" w:rsidRPr="00C551E1">
        <w:rPr>
          <w:rFonts w:ascii="Arial" w:eastAsia="Calibri" w:hAnsi="Arial" w:cs="Arial"/>
          <w:i/>
          <w:sz w:val="22"/>
          <w:szCs w:val="22"/>
          <w:lang w:val="es-ES_tradnl"/>
        </w:rPr>
        <w:t>P</w:t>
      </w:r>
      <w:r w:rsidR="00792B59" w:rsidRPr="00C551E1">
        <w:rPr>
          <w:rFonts w:ascii="Arial" w:eastAsia="Calibri" w:hAnsi="Arial" w:cs="Arial"/>
          <w:sz w:val="22"/>
          <w:szCs w:val="22"/>
          <w:lang w:val="es-ES_tradnl"/>
        </w:rPr>
        <w:t xml:space="preserve">=0). Por ejemplo, medir el cumplimiento con la zona de amortiguamiento de un productor agropecuario en ausencia del </w:t>
      </w:r>
      <w:r w:rsidR="002B5292">
        <w:rPr>
          <w:rFonts w:ascii="Arial" w:eastAsia="Calibri" w:hAnsi="Arial" w:cs="Arial"/>
          <w:sz w:val="22"/>
          <w:szCs w:val="22"/>
          <w:lang w:val="es-ES_tradnl"/>
        </w:rPr>
        <w:t>programa</w:t>
      </w:r>
      <w:r w:rsidR="00792B59" w:rsidRPr="00C551E1">
        <w:rPr>
          <w:rFonts w:ascii="Arial" w:eastAsia="Calibri" w:hAnsi="Arial" w:cs="Arial"/>
          <w:sz w:val="22"/>
          <w:szCs w:val="22"/>
          <w:lang w:val="es-ES_tradnl"/>
        </w:rPr>
        <w:t xml:space="preserve">, y compararlo con la cobertura de su zona de amortiguamiento cuando el </w:t>
      </w:r>
      <w:r w:rsidR="002B5292">
        <w:rPr>
          <w:rFonts w:ascii="Arial" w:eastAsia="Calibri" w:hAnsi="Arial" w:cs="Arial"/>
          <w:sz w:val="22"/>
          <w:szCs w:val="22"/>
          <w:lang w:val="es-ES_tradnl"/>
        </w:rPr>
        <w:t>programa</w:t>
      </w:r>
      <w:r w:rsidR="00792B59" w:rsidRPr="00C551E1">
        <w:rPr>
          <w:rFonts w:ascii="Arial" w:eastAsia="Calibri" w:hAnsi="Arial" w:cs="Arial"/>
          <w:sz w:val="22"/>
          <w:szCs w:val="22"/>
          <w:lang w:val="es-ES_tradnl"/>
        </w:rPr>
        <w:t xml:space="preserve"> esta implementado. Esto implica medir dos realidades diferentes del mismo productor agropecuario en el mismo momento. Si esto fuera posible, podríamos atribuir toda diferencia respecto al incremento en la zona de amortiguamiento a la implementación del </w:t>
      </w:r>
      <w:r w:rsidR="002B5292">
        <w:rPr>
          <w:rFonts w:ascii="Arial" w:eastAsia="Calibri" w:hAnsi="Arial" w:cs="Arial"/>
          <w:sz w:val="22"/>
          <w:szCs w:val="22"/>
          <w:lang w:val="es-ES_tradnl"/>
        </w:rPr>
        <w:t>programa</w:t>
      </w:r>
      <w:r w:rsidR="00792B59" w:rsidRPr="00C551E1">
        <w:rPr>
          <w:rFonts w:ascii="Arial" w:eastAsia="Calibri" w:hAnsi="Arial" w:cs="Arial"/>
          <w:sz w:val="22"/>
          <w:szCs w:val="22"/>
          <w:lang w:val="es-ES_tradnl"/>
        </w:rPr>
        <w:t xml:space="preserve">, ya que al comparar el comportamiento de un individuo consigo mismo en el mismo momento eliminaríamos cualquier factor externo que también pueda explicar la diferencia en las prácticas de conservación. En ese caso, podríamos afirmar que la relación entre el </w:t>
      </w:r>
      <w:r w:rsidR="002B5292">
        <w:rPr>
          <w:rFonts w:ascii="Arial" w:eastAsia="Calibri" w:hAnsi="Arial" w:cs="Arial"/>
          <w:sz w:val="22"/>
          <w:szCs w:val="22"/>
          <w:lang w:val="es-ES_tradnl"/>
        </w:rPr>
        <w:t>programa</w:t>
      </w:r>
      <w:r w:rsidR="00792B59" w:rsidRPr="00C551E1">
        <w:rPr>
          <w:rFonts w:ascii="Arial" w:eastAsia="Calibri" w:hAnsi="Arial" w:cs="Arial"/>
          <w:sz w:val="22"/>
          <w:szCs w:val="22"/>
          <w:lang w:val="es-ES_tradnl"/>
        </w:rPr>
        <w:t xml:space="preserve"> y la conservación de las zonas de amortiguamiento es </w:t>
      </w:r>
      <w:r w:rsidR="007D4995" w:rsidRPr="00C551E1">
        <w:rPr>
          <w:rFonts w:ascii="Arial" w:eastAsia="Calibri" w:hAnsi="Arial" w:cs="Arial"/>
          <w:sz w:val="22"/>
          <w:szCs w:val="22"/>
          <w:lang w:val="es-ES_tradnl"/>
        </w:rPr>
        <w:t>casual</w:t>
      </w:r>
      <w:r w:rsidR="00792B59" w:rsidRPr="00C551E1">
        <w:rPr>
          <w:rFonts w:ascii="Arial" w:eastAsia="Calibri" w:hAnsi="Arial" w:cs="Arial"/>
          <w:sz w:val="22"/>
          <w:szCs w:val="22"/>
          <w:lang w:val="es-ES_tradnl"/>
        </w:rPr>
        <w:t>.</w:t>
      </w:r>
    </w:p>
    <w:p w14:paraId="0CE16AC2" w14:textId="553420A0"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Si bien la idea es simple, el problema surge porque se intenta evaluar dos realidades diferentes en un mismo momento. Esto es imposible en la práctica, ya que es imposible observar dos realidades distintas del mismo productor en el mismo momento del tiempo. Es decir, aunque podamos medir con precisión las prácticas de conservación una vez implementado el </w:t>
      </w:r>
      <w:r w:rsidR="002B5292">
        <w:rPr>
          <w:rFonts w:ascii="Arial" w:eastAsia="Calibri" w:hAnsi="Arial" w:cs="Arial"/>
          <w:sz w:val="22"/>
          <w:szCs w:val="22"/>
          <w:lang w:val="es-ES_tradnl"/>
        </w:rPr>
        <w:lastRenderedPageBreak/>
        <w:t>programa</w:t>
      </w:r>
      <w:r w:rsidRPr="00C551E1">
        <w:rPr>
          <w:rFonts w:ascii="Arial" w:eastAsia="Calibri" w:hAnsi="Arial" w:cs="Arial"/>
          <w:sz w:val="22"/>
          <w:szCs w:val="22"/>
          <w:lang w:val="es-ES_tradnl"/>
        </w:rPr>
        <w:t xml:space="preserve">, </w:t>
      </w:r>
      <w:r w:rsidR="006F2E2C" w:rsidRPr="00F42B76">
        <w:rPr>
          <w:rFonts w:ascii="Arial" w:hAnsi="Arial" w:cs="Arial"/>
          <w:noProof/>
          <w:sz w:val="22"/>
          <w:szCs w:val="22"/>
          <w:lang w:val="es-ES_tradnl" w:eastAsia="en-US"/>
        </w:rPr>
        <w:drawing>
          <wp:inline distT="0" distB="0" distL="0" distR="0" wp14:anchorId="2E84453E" wp14:editId="23611E5D">
            <wp:extent cx="746125" cy="182880"/>
            <wp:effectExtent l="0" t="0" r="0" b="0"/>
            <wp:docPr id="5" name="image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6125" cy="182880"/>
                    </a:xfrm>
                    <a:prstGeom prst="rect">
                      <a:avLst/>
                    </a:prstGeom>
                    <a:noFill/>
                    <a:ln>
                      <a:noFill/>
                    </a:ln>
                  </pic:spPr>
                </pic:pic>
              </a:graphicData>
            </a:graphic>
          </wp:inline>
        </w:drawing>
      </w:r>
      <w:r w:rsidRPr="00C551E1">
        <w:rPr>
          <w:rFonts w:ascii="Arial" w:eastAsia="Calibri" w:hAnsi="Arial" w:cs="Arial"/>
          <w:sz w:val="22"/>
          <w:szCs w:val="22"/>
          <w:lang w:val="es-ES_tradnl"/>
        </w:rPr>
        <w:t xml:space="preserve">, no hay información para establecer cuál habría sido el resultado en ausencia de la política, </w:t>
      </w:r>
      <w:r w:rsidR="006F2E2C" w:rsidRPr="00F42B76">
        <w:rPr>
          <w:rFonts w:ascii="Arial" w:hAnsi="Arial" w:cs="Arial"/>
          <w:noProof/>
          <w:sz w:val="22"/>
          <w:szCs w:val="22"/>
          <w:lang w:val="es-ES_tradnl" w:eastAsia="en-US"/>
        </w:rPr>
        <w:drawing>
          <wp:inline distT="0" distB="0" distL="0" distR="0" wp14:anchorId="5FD68A29" wp14:editId="447F1F76">
            <wp:extent cx="746125" cy="182880"/>
            <wp:effectExtent l="0" t="0" r="0" b="0"/>
            <wp:docPr id="6" name="image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125" cy="182880"/>
                    </a:xfrm>
                    <a:prstGeom prst="rect">
                      <a:avLst/>
                    </a:prstGeom>
                    <a:noFill/>
                    <a:ln>
                      <a:noFill/>
                    </a:ln>
                  </pic:spPr>
                </pic:pic>
              </a:graphicData>
            </a:graphic>
          </wp:inline>
        </w:drawing>
      </w:r>
      <w:r w:rsidRPr="00C551E1">
        <w:rPr>
          <w:rFonts w:ascii="Arial" w:eastAsia="Calibri" w:hAnsi="Arial" w:cs="Arial"/>
          <w:sz w:val="22"/>
          <w:szCs w:val="22"/>
          <w:lang w:val="es-ES_tradnl"/>
        </w:rPr>
        <w:t xml:space="preserve">. </w:t>
      </w:r>
    </w:p>
    <w:p w14:paraId="3EC95BBC" w14:textId="7777777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Esto nos lleva al segundo concepto clave, que es la definición del contrafactual. El contrafactual es lo que habría ocurrido (cuál hubiese sido el resultado </w:t>
      </w:r>
      <w:r w:rsidRPr="00C551E1">
        <w:rPr>
          <w:rFonts w:ascii="Arial" w:eastAsia="Calibri" w:hAnsi="Arial" w:cs="Arial"/>
          <w:i/>
          <w:sz w:val="22"/>
          <w:szCs w:val="22"/>
          <w:lang w:val="es-ES_tradnl"/>
        </w:rPr>
        <w:t>Y</w:t>
      </w:r>
      <w:r w:rsidRPr="00C551E1">
        <w:rPr>
          <w:rFonts w:ascii="Arial" w:eastAsia="Calibri" w:hAnsi="Arial" w:cs="Arial"/>
          <w:sz w:val="22"/>
          <w:szCs w:val="22"/>
          <w:lang w:val="es-ES_tradnl"/>
        </w:rPr>
        <w:t xml:space="preserve">) en ausencia de la política </w:t>
      </w:r>
      <w:r w:rsidRPr="00C551E1">
        <w:rPr>
          <w:rFonts w:ascii="Arial" w:eastAsia="Calibri" w:hAnsi="Arial" w:cs="Arial"/>
          <w:i/>
          <w:sz w:val="22"/>
          <w:szCs w:val="22"/>
          <w:lang w:val="es-ES_tradnl"/>
        </w:rPr>
        <w:t>P</w:t>
      </w:r>
      <w:r w:rsidRPr="00C551E1">
        <w:rPr>
          <w:rFonts w:ascii="Arial" w:eastAsia="Calibri" w:hAnsi="Arial" w:cs="Arial"/>
          <w:sz w:val="22"/>
          <w:szCs w:val="22"/>
          <w:lang w:val="es-ES_tradnl"/>
        </w:rPr>
        <w:t xml:space="preserve">. En la Ecuación 1, el contrafactual está representado por el término </w:t>
      </w:r>
      <w:r w:rsidR="006F2E2C" w:rsidRPr="00F42B76">
        <w:rPr>
          <w:rFonts w:ascii="Arial" w:hAnsi="Arial" w:cs="Arial"/>
          <w:noProof/>
          <w:sz w:val="22"/>
          <w:szCs w:val="22"/>
          <w:lang w:val="es-ES_tradnl" w:eastAsia="en-US"/>
        </w:rPr>
        <w:drawing>
          <wp:inline distT="0" distB="0" distL="0" distR="0" wp14:anchorId="5BE6C02A" wp14:editId="3E670458">
            <wp:extent cx="746125" cy="182880"/>
            <wp:effectExtent l="0" t="0" r="0" b="0"/>
            <wp:docPr id="7" name="image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125" cy="182880"/>
                    </a:xfrm>
                    <a:prstGeom prst="rect">
                      <a:avLst/>
                    </a:prstGeom>
                    <a:noFill/>
                    <a:ln>
                      <a:noFill/>
                    </a:ln>
                  </pic:spPr>
                </pic:pic>
              </a:graphicData>
            </a:graphic>
          </wp:inline>
        </w:drawing>
      </w:r>
      <w:r w:rsidRPr="00C551E1">
        <w:rPr>
          <w:rFonts w:ascii="Arial" w:eastAsia="Calibri" w:hAnsi="Arial" w:cs="Arial"/>
          <w:sz w:val="22"/>
          <w:szCs w:val="22"/>
          <w:lang w:val="es-ES_tradnl"/>
        </w:rPr>
        <w:t xml:space="preserve">. En general, a la hora de llevar adelante una evaluación de impacto, el término </w:t>
      </w:r>
      <w:r w:rsidR="006F2E2C" w:rsidRPr="00F42B76">
        <w:rPr>
          <w:rFonts w:ascii="Arial" w:hAnsi="Arial" w:cs="Arial"/>
          <w:noProof/>
          <w:sz w:val="22"/>
          <w:szCs w:val="22"/>
          <w:lang w:val="es-ES_tradnl" w:eastAsia="en-US"/>
        </w:rPr>
        <w:drawing>
          <wp:inline distT="0" distB="0" distL="0" distR="0" wp14:anchorId="111E6BD4" wp14:editId="571B5EE8">
            <wp:extent cx="746125" cy="182880"/>
            <wp:effectExtent l="0" t="0" r="0" b="0"/>
            <wp:docPr id="8"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6125" cy="182880"/>
                    </a:xfrm>
                    <a:prstGeom prst="rect">
                      <a:avLst/>
                    </a:prstGeom>
                    <a:noFill/>
                    <a:ln>
                      <a:noFill/>
                    </a:ln>
                  </pic:spPr>
                </pic:pic>
              </a:graphicData>
            </a:graphic>
          </wp:inline>
        </w:drawing>
      </w:r>
      <w:r w:rsidRPr="00C551E1">
        <w:rPr>
          <w:rFonts w:ascii="Arial" w:eastAsia="Calibri" w:hAnsi="Arial" w:cs="Arial"/>
          <w:sz w:val="22"/>
          <w:szCs w:val="22"/>
          <w:lang w:val="es-ES_tradnl"/>
        </w:rPr>
        <w:t xml:space="preserve">, que denominaremos el resultado bajo el tratamiento, es fácil de observar (una vez definida la variable adecuada). Sin embargo, bajo la imposibilidad de observar de forma directa el segundo término de la Ecuación 1, </w:t>
      </w:r>
      <w:r w:rsidR="006F2E2C" w:rsidRPr="00F42B76">
        <w:rPr>
          <w:rFonts w:ascii="Arial" w:hAnsi="Arial" w:cs="Arial"/>
          <w:noProof/>
          <w:sz w:val="22"/>
          <w:szCs w:val="22"/>
          <w:lang w:val="es-ES_tradnl" w:eastAsia="en-US"/>
        </w:rPr>
        <w:drawing>
          <wp:inline distT="0" distB="0" distL="0" distR="0" wp14:anchorId="5014E1A4" wp14:editId="4C2137FB">
            <wp:extent cx="746125" cy="182880"/>
            <wp:effectExtent l="0" t="0" r="0" b="0"/>
            <wp:docPr id="9" name="image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125" cy="182880"/>
                    </a:xfrm>
                    <a:prstGeom prst="rect">
                      <a:avLst/>
                    </a:prstGeom>
                    <a:noFill/>
                    <a:ln>
                      <a:noFill/>
                    </a:ln>
                  </pic:spPr>
                </pic:pic>
              </a:graphicData>
            </a:graphic>
          </wp:inline>
        </w:drawing>
      </w:r>
      <w:r w:rsidRPr="00C551E1">
        <w:rPr>
          <w:rFonts w:ascii="Arial" w:eastAsia="Calibri" w:hAnsi="Arial" w:cs="Arial"/>
          <w:sz w:val="22"/>
          <w:szCs w:val="22"/>
          <w:lang w:val="es-ES_tradnl"/>
        </w:rPr>
        <w:t xml:space="preserve">, es posible definir una estrategia para estimarlo. </w:t>
      </w:r>
    </w:p>
    <w:p w14:paraId="4DD10B2B" w14:textId="332EFCD9" w:rsidR="00792B59" w:rsidRPr="00C551E1" w:rsidRDefault="00792B59" w:rsidP="00792B59">
      <w:pPr>
        <w:pStyle w:val="Normal1"/>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En ese sentido, la clave para llevar adelante una evaluación ex-post que logre medir el efecto causal de la política sobre los resultados, es diseñar la evaluación de modo de estimar el contrafactual de la forma más precisa posible. En ese sentido, es necesario pasar de pensar a nivel del individuo (el productor agropecuario en nuestro caso) a nivel del grupo de individuos tratados y no tratados. Esto implica aplicar la política a una parte de la población, el que es denominado </w:t>
      </w:r>
      <w:r w:rsidRPr="00C551E1">
        <w:rPr>
          <w:rFonts w:ascii="Arial" w:eastAsia="Calibri" w:hAnsi="Arial" w:cs="Arial"/>
          <w:i/>
          <w:sz w:val="22"/>
          <w:szCs w:val="22"/>
          <w:lang w:val="es-ES_tradnl"/>
        </w:rPr>
        <w:t>grupo de tratamiento</w:t>
      </w:r>
      <w:r w:rsidRPr="00C551E1">
        <w:rPr>
          <w:rFonts w:ascii="Arial" w:eastAsia="Calibri" w:hAnsi="Arial" w:cs="Arial"/>
          <w:sz w:val="22"/>
          <w:szCs w:val="22"/>
          <w:lang w:val="es-ES_tradnl"/>
        </w:rPr>
        <w:t xml:space="preserve">, y monitorear el desempeño de </w:t>
      </w:r>
      <w:r w:rsidR="007D4995" w:rsidRPr="00C551E1">
        <w:rPr>
          <w:rFonts w:ascii="Arial" w:eastAsia="Calibri" w:hAnsi="Arial" w:cs="Arial"/>
          <w:sz w:val="22"/>
          <w:szCs w:val="22"/>
          <w:lang w:val="es-ES_tradnl"/>
        </w:rPr>
        <w:t>estos</w:t>
      </w:r>
      <w:r w:rsidRPr="00C551E1">
        <w:rPr>
          <w:rFonts w:ascii="Arial" w:eastAsia="Calibri" w:hAnsi="Arial" w:cs="Arial"/>
          <w:sz w:val="22"/>
          <w:szCs w:val="22"/>
          <w:lang w:val="es-ES_tradnl"/>
        </w:rPr>
        <w:t>, así como de otro grupo de iguales características desde el punto de vista estadístico a los que no se les ha aplicado la política (</w:t>
      </w:r>
      <w:r w:rsidRPr="00C551E1">
        <w:rPr>
          <w:rFonts w:ascii="Arial" w:eastAsia="Calibri" w:hAnsi="Arial" w:cs="Arial"/>
          <w:i/>
          <w:sz w:val="22"/>
          <w:szCs w:val="22"/>
          <w:lang w:val="es-ES_tradnl"/>
        </w:rPr>
        <w:t xml:space="preserve">grupo de </w:t>
      </w:r>
      <w:r w:rsidRPr="00C551E1">
        <w:rPr>
          <w:rFonts w:ascii="Arial" w:eastAsia="Calibri" w:hAnsi="Arial" w:cs="Arial"/>
          <w:sz w:val="22"/>
          <w:szCs w:val="22"/>
          <w:lang w:val="es-ES_tradnl"/>
        </w:rPr>
        <w:t xml:space="preserve">control). El desempeño del grupo de control se interpreta como el desempeño que hubiese tenido el grupo de tratamiento si no hubiese sido sometido al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w:t>
      </w:r>
    </w:p>
    <w:p w14:paraId="16DCEE98" w14:textId="14E53135" w:rsidR="00C436AE" w:rsidRPr="00C551E1" w:rsidRDefault="00792B59" w:rsidP="00792B59">
      <w:pPr>
        <w:pStyle w:val="Normal1"/>
        <w:spacing w:before="120" w:after="120"/>
        <w:jc w:val="both"/>
        <w:rPr>
          <w:rFonts w:ascii="Arial" w:hAnsi="Arial" w:cs="Arial"/>
          <w:sz w:val="22"/>
          <w:szCs w:val="22"/>
          <w:lang w:val="es-ES_tradnl"/>
        </w:rPr>
      </w:pPr>
      <w:r w:rsidRPr="00C551E1">
        <w:rPr>
          <w:rFonts w:ascii="Arial" w:eastAsia="Calibri" w:hAnsi="Arial" w:cs="Arial"/>
          <w:sz w:val="22"/>
          <w:szCs w:val="22"/>
          <w:lang w:val="es-ES_tradnl"/>
        </w:rPr>
        <w:t xml:space="preserve">Si podemos aplicar 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o la política a un grupo de tratamiento y a un grupo de control, tal que ambos grupos sean idénticos en todas las características relevantes excepto en el hecho de ser tratados, y podemos observar la variable resultado de interés en ambos grupos antes y después del tratamiento, podemos estimar el efecto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a través del método de diferencias-en-diferencias. </w:t>
      </w:r>
      <w:r w:rsidRPr="00C551E1">
        <w:rPr>
          <w:rFonts w:ascii="Arial" w:hAnsi="Arial" w:cs="Arial"/>
          <w:sz w:val="22"/>
          <w:szCs w:val="22"/>
          <w:lang w:val="es-ES_tradnl"/>
        </w:rPr>
        <w:t>La</w:t>
      </w:r>
      <w:r w:rsidR="00C436AE" w:rsidRPr="00C551E1">
        <w:rPr>
          <w:rFonts w:ascii="Arial" w:hAnsi="Arial" w:cs="Arial"/>
          <w:sz w:val="22"/>
          <w:szCs w:val="22"/>
          <w:lang w:val="es-ES_tradnl"/>
        </w:rPr>
        <w:t xml:space="preserve"> figura 3 </w:t>
      </w:r>
      <w:r w:rsidRPr="00C551E1">
        <w:rPr>
          <w:rFonts w:ascii="Arial" w:hAnsi="Arial" w:cs="Arial"/>
          <w:sz w:val="22"/>
          <w:szCs w:val="22"/>
          <w:lang w:val="es-ES_tradnl"/>
        </w:rPr>
        <w:t xml:space="preserve">muestra gráficamente este método. Se espera que el Proyecto tenga efecto en alguna variable de resultado de interés, como ser la superficie forestal de las zonas de amortiguamiento, o el número de establecimientos lecheros implementando técnicas de manejo integrado de efluentes. El cambio en la variable de resultado </w:t>
      </w:r>
      <w:r w:rsidRPr="00C551E1">
        <w:rPr>
          <w:rFonts w:ascii="Arial" w:hAnsi="Arial" w:cs="Arial"/>
          <w:i/>
          <w:sz w:val="22"/>
          <w:szCs w:val="22"/>
          <w:lang w:val="es-ES_tradnl"/>
        </w:rPr>
        <w:t xml:space="preserve">Y </w:t>
      </w:r>
      <w:r w:rsidRPr="00C551E1">
        <w:rPr>
          <w:rFonts w:ascii="Arial" w:hAnsi="Arial" w:cs="Arial"/>
          <w:sz w:val="22"/>
          <w:szCs w:val="22"/>
          <w:lang w:val="es-ES_tradnl"/>
        </w:rPr>
        <w:t>antes y después del proyecto, para aquellos productores en el grupo de tratamiento, viene dado por Y</w:t>
      </w:r>
      <w:r w:rsidRPr="00C551E1">
        <w:rPr>
          <w:rFonts w:ascii="Arial" w:hAnsi="Arial" w:cs="Arial"/>
          <w:sz w:val="22"/>
          <w:szCs w:val="22"/>
          <w:vertAlign w:val="subscript"/>
          <w:lang w:val="es-ES_tradnl"/>
        </w:rPr>
        <w:t>2b</w:t>
      </w:r>
      <w:r w:rsidRPr="00C551E1">
        <w:rPr>
          <w:rFonts w:ascii="Arial" w:hAnsi="Arial" w:cs="Arial"/>
          <w:sz w:val="22"/>
          <w:szCs w:val="22"/>
          <w:lang w:val="es-ES_tradnl"/>
        </w:rPr>
        <w:t>-Y</w:t>
      </w:r>
      <w:r w:rsidRPr="00C551E1">
        <w:rPr>
          <w:rFonts w:ascii="Arial" w:hAnsi="Arial" w:cs="Arial"/>
          <w:sz w:val="22"/>
          <w:szCs w:val="22"/>
          <w:vertAlign w:val="subscript"/>
          <w:lang w:val="es-ES_tradnl"/>
        </w:rPr>
        <w:t>1</w:t>
      </w:r>
      <w:r w:rsidRPr="00C551E1">
        <w:rPr>
          <w:rFonts w:ascii="Arial" w:hAnsi="Arial" w:cs="Arial"/>
          <w:sz w:val="22"/>
          <w:szCs w:val="22"/>
          <w:lang w:val="es-ES_tradnl"/>
        </w:rPr>
        <w:t xml:space="preserve">. </w:t>
      </w:r>
    </w:p>
    <w:p w14:paraId="67A66296" w14:textId="2F76F538" w:rsidR="00792B59" w:rsidRPr="00C551E1" w:rsidRDefault="00792B59" w:rsidP="00792B59">
      <w:pPr>
        <w:pStyle w:val="Normal1"/>
        <w:spacing w:before="120" w:after="120"/>
        <w:jc w:val="both"/>
        <w:rPr>
          <w:rFonts w:ascii="Arial" w:hAnsi="Arial" w:cs="Arial"/>
          <w:sz w:val="22"/>
          <w:szCs w:val="22"/>
          <w:lang w:val="es-ES_tradnl"/>
        </w:rPr>
      </w:pPr>
      <w:r w:rsidRPr="00C551E1">
        <w:rPr>
          <w:rFonts w:ascii="Arial" w:hAnsi="Arial" w:cs="Arial"/>
          <w:sz w:val="22"/>
          <w:szCs w:val="22"/>
          <w:lang w:val="es-ES_tradnl"/>
        </w:rPr>
        <w:t>En cambio, para aquellos productores se encuentren en el grupo de control, el cambio en la variable resultado viene dado por Y</w:t>
      </w:r>
      <w:r w:rsidRPr="00C551E1">
        <w:rPr>
          <w:rFonts w:ascii="Arial" w:hAnsi="Arial" w:cs="Arial"/>
          <w:sz w:val="22"/>
          <w:szCs w:val="22"/>
          <w:vertAlign w:val="subscript"/>
          <w:lang w:val="es-ES_tradnl"/>
        </w:rPr>
        <w:t>2c</w:t>
      </w:r>
      <w:r w:rsidRPr="00C551E1">
        <w:rPr>
          <w:rFonts w:ascii="Arial" w:hAnsi="Arial" w:cs="Arial"/>
          <w:sz w:val="22"/>
          <w:szCs w:val="22"/>
          <w:lang w:val="es-ES_tradnl"/>
        </w:rPr>
        <w:t>-Y</w:t>
      </w:r>
      <w:r w:rsidRPr="00C551E1">
        <w:rPr>
          <w:rFonts w:ascii="Arial" w:hAnsi="Arial" w:cs="Arial"/>
          <w:sz w:val="22"/>
          <w:szCs w:val="22"/>
          <w:vertAlign w:val="subscript"/>
          <w:lang w:val="es-ES_tradnl"/>
        </w:rPr>
        <w:t>1</w:t>
      </w:r>
      <w:r w:rsidRPr="00C551E1">
        <w:rPr>
          <w:rFonts w:ascii="Arial" w:hAnsi="Arial" w:cs="Arial"/>
          <w:sz w:val="22"/>
          <w:szCs w:val="22"/>
          <w:lang w:val="es-ES_tradnl"/>
        </w:rPr>
        <w:t>. Si adjudicamos el efecto Y</w:t>
      </w:r>
      <w:r w:rsidRPr="00C551E1">
        <w:rPr>
          <w:rFonts w:ascii="Arial" w:hAnsi="Arial" w:cs="Arial"/>
          <w:sz w:val="22"/>
          <w:szCs w:val="22"/>
          <w:vertAlign w:val="subscript"/>
          <w:lang w:val="es-ES_tradnl"/>
        </w:rPr>
        <w:t>2b</w:t>
      </w:r>
      <w:r w:rsidRPr="00C551E1">
        <w:rPr>
          <w:rFonts w:ascii="Arial" w:hAnsi="Arial" w:cs="Arial"/>
          <w:sz w:val="22"/>
          <w:szCs w:val="22"/>
          <w:lang w:val="es-ES_tradnl"/>
        </w:rPr>
        <w:t>-Y</w:t>
      </w:r>
      <w:r w:rsidRPr="00C551E1">
        <w:rPr>
          <w:rFonts w:ascii="Arial" w:hAnsi="Arial" w:cs="Arial"/>
          <w:sz w:val="22"/>
          <w:szCs w:val="22"/>
          <w:vertAlign w:val="subscript"/>
          <w:lang w:val="es-ES_tradnl"/>
        </w:rPr>
        <w:t xml:space="preserve">1 </w:t>
      </w:r>
      <w:r w:rsidRPr="00C551E1">
        <w:rPr>
          <w:rFonts w:ascii="Arial" w:hAnsi="Arial" w:cs="Arial"/>
          <w:sz w:val="22"/>
          <w:szCs w:val="22"/>
          <w:lang w:val="es-ES_tradnl"/>
        </w:rPr>
        <w:t xml:space="preserve">al </w:t>
      </w:r>
      <w:r w:rsidR="002B5292">
        <w:rPr>
          <w:rFonts w:ascii="Arial" w:hAnsi="Arial" w:cs="Arial"/>
          <w:sz w:val="22"/>
          <w:szCs w:val="22"/>
          <w:lang w:val="es-ES_tradnl"/>
        </w:rPr>
        <w:t>programa</w:t>
      </w:r>
      <w:r w:rsidRPr="00C551E1">
        <w:rPr>
          <w:rFonts w:ascii="Arial" w:hAnsi="Arial" w:cs="Arial"/>
          <w:sz w:val="22"/>
          <w:szCs w:val="22"/>
          <w:lang w:val="es-ES_tradnl"/>
        </w:rPr>
        <w:t xml:space="preserve">, estaríamos ignorando que el resultado podría haberse incrementado por otras razones, como ser una oportunidad de certificación ambiental, u otra política que afecte a todos los productores. Eso estaría sobre estimando el efecto del proyecto. El efecto del </w:t>
      </w:r>
      <w:r w:rsidR="002B5292">
        <w:rPr>
          <w:rFonts w:ascii="Arial" w:hAnsi="Arial" w:cs="Arial"/>
          <w:sz w:val="22"/>
          <w:szCs w:val="22"/>
          <w:lang w:val="es-ES_tradnl"/>
        </w:rPr>
        <w:t>programa</w:t>
      </w:r>
      <w:r w:rsidRPr="00C551E1">
        <w:rPr>
          <w:rFonts w:ascii="Arial" w:hAnsi="Arial" w:cs="Arial"/>
          <w:sz w:val="22"/>
          <w:szCs w:val="22"/>
          <w:lang w:val="es-ES_tradnl"/>
        </w:rPr>
        <w:t xml:space="preserve"> a través del método de diferencias en diferencias viene dado por (Y</w:t>
      </w:r>
      <w:r w:rsidRPr="00C551E1">
        <w:rPr>
          <w:rFonts w:ascii="Arial" w:hAnsi="Arial" w:cs="Arial"/>
          <w:sz w:val="22"/>
          <w:szCs w:val="22"/>
          <w:vertAlign w:val="subscript"/>
          <w:lang w:val="es-ES_tradnl"/>
        </w:rPr>
        <w:t>2b</w:t>
      </w:r>
      <w:r w:rsidRPr="00C551E1">
        <w:rPr>
          <w:rFonts w:ascii="Arial" w:hAnsi="Arial" w:cs="Arial"/>
          <w:sz w:val="22"/>
          <w:szCs w:val="22"/>
          <w:lang w:val="es-ES_tradnl"/>
        </w:rPr>
        <w:t>-Y</w:t>
      </w:r>
      <w:r w:rsidRPr="00C551E1">
        <w:rPr>
          <w:rFonts w:ascii="Arial" w:hAnsi="Arial" w:cs="Arial"/>
          <w:sz w:val="22"/>
          <w:szCs w:val="22"/>
          <w:vertAlign w:val="subscript"/>
          <w:lang w:val="es-ES_tradnl"/>
        </w:rPr>
        <w:t>1</w:t>
      </w:r>
      <w:r w:rsidRPr="00C551E1">
        <w:rPr>
          <w:rFonts w:ascii="Arial" w:hAnsi="Arial" w:cs="Arial"/>
          <w:sz w:val="22"/>
          <w:szCs w:val="22"/>
          <w:lang w:val="es-ES_tradnl"/>
        </w:rPr>
        <w:t>)</w:t>
      </w:r>
      <w:r w:rsidRPr="00C551E1">
        <w:rPr>
          <w:rFonts w:ascii="Arial" w:hAnsi="Arial" w:cs="Arial"/>
          <w:sz w:val="22"/>
          <w:szCs w:val="22"/>
          <w:vertAlign w:val="subscript"/>
          <w:lang w:val="es-ES_tradnl"/>
        </w:rPr>
        <w:t xml:space="preserve"> </w:t>
      </w:r>
      <w:r w:rsidRPr="00C551E1">
        <w:rPr>
          <w:rFonts w:ascii="Arial" w:hAnsi="Arial" w:cs="Arial"/>
          <w:sz w:val="22"/>
          <w:szCs w:val="22"/>
          <w:lang w:val="es-ES_tradnl"/>
        </w:rPr>
        <w:t>– (Y</w:t>
      </w:r>
      <w:r w:rsidRPr="00C551E1">
        <w:rPr>
          <w:rFonts w:ascii="Arial" w:hAnsi="Arial" w:cs="Arial"/>
          <w:sz w:val="22"/>
          <w:szCs w:val="22"/>
          <w:vertAlign w:val="subscript"/>
          <w:lang w:val="es-ES_tradnl"/>
        </w:rPr>
        <w:t>2c</w:t>
      </w:r>
      <w:r w:rsidRPr="00C551E1">
        <w:rPr>
          <w:rFonts w:ascii="Arial" w:hAnsi="Arial" w:cs="Arial"/>
          <w:sz w:val="22"/>
          <w:szCs w:val="22"/>
          <w:lang w:val="es-ES_tradnl"/>
        </w:rPr>
        <w:t>-Y</w:t>
      </w:r>
      <w:r w:rsidRPr="00C551E1">
        <w:rPr>
          <w:rFonts w:ascii="Arial" w:hAnsi="Arial" w:cs="Arial"/>
          <w:sz w:val="22"/>
          <w:szCs w:val="22"/>
          <w:vertAlign w:val="subscript"/>
          <w:lang w:val="es-ES_tradnl"/>
        </w:rPr>
        <w:t>1</w:t>
      </w:r>
      <w:r w:rsidRPr="00C551E1">
        <w:rPr>
          <w:rFonts w:ascii="Arial" w:hAnsi="Arial" w:cs="Arial"/>
          <w:sz w:val="22"/>
          <w:szCs w:val="22"/>
          <w:lang w:val="es-ES_tradnl"/>
        </w:rPr>
        <w:t>), es decir, la diferencia en la variable de resultado en los tratados habiendo sido tratados respecto a que hubiese sucedido en ellos si no hubiesen sido tratados (a partir de la construcción del contrafactual a través de técnicas de emparejamiento).</w:t>
      </w:r>
    </w:p>
    <w:p w14:paraId="7520F8E5" w14:textId="3E1F2433" w:rsidR="00792B59" w:rsidRPr="00C551E1" w:rsidRDefault="00792B59" w:rsidP="00214641">
      <w:pPr>
        <w:pStyle w:val="Caption"/>
        <w:keepNext/>
        <w:widowControl/>
        <w:spacing w:before="120" w:after="120"/>
        <w:jc w:val="both"/>
        <w:rPr>
          <w:rFonts w:ascii="Arial" w:hAnsi="Arial" w:cs="Arial"/>
          <w:sz w:val="22"/>
          <w:szCs w:val="22"/>
        </w:rPr>
      </w:pPr>
      <w:bookmarkStart w:id="35" w:name="_Ref9282654"/>
      <w:r w:rsidRPr="00C551E1">
        <w:rPr>
          <w:rFonts w:ascii="Arial" w:hAnsi="Arial" w:cs="Arial"/>
          <w:sz w:val="22"/>
          <w:szCs w:val="22"/>
        </w:rPr>
        <w:lastRenderedPageBreak/>
        <w:t xml:space="preserve">Figura </w:t>
      </w:r>
      <w:bookmarkEnd w:id="35"/>
      <w:r w:rsidR="00C436AE" w:rsidRPr="00C551E1">
        <w:rPr>
          <w:rFonts w:ascii="Arial" w:hAnsi="Arial" w:cs="Arial"/>
          <w:sz w:val="22"/>
          <w:szCs w:val="22"/>
        </w:rPr>
        <w:t xml:space="preserve">3: </w:t>
      </w:r>
      <w:r w:rsidRPr="00C551E1">
        <w:rPr>
          <w:rFonts w:ascii="Arial" w:hAnsi="Arial" w:cs="Arial"/>
          <w:sz w:val="22"/>
          <w:szCs w:val="22"/>
        </w:rPr>
        <w:t>Método de diferencias en diferencias</w:t>
      </w:r>
    </w:p>
    <w:p w14:paraId="0CF95252" w14:textId="6FCF514A" w:rsidR="00792B59" w:rsidRPr="00C551E1" w:rsidRDefault="006F2E2C" w:rsidP="00214641">
      <w:pPr>
        <w:keepNext/>
        <w:jc w:val="both"/>
        <w:rPr>
          <w:rFonts w:ascii="Arial" w:hAnsi="Arial" w:cs="Arial"/>
          <w:sz w:val="22"/>
          <w:szCs w:val="22"/>
        </w:rPr>
      </w:pPr>
      <w:r w:rsidRPr="00F42B76">
        <w:rPr>
          <w:rFonts w:ascii="Arial" w:hAnsi="Arial" w:cs="Arial"/>
          <w:noProof/>
          <w:sz w:val="22"/>
          <w:szCs w:val="22"/>
        </w:rPr>
        <w:drawing>
          <wp:inline distT="0" distB="0" distL="0" distR="0" wp14:anchorId="316D6523" wp14:editId="4CCDB818">
            <wp:extent cx="5947410" cy="503301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7410" cy="5033010"/>
                    </a:xfrm>
                    <a:prstGeom prst="rect">
                      <a:avLst/>
                    </a:prstGeom>
                    <a:noFill/>
                    <a:ln>
                      <a:noFill/>
                    </a:ln>
                  </pic:spPr>
                </pic:pic>
              </a:graphicData>
            </a:graphic>
          </wp:inline>
        </w:drawing>
      </w:r>
    </w:p>
    <w:p w14:paraId="53D7C145" w14:textId="199610DC" w:rsidR="00214641" w:rsidRPr="00C551E1" w:rsidRDefault="00214641" w:rsidP="00214641">
      <w:pPr>
        <w:keepNext/>
        <w:jc w:val="both"/>
        <w:rPr>
          <w:rFonts w:ascii="Arial" w:hAnsi="Arial" w:cs="Arial"/>
          <w:sz w:val="22"/>
          <w:szCs w:val="22"/>
        </w:rPr>
      </w:pPr>
      <w:r w:rsidRPr="00C551E1">
        <w:rPr>
          <w:rFonts w:ascii="Arial" w:hAnsi="Arial" w:cs="Arial"/>
          <w:sz w:val="22"/>
          <w:szCs w:val="22"/>
        </w:rPr>
        <w:t xml:space="preserve">Fuente: </w:t>
      </w:r>
      <w:r w:rsidR="0006575A" w:rsidRPr="00C551E1">
        <w:rPr>
          <w:rFonts w:ascii="Arial" w:hAnsi="Arial" w:cs="Arial"/>
          <w:sz w:val="22"/>
          <w:szCs w:val="22"/>
        </w:rPr>
        <w:t>elaboración propia en base a</w:t>
      </w:r>
      <w:r w:rsidR="00EE4DFB">
        <w:rPr>
          <w:rFonts w:ascii="Arial" w:hAnsi="Arial" w:cs="Arial"/>
          <w:sz w:val="22"/>
          <w:szCs w:val="22"/>
        </w:rPr>
        <w:t xml:space="preserve"> </w:t>
      </w:r>
      <w:r w:rsidR="00EE4DFB" w:rsidRPr="00EE4DFB">
        <w:rPr>
          <w:rFonts w:ascii="Arial" w:hAnsi="Arial" w:cs="Arial"/>
          <w:sz w:val="22"/>
          <w:szCs w:val="22"/>
        </w:rPr>
        <w:t xml:space="preserve">Angrist and Pischke </w:t>
      </w:r>
      <w:r w:rsidR="00EE4DFB">
        <w:rPr>
          <w:rFonts w:ascii="Arial" w:hAnsi="Arial" w:cs="Arial"/>
          <w:sz w:val="22"/>
          <w:szCs w:val="22"/>
        </w:rPr>
        <w:t>(</w:t>
      </w:r>
      <w:r w:rsidR="00EE4DFB" w:rsidRPr="00EE4DFB">
        <w:rPr>
          <w:rFonts w:ascii="Arial" w:hAnsi="Arial" w:cs="Arial"/>
          <w:sz w:val="22"/>
          <w:szCs w:val="22"/>
        </w:rPr>
        <w:t>2009</w:t>
      </w:r>
      <w:r w:rsidR="00EE4DFB">
        <w:rPr>
          <w:rFonts w:ascii="Arial" w:hAnsi="Arial" w:cs="Arial"/>
          <w:sz w:val="22"/>
          <w:szCs w:val="22"/>
        </w:rPr>
        <w:t>).</w:t>
      </w:r>
      <w:r w:rsidR="00EE4DFB" w:rsidRPr="00C551E1" w:rsidDel="00EE4DFB">
        <w:rPr>
          <w:rFonts w:ascii="Arial" w:hAnsi="Arial" w:cs="Arial"/>
          <w:sz w:val="22"/>
          <w:szCs w:val="22"/>
        </w:rPr>
        <w:t xml:space="preserve"> </w:t>
      </w:r>
    </w:p>
    <w:p w14:paraId="171E57B9" w14:textId="77777777" w:rsidR="00214641" w:rsidRPr="00C551E1" w:rsidRDefault="00214641" w:rsidP="00214641">
      <w:pPr>
        <w:keepNext/>
        <w:jc w:val="both"/>
        <w:rPr>
          <w:rFonts w:ascii="Arial" w:hAnsi="Arial" w:cs="Arial"/>
          <w:sz w:val="22"/>
          <w:szCs w:val="22"/>
        </w:rPr>
      </w:pPr>
    </w:p>
    <w:p w14:paraId="02181E04" w14:textId="172456C6"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De esta forma, el principal desafío radica en crear el grupo de comparación válido. En particular, el grupo de tratamiento y el grupo de control han de ser iguales en al menos tres aspectos: </w:t>
      </w:r>
      <w:r w:rsidR="00EE4DFB">
        <w:rPr>
          <w:rFonts w:ascii="Arial" w:eastAsia="Calibri" w:hAnsi="Arial" w:cs="Arial"/>
          <w:sz w:val="22"/>
          <w:szCs w:val="22"/>
          <w:lang w:val="es-ES_tradnl"/>
        </w:rPr>
        <w:t>(</w:t>
      </w:r>
      <w:r w:rsidRPr="00C551E1">
        <w:rPr>
          <w:rFonts w:ascii="Arial" w:eastAsia="Calibri" w:hAnsi="Arial" w:cs="Arial"/>
          <w:sz w:val="22"/>
          <w:szCs w:val="22"/>
          <w:lang w:val="es-ES_tradnl"/>
        </w:rPr>
        <w:t xml:space="preserve">i) las características promedio del grupo de control y el grupo de tratamiento han de ser idénticas en ausencia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(ej., tamaño de los productores, edad del productor, uso del suelo principal, etc.)</w:t>
      </w:r>
      <w:r w:rsidR="00EE4DFB">
        <w:rPr>
          <w:rFonts w:ascii="Arial" w:eastAsia="Calibri" w:hAnsi="Arial" w:cs="Arial"/>
          <w:sz w:val="22"/>
          <w:szCs w:val="22"/>
          <w:lang w:val="es-ES_tradnl"/>
        </w:rPr>
        <w:t>; (</w:t>
      </w:r>
      <w:r w:rsidRPr="00C551E1">
        <w:rPr>
          <w:rFonts w:ascii="Arial" w:eastAsia="Calibri" w:hAnsi="Arial" w:cs="Arial"/>
          <w:sz w:val="22"/>
          <w:szCs w:val="22"/>
          <w:lang w:val="es-ES_tradnl"/>
        </w:rPr>
        <w:t xml:space="preserve">ii) el tratamiento no tendría que afectar al grupo de comparación de forma directa ni indirecta, y </w:t>
      </w:r>
      <w:r w:rsidR="00EE4DFB">
        <w:rPr>
          <w:rFonts w:ascii="Arial" w:eastAsia="Calibri" w:hAnsi="Arial" w:cs="Arial"/>
          <w:sz w:val="22"/>
          <w:szCs w:val="22"/>
          <w:lang w:val="es-ES_tradnl"/>
        </w:rPr>
        <w:t>(</w:t>
      </w:r>
      <w:r w:rsidRPr="00C551E1">
        <w:rPr>
          <w:rFonts w:ascii="Arial" w:eastAsia="Calibri" w:hAnsi="Arial" w:cs="Arial"/>
          <w:sz w:val="22"/>
          <w:szCs w:val="22"/>
          <w:lang w:val="es-ES_tradnl"/>
        </w:rPr>
        <w:t>iii) los resultados de los productores en el grupo de control deberían de cambiar de la misma manera que los resultados en el grupo de tratamiento si ambos grupos fueran objeto del tratamiento (o no). Bajo estas tres condiciones, la diferencia en el resultado como consecuencia de la implementación de la política de interés estará explicada exclusivamente por la misma.</w:t>
      </w:r>
    </w:p>
    <w:p w14:paraId="72442FB4" w14:textId="578B8E5B"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El diseño de la evaluación de impacto puede hacerse de manera prospectiva, es decir, diseñarse </w:t>
      </w:r>
      <w:r w:rsidR="006010E9" w:rsidRPr="00C551E1">
        <w:rPr>
          <w:rFonts w:ascii="Arial" w:eastAsia="Calibri" w:hAnsi="Arial" w:cs="Arial"/>
          <w:sz w:val="22"/>
          <w:szCs w:val="22"/>
          <w:lang w:val="es-ES_tradnl"/>
        </w:rPr>
        <w:t>juntamente con</w:t>
      </w:r>
      <w:r w:rsidRPr="00C551E1">
        <w:rPr>
          <w:rFonts w:ascii="Arial" w:eastAsia="Calibri" w:hAnsi="Arial" w:cs="Arial"/>
          <w:sz w:val="22"/>
          <w:szCs w:val="22"/>
          <w:lang w:val="es-ES_tradnl"/>
        </w:rPr>
        <w:t xml:space="preserve"> el diseño de implementación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o de manera retrospectiva, es decir, diseñar la estrategia de evaluación luego de que se ha implementado la política. La ventaja del primero es que los datos de línea de base se recopilan antes de implementar 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tanto en el grupo de tratamiento, como en el grupo de control. Esto </w:t>
      </w:r>
      <w:r w:rsidRPr="00C551E1">
        <w:rPr>
          <w:rFonts w:ascii="Arial" w:eastAsia="Calibri" w:hAnsi="Arial" w:cs="Arial"/>
          <w:sz w:val="22"/>
          <w:szCs w:val="22"/>
          <w:lang w:val="es-ES_tradnl"/>
        </w:rPr>
        <w:lastRenderedPageBreak/>
        <w:t xml:space="preserve">permite alcanzar resultados más creíbles y robustos, ya que se controla de ante mano la composición de los grupos. </w:t>
      </w:r>
    </w:p>
    <w:p w14:paraId="3CE70BB2" w14:textId="57B7B04F"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Existen diversas estrategias para diseñar la evaluación ex-post de manera conjunta con la implementación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Mientras que algunas aproximaciones pueden ser más robustas respecto al grado de validez del contrafactual, puede que sean menos factibles de ser implementadas, dada la dificultad para construir un contrafactual. Nos concentraremos en este documento solamente en aquellas relevantes para el caso que nos compete. La</w:t>
      </w:r>
      <w:r w:rsidR="00C436AE" w:rsidRPr="00C551E1">
        <w:rPr>
          <w:rFonts w:ascii="Arial" w:eastAsia="Calibri" w:hAnsi="Arial" w:cs="Arial"/>
          <w:sz w:val="22"/>
          <w:szCs w:val="22"/>
          <w:lang w:val="es-ES_tradnl"/>
        </w:rPr>
        <w:t xml:space="preserve"> figura 4 </w:t>
      </w:r>
      <w:r w:rsidRPr="00C551E1">
        <w:rPr>
          <w:rFonts w:ascii="Arial" w:eastAsia="Calibri" w:hAnsi="Arial" w:cs="Arial"/>
          <w:sz w:val="22"/>
          <w:szCs w:val="22"/>
          <w:lang w:val="es-ES_tradnl"/>
        </w:rPr>
        <w:t xml:space="preserve">muestra el árbol de posibles estrategias a ser implementadas para la evaluación del </w:t>
      </w:r>
      <w:r w:rsidR="00A25303">
        <w:rPr>
          <w:rFonts w:ascii="Arial" w:eastAsia="Calibri" w:hAnsi="Arial" w:cs="Arial"/>
          <w:sz w:val="22"/>
          <w:szCs w:val="22"/>
          <w:lang w:val="es-ES_tradnl"/>
        </w:rPr>
        <w:t>p</w:t>
      </w:r>
      <w:r w:rsidRPr="00C551E1">
        <w:rPr>
          <w:rFonts w:ascii="Arial" w:eastAsia="Calibri" w:hAnsi="Arial" w:cs="Arial"/>
          <w:sz w:val="22"/>
          <w:szCs w:val="22"/>
          <w:lang w:val="es-ES_tradnl"/>
        </w:rPr>
        <w:t>rograma en los diferentes resultados de interés.</w:t>
      </w:r>
    </w:p>
    <w:p w14:paraId="06B88D73" w14:textId="1C3E1CE4" w:rsidR="00792B59" w:rsidRPr="00C551E1" w:rsidRDefault="00C436AE" w:rsidP="00687B4A">
      <w:pPr>
        <w:pStyle w:val="Caption"/>
        <w:keepNext/>
        <w:widowControl/>
        <w:spacing w:before="120" w:after="120"/>
        <w:jc w:val="both"/>
        <w:rPr>
          <w:rFonts w:ascii="Arial" w:eastAsia="Calibri" w:hAnsi="Arial" w:cs="Arial"/>
          <w:sz w:val="22"/>
          <w:szCs w:val="22"/>
        </w:rPr>
      </w:pPr>
      <w:r w:rsidRPr="00C551E1">
        <w:rPr>
          <w:rFonts w:ascii="Arial" w:hAnsi="Arial" w:cs="Arial"/>
          <w:sz w:val="22"/>
          <w:szCs w:val="22"/>
        </w:rPr>
        <w:t>Figura 4:</w:t>
      </w:r>
      <w:r w:rsidR="00792B59" w:rsidRPr="00C551E1">
        <w:rPr>
          <w:rFonts w:ascii="Arial" w:hAnsi="Arial" w:cs="Arial"/>
          <w:sz w:val="22"/>
          <w:szCs w:val="22"/>
        </w:rPr>
        <w:t xml:space="preserve"> Árbol de estrategias para el diseño de la evaluación expost</w:t>
      </w:r>
    </w:p>
    <w:p w14:paraId="711729D3" w14:textId="0812917F" w:rsidR="00792B59" w:rsidRPr="00C551E1" w:rsidRDefault="006F2E2C" w:rsidP="00687B4A">
      <w:pPr>
        <w:pStyle w:val="Normal1"/>
        <w:keepNext/>
        <w:spacing w:before="120" w:after="120"/>
        <w:ind w:left="851" w:hanging="851"/>
        <w:jc w:val="both"/>
        <w:rPr>
          <w:rFonts w:ascii="Arial" w:eastAsia="Calibri" w:hAnsi="Arial" w:cs="Arial"/>
          <w:sz w:val="22"/>
          <w:szCs w:val="22"/>
          <w:lang w:val="es-ES_tradnl"/>
        </w:rPr>
      </w:pPr>
      <w:r w:rsidRPr="00F42B76">
        <w:rPr>
          <w:rFonts w:ascii="Arial" w:hAnsi="Arial" w:cs="Arial"/>
          <w:noProof/>
          <w:sz w:val="22"/>
          <w:szCs w:val="22"/>
          <w:lang w:val="es-ES_tradnl"/>
        </w:rPr>
        <w:drawing>
          <wp:inline distT="0" distB="0" distL="0" distR="0" wp14:anchorId="0B1C5C65" wp14:editId="5A1142D7">
            <wp:extent cx="4594225" cy="3379470"/>
            <wp:effectExtent l="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4225" cy="3379470"/>
                    </a:xfrm>
                    <a:prstGeom prst="rect">
                      <a:avLst/>
                    </a:prstGeom>
                    <a:noFill/>
                    <a:ln>
                      <a:noFill/>
                    </a:ln>
                  </pic:spPr>
                </pic:pic>
              </a:graphicData>
            </a:graphic>
          </wp:inline>
        </w:drawing>
      </w:r>
    </w:p>
    <w:p w14:paraId="20AC7492" w14:textId="5E26A59D" w:rsidR="00792B59" w:rsidRPr="00C551E1" w:rsidRDefault="00687B4A" w:rsidP="00687B4A">
      <w:pPr>
        <w:pStyle w:val="Normal1"/>
        <w:keepNext/>
        <w:spacing w:before="120" w:after="120"/>
        <w:ind w:left="851" w:hanging="851"/>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Fuente: </w:t>
      </w:r>
      <w:r w:rsidR="0006575A" w:rsidRPr="00F134B3">
        <w:rPr>
          <w:rFonts w:ascii="Arial" w:hAnsi="Arial" w:cs="Arial"/>
          <w:sz w:val="22"/>
          <w:szCs w:val="22"/>
          <w:lang w:val="es-ES_tradnl"/>
        </w:rPr>
        <w:t xml:space="preserve">elaboración propia en base </w:t>
      </w:r>
      <w:r w:rsidR="00A25303">
        <w:rPr>
          <w:rFonts w:ascii="Arial" w:hAnsi="Arial" w:cs="Arial"/>
          <w:sz w:val="22"/>
          <w:szCs w:val="22"/>
          <w:lang w:val="es-ES_tradnl"/>
        </w:rPr>
        <w:t xml:space="preserve">a </w:t>
      </w:r>
      <w:r w:rsidR="00A25303" w:rsidRPr="00EE4DFB">
        <w:rPr>
          <w:rFonts w:ascii="Arial" w:hAnsi="Arial" w:cs="Arial"/>
          <w:sz w:val="22"/>
          <w:szCs w:val="22"/>
        </w:rPr>
        <w:t xml:space="preserve">Angrist and Pischke </w:t>
      </w:r>
      <w:r w:rsidR="00A25303">
        <w:rPr>
          <w:rFonts w:ascii="Arial" w:hAnsi="Arial" w:cs="Arial"/>
          <w:sz w:val="22"/>
          <w:szCs w:val="22"/>
        </w:rPr>
        <w:t>(</w:t>
      </w:r>
      <w:r w:rsidR="00A25303" w:rsidRPr="00EE4DFB">
        <w:rPr>
          <w:rFonts w:ascii="Arial" w:hAnsi="Arial" w:cs="Arial"/>
          <w:sz w:val="22"/>
          <w:szCs w:val="22"/>
        </w:rPr>
        <w:t>2009</w:t>
      </w:r>
      <w:r w:rsidR="00A25303">
        <w:rPr>
          <w:rFonts w:ascii="Arial" w:hAnsi="Arial" w:cs="Arial"/>
          <w:sz w:val="22"/>
          <w:szCs w:val="22"/>
        </w:rPr>
        <w:t>).</w:t>
      </w:r>
      <w:r w:rsidR="00A25303" w:rsidRPr="00854FF3" w:rsidDel="00EE4DFB">
        <w:rPr>
          <w:rFonts w:ascii="Arial" w:hAnsi="Arial" w:cs="Arial"/>
          <w:sz w:val="22"/>
          <w:szCs w:val="22"/>
        </w:rPr>
        <w:t xml:space="preserve"> </w:t>
      </w:r>
    </w:p>
    <w:p w14:paraId="1300D4B1" w14:textId="77777777" w:rsidR="00792B59" w:rsidRPr="00C551E1" w:rsidRDefault="00792B59" w:rsidP="00792B59">
      <w:pPr>
        <w:jc w:val="both"/>
        <w:rPr>
          <w:rFonts w:ascii="Arial" w:hAnsi="Arial" w:cs="Arial"/>
          <w:b/>
          <w:color w:val="A6A6A6"/>
          <w:sz w:val="22"/>
          <w:szCs w:val="22"/>
        </w:rPr>
      </w:pPr>
      <w:bookmarkStart w:id="36" w:name="_Toc501129815"/>
      <w:r w:rsidRPr="00C551E1">
        <w:rPr>
          <w:rFonts w:ascii="Arial" w:hAnsi="Arial" w:cs="Arial"/>
          <w:sz w:val="22"/>
          <w:szCs w:val="22"/>
        </w:rPr>
        <w:br w:type="page"/>
      </w:r>
    </w:p>
    <w:p w14:paraId="21EC4100" w14:textId="4FDD9979" w:rsidR="00792B59" w:rsidRPr="00A248B2" w:rsidRDefault="001A3F17" w:rsidP="00A248B2">
      <w:pPr>
        <w:pStyle w:val="Heading2"/>
        <w:numPr>
          <w:ilvl w:val="0"/>
          <w:numId w:val="0"/>
        </w:numPr>
        <w:ind w:left="720" w:hanging="720"/>
        <w:rPr>
          <w:rFonts w:ascii="Arial" w:hAnsi="Arial" w:cs="Arial"/>
          <w:sz w:val="22"/>
          <w:szCs w:val="22"/>
        </w:rPr>
      </w:pPr>
      <w:bookmarkStart w:id="37" w:name="_Toc11138482"/>
      <w:bookmarkStart w:id="38" w:name="_Toc12264445"/>
      <w:r w:rsidRPr="00A248B2">
        <w:rPr>
          <w:rFonts w:ascii="Arial" w:hAnsi="Arial" w:cs="Arial"/>
          <w:sz w:val="22"/>
          <w:szCs w:val="22"/>
        </w:rPr>
        <w:lastRenderedPageBreak/>
        <w:t xml:space="preserve">2.1. </w:t>
      </w:r>
      <w:r w:rsidR="00792B59" w:rsidRPr="00A248B2">
        <w:rPr>
          <w:rFonts w:ascii="Arial" w:hAnsi="Arial" w:cs="Arial"/>
          <w:sz w:val="22"/>
          <w:szCs w:val="22"/>
        </w:rPr>
        <w:t>Método de asignación aleatoria</w:t>
      </w:r>
      <w:bookmarkEnd w:id="36"/>
      <w:r w:rsidR="00792B59" w:rsidRPr="00A248B2">
        <w:rPr>
          <w:rFonts w:ascii="Arial" w:hAnsi="Arial" w:cs="Arial"/>
          <w:sz w:val="22"/>
          <w:szCs w:val="22"/>
        </w:rPr>
        <w:t xml:space="preserve"> y método de asignación gradual aleatoria</w:t>
      </w:r>
      <w:bookmarkEnd w:id="37"/>
      <w:bookmarkEnd w:id="38"/>
    </w:p>
    <w:p w14:paraId="7F866766" w14:textId="146DC916"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El método de asignación aleatoria implica aplicar la política a los individuos que son objeto de </w:t>
      </w:r>
      <w:r w:rsidR="006010E9" w:rsidRPr="00C551E1">
        <w:rPr>
          <w:rFonts w:ascii="Arial" w:eastAsia="Calibri" w:hAnsi="Arial" w:cs="Arial"/>
          <w:sz w:val="22"/>
          <w:szCs w:val="22"/>
          <w:lang w:val="es-ES_tradnl"/>
        </w:rPr>
        <w:t>esta</w:t>
      </w:r>
      <w:r w:rsidRPr="00C551E1">
        <w:rPr>
          <w:rFonts w:ascii="Arial" w:eastAsia="Calibri" w:hAnsi="Arial" w:cs="Arial"/>
          <w:sz w:val="22"/>
          <w:szCs w:val="22"/>
          <w:lang w:val="es-ES_tradnl"/>
        </w:rPr>
        <w:t xml:space="preserve"> (que forman una población elegible numerosa) a través de un sorteo. Así, todos los productores agrícolas tienen igual probabilidad de ser seleccionados para ser objeto de la política. Una vez seleccionada de forma aleatoria la parte de la población a la cual se le aplicará la </w:t>
      </w:r>
      <w:r w:rsidR="00A92BD6" w:rsidRPr="00C551E1">
        <w:rPr>
          <w:rFonts w:ascii="Arial" w:eastAsia="Calibri" w:hAnsi="Arial" w:cs="Arial"/>
          <w:sz w:val="22"/>
          <w:szCs w:val="22"/>
          <w:lang w:val="es-ES_tradnl"/>
        </w:rPr>
        <w:t>política</w:t>
      </w:r>
      <w:r w:rsidRPr="00C551E1">
        <w:rPr>
          <w:rFonts w:ascii="Arial" w:eastAsia="Calibri" w:hAnsi="Arial" w:cs="Arial"/>
          <w:sz w:val="22"/>
          <w:szCs w:val="22"/>
          <w:lang w:val="es-ES_tradnl"/>
        </w:rPr>
        <w:t xml:space="preserve"> se ha de recopilar información tanto de los tratados, como de una muestra de aquellos a quienes no se le aplica (el grupo de control), cuyas características sirvan para formar el contrafactual, tal como se indicó en la sección anterior. Cuando la política se implementa de forma aleatoria, es posible estimar de forma robusta el contrafactual, y por ende, el impacto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w:t>
      </w:r>
    </w:p>
    <w:p w14:paraId="6239C26B" w14:textId="48935A33"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La asignación aleatoria es el marco ideal para llevar adelante una evaluación de impacto ex-post. Sin embargo, no siempre es factible pensar que sea posible diseñar la implementación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a través de un mecanismo como este, ya que generaría grandes controversias entre el organismo implementador y los productores que son objeto de </w:t>
      </w:r>
      <w:r w:rsidR="006010E9" w:rsidRPr="00C551E1">
        <w:rPr>
          <w:rFonts w:ascii="Arial" w:eastAsia="Calibri" w:hAnsi="Arial" w:cs="Arial"/>
          <w:sz w:val="22"/>
          <w:szCs w:val="22"/>
          <w:lang w:val="es-ES_tradnl"/>
        </w:rPr>
        <w:t>esta</w:t>
      </w:r>
      <w:r w:rsidRPr="00C551E1">
        <w:rPr>
          <w:rFonts w:ascii="Arial" w:eastAsia="Calibri" w:hAnsi="Arial" w:cs="Arial"/>
          <w:sz w:val="22"/>
          <w:szCs w:val="22"/>
          <w:lang w:val="es-ES_tradnl"/>
        </w:rPr>
        <w:t xml:space="preserve">. Aquellos productores que se les aplicara las actividades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se sentirán perjudicados y discriminados por la política aplicada. Por ende, este método se expone en este capítulo solamente como modo de referencia respecto al método de asignación ‘ideal’. Todos los métodos alternativos brindaran una estimación del contrafactual menos robusta, pero no por eso menos pertinente.</w:t>
      </w:r>
    </w:p>
    <w:p w14:paraId="5CE46134" w14:textId="6F0A8C4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Sin embargo, el método de asignación aleatoria no es un método idílico que nunca pueda ser aplicado. Muchas veces, la asignación aleatoria de un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o de una política puede derivarse directamente de las reglas operativas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Podría pensarse, por ejemplo, en un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de subvenciones o beneficios a la adopción de tecnologías para la gestión de efluentes de tambos, como el que lleva adelante el Proyecto de Desarrollo y Adaptación al Cambio Climático (DACC) del Ministerio de Ganadería, Agricultura y Pesca de Uruguay. Si los fondos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superan la cantidad de participantes en el mismo, podría proporcionarse la subvención a una parte de los productores de manera aleatoria, bajo el argumento de no tener fondos para todos, y en futuras instancias se aplicaría al resto de los participantes. Esto es lo que se conoce como una asignación gradual aleatoria. Sin embargo, la realidad no siempre indica eso. 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DACC ha finalizado su primera etapa, y en general, se ha evidenciado que la tasa de participación de los productores lecheros es menor que la esperada. Esto puede estar atribuido a diferentes razones asociados con la implementación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En ese caso, la implementación aleatoria sería difícil. Es por eso que si bien es relevante presentar esta estrategia de diseño como marco de referencia, no se considera factible poder aplicarla.</w:t>
      </w:r>
    </w:p>
    <w:p w14:paraId="68C0E0DF" w14:textId="4A1EA6BB" w:rsidR="001A3F17" w:rsidRPr="00A248B2" w:rsidRDefault="001A3F17" w:rsidP="00A248B2">
      <w:pPr>
        <w:pStyle w:val="Heading2"/>
        <w:numPr>
          <w:ilvl w:val="0"/>
          <w:numId w:val="0"/>
        </w:numPr>
        <w:ind w:left="720" w:hanging="720"/>
        <w:rPr>
          <w:rFonts w:ascii="Arial" w:hAnsi="Arial" w:cs="Arial"/>
          <w:sz w:val="22"/>
          <w:szCs w:val="22"/>
        </w:rPr>
      </w:pPr>
      <w:bookmarkStart w:id="39" w:name="_Toc491251513"/>
      <w:bookmarkStart w:id="40" w:name="_Toc11138483"/>
      <w:bookmarkStart w:id="41" w:name="_Toc12264446"/>
      <w:r w:rsidRPr="00A248B2">
        <w:rPr>
          <w:rFonts w:ascii="Arial" w:hAnsi="Arial" w:cs="Arial"/>
          <w:sz w:val="22"/>
          <w:szCs w:val="22"/>
        </w:rPr>
        <w:t>2.2. Método de aplicación gradual por regiones</w:t>
      </w:r>
      <w:bookmarkEnd w:id="41"/>
    </w:p>
    <w:bookmarkEnd w:id="39"/>
    <w:bookmarkEnd w:id="40"/>
    <w:p w14:paraId="6FDE8736" w14:textId="4E1D38AE" w:rsidR="00792B59" w:rsidRDefault="00792B59" w:rsidP="00792B59">
      <w:pPr>
        <w:widowControl w:val="0"/>
        <w:autoSpaceDE w:val="0"/>
        <w:autoSpaceDN w:val="0"/>
        <w:adjustRightInd w:val="0"/>
        <w:jc w:val="both"/>
        <w:rPr>
          <w:rFonts w:ascii="Arial" w:hAnsi="Arial" w:cs="Arial"/>
          <w:sz w:val="22"/>
          <w:szCs w:val="22"/>
        </w:rPr>
      </w:pPr>
      <w:r w:rsidRPr="00C551E1">
        <w:rPr>
          <w:rFonts w:ascii="Arial" w:hAnsi="Arial" w:cs="Arial"/>
          <w:sz w:val="22"/>
          <w:szCs w:val="22"/>
        </w:rPr>
        <w:t xml:space="preserve">Dado que no es factible implementar el </w:t>
      </w:r>
      <w:r w:rsidR="002B5292">
        <w:rPr>
          <w:rFonts w:ascii="Arial" w:hAnsi="Arial" w:cs="Arial"/>
          <w:sz w:val="22"/>
          <w:szCs w:val="22"/>
        </w:rPr>
        <w:t>Programa</w:t>
      </w:r>
      <w:r w:rsidRPr="00C551E1">
        <w:rPr>
          <w:rFonts w:ascii="Arial" w:hAnsi="Arial" w:cs="Arial"/>
          <w:sz w:val="22"/>
          <w:szCs w:val="22"/>
        </w:rPr>
        <w:t xml:space="preserve"> eligiendo aquellos individuos que han de afrontarlo de forma aleatoria en el total del universo de productores agropecuarios, una posible forma de estimar el contrafactual podría ser a través de la implementación gradual en las diferentes cuencas prioritarias, o del país. Esto implicaría comenzar la aplicación de las actividades asociadas al </w:t>
      </w:r>
      <w:r w:rsidR="002B5292">
        <w:rPr>
          <w:rFonts w:ascii="Arial" w:hAnsi="Arial" w:cs="Arial"/>
          <w:sz w:val="22"/>
          <w:szCs w:val="22"/>
        </w:rPr>
        <w:t>programa</w:t>
      </w:r>
      <w:r w:rsidRPr="00C551E1">
        <w:rPr>
          <w:rFonts w:ascii="Arial" w:hAnsi="Arial" w:cs="Arial"/>
          <w:sz w:val="22"/>
          <w:szCs w:val="22"/>
        </w:rPr>
        <w:t xml:space="preserve"> de manera progresiva hasta que cubra a toda la población elegible. </w:t>
      </w:r>
    </w:p>
    <w:p w14:paraId="6335826A" w14:textId="77777777" w:rsidR="002B5292" w:rsidRPr="00C551E1" w:rsidRDefault="002B5292" w:rsidP="00792B59">
      <w:pPr>
        <w:widowControl w:val="0"/>
        <w:autoSpaceDE w:val="0"/>
        <w:autoSpaceDN w:val="0"/>
        <w:adjustRightInd w:val="0"/>
        <w:jc w:val="both"/>
        <w:rPr>
          <w:rFonts w:ascii="Arial" w:hAnsi="Arial" w:cs="Arial"/>
          <w:sz w:val="22"/>
          <w:szCs w:val="22"/>
        </w:rPr>
      </w:pPr>
    </w:p>
    <w:p w14:paraId="46F60752" w14:textId="3016AB17" w:rsidR="00792B59" w:rsidRPr="00C551E1" w:rsidRDefault="00792B59" w:rsidP="00792B59">
      <w:pPr>
        <w:widowControl w:val="0"/>
        <w:autoSpaceDE w:val="0"/>
        <w:autoSpaceDN w:val="0"/>
        <w:adjustRightInd w:val="0"/>
        <w:jc w:val="both"/>
        <w:rPr>
          <w:rFonts w:ascii="Arial" w:hAnsi="Arial" w:cs="Arial"/>
          <w:sz w:val="22"/>
          <w:szCs w:val="22"/>
        </w:rPr>
      </w:pPr>
      <w:r w:rsidRPr="00C551E1">
        <w:rPr>
          <w:rFonts w:ascii="Arial" w:hAnsi="Arial" w:cs="Arial"/>
          <w:sz w:val="22"/>
          <w:szCs w:val="22"/>
        </w:rPr>
        <w:t xml:space="preserve">El método de aplicación gradual por regiones implica varias instancias. Primero, se ha de caracterizar los productores de las diferentes cuencas hidrográficas respecto a las características de sus productores agropecuarios (por ejemplo, tamaño del predio, productividad, tecnología, </w:t>
      </w:r>
      <w:r w:rsidR="00E94CA0" w:rsidRPr="00C551E1">
        <w:rPr>
          <w:rFonts w:ascii="Arial" w:hAnsi="Arial" w:cs="Arial"/>
          <w:sz w:val="22"/>
          <w:szCs w:val="22"/>
        </w:rPr>
        <w:lastRenderedPageBreak/>
        <w:t>número</w:t>
      </w:r>
      <w:r w:rsidRPr="00C551E1">
        <w:rPr>
          <w:rFonts w:ascii="Arial" w:hAnsi="Arial" w:cs="Arial"/>
          <w:sz w:val="22"/>
          <w:szCs w:val="22"/>
        </w:rPr>
        <w:t xml:space="preserve"> de permisos de derecho de uso de agua por tipo de fuente, distancia a los cursos de agua, pendiente del terreno, tipo de suelo, distancia a los puertos y frigoríficos, etc.). Una vez que se obtienen grupos lo más parecidos posibles (en función de los tres criterios planteados anteriormente), éstos han de ser clasificados en grupos. Así, es posible elegir aleatoriamente aquellas unidades geográficas dónde implementar las actividades del </w:t>
      </w:r>
      <w:r w:rsidR="002B5292">
        <w:rPr>
          <w:rFonts w:ascii="Arial" w:hAnsi="Arial" w:cs="Arial"/>
          <w:sz w:val="22"/>
          <w:szCs w:val="22"/>
        </w:rPr>
        <w:t>programa</w:t>
      </w:r>
      <w:r w:rsidRPr="00C551E1">
        <w:rPr>
          <w:rFonts w:ascii="Arial" w:hAnsi="Arial" w:cs="Arial"/>
          <w:sz w:val="22"/>
          <w:szCs w:val="22"/>
        </w:rPr>
        <w:t xml:space="preserve"> dentro de cada grupo de ‘tipos’ de productores. De esta manera, es posible estimar el impacto de la implementación de la política respecto al desempeño de los productores agropecuarios comparando el desempeño de aquellos productores en las unidades geográficas dónde fue aplicado y dónde no. Esta estrategia no es del todo factible, ya que implica definir zonas geográficas, e ir implementando el </w:t>
      </w:r>
      <w:r w:rsidR="002B5292">
        <w:rPr>
          <w:rFonts w:ascii="Arial" w:hAnsi="Arial" w:cs="Arial"/>
          <w:sz w:val="22"/>
          <w:szCs w:val="22"/>
        </w:rPr>
        <w:t>programa</w:t>
      </w:r>
      <w:r w:rsidRPr="00C551E1">
        <w:rPr>
          <w:rFonts w:ascii="Arial" w:hAnsi="Arial" w:cs="Arial"/>
          <w:sz w:val="22"/>
          <w:szCs w:val="22"/>
        </w:rPr>
        <w:t xml:space="preserve"> en ellas de forma aleatoria. A su vez, </w:t>
      </w:r>
      <w:r w:rsidR="006010E9" w:rsidRPr="00C551E1">
        <w:rPr>
          <w:rFonts w:ascii="Arial" w:hAnsi="Arial" w:cs="Arial"/>
          <w:sz w:val="22"/>
          <w:szCs w:val="22"/>
        </w:rPr>
        <w:t>la unidad relevante es</w:t>
      </w:r>
      <w:r w:rsidRPr="00C551E1">
        <w:rPr>
          <w:rFonts w:ascii="Arial" w:hAnsi="Arial" w:cs="Arial"/>
          <w:sz w:val="22"/>
          <w:szCs w:val="22"/>
        </w:rPr>
        <w:t xml:space="preserve"> meso – cuencas. Esto hace que el número de observaciones no es muy grande al tomar como unidad de análisis la cuenca. Por ende, si bien esta estrategia podría ser pertinente, no es factible poder aplicarla.</w:t>
      </w:r>
    </w:p>
    <w:p w14:paraId="6783B36C" w14:textId="77777777" w:rsidR="00F9655B" w:rsidRPr="00C551E1" w:rsidRDefault="00F9655B" w:rsidP="00792B59">
      <w:pPr>
        <w:widowControl w:val="0"/>
        <w:autoSpaceDE w:val="0"/>
        <w:autoSpaceDN w:val="0"/>
        <w:adjustRightInd w:val="0"/>
        <w:jc w:val="both"/>
        <w:rPr>
          <w:rFonts w:ascii="Arial" w:hAnsi="Arial" w:cs="Arial"/>
          <w:sz w:val="22"/>
          <w:szCs w:val="22"/>
        </w:rPr>
      </w:pPr>
    </w:p>
    <w:p w14:paraId="42871FE2" w14:textId="6DD4B486" w:rsidR="00792B59" w:rsidRPr="00C551E1" w:rsidRDefault="00792B59" w:rsidP="00792B59">
      <w:pPr>
        <w:widowControl w:val="0"/>
        <w:autoSpaceDE w:val="0"/>
        <w:autoSpaceDN w:val="0"/>
        <w:adjustRightInd w:val="0"/>
        <w:jc w:val="both"/>
        <w:rPr>
          <w:rFonts w:ascii="Arial" w:eastAsia="Calibri" w:hAnsi="Arial" w:cs="Arial"/>
          <w:sz w:val="22"/>
          <w:szCs w:val="22"/>
        </w:rPr>
      </w:pPr>
      <w:r w:rsidRPr="00C551E1">
        <w:rPr>
          <w:rFonts w:ascii="Arial" w:hAnsi="Arial" w:cs="Arial"/>
          <w:sz w:val="22"/>
          <w:szCs w:val="22"/>
        </w:rPr>
        <w:t xml:space="preserve">Adicionalmente, una crítica fundamental a esta aproximación es que, si aquellos productores que se encuentran localizados en unidades geográficas pertenecientes al grupo de control cambian su comportamiento previendo que serán objeto de la política pronto, a pesar de aún no haber sido objeto de </w:t>
      </w:r>
      <w:r w:rsidR="006010E9" w:rsidRPr="00C551E1">
        <w:rPr>
          <w:rFonts w:ascii="Arial" w:hAnsi="Arial" w:cs="Arial"/>
          <w:sz w:val="22"/>
          <w:szCs w:val="22"/>
        </w:rPr>
        <w:t>esta</w:t>
      </w:r>
      <w:r w:rsidRPr="00C551E1">
        <w:rPr>
          <w:rFonts w:ascii="Arial" w:hAnsi="Arial" w:cs="Arial"/>
          <w:sz w:val="22"/>
          <w:szCs w:val="22"/>
        </w:rPr>
        <w:t xml:space="preserve">, la evaluación ya no será precisa (efecto </w:t>
      </w:r>
      <w:r w:rsidRPr="00C551E1">
        <w:rPr>
          <w:rFonts w:ascii="Arial" w:hAnsi="Arial" w:cs="Arial"/>
          <w:i/>
          <w:sz w:val="22"/>
          <w:szCs w:val="22"/>
        </w:rPr>
        <w:t>Hawthorne</w:t>
      </w:r>
      <w:r w:rsidRPr="00C551E1">
        <w:rPr>
          <w:rFonts w:ascii="Arial" w:hAnsi="Arial" w:cs="Arial"/>
          <w:sz w:val="22"/>
          <w:szCs w:val="22"/>
        </w:rPr>
        <w:t xml:space="preserve">). En este punto se viola la tercera condición que han de cumplir los contrafactuales expuesta anteriormente. </w:t>
      </w:r>
    </w:p>
    <w:p w14:paraId="7305EC1C" w14:textId="384E447F" w:rsidR="00C551E1" w:rsidRPr="00A248B2" w:rsidRDefault="00C551E1" w:rsidP="00A248B2">
      <w:pPr>
        <w:pStyle w:val="Heading2"/>
        <w:numPr>
          <w:ilvl w:val="0"/>
          <w:numId w:val="0"/>
        </w:numPr>
        <w:ind w:left="720" w:hanging="720"/>
        <w:rPr>
          <w:rFonts w:ascii="Arial" w:hAnsi="Arial" w:cs="Arial"/>
          <w:sz w:val="22"/>
          <w:szCs w:val="22"/>
        </w:rPr>
      </w:pPr>
      <w:bookmarkStart w:id="42" w:name="_z337ya" w:colFirst="0" w:colLast="0"/>
      <w:bookmarkStart w:id="43" w:name="_Toc501129816"/>
      <w:bookmarkStart w:id="44" w:name="_Toc11138484"/>
      <w:bookmarkStart w:id="45" w:name="_Toc12264447"/>
      <w:bookmarkEnd w:id="42"/>
      <w:r w:rsidRPr="00A248B2">
        <w:rPr>
          <w:rFonts w:ascii="Arial" w:hAnsi="Arial" w:cs="Arial"/>
          <w:sz w:val="22"/>
          <w:szCs w:val="22"/>
        </w:rPr>
        <w:t>2.3. Diseño de aplicación gradual no aleatorio por regiones</w:t>
      </w:r>
      <w:bookmarkEnd w:id="45"/>
    </w:p>
    <w:bookmarkEnd w:id="43"/>
    <w:bookmarkEnd w:id="44"/>
    <w:p w14:paraId="09F479BA" w14:textId="57606A68"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Si 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se aplica exclusivamente a productores en las tres cuencas prioritarias, es posible encontrar productores similares en otras zonas del país a partir de los cuales construir el contrafactual. Si bien este método es robusto, y utilizado ampliamente en la literatura de evaluación de impacto (por ejemplo,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{"citationItems":[{"id":"ITEM-1","itemData":{"DOI":"10.1002/ev.297","ISSN":"10976736","author":[{"dropping-particle":"","family":"Ferraro","given":"Paul J.","non-dropping-particle":"","parse-names":false,"suffix":""}],"container-title":"New Directions for Evaluation","id":"ITEM-1","issue":"122","issued":{"date-parts":[["2009","3","1"]]},"page":"75-84","publisher":"John Wiley &amp; Sons, Ltd","title":"Counterfactual thinking and impact evaluation in environmental policy","type":"article-journal","volume":"2009"},"uris":["http://www.mendeley.com/documents/?uuid=96fe6872-d6af-364d-85e8-ab38598ca4c5"]}],"mendeley":{"formattedCitation":"(Ferraro, 2009)","manualFormatting":"Ferraro (2009)","plainTextFormattedCitation":"(Ferraro, 2009)","previouslyFormattedCitation":"(Ferraro, 2009)"},"properties":{"noteIndex":0},"schema":"https://github.com/citation-style-language/schema/raw/master/csl-citation.json"}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Pr="00F134B3">
        <w:rPr>
          <w:rFonts w:ascii="Arial" w:eastAsia="Calibri" w:hAnsi="Arial" w:cs="Arial"/>
          <w:sz w:val="22"/>
          <w:szCs w:val="22"/>
          <w:lang w:val="es-ES_tradnl"/>
        </w:rPr>
        <w:t>Ferraro (2009)</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presenta una exhaustiva revisión de los métodos de evaluación de políticas de conservación, dónde una aproximación de este tipo es usual), presenta mayores desafíos que las aproximaciones anteriores. </w:t>
      </w:r>
    </w:p>
    <w:p w14:paraId="02EE7EC2" w14:textId="7777777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Para llevarlo adelante, es necesario construir una base de micro datos, al igual que en las aproximaciones aleatorias, vinculando información de características de los productores agropecuarios con la variable de resultado que se desea medir. Sin embargo, no es inusual que los tipos de actividades entre cuencas sean diferentes, dadas las características geográficas y biofísicas. Para encontrar unidades productivas similares es posible aplicar métodos estadísticos, como el emparejamiento (</w:t>
      </w:r>
      <w:r w:rsidRPr="00C551E1">
        <w:rPr>
          <w:rFonts w:ascii="Arial" w:eastAsia="Calibri" w:hAnsi="Arial" w:cs="Arial"/>
          <w:i/>
          <w:sz w:val="22"/>
          <w:szCs w:val="22"/>
          <w:lang w:val="es-ES_tradnl"/>
        </w:rPr>
        <w:t>matching</w:t>
      </w:r>
      <w:r w:rsidRPr="00C551E1">
        <w:rPr>
          <w:rFonts w:ascii="Arial" w:eastAsia="Calibri" w:hAnsi="Arial" w:cs="Arial"/>
          <w:sz w:val="22"/>
          <w:szCs w:val="22"/>
          <w:lang w:val="es-ES_tradnl"/>
        </w:rPr>
        <w:t xml:space="preserve">) para construir un contrafactual lo más parecido a la realidad </w:t>
      </w:r>
      <w:r w:rsidRPr="00F42B76">
        <w:rPr>
          <w:rFonts w:ascii="Arial" w:eastAsia="Calibri" w:hAnsi="Arial" w:cs="Arial"/>
          <w:sz w:val="22"/>
          <w:szCs w:val="22"/>
          <w:lang w:val="es-ES_tradnl"/>
        </w:rPr>
        <w:fldChar w:fldCharType="begin"/>
      </w:r>
      <w:r w:rsidRPr="00C551E1">
        <w:rPr>
          <w:rFonts w:ascii="Arial" w:eastAsia="Calibri" w:hAnsi="Arial" w:cs="Arial"/>
          <w:sz w:val="22"/>
          <w:szCs w:val="22"/>
          <w:lang w:val="es-ES_tradnl"/>
        </w:rPr>
        <w:instrText xml:space="preserve"> ADDIN EN.CITE &lt;EndNote&gt;&lt;Cite&gt;&lt;Author&gt;Gertler&lt;/Author&gt;&lt;Year&gt;2016&lt;/Year&gt;&lt;RecNum&gt;3548&lt;/RecNum&gt;&lt;DisplayText&gt;(Gertler et al., 2016)&lt;/DisplayText&gt;&lt;record&gt;&lt;rec-number&gt;3548&lt;/rec-number&gt;&lt;foreign-keys&gt;&lt;key app="EN" db-id="fsw9vvzdw0pet9e9rvlx0d94rtd9vf9rvdws" timestamp="0"&gt;3548&lt;/key&gt;&lt;/foreign-keys&gt;&lt;ref-type name="Book"&gt;6&lt;/ref-type&gt;&lt;contributors&gt;&lt;authors&gt;&lt;author&gt;Gertler, P.J.,&lt;/author&gt;&lt;author&gt;Martinez, S.,&lt;/author&gt;&lt;author&gt;Premand, P.,&lt;/author&gt;&lt;author&gt;Rawlings, L.B.,&lt;/author&gt;&lt;author&gt;Vermeersch, C.M.J..&lt;/author&gt;&lt;/authors&gt;&lt;/contributors&gt;&lt;titles&gt;&lt;title&gt;Impact Evaluation in Practice&lt;/title&gt;&lt;secondary-title&gt;Impact Evaluation in Practice&lt;/secondary-title&gt;&lt;/titles&gt;&lt;dates&gt;&lt;year&gt;2016&lt;/year&gt;&lt;/dates&gt;&lt;pub-location&gt;Washington DC&lt;/pub-location&gt;&lt;publisher&gt;World Bank&lt;/publisher&gt;&lt;urls&gt;&lt;related-urls&gt;&lt;url&gt;http://elibrary.worldbank.org/doi/abs/10.1596/978-0-8213-8541-8&lt;/url&gt;&lt;/related-urls&gt;&lt;/urls&gt;&lt;electronic-resource-num&gt;doi:10.1596/978-0-8213-8541-8&lt;/electronic-resource-num&gt;&lt;/record&gt;&lt;/Cite&gt;&lt;/EndNote&gt;</w:instrText>
      </w:r>
      <w:r w:rsidRPr="00F134B3">
        <w:rPr>
          <w:rFonts w:ascii="Arial" w:eastAsia="Calibri" w:hAnsi="Arial" w:cs="Arial"/>
          <w:sz w:val="22"/>
          <w:szCs w:val="22"/>
          <w:lang w:val="es-ES_tradnl"/>
        </w:rPr>
        <w:fldChar w:fldCharType="separate"/>
      </w:r>
      <w:r w:rsidRPr="00C551E1">
        <w:rPr>
          <w:rFonts w:ascii="Arial" w:eastAsia="Calibri" w:hAnsi="Arial" w:cs="Arial"/>
          <w:sz w:val="22"/>
          <w:szCs w:val="22"/>
          <w:lang w:val="es-ES_tradnl"/>
        </w:rPr>
        <w:t>(Gertler et al., 2016)</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de los productores de otras cuencas hidrográficas.</w:t>
      </w:r>
    </w:p>
    <w:p w14:paraId="12819612" w14:textId="77BC58ED"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Los métodos de emparejamiento se pueden aplicar en el contexto de casi todas las reglas de asignación de un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siempre que se cuente con un grupo que no haya participado en el mismo. Para cada individuo tratado, el método de emparejamiento intenta encontrar una unidad de no tratamiento (o conjunto de unidades de no tratamiento) que tengan características lo más parecidas posible. Si existe un individuo exactamente igual en el grupo de tratamiento y en el grupo de control, podríamos ver el efecto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simplemente como la diferencia en la variable de resultado entre ambos individuos. Esto podría repetirse para cada individuo en el grupo de tratamiento, y así estimar el efecto promedio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w:t>
      </w:r>
    </w:p>
    <w:p w14:paraId="3759E10D" w14:textId="6777044D" w:rsidR="00C23393"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Sin embargo, es muy difícil encontrar dos individuos exactamente iguales, en todas las características relevantes, en cada uno de los grupos. En esos casos, se recurre a otros métodos estadísticos. El más popular es el emparejamiento a través de un puntaje de propensión (</w:t>
      </w:r>
      <w:r w:rsidRPr="00C551E1">
        <w:rPr>
          <w:rFonts w:ascii="Arial" w:eastAsia="Calibri" w:hAnsi="Arial" w:cs="Arial"/>
          <w:i/>
          <w:sz w:val="22"/>
          <w:szCs w:val="22"/>
          <w:lang w:val="es-ES_tradnl"/>
        </w:rPr>
        <w:t>propensity score matching</w:t>
      </w:r>
      <w:r w:rsidRPr="00C551E1">
        <w:rPr>
          <w:rFonts w:ascii="Arial" w:eastAsia="Calibri" w:hAnsi="Arial" w:cs="Arial"/>
          <w:sz w:val="22"/>
          <w:szCs w:val="22"/>
          <w:lang w:val="es-ES_tradnl"/>
        </w:rPr>
        <w:t xml:space="preserve">). </w:t>
      </w:r>
      <w:r w:rsidR="004B5C02" w:rsidRPr="00C551E1">
        <w:rPr>
          <w:rFonts w:ascii="Arial" w:eastAsia="Calibri" w:hAnsi="Arial" w:cs="Arial"/>
          <w:sz w:val="22"/>
          <w:szCs w:val="22"/>
          <w:lang w:val="es-ES_tradnl"/>
        </w:rPr>
        <w:t>Este</w:t>
      </w:r>
      <w:r w:rsidRPr="00C551E1">
        <w:rPr>
          <w:rFonts w:ascii="Arial" w:eastAsia="Calibri" w:hAnsi="Arial" w:cs="Arial"/>
          <w:sz w:val="22"/>
          <w:szCs w:val="22"/>
          <w:lang w:val="es-ES_tradnl"/>
        </w:rPr>
        <w:t xml:space="preserve"> método consiste en calcular, para cada unidad </w:t>
      </w:r>
      <w:r w:rsidRPr="00C551E1">
        <w:rPr>
          <w:rFonts w:ascii="Arial" w:eastAsia="Calibri" w:hAnsi="Arial" w:cs="Arial"/>
          <w:sz w:val="22"/>
          <w:szCs w:val="22"/>
          <w:lang w:val="es-ES_tradnl"/>
        </w:rPr>
        <w:lastRenderedPageBreak/>
        <w:t xml:space="preserve">del grupo de tratamiento y del conjunto de no tratados, la probabilidad de que la unidad no tratada hubiese estado en el grupo de tratamiento (lo que es denominado el puntaje de propensión) en función de los valores sus características observables. Esta puntuación se refleja en un es un número real entre 0 y 1 que resume la influencia de todas las características observables en la probabilidad de inscribirse en 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w:t>
      </w:r>
    </w:p>
    <w:p w14:paraId="1066EFDC" w14:textId="5BECE91E"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Estrictamente, sólo debería de utilizarse las características observables en la línea de base para calcular el puntaje de propensión, ya que las características de los tratados luego del tratamiento pueden haberse visto afectadas por el propio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Así, utilizar dichas características para identificar a un grupo de comparación emparejado sesgaría los resultados. Sin embargo, en ausencia de información de línea de base, el método de emparejamiento sigue siendo la mejor alternativa posible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{"citationItems":[{"id":"ITEM-1","itemData":{"ISBN":"978-958-695-599-7","abstract":"“La evaluación de impacto, el uso de herramientas cuantitativas para medir los efectos de programas e iniciativas sociales, llegó para quedarse. En el pasado la toma de decisiones obedecía a los juicios impresionistas de los políticos, a las anécdotas de las partes interesadas o a la simple inercia institucional. La evaluación de impacto permite ahora trascender la intuición y la costumbre y, por lo tanto, tomar mejores decisiones, basadas en un análisis minucioso de qué funciona y qué no. Este libro presenta las principales técnicas de evaluación de impacto por medio de una combinación, poco usual, de la intuición y la rigurosidad académica. El libro es, simultáneamente, un manual para practicantes y un texto para no iniciados. Tiene, además, una ventaja incuestionable sobre los libros anglosajones: los ejemplos hacen referencia a los problemas y programas latinoamericanos, a los desafíos de política pública de esta parte del mundo. Profesores, estudiantes y funcionarios encontrarán en este libro una guía invaluable de la evaluación de impacto y, por ende, de la mejor toma de decisiones”. Alejandro Gaviria, Decano Facultad de Economía Universidad de los Andes. “Para el interesado en las evaluaciones de impacto, el libro de las profesoras Bernal y Peña es una herramienta indispensable en la que se combina rigurosidad y claridad de exposición, con numerosos ejemplos de alto valor pedagógico. Las técnicas de evaluación de impacto, incluso las más complejas, han quedado expuestas y desmitificadas”. Marcos Vera-Hernández, Profesor asistente University College in London.","author":[{"dropping-particle":"","family":"Bernal","given":"Raquel","non-dropping-particle":"","parse-names":false,"suffix":""},{"dropping-particle":"","family":"Peña","given":"Ximena","non-dropping-particle":"","parse-names":false,"suffix":""}],"id":"ITEM-1","issued":{"date-parts":[["2012"]]},"page":"336","title":"Guia práctica para la evaluación de impacto","type":"article-journal"},"uris":["http://www.mendeley.com/documents/?uuid=3501fb0f-a325-3d2e-8a0e-8cb3183ae617"]}],"mendeley":{"formattedCitation":"(Bernal and Peña, 2012)","plainTextFormattedCitation":"(Bernal and Peña, 2012)","previouslyFormattedCitation":"(Bernal and Peña, 2012)"},"properties":{"noteIndex":0},"schema":"https://github.com/citation-style-language/schema/raw/master/csl-citation.json"}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(Bernal and Peña, 2012)</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w:t>
      </w:r>
    </w:p>
    <w:p w14:paraId="580C81B1" w14:textId="7777777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Una vez que se ha computado el puntaje de propensión de todas las unidades, aquellas del grupo de tratamiento pueden emparejarse con unidades en el conjunto de no inscritos que tienen los puntajes de propensión más cercanos. Estas unidades próximas se convierten en el grupo de comparación y se utilizan para producir una estimación del contrafactual. El método de emparejamiento por puntajes de propensión intenta imitar la asignación aleatoria a los grupos de tratamiento y comparación escogiendo para el grupo de comparación aquellas unidades que tienen propensiones similares a las unidades del grupo de tratamiento.</w:t>
      </w:r>
    </w:p>
    <w:p w14:paraId="72D85B09" w14:textId="2AB81A5D"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Como resultado final, es posible comparar el comportamiento de los productores en las cuencas prioritarias con el comportamiento de productores similares en otras cuencas del país. Esto permite estimar la diferencia en el efecto promedio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 xml:space="preserve"> sobre las variables de resultado de interés. Utilizando información secundaria de diferentes fuentes, o complementando futuras encuestas que se realicen desde los organismos gubernamentales, es factible pensar en utilizar esta estrategia para diversos casos.</w:t>
      </w:r>
    </w:p>
    <w:p w14:paraId="3C314815" w14:textId="6A89ACDA" w:rsidR="00C551E1" w:rsidRPr="00A248B2" w:rsidRDefault="00C551E1" w:rsidP="00A248B2">
      <w:pPr>
        <w:pStyle w:val="Heading2"/>
        <w:numPr>
          <w:ilvl w:val="0"/>
          <w:numId w:val="0"/>
        </w:numPr>
        <w:ind w:left="720" w:hanging="720"/>
        <w:rPr>
          <w:rFonts w:ascii="Arial" w:hAnsi="Arial" w:cs="Arial"/>
          <w:sz w:val="22"/>
          <w:szCs w:val="22"/>
        </w:rPr>
      </w:pPr>
      <w:bookmarkStart w:id="46" w:name="_Toc12264448"/>
      <w:r w:rsidRPr="00A248B2">
        <w:rPr>
          <w:rFonts w:ascii="Arial" w:hAnsi="Arial" w:cs="Arial"/>
          <w:sz w:val="22"/>
          <w:szCs w:val="22"/>
        </w:rPr>
        <w:t>2.4. Método de control sintético</w:t>
      </w:r>
      <w:bookmarkEnd w:id="46"/>
      <w:r w:rsidRPr="00A248B2">
        <w:rPr>
          <w:rFonts w:ascii="Arial" w:hAnsi="Arial" w:cs="Arial"/>
          <w:sz w:val="22"/>
          <w:szCs w:val="22"/>
        </w:rPr>
        <w:t xml:space="preserve"> </w:t>
      </w:r>
    </w:p>
    <w:p w14:paraId="585B2C96" w14:textId="77777777" w:rsidR="00792B59" w:rsidRPr="00C551E1" w:rsidRDefault="00792B59" w:rsidP="00792B59">
      <w:pPr>
        <w:pStyle w:val="Normal1"/>
        <w:widowControl w:val="0"/>
        <w:spacing w:before="120" w:after="120"/>
        <w:jc w:val="both"/>
        <w:rPr>
          <w:rFonts w:ascii="Arial" w:eastAsia="Calibri" w:hAnsi="Arial" w:cs="Arial"/>
          <w:sz w:val="22"/>
          <w:szCs w:val="22"/>
          <w:lang w:val="es-ES_tradnl"/>
        </w:rPr>
      </w:pPr>
      <w:bookmarkStart w:id="47" w:name="_3j2qqm3" w:colFirst="0" w:colLast="0"/>
      <w:bookmarkEnd w:id="47"/>
      <w:r w:rsidRPr="00C551E1">
        <w:rPr>
          <w:rFonts w:ascii="Arial" w:eastAsia="Calibri" w:hAnsi="Arial" w:cs="Arial"/>
          <w:sz w:val="22"/>
          <w:szCs w:val="22"/>
          <w:lang w:val="es-ES_tradnl"/>
        </w:rPr>
        <w:t xml:space="preserve">Aún en el caso en que no sea posible estimar el contrafactual a partir de información micro de zonas similares dentro del país a partir de una asignación gradual no aleatoria, es posible estimar el impacto de la política a nivel agregado. Es decir, observar el cambio en la variable de resultado a nivel de cuenca. </w:t>
      </w:r>
    </w:p>
    <w:p w14:paraId="3CCA6E27" w14:textId="35E3DBFE" w:rsidR="00792B59" w:rsidRPr="00C551E1" w:rsidRDefault="00792B59" w:rsidP="00792B59">
      <w:pPr>
        <w:pStyle w:val="Normal1"/>
        <w:widowControl w:val="0"/>
        <w:spacing w:before="120" w:after="120"/>
        <w:jc w:val="both"/>
        <w:rPr>
          <w:rFonts w:ascii="Arial" w:eastAsia="Calibri" w:hAnsi="Arial" w:cs="Arial"/>
          <w:sz w:val="22"/>
          <w:szCs w:val="22"/>
          <w:lang w:val="es-ES_tradnl"/>
        </w:rPr>
      </w:pPr>
      <w:bookmarkStart w:id="48" w:name="_GoBack"/>
      <w:bookmarkEnd w:id="48"/>
      <w:r w:rsidRPr="00C551E1">
        <w:rPr>
          <w:rFonts w:ascii="Arial" w:eastAsia="Calibri" w:hAnsi="Arial" w:cs="Arial"/>
          <w:sz w:val="22"/>
          <w:szCs w:val="22"/>
          <w:lang w:val="es-ES_tradnl"/>
        </w:rPr>
        <w:t xml:space="preserve">Es importante resaltar que esto no es simplemente una comparación </w:t>
      </w:r>
      <w:r w:rsidRPr="00C551E1">
        <w:rPr>
          <w:rFonts w:ascii="Arial" w:eastAsia="Calibri" w:hAnsi="Arial" w:cs="Arial"/>
          <w:i/>
          <w:sz w:val="22"/>
          <w:szCs w:val="22"/>
          <w:lang w:val="es-ES_tradnl"/>
        </w:rPr>
        <w:t>antes y después</w:t>
      </w:r>
      <w:r w:rsidRPr="00C551E1">
        <w:rPr>
          <w:rFonts w:ascii="Arial" w:eastAsia="Calibri" w:hAnsi="Arial" w:cs="Arial"/>
          <w:sz w:val="22"/>
          <w:szCs w:val="22"/>
          <w:lang w:val="es-ES_tradnl"/>
        </w:rPr>
        <w:t xml:space="preserve">. Si realizáramos ese procedimiento correríamos el grave riesgo de que sean otros factores, diferentes de la política que queremos evaluar, lo que explique el cambio en la variable de resultado. Por ejemplo, si al mismo tiempo se da una caída del tipo de cambio, y por ende, una pérdida de competitividad respecto a los países vecinos, una comparación </w:t>
      </w:r>
      <w:r w:rsidRPr="00C551E1">
        <w:rPr>
          <w:rFonts w:ascii="Arial" w:eastAsia="Calibri" w:hAnsi="Arial" w:cs="Arial"/>
          <w:i/>
          <w:sz w:val="22"/>
          <w:szCs w:val="22"/>
          <w:lang w:val="es-ES_tradnl"/>
        </w:rPr>
        <w:t>antes y después</w:t>
      </w:r>
      <w:r w:rsidRPr="00C551E1">
        <w:rPr>
          <w:rFonts w:ascii="Arial" w:eastAsia="Calibri" w:hAnsi="Arial" w:cs="Arial"/>
          <w:sz w:val="22"/>
          <w:szCs w:val="22"/>
          <w:lang w:val="es-ES_tradnl"/>
        </w:rPr>
        <w:t xml:space="preserve"> estaría atribuyendo de forma errónea que ese cambio es consecuencia del </w:t>
      </w:r>
      <w:r w:rsidR="002B5292">
        <w:rPr>
          <w:rFonts w:ascii="Arial" w:eastAsia="Calibri" w:hAnsi="Arial" w:cs="Arial"/>
          <w:sz w:val="22"/>
          <w:szCs w:val="22"/>
          <w:lang w:val="es-ES_tradnl"/>
        </w:rPr>
        <w:t>programa</w:t>
      </w:r>
      <w:r w:rsidRPr="00C551E1">
        <w:rPr>
          <w:rFonts w:ascii="Arial" w:eastAsia="Calibri" w:hAnsi="Arial" w:cs="Arial"/>
          <w:sz w:val="22"/>
          <w:szCs w:val="22"/>
          <w:lang w:val="es-ES_tradnl"/>
        </w:rPr>
        <w:t>.</w:t>
      </w:r>
    </w:p>
    <w:p w14:paraId="3CF0AB14" w14:textId="0E1B7B54"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 xml:space="preserve">Para llevar adelante este análisis debemos construir un contrafactual que emule el comportamiento de Uruguay (o de las zonas específicas) ‘como sí’ la política no se hubiese implementado. Esto puede ser llevado adelante construyendo un contrafactual a través del método de control sintético. Este método fue propuesto por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10.1257/000282803321455188","ISSN":"0002-8282","author":[{"dropping-particle":"","family":"Abadie","given":"Alberto","non-dropping-particle":"","parse-names":false,"suffix":""},{"dropping-particle":"","family":"Gardeazabal","given":"Javier","non-dropping-particle":"","parse-names":false,"suffix":""}],"container-title":"American Economic Review","id":"ITEM-1","issue":"1","issued":{"date-parts":[["2003","2"]]},"page":"113-132","title":"The Economic Costs of Conflict: A Case Study of the Basque Country","type":"article-journal","volume":"93"},"uris":["http://www.mendeley.com/documents/?uuid=0043338a-637b-34cf-8066-0971d5df3a3c"]}],"mendeley":{"formattedCitation":"(Abadie and Gardeazabal, 2003)","plainTextFormattedCitation":"(Abadie and Gardeazabal, 2003)","previouslyFormattedCitation":"(Abadie and Gardeazabal, 2003)"},"properties":{"noteIndex":0},"schema":"https://github.com/citation-style-language/schema/raw/master/csl-citation.json"}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w:t>
      </w:r>
      <w:proofErr w:type="spellStart"/>
      <w:r w:rsidR="0006575A" w:rsidRPr="00F134B3">
        <w:rPr>
          <w:rFonts w:ascii="Arial" w:eastAsia="Calibri" w:hAnsi="Arial" w:cs="Arial"/>
          <w:sz w:val="22"/>
          <w:szCs w:val="22"/>
          <w:lang w:val="es-ES_tradnl"/>
        </w:rPr>
        <w:t>Abadie</w:t>
      </w:r>
      <w:proofErr w:type="spellEnd"/>
      <w:r w:rsidR="0006575A" w:rsidRPr="00F134B3">
        <w:rPr>
          <w:rFonts w:ascii="Arial" w:eastAsia="Calibri" w:hAnsi="Arial" w:cs="Arial"/>
          <w:sz w:val="22"/>
          <w:szCs w:val="22"/>
          <w:lang w:val="es-ES_tradnl"/>
        </w:rPr>
        <w:t xml:space="preserve"> and Gardeazabal, 2003)</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para evaluar los costos económicos del terrorismo en el País Vasco. En lo que respecta a evaluación de una política,</w:t>
      </w:r>
      <w:r w:rsidR="00C23393">
        <w:rPr>
          <w:rFonts w:ascii="Arial" w:eastAsia="Calibri" w:hAnsi="Arial" w:cs="Arial"/>
          <w:sz w:val="22"/>
          <w:szCs w:val="22"/>
          <w:lang w:val="es-ES_tradnl"/>
        </w:rPr>
        <w:t xml:space="preserve">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{"citationItems":[{"id":"ITEM-1","itemData":{"DOI":"10.1198/jasa.2009.ap08746","ISBN":"0162-1459","ISSN":"0162-1459","PMID":"741578133","abstract":"Building on an idea in Abadie and Gardeazabal (2003), this article investi- gates the application of synthetic control methods to comparative case studies. We discuss the advantages of these methods and apply them to study the ef- fects of Proposition 99, a large-scale tobacco control program that California implemented in 1988. We demonstrate that following Proposition 99 tobacco consumption fell markedly in California relative to a comparable synthetic con- trol region. We estimate that by the year 2000 annual per capita cigarette sales in California were about 26 packs lower than what they would have been in the absence of Proposition 99. Using new inferential methods proposed in this ar- ticle, we demonstrate the significance of our estimates. Given that many policy interventions and events of interest in social sciences take place at an aggregate level (countries, regions, cities, etc.) and affect a small number of aggregate units, the potential applicability of synthetic control methods to comparative case studies is very large, especially in situations where traditional regression methods are not appropriate","author":[{"dropping-particle":"","family":"Abadie","given":"Alberto","non-dropping-particle":"","parse-names":false,"suffix":""},{"dropping-particle":"","family":"Diamond","given":"Alexis","non-dropping-particle":"","parse-names":false,"suffix":""},{"dropping-particle":"","family":"Hainmueller","given":"Jens","non-dropping-particle":"","parse-names":false,"suffix":""}],"container-title":"Journal of the American Statistical Association","id":"ITEM-1","issue":"490","issued":{"date-parts":[["2010"]]},"page":"493-505","title":"Synthetic Control Methods for Comparative Case Studies: Estimating the Effect of California’s Tobacco Control Program","type":"article-journal","volume":"105"},"uris":["http://www.mendeley.com/documents/?uuid=600d06e7-dacb-4c4d-8040-f9581733927f"]}],"mendeley":{"formattedCitation":"(Abadie, Diamond and Hainmueller, 2010)","plainTextFormattedCitation":"(Abadie, Diamond and Hainmueller, 2010)","previouslyFormattedCitation":"(Abadie, Diamond and Hainmueller, 2010)"},"properties":{"noteIndex":0},"schema":"https://github.com/citation-style-language/schema/raw/master/csl-citation.json"}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w:t>
      </w:r>
      <w:proofErr w:type="spellStart"/>
      <w:r w:rsidR="0006575A" w:rsidRPr="00F134B3">
        <w:rPr>
          <w:rFonts w:ascii="Arial" w:eastAsia="Calibri" w:hAnsi="Arial" w:cs="Arial"/>
          <w:sz w:val="22"/>
          <w:szCs w:val="22"/>
          <w:lang w:val="es-ES_tradnl"/>
        </w:rPr>
        <w:t>Abadie</w:t>
      </w:r>
      <w:proofErr w:type="spellEnd"/>
      <w:r w:rsidR="0006575A" w:rsidRPr="00F134B3">
        <w:rPr>
          <w:rFonts w:ascii="Arial" w:eastAsia="Calibri" w:hAnsi="Arial" w:cs="Arial"/>
          <w:sz w:val="22"/>
          <w:szCs w:val="22"/>
          <w:lang w:val="es-ES_tradnl"/>
        </w:rPr>
        <w:t xml:space="preserve">, </w:t>
      </w:r>
      <w:proofErr w:type="spellStart"/>
      <w:r w:rsidR="0006575A" w:rsidRPr="00F134B3">
        <w:rPr>
          <w:rFonts w:ascii="Arial" w:eastAsia="Calibri" w:hAnsi="Arial" w:cs="Arial"/>
          <w:sz w:val="22"/>
          <w:szCs w:val="22"/>
          <w:lang w:val="es-ES_tradnl"/>
        </w:rPr>
        <w:t>Diamond</w:t>
      </w:r>
      <w:proofErr w:type="spellEnd"/>
      <w:r w:rsidR="0006575A" w:rsidRPr="00F134B3">
        <w:rPr>
          <w:rFonts w:ascii="Arial" w:eastAsia="Calibri" w:hAnsi="Arial" w:cs="Arial"/>
          <w:sz w:val="22"/>
          <w:szCs w:val="22"/>
          <w:lang w:val="es-ES_tradnl"/>
        </w:rPr>
        <w:t xml:space="preserve"> and </w:t>
      </w:r>
      <w:proofErr w:type="spellStart"/>
      <w:r w:rsidR="0006575A" w:rsidRPr="00F134B3">
        <w:rPr>
          <w:rFonts w:ascii="Arial" w:eastAsia="Calibri" w:hAnsi="Arial" w:cs="Arial"/>
          <w:sz w:val="22"/>
          <w:szCs w:val="22"/>
          <w:lang w:val="es-ES_tradnl"/>
        </w:rPr>
        <w:t>Hainmueller</w:t>
      </w:r>
      <w:proofErr w:type="spellEnd"/>
      <w:r w:rsidR="0006575A" w:rsidRPr="00F134B3">
        <w:rPr>
          <w:rFonts w:ascii="Arial" w:eastAsia="Calibri" w:hAnsi="Arial" w:cs="Arial"/>
          <w:sz w:val="22"/>
          <w:szCs w:val="22"/>
          <w:lang w:val="es-ES_tradnl"/>
        </w:rPr>
        <w:t>, 2010)</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 xml:space="preserve"> lo utilizan para evaluar el impacto de una política sobre el consumo de tabaco en el estado de California. Como la política había sido implementada sólo en ese estado, los autores construyeron un contrafactual sintético a partir de las características de otros estados. Así, el impacto de la política se estimó </w:t>
      </w:r>
      <w:r w:rsidRPr="00C551E1">
        <w:rPr>
          <w:rFonts w:ascii="Arial" w:eastAsia="Calibri" w:hAnsi="Arial" w:cs="Arial"/>
          <w:sz w:val="22"/>
          <w:szCs w:val="22"/>
          <w:lang w:val="es-ES_tradnl"/>
        </w:rPr>
        <w:lastRenderedPageBreak/>
        <w:t xml:space="preserve">a partir de comparar la cantidad de paquetes de cigarrillos vendidos en California respecto a su contrafactual sintético, antes y después de la política. Una vez que se obtiene esta diferencia, se debe evaluar si es significativamente diferente de cero. La calidad del control sintético se mide por la estrecha relación entre los resultados sintéticos ponderados y los resultados para la unidad tratada en los años previos al tratamiento </w:t>
      </w:r>
      <w:r w:rsidRPr="00F42B76">
        <w:rPr>
          <w:rFonts w:ascii="Arial" w:eastAsia="Calibri" w:hAnsi="Arial" w:cs="Arial"/>
          <w:sz w:val="22"/>
          <w:szCs w:val="22"/>
          <w:lang w:val="es-ES_tradnl"/>
        </w:rPr>
        <w:fldChar w:fldCharType="begin" w:fldLock="1"/>
      </w:r>
      <w:r w:rsidR="00CA04C0" w:rsidRPr="00C551E1">
        <w:rPr>
          <w:rFonts w:ascii="Arial" w:eastAsia="Calibri" w:hAnsi="Arial" w:cs="Arial"/>
          <w:sz w:val="22"/>
          <w:szCs w:val="22"/>
          <w:lang w:val="es-ES_tradnl"/>
        </w:rPr>
        <w:instrText>ADDIN CSL_CITATION {"citationItems":[{"id":"ITEM-1","itemData":{"DOI":"10.1371/journal.pone.0132590","ISBN":"1932-6203 (Electronic)\\r1932-6203 (Linking)","ISSN":"19326203","PMID":"26173108","abstract":"Quasi-experimental methods increasingly are used to evaluate the impacts of conservation interventions by generating credible estimates of counterfactual baselines. These methods generally require large samples for statistical comparisons, presenting a challenge for evaluating innovative policies implemented within a few pioneering jurisdictions. Single jurisdictions often are studied using comparative methods, which rely on analysts’ selection of best case comparisons. The synthetic control method (SCM) offers one systematic and transparent way to select cases for comparison, from a sizeable pool, by focusing upon similarity in outcomes before the intervention. We explain SCM, then apply it to one local initiative to limit deforestation in the Brazilian Amazon. The municipality of Paragominas launched a multi-pronged local initiative in 2008 to maintain low deforestation while restoring economic production. This was a response to having been placed, due to high deforestation, on a federal “blacklist” that increased enforcement of forest regulations and restricted access to credit and output markets. The local initiative included mapping and monitoring of rural land plus promotion of economic alternatives compatible with low deforestation. The key motivation for the program may have been to reduce the costs of blacklisting. However its stated purpose was to limit deforestation, and thus we apply SCM to estimate what deforestation would have been in a (counterfactual) scenario of no local initiative. We obtain a plausible estimate, in that deforestation patterns before the intervention were similar in Paragominas and the synthetic control, which suggests that after several years, the initiative did lower deforestation (significantly below the synthetic control in 2012). This demonstrates that SCM can yield helpful land-use counterfactuals for single units, with opportunities to integrate local and expert knowledge and to test innovations and permutations on policies that are implemented in just a few locations.","author":[{"dropping-particle":"","family":"Sills","given":"Erin O.","non-dropping-particle":"","parse-names":false,"suffix":""},{"dropping-particle":"","family":"Herrera","given":"Diego","non-dropping-particle":"","parse-names":false,"suffix":""},{"dropping-particle":"","family":"Kirkpatrick","given":"A. Justin","non-dropping-particle":"","parse-names":false,"suffix":""},{"dropping-particle":"","family":"Brandão","given":"Amintas","non-dropping-particle":"","parse-names":false,"suffix":""},{"dropping-particle":"","family":"Dickson","given":"Rebecca","non-dropping-particle":"","parse-names":false,"suffix":""},{"dropping-particle":"","family":"Hall","given":"Simon","non-dropping-particle":"","parse-names":false,"suffix":""},{"dropping-particle":"","family":"Pattanayak","given":"Subhrendu","non-dropping-particle":"","parse-names":false,"suffix":""},{"dropping-particle":"","family":"Shoch","given":"David","non-dropping-particle":"","parse-names":false,"suffix":""},{"dropping-particle":"","family":"Vedoveto","given":"Mariana","non-dropping-particle":"","parse-names":false,"suffix":""},{"dropping-particle":"","family":"Young","given":"Luisa","non-dropping-particle":"","parse-names":false,"suffix":""},{"dropping-particle":"","family":"Pfaff","given":"Alexander","non-dropping-particle":"","parse-names":false,"suffix":""}],"container-title":"PLoS ONE","id":"ITEM-1","issue":"7","issued":{"date-parts":[["2015"]]},"page":"1-15","title":"Estimating the impacts of local policy innovation: The synthetic control method applied to tropical deforestation","type":"article-journal","volume":"10"},"uris":["http://www.mendeley.com/documents/?uuid=dcb8b8c5-8e0c-48fc-a04f-2944db52fd24"]}],"mendeley":{"formattedCitation":"(Sills &lt;i&gt;et al.&lt;/i&gt;, 2015)","plainTextFormattedCitation":"(Sills et al., 2015)","previouslyFormattedCitation":"(Sills &lt;i&gt;et al.&lt;/i&gt;, 2015)"},"properties":{"noteIndex":0},"schema":"https://github.com/citation-style-language/schema/raw/master/csl-citation.json"}</w:instrText>
      </w:r>
      <w:r w:rsidRPr="00F134B3">
        <w:rPr>
          <w:rFonts w:ascii="Arial" w:eastAsia="Calibri" w:hAnsi="Arial" w:cs="Arial"/>
          <w:sz w:val="22"/>
          <w:szCs w:val="22"/>
          <w:lang w:val="es-ES_tradnl"/>
        </w:rPr>
        <w:fldChar w:fldCharType="separate"/>
      </w:r>
      <w:r w:rsidR="0006575A" w:rsidRPr="00F134B3">
        <w:rPr>
          <w:rFonts w:ascii="Arial" w:eastAsia="Calibri" w:hAnsi="Arial" w:cs="Arial"/>
          <w:sz w:val="22"/>
          <w:szCs w:val="22"/>
          <w:lang w:val="es-ES_tradnl"/>
        </w:rPr>
        <w:t xml:space="preserve">(Sills </w:t>
      </w:r>
      <w:r w:rsidR="0006575A" w:rsidRPr="00F134B3">
        <w:rPr>
          <w:rFonts w:ascii="Arial" w:eastAsia="Calibri" w:hAnsi="Arial" w:cs="Arial"/>
          <w:i/>
          <w:sz w:val="22"/>
          <w:szCs w:val="22"/>
          <w:lang w:val="es-ES_tradnl"/>
        </w:rPr>
        <w:t>et al.</w:t>
      </w:r>
      <w:r w:rsidR="0006575A" w:rsidRPr="00F134B3">
        <w:rPr>
          <w:rFonts w:ascii="Arial" w:eastAsia="Calibri" w:hAnsi="Arial" w:cs="Arial"/>
          <w:sz w:val="22"/>
          <w:szCs w:val="22"/>
          <w:lang w:val="es-ES_tradnl"/>
        </w:rPr>
        <w:t>, 2015)</w:t>
      </w:r>
      <w:r w:rsidRPr="00F42B76">
        <w:rPr>
          <w:rFonts w:ascii="Arial" w:eastAsia="Calibri" w:hAnsi="Arial" w:cs="Arial"/>
          <w:sz w:val="22"/>
          <w:szCs w:val="22"/>
          <w:lang w:val="es-ES_tradnl"/>
        </w:rPr>
        <w:fldChar w:fldCharType="end"/>
      </w:r>
      <w:r w:rsidRPr="00C551E1">
        <w:rPr>
          <w:rFonts w:ascii="Arial" w:eastAsia="Calibri" w:hAnsi="Arial" w:cs="Arial"/>
          <w:sz w:val="22"/>
          <w:szCs w:val="22"/>
          <w:lang w:val="es-ES_tradnl"/>
        </w:rPr>
        <w:t>.</w:t>
      </w:r>
    </w:p>
    <w:p w14:paraId="77E00118" w14:textId="7777777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Este método fue utilizado recientemente por Sills et al. (2015) para estimar el impacto de la inclusión de la municipalidad de Paragominas, Brasil, en una lista negra por incumplimiento con las metas de deforestación planteadas a nivel nacional en la tasa de deforestación de este municipio. La inclusión en la lista negra llevó al gobierno de esta municipalidad a afrontar restricciones al acceso al crédito y a ciertos mercados. Como consecuencia, fortalecieron el cumplimiento a nivel local de las medidas para control de la deforestación. Al haber sido esta municipalidad la única incluida en la lista negra, los autores construyeron un contrafactual sintético para evaluar cómo habría sido su desempeño si no hubiese sido incluido en la lista.</w:t>
      </w:r>
    </w:p>
    <w:p w14:paraId="6796E5F6" w14:textId="7777777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La principal ventaja de trabajar con este método es que, como en el caso que nos compete, muchas intervenciones de política pública afectan a unidades macro o agregadas y los datos macro o agregados son más comunes que los datos micro o desagregados. El problema principal es que existe mucha ambigüedad con respecto al proceso de selección del grupo de control y la inferencia estadística no refleja incertidumbre sobre la calidad del grupo de control.</w:t>
      </w:r>
    </w:p>
    <w:p w14:paraId="2300EC1B" w14:textId="77777777" w:rsidR="00792B59" w:rsidRPr="00C551E1" w:rsidRDefault="00792B59" w:rsidP="00792B59">
      <w:pPr>
        <w:pStyle w:val="Normal1"/>
        <w:widowControl w:val="0"/>
        <w:spacing w:before="120" w:after="120"/>
        <w:jc w:val="both"/>
        <w:rPr>
          <w:rFonts w:ascii="Arial" w:eastAsia="Calibri" w:hAnsi="Arial" w:cs="Arial"/>
          <w:sz w:val="22"/>
          <w:szCs w:val="22"/>
          <w:lang w:val="es-ES_tradnl"/>
        </w:rPr>
      </w:pPr>
      <w:r w:rsidRPr="00C551E1">
        <w:rPr>
          <w:rFonts w:ascii="Arial" w:eastAsia="Calibri" w:hAnsi="Arial" w:cs="Arial"/>
          <w:sz w:val="22"/>
          <w:szCs w:val="22"/>
          <w:lang w:val="es-ES_tradnl"/>
        </w:rPr>
        <w:t>Dado lo anterior, es factible pensar en aplicar este método para evaluar el desempeño de las variables de resultados de interés a nivel nacional, y construir un contrafactual sintético a partir del desempeño de un grupo de países relevante respecto a los sectores agrícolas de interés de evaluar. Esta estrategia deberá de ser adoptada cuando ninguna de las anteriores es factible, ya que las anteriores son más robustas por estar basadas en niveles de agregación menores (micro datos, o sub regiones).</w:t>
      </w:r>
    </w:p>
    <w:p w14:paraId="4AB1D9F6" w14:textId="524E6F14" w:rsidR="003B47C8" w:rsidRPr="00F134B3" w:rsidRDefault="00C551E1" w:rsidP="00F134B3">
      <w:pPr>
        <w:pStyle w:val="Heading1"/>
        <w:numPr>
          <w:ilvl w:val="0"/>
          <w:numId w:val="0"/>
        </w:numPr>
        <w:jc w:val="left"/>
        <w:rPr>
          <w:rFonts w:ascii="Arial" w:hAnsi="Arial" w:cs="Arial"/>
          <w:bCs/>
          <w:sz w:val="22"/>
          <w:szCs w:val="22"/>
          <w:lang w:val="es-MX"/>
        </w:rPr>
      </w:pPr>
      <w:bookmarkStart w:id="49" w:name="_Ref9360864"/>
      <w:bookmarkStart w:id="50" w:name="_Toc11138486"/>
      <w:bookmarkStart w:id="51" w:name="_Toc12264449"/>
      <w:r w:rsidRPr="00F42B76">
        <w:rPr>
          <w:rFonts w:ascii="Arial" w:eastAsia="Calibri" w:hAnsi="Arial" w:cs="Arial"/>
          <w:smallCaps w:val="0"/>
          <w:noProof w:val="0"/>
          <w:sz w:val="22"/>
          <w:szCs w:val="22"/>
          <w:lang w:val="es-ES_tradnl"/>
        </w:rPr>
        <w:t>3.0</w:t>
      </w:r>
      <w:r w:rsidR="004F4817" w:rsidRPr="00F134B3">
        <w:rPr>
          <w:rFonts w:ascii="Arial" w:eastAsia="Calibri" w:hAnsi="Arial" w:cs="Arial"/>
          <w:b w:val="0"/>
          <w:noProof w:val="0"/>
          <w:sz w:val="22"/>
          <w:szCs w:val="22"/>
          <w:lang w:val="es-ES_tradnl"/>
        </w:rPr>
        <w:t xml:space="preserve"> </w:t>
      </w:r>
      <w:r w:rsidR="00D23BD1" w:rsidRPr="00F134B3">
        <w:rPr>
          <w:rFonts w:ascii="Arial" w:eastAsia="Calibri" w:hAnsi="Arial" w:cs="Arial"/>
          <w:bCs/>
          <w:noProof w:val="0"/>
          <w:sz w:val="22"/>
          <w:szCs w:val="22"/>
          <w:lang w:val="es-ES_tradnl"/>
        </w:rPr>
        <w:t>Propuesta d</w:t>
      </w:r>
      <w:r w:rsidR="003C36FC" w:rsidRPr="00F134B3">
        <w:rPr>
          <w:rFonts w:ascii="Arial" w:eastAsia="Calibri" w:hAnsi="Arial" w:cs="Arial"/>
          <w:bCs/>
          <w:noProof w:val="0"/>
          <w:sz w:val="22"/>
          <w:szCs w:val="22"/>
          <w:lang w:val="es-ES_tradnl"/>
        </w:rPr>
        <w:t xml:space="preserve">e </w:t>
      </w:r>
      <w:r w:rsidR="003C36FC" w:rsidRPr="00F42B76">
        <w:rPr>
          <w:rFonts w:ascii="Arial" w:eastAsia="Calibri" w:hAnsi="Arial" w:cs="Arial"/>
          <w:bCs/>
          <w:noProof w:val="0"/>
          <w:sz w:val="22"/>
          <w:szCs w:val="22"/>
          <w:lang w:val="es-ES_tradnl"/>
        </w:rPr>
        <w:t>Metodología</w:t>
      </w:r>
      <w:r w:rsidR="003C36FC" w:rsidRPr="00F134B3">
        <w:rPr>
          <w:rFonts w:ascii="Arial" w:eastAsia="Calibri" w:hAnsi="Arial" w:cs="Arial"/>
          <w:bCs/>
          <w:noProof w:val="0"/>
          <w:sz w:val="22"/>
          <w:szCs w:val="22"/>
          <w:lang w:val="es-ES_tradnl"/>
        </w:rPr>
        <w:t xml:space="preserve"> de </w:t>
      </w:r>
      <w:r w:rsidR="003C36FC" w:rsidRPr="00F42B76">
        <w:rPr>
          <w:rFonts w:ascii="Arial" w:eastAsia="Calibri" w:hAnsi="Arial" w:cs="Arial"/>
          <w:bCs/>
          <w:noProof w:val="0"/>
          <w:sz w:val="22"/>
          <w:szCs w:val="22"/>
          <w:lang w:val="es-ES_tradnl"/>
        </w:rPr>
        <w:t>Evaluación</w:t>
      </w:r>
      <w:r w:rsidR="003C36FC" w:rsidRPr="00F134B3">
        <w:rPr>
          <w:rFonts w:ascii="Arial" w:eastAsia="Calibri" w:hAnsi="Arial" w:cs="Arial"/>
          <w:bCs/>
          <w:noProof w:val="0"/>
          <w:sz w:val="22"/>
          <w:szCs w:val="22"/>
          <w:lang w:val="es-ES_tradnl"/>
        </w:rPr>
        <w:t xml:space="preserve"> </w:t>
      </w:r>
      <w:r w:rsidR="003C36FC" w:rsidRPr="00F42B76">
        <w:rPr>
          <w:rFonts w:ascii="Arial" w:eastAsia="Calibri" w:hAnsi="Arial" w:cs="Arial"/>
          <w:bCs/>
          <w:noProof w:val="0"/>
          <w:sz w:val="22"/>
          <w:szCs w:val="22"/>
          <w:lang w:val="es-ES_tradnl"/>
        </w:rPr>
        <w:t>Económica</w:t>
      </w:r>
      <w:r w:rsidR="003C36FC" w:rsidRPr="00F134B3">
        <w:rPr>
          <w:rFonts w:ascii="Arial" w:eastAsia="Calibri" w:hAnsi="Arial" w:cs="Arial"/>
          <w:bCs/>
          <w:noProof w:val="0"/>
          <w:sz w:val="22"/>
          <w:szCs w:val="22"/>
          <w:lang w:val="es-ES_tradnl"/>
        </w:rPr>
        <w:t xml:space="preserve"> Expost</w:t>
      </w:r>
      <w:bookmarkEnd w:id="49"/>
      <w:bookmarkEnd w:id="50"/>
      <w:bookmarkEnd w:id="51"/>
    </w:p>
    <w:p w14:paraId="67AF5BB9" w14:textId="2E1F3C86" w:rsidR="0045025E" w:rsidRDefault="001273CE" w:rsidP="00792B59">
      <w:pPr>
        <w:jc w:val="both"/>
        <w:rPr>
          <w:rFonts w:ascii="Arial" w:hAnsi="Arial" w:cs="Arial"/>
          <w:sz w:val="22"/>
          <w:szCs w:val="22"/>
        </w:rPr>
      </w:pPr>
      <w:r>
        <w:rPr>
          <w:rFonts w:ascii="Arial" w:hAnsi="Arial" w:cs="Arial"/>
          <w:sz w:val="22"/>
          <w:szCs w:val="22"/>
        </w:rPr>
        <w:t xml:space="preserve">Con base en la discusión anterior, </w:t>
      </w:r>
      <w:r w:rsidR="007F4ACF">
        <w:rPr>
          <w:rFonts w:ascii="Arial" w:hAnsi="Arial" w:cs="Arial"/>
          <w:sz w:val="22"/>
          <w:szCs w:val="22"/>
        </w:rPr>
        <w:t>la metodología más factible para atribuir el programa al incremento en el área de zonas de amortiguación es el m</w:t>
      </w:r>
      <w:r w:rsidR="007F4ACF" w:rsidRPr="007F4ACF">
        <w:rPr>
          <w:rFonts w:ascii="Arial" w:hAnsi="Arial" w:cs="Arial"/>
          <w:sz w:val="22"/>
          <w:szCs w:val="22"/>
        </w:rPr>
        <w:t xml:space="preserve">étodo </w:t>
      </w:r>
      <w:r w:rsidR="007F4ACF">
        <w:rPr>
          <w:rFonts w:ascii="Arial" w:hAnsi="Arial" w:cs="Arial"/>
          <w:sz w:val="22"/>
          <w:szCs w:val="22"/>
        </w:rPr>
        <w:t xml:space="preserve">de </w:t>
      </w:r>
      <w:r w:rsidR="007F4ACF" w:rsidRPr="007F4ACF">
        <w:rPr>
          <w:rFonts w:ascii="Arial" w:hAnsi="Arial" w:cs="Arial"/>
          <w:sz w:val="22"/>
          <w:szCs w:val="22"/>
        </w:rPr>
        <w:t>asignación gradual no aleatoria por regiones</w:t>
      </w:r>
      <w:r w:rsidR="007F4ACF">
        <w:rPr>
          <w:rFonts w:ascii="Arial" w:hAnsi="Arial" w:cs="Arial"/>
          <w:sz w:val="22"/>
          <w:szCs w:val="22"/>
        </w:rPr>
        <w:t xml:space="preserve">. </w:t>
      </w:r>
      <w:r w:rsidR="003A2243">
        <w:rPr>
          <w:rFonts w:ascii="Arial" w:hAnsi="Arial" w:cs="Arial"/>
          <w:sz w:val="22"/>
          <w:szCs w:val="22"/>
        </w:rPr>
        <w:t xml:space="preserve">Sin embargo, la evaluación del programa enfrenta un reto adicional, lo cual es que sin el programa, no es razonable </w:t>
      </w:r>
      <w:r w:rsidR="00E20570">
        <w:rPr>
          <w:rFonts w:ascii="Arial" w:hAnsi="Arial" w:cs="Arial"/>
          <w:sz w:val="22"/>
          <w:szCs w:val="22"/>
        </w:rPr>
        <w:t>hipotetizar que los productores en cuencas de control, fuera del alcance del programa, establecerán zonas de amortiguación o implementarán las prácticas agroecológicas que el programa promoverá</w:t>
      </w:r>
      <w:r w:rsidR="001367C1">
        <w:rPr>
          <w:rStyle w:val="FootnoteReference"/>
          <w:rFonts w:cs="Arial"/>
          <w:szCs w:val="22"/>
        </w:rPr>
        <w:footnoteReference w:id="2"/>
      </w:r>
      <w:r w:rsidR="00E20570">
        <w:rPr>
          <w:rFonts w:ascii="Arial" w:hAnsi="Arial" w:cs="Arial"/>
          <w:sz w:val="22"/>
          <w:szCs w:val="22"/>
        </w:rPr>
        <w:t xml:space="preserve">. </w:t>
      </w:r>
    </w:p>
    <w:p w14:paraId="438F0F9B" w14:textId="77777777" w:rsidR="0045025E" w:rsidRDefault="0045025E" w:rsidP="00792B59">
      <w:pPr>
        <w:jc w:val="both"/>
        <w:rPr>
          <w:rFonts w:ascii="Arial" w:hAnsi="Arial" w:cs="Arial"/>
          <w:sz w:val="22"/>
          <w:szCs w:val="22"/>
        </w:rPr>
      </w:pPr>
    </w:p>
    <w:p w14:paraId="45E8C8B9" w14:textId="32AAFEAB" w:rsidR="007F6AB6" w:rsidRDefault="00E20570" w:rsidP="00792B59">
      <w:pPr>
        <w:jc w:val="both"/>
        <w:rPr>
          <w:rFonts w:ascii="Arial" w:hAnsi="Arial" w:cs="Arial"/>
          <w:sz w:val="22"/>
          <w:szCs w:val="22"/>
        </w:rPr>
      </w:pPr>
      <w:r>
        <w:rPr>
          <w:rFonts w:ascii="Arial" w:hAnsi="Arial" w:cs="Arial"/>
          <w:sz w:val="22"/>
          <w:szCs w:val="22"/>
        </w:rPr>
        <w:t xml:space="preserve">Considerando lo anterior, un planteamiento alternativo en </w:t>
      </w:r>
      <w:r w:rsidR="00C45E76">
        <w:rPr>
          <w:rFonts w:ascii="Arial" w:hAnsi="Arial" w:cs="Arial"/>
          <w:sz w:val="22"/>
          <w:szCs w:val="22"/>
        </w:rPr>
        <w:t>términos</w:t>
      </w:r>
      <w:r>
        <w:rPr>
          <w:rFonts w:ascii="Arial" w:hAnsi="Arial" w:cs="Arial"/>
          <w:sz w:val="22"/>
          <w:szCs w:val="22"/>
        </w:rPr>
        <w:t xml:space="preserve"> de</w:t>
      </w:r>
      <w:r w:rsidR="00A97F91">
        <w:rPr>
          <w:rFonts w:ascii="Arial" w:hAnsi="Arial" w:cs="Arial"/>
          <w:sz w:val="22"/>
          <w:szCs w:val="22"/>
        </w:rPr>
        <w:t xml:space="preserve"> </w:t>
      </w:r>
      <w:r>
        <w:rPr>
          <w:rFonts w:ascii="Arial" w:hAnsi="Arial" w:cs="Arial"/>
          <w:sz w:val="22"/>
          <w:szCs w:val="22"/>
        </w:rPr>
        <w:t>l</w:t>
      </w:r>
      <w:r w:rsidR="00A97F91">
        <w:rPr>
          <w:rFonts w:ascii="Arial" w:hAnsi="Arial" w:cs="Arial"/>
          <w:sz w:val="22"/>
          <w:szCs w:val="22"/>
        </w:rPr>
        <w:t>a</w:t>
      </w:r>
      <w:r>
        <w:rPr>
          <w:rFonts w:ascii="Arial" w:hAnsi="Arial" w:cs="Arial"/>
          <w:sz w:val="22"/>
          <w:szCs w:val="22"/>
        </w:rPr>
        <w:t xml:space="preserve"> evaluación expost sería un enfoque </w:t>
      </w:r>
      <w:r w:rsidR="009A028A">
        <w:rPr>
          <w:rFonts w:ascii="Arial" w:hAnsi="Arial" w:cs="Arial"/>
          <w:sz w:val="22"/>
          <w:szCs w:val="22"/>
        </w:rPr>
        <w:t xml:space="preserve">en los posibles beneficiarios del programa, analizando las características de </w:t>
      </w:r>
      <w:r w:rsidR="00A97F91">
        <w:rPr>
          <w:rFonts w:ascii="Arial" w:hAnsi="Arial" w:cs="Arial"/>
          <w:sz w:val="22"/>
          <w:szCs w:val="22"/>
        </w:rPr>
        <w:t xml:space="preserve">los </w:t>
      </w:r>
      <w:r w:rsidR="009A028A">
        <w:rPr>
          <w:rFonts w:ascii="Arial" w:hAnsi="Arial" w:cs="Arial"/>
          <w:sz w:val="22"/>
          <w:szCs w:val="22"/>
        </w:rPr>
        <w:t>productores individuales que puedan influir la decisión de implementar las zonas de amortiguación</w:t>
      </w:r>
      <w:r w:rsidR="00C45E76">
        <w:rPr>
          <w:rFonts w:ascii="Arial" w:hAnsi="Arial" w:cs="Arial"/>
          <w:sz w:val="22"/>
          <w:szCs w:val="22"/>
        </w:rPr>
        <w:t xml:space="preserve"> o de adoptar practicas agroecológicas. Este tipo de evaluación de impacto requiere la recolecta de </w:t>
      </w:r>
      <w:r w:rsidR="007F6AB6">
        <w:rPr>
          <w:rFonts w:ascii="Arial" w:hAnsi="Arial" w:cs="Arial"/>
          <w:sz w:val="22"/>
          <w:szCs w:val="22"/>
        </w:rPr>
        <w:t>información</w:t>
      </w:r>
      <w:r w:rsidR="00C45E76">
        <w:rPr>
          <w:rFonts w:ascii="Arial" w:hAnsi="Arial" w:cs="Arial"/>
          <w:sz w:val="22"/>
          <w:szCs w:val="22"/>
        </w:rPr>
        <w:t xml:space="preserve"> sobre productores en la </w:t>
      </w:r>
      <w:r w:rsidR="007F6AB6">
        <w:rPr>
          <w:rFonts w:ascii="Arial" w:hAnsi="Arial" w:cs="Arial"/>
          <w:sz w:val="22"/>
          <w:szCs w:val="22"/>
        </w:rPr>
        <w:t>línea</w:t>
      </w:r>
      <w:r w:rsidR="00C45E76">
        <w:rPr>
          <w:rFonts w:ascii="Arial" w:hAnsi="Arial" w:cs="Arial"/>
          <w:sz w:val="22"/>
          <w:szCs w:val="22"/>
        </w:rPr>
        <w:t xml:space="preserve"> base y expost del programa, lo cual pueda ser costoso, y además, no es necesariamente de interés</w:t>
      </w:r>
      <w:r w:rsidR="007F6AB6">
        <w:rPr>
          <w:rFonts w:ascii="Arial" w:hAnsi="Arial" w:cs="Arial"/>
          <w:sz w:val="22"/>
          <w:szCs w:val="22"/>
        </w:rPr>
        <w:t xml:space="preserve">. </w:t>
      </w:r>
    </w:p>
    <w:p w14:paraId="75A0C033" w14:textId="77777777" w:rsidR="007F6AB6" w:rsidRDefault="007F6AB6" w:rsidP="00792B59">
      <w:pPr>
        <w:jc w:val="both"/>
        <w:rPr>
          <w:rFonts w:ascii="Arial" w:hAnsi="Arial" w:cs="Arial"/>
          <w:sz w:val="22"/>
          <w:szCs w:val="22"/>
        </w:rPr>
      </w:pPr>
    </w:p>
    <w:p w14:paraId="2BC9BFC9" w14:textId="2310E608" w:rsidR="007638E7" w:rsidRDefault="007F6AB6" w:rsidP="00792B59">
      <w:pPr>
        <w:jc w:val="both"/>
        <w:rPr>
          <w:rFonts w:ascii="Arial" w:hAnsi="Arial" w:cs="Arial"/>
          <w:sz w:val="22"/>
          <w:szCs w:val="22"/>
        </w:rPr>
      </w:pPr>
      <w:r>
        <w:rPr>
          <w:rFonts w:ascii="Arial" w:hAnsi="Arial" w:cs="Arial"/>
          <w:sz w:val="22"/>
          <w:szCs w:val="22"/>
        </w:rPr>
        <w:t>Debido a estos factores, se decidió plantear una metodología más simple</w:t>
      </w:r>
      <w:r w:rsidR="003869C5">
        <w:rPr>
          <w:rFonts w:ascii="Arial" w:hAnsi="Arial" w:cs="Arial"/>
          <w:sz w:val="22"/>
          <w:szCs w:val="22"/>
        </w:rPr>
        <w:t xml:space="preserve">, sin </w:t>
      </w:r>
      <w:r>
        <w:rPr>
          <w:rFonts w:ascii="Arial" w:hAnsi="Arial" w:cs="Arial"/>
          <w:sz w:val="22"/>
          <w:szCs w:val="22"/>
        </w:rPr>
        <w:t>atribución,</w:t>
      </w:r>
      <w:r w:rsidR="003869C5">
        <w:rPr>
          <w:rFonts w:ascii="Arial" w:hAnsi="Arial" w:cs="Arial"/>
          <w:sz w:val="22"/>
          <w:szCs w:val="22"/>
        </w:rPr>
        <w:t xml:space="preserve"> la cual es la aplicación de un modelo de simulación (la Plataforma IEEM) y la realización de un análisis costo beneficio expost.</w:t>
      </w:r>
      <w:r w:rsidR="00F03379">
        <w:rPr>
          <w:rFonts w:ascii="Arial" w:hAnsi="Arial" w:cs="Arial"/>
          <w:sz w:val="22"/>
          <w:szCs w:val="22"/>
        </w:rPr>
        <w:t xml:space="preserve"> Para realizar este análisis, el primer paso involucra la recolecta de información sobre: (i) la </w:t>
      </w:r>
      <w:r w:rsidR="00F03379" w:rsidRPr="00F03379">
        <w:rPr>
          <w:rFonts w:ascii="Arial" w:hAnsi="Arial" w:cs="Arial"/>
          <w:sz w:val="22"/>
          <w:szCs w:val="22"/>
        </w:rPr>
        <w:t xml:space="preserve">recaudación </w:t>
      </w:r>
      <w:r w:rsidR="00901EEC">
        <w:rPr>
          <w:rFonts w:ascii="Arial" w:hAnsi="Arial" w:cs="Arial"/>
          <w:sz w:val="22"/>
          <w:szCs w:val="22"/>
        </w:rPr>
        <w:t xml:space="preserve">de fondos </w:t>
      </w:r>
      <w:r w:rsidR="00F03379" w:rsidRPr="00F03379">
        <w:rPr>
          <w:rFonts w:ascii="Arial" w:hAnsi="Arial" w:cs="Arial"/>
          <w:sz w:val="22"/>
          <w:szCs w:val="22"/>
        </w:rPr>
        <w:t xml:space="preserve">por la prestación del servicio de evaluación de </w:t>
      </w:r>
      <w:r w:rsidR="00F03379" w:rsidRPr="00F03379">
        <w:rPr>
          <w:rFonts w:ascii="Arial" w:hAnsi="Arial" w:cs="Arial"/>
          <w:sz w:val="22"/>
          <w:szCs w:val="22"/>
        </w:rPr>
        <w:lastRenderedPageBreak/>
        <w:t>impacto ambiental a emprendimientos</w:t>
      </w:r>
      <w:r w:rsidR="00901EEC">
        <w:rPr>
          <w:rFonts w:ascii="Arial" w:hAnsi="Arial" w:cs="Arial"/>
          <w:sz w:val="22"/>
          <w:szCs w:val="22"/>
        </w:rPr>
        <w:t>, mecanismo que se implementará con el apoyo del presente programa</w:t>
      </w:r>
      <w:r w:rsidR="00D60065">
        <w:rPr>
          <w:rFonts w:ascii="Arial" w:hAnsi="Arial" w:cs="Arial"/>
          <w:sz w:val="22"/>
          <w:szCs w:val="22"/>
        </w:rPr>
        <w:t xml:space="preserve"> (objetivo 1, resultado 2 del programa)</w:t>
      </w:r>
      <w:r w:rsidR="00F03379" w:rsidRPr="00F03379">
        <w:rPr>
          <w:rFonts w:ascii="Arial" w:hAnsi="Arial" w:cs="Arial"/>
          <w:sz w:val="22"/>
          <w:szCs w:val="22"/>
        </w:rPr>
        <w:t xml:space="preserve">; (ii) </w:t>
      </w:r>
      <w:r w:rsidR="007638E7">
        <w:rPr>
          <w:rFonts w:ascii="Arial" w:hAnsi="Arial" w:cs="Arial"/>
          <w:sz w:val="22"/>
          <w:szCs w:val="22"/>
        </w:rPr>
        <w:t>el incremento e</w:t>
      </w:r>
      <w:r w:rsidR="00F03379" w:rsidRPr="00F03379">
        <w:rPr>
          <w:rFonts w:ascii="Arial" w:hAnsi="Arial" w:cs="Arial"/>
          <w:sz w:val="22"/>
          <w:szCs w:val="22"/>
        </w:rPr>
        <w:t>n la eficiencia de las actividades de monitoreo y control</w:t>
      </w:r>
      <w:r w:rsidR="007638E7">
        <w:rPr>
          <w:rFonts w:ascii="Arial" w:hAnsi="Arial" w:cs="Arial"/>
          <w:sz w:val="22"/>
          <w:szCs w:val="22"/>
        </w:rPr>
        <w:t xml:space="preserve"> y los ahorros que este ha generado</w:t>
      </w:r>
      <w:r w:rsidR="00D60065">
        <w:rPr>
          <w:rFonts w:ascii="Arial" w:hAnsi="Arial" w:cs="Arial"/>
          <w:sz w:val="22"/>
          <w:szCs w:val="22"/>
        </w:rPr>
        <w:t xml:space="preserve"> (</w:t>
      </w:r>
      <w:r w:rsidR="00797677">
        <w:rPr>
          <w:rFonts w:ascii="Arial" w:hAnsi="Arial" w:cs="Arial"/>
          <w:sz w:val="22"/>
          <w:szCs w:val="22"/>
        </w:rPr>
        <w:t>objetivo 1, resultado 3)</w:t>
      </w:r>
      <w:r w:rsidR="007638E7">
        <w:rPr>
          <w:rFonts w:ascii="Arial" w:hAnsi="Arial" w:cs="Arial"/>
          <w:sz w:val="22"/>
          <w:szCs w:val="22"/>
        </w:rPr>
        <w:t xml:space="preserve">, y; </w:t>
      </w:r>
      <w:r w:rsidR="00F03379" w:rsidRPr="00F03379">
        <w:rPr>
          <w:rFonts w:ascii="Arial" w:hAnsi="Arial" w:cs="Arial"/>
          <w:sz w:val="22"/>
          <w:szCs w:val="22"/>
        </w:rPr>
        <w:t>(iii)</w:t>
      </w:r>
      <w:r w:rsidR="007638E7">
        <w:rPr>
          <w:rFonts w:ascii="Arial" w:hAnsi="Arial" w:cs="Arial"/>
          <w:sz w:val="22"/>
          <w:szCs w:val="22"/>
        </w:rPr>
        <w:t xml:space="preserve"> el </w:t>
      </w:r>
      <w:r w:rsidR="00F03379" w:rsidRPr="00F03379">
        <w:rPr>
          <w:rFonts w:ascii="Arial" w:hAnsi="Arial" w:cs="Arial"/>
          <w:sz w:val="22"/>
          <w:szCs w:val="22"/>
        </w:rPr>
        <w:t>área de zonas de amortiguación establecido a través del programa</w:t>
      </w:r>
      <w:r w:rsidR="007D101C">
        <w:rPr>
          <w:rFonts w:ascii="Arial" w:hAnsi="Arial" w:cs="Arial"/>
          <w:sz w:val="22"/>
          <w:szCs w:val="22"/>
        </w:rPr>
        <w:t xml:space="preserve"> (objetivo 2, resultado 1)</w:t>
      </w:r>
      <w:r w:rsidR="007638E7">
        <w:rPr>
          <w:rFonts w:ascii="Arial" w:hAnsi="Arial" w:cs="Arial"/>
          <w:sz w:val="22"/>
          <w:szCs w:val="22"/>
        </w:rPr>
        <w:t>.</w:t>
      </w:r>
      <w:r w:rsidR="007D101C">
        <w:rPr>
          <w:rFonts w:ascii="Arial" w:hAnsi="Arial" w:cs="Arial"/>
          <w:sz w:val="22"/>
          <w:szCs w:val="22"/>
        </w:rPr>
        <w:t xml:space="preserve"> </w:t>
      </w:r>
    </w:p>
    <w:p w14:paraId="2A5DE791" w14:textId="77777777" w:rsidR="0045025E" w:rsidRDefault="0045025E" w:rsidP="00AB492C">
      <w:pPr>
        <w:keepNext/>
        <w:jc w:val="both"/>
        <w:rPr>
          <w:rFonts w:ascii="Arial" w:hAnsi="Arial" w:cs="Arial"/>
          <w:sz w:val="22"/>
          <w:szCs w:val="22"/>
        </w:rPr>
      </w:pPr>
    </w:p>
    <w:p w14:paraId="04C70126" w14:textId="11042BEF" w:rsidR="00797677" w:rsidRDefault="00797677" w:rsidP="00F134B3">
      <w:pPr>
        <w:keepNext/>
        <w:jc w:val="both"/>
        <w:rPr>
          <w:rFonts w:ascii="Arial" w:hAnsi="Arial" w:cs="Arial"/>
          <w:sz w:val="22"/>
          <w:szCs w:val="22"/>
        </w:rPr>
      </w:pPr>
      <w:r>
        <w:rPr>
          <w:rFonts w:ascii="Arial" w:hAnsi="Arial" w:cs="Arial"/>
          <w:sz w:val="22"/>
          <w:szCs w:val="22"/>
        </w:rPr>
        <w:t xml:space="preserve">Tabla 1. Objetivo, resultado </w:t>
      </w:r>
      <w:r w:rsidR="002B2462">
        <w:rPr>
          <w:rFonts w:ascii="Arial" w:hAnsi="Arial" w:cs="Arial"/>
          <w:sz w:val="22"/>
          <w:szCs w:val="22"/>
        </w:rPr>
        <w:t>e</w:t>
      </w:r>
      <w:r>
        <w:rPr>
          <w:rFonts w:ascii="Arial" w:hAnsi="Arial" w:cs="Arial"/>
          <w:sz w:val="22"/>
          <w:szCs w:val="22"/>
        </w:rPr>
        <w:t xml:space="preserve"> indicador de variables de interés para la evaluación económico expost.</w:t>
      </w:r>
    </w:p>
    <w:tbl>
      <w:tblPr>
        <w:tblStyle w:val="TableGrid"/>
        <w:tblW w:w="0" w:type="auto"/>
        <w:tblLook w:val="04A0" w:firstRow="1" w:lastRow="0" w:firstColumn="1" w:lastColumn="0" w:noHBand="0" w:noVBand="1"/>
      </w:tblPr>
      <w:tblGrid>
        <w:gridCol w:w="3054"/>
        <w:gridCol w:w="3054"/>
        <w:gridCol w:w="3055"/>
      </w:tblGrid>
      <w:tr w:rsidR="00797677" w14:paraId="4C0FE4EA" w14:textId="77777777" w:rsidTr="00797677">
        <w:tc>
          <w:tcPr>
            <w:tcW w:w="3054" w:type="dxa"/>
          </w:tcPr>
          <w:p w14:paraId="3E59339B" w14:textId="63040A0B" w:rsidR="00797677" w:rsidRPr="00F134B3" w:rsidRDefault="007E79C3" w:rsidP="00F134B3">
            <w:pPr>
              <w:keepNext/>
              <w:jc w:val="both"/>
              <w:rPr>
                <w:rFonts w:ascii="Arial" w:hAnsi="Arial" w:cs="Arial"/>
                <w:b/>
                <w:bCs/>
                <w:sz w:val="22"/>
                <w:szCs w:val="22"/>
              </w:rPr>
            </w:pPr>
            <w:r w:rsidRPr="00F134B3">
              <w:rPr>
                <w:rFonts w:ascii="Arial" w:hAnsi="Arial" w:cs="Arial"/>
                <w:b/>
                <w:bCs/>
                <w:sz w:val="22"/>
                <w:szCs w:val="22"/>
              </w:rPr>
              <w:t>Resultado</w:t>
            </w:r>
          </w:p>
        </w:tc>
        <w:tc>
          <w:tcPr>
            <w:tcW w:w="3054" w:type="dxa"/>
          </w:tcPr>
          <w:p w14:paraId="7F1D8F75" w14:textId="60BB128B" w:rsidR="007E79C3" w:rsidRPr="00F134B3" w:rsidRDefault="00EC41B6" w:rsidP="00F134B3">
            <w:pPr>
              <w:keepNext/>
              <w:jc w:val="both"/>
              <w:rPr>
                <w:rFonts w:ascii="Arial" w:hAnsi="Arial" w:cs="Arial"/>
                <w:b/>
                <w:bCs/>
                <w:sz w:val="22"/>
                <w:szCs w:val="22"/>
              </w:rPr>
            </w:pPr>
            <w:r>
              <w:rPr>
                <w:rFonts w:ascii="Arial" w:hAnsi="Arial" w:cs="Arial"/>
                <w:b/>
                <w:bCs/>
                <w:sz w:val="22"/>
                <w:szCs w:val="22"/>
              </w:rPr>
              <w:t xml:space="preserve">Variable </w:t>
            </w:r>
            <w:r w:rsidR="007D07D3">
              <w:rPr>
                <w:rFonts w:ascii="Arial" w:hAnsi="Arial" w:cs="Arial"/>
                <w:b/>
                <w:bCs/>
                <w:sz w:val="22"/>
                <w:szCs w:val="22"/>
              </w:rPr>
              <w:t>de</w:t>
            </w:r>
            <w:r>
              <w:rPr>
                <w:rFonts w:ascii="Arial" w:hAnsi="Arial" w:cs="Arial"/>
                <w:b/>
                <w:bCs/>
                <w:sz w:val="22"/>
                <w:szCs w:val="22"/>
              </w:rPr>
              <w:t xml:space="preserve"> la </w:t>
            </w:r>
            <w:r w:rsidR="007D07D3">
              <w:rPr>
                <w:rFonts w:ascii="Arial" w:hAnsi="Arial" w:cs="Arial"/>
                <w:b/>
                <w:bCs/>
                <w:sz w:val="22"/>
                <w:szCs w:val="22"/>
              </w:rPr>
              <w:t>e</w:t>
            </w:r>
            <w:r>
              <w:rPr>
                <w:rFonts w:ascii="Arial" w:hAnsi="Arial" w:cs="Arial"/>
                <w:b/>
                <w:bCs/>
                <w:sz w:val="22"/>
                <w:szCs w:val="22"/>
              </w:rPr>
              <w:t>valuación</w:t>
            </w:r>
          </w:p>
        </w:tc>
        <w:tc>
          <w:tcPr>
            <w:tcW w:w="3055" w:type="dxa"/>
          </w:tcPr>
          <w:p w14:paraId="2C1566A7" w14:textId="269FE3A5" w:rsidR="00797677" w:rsidRPr="00F134B3" w:rsidRDefault="007E79C3" w:rsidP="00F134B3">
            <w:pPr>
              <w:keepNext/>
              <w:jc w:val="both"/>
              <w:rPr>
                <w:rFonts w:ascii="Arial" w:hAnsi="Arial" w:cs="Arial"/>
                <w:b/>
                <w:bCs/>
                <w:sz w:val="22"/>
                <w:szCs w:val="22"/>
              </w:rPr>
            </w:pPr>
            <w:r w:rsidRPr="00F134B3">
              <w:rPr>
                <w:rFonts w:ascii="Arial" w:hAnsi="Arial" w:cs="Arial"/>
                <w:b/>
                <w:bCs/>
                <w:sz w:val="22"/>
                <w:szCs w:val="22"/>
              </w:rPr>
              <w:t>Fuente de información</w:t>
            </w:r>
          </w:p>
        </w:tc>
      </w:tr>
      <w:tr w:rsidR="007E79C3" w14:paraId="1320A59A" w14:textId="77777777" w:rsidTr="00F134B3">
        <w:tc>
          <w:tcPr>
            <w:tcW w:w="9163" w:type="dxa"/>
            <w:gridSpan w:val="3"/>
            <w:shd w:val="clear" w:color="auto" w:fill="92D050"/>
          </w:tcPr>
          <w:p w14:paraId="4BD05A2F" w14:textId="0E1304A1" w:rsidR="007E79C3" w:rsidRPr="00F134B3" w:rsidRDefault="007E79C3" w:rsidP="00F134B3">
            <w:pPr>
              <w:keepNext/>
              <w:jc w:val="center"/>
              <w:rPr>
                <w:rFonts w:ascii="Arial" w:hAnsi="Arial" w:cs="Arial"/>
                <w:b/>
                <w:bCs/>
                <w:sz w:val="22"/>
                <w:szCs w:val="22"/>
              </w:rPr>
            </w:pPr>
            <w:r w:rsidRPr="00F134B3">
              <w:rPr>
                <w:rFonts w:ascii="Arial" w:hAnsi="Arial" w:cs="Arial"/>
                <w:b/>
                <w:bCs/>
                <w:sz w:val="22"/>
                <w:szCs w:val="22"/>
              </w:rPr>
              <w:t>Objetivo 1: Fortalecer las funciones de planificación estratégica, evaluación, control y monitoreo ambiental del MVOTMA.</w:t>
            </w:r>
          </w:p>
        </w:tc>
      </w:tr>
      <w:tr w:rsidR="00797677" w14:paraId="300C8E10" w14:textId="77777777" w:rsidTr="00797677">
        <w:tc>
          <w:tcPr>
            <w:tcW w:w="3054" w:type="dxa"/>
          </w:tcPr>
          <w:p w14:paraId="667DC754" w14:textId="7CE95AEB" w:rsidR="00797677" w:rsidRDefault="00352604" w:rsidP="00F134B3">
            <w:pPr>
              <w:keepNext/>
              <w:jc w:val="both"/>
              <w:rPr>
                <w:rFonts w:ascii="Arial" w:hAnsi="Arial" w:cs="Arial"/>
                <w:sz w:val="22"/>
                <w:szCs w:val="22"/>
              </w:rPr>
            </w:pPr>
            <w:r w:rsidRPr="00352604">
              <w:rPr>
                <w:rFonts w:ascii="Arial" w:hAnsi="Arial" w:cs="Arial"/>
                <w:sz w:val="22"/>
                <w:szCs w:val="22"/>
              </w:rPr>
              <w:t>El MVOTMA mejora la sustentabilidad de los servicios de gestión ambiental por medio del cobro  de tarifas de autorizaciones y permisos ambientales.</w:t>
            </w:r>
          </w:p>
        </w:tc>
        <w:tc>
          <w:tcPr>
            <w:tcW w:w="3054" w:type="dxa"/>
          </w:tcPr>
          <w:p w14:paraId="0254DF2D" w14:textId="2B61769E" w:rsidR="00797677" w:rsidRDefault="007D07D3" w:rsidP="00F134B3">
            <w:pPr>
              <w:keepNext/>
              <w:jc w:val="both"/>
              <w:rPr>
                <w:rFonts w:ascii="Arial" w:hAnsi="Arial" w:cs="Arial"/>
                <w:sz w:val="22"/>
                <w:szCs w:val="22"/>
              </w:rPr>
            </w:pPr>
            <w:r>
              <w:rPr>
                <w:rFonts w:ascii="Arial" w:hAnsi="Arial" w:cs="Arial"/>
                <w:sz w:val="22"/>
                <w:szCs w:val="22"/>
              </w:rPr>
              <w:t xml:space="preserve">Ingresos (US$) del sistema de cobro de tarifas. </w:t>
            </w:r>
          </w:p>
        </w:tc>
        <w:tc>
          <w:tcPr>
            <w:tcW w:w="3055" w:type="dxa"/>
          </w:tcPr>
          <w:p w14:paraId="0D0265EB" w14:textId="265C6F75" w:rsidR="00797677" w:rsidRDefault="001B11A1" w:rsidP="00F134B3">
            <w:pPr>
              <w:keepNext/>
              <w:jc w:val="both"/>
              <w:rPr>
                <w:rFonts w:ascii="Arial" w:hAnsi="Arial" w:cs="Arial"/>
                <w:sz w:val="22"/>
                <w:szCs w:val="22"/>
              </w:rPr>
            </w:pPr>
            <w:r>
              <w:rPr>
                <w:rFonts w:ascii="Arial" w:hAnsi="Arial" w:cs="Arial"/>
                <w:sz w:val="22"/>
                <w:szCs w:val="22"/>
              </w:rPr>
              <w:t>Presupuesto del gobierno y entrevistas con Direcciones del MVOTMA.</w:t>
            </w:r>
          </w:p>
        </w:tc>
      </w:tr>
      <w:tr w:rsidR="00797677" w14:paraId="1B40CF3B" w14:textId="77777777" w:rsidTr="00797677">
        <w:tc>
          <w:tcPr>
            <w:tcW w:w="3054" w:type="dxa"/>
          </w:tcPr>
          <w:p w14:paraId="6CB2D44B" w14:textId="694A2545" w:rsidR="00797677" w:rsidRDefault="00352604" w:rsidP="00F134B3">
            <w:pPr>
              <w:keepNext/>
              <w:jc w:val="both"/>
              <w:rPr>
                <w:rFonts w:ascii="Arial" w:hAnsi="Arial" w:cs="Arial"/>
                <w:sz w:val="22"/>
                <w:szCs w:val="22"/>
              </w:rPr>
            </w:pPr>
            <w:r w:rsidRPr="00352604">
              <w:rPr>
                <w:rFonts w:ascii="Arial" w:hAnsi="Arial" w:cs="Arial"/>
                <w:sz w:val="22"/>
                <w:szCs w:val="22"/>
              </w:rPr>
              <w:t>Incrementa la eficacia de las funciones de control y evaluación.</w:t>
            </w:r>
          </w:p>
        </w:tc>
        <w:tc>
          <w:tcPr>
            <w:tcW w:w="3054" w:type="dxa"/>
          </w:tcPr>
          <w:p w14:paraId="23871FB2" w14:textId="272C907E" w:rsidR="00797677" w:rsidRDefault="007D07D3" w:rsidP="00F134B3">
            <w:pPr>
              <w:keepNext/>
              <w:jc w:val="both"/>
              <w:rPr>
                <w:rFonts w:ascii="Arial" w:hAnsi="Arial" w:cs="Arial"/>
                <w:sz w:val="22"/>
                <w:szCs w:val="22"/>
              </w:rPr>
            </w:pPr>
            <w:r>
              <w:rPr>
                <w:rFonts w:ascii="Arial" w:hAnsi="Arial" w:cs="Arial"/>
                <w:sz w:val="22"/>
                <w:szCs w:val="22"/>
              </w:rPr>
              <w:t xml:space="preserve">Ahorros en costos (US$) del MVOTMA asociados al monitoreo y control, especialmente relacionados con ahorros de visitas a campo. </w:t>
            </w:r>
          </w:p>
        </w:tc>
        <w:tc>
          <w:tcPr>
            <w:tcW w:w="3055" w:type="dxa"/>
          </w:tcPr>
          <w:p w14:paraId="11D7B4D3" w14:textId="269CEDFE" w:rsidR="00797677" w:rsidRDefault="001B11A1" w:rsidP="00F134B3">
            <w:pPr>
              <w:keepNext/>
              <w:jc w:val="both"/>
              <w:rPr>
                <w:rFonts w:ascii="Arial" w:hAnsi="Arial" w:cs="Arial"/>
                <w:sz w:val="22"/>
                <w:szCs w:val="22"/>
              </w:rPr>
            </w:pPr>
            <w:r>
              <w:rPr>
                <w:rFonts w:ascii="Arial" w:hAnsi="Arial" w:cs="Arial"/>
                <w:sz w:val="22"/>
                <w:szCs w:val="22"/>
              </w:rPr>
              <w:t>Presupuesto del gobierno y entrevistas con Direcciones del MVOTMA.</w:t>
            </w:r>
          </w:p>
        </w:tc>
      </w:tr>
      <w:tr w:rsidR="00E527F2" w14:paraId="028A1B42" w14:textId="77777777" w:rsidTr="00F134B3">
        <w:tc>
          <w:tcPr>
            <w:tcW w:w="9163" w:type="dxa"/>
            <w:gridSpan w:val="3"/>
            <w:shd w:val="clear" w:color="auto" w:fill="92D050"/>
          </w:tcPr>
          <w:p w14:paraId="66CA862B" w14:textId="21E3C40F" w:rsidR="00E527F2" w:rsidRPr="00F134B3" w:rsidRDefault="00E527F2" w:rsidP="00F134B3">
            <w:pPr>
              <w:keepNext/>
              <w:jc w:val="center"/>
              <w:rPr>
                <w:rFonts w:ascii="Arial" w:hAnsi="Arial" w:cs="Arial"/>
                <w:b/>
                <w:bCs/>
                <w:sz w:val="22"/>
                <w:szCs w:val="22"/>
              </w:rPr>
            </w:pPr>
            <w:r w:rsidRPr="00F134B3">
              <w:rPr>
                <w:rFonts w:ascii="Arial" w:hAnsi="Arial" w:cs="Arial"/>
                <w:b/>
                <w:bCs/>
                <w:sz w:val="22"/>
                <w:szCs w:val="22"/>
              </w:rPr>
              <w:t>Objetivo 2: Fortalecer la gestión integrada de cuencas prioritarias con énfasis en la disminución de cargas contaminantes de origen agropecuaria</w:t>
            </w:r>
          </w:p>
        </w:tc>
      </w:tr>
      <w:tr w:rsidR="00E527F2" w14:paraId="22AAA012" w14:textId="77777777" w:rsidTr="00797677">
        <w:tc>
          <w:tcPr>
            <w:tcW w:w="3054" w:type="dxa"/>
          </w:tcPr>
          <w:p w14:paraId="5FFD9F07" w14:textId="013661E7" w:rsidR="00E527F2" w:rsidRDefault="00E527F2" w:rsidP="00F134B3">
            <w:pPr>
              <w:keepNext/>
              <w:jc w:val="both"/>
              <w:rPr>
                <w:rFonts w:ascii="Arial" w:hAnsi="Arial" w:cs="Arial"/>
                <w:sz w:val="22"/>
                <w:szCs w:val="22"/>
              </w:rPr>
            </w:pPr>
            <w:r w:rsidRPr="00E527F2">
              <w:rPr>
                <w:rFonts w:ascii="Arial" w:hAnsi="Arial" w:cs="Arial"/>
                <w:sz w:val="22"/>
                <w:szCs w:val="22"/>
              </w:rPr>
              <w:t>Reducción en las cargas contaminantes de origen difuso en cuencas prioritarias.</w:t>
            </w:r>
          </w:p>
        </w:tc>
        <w:tc>
          <w:tcPr>
            <w:tcW w:w="3054" w:type="dxa"/>
          </w:tcPr>
          <w:p w14:paraId="1FCAC6AE" w14:textId="1B5105AE" w:rsidR="00E527F2" w:rsidRDefault="00E527F2" w:rsidP="00F134B3">
            <w:pPr>
              <w:keepNext/>
              <w:jc w:val="both"/>
              <w:rPr>
                <w:rFonts w:ascii="Arial" w:hAnsi="Arial" w:cs="Arial"/>
                <w:sz w:val="22"/>
                <w:szCs w:val="22"/>
              </w:rPr>
            </w:pPr>
            <w:r w:rsidRPr="00E527F2">
              <w:rPr>
                <w:rFonts w:ascii="Arial" w:hAnsi="Arial" w:cs="Arial"/>
                <w:sz w:val="22"/>
                <w:szCs w:val="22"/>
              </w:rPr>
              <w:t>Área</w:t>
            </w:r>
            <w:r w:rsidR="007D07D3">
              <w:rPr>
                <w:rFonts w:ascii="Arial" w:hAnsi="Arial" w:cs="Arial"/>
                <w:sz w:val="22"/>
                <w:szCs w:val="22"/>
              </w:rPr>
              <w:t xml:space="preserve"> (Ha)</w:t>
            </w:r>
            <w:r w:rsidRPr="00E527F2">
              <w:rPr>
                <w:rFonts w:ascii="Arial" w:hAnsi="Arial" w:cs="Arial"/>
                <w:sz w:val="22"/>
                <w:szCs w:val="22"/>
              </w:rPr>
              <w:t xml:space="preserve"> de zona de amortiguación</w:t>
            </w:r>
            <w:r w:rsidR="007D07D3">
              <w:rPr>
                <w:rFonts w:ascii="Arial" w:hAnsi="Arial" w:cs="Arial"/>
                <w:sz w:val="22"/>
                <w:szCs w:val="22"/>
              </w:rPr>
              <w:t xml:space="preserve"> establecido.</w:t>
            </w:r>
          </w:p>
        </w:tc>
        <w:tc>
          <w:tcPr>
            <w:tcW w:w="3055" w:type="dxa"/>
          </w:tcPr>
          <w:p w14:paraId="4134D3B5" w14:textId="776C39B2" w:rsidR="00E527F2" w:rsidRDefault="001B11A1" w:rsidP="00F134B3">
            <w:pPr>
              <w:keepNext/>
              <w:jc w:val="both"/>
              <w:rPr>
                <w:rFonts w:ascii="Arial" w:hAnsi="Arial" w:cs="Arial"/>
                <w:sz w:val="22"/>
                <w:szCs w:val="22"/>
              </w:rPr>
            </w:pPr>
            <w:r>
              <w:rPr>
                <w:rFonts w:ascii="Arial" w:hAnsi="Arial" w:cs="Arial"/>
                <w:sz w:val="22"/>
                <w:szCs w:val="22"/>
              </w:rPr>
              <w:t xml:space="preserve">Sistema de Información </w:t>
            </w:r>
            <w:r w:rsidR="002B2462">
              <w:rPr>
                <w:rFonts w:ascii="Arial" w:hAnsi="Arial" w:cs="Arial"/>
                <w:sz w:val="22"/>
                <w:szCs w:val="22"/>
              </w:rPr>
              <w:t xml:space="preserve">Ambiental </w:t>
            </w:r>
            <w:r>
              <w:rPr>
                <w:rFonts w:ascii="Arial" w:hAnsi="Arial" w:cs="Arial"/>
                <w:sz w:val="22"/>
                <w:szCs w:val="22"/>
              </w:rPr>
              <w:t xml:space="preserve">del MVOTMA y entrevistas con </w:t>
            </w:r>
            <w:r w:rsidR="00F86802">
              <w:rPr>
                <w:rFonts w:ascii="Arial" w:hAnsi="Arial" w:cs="Arial"/>
                <w:sz w:val="22"/>
                <w:szCs w:val="22"/>
              </w:rPr>
              <w:t xml:space="preserve">el Área de Información, Planificación y Calidad Ambiental de </w:t>
            </w:r>
            <w:r>
              <w:rPr>
                <w:rFonts w:ascii="Arial" w:hAnsi="Arial" w:cs="Arial"/>
                <w:sz w:val="22"/>
                <w:szCs w:val="22"/>
              </w:rPr>
              <w:t>la DINAMA.</w:t>
            </w:r>
          </w:p>
        </w:tc>
      </w:tr>
    </w:tbl>
    <w:p w14:paraId="5DF64A18" w14:textId="7C1273F5" w:rsidR="00797677" w:rsidRDefault="00797677" w:rsidP="00F134B3">
      <w:pPr>
        <w:keepNext/>
        <w:jc w:val="both"/>
        <w:rPr>
          <w:rFonts w:ascii="Arial" w:hAnsi="Arial" w:cs="Arial"/>
          <w:sz w:val="22"/>
          <w:szCs w:val="22"/>
        </w:rPr>
      </w:pPr>
      <w:r>
        <w:rPr>
          <w:rFonts w:ascii="Arial" w:hAnsi="Arial" w:cs="Arial"/>
          <w:sz w:val="22"/>
          <w:szCs w:val="22"/>
        </w:rPr>
        <w:t xml:space="preserve">Fuente: Matriz de resultados del programa. </w:t>
      </w:r>
    </w:p>
    <w:p w14:paraId="179B8C01" w14:textId="77777777" w:rsidR="00797677" w:rsidRDefault="00797677" w:rsidP="00792B59">
      <w:pPr>
        <w:jc w:val="both"/>
        <w:rPr>
          <w:rFonts w:ascii="Arial" w:hAnsi="Arial" w:cs="Arial"/>
          <w:sz w:val="22"/>
          <w:szCs w:val="22"/>
        </w:rPr>
      </w:pPr>
    </w:p>
    <w:p w14:paraId="31D80FBF" w14:textId="5B1A219D" w:rsidR="00F86802" w:rsidRDefault="007D101C" w:rsidP="00792B59">
      <w:pPr>
        <w:jc w:val="both"/>
        <w:rPr>
          <w:rFonts w:ascii="Arial" w:hAnsi="Arial" w:cs="Arial"/>
          <w:sz w:val="22"/>
          <w:szCs w:val="22"/>
        </w:rPr>
      </w:pPr>
      <w:r>
        <w:rPr>
          <w:rFonts w:ascii="Arial" w:hAnsi="Arial" w:cs="Arial"/>
          <w:sz w:val="22"/>
          <w:szCs w:val="22"/>
        </w:rPr>
        <w:t xml:space="preserve">La tabla 1 presenta </w:t>
      </w:r>
      <w:r w:rsidR="00EC41B6">
        <w:rPr>
          <w:rFonts w:ascii="Arial" w:hAnsi="Arial" w:cs="Arial"/>
          <w:sz w:val="22"/>
          <w:szCs w:val="22"/>
        </w:rPr>
        <w:t xml:space="preserve">los objetivos y resultados sujetos a la evaluación </w:t>
      </w:r>
      <w:r w:rsidR="008D41F8">
        <w:rPr>
          <w:rFonts w:ascii="Arial" w:hAnsi="Arial" w:cs="Arial"/>
          <w:sz w:val="22"/>
          <w:szCs w:val="22"/>
        </w:rPr>
        <w:t>económica</w:t>
      </w:r>
      <w:r w:rsidR="00EC41B6">
        <w:rPr>
          <w:rFonts w:ascii="Arial" w:hAnsi="Arial" w:cs="Arial"/>
          <w:sz w:val="22"/>
          <w:szCs w:val="22"/>
        </w:rPr>
        <w:t xml:space="preserve"> expost y la fuente de información para su recolección. </w:t>
      </w:r>
      <w:r w:rsidR="007638E7">
        <w:rPr>
          <w:rFonts w:ascii="Arial" w:hAnsi="Arial" w:cs="Arial"/>
          <w:sz w:val="22"/>
          <w:szCs w:val="22"/>
        </w:rPr>
        <w:t>La primera, l</w:t>
      </w:r>
      <w:r w:rsidR="00671DA4">
        <w:rPr>
          <w:rFonts w:ascii="Arial" w:hAnsi="Arial" w:cs="Arial"/>
          <w:sz w:val="22"/>
          <w:szCs w:val="22"/>
        </w:rPr>
        <w:t xml:space="preserve">os ingresos del nuevo sistema de cobro por servicios, se </w:t>
      </w:r>
      <w:r w:rsidR="007638E7">
        <w:rPr>
          <w:rFonts w:ascii="Arial" w:hAnsi="Arial" w:cs="Arial"/>
          <w:sz w:val="22"/>
          <w:szCs w:val="22"/>
        </w:rPr>
        <w:t xml:space="preserve">puede conseguir a través del análisis del presupuesto del MVOTMA </w:t>
      </w:r>
      <w:r w:rsidR="009A6378">
        <w:rPr>
          <w:rFonts w:ascii="Arial" w:hAnsi="Arial" w:cs="Arial"/>
          <w:sz w:val="22"/>
          <w:szCs w:val="22"/>
        </w:rPr>
        <w:t>como se realizó en el caso del análisis exante</w:t>
      </w:r>
      <w:r w:rsidR="00671DA4">
        <w:rPr>
          <w:rFonts w:ascii="Arial" w:hAnsi="Arial" w:cs="Arial"/>
          <w:sz w:val="22"/>
          <w:szCs w:val="22"/>
        </w:rPr>
        <w:t xml:space="preserve">. Esta información </w:t>
      </w:r>
      <w:proofErr w:type="spellStart"/>
      <w:r w:rsidR="00671DA4">
        <w:rPr>
          <w:rFonts w:ascii="Arial" w:hAnsi="Arial" w:cs="Arial"/>
          <w:sz w:val="22"/>
          <w:szCs w:val="22"/>
        </w:rPr>
        <w:t>esta</w:t>
      </w:r>
      <w:proofErr w:type="spellEnd"/>
      <w:r w:rsidR="00671DA4">
        <w:rPr>
          <w:rFonts w:ascii="Arial" w:hAnsi="Arial" w:cs="Arial"/>
          <w:sz w:val="22"/>
          <w:szCs w:val="22"/>
        </w:rPr>
        <w:t xml:space="preserve"> disponible al público</w:t>
      </w:r>
      <w:r w:rsidR="00F06FC0">
        <w:rPr>
          <w:rFonts w:ascii="Arial" w:hAnsi="Arial" w:cs="Arial"/>
          <w:sz w:val="22"/>
          <w:szCs w:val="22"/>
        </w:rPr>
        <w:t xml:space="preserve"> a través del Portal de Transparencia Presupuestaria del Gobierno de Uruguay</w:t>
      </w:r>
      <w:r w:rsidR="00F06FC0">
        <w:rPr>
          <w:rStyle w:val="FootnoteReference"/>
          <w:rFonts w:cs="Arial"/>
          <w:szCs w:val="22"/>
        </w:rPr>
        <w:footnoteReference w:id="3"/>
      </w:r>
      <w:r w:rsidR="00F06FC0">
        <w:rPr>
          <w:rFonts w:ascii="Arial" w:hAnsi="Arial" w:cs="Arial"/>
          <w:sz w:val="22"/>
          <w:szCs w:val="22"/>
        </w:rPr>
        <w:t xml:space="preserve">. </w:t>
      </w:r>
      <w:r w:rsidR="00671DA4">
        <w:rPr>
          <w:rFonts w:ascii="Arial" w:hAnsi="Arial" w:cs="Arial"/>
          <w:sz w:val="22"/>
          <w:szCs w:val="22"/>
        </w:rPr>
        <w:t>La</w:t>
      </w:r>
      <w:r w:rsidR="00F06FC0">
        <w:rPr>
          <w:rFonts w:ascii="Arial" w:hAnsi="Arial" w:cs="Arial"/>
          <w:sz w:val="22"/>
          <w:szCs w:val="22"/>
        </w:rPr>
        <w:t xml:space="preserve"> información</w:t>
      </w:r>
      <w:r w:rsidR="00671DA4">
        <w:rPr>
          <w:rFonts w:ascii="Arial" w:hAnsi="Arial" w:cs="Arial"/>
          <w:sz w:val="22"/>
          <w:szCs w:val="22"/>
        </w:rPr>
        <w:t xml:space="preserve"> recopilada</w:t>
      </w:r>
      <w:r w:rsidR="00F06FC0">
        <w:rPr>
          <w:rFonts w:ascii="Arial" w:hAnsi="Arial" w:cs="Arial"/>
          <w:sz w:val="22"/>
          <w:szCs w:val="22"/>
        </w:rPr>
        <w:t xml:space="preserve"> se confirmará con </w:t>
      </w:r>
      <w:r w:rsidR="00141867">
        <w:rPr>
          <w:rFonts w:ascii="Arial" w:hAnsi="Arial" w:cs="Arial"/>
          <w:sz w:val="22"/>
          <w:szCs w:val="22"/>
        </w:rPr>
        <w:t>las Direcciones del MVOTMA y así permitiendo un desglose mayor e información más reciente de la que pueda aparecer a través de los sistemas de información del Gobierno</w:t>
      </w:r>
      <w:r w:rsidR="008D41F8">
        <w:rPr>
          <w:rFonts w:ascii="Arial" w:hAnsi="Arial" w:cs="Arial"/>
          <w:sz w:val="22"/>
          <w:szCs w:val="22"/>
        </w:rPr>
        <w:t xml:space="preserve"> en línea</w:t>
      </w:r>
      <w:r w:rsidR="00141867">
        <w:rPr>
          <w:rFonts w:ascii="Arial" w:hAnsi="Arial" w:cs="Arial"/>
          <w:sz w:val="22"/>
          <w:szCs w:val="22"/>
        </w:rPr>
        <w:t xml:space="preserve">. </w:t>
      </w:r>
    </w:p>
    <w:p w14:paraId="7837DA36" w14:textId="77777777" w:rsidR="00F86802" w:rsidRDefault="00F86802" w:rsidP="00792B59">
      <w:pPr>
        <w:jc w:val="both"/>
        <w:rPr>
          <w:rFonts w:ascii="Arial" w:hAnsi="Arial" w:cs="Arial"/>
          <w:sz w:val="22"/>
          <w:szCs w:val="22"/>
        </w:rPr>
      </w:pPr>
    </w:p>
    <w:p w14:paraId="5A5C1FD4" w14:textId="77777777" w:rsidR="00F86802" w:rsidRDefault="00141867" w:rsidP="00792B59">
      <w:pPr>
        <w:jc w:val="both"/>
        <w:rPr>
          <w:rFonts w:ascii="Arial" w:hAnsi="Arial" w:cs="Arial"/>
          <w:sz w:val="22"/>
          <w:szCs w:val="22"/>
        </w:rPr>
      </w:pPr>
      <w:r>
        <w:rPr>
          <w:rFonts w:ascii="Arial" w:hAnsi="Arial" w:cs="Arial"/>
          <w:sz w:val="22"/>
          <w:szCs w:val="22"/>
        </w:rPr>
        <w:t xml:space="preserve">Con respecto a la estimación de los ahorros </w:t>
      </w:r>
      <w:r w:rsidR="00D60065">
        <w:rPr>
          <w:rFonts w:ascii="Arial" w:hAnsi="Arial" w:cs="Arial"/>
          <w:sz w:val="22"/>
          <w:szCs w:val="22"/>
        </w:rPr>
        <w:t>generados a través del incremento de las actividades de monitoreo y control, esta información se recaudará a través de entrevistas expost con las Direcciones del MVOTMA. El enfoque de estas entrevistas será sobre</w:t>
      </w:r>
      <w:r w:rsidR="008D41F8">
        <w:rPr>
          <w:rFonts w:ascii="Arial" w:hAnsi="Arial" w:cs="Arial"/>
          <w:sz w:val="22"/>
          <w:szCs w:val="22"/>
        </w:rPr>
        <w:t xml:space="preserve"> ahorros en costos relacionados a visitas a campo. </w:t>
      </w:r>
    </w:p>
    <w:p w14:paraId="3278646D" w14:textId="77777777" w:rsidR="00F86802" w:rsidRDefault="00F86802" w:rsidP="00792B59">
      <w:pPr>
        <w:jc w:val="both"/>
        <w:rPr>
          <w:rFonts w:ascii="Arial" w:hAnsi="Arial" w:cs="Arial"/>
          <w:sz w:val="22"/>
          <w:szCs w:val="22"/>
        </w:rPr>
      </w:pPr>
    </w:p>
    <w:p w14:paraId="40C16984" w14:textId="0CA63887" w:rsidR="007638E7" w:rsidRDefault="008D41F8" w:rsidP="00792B59">
      <w:pPr>
        <w:jc w:val="both"/>
        <w:rPr>
          <w:rFonts w:ascii="Arial" w:hAnsi="Arial" w:cs="Arial"/>
          <w:sz w:val="22"/>
          <w:szCs w:val="22"/>
        </w:rPr>
      </w:pPr>
      <w:r>
        <w:rPr>
          <w:rFonts w:ascii="Arial" w:hAnsi="Arial" w:cs="Arial"/>
          <w:sz w:val="22"/>
          <w:szCs w:val="22"/>
        </w:rPr>
        <w:t xml:space="preserve">Finalmente, </w:t>
      </w:r>
      <w:r w:rsidR="00694515">
        <w:rPr>
          <w:rFonts w:ascii="Arial" w:hAnsi="Arial" w:cs="Arial"/>
          <w:sz w:val="22"/>
          <w:szCs w:val="22"/>
        </w:rPr>
        <w:t xml:space="preserve">con respecto a la reducción de cargas </w:t>
      </w:r>
      <w:r w:rsidR="00671DA4">
        <w:rPr>
          <w:rFonts w:ascii="Arial" w:hAnsi="Arial" w:cs="Arial"/>
          <w:sz w:val="22"/>
          <w:szCs w:val="22"/>
        </w:rPr>
        <w:t>de</w:t>
      </w:r>
      <w:r w:rsidR="00694515">
        <w:rPr>
          <w:rFonts w:ascii="Arial" w:hAnsi="Arial" w:cs="Arial"/>
          <w:sz w:val="22"/>
          <w:szCs w:val="22"/>
        </w:rPr>
        <w:t xml:space="preserve"> contaminantes, empleando el mismo proxy que en el análisis exante, se recolectará información sobre el área de zonas de amortiguación </w:t>
      </w:r>
      <w:r w:rsidR="00694515">
        <w:rPr>
          <w:rFonts w:ascii="Arial" w:hAnsi="Arial" w:cs="Arial"/>
          <w:sz w:val="22"/>
          <w:szCs w:val="22"/>
        </w:rPr>
        <w:lastRenderedPageBreak/>
        <w:t xml:space="preserve">establecido a través del Sistema de Información Ambiental del MVOTMA, validado por el Departamento de Sistemas de Información de la DINAMA. </w:t>
      </w:r>
      <w:r w:rsidR="00D60065">
        <w:rPr>
          <w:rFonts w:ascii="Arial" w:hAnsi="Arial" w:cs="Arial"/>
          <w:sz w:val="22"/>
          <w:szCs w:val="22"/>
        </w:rPr>
        <w:t xml:space="preserve"> </w:t>
      </w:r>
      <w:r w:rsidR="00141867">
        <w:rPr>
          <w:rFonts w:ascii="Arial" w:hAnsi="Arial" w:cs="Arial"/>
          <w:sz w:val="22"/>
          <w:szCs w:val="22"/>
        </w:rPr>
        <w:t xml:space="preserve"> </w:t>
      </w:r>
      <w:r w:rsidR="00F06FC0">
        <w:rPr>
          <w:rFonts w:ascii="Arial" w:hAnsi="Arial" w:cs="Arial"/>
          <w:sz w:val="22"/>
          <w:szCs w:val="22"/>
        </w:rPr>
        <w:t xml:space="preserve"> </w:t>
      </w:r>
      <w:r w:rsidR="009A6378">
        <w:rPr>
          <w:rFonts w:ascii="Arial" w:hAnsi="Arial" w:cs="Arial"/>
          <w:sz w:val="22"/>
          <w:szCs w:val="22"/>
        </w:rPr>
        <w:t xml:space="preserve"> </w:t>
      </w:r>
    </w:p>
    <w:p w14:paraId="6C7592D8" w14:textId="758F5D47" w:rsidR="00351711" w:rsidRDefault="00351711" w:rsidP="00792B59">
      <w:pPr>
        <w:jc w:val="both"/>
        <w:rPr>
          <w:rFonts w:ascii="Arial" w:hAnsi="Arial" w:cs="Arial"/>
          <w:sz w:val="22"/>
          <w:szCs w:val="22"/>
        </w:rPr>
      </w:pPr>
    </w:p>
    <w:p w14:paraId="7E55B45E" w14:textId="48BF74A0" w:rsidR="00C05CE7" w:rsidRDefault="00351711" w:rsidP="00792B59">
      <w:pPr>
        <w:jc w:val="both"/>
        <w:rPr>
          <w:rFonts w:ascii="Arial" w:hAnsi="Arial" w:cs="Arial"/>
          <w:sz w:val="22"/>
          <w:szCs w:val="22"/>
        </w:rPr>
      </w:pPr>
      <w:r>
        <w:rPr>
          <w:rFonts w:ascii="Arial" w:hAnsi="Arial" w:cs="Arial"/>
          <w:sz w:val="22"/>
          <w:szCs w:val="22"/>
        </w:rPr>
        <w:t xml:space="preserve">Una vez </w:t>
      </w:r>
      <w:r w:rsidR="00C05CE7">
        <w:rPr>
          <w:rFonts w:ascii="Arial" w:hAnsi="Arial" w:cs="Arial"/>
          <w:sz w:val="22"/>
          <w:szCs w:val="22"/>
        </w:rPr>
        <w:t>recopilada</w:t>
      </w:r>
      <w:r>
        <w:rPr>
          <w:rFonts w:ascii="Arial" w:hAnsi="Arial" w:cs="Arial"/>
          <w:sz w:val="22"/>
          <w:szCs w:val="22"/>
        </w:rPr>
        <w:t xml:space="preserve"> esta información, </w:t>
      </w:r>
      <w:r w:rsidR="0079449F">
        <w:rPr>
          <w:rFonts w:ascii="Arial" w:hAnsi="Arial" w:cs="Arial"/>
          <w:sz w:val="22"/>
          <w:szCs w:val="22"/>
        </w:rPr>
        <w:t>se procederá</w:t>
      </w:r>
      <w:r w:rsidR="008D4F83">
        <w:rPr>
          <w:rFonts w:ascii="Arial" w:hAnsi="Arial" w:cs="Arial"/>
          <w:sz w:val="22"/>
          <w:szCs w:val="22"/>
        </w:rPr>
        <w:t xml:space="preserve"> al análisis económico expost con la Plataforma IEEM. IEEM ya se encuentra calibrada con la matriz de insumo producto más reciente </w:t>
      </w:r>
      <w:r w:rsidR="004B6265">
        <w:rPr>
          <w:rFonts w:ascii="Arial" w:hAnsi="Arial" w:cs="Arial"/>
          <w:sz w:val="22"/>
          <w:szCs w:val="22"/>
        </w:rPr>
        <w:t>para Uruguay, y es poco probable que en los 5 años del programa, la oficina de estadística habrá producida una nueva matriz. Por lo tanto, con base en el desarrollo del</w:t>
      </w:r>
      <w:r w:rsidR="00F97C5B">
        <w:rPr>
          <w:rFonts w:ascii="Arial" w:hAnsi="Arial" w:cs="Arial"/>
          <w:sz w:val="22"/>
          <w:szCs w:val="22"/>
        </w:rPr>
        <w:t xml:space="preserve"> producto interno bruto del país, se actualizará la base de datos de IEEM al año más reciente. </w:t>
      </w:r>
    </w:p>
    <w:p w14:paraId="73EA0A3E" w14:textId="7497F0D8" w:rsidR="00F97C5B" w:rsidRDefault="00F97C5B" w:rsidP="00792B59">
      <w:pPr>
        <w:jc w:val="both"/>
        <w:rPr>
          <w:rFonts w:ascii="Arial" w:hAnsi="Arial" w:cs="Arial"/>
          <w:sz w:val="22"/>
          <w:szCs w:val="22"/>
        </w:rPr>
      </w:pPr>
    </w:p>
    <w:p w14:paraId="17FA73E4" w14:textId="56CDF65D" w:rsidR="00351711" w:rsidRDefault="00F97C5B" w:rsidP="00792B59">
      <w:pPr>
        <w:jc w:val="both"/>
        <w:rPr>
          <w:rFonts w:ascii="Arial" w:hAnsi="Arial" w:cs="Arial"/>
          <w:sz w:val="22"/>
          <w:szCs w:val="22"/>
        </w:rPr>
      </w:pPr>
      <w:r>
        <w:rPr>
          <w:rFonts w:ascii="Arial" w:hAnsi="Arial" w:cs="Arial"/>
          <w:sz w:val="22"/>
          <w:szCs w:val="22"/>
        </w:rPr>
        <w:t xml:space="preserve">Con la información indicada en la tabla 1 </w:t>
      </w:r>
      <w:r w:rsidR="007B5B0D">
        <w:rPr>
          <w:rFonts w:ascii="Arial" w:hAnsi="Arial" w:cs="Arial"/>
          <w:sz w:val="22"/>
          <w:szCs w:val="22"/>
        </w:rPr>
        <w:t>recopilada</w:t>
      </w:r>
      <w:r>
        <w:rPr>
          <w:rFonts w:ascii="Arial" w:hAnsi="Arial" w:cs="Arial"/>
          <w:sz w:val="22"/>
          <w:szCs w:val="22"/>
        </w:rPr>
        <w:t xml:space="preserve">, se procederá a </w:t>
      </w:r>
      <w:r w:rsidR="007B5B0D">
        <w:rPr>
          <w:rFonts w:ascii="Arial" w:hAnsi="Arial" w:cs="Arial"/>
          <w:sz w:val="22"/>
          <w:szCs w:val="22"/>
        </w:rPr>
        <w:t xml:space="preserve">la recalibración de los escenarios del análisis exante, en este caso, enfocándose solamente en los escenarios </w:t>
      </w:r>
      <w:r w:rsidR="00351711">
        <w:rPr>
          <w:rFonts w:ascii="Arial" w:hAnsi="Arial" w:cs="Arial"/>
          <w:sz w:val="22"/>
          <w:szCs w:val="22"/>
        </w:rPr>
        <w:t>de</w:t>
      </w:r>
      <w:r w:rsidR="00C05CE7">
        <w:rPr>
          <w:rFonts w:ascii="Arial" w:hAnsi="Arial" w:cs="Arial"/>
          <w:sz w:val="22"/>
          <w:szCs w:val="22"/>
        </w:rPr>
        <w:t xml:space="preserve"> INVEST, </w:t>
      </w:r>
      <w:r w:rsidR="00C05CE7" w:rsidRPr="00C05CE7">
        <w:rPr>
          <w:rFonts w:ascii="Arial" w:hAnsi="Arial" w:cs="Arial"/>
          <w:sz w:val="22"/>
          <w:szCs w:val="22"/>
        </w:rPr>
        <w:t>LGOVPRD</w:t>
      </w:r>
      <w:r w:rsidR="00C05CE7">
        <w:rPr>
          <w:rFonts w:ascii="Arial" w:hAnsi="Arial" w:cs="Arial"/>
          <w:sz w:val="22"/>
          <w:szCs w:val="22"/>
        </w:rPr>
        <w:t>, BUFFER y COMBI descritos en la sección 1.4 de este Plan de Evaluación</w:t>
      </w:r>
      <w:r w:rsidR="00671DA4">
        <w:rPr>
          <w:rFonts w:ascii="Arial" w:hAnsi="Arial" w:cs="Arial"/>
          <w:sz w:val="22"/>
          <w:szCs w:val="22"/>
        </w:rPr>
        <w:t>, y en detalle en el análisis económico ex-ante del programa</w:t>
      </w:r>
      <w:r w:rsidR="00C05CE7">
        <w:rPr>
          <w:rFonts w:ascii="Arial" w:hAnsi="Arial" w:cs="Arial"/>
          <w:sz w:val="22"/>
          <w:szCs w:val="22"/>
        </w:rPr>
        <w:t xml:space="preserve">. </w:t>
      </w:r>
      <w:r w:rsidR="007B5B0D">
        <w:rPr>
          <w:rFonts w:ascii="Arial" w:hAnsi="Arial" w:cs="Arial"/>
          <w:sz w:val="22"/>
          <w:szCs w:val="22"/>
        </w:rPr>
        <w:t>Se volverá a correr IEEM con estos nuevos escenarios para generar lo</w:t>
      </w:r>
      <w:r w:rsidR="00671DA4">
        <w:rPr>
          <w:rFonts w:ascii="Arial" w:hAnsi="Arial" w:cs="Arial"/>
          <w:sz w:val="22"/>
          <w:szCs w:val="22"/>
        </w:rPr>
        <w:t>s</w:t>
      </w:r>
      <w:r w:rsidR="007B5B0D">
        <w:rPr>
          <w:rFonts w:ascii="Arial" w:hAnsi="Arial" w:cs="Arial"/>
          <w:sz w:val="22"/>
          <w:szCs w:val="22"/>
        </w:rPr>
        <w:t xml:space="preserve"> indicadores reportados en el análisis exante del programa</w:t>
      </w:r>
      <w:r w:rsidR="00FE2256">
        <w:rPr>
          <w:rFonts w:ascii="Arial" w:hAnsi="Arial" w:cs="Arial"/>
          <w:sz w:val="22"/>
          <w:szCs w:val="22"/>
        </w:rPr>
        <w:t xml:space="preserve">. </w:t>
      </w:r>
      <w:r w:rsidR="0045650B">
        <w:rPr>
          <w:rFonts w:ascii="Arial" w:hAnsi="Arial" w:cs="Arial"/>
          <w:sz w:val="22"/>
          <w:szCs w:val="22"/>
        </w:rPr>
        <w:t>P</w:t>
      </w:r>
      <w:r w:rsidR="00FE2256">
        <w:rPr>
          <w:rFonts w:ascii="Arial" w:hAnsi="Arial" w:cs="Arial"/>
          <w:sz w:val="22"/>
          <w:szCs w:val="22"/>
        </w:rPr>
        <w:t xml:space="preserve">ara fines de la evaluación </w:t>
      </w:r>
      <w:r w:rsidR="00D06E7E">
        <w:rPr>
          <w:rFonts w:ascii="Arial" w:hAnsi="Arial" w:cs="Arial"/>
          <w:sz w:val="22"/>
          <w:szCs w:val="22"/>
        </w:rPr>
        <w:t>económica</w:t>
      </w:r>
      <w:r w:rsidR="00FE2256">
        <w:rPr>
          <w:rFonts w:ascii="Arial" w:hAnsi="Arial" w:cs="Arial"/>
          <w:sz w:val="22"/>
          <w:szCs w:val="22"/>
        </w:rPr>
        <w:t xml:space="preserve"> expost, se realizar</w:t>
      </w:r>
      <w:r w:rsidR="0045650B">
        <w:rPr>
          <w:rFonts w:ascii="Arial" w:hAnsi="Arial" w:cs="Arial"/>
          <w:sz w:val="22"/>
          <w:szCs w:val="22"/>
        </w:rPr>
        <w:t xml:space="preserve">á un nuevo análisis costos beneficio, comparando el VPN y la TIR con los valores reportados en el análisis exante. La conclusión de la evaluación </w:t>
      </w:r>
      <w:r w:rsidR="00D06E7E">
        <w:rPr>
          <w:rFonts w:ascii="Arial" w:hAnsi="Arial" w:cs="Arial"/>
          <w:sz w:val="22"/>
          <w:szCs w:val="22"/>
        </w:rPr>
        <w:t>económica</w:t>
      </w:r>
      <w:r w:rsidR="0045650B">
        <w:rPr>
          <w:rFonts w:ascii="Arial" w:hAnsi="Arial" w:cs="Arial"/>
          <w:sz w:val="22"/>
          <w:szCs w:val="22"/>
        </w:rPr>
        <w:t xml:space="preserve"> expost discutirá las posibles razones por </w:t>
      </w:r>
      <w:r w:rsidR="00D06E7E">
        <w:rPr>
          <w:rFonts w:ascii="Arial" w:hAnsi="Arial" w:cs="Arial"/>
          <w:sz w:val="22"/>
          <w:szCs w:val="22"/>
        </w:rPr>
        <w:t xml:space="preserve">cualquier diferencia entre los valores obtenidos en </w:t>
      </w:r>
      <w:r w:rsidR="00BF3572">
        <w:rPr>
          <w:rFonts w:ascii="Arial" w:hAnsi="Arial" w:cs="Arial"/>
          <w:sz w:val="22"/>
          <w:szCs w:val="22"/>
        </w:rPr>
        <w:t xml:space="preserve">los escenarios </w:t>
      </w:r>
      <w:r w:rsidR="00D06E7E">
        <w:rPr>
          <w:rFonts w:ascii="Arial" w:hAnsi="Arial" w:cs="Arial"/>
          <w:sz w:val="22"/>
          <w:szCs w:val="22"/>
        </w:rPr>
        <w:t xml:space="preserve">exante comparado con los </w:t>
      </w:r>
      <w:r w:rsidR="00BF3572">
        <w:rPr>
          <w:rFonts w:ascii="Arial" w:hAnsi="Arial" w:cs="Arial"/>
          <w:sz w:val="22"/>
          <w:szCs w:val="22"/>
        </w:rPr>
        <w:t xml:space="preserve">escenarios </w:t>
      </w:r>
      <w:r w:rsidR="00D06E7E">
        <w:rPr>
          <w:rFonts w:ascii="Arial" w:hAnsi="Arial" w:cs="Arial"/>
          <w:sz w:val="22"/>
          <w:szCs w:val="22"/>
        </w:rPr>
        <w:t xml:space="preserve">expost para poder extraer posibles lecciones aprendidas. </w:t>
      </w:r>
      <w:r w:rsidR="0045650B">
        <w:rPr>
          <w:rFonts w:ascii="Arial" w:hAnsi="Arial" w:cs="Arial"/>
          <w:sz w:val="22"/>
          <w:szCs w:val="22"/>
        </w:rPr>
        <w:t xml:space="preserve"> </w:t>
      </w:r>
    </w:p>
    <w:p w14:paraId="26F5D971" w14:textId="5906FBF3" w:rsidR="00792B59" w:rsidRPr="00F134B3" w:rsidRDefault="00387BB0" w:rsidP="00B40C10">
      <w:pPr>
        <w:pStyle w:val="Heading1"/>
        <w:numPr>
          <w:ilvl w:val="0"/>
          <w:numId w:val="0"/>
        </w:numPr>
        <w:ind w:left="288" w:hanging="288"/>
        <w:jc w:val="left"/>
        <w:rPr>
          <w:rFonts w:ascii="Arial" w:hAnsi="Arial"/>
          <w:noProof w:val="0"/>
          <w:sz w:val="22"/>
          <w:lang w:val="es-ES_tradnl"/>
        </w:rPr>
      </w:pPr>
      <w:bookmarkStart w:id="52" w:name="_Toc11138491"/>
      <w:bookmarkStart w:id="53" w:name="_Toc12264450"/>
      <w:r>
        <w:rPr>
          <w:rFonts w:ascii="Arial" w:hAnsi="Arial" w:cs="Arial"/>
          <w:noProof w:val="0"/>
          <w:sz w:val="22"/>
          <w:szCs w:val="22"/>
          <w:lang w:val="es-ES_tradnl"/>
        </w:rPr>
        <w:t>4</w:t>
      </w:r>
      <w:r w:rsidR="0006575A" w:rsidRPr="00F134B3">
        <w:rPr>
          <w:rFonts w:ascii="Arial" w:hAnsi="Arial" w:cs="Arial"/>
          <w:noProof w:val="0"/>
          <w:sz w:val="22"/>
          <w:szCs w:val="22"/>
          <w:lang w:val="es-ES_tradnl"/>
        </w:rPr>
        <w:t xml:space="preserve">.0 </w:t>
      </w:r>
      <w:r w:rsidR="00792B59" w:rsidRPr="00F134B3">
        <w:rPr>
          <w:rFonts w:ascii="Arial" w:hAnsi="Arial"/>
          <w:noProof w:val="0"/>
          <w:sz w:val="22"/>
          <w:lang w:val="es-ES_tradnl"/>
        </w:rPr>
        <w:t>Cronograma y presupuesto</w:t>
      </w:r>
      <w:bookmarkEnd w:id="52"/>
      <w:bookmarkEnd w:id="53"/>
    </w:p>
    <w:p w14:paraId="456F861A" w14:textId="19AC6275" w:rsidR="00283FDC" w:rsidRDefault="00792B59" w:rsidP="00792B59">
      <w:pPr>
        <w:jc w:val="both"/>
        <w:rPr>
          <w:rFonts w:ascii="Arial" w:hAnsi="Arial" w:cs="Arial"/>
          <w:sz w:val="22"/>
          <w:szCs w:val="22"/>
        </w:rPr>
      </w:pPr>
      <w:r w:rsidRPr="00C551E1">
        <w:rPr>
          <w:rFonts w:ascii="Arial" w:hAnsi="Arial" w:cs="Arial"/>
          <w:sz w:val="22"/>
          <w:szCs w:val="22"/>
        </w:rPr>
        <w:t>L</w:t>
      </w:r>
      <w:r w:rsidR="00D06E7E">
        <w:rPr>
          <w:rFonts w:ascii="Arial" w:hAnsi="Arial" w:cs="Arial"/>
          <w:sz w:val="22"/>
          <w:szCs w:val="22"/>
        </w:rPr>
        <w:t xml:space="preserve">a figura 5 y la tabla 2 </w:t>
      </w:r>
      <w:r w:rsidRPr="00C551E1">
        <w:rPr>
          <w:rFonts w:ascii="Arial" w:hAnsi="Arial" w:cs="Arial"/>
          <w:sz w:val="22"/>
          <w:szCs w:val="22"/>
        </w:rPr>
        <w:t xml:space="preserve">muestran el cronograma y el presupuesto respectivamente. </w:t>
      </w:r>
      <w:r w:rsidR="00147837">
        <w:rPr>
          <w:rFonts w:ascii="Arial" w:hAnsi="Arial" w:cs="Arial"/>
          <w:sz w:val="22"/>
          <w:szCs w:val="22"/>
        </w:rPr>
        <w:t xml:space="preserve">La evaluación económica expost se realizará dentro </w:t>
      </w:r>
      <w:r w:rsidR="00556D5E">
        <w:rPr>
          <w:rFonts w:ascii="Arial" w:hAnsi="Arial" w:cs="Arial"/>
          <w:sz w:val="22"/>
          <w:szCs w:val="22"/>
        </w:rPr>
        <w:t xml:space="preserve">un plazo de </w:t>
      </w:r>
      <w:r w:rsidR="00B867CA">
        <w:rPr>
          <w:rFonts w:ascii="Arial" w:hAnsi="Arial" w:cs="Arial"/>
          <w:sz w:val="22"/>
          <w:szCs w:val="22"/>
        </w:rPr>
        <w:t>4</w:t>
      </w:r>
      <w:r w:rsidR="00283FDC">
        <w:rPr>
          <w:rFonts w:ascii="Arial" w:hAnsi="Arial" w:cs="Arial"/>
          <w:sz w:val="22"/>
          <w:szCs w:val="22"/>
        </w:rPr>
        <w:t xml:space="preserve"> meses y </w:t>
      </w:r>
      <w:r w:rsidR="00147837" w:rsidRPr="00147837">
        <w:rPr>
          <w:rFonts w:ascii="Arial" w:hAnsi="Arial" w:cs="Arial"/>
          <w:sz w:val="22"/>
          <w:szCs w:val="22"/>
        </w:rPr>
        <w:t xml:space="preserve">será presentada en un plazo de hasta 90 días a partir del término del plazo de desembolsos del programa. </w:t>
      </w:r>
    </w:p>
    <w:p w14:paraId="3F0B71F4" w14:textId="77777777" w:rsidR="00283FDC" w:rsidRDefault="00283FDC" w:rsidP="00792B59">
      <w:pPr>
        <w:jc w:val="both"/>
        <w:rPr>
          <w:rFonts w:ascii="Arial" w:hAnsi="Arial" w:cs="Arial"/>
          <w:sz w:val="22"/>
          <w:szCs w:val="22"/>
        </w:rPr>
      </w:pPr>
    </w:p>
    <w:p w14:paraId="40F59321" w14:textId="77777777" w:rsidR="00792B59" w:rsidRPr="00C551E1" w:rsidRDefault="00792B59" w:rsidP="00792B59">
      <w:pPr>
        <w:jc w:val="both"/>
        <w:rPr>
          <w:rFonts w:ascii="Arial" w:hAnsi="Arial" w:cs="Arial"/>
          <w:sz w:val="22"/>
          <w:szCs w:val="22"/>
        </w:rPr>
      </w:pPr>
    </w:p>
    <w:p w14:paraId="281A4064" w14:textId="29D12F75" w:rsidR="00792B59" w:rsidRPr="00C551E1" w:rsidRDefault="00792B59" w:rsidP="00E075C7">
      <w:pPr>
        <w:pStyle w:val="Caption"/>
        <w:keepNext/>
        <w:widowControl/>
        <w:jc w:val="both"/>
        <w:rPr>
          <w:rFonts w:ascii="Arial" w:hAnsi="Arial" w:cs="Arial"/>
          <w:sz w:val="22"/>
          <w:szCs w:val="22"/>
        </w:rPr>
      </w:pPr>
      <w:bookmarkStart w:id="54" w:name="_Ref9363846"/>
      <w:r w:rsidRPr="00C551E1">
        <w:rPr>
          <w:rFonts w:ascii="Arial" w:hAnsi="Arial" w:cs="Arial"/>
          <w:sz w:val="22"/>
          <w:szCs w:val="22"/>
        </w:rPr>
        <w:lastRenderedPageBreak/>
        <w:t xml:space="preserve">Figura </w:t>
      </w:r>
      <w:r w:rsidRPr="00F42B76">
        <w:rPr>
          <w:rFonts w:ascii="Arial" w:hAnsi="Arial" w:cs="Arial"/>
          <w:sz w:val="22"/>
          <w:szCs w:val="22"/>
        </w:rPr>
        <w:fldChar w:fldCharType="begin"/>
      </w:r>
      <w:r w:rsidRPr="00C551E1">
        <w:rPr>
          <w:rFonts w:ascii="Arial" w:hAnsi="Arial" w:cs="Arial"/>
          <w:sz w:val="22"/>
          <w:szCs w:val="22"/>
        </w:rPr>
        <w:instrText xml:space="preserve"> SEQ Figura \* ARABIC </w:instrText>
      </w:r>
      <w:r w:rsidRPr="00F134B3">
        <w:rPr>
          <w:rFonts w:ascii="Arial" w:hAnsi="Arial" w:cs="Arial"/>
          <w:sz w:val="22"/>
          <w:szCs w:val="22"/>
        </w:rPr>
        <w:fldChar w:fldCharType="separate"/>
      </w:r>
      <w:r w:rsidRPr="00C551E1">
        <w:rPr>
          <w:rFonts w:ascii="Arial" w:hAnsi="Arial" w:cs="Arial"/>
          <w:sz w:val="22"/>
          <w:szCs w:val="22"/>
        </w:rPr>
        <w:t>5</w:t>
      </w:r>
      <w:r w:rsidRPr="00F42B76">
        <w:rPr>
          <w:rFonts w:ascii="Arial" w:hAnsi="Arial" w:cs="Arial"/>
          <w:sz w:val="22"/>
          <w:szCs w:val="22"/>
        </w:rPr>
        <w:fldChar w:fldCharType="end"/>
      </w:r>
      <w:bookmarkEnd w:id="54"/>
      <w:r w:rsidRPr="00C551E1">
        <w:rPr>
          <w:rFonts w:ascii="Arial" w:hAnsi="Arial" w:cs="Arial"/>
          <w:sz w:val="22"/>
          <w:szCs w:val="22"/>
        </w:rPr>
        <w:t>: Cronograma</w:t>
      </w:r>
      <w:r w:rsidR="00556D5E">
        <w:rPr>
          <w:rFonts w:ascii="Arial" w:hAnsi="Arial" w:cs="Arial"/>
          <w:sz w:val="22"/>
          <w:szCs w:val="22"/>
        </w:rPr>
        <w:t xml:space="preserve"> de trabajo.</w:t>
      </w:r>
    </w:p>
    <w:tbl>
      <w:tblPr>
        <w:tblW w:w="4491" w:type="pct"/>
        <w:tblLook w:val="04A0" w:firstRow="1" w:lastRow="0" w:firstColumn="1" w:lastColumn="0" w:noHBand="0" w:noVBand="1"/>
      </w:tblPr>
      <w:tblGrid>
        <w:gridCol w:w="5824"/>
        <w:gridCol w:w="454"/>
        <w:gridCol w:w="336"/>
        <w:gridCol w:w="706"/>
        <w:gridCol w:w="454"/>
        <w:gridCol w:w="456"/>
      </w:tblGrid>
      <w:tr w:rsidR="00E72E3F" w:rsidRPr="00C551E1" w14:paraId="40168E71" w14:textId="77777777" w:rsidTr="00F134B3">
        <w:trPr>
          <w:gridAfter w:val="5"/>
          <w:wAfter w:w="1462" w:type="pct"/>
          <w:trHeight w:val="300"/>
        </w:trPr>
        <w:tc>
          <w:tcPr>
            <w:tcW w:w="3538" w:type="pct"/>
            <w:vMerge w:val="restart"/>
            <w:tcBorders>
              <w:top w:val="single" w:sz="8" w:space="0" w:color="auto"/>
              <w:left w:val="single" w:sz="8" w:space="0" w:color="auto"/>
              <w:bottom w:val="nil"/>
              <w:right w:val="nil"/>
            </w:tcBorders>
            <w:shd w:val="clear" w:color="auto" w:fill="D9D9D9" w:themeFill="background1" w:themeFillShade="D9"/>
            <w:noWrap/>
            <w:vAlign w:val="center"/>
            <w:hideMark/>
          </w:tcPr>
          <w:p w14:paraId="12250948" w14:textId="1B8A9D00" w:rsidR="00E72E3F" w:rsidRPr="00C551E1" w:rsidRDefault="00E72E3F" w:rsidP="00E075C7">
            <w:pPr>
              <w:keepNext/>
              <w:jc w:val="both"/>
              <w:rPr>
                <w:rFonts w:ascii="Arial" w:hAnsi="Arial" w:cs="Arial"/>
                <w:b/>
                <w:bCs/>
                <w:color w:val="000000"/>
                <w:sz w:val="22"/>
                <w:szCs w:val="22"/>
              </w:rPr>
            </w:pPr>
            <w:r w:rsidRPr="00C551E1">
              <w:rPr>
                <w:rFonts w:ascii="Arial" w:hAnsi="Arial" w:cs="Arial"/>
                <w:b/>
                <w:bCs/>
                <w:color w:val="000000"/>
                <w:sz w:val="22"/>
                <w:szCs w:val="22"/>
              </w:rPr>
              <w:t>Actividad</w:t>
            </w:r>
          </w:p>
        </w:tc>
      </w:tr>
      <w:tr w:rsidR="00645C97" w:rsidRPr="00C551E1" w14:paraId="3C6D1E3B" w14:textId="77777777" w:rsidTr="00645C97">
        <w:trPr>
          <w:trHeight w:val="315"/>
        </w:trPr>
        <w:tc>
          <w:tcPr>
            <w:tcW w:w="3538" w:type="pct"/>
            <w:vMerge/>
            <w:tcBorders>
              <w:top w:val="single" w:sz="8" w:space="0" w:color="auto"/>
              <w:left w:val="single" w:sz="8" w:space="0" w:color="auto"/>
              <w:bottom w:val="nil"/>
              <w:right w:val="nil"/>
            </w:tcBorders>
            <w:vAlign w:val="center"/>
          </w:tcPr>
          <w:p w14:paraId="39AFCF63" w14:textId="77777777" w:rsidR="00645C97" w:rsidRPr="00C551E1" w:rsidRDefault="00645C97" w:rsidP="00E075C7">
            <w:pPr>
              <w:keepNext/>
              <w:jc w:val="both"/>
              <w:rPr>
                <w:rFonts w:ascii="Arial" w:hAnsi="Arial" w:cs="Arial"/>
                <w:b/>
                <w:bCs/>
                <w:color w:val="000000"/>
                <w:sz w:val="22"/>
                <w:szCs w:val="22"/>
              </w:rPr>
            </w:pPr>
          </w:p>
        </w:tc>
        <w:tc>
          <w:tcPr>
            <w:tcW w:w="1462" w:type="pct"/>
            <w:gridSpan w:val="5"/>
            <w:tcBorders>
              <w:top w:val="single" w:sz="4" w:space="0" w:color="auto"/>
              <w:left w:val="single" w:sz="8" w:space="0" w:color="auto"/>
              <w:bottom w:val="nil"/>
              <w:right w:val="single" w:sz="4" w:space="0" w:color="auto"/>
            </w:tcBorders>
            <w:shd w:val="clear" w:color="000000" w:fill="D9D9D9"/>
            <w:noWrap/>
            <w:vAlign w:val="bottom"/>
          </w:tcPr>
          <w:p w14:paraId="5E74A865" w14:textId="45B7C6D4" w:rsidR="00645C97" w:rsidRDefault="00645C97" w:rsidP="00F134B3">
            <w:pPr>
              <w:keepNext/>
              <w:jc w:val="center"/>
              <w:rPr>
                <w:rFonts w:ascii="Arial" w:hAnsi="Arial" w:cs="Arial"/>
                <w:b/>
                <w:bCs/>
                <w:color w:val="000000"/>
                <w:sz w:val="22"/>
                <w:szCs w:val="22"/>
              </w:rPr>
            </w:pPr>
            <w:r>
              <w:rPr>
                <w:rFonts w:ascii="Arial" w:hAnsi="Arial" w:cs="Arial"/>
                <w:b/>
                <w:bCs/>
                <w:color w:val="000000"/>
                <w:sz w:val="22"/>
                <w:szCs w:val="22"/>
              </w:rPr>
              <w:t>meses</w:t>
            </w:r>
          </w:p>
        </w:tc>
      </w:tr>
      <w:tr w:rsidR="00E72E3F" w:rsidRPr="00C551E1" w14:paraId="37AEE9CF" w14:textId="77777777" w:rsidTr="00F134B3">
        <w:trPr>
          <w:trHeight w:val="315"/>
        </w:trPr>
        <w:tc>
          <w:tcPr>
            <w:tcW w:w="3538" w:type="pct"/>
            <w:vMerge/>
            <w:tcBorders>
              <w:top w:val="single" w:sz="8" w:space="0" w:color="auto"/>
              <w:left w:val="single" w:sz="8" w:space="0" w:color="auto"/>
              <w:bottom w:val="nil"/>
              <w:right w:val="nil"/>
            </w:tcBorders>
            <w:vAlign w:val="center"/>
            <w:hideMark/>
          </w:tcPr>
          <w:p w14:paraId="3C635F91" w14:textId="77777777" w:rsidR="00E72E3F" w:rsidRPr="00C551E1" w:rsidRDefault="00E72E3F" w:rsidP="00E075C7">
            <w:pPr>
              <w:keepNext/>
              <w:jc w:val="both"/>
              <w:rPr>
                <w:rFonts w:ascii="Arial" w:hAnsi="Arial" w:cs="Arial"/>
                <w:b/>
                <w:bCs/>
                <w:color w:val="000000"/>
                <w:sz w:val="22"/>
                <w:szCs w:val="22"/>
              </w:rPr>
            </w:pPr>
          </w:p>
        </w:tc>
        <w:tc>
          <w:tcPr>
            <w:tcW w:w="276" w:type="pct"/>
            <w:tcBorders>
              <w:top w:val="nil"/>
              <w:left w:val="single" w:sz="8" w:space="0" w:color="auto"/>
              <w:bottom w:val="nil"/>
              <w:right w:val="single" w:sz="4" w:space="0" w:color="auto"/>
            </w:tcBorders>
            <w:shd w:val="clear" w:color="000000" w:fill="D9D9D9"/>
            <w:noWrap/>
            <w:vAlign w:val="bottom"/>
            <w:hideMark/>
          </w:tcPr>
          <w:p w14:paraId="4B560156" w14:textId="15F3C98D" w:rsidR="00E72E3F" w:rsidRPr="00C551E1" w:rsidRDefault="00E72E3F" w:rsidP="00E075C7">
            <w:pPr>
              <w:keepNext/>
              <w:jc w:val="both"/>
              <w:rPr>
                <w:rFonts w:ascii="Arial" w:hAnsi="Arial" w:cs="Arial"/>
                <w:b/>
                <w:bCs/>
                <w:color w:val="000000"/>
                <w:sz w:val="22"/>
                <w:szCs w:val="22"/>
              </w:rPr>
            </w:pPr>
            <w:r>
              <w:rPr>
                <w:rFonts w:ascii="Arial" w:hAnsi="Arial" w:cs="Arial"/>
                <w:b/>
                <w:bCs/>
                <w:color w:val="000000"/>
                <w:sz w:val="22"/>
                <w:szCs w:val="22"/>
              </w:rPr>
              <w:t>1</w:t>
            </w:r>
          </w:p>
        </w:tc>
        <w:tc>
          <w:tcPr>
            <w:tcW w:w="204" w:type="pct"/>
            <w:tcBorders>
              <w:top w:val="nil"/>
              <w:left w:val="nil"/>
              <w:bottom w:val="nil"/>
              <w:right w:val="single" w:sz="4" w:space="0" w:color="auto"/>
            </w:tcBorders>
            <w:shd w:val="clear" w:color="000000" w:fill="D9D9D9"/>
            <w:noWrap/>
            <w:vAlign w:val="bottom"/>
            <w:hideMark/>
          </w:tcPr>
          <w:p w14:paraId="3D7E1AE8" w14:textId="77777777" w:rsidR="00E72E3F" w:rsidRPr="00C551E1" w:rsidRDefault="00E72E3F" w:rsidP="00E075C7">
            <w:pPr>
              <w:keepNext/>
              <w:jc w:val="both"/>
              <w:rPr>
                <w:rFonts w:ascii="Arial" w:hAnsi="Arial" w:cs="Arial"/>
                <w:b/>
                <w:bCs/>
                <w:color w:val="000000"/>
                <w:sz w:val="22"/>
                <w:szCs w:val="22"/>
              </w:rPr>
            </w:pPr>
            <w:r w:rsidRPr="00C551E1">
              <w:rPr>
                <w:rFonts w:ascii="Arial" w:hAnsi="Arial" w:cs="Arial"/>
                <w:b/>
                <w:bCs/>
                <w:color w:val="000000"/>
                <w:sz w:val="22"/>
                <w:szCs w:val="22"/>
              </w:rPr>
              <w:t>2</w:t>
            </w:r>
          </w:p>
        </w:tc>
        <w:tc>
          <w:tcPr>
            <w:tcW w:w="429" w:type="pct"/>
            <w:tcBorders>
              <w:top w:val="nil"/>
              <w:left w:val="nil"/>
              <w:bottom w:val="nil"/>
              <w:right w:val="single" w:sz="4" w:space="0" w:color="auto"/>
            </w:tcBorders>
            <w:shd w:val="clear" w:color="000000" w:fill="D9D9D9"/>
            <w:noWrap/>
            <w:vAlign w:val="bottom"/>
            <w:hideMark/>
          </w:tcPr>
          <w:p w14:paraId="29DB07E1" w14:textId="4487E982" w:rsidR="00E72E3F" w:rsidRPr="00C551E1" w:rsidRDefault="00E72E3F" w:rsidP="00E075C7">
            <w:pPr>
              <w:keepNext/>
              <w:jc w:val="both"/>
              <w:rPr>
                <w:rFonts w:ascii="Arial" w:hAnsi="Arial" w:cs="Arial"/>
                <w:b/>
                <w:bCs/>
                <w:color w:val="000000"/>
                <w:sz w:val="22"/>
                <w:szCs w:val="22"/>
              </w:rPr>
            </w:pPr>
            <w:r>
              <w:rPr>
                <w:rFonts w:ascii="Arial" w:hAnsi="Arial" w:cs="Arial"/>
                <w:b/>
                <w:bCs/>
                <w:color w:val="000000"/>
                <w:sz w:val="22"/>
                <w:szCs w:val="22"/>
              </w:rPr>
              <w:t>UD</w:t>
            </w:r>
            <w:r w:rsidRPr="00C551E1" w:rsidDel="006B65B4">
              <w:rPr>
                <w:rFonts w:ascii="Arial" w:hAnsi="Arial" w:cs="Arial"/>
                <w:b/>
                <w:bCs/>
                <w:color w:val="000000"/>
                <w:sz w:val="22"/>
                <w:szCs w:val="22"/>
              </w:rPr>
              <w:t xml:space="preserve"> </w:t>
            </w:r>
          </w:p>
        </w:tc>
        <w:tc>
          <w:tcPr>
            <w:tcW w:w="276" w:type="pct"/>
            <w:tcBorders>
              <w:top w:val="nil"/>
              <w:left w:val="nil"/>
              <w:bottom w:val="nil"/>
              <w:right w:val="single" w:sz="4" w:space="0" w:color="auto"/>
            </w:tcBorders>
            <w:shd w:val="clear" w:color="000000" w:fill="D9D9D9"/>
            <w:noWrap/>
            <w:vAlign w:val="bottom"/>
            <w:hideMark/>
          </w:tcPr>
          <w:p w14:paraId="52CA1529" w14:textId="2D15FE6A" w:rsidR="00E72E3F" w:rsidRPr="00C551E1" w:rsidRDefault="00E72E3F" w:rsidP="00E075C7">
            <w:pPr>
              <w:keepNext/>
              <w:jc w:val="both"/>
              <w:rPr>
                <w:rFonts w:ascii="Arial" w:hAnsi="Arial" w:cs="Arial"/>
                <w:b/>
                <w:bCs/>
                <w:color w:val="000000"/>
                <w:sz w:val="22"/>
                <w:szCs w:val="22"/>
              </w:rPr>
            </w:pPr>
            <w:r>
              <w:rPr>
                <w:rFonts w:ascii="Arial" w:hAnsi="Arial" w:cs="Arial"/>
                <w:b/>
                <w:bCs/>
                <w:color w:val="000000"/>
                <w:sz w:val="22"/>
                <w:szCs w:val="22"/>
              </w:rPr>
              <w:t>3</w:t>
            </w:r>
          </w:p>
        </w:tc>
        <w:tc>
          <w:tcPr>
            <w:tcW w:w="276" w:type="pct"/>
            <w:tcBorders>
              <w:top w:val="nil"/>
              <w:left w:val="nil"/>
              <w:bottom w:val="nil"/>
              <w:right w:val="single" w:sz="4" w:space="0" w:color="auto"/>
            </w:tcBorders>
            <w:shd w:val="clear" w:color="000000" w:fill="D9D9D9"/>
            <w:noWrap/>
            <w:vAlign w:val="bottom"/>
            <w:hideMark/>
          </w:tcPr>
          <w:p w14:paraId="2D9A983E" w14:textId="3FCDE859" w:rsidR="00E72E3F" w:rsidRPr="00C551E1" w:rsidRDefault="00E72E3F" w:rsidP="00E075C7">
            <w:pPr>
              <w:keepNext/>
              <w:jc w:val="both"/>
              <w:rPr>
                <w:rFonts w:ascii="Arial" w:hAnsi="Arial" w:cs="Arial"/>
                <w:b/>
                <w:bCs/>
                <w:color w:val="000000"/>
                <w:sz w:val="22"/>
                <w:szCs w:val="22"/>
              </w:rPr>
            </w:pPr>
            <w:r>
              <w:rPr>
                <w:rFonts w:ascii="Arial" w:hAnsi="Arial" w:cs="Arial"/>
                <w:b/>
                <w:bCs/>
                <w:color w:val="000000"/>
                <w:sz w:val="22"/>
                <w:szCs w:val="22"/>
              </w:rPr>
              <w:t>4</w:t>
            </w:r>
          </w:p>
        </w:tc>
      </w:tr>
      <w:tr w:rsidR="00E72E3F" w:rsidRPr="00C551E1" w14:paraId="0C04D762" w14:textId="77777777" w:rsidTr="00F134B3">
        <w:trPr>
          <w:trHeight w:val="300"/>
        </w:trPr>
        <w:tc>
          <w:tcPr>
            <w:tcW w:w="3538" w:type="pct"/>
            <w:tcBorders>
              <w:top w:val="single" w:sz="8" w:space="0" w:color="auto"/>
              <w:left w:val="single" w:sz="8" w:space="0" w:color="auto"/>
              <w:bottom w:val="single" w:sz="4" w:space="0" w:color="auto"/>
              <w:right w:val="nil"/>
            </w:tcBorders>
            <w:shd w:val="clear" w:color="auto" w:fill="auto"/>
            <w:noWrap/>
            <w:vAlign w:val="bottom"/>
            <w:hideMark/>
          </w:tcPr>
          <w:p w14:paraId="4C4C7427" w14:textId="59576EE1" w:rsidR="00E72E3F" w:rsidRPr="00C551E1" w:rsidRDefault="00E72E3F" w:rsidP="00E075C7">
            <w:pPr>
              <w:keepNext/>
              <w:jc w:val="both"/>
              <w:rPr>
                <w:rFonts w:ascii="Arial" w:hAnsi="Arial" w:cs="Arial"/>
                <w:color w:val="000000"/>
                <w:sz w:val="22"/>
                <w:szCs w:val="22"/>
              </w:rPr>
            </w:pPr>
            <w:r>
              <w:rPr>
                <w:rFonts w:ascii="Arial" w:hAnsi="Arial" w:cs="Arial"/>
                <w:color w:val="000000"/>
                <w:sz w:val="22"/>
                <w:szCs w:val="22"/>
              </w:rPr>
              <w:t>Contratación de un experto IEEM.</w:t>
            </w:r>
          </w:p>
        </w:tc>
        <w:tc>
          <w:tcPr>
            <w:tcW w:w="276" w:type="pct"/>
            <w:tcBorders>
              <w:top w:val="single" w:sz="8" w:space="0" w:color="auto"/>
              <w:left w:val="single" w:sz="8" w:space="0" w:color="auto"/>
              <w:bottom w:val="single" w:sz="4" w:space="0" w:color="auto"/>
              <w:right w:val="single" w:sz="4" w:space="0" w:color="auto"/>
            </w:tcBorders>
            <w:shd w:val="clear" w:color="auto" w:fill="00B050"/>
            <w:noWrap/>
            <w:vAlign w:val="bottom"/>
            <w:hideMark/>
          </w:tcPr>
          <w:p w14:paraId="2C10E0B9"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04" w:type="pct"/>
            <w:tcBorders>
              <w:top w:val="single" w:sz="8" w:space="0" w:color="auto"/>
              <w:left w:val="nil"/>
              <w:bottom w:val="single" w:sz="4" w:space="0" w:color="auto"/>
              <w:right w:val="single" w:sz="4" w:space="0" w:color="auto"/>
            </w:tcBorders>
            <w:shd w:val="clear" w:color="auto" w:fill="auto"/>
            <w:noWrap/>
            <w:vAlign w:val="bottom"/>
            <w:hideMark/>
          </w:tcPr>
          <w:p w14:paraId="1E89E9E8"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429" w:type="pct"/>
            <w:tcBorders>
              <w:top w:val="single" w:sz="8" w:space="0" w:color="auto"/>
              <w:left w:val="nil"/>
              <w:bottom w:val="single" w:sz="4" w:space="0" w:color="auto"/>
              <w:right w:val="single" w:sz="4" w:space="0" w:color="auto"/>
            </w:tcBorders>
            <w:shd w:val="clear" w:color="auto" w:fill="auto"/>
            <w:noWrap/>
            <w:vAlign w:val="bottom"/>
            <w:hideMark/>
          </w:tcPr>
          <w:p w14:paraId="2BDF34CF"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single" w:sz="8" w:space="0" w:color="auto"/>
              <w:left w:val="nil"/>
              <w:bottom w:val="single" w:sz="4" w:space="0" w:color="auto"/>
              <w:right w:val="single" w:sz="4" w:space="0" w:color="auto"/>
            </w:tcBorders>
            <w:shd w:val="clear" w:color="auto" w:fill="auto"/>
            <w:noWrap/>
            <w:vAlign w:val="bottom"/>
            <w:hideMark/>
          </w:tcPr>
          <w:p w14:paraId="2CF9C6A3"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single" w:sz="8" w:space="0" w:color="auto"/>
              <w:left w:val="nil"/>
              <w:bottom w:val="single" w:sz="4" w:space="0" w:color="auto"/>
              <w:right w:val="single" w:sz="4" w:space="0" w:color="auto"/>
            </w:tcBorders>
            <w:shd w:val="clear" w:color="auto" w:fill="auto"/>
            <w:noWrap/>
            <w:vAlign w:val="bottom"/>
            <w:hideMark/>
          </w:tcPr>
          <w:p w14:paraId="0546221A"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r>
      <w:tr w:rsidR="00E72E3F" w:rsidRPr="00C551E1" w14:paraId="53AAFD1E" w14:textId="77777777" w:rsidTr="00F134B3">
        <w:trPr>
          <w:trHeight w:val="600"/>
        </w:trPr>
        <w:tc>
          <w:tcPr>
            <w:tcW w:w="3538" w:type="pct"/>
            <w:tcBorders>
              <w:top w:val="nil"/>
              <w:left w:val="single" w:sz="8" w:space="0" w:color="auto"/>
              <w:bottom w:val="single" w:sz="4" w:space="0" w:color="auto"/>
              <w:right w:val="nil"/>
            </w:tcBorders>
            <w:shd w:val="clear" w:color="auto" w:fill="auto"/>
            <w:vAlign w:val="center"/>
            <w:hideMark/>
          </w:tcPr>
          <w:p w14:paraId="30C7783C" w14:textId="29F318FB"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Diseño d</w:t>
            </w:r>
            <w:r>
              <w:rPr>
                <w:rFonts w:ascii="Arial" w:hAnsi="Arial" w:cs="Arial"/>
                <w:color w:val="000000"/>
                <w:sz w:val="22"/>
                <w:szCs w:val="22"/>
              </w:rPr>
              <w:t>el estudio.</w:t>
            </w:r>
          </w:p>
        </w:tc>
        <w:tc>
          <w:tcPr>
            <w:tcW w:w="276" w:type="pct"/>
            <w:tcBorders>
              <w:top w:val="nil"/>
              <w:left w:val="single" w:sz="8" w:space="0" w:color="auto"/>
              <w:bottom w:val="single" w:sz="4" w:space="0" w:color="auto"/>
              <w:right w:val="single" w:sz="4" w:space="0" w:color="auto"/>
            </w:tcBorders>
            <w:shd w:val="clear" w:color="auto" w:fill="auto"/>
            <w:noWrap/>
            <w:vAlign w:val="bottom"/>
            <w:hideMark/>
          </w:tcPr>
          <w:p w14:paraId="6F5C6106"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04" w:type="pct"/>
            <w:tcBorders>
              <w:top w:val="nil"/>
              <w:left w:val="nil"/>
              <w:bottom w:val="single" w:sz="4" w:space="0" w:color="auto"/>
              <w:right w:val="single" w:sz="4" w:space="0" w:color="auto"/>
            </w:tcBorders>
            <w:shd w:val="clear" w:color="auto" w:fill="00B050"/>
            <w:noWrap/>
            <w:vAlign w:val="bottom"/>
            <w:hideMark/>
          </w:tcPr>
          <w:p w14:paraId="46030B1B"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429" w:type="pct"/>
            <w:tcBorders>
              <w:top w:val="nil"/>
              <w:left w:val="nil"/>
              <w:bottom w:val="single" w:sz="4" w:space="0" w:color="auto"/>
              <w:right w:val="single" w:sz="4" w:space="0" w:color="auto"/>
            </w:tcBorders>
            <w:shd w:val="clear" w:color="auto" w:fill="00B050"/>
            <w:noWrap/>
            <w:vAlign w:val="bottom"/>
            <w:hideMark/>
          </w:tcPr>
          <w:p w14:paraId="7DCDE23F"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14:paraId="5E6D8A1D"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14:paraId="2B5864DC"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r>
      <w:tr w:rsidR="00E72E3F" w:rsidRPr="00C551E1" w14:paraId="64E59DDF" w14:textId="77777777" w:rsidTr="00F134B3">
        <w:trPr>
          <w:trHeight w:val="900"/>
        </w:trPr>
        <w:tc>
          <w:tcPr>
            <w:tcW w:w="3538" w:type="pct"/>
            <w:tcBorders>
              <w:top w:val="nil"/>
              <w:left w:val="single" w:sz="8" w:space="0" w:color="auto"/>
              <w:bottom w:val="single" w:sz="4" w:space="0" w:color="auto"/>
              <w:right w:val="nil"/>
            </w:tcBorders>
            <w:shd w:val="clear" w:color="auto" w:fill="auto"/>
            <w:vAlign w:val="center"/>
            <w:hideMark/>
          </w:tcPr>
          <w:p w14:paraId="61BD507F" w14:textId="47AECCDD" w:rsidR="00E72E3F" w:rsidRPr="00C551E1" w:rsidRDefault="00E72E3F" w:rsidP="00E075C7">
            <w:pPr>
              <w:keepNext/>
              <w:jc w:val="both"/>
              <w:rPr>
                <w:rFonts w:ascii="Arial" w:hAnsi="Arial" w:cs="Arial"/>
                <w:color w:val="000000"/>
                <w:sz w:val="22"/>
                <w:szCs w:val="22"/>
              </w:rPr>
            </w:pPr>
            <w:r>
              <w:rPr>
                <w:rFonts w:ascii="Arial" w:hAnsi="Arial" w:cs="Arial"/>
                <w:color w:val="000000"/>
                <w:sz w:val="22"/>
                <w:szCs w:val="22"/>
              </w:rPr>
              <w:t>Recopilación de información por fuentes secundarias según la tabla 1.</w:t>
            </w:r>
          </w:p>
        </w:tc>
        <w:tc>
          <w:tcPr>
            <w:tcW w:w="276" w:type="pct"/>
            <w:tcBorders>
              <w:top w:val="nil"/>
              <w:left w:val="single" w:sz="8" w:space="0" w:color="auto"/>
              <w:bottom w:val="single" w:sz="4" w:space="0" w:color="auto"/>
              <w:right w:val="single" w:sz="4" w:space="0" w:color="auto"/>
            </w:tcBorders>
            <w:shd w:val="clear" w:color="auto" w:fill="auto"/>
            <w:noWrap/>
            <w:vAlign w:val="bottom"/>
            <w:hideMark/>
          </w:tcPr>
          <w:p w14:paraId="36C607DB"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04" w:type="pct"/>
            <w:tcBorders>
              <w:top w:val="nil"/>
              <w:left w:val="nil"/>
              <w:bottom w:val="single" w:sz="4" w:space="0" w:color="auto"/>
              <w:right w:val="single" w:sz="4" w:space="0" w:color="auto"/>
            </w:tcBorders>
            <w:shd w:val="clear" w:color="auto" w:fill="auto"/>
            <w:noWrap/>
            <w:vAlign w:val="bottom"/>
            <w:hideMark/>
          </w:tcPr>
          <w:p w14:paraId="66282FBA"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429" w:type="pct"/>
            <w:tcBorders>
              <w:top w:val="nil"/>
              <w:left w:val="nil"/>
              <w:bottom w:val="single" w:sz="4" w:space="0" w:color="auto"/>
              <w:right w:val="single" w:sz="4" w:space="0" w:color="auto"/>
            </w:tcBorders>
            <w:shd w:val="clear" w:color="auto" w:fill="00B050"/>
            <w:noWrap/>
            <w:vAlign w:val="bottom"/>
            <w:hideMark/>
          </w:tcPr>
          <w:p w14:paraId="2EBBE43D"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4" w:space="0" w:color="auto"/>
              <w:right w:val="single" w:sz="4" w:space="0" w:color="auto"/>
            </w:tcBorders>
            <w:shd w:val="clear" w:color="auto" w:fill="00B050"/>
            <w:noWrap/>
            <w:vAlign w:val="bottom"/>
            <w:hideMark/>
          </w:tcPr>
          <w:p w14:paraId="792FC0B0"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14:paraId="3800198C"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r>
      <w:tr w:rsidR="00E72E3F" w:rsidRPr="00C551E1" w14:paraId="0248F196" w14:textId="77777777" w:rsidTr="00F134B3">
        <w:trPr>
          <w:trHeight w:val="300"/>
        </w:trPr>
        <w:tc>
          <w:tcPr>
            <w:tcW w:w="3538" w:type="pct"/>
            <w:tcBorders>
              <w:top w:val="nil"/>
              <w:left w:val="single" w:sz="8" w:space="0" w:color="auto"/>
              <w:bottom w:val="single" w:sz="4" w:space="0" w:color="auto"/>
              <w:right w:val="nil"/>
            </w:tcBorders>
            <w:shd w:val="clear" w:color="auto" w:fill="auto"/>
            <w:vAlign w:val="center"/>
            <w:hideMark/>
          </w:tcPr>
          <w:p w14:paraId="57E664B4" w14:textId="17F61D6B" w:rsidR="00E72E3F" w:rsidRPr="00C551E1" w:rsidRDefault="00E72E3F" w:rsidP="00E075C7">
            <w:pPr>
              <w:keepNext/>
              <w:jc w:val="both"/>
              <w:rPr>
                <w:rFonts w:ascii="Arial" w:hAnsi="Arial" w:cs="Arial"/>
                <w:color w:val="000000"/>
                <w:sz w:val="22"/>
                <w:szCs w:val="22"/>
              </w:rPr>
            </w:pPr>
            <w:r w:rsidRPr="00854FF3">
              <w:rPr>
                <w:rFonts w:ascii="Arial" w:hAnsi="Arial" w:cs="Arial"/>
                <w:color w:val="000000"/>
                <w:sz w:val="22"/>
                <w:szCs w:val="22"/>
              </w:rPr>
              <w:t xml:space="preserve">Implementación </w:t>
            </w:r>
            <w:r>
              <w:rPr>
                <w:rFonts w:ascii="Arial" w:hAnsi="Arial" w:cs="Arial"/>
                <w:color w:val="000000"/>
                <w:sz w:val="22"/>
                <w:szCs w:val="22"/>
              </w:rPr>
              <w:t xml:space="preserve">de entrevistas con las Direcciones del MVOTMA y el área </w:t>
            </w:r>
            <w:r w:rsidRPr="0050389B">
              <w:rPr>
                <w:rFonts w:ascii="Arial" w:hAnsi="Arial" w:cs="Arial"/>
                <w:color w:val="000000"/>
                <w:sz w:val="22"/>
                <w:szCs w:val="22"/>
              </w:rPr>
              <w:t>de Información, Planificación y Calidad Ambiental de la DINAMA.</w:t>
            </w:r>
          </w:p>
        </w:tc>
        <w:tc>
          <w:tcPr>
            <w:tcW w:w="276" w:type="pct"/>
            <w:tcBorders>
              <w:top w:val="nil"/>
              <w:left w:val="single" w:sz="8" w:space="0" w:color="auto"/>
              <w:bottom w:val="single" w:sz="4" w:space="0" w:color="auto"/>
              <w:right w:val="single" w:sz="4" w:space="0" w:color="auto"/>
            </w:tcBorders>
            <w:shd w:val="clear" w:color="auto" w:fill="auto"/>
            <w:noWrap/>
            <w:vAlign w:val="bottom"/>
            <w:hideMark/>
          </w:tcPr>
          <w:p w14:paraId="3CB22E6C"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04" w:type="pct"/>
            <w:tcBorders>
              <w:top w:val="nil"/>
              <w:left w:val="nil"/>
              <w:bottom w:val="single" w:sz="4" w:space="0" w:color="auto"/>
              <w:right w:val="single" w:sz="4" w:space="0" w:color="auto"/>
            </w:tcBorders>
            <w:shd w:val="clear" w:color="auto" w:fill="auto"/>
            <w:noWrap/>
            <w:vAlign w:val="bottom"/>
            <w:hideMark/>
          </w:tcPr>
          <w:p w14:paraId="1AABC7B1"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429" w:type="pct"/>
            <w:tcBorders>
              <w:top w:val="nil"/>
              <w:left w:val="nil"/>
              <w:bottom w:val="single" w:sz="4" w:space="0" w:color="auto"/>
              <w:right w:val="single" w:sz="4" w:space="0" w:color="auto"/>
            </w:tcBorders>
            <w:shd w:val="clear" w:color="auto" w:fill="00B050"/>
            <w:noWrap/>
            <w:vAlign w:val="bottom"/>
            <w:hideMark/>
          </w:tcPr>
          <w:p w14:paraId="4B189EB4"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4" w:space="0" w:color="auto"/>
              <w:right w:val="single" w:sz="4" w:space="0" w:color="auto"/>
            </w:tcBorders>
            <w:shd w:val="clear" w:color="auto" w:fill="00B050"/>
            <w:noWrap/>
            <w:vAlign w:val="bottom"/>
            <w:hideMark/>
          </w:tcPr>
          <w:p w14:paraId="0A8D2B39"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14:paraId="64BFD64A"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r>
      <w:tr w:rsidR="00E72E3F" w:rsidRPr="00C551E1" w14:paraId="4D67353D" w14:textId="77777777" w:rsidTr="00F134B3">
        <w:trPr>
          <w:trHeight w:val="600"/>
        </w:trPr>
        <w:tc>
          <w:tcPr>
            <w:tcW w:w="3538" w:type="pct"/>
            <w:tcBorders>
              <w:top w:val="nil"/>
              <w:left w:val="single" w:sz="8" w:space="0" w:color="auto"/>
              <w:bottom w:val="single" w:sz="4" w:space="0" w:color="auto"/>
              <w:right w:val="nil"/>
            </w:tcBorders>
            <w:shd w:val="clear" w:color="auto" w:fill="auto"/>
            <w:vAlign w:val="center"/>
            <w:hideMark/>
          </w:tcPr>
          <w:p w14:paraId="4368C0F6" w14:textId="57D35142" w:rsidR="00E72E3F" w:rsidRPr="00C551E1" w:rsidRDefault="00E72E3F" w:rsidP="00E075C7">
            <w:pPr>
              <w:keepNext/>
              <w:jc w:val="both"/>
              <w:rPr>
                <w:rFonts w:ascii="Arial" w:hAnsi="Arial" w:cs="Arial"/>
                <w:color w:val="000000"/>
                <w:sz w:val="22"/>
                <w:szCs w:val="22"/>
              </w:rPr>
            </w:pPr>
            <w:r>
              <w:rPr>
                <w:rFonts w:ascii="Arial" w:hAnsi="Arial" w:cs="Arial"/>
                <w:color w:val="000000"/>
                <w:sz w:val="22"/>
                <w:szCs w:val="22"/>
              </w:rPr>
              <w:t xml:space="preserve">Calibración de escenarios </w:t>
            </w:r>
            <w:r w:rsidR="00645C97">
              <w:rPr>
                <w:rFonts w:ascii="Arial" w:hAnsi="Arial" w:cs="Arial"/>
                <w:color w:val="000000"/>
                <w:sz w:val="22"/>
                <w:szCs w:val="22"/>
              </w:rPr>
              <w:t>e</w:t>
            </w:r>
            <w:r>
              <w:rPr>
                <w:rFonts w:ascii="Arial" w:hAnsi="Arial" w:cs="Arial"/>
                <w:color w:val="000000"/>
                <w:sz w:val="22"/>
                <w:szCs w:val="22"/>
              </w:rPr>
              <w:t xml:space="preserve"> implementación de IEEM. </w:t>
            </w:r>
          </w:p>
        </w:tc>
        <w:tc>
          <w:tcPr>
            <w:tcW w:w="276" w:type="pct"/>
            <w:tcBorders>
              <w:top w:val="nil"/>
              <w:left w:val="single" w:sz="8" w:space="0" w:color="auto"/>
              <w:bottom w:val="single" w:sz="4" w:space="0" w:color="auto"/>
              <w:right w:val="single" w:sz="4" w:space="0" w:color="auto"/>
            </w:tcBorders>
            <w:shd w:val="clear" w:color="auto" w:fill="auto"/>
            <w:noWrap/>
            <w:vAlign w:val="bottom"/>
            <w:hideMark/>
          </w:tcPr>
          <w:p w14:paraId="24BF836D"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04" w:type="pct"/>
            <w:tcBorders>
              <w:top w:val="nil"/>
              <w:left w:val="nil"/>
              <w:bottom w:val="single" w:sz="4" w:space="0" w:color="auto"/>
              <w:right w:val="single" w:sz="4" w:space="0" w:color="auto"/>
            </w:tcBorders>
            <w:shd w:val="clear" w:color="auto" w:fill="auto"/>
            <w:noWrap/>
            <w:vAlign w:val="bottom"/>
            <w:hideMark/>
          </w:tcPr>
          <w:p w14:paraId="62219FD9"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3EFE2AF6"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4" w:space="0" w:color="auto"/>
              <w:right w:val="single" w:sz="4" w:space="0" w:color="auto"/>
            </w:tcBorders>
            <w:shd w:val="clear" w:color="auto" w:fill="00B050"/>
            <w:noWrap/>
            <w:vAlign w:val="bottom"/>
            <w:hideMark/>
          </w:tcPr>
          <w:p w14:paraId="37C3051F"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14:paraId="4FA8435D"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r>
      <w:tr w:rsidR="00E72E3F" w:rsidRPr="00C551E1" w14:paraId="0ACF091C" w14:textId="77777777" w:rsidTr="00F134B3">
        <w:trPr>
          <w:trHeight w:val="315"/>
        </w:trPr>
        <w:tc>
          <w:tcPr>
            <w:tcW w:w="3538" w:type="pct"/>
            <w:tcBorders>
              <w:top w:val="nil"/>
              <w:left w:val="single" w:sz="8" w:space="0" w:color="auto"/>
              <w:bottom w:val="single" w:sz="8" w:space="0" w:color="auto"/>
              <w:right w:val="nil"/>
            </w:tcBorders>
            <w:shd w:val="clear" w:color="auto" w:fill="auto"/>
            <w:vAlign w:val="center"/>
            <w:hideMark/>
          </w:tcPr>
          <w:p w14:paraId="0B724020"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Reporte final</w:t>
            </w:r>
          </w:p>
        </w:tc>
        <w:tc>
          <w:tcPr>
            <w:tcW w:w="276" w:type="pct"/>
            <w:tcBorders>
              <w:top w:val="nil"/>
              <w:left w:val="single" w:sz="8" w:space="0" w:color="auto"/>
              <w:bottom w:val="single" w:sz="8" w:space="0" w:color="auto"/>
              <w:right w:val="single" w:sz="4" w:space="0" w:color="auto"/>
            </w:tcBorders>
            <w:shd w:val="clear" w:color="auto" w:fill="auto"/>
            <w:noWrap/>
            <w:vAlign w:val="bottom"/>
            <w:hideMark/>
          </w:tcPr>
          <w:p w14:paraId="3912D2BC"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04" w:type="pct"/>
            <w:tcBorders>
              <w:top w:val="nil"/>
              <w:left w:val="nil"/>
              <w:bottom w:val="single" w:sz="8" w:space="0" w:color="auto"/>
              <w:right w:val="single" w:sz="4" w:space="0" w:color="auto"/>
            </w:tcBorders>
            <w:shd w:val="clear" w:color="auto" w:fill="auto"/>
            <w:noWrap/>
            <w:vAlign w:val="bottom"/>
            <w:hideMark/>
          </w:tcPr>
          <w:p w14:paraId="222B383C"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429" w:type="pct"/>
            <w:tcBorders>
              <w:top w:val="nil"/>
              <w:left w:val="nil"/>
              <w:bottom w:val="single" w:sz="8" w:space="0" w:color="auto"/>
              <w:right w:val="single" w:sz="4" w:space="0" w:color="auto"/>
            </w:tcBorders>
            <w:shd w:val="clear" w:color="auto" w:fill="auto"/>
            <w:noWrap/>
            <w:vAlign w:val="bottom"/>
            <w:hideMark/>
          </w:tcPr>
          <w:p w14:paraId="6F1929A4"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8" w:space="0" w:color="auto"/>
              <w:right w:val="single" w:sz="4" w:space="0" w:color="auto"/>
            </w:tcBorders>
            <w:shd w:val="clear" w:color="auto" w:fill="auto"/>
            <w:noWrap/>
            <w:vAlign w:val="bottom"/>
            <w:hideMark/>
          </w:tcPr>
          <w:p w14:paraId="335F5C3C"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c>
          <w:tcPr>
            <w:tcW w:w="276" w:type="pct"/>
            <w:tcBorders>
              <w:top w:val="nil"/>
              <w:left w:val="nil"/>
              <w:bottom w:val="single" w:sz="8" w:space="0" w:color="auto"/>
              <w:right w:val="single" w:sz="4" w:space="0" w:color="auto"/>
            </w:tcBorders>
            <w:shd w:val="clear" w:color="auto" w:fill="00B050"/>
            <w:noWrap/>
            <w:vAlign w:val="bottom"/>
            <w:hideMark/>
          </w:tcPr>
          <w:p w14:paraId="6C6233C0" w14:textId="77777777" w:rsidR="00E72E3F" w:rsidRPr="00C551E1" w:rsidRDefault="00E72E3F" w:rsidP="00E075C7">
            <w:pPr>
              <w:keepNext/>
              <w:jc w:val="both"/>
              <w:rPr>
                <w:rFonts w:ascii="Arial" w:hAnsi="Arial" w:cs="Arial"/>
                <w:color w:val="000000"/>
                <w:sz w:val="22"/>
                <w:szCs w:val="22"/>
              </w:rPr>
            </w:pPr>
            <w:r w:rsidRPr="00C551E1">
              <w:rPr>
                <w:rFonts w:ascii="Arial" w:hAnsi="Arial" w:cs="Arial"/>
                <w:color w:val="000000"/>
                <w:sz w:val="22"/>
                <w:szCs w:val="22"/>
              </w:rPr>
              <w:t> </w:t>
            </w:r>
          </w:p>
        </w:tc>
      </w:tr>
    </w:tbl>
    <w:p w14:paraId="439D2853" w14:textId="3E01F87A" w:rsidR="00792B59" w:rsidRPr="00C551E1" w:rsidRDefault="00E075C7" w:rsidP="00E075C7">
      <w:pPr>
        <w:keepNext/>
        <w:jc w:val="both"/>
        <w:rPr>
          <w:rFonts w:ascii="Arial" w:hAnsi="Arial" w:cs="Arial"/>
          <w:sz w:val="22"/>
          <w:szCs w:val="22"/>
        </w:rPr>
      </w:pPr>
      <w:r w:rsidRPr="00C551E1">
        <w:rPr>
          <w:rFonts w:ascii="Arial" w:hAnsi="Arial" w:cs="Arial"/>
          <w:sz w:val="22"/>
          <w:szCs w:val="22"/>
        </w:rPr>
        <w:t xml:space="preserve">Fuente: elaboración propia. </w:t>
      </w:r>
      <w:r w:rsidR="00283FDC">
        <w:rPr>
          <w:rFonts w:ascii="Arial" w:hAnsi="Arial" w:cs="Arial"/>
          <w:sz w:val="22"/>
          <w:szCs w:val="22"/>
        </w:rPr>
        <w:t>UD es el último desembolso.</w:t>
      </w:r>
    </w:p>
    <w:p w14:paraId="7F20D7FB" w14:textId="77777777" w:rsidR="00E075C7" w:rsidRPr="00C551E1" w:rsidRDefault="00E075C7" w:rsidP="008F44D3">
      <w:pPr>
        <w:keepNext/>
        <w:jc w:val="both"/>
        <w:rPr>
          <w:rFonts w:ascii="Arial" w:hAnsi="Arial" w:cs="Arial"/>
          <w:sz w:val="22"/>
          <w:szCs w:val="22"/>
        </w:rPr>
      </w:pPr>
    </w:p>
    <w:p w14:paraId="2A0AC49A" w14:textId="77777777" w:rsidR="00792B59" w:rsidRPr="00C551E1" w:rsidRDefault="00792B59" w:rsidP="00E075C7">
      <w:pPr>
        <w:pStyle w:val="Caption"/>
        <w:keepNext/>
        <w:widowControl/>
        <w:jc w:val="both"/>
        <w:rPr>
          <w:rFonts w:ascii="Arial" w:hAnsi="Arial" w:cs="Arial"/>
          <w:sz w:val="22"/>
          <w:szCs w:val="22"/>
        </w:rPr>
      </w:pPr>
      <w:bookmarkStart w:id="55" w:name="_Ref9363860"/>
      <w:r w:rsidRPr="00C551E1">
        <w:rPr>
          <w:rFonts w:ascii="Arial" w:hAnsi="Arial" w:cs="Arial"/>
          <w:sz w:val="22"/>
          <w:szCs w:val="22"/>
        </w:rPr>
        <w:t xml:space="preserve">Tabla </w:t>
      </w:r>
      <w:r w:rsidRPr="00F42B76">
        <w:rPr>
          <w:rFonts w:ascii="Arial" w:hAnsi="Arial" w:cs="Arial"/>
          <w:sz w:val="22"/>
          <w:szCs w:val="22"/>
        </w:rPr>
        <w:fldChar w:fldCharType="begin"/>
      </w:r>
      <w:r w:rsidRPr="00C551E1">
        <w:rPr>
          <w:rFonts w:ascii="Arial" w:hAnsi="Arial" w:cs="Arial"/>
          <w:sz w:val="22"/>
          <w:szCs w:val="22"/>
        </w:rPr>
        <w:instrText xml:space="preserve"> SEQ Tabla \* ARABIC </w:instrText>
      </w:r>
      <w:r w:rsidRPr="00F134B3">
        <w:rPr>
          <w:rFonts w:ascii="Arial" w:hAnsi="Arial" w:cs="Arial"/>
          <w:sz w:val="22"/>
          <w:szCs w:val="22"/>
        </w:rPr>
        <w:fldChar w:fldCharType="separate"/>
      </w:r>
      <w:r w:rsidRPr="00C551E1">
        <w:rPr>
          <w:rFonts w:ascii="Arial" w:hAnsi="Arial" w:cs="Arial"/>
          <w:sz w:val="22"/>
          <w:szCs w:val="22"/>
        </w:rPr>
        <w:t>4</w:t>
      </w:r>
      <w:r w:rsidRPr="00F42B76">
        <w:rPr>
          <w:rFonts w:ascii="Arial" w:hAnsi="Arial" w:cs="Arial"/>
          <w:sz w:val="22"/>
          <w:szCs w:val="22"/>
        </w:rPr>
        <w:fldChar w:fldCharType="end"/>
      </w:r>
      <w:bookmarkEnd w:id="55"/>
      <w:r w:rsidRPr="00C551E1">
        <w:rPr>
          <w:rFonts w:ascii="Arial" w:hAnsi="Arial" w:cs="Arial"/>
          <w:sz w:val="22"/>
          <w:szCs w:val="22"/>
        </w:rPr>
        <w:t>: Presupuesto</w:t>
      </w:r>
    </w:p>
    <w:tbl>
      <w:tblPr>
        <w:tblW w:w="6588" w:type="dxa"/>
        <w:tblLook w:val="04A0" w:firstRow="1" w:lastRow="0" w:firstColumn="1" w:lastColumn="0" w:noHBand="0" w:noVBand="1"/>
      </w:tblPr>
      <w:tblGrid>
        <w:gridCol w:w="5300"/>
        <w:gridCol w:w="1288"/>
      </w:tblGrid>
      <w:tr w:rsidR="00792B59" w:rsidRPr="00C551E1" w14:paraId="1C2D1285" w14:textId="77777777" w:rsidTr="00F134B3">
        <w:trPr>
          <w:trHeight w:val="300"/>
        </w:trPr>
        <w:tc>
          <w:tcPr>
            <w:tcW w:w="530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7A250AB4" w14:textId="77777777" w:rsidR="00792B59" w:rsidRPr="00C551E1" w:rsidRDefault="00792B59" w:rsidP="00E075C7">
            <w:pPr>
              <w:keepNext/>
              <w:jc w:val="both"/>
              <w:rPr>
                <w:rFonts w:ascii="Arial" w:hAnsi="Arial" w:cs="Arial"/>
                <w:b/>
                <w:bCs/>
                <w:color w:val="000000"/>
                <w:sz w:val="22"/>
                <w:szCs w:val="22"/>
              </w:rPr>
            </w:pPr>
            <w:r w:rsidRPr="00C551E1">
              <w:rPr>
                <w:rFonts w:ascii="Arial" w:hAnsi="Arial" w:cs="Arial"/>
                <w:b/>
                <w:bCs/>
                <w:color w:val="000000"/>
                <w:sz w:val="22"/>
                <w:szCs w:val="22"/>
              </w:rPr>
              <w:t>Rubro</w:t>
            </w:r>
          </w:p>
        </w:tc>
        <w:tc>
          <w:tcPr>
            <w:tcW w:w="1288" w:type="dxa"/>
            <w:tcBorders>
              <w:top w:val="single" w:sz="8" w:space="0" w:color="auto"/>
              <w:left w:val="nil"/>
              <w:bottom w:val="single" w:sz="4" w:space="0" w:color="auto"/>
              <w:right w:val="single" w:sz="8" w:space="0" w:color="auto"/>
            </w:tcBorders>
            <w:shd w:val="clear" w:color="000000" w:fill="D9D9D9"/>
            <w:noWrap/>
            <w:vAlign w:val="bottom"/>
            <w:hideMark/>
          </w:tcPr>
          <w:p w14:paraId="7A189585" w14:textId="77777777" w:rsidR="00792B59" w:rsidRPr="00C551E1" w:rsidRDefault="00792B59" w:rsidP="00E075C7">
            <w:pPr>
              <w:keepNext/>
              <w:jc w:val="both"/>
              <w:rPr>
                <w:rFonts w:ascii="Arial" w:hAnsi="Arial" w:cs="Arial"/>
                <w:b/>
                <w:bCs/>
                <w:color w:val="000000"/>
                <w:sz w:val="22"/>
                <w:szCs w:val="22"/>
              </w:rPr>
            </w:pPr>
            <w:r w:rsidRPr="00C551E1">
              <w:rPr>
                <w:rFonts w:ascii="Arial" w:hAnsi="Arial" w:cs="Arial"/>
                <w:b/>
                <w:bCs/>
                <w:color w:val="000000"/>
                <w:sz w:val="22"/>
                <w:szCs w:val="22"/>
              </w:rPr>
              <w:t>USD</w:t>
            </w:r>
          </w:p>
        </w:tc>
      </w:tr>
      <w:tr w:rsidR="00792B59" w:rsidRPr="00C551E1" w14:paraId="10006334" w14:textId="77777777" w:rsidTr="00F134B3">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14:paraId="082C2DE5" w14:textId="35E2E57D" w:rsidR="00792B59" w:rsidRPr="00C551E1" w:rsidRDefault="005D164C" w:rsidP="00E075C7">
            <w:pPr>
              <w:keepNext/>
              <w:jc w:val="both"/>
              <w:rPr>
                <w:rFonts w:ascii="Arial" w:hAnsi="Arial" w:cs="Arial"/>
                <w:color w:val="000000"/>
                <w:sz w:val="22"/>
                <w:szCs w:val="22"/>
              </w:rPr>
            </w:pPr>
            <w:r>
              <w:rPr>
                <w:rFonts w:ascii="Arial" w:hAnsi="Arial" w:cs="Arial"/>
                <w:color w:val="000000"/>
                <w:sz w:val="22"/>
                <w:szCs w:val="22"/>
              </w:rPr>
              <w:t>Experto en IEEM.</w:t>
            </w:r>
          </w:p>
        </w:tc>
        <w:tc>
          <w:tcPr>
            <w:tcW w:w="1288" w:type="dxa"/>
            <w:tcBorders>
              <w:top w:val="nil"/>
              <w:left w:val="nil"/>
              <w:bottom w:val="single" w:sz="4" w:space="0" w:color="auto"/>
              <w:right w:val="single" w:sz="8" w:space="0" w:color="auto"/>
            </w:tcBorders>
            <w:shd w:val="clear" w:color="auto" w:fill="auto"/>
            <w:noWrap/>
            <w:vAlign w:val="bottom"/>
            <w:hideMark/>
          </w:tcPr>
          <w:p w14:paraId="21E958CD" w14:textId="50D36EB8" w:rsidR="00792B59" w:rsidRPr="00C551E1" w:rsidRDefault="005D164C" w:rsidP="00E075C7">
            <w:pPr>
              <w:keepNext/>
              <w:jc w:val="both"/>
              <w:rPr>
                <w:rFonts w:ascii="Arial" w:hAnsi="Arial" w:cs="Arial"/>
                <w:color w:val="000000"/>
                <w:sz w:val="22"/>
                <w:szCs w:val="22"/>
              </w:rPr>
            </w:pPr>
            <w:r>
              <w:rPr>
                <w:rFonts w:ascii="Arial" w:hAnsi="Arial" w:cs="Arial"/>
                <w:color w:val="000000"/>
                <w:sz w:val="22"/>
                <w:szCs w:val="22"/>
              </w:rPr>
              <w:t>47.000</w:t>
            </w:r>
          </w:p>
        </w:tc>
      </w:tr>
      <w:tr w:rsidR="00792B59" w:rsidRPr="00C551E1" w14:paraId="52CE09A2" w14:textId="77777777" w:rsidTr="00F134B3">
        <w:trPr>
          <w:trHeight w:val="375"/>
        </w:trPr>
        <w:tc>
          <w:tcPr>
            <w:tcW w:w="5300" w:type="dxa"/>
            <w:tcBorders>
              <w:top w:val="nil"/>
              <w:left w:val="single" w:sz="8" w:space="0" w:color="auto"/>
              <w:bottom w:val="nil"/>
              <w:right w:val="single" w:sz="4" w:space="0" w:color="auto"/>
            </w:tcBorders>
            <w:shd w:val="clear" w:color="auto" w:fill="auto"/>
            <w:vAlign w:val="center"/>
            <w:hideMark/>
          </w:tcPr>
          <w:p w14:paraId="56772344" w14:textId="27C91D0E" w:rsidR="00792B59" w:rsidRPr="00C551E1" w:rsidRDefault="00792B59" w:rsidP="00E075C7">
            <w:pPr>
              <w:keepNext/>
              <w:jc w:val="both"/>
              <w:rPr>
                <w:rFonts w:ascii="Arial" w:hAnsi="Arial" w:cs="Arial"/>
                <w:color w:val="000000"/>
                <w:sz w:val="22"/>
                <w:szCs w:val="22"/>
              </w:rPr>
            </w:pPr>
            <w:r w:rsidRPr="00C551E1">
              <w:rPr>
                <w:rFonts w:ascii="Arial" w:hAnsi="Arial" w:cs="Arial"/>
                <w:color w:val="000000"/>
                <w:sz w:val="22"/>
                <w:szCs w:val="22"/>
              </w:rPr>
              <w:t>Viajes, alojamiento, y viáticos</w:t>
            </w:r>
          </w:p>
        </w:tc>
        <w:tc>
          <w:tcPr>
            <w:tcW w:w="1288" w:type="dxa"/>
            <w:tcBorders>
              <w:top w:val="nil"/>
              <w:left w:val="nil"/>
              <w:bottom w:val="nil"/>
              <w:right w:val="single" w:sz="8" w:space="0" w:color="auto"/>
            </w:tcBorders>
            <w:shd w:val="clear" w:color="auto" w:fill="auto"/>
            <w:noWrap/>
            <w:vAlign w:val="bottom"/>
            <w:hideMark/>
          </w:tcPr>
          <w:p w14:paraId="3390BDCC" w14:textId="696C6778" w:rsidR="00792B59" w:rsidRPr="00C551E1" w:rsidRDefault="005D164C" w:rsidP="00E075C7">
            <w:pPr>
              <w:keepNext/>
              <w:jc w:val="both"/>
              <w:rPr>
                <w:rFonts w:ascii="Arial" w:hAnsi="Arial" w:cs="Arial"/>
                <w:color w:val="000000"/>
                <w:sz w:val="22"/>
                <w:szCs w:val="22"/>
              </w:rPr>
            </w:pPr>
            <w:r>
              <w:rPr>
                <w:rFonts w:ascii="Arial" w:hAnsi="Arial" w:cs="Arial"/>
                <w:color w:val="000000"/>
                <w:sz w:val="22"/>
                <w:szCs w:val="22"/>
              </w:rPr>
              <w:t>2.000</w:t>
            </w:r>
          </w:p>
        </w:tc>
      </w:tr>
      <w:tr w:rsidR="00792B59" w:rsidRPr="00C551E1" w14:paraId="2AD72DBB" w14:textId="77777777" w:rsidTr="00F134B3">
        <w:trPr>
          <w:trHeight w:val="315"/>
        </w:trPr>
        <w:tc>
          <w:tcPr>
            <w:tcW w:w="53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554737A" w14:textId="77777777" w:rsidR="00792B59" w:rsidRPr="00C551E1" w:rsidRDefault="00792B59" w:rsidP="00E075C7">
            <w:pPr>
              <w:keepNext/>
              <w:jc w:val="both"/>
              <w:rPr>
                <w:rFonts w:ascii="Arial" w:hAnsi="Arial" w:cs="Arial"/>
                <w:color w:val="000000"/>
                <w:sz w:val="22"/>
                <w:szCs w:val="22"/>
              </w:rPr>
            </w:pPr>
            <w:r w:rsidRPr="00C551E1">
              <w:rPr>
                <w:rFonts w:ascii="Arial" w:hAnsi="Arial" w:cs="Arial"/>
                <w:color w:val="000000"/>
                <w:sz w:val="22"/>
                <w:szCs w:val="22"/>
              </w:rPr>
              <w:t>Total</w:t>
            </w:r>
          </w:p>
        </w:tc>
        <w:tc>
          <w:tcPr>
            <w:tcW w:w="1288" w:type="dxa"/>
            <w:tcBorders>
              <w:top w:val="single" w:sz="8" w:space="0" w:color="auto"/>
              <w:left w:val="nil"/>
              <w:bottom w:val="single" w:sz="8" w:space="0" w:color="auto"/>
              <w:right w:val="single" w:sz="8" w:space="0" w:color="auto"/>
            </w:tcBorders>
            <w:shd w:val="clear" w:color="auto" w:fill="auto"/>
            <w:noWrap/>
            <w:vAlign w:val="bottom"/>
            <w:hideMark/>
          </w:tcPr>
          <w:p w14:paraId="53DEF12D" w14:textId="77777777" w:rsidR="00792B59" w:rsidRPr="00C551E1" w:rsidRDefault="00EA5B69" w:rsidP="00E075C7">
            <w:pPr>
              <w:keepNext/>
              <w:jc w:val="both"/>
              <w:rPr>
                <w:rFonts w:ascii="Arial" w:hAnsi="Arial" w:cs="Arial"/>
                <w:color w:val="000000"/>
                <w:sz w:val="22"/>
                <w:szCs w:val="22"/>
              </w:rPr>
            </w:pPr>
            <w:r w:rsidRPr="00C551E1">
              <w:rPr>
                <w:rFonts w:ascii="Arial" w:hAnsi="Arial" w:cs="Arial"/>
                <w:color w:val="000000"/>
                <w:sz w:val="22"/>
                <w:szCs w:val="22"/>
              </w:rPr>
              <w:t>50.000</w:t>
            </w:r>
          </w:p>
        </w:tc>
      </w:tr>
    </w:tbl>
    <w:p w14:paraId="1C02255E" w14:textId="77777777" w:rsidR="00792B59" w:rsidRPr="00C551E1" w:rsidRDefault="00E075C7" w:rsidP="00E075C7">
      <w:pPr>
        <w:keepNext/>
        <w:jc w:val="both"/>
        <w:rPr>
          <w:rFonts w:ascii="Arial" w:hAnsi="Arial" w:cs="Arial"/>
          <w:sz w:val="22"/>
          <w:szCs w:val="22"/>
        </w:rPr>
      </w:pPr>
      <w:r w:rsidRPr="00C551E1">
        <w:rPr>
          <w:rFonts w:ascii="Arial" w:hAnsi="Arial" w:cs="Arial"/>
          <w:sz w:val="22"/>
          <w:szCs w:val="22"/>
        </w:rPr>
        <w:t xml:space="preserve">Fuente: elaboración propia. </w:t>
      </w:r>
    </w:p>
    <w:p w14:paraId="19605719" w14:textId="06828DE3" w:rsidR="00792B59" w:rsidRPr="00C551E1" w:rsidRDefault="00952EA6" w:rsidP="00952EA6">
      <w:pPr>
        <w:pStyle w:val="Heading1"/>
        <w:numPr>
          <w:ilvl w:val="0"/>
          <w:numId w:val="0"/>
        </w:numPr>
        <w:ind w:left="288" w:hanging="288"/>
        <w:jc w:val="left"/>
        <w:rPr>
          <w:rFonts w:ascii="Arial" w:hAnsi="Arial" w:cs="Arial"/>
          <w:noProof w:val="0"/>
          <w:sz w:val="22"/>
          <w:szCs w:val="22"/>
          <w:lang w:val="es-ES_tradnl"/>
        </w:rPr>
      </w:pPr>
      <w:r w:rsidRPr="00C551E1">
        <w:rPr>
          <w:rFonts w:ascii="Arial" w:hAnsi="Arial" w:cs="Arial"/>
          <w:noProof w:val="0"/>
          <w:sz w:val="22"/>
          <w:szCs w:val="22"/>
          <w:lang w:val="es-ES_tradnl"/>
        </w:rPr>
        <w:br w:type="page"/>
      </w:r>
      <w:bookmarkStart w:id="56" w:name="_Toc11138492"/>
      <w:bookmarkStart w:id="57" w:name="_Toc12264451"/>
      <w:r w:rsidR="00792B59" w:rsidRPr="00C551E1">
        <w:rPr>
          <w:rFonts w:ascii="Arial" w:hAnsi="Arial" w:cs="Arial"/>
          <w:noProof w:val="0"/>
          <w:sz w:val="22"/>
          <w:szCs w:val="22"/>
          <w:lang w:val="es-ES_tradnl"/>
        </w:rPr>
        <w:lastRenderedPageBreak/>
        <w:t>Referencias</w:t>
      </w:r>
      <w:bookmarkEnd w:id="56"/>
      <w:bookmarkEnd w:id="57"/>
    </w:p>
    <w:p w14:paraId="1FFA2CA8" w14:textId="77777777" w:rsidR="002E79C7" w:rsidRPr="00F134B3" w:rsidRDefault="00792B59" w:rsidP="00F134B3">
      <w:pPr>
        <w:widowControl w:val="0"/>
        <w:autoSpaceDE w:val="0"/>
        <w:autoSpaceDN w:val="0"/>
        <w:adjustRightInd w:val="0"/>
        <w:jc w:val="both"/>
        <w:rPr>
          <w:rFonts w:ascii="Arial" w:hAnsi="Arial"/>
          <w:sz w:val="22"/>
          <w:lang w:val="en-US"/>
        </w:rPr>
      </w:pPr>
      <w:r w:rsidRPr="00F42B76">
        <w:rPr>
          <w:rFonts w:ascii="Arial" w:hAnsi="Arial" w:cs="Arial"/>
          <w:sz w:val="22"/>
          <w:szCs w:val="22"/>
        </w:rPr>
        <w:fldChar w:fldCharType="begin" w:fldLock="1"/>
      </w:r>
      <w:r w:rsidRPr="002B5292">
        <w:rPr>
          <w:rFonts w:ascii="Arial" w:hAnsi="Arial"/>
          <w:sz w:val="22"/>
          <w:lang w:val="en-US"/>
        </w:rPr>
        <w:instrText xml:space="preserve">ADDIN Mendeley Bibliography CSL_BIBLIOGRAPHY </w:instrText>
      </w:r>
      <w:r w:rsidRPr="00F134B3">
        <w:rPr>
          <w:rFonts w:ascii="Arial" w:hAnsi="Arial" w:cs="Arial"/>
          <w:sz w:val="22"/>
          <w:szCs w:val="22"/>
        </w:rPr>
        <w:fldChar w:fldCharType="separate"/>
      </w:r>
      <w:r w:rsidR="002E79C7" w:rsidRPr="00F134B3">
        <w:rPr>
          <w:rFonts w:ascii="Arial" w:hAnsi="Arial"/>
          <w:sz w:val="22"/>
          <w:lang w:val="en-US"/>
        </w:rPr>
        <w:t xml:space="preserve">Abadie, A., Diamond, A. and Hainmueller, J. (2010) ‘Synthetic Control Methods for Comparative Case Studies: Estimating the Effect of California’s Tobacco Control Program’, </w:t>
      </w:r>
      <w:r w:rsidR="002E79C7" w:rsidRPr="00F134B3">
        <w:rPr>
          <w:rFonts w:ascii="Arial" w:hAnsi="Arial"/>
          <w:i/>
          <w:sz w:val="22"/>
          <w:lang w:val="en-US"/>
        </w:rPr>
        <w:t>Journal of the American Statistical Association</w:t>
      </w:r>
      <w:r w:rsidR="002E79C7" w:rsidRPr="00F134B3">
        <w:rPr>
          <w:rFonts w:ascii="Arial" w:hAnsi="Arial"/>
          <w:sz w:val="22"/>
          <w:lang w:val="en-US"/>
        </w:rPr>
        <w:t>, 105(490), pp. 493–505. doi: 10.1198/jasa.2009.ap08746.</w:t>
      </w:r>
    </w:p>
    <w:p w14:paraId="5B8FE2F3"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Abadie, A. and Gardeazabal, J. (2003) ‘The Economic Costs of Conflict: A Case Study of the Basque Country’, </w:t>
      </w:r>
      <w:r w:rsidRPr="00F134B3">
        <w:rPr>
          <w:rFonts w:ascii="Arial" w:hAnsi="Arial"/>
          <w:i/>
          <w:sz w:val="22"/>
          <w:lang w:val="en-US"/>
        </w:rPr>
        <w:t>American Economic Review</w:t>
      </w:r>
      <w:r w:rsidRPr="00F134B3">
        <w:rPr>
          <w:rFonts w:ascii="Arial" w:hAnsi="Arial"/>
          <w:sz w:val="22"/>
          <w:lang w:val="en-US"/>
        </w:rPr>
        <w:t>, 93(1), pp. 113–132. doi: 10.1257/000282803321455188.</w:t>
      </w:r>
    </w:p>
    <w:p w14:paraId="3A026DC7" w14:textId="77777777" w:rsidR="002E79C7" w:rsidRPr="00F134B3" w:rsidRDefault="002E79C7" w:rsidP="00F134B3">
      <w:pPr>
        <w:widowControl w:val="0"/>
        <w:autoSpaceDE w:val="0"/>
        <w:autoSpaceDN w:val="0"/>
        <w:adjustRightInd w:val="0"/>
        <w:jc w:val="both"/>
        <w:rPr>
          <w:rFonts w:ascii="Arial" w:hAnsi="Arial" w:cs="Arial"/>
          <w:sz w:val="22"/>
          <w:szCs w:val="24"/>
        </w:rPr>
      </w:pPr>
      <w:r w:rsidRPr="00F134B3">
        <w:rPr>
          <w:rFonts w:ascii="Arial" w:hAnsi="Arial" w:cs="Arial"/>
          <w:sz w:val="22"/>
          <w:szCs w:val="24"/>
        </w:rPr>
        <w:t xml:space="preserve">Aguirre, E., Baraldo, J. and Durán, V. (2017) ‘Evaluación costo beneficio ex-ante del proyecto DACC Adicional’, in </w:t>
      </w:r>
      <w:r w:rsidRPr="00F134B3">
        <w:rPr>
          <w:rFonts w:ascii="Arial" w:hAnsi="Arial" w:cs="Arial"/>
          <w:i/>
          <w:iCs/>
          <w:sz w:val="22"/>
          <w:szCs w:val="24"/>
        </w:rPr>
        <w:t>Anuario 2017 OPyPA</w:t>
      </w:r>
      <w:r w:rsidRPr="00F134B3">
        <w:rPr>
          <w:rFonts w:ascii="Arial" w:hAnsi="Arial" w:cs="Arial"/>
          <w:sz w:val="22"/>
          <w:szCs w:val="24"/>
        </w:rPr>
        <w:t>. Montevideo: Ministerio de Ganadería, Agricultura y Pesca, p. 23.</w:t>
      </w:r>
    </w:p>
    <w:p w14:paraId="0A3A3B8B"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rPr>
        <w:t xml:space="preserve">Angrist, J. D. and Pischke, J.-S. (2009) </w:t>
      </w:r>
      <w:r w:rsidRPr="00F134B3">
        <w:rPr>
          <w:rFonts w:ascii="Arial" w:hAnsi="Arial" w:cs="Arial"/>
          <w:i/>
          <w:iCs/>
          <w:sz w:val="22"/>
          <w:szCs w:val="24"/>
        </w:rPr>
        <w:t>Mostly Harmless Econometrics: An Empiricist’s Companion</w:t>
      </w:r>
      <w:r w:rsidRPr="00F134B3">
        <w:rPr>
          <w:rFonts w:ascii="Arial" w:hAnsi="Arial" w:cs="Arial"/>
          <w:sz w:val="22"/>
          <w:szCs w:val="24"/>
        </w:rPr>
        <w:t xml:space="preserve">. </w:t>
      </w:r>
      <w:r w:rsidRPr="00F134B3">
        <w:rPr>
          <w:rFonts w:ascii="Arial" w:hAnsi="Arial"/>
          <w:sz w:val="22"/>
          <w:lang w:val="en-US"/>
        </w:rPr>
        <w:t>Princeton University Press. Available at: https://econpapers.repec.org/bookchap/puppbooks/8769.htm (Accessed: 20 May 2019).</w:t>
      </w:r>
    </w:p>
    <w:p w14:paraId="770B0B93"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rPr>
        <w:t xml:space="preserve">Arcos Torres, I. (2005) </w:t>
      </w:r>
      <w:r w:rsidRPr="00F134B3">
        <w:rPr>
          <w:rFonts w:ascii="Arial" w:hAnsi="Arial" w:cs="Arial"/>
          <w:i/>
          <w:iCs/>
          <w:sz w:val="22"/>
          <w:szCs w:val="24"/>
        </w:rPr>
        <w:t>Efecto del ancho de los ecosistemas riparios en la conservación de la calidad del agua y la biodiversidad en la microcuenca del río Sesesmiles, Copán, Honduras</w:t>
      </w:r>
      <w:r w:rsidRPr="00F134B3">
        <w:rPr>
          <w:rFonts w:ascii="Arial" w:hAnsi="Arial" w:cs="Arial"/>
          <w:sz w:val="22"/>
          <w:szCs w:val="24"/>
        </w:rPr>
        <w:t xml:space="preserve">. </w:t>
      </w:r>
      <w:r w:rsidRPr="00F134B3">
        <w:rPr>
          <w:rFonts w:ascii="Arial" w:hAnsi="Arial"/>
          <w:sz w:val="22"/>
          <w:lang w:val="en-US"/>
        </w:rPr>
        <w:t>CATIE, Turrialba (Costa Rica). Available at: http://repositorio.bibliotecaorton.catie.ac.cr/handle/11554/4888 (Accessed: 21 May 2019).</w:t>
      </w:r>
    </w:p>
    <w:p w14:paraId="7DC7FC90" w14:textId="77777777" w:rsidR="002E79C7" w:rsidRPr="00F134B3" w:rsidRDefault="002E79C7" w:rsidP="00F134B3">
      <w:pPr>
        <w:widowControl w:val="0"/>
        <w:autoSpaceDE w:val="0"/>
        <w:autoSpaceDN w:val="0"/>
        <w:adjustRightInd w:val="0"/>
        <w:jc w:val="both"/>
        <w:rPr>
          <w:rFonts w:ascii="Arial" w:hAnsi="Arial" w:cs="Arial"/>
          <w:sz w:val="22"/>
          <w:szCs w:val="24"/>
        </w:rPr>
      </w:pPr>
      <w:r w:rsidRPr="00F134B3">
        <w:rPr>
          <w:rFonts w:ascii="Arial" w:hAnsi="Arial" w:cs="Arial"/>
          <w:sz w:val="22"/>
          <w:szCs w:val="24"/>
        </w:rPr>
        <w:t xml:space="preserve">Aubriot, L. E. </w:t>
      </w:r>
      <w:r w:rsidRPr="00F134B3">
        <w:rPr>
          <w:rFonts w:ascii="Arial" w:hAnsi="Arial" w:cs="Arial"/>
          <w:i/>
          <w:iCs/>
          <w:sz w:val="22"/>
          <w:szCs w:val="24"/>
        </w:rPr>
        <w:t>et al.</w:t>
      </w:r>
      <w:r w:rsidRPr="00F134B3">
        <w:rPr>
          <w:rFonts w:ascii="Arial" w:hAnsi="Arial" w:cs="Arial"/>
          <w:sz w:val="22"/>
          <w:szCs w:val="24"/>
        </w:rPr>
        <w:t xml:space="preserve"> (2018) ‘Evolución de la eutrofización en el Río Santa Lucía: influencia de la intensificación productiva y perspectivas’, </w:t>
      </w:r>
      <w:r w:rsidRPr="00F134B3">
        <w:rPr>
          <w:rFonts w:ascii="Arial" w:hAnsi="Arial" w:cs="Arial"/>
          <w:i/>
          <w:iCs/>
          <w:sz w:val="22"/>
          <w:szCs w:val="24"/>
        </w:rPr>
        <w:t>Innotec</w:t>
      </w:r>
      <w:r w:rsidRPr="00F134B3">
        <w:rPr>
          <w:rFonts w:ascii="Arial" w:hAnsi="Arial" w:cs="Arial"/>
          <w:sz w:val="22"/>
          <w:szCs w:val="24"/>
        </w:rPr>
        <w:t>, 14, pp. 7–16. doi: 10.26461/14.04.</w:t>
      </w:r>
    </w:p>
    <w:p w14:paraId="7C310B62"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rPr>
        <w:t xml:space="preserve">Auquilla, R. C. and Jiménez, F. (2005) ‘Influencia del uso del suelo en la calidad del agua en la subcuenca del río Jabonal’, </w:t>
      </w:r>
      <w:r w:rsidRPr="00F134B3">
        <w:rPr>
          <w:rFonts w:ascii="Arial" w:hAnsi="Arial" w:cs="Arial"/>
          <w:i/>
          <w:iCs/>
          <w:sz w:val="22"/>
          <w:szCs w:val="24"/>
        </w:rPr>
        <w:t>Recursos Naturales y Ambiente</w:t>
      </w:r>
      <w:r w:rsidRPr="00F134B3">
        <w:rPr>
          <w:rFonts w:ascii="Arial" w:hAnsi="Arial" w:cs="Arial"/>
          <w:sz w:val="22"/>
          <w:szCs w:val="24"/>
        </w:rPr>
        <w:t xml:space="preserve">, (48), pp. 81–92. </w:t>
      </w:r>
      <w:r w:rsidRPr="00F134B3">
        <w:rPr>
          <w:rFonts w:ascii="Arial" w:hAnsi="Arial"/>
          <w:sz w:val="22"/>
          <w:lang w:val="en-US"/>
        </w:rPr>
        <w:t>Available at: http://repositorio.bibliotecaorton.catie.ac.cr:8080/bitstream/handle/11554/6408/Influencia_de_uso_del_suelo.pdf?sequence=1&amp;isAllowed=y.</w:t>
      </w:r>
    </w:p>
    <w:p w14:paraId="4A6F1FA8" w14:textId="77777777" w:rsidR="00A24FA8" w:rsidRPr="00F134B3" w:rsidRDefault="00A24FA8" w:rsidP="00A24FA8">
      <w:pPr>
        <w:widowControl w:val="0"/>
        <w:autoSpaceDE w:val="0"/>
        <w:autoSpaceDN w:val="0"/>
        <w:adjustRightInd w:val="0"/>
        <w:jc w:val="both"/>
        <w:rPr>
          <w:rFonts w:ascii="Arial" w:hAnsi="Arial" w:cs="Arial"/>
          <w:sz w:val="22"/>
          <w:szCs w:val="24"/>
          <w:lang w:val="en-US"/>
        </w:rPr>
      </w:pPr>
      <w:r w:rsidRPr="00F134B3">
        <w:rPr>
          <w:rFonts w:ascii="Arial" w:hAnsi="Arial" w:cs="Arial"/>
          <w:sz w:val="22"/>
          <w:szCs w:val="24"/>
        </w:rPr>
        <w:t xml:space="preserve">BANERJEE, O., CICOWIEZ, M., HORRIDGE, J. M. &amp; VARGAS, R. 2019a. </w:t>
      </w:r>
      <w:r w:rsidRPr="00F134B3">
        <w:rPr>
          <w:rFonts w:ascii="Arial" w:hAnsi="Arial" w:cs="Arial"/>
          <w:sz w:val="22"/>
          <w:szCs w:val="24"/>
          <w:lang w:val="en-US"/>
        </w:rPr>
        <w:t>Evaluating synergies and trade-offs in achieving the SDGs of zero hunger and clean water and sanitation: An application of the IEEM Platform to Guatemala. Ecological Economics, 161, 280-291.</w:t>
      </w:r>
    </w:p>
    <w:p w14:paraId="241E5C4E" w14:textId="77777777" w:rsidR="00A24FA8" w:rsidRPr="00F134B3" w:rsidRDefault="00A24FA8" w:rsidP="00A24FA8">
      <w:pPr>
        <w:widowControl w:val="0"/>
        <w:autoSpaceDE w:val="0"/>
        <w:autoSpaceDN w:val="0"/>
        <w:adjustRightInd w:val="0"/>
        <w:jc w:val="both"/>
        <w:rPr>
          <w:rFonts w:ascii="Arial" w:hAnsi="Arial" w:cs="Arial"/>
          <w:sz w:val="22"/>
          <w:szCs w:val="24"/>
          <w:lang w:val="en-US"/>
        </w:rPr>
      </w:pPr>
      <w:r w:rsidRPr="00F134B3">
        <w:rPr>
          <w:rFonts w:ascii="Arial" w:hAnsi="Arial" w:cs="Arial"/>
          <w:sz w:val="22"/>
          <w:szCs w:val="24"/>
          <w:lang w:val="en-US"/>
        </w:rPr>
        <w:t>BANERJEE, O., CICOWIEZ, M., HORRIDGE, M. &amp; VARGAS, R. 2016. A Conceptual Framework for Integrated Economic–Environmental Modeling. The Journal of Environment &amp; Development, 25, 276-305.</w:t>
      </w:r>
    </w:p>
    <w:p w14:paraId="3BC7E1DF" w14:textId="77777777" w:rsidR="00A24FA8" w:rsidRPr="00F134B3" w:rsidRDefault="00A24FA8" w:rsidP="00A24FA8">
      <w:pPr>
        <w:widowControl w:val="0"/>
        <w:autoSpaceDE w:val="0"/>
        <w:autoSpaceDN w:val="0"/>
        <w:adjustRightInd w:val="0"/>
        <w:jc w:val="both"/>
        <w:rPr>
          <w:rFonts w:ascii="Arial" w:hAnsi="Arial" w:cs="Arial"/>
          <w:sz w:val="22"/>
          <w:szCs w:val="24"/>
        </w:rPr>
      </w:pPr>
      <w:r w:rsidRPr="00F134B3">
        <w:rPr>
          <w:rFonts w:ascii="Arial" w:hAnsi="Arial" w:cs="Arial"/>
          <w:sz w:val="22"/>
          <w:szCs w:val="24"/>
        </w:rPr>
        <w:t xml:space="preserve">BANERJEE, O., CICOWIEZ, M., VARGAS, R. &amp; HORRIDGE, M. 2019b. </w:t>
      </w:r>
      <w:r w:rsidRPr="00F134B3">
        <w:rPr>
          <w:rFonts w:ascii="Arial" w:hAnsi="Arial" w:cs="Arial"/>
          <w:sz w:val="22"/>
          <w:szCs w:val="24"/>
          <w:lang w:val="en-US"/>
        </w:rPr>
        <w:t xml:space="preserve">The SEEA-Based Integrated Economic-Environmental Modelling Framework: An Illustration with Guatemala’s Forest and Fuelwood Sector. </w:t>
      </w:r>
      <w:r w:rsidRPr="00F134B3">
        <w:rPr>
          <w:rFonts w:ascii="Arial" w:hAnsi="Arial" w:cs="Arial"/>
          <w:sz w:val="22"/>
          <w:szCs w:val="24"/>
        </w:rPr>
        <w:t>Environmental and Resource Economics, 72, 539–558.</w:t>
      </w:r>
    </w:p>
    <w:p w14:paraId="008E9E2D" w14:textId="287A8E39"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rPr>
        <w:t xml:space="preserve">Barreto, P. </w:t>
      </w:r>
      <w:r w:rsidRPr="00F134B3">
        <w:rPr>
          <w:rFonts w:ascii="Arial" w:hAnsi="Arial" w:cs="Arial"/>
          <w:i/>
          <w:iCs/>
          <w:sz w:val="22"/>
          <w:szCs w:val="24"/>
        </w:rPr>
        <w:t>et al.</w:t>
      </w:r>
      <w:r w:rsidRPr="00F134B3">
        <w:rPr>
          <w:rFonts w:ascii="Arial" w:hAnsi="Arial" w:cs="Arial"/>
          <w:sz w:val="22"/>
          <w:szCs w:val="24"/>
        </w:rPr>
        <w:t xml:space="preserve"> (2014) </w:t>
      </w:r>
      <w:r w:rsidRPr="00F134B3">
        <w:rPr>
          <w:rFonts w:ascii="Arial" w:hAnsi="Arial" w:cs="Arial"/>
          <w:i/>
          <w:iCs/>
          <w:sz w:val="22"/>
          <w:szCs w:val="24"/>
        </w:rPr>
        <w:t>CUANTIFICACIÓN DE LAS PÉRDIDA DE FOSFORO POR ESCORRENTÍA EN DIFERENTES ROTACIÓNES DE SUELOS DE URUGUAY</w:t>
      </w:r>
      <w:r w:rsidRPr="00F134B3">
        <w:rPr>
          <w:rFonts w:ascii="Arial" w:hAnsi="Arial" w:cs="Arial"/>
          <w:sz w:val="22"/>
          <w:szCs w:val="24"/>
        </w:rPr>
        <w:t xml:space="preserve">. </w:t>
      </w:r>
      <w:r w:rsidRPr="00F134B3">
        <w:rPr>
          <w:rFonts w:ascii="Arial" w:hAnsi="Arial"/>
          <w:sz w:val="22"/>
          <w:lang w:val="en-US"/>
        </w:rPr>
        <w:t>Available at: http://www.suelos.com.uy/pdf/58.pdf (Accessed: 21 May 2019).</w:t>
      </w:r>
    </w:p>
    <w:p w14:paraId="7A56C34A"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Barreto, P., Dogliotti, S. and Perdomo, C. (2017) ‘Surface Water Quality of Intensive Farming Areas Within the Santa Lucia River Basin of Uruguay’, </w:t>
      </w:r>
      <w:r w:rsidRPr="00F134B3">
        <w:rPr>
          <w:rFonts w:ascii="Arial" w:hAnsi="Arial"/>
          <w:i/>
          <w:sz w:val="22"/>
          <w:lang w:val="en-US"/>
        </w:rPr>
        <w:t>Air, Soil and Water Research</w:t>
      </w:r>
      <w:r w:rsidRPr="00F134B3">
        <w:rPr>
          <w:rFonts w:ascii="Arial" w:hAnsi="Arial"/>
          <w:sz w:val="22"/>
          <w:lang w:val="en-US"/>
        </w:rPr>
        <w:t>. SAGE PublicationsSage UK: London, England, 10, p. 117862211771544. doi: 10.1177/1178622117715446.</w:t>
      </w:r>
    </w:p>
    <w:p w14:paraId="6D8EEEC2"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Bernal, R. and Peña, X. (2012) ‘Guia práctica para la evaluación de impacto’, p. 336. Available at: https://www.jstor.org/stable/10.7440/j.ctt1b3t82z (Accessed: 21 May 2019).</w:t>
      </w:r>
    </w:p>
    <w:p w14:paraId="1F6A7E0B"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rPr>
        <w:t xml:space="preserve">Bizzozero, F. </w:t>
      </w:r>
      <w:r w:rsidRPr="00F134B3">
        <w:rPr>
          <w:rFonts w:ascii="Arial" w:hAnsi="Arial" w:cs="Arial"/>
          <w:i/>
          <w:iCs/>
          <w:sz w:val="22"/>
          <w:szCs w:val="24"/>
        </w:rPr>
        <w:t>et al.</w:t>
      </w:r>
      <w:r w:rsidRPr="00F134B3">
        <w:rPr>
          <w:rFonts w:ascii="Arial" w:hAnsi="Arial" w:cs="Arial"/>
          <w:sz w:val="22"/>
          <w:szCs w:val="24"/>
        </w:rPr>
        <w:t xml:space="preserve"> (2017) ‘Zonas buffer productivas para agroecosistemas familiares de la cuenca de la laguna del cisne’, in Brazeiro, A. (ed.) </w:t>
      </w:r>
      <w:r w:rsidRPr="00F134B3">
        <w:rPr>
          <w:rFonts w:ascii="Arial" w:hAnsi="Arial" w:cs="Arial"/>
          <w:i/>
          <w:iCs/>
          <w:sz w:val="22"/>
          <w:szCs w:val="24"/>
        </w:rPr>
        <w:t>RECIENTES AVANCES EN INVESTIGACIÓN PARA LA GESTIÓN Y CONSERVACIÓN DEL BOSQUE NATIVO DE URUGUAY</w:t>
      </w:r>
      <w:r w:rsidRPr="00F134B3">
        <w:rPr>
          <w:rFonts w:ascii="Arial" w:hAnsi="Arial" w:cs="Arial"/>
          <w:sz w:val="22"/>
          <w:szCs w:val="24"/>
        </w:rPr>
        <w:t xml:space="preserve">. </w:t>
      </w:r>
      <w:r w:rsidRPr="00F134B3">
        <w:rPr>
          <w:rFonts w:ascii="Arial" w:hAnsi="Arial"/>
          <w:sz w:val="22"/>
          <w:lang w:val="en-US"/>
        </w:rPr>
        <w:t>Montevideo: Ministerio de Ganadería, Agricultura y Pesca.</w:t>
      </w:r>
    </w:p>
    <w:p w14:paraId="53721F52"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Bowling, L. C., Storck, P. and Lettenmaier, D. P. (2000) ‘Hydrologic effects of logging in western Washington, United States’, </w:t>
      </w:r>
      <w:r w:rsidRPr="00F134B3">
        <w:rPr>
          <w:rFonts w:ascii="Arial" w:hAnsi="Arial"/>
          <w:i/>
          <w:sz w:val="22"/>
          <w:lang w:val="en-US"/>
        </w:rPr>
        <w:t>Water Resources Research</w:t>
      </w:r>
      <w:r w:rsidRPr="00F134B3">
        <w:rPr>
          <w:rFonts w:ascii="Arial" w:hAnsi="Arial"/>
          <w:sz w:val="22"/>
          <w:lang w:val="en-US"/>
        </w:rPr>
        <w:t>, 36(11), pp. 3223–3240. doi: 10.1029/2000WR900138.</w:t>
      </w:r>
    </w:p>
    <w:p w14:paraId="5C2876E3"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Breen, B., Curtis, J. and Hynes, S. (2018) ‘Water quality and recreational use of public waterways’, </w:t>
      </w:r>
      <w:r w:rsidRPr="00F134B3">
        <w:rPr>
          <w:rFonts w:ascii="Arial" w:hAnsi="Arial"/>
          <w:i/>
          <w:sz w:val="22"/>
          <w:lang w:val="en-US"/>
        </w:rPr>
        <w:t>Journal of Environmental Economics and Policy</w:t>
      </w:r>
      <w:r w:rsidRPr="00F134B3">
        <w:rPr>
          <w:rFonts w:ascii="Arial" w:hAnsi="Arial"/>
          <w:sz w:val="22"/>
          <w:lang w:val="en-US"/>
        </w:rPr>
        <w:t xml:space="preserve">. Routledge, 7(1), pp. 1–15. doi: </w:t>
      </w:r>
      <w:r w:rsidRPr="00F134B3">
        <w:rPr>
          <w:rFonts w:ascii="Arial" w:hAnsi="Arial"/>
          <w:sz w:val="22"/>
          <w:lang w:val="en-US"/>
        </w:rPr>
        <w:lastRenderedPageBreak/>
        <w:t>10.1080/21606544.2017.1335241.</w:t>
      </w:r>
    </w:p>
    <w:p w14:paraId="1765C419" w14:textId="313BE6CE"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Bruijnzeel, L. A. (2004) </w:t>
      </w:r>
      <w:r w:rsidRPr="00F134B3">
        <w:rPr>
          <w:rFonts w:ascii="Arial" w:hAnsi="Arial"/>
          <w:i/>
          <w:sz w:val="22"/>
          <w:lang w:val="en-US"/>
        </w:rPr>
        <w:t xml:space="preserve">Hydrological functions of tropical forests: Not seeing the soil for the </w:t>
      </w:r>
      <w:r w:rsidR="000707FE" w:rsidRPr="002B5292">
        <w:rPr>
          <w:rFonts w:ascii="Arial" w:hAnsi="Arial"/>
          <w:i/>
          <w:sz w:val="22"/>
          <w:lang w:val="en-US"/>
        </w:rPr>
        <w:t>trees?</w:t>
      </w:r>
      <w:r w:rsidRPr="00F134B3">
        <w:rPr>
          <w:rFonts w:ascii="Arial" w:hAnsi="Arial"/>
          <w:sz w:val="22"/>
          <w:lang w:val="en-US"/>
        </w:rPr>
        <w:t xml:space="preserve"> </w:t>
      </w:r>
      <w:r w:rsidRPr="00F134B3">
        <w:rPr>
          <w:rFonts w:ascii="Arial" w:hAnsi="Arial"/>
          <w:i/>
          <w:sz w:val="22"/>
          <w:lang w:val="en-US"/>
        </w:rPr>
        <w:t>Agriculture, Ecosystems and Environment</w:t>
      </w:r>
      <w:r w:rsidRPr="00F134B3">
        <w:rPr>
          <w:rFonts w:ascii="Arial" w:hAnsi="Arial"/>
          <w:sz w:val="22"/>
          <w:lang w:val="en-US"/>
        </w:rPr>
        <w:t>. doi: 10.1016/j.agee.2004.01.015.</w:t>
      </w:r>
    </w:p>
    <w:p w14:paraId="3620C08F"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lang w:val="en-US"/>
        </w:rPr>
        <w:t xml:space="preserve">Cabrera, V. E. </w:t>
      </w:r>
      <w:r w:rsidRPr="00F134B3">
        <w:rPr>
          <w:rFonts w:ascii="Arial" w:hAnsi="Arial" w:cs="Arial"/>
          <w:i/>
          <w:iCs/>
          <w:sz w:val="22"/>
          <w:szCs w:val="24"/>
          <w:lang w:val="en-US"/>
        </w:rPr>
        <w:t>et al.</w:t>
      </w:r>
      <w:r w:rsidRPr="00F134B3">
        <w:rPr>
          <w:rFonts w:ascii="Arial" w:hAnsi="Arial" w:cs="Arial"/>
          <w:sz w:val="22"/>
          <w:szCs w:val="24"/>
          <w:lang w:val="en-US"/>
        </w:rPr>
        <w:t xml:space="preserve"> </w:t>
      </w:r>
      <w:r w:rsidRPr="00F134B3">
        <w:rPr>
          <w:rFonts w:ascii="Arial" w:hAnsi="Arial"/>
          <w:sz w:val="22"/>
          <w:lang w:val="en-US"/>
        </w:rPr>
        <w:t xml:space="preserve">(2009) ‘Soil and runoff response to dairy manure application on New Mexico rangeland’, </w:t>
      </w:r>
      <w:r w:rsidRPr="00F134B3">
        <w:rPr>
          <w:rFonts w:ascii="Arial" w:hAnsi="Arial"/>
          <w:i/>
          <w:sz w:val="22"/>
          <w:lang w:val="en-US"/>
        </w:rPr>
        <w:t>Agriculture, Ecosystems &amp; Environment</w:t>
      </w:r>
      <w:r w:rsidRPr="00F134B3">
        <w:rPr>
          <w:rFonts w:ascii="Arial" w:hAnsi="Arial"/>
          <w:sz w:val="22"/>
          <w:lang w:val="en-US"/>
        </w:rPr>
        <w:t>. Elsevier, 131(3–4), pp. 255–262. doi: 10.1016/J.AGEE.2009.01.022.</w:t>
      </w:r>
    </w:p>
    <w:p w14:paraId="218800BF"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Carlson, K. M. </w:t>
      </w:r>
      <w:r w:rsidRPr="00F134B3">
        <w:rPr>
          <w:rFonts w:ascii="Arial" w:hAnsi="Arial"/>
          <w:i/>
          <w:sz w:val="22"/>
          <w:lang w:val="en-US"/>
        </w:rPr>
        <w:t>et al.</w:t>
      </w:r>
      <w:r w:rsidRPr="00F134B3">
        <w:rPr>
          <w:rFonts w:ascii="Arial" w:hAnsi="Arial"/>
          <w:sz w:val="22"/>
          <w:lang w:val="en-US"/>
        </w:rPr>
        <w:t xml:space="preserve"> (2014) ‘Influence of watershed-climate interactions on stream temperature, sediment yield, and metabolism along a land use intensity gradient in Indonesian Borneo’, </w:t>
      </w:r>
      <w:r w:rsidRPr="00F134B3">
        <w:rPr>
          <w:rFonts w:ascii="Arial" w:hAnsi="Arial"/>
          <w:i/>
          <w:sz w:val="22"/>
          <w:lang w:val="en-US"/>
        </w:rPr>
        <w:t>Journal of Geophysical Research: Biogeosciences</w:t>
      </w:r>
      <w:r w:rsidRPr="00F134B3">
        <w:rPr>
          <w:rFonts w:ascii="Arial" w:hAnsi="Arial"/>
          <w:sz w:val="22"/>
          <w:lang w:val="en-US"/>
        </w:rPr>
        <w:t>, 119(6), pp. 1110–1128. doi: 10.1002/2013JG002516.</w:t>
      </w:r>
    </w:p>
    <w:p w14:paraId="79916E35" w14:textId="621247DF"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Croke, J. C. and Hairsine, P. B. (2006) ‘Sediment delivery in managed forests: a review’, </w:t>
      </w:r>
      <w:r w:rsidRPr="00F134B3">
        <w:rPr>
          <w:rFonts w:ascii="Arial" w:hAnsi="Arial"/>
          <w:i/>
          <w:sz w:val="22"/>
          <w:lang w:val="en-US"/>
        </w:rPr>
        <w:t>Environmental Reviews</w:t>
      </w:r>
      <w:r w:rsidRPr="00F134B3">
        <w:rPr>
          <w:rFonts w:ascii="Arial" w:hAnsi="Arial"/>
          <w:sz w:val="22"/>
          <w:lang w:val="en-US"/>
        </w:rPr>
        <w:t xml:space="preserve">.  NRC Research Press Ottawa, </w:t>
      </w:r>
      <w:r w:rsidR="000707FE" w:rsidRPr="002B5292">
        <w:rPr>
          <w:rFonts w:ascii="Arial" w:hAnsi="Arial"/>
          <w:sz w:val="22"/>
          <w:lang w:val="en-US"/>
        </w:rPr>
        <w:t>Canada,</w:t>
      </w:r>
      <w:r w:rsidRPr="00F134B3">
        <w:rPr>
          <w:rFonts w:ascii="Arial" w:hAnsi="Arial"/>
          <w:sz w:val="22"/>
          <w:lang w:val="en-US"/>
        </w:rPr>
        <w:t xml:space="preserve"> 14(1), pp. 59–87. doi: 10.1139/a05-016.</w:t>
      </w:r>
    </w:p>
    <w:p w14:paraId="5B3DEAC0" w14:textId="77777777" w:rsidR="002E79C7" w:rsidRPr="00F134B3" w:rsidRDefault="002E79C7" w:rsidP="00F134B3">
      <w:pPr>
        <w:widowControl w:val="0"/>
        <w:autoSpaceDE w:val="0"/>
        <w:autoSpaceDN w:val="0"/>
        <w:adjustRightInd w:val="0"/>
        <w:jc w:val="both"/>
        <w:rPr>
          <w:rFonts w:ascii="Arial" w:hAnsi="Arial" w:cs="Arial"/>
          <w:sz w:val="22"/>
          <w:szCs w:val="24"/>
        </w:rPr>
      </w:pPr>
      <w:r w:rsidRPr="00F134B3">
        <w:rPr>
          <w:rFonts w:ascii="Arial" w:hAnsi="Arial"/>
          <w:sz w:val="22"/>
          <w:lang w:val="en-US"/>
        </w:rPr>
        <w:t xml:space="preserve">Dearmont, D., McCarl, B. A. and Tolman, D. A. (1998) ‘Costs of water treatment due to diminished water quality: A case study in Texas’, </w:t>
      </w:r>
      <w:r w:rsidRPr="00F134B3">
        <w:rPr>
          <w:rFonts w:ascii="Arial" w:hAnsi="Arial"/>
          <w:i/>
          <w:sz w:val="22"/>
          <w:lang w:val="en-US"/>
        </w:rPr>
        <w:t>Water Resources Research</w:t>
      </w:r>
      <w:r w:rsidRPr="00F134B3">
        <w:rPr>
          <w:rFonts w:ascii="Arial" w:hAnsi="Arial"/>
          <w:sz w:val="22"/>
          <w:lang w:val="en-US"/>
        </w:rPr>
        <w:t xml:space="preserve">. </w:t>
      </w:r>
      <w:r w:rsidRPr="00F134B3">
        <w:rPr>
          <w:rFonts w:ascii="Arial" w:hAnsi="Arial" w:cs="Arial"/>
          <w:sz w:val="22"/>
          <w:szCs w:val="24"/>
        </w:rPr>
        <w:t>John Wiley &amp; Sons, Ltd, 34(4), pp. 849–853. doi: 10.1029/98WR00213.</w:t>
      </w:r>
    </w:p>
    <w:p w14:paraId="7163BF8F" w14:textId="77777777" w:rsidR="002E79C7" w:rsidRPr="00F134B3" w:rsidRDefault="002E79C7" w:rsidP="00F134B3">
      <w:pPr>
        <w:widowControl w:val="0"/>
        <w:autoSpaceDE w:val="0"/>
        <w:autoSpaceDN w:val="0"/>
        <w:adjustRightInd w:val="0"/>
        <w:jc w:val="both"/>
        <w:rPr>
          <w:rFonts w:ascii="Arial" w:hAnsi="Arial" w:cs="Arial"/>
          <w:sz w:val="22"/>
          <w:szCs w:val="24"/>
        </w:rPr>
      </w:pPr>
      <w:r w:rsidRPr="00F134B3">
        <w:rPr>
          <w:rFonts w:ascii="Arial" w:hAnsi="Arial" w:cs="Arial"/>
          <w:sz w:val="22"/>
          <w:szCs w:val="24"/>
        </w:rPr>
        <w:t xml:space="preserve">DIEA (2017) </w:t>
      </w:r>
      <w:r w:rsidRPr="00F134B3">
        <w:rPr>
          <w:rFonts w:ascii="Arial" w:hAnsi="Arial" w:cs="Arial"/>
          <w:i/>
          <w:iCs/>
          <w:sz w:val="22"/>
          <w:szCs w:val="24"/>
        </w:rPr>
        <w:t>Estadísticas De La Producción De Leche 2016</w:t>
      </w:r>
      <w:r w:rsidRPr="00F134B3">
        <w:rPr>
          <w:rFonts w:ascii="Arial" w:hAnsi="Arial" w:cs="Arial"/>
          <w:sz w:val="22"/>
          <w:szCs w:val="24"/>
        </w:rPr>
        <w:t>.</w:t>
      </w:r>
    </w:p>
    <w:p w14:paraId="1AB8BBCD"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Egan, K. J. </w:t>
      </w:r>
      <w:r w:rsidRPr="00F134B3">
        <w:rPr>
          <w:rFonts w:ascii="Arial" w:hAnsi="Arial"/>
          <w:i/>
          <w:sz w:val="22"/>
          <w:lang w:val="en-US"/>
        </w:rPr>
        <w:t>et al.</w:t>
      </w:r>
      <w:r w:rsidRPr="00F134B3">
        <w:rPr>
          <w:rFonts w:ascii="Arial" w:hAnsi="Arial"/>
          <w:sz w:val="22"/>
          <w:lang w:val="en-US"/>
        </w:rPr>
        <w:t xml:space="preserve"> (2009) ‘Valuing Water Quality as a Function of Water Quality Measures’, </w:t>
      </w:r>
      <w:r w:rsidRPr="00F134B3">
        <w:rPr>
          <w:rFonts w:ascii="Arial" w:hAnsi="Arial"/>
          <w:i/>
          <w:sz w:val="22"/>
          <w:lang w:val="en-US"/>
        </w:rPr>
        <w:t>American Journal of Agricultural Economics</w:t>
      </w:r>
      <w:r w:rsidRPr="00F134B3">
        <w:rPr>
          <w:rFonts w:ascii="Arial" w:hAnsi="Arial"/>
          <w:sz w:val="22"/>
          <w:lang w:val="en-US"/>
        </w:rPr>
        <w:t>. Narnia, 91(1), pp. 106–123. doi: 10.1111/j.1467-8276.2008.01182.x.</w:t>
      </w:r>
    </w:p>
    <w:p w14:paraId="3C095BD9"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EVRI (no date) </w:t>
      </w:r>
      <w:r w:rsidRPr="00F134B3">
        <w:rPr>
          <w:rFonts w:ascii="Arial" w:hAnsi="Arial"/>
          <w:i/>
          <w:sz w:val="22"/>
          <w:lang w:val="en-US"/>
        </w:rPr>
        <w:t>Environmental Valuation Reference Inventory</w:t>
      </w:r>
      <w:r w:rsidRPr="00F134B3">
        <w:rPr>
          <w:rFonts w:ascii="Arial" w:hAnsi="Arial"/>
          <w:sz w:val="22"/>
          <w:lang w:val="en-US"/>
        </w:rPr>
        <w:t>. Available at: https://www.evri.ca/en (Accessed: 4 June 2019).</w:t>
      </w:r>
    </w:p>
    <w:p w14:paraId="4E156C66" w14:textId="77777777" w:rsidR="002E79C7" w:rsidRPr="00F134B3" w:rsidRDefault="002E79C7" w:rsidP="00F134B3">
      <w:pPr>
        <w:widowControl w:val="0"/>
        <w:autoSpaceDE w:val="0"/>
        <w:autoSpaceDN w:val="0"/>
        <w:adjustRightInd w:val="0"/>
        <w:jc w:val="both"/>
        <w:rPr>
          <w:rFonts w:ascii="Arial" w:hAnsi="Arial" w:cs="Arial"/>
          <w:sz w:val="22"/>
          <w:szCs w:val="24"/>
        </w:rPr>
      </w:pPr>
      <w:r w:rsidRPr="00F134B3">
        <w:rPr>
          <w:rFonts w:ascii="Arial" w:hAnsi="Arial" w:cs="Arial"/>
          <w:sz w:val="22"/>
          <w:szCs w:val="24"/>
        </w:rPr>
        <w:t xml:space="preserve">Failde, A. </w:t>
      </w:r>
      <w:r w:rsidRPr="00F134B3">
        <w:rPr>
          <w:rFonts w:ascii="Arial" w:hAnsi="Arial" w:cs="Arial"/>
          <w:i/>
          <w:iCs/>
          <w:sz w:val="22"/>
          <w:szCs w:val="24"/>
        </w:rPr>
        <w:t>et al.</w:t>
      </w:r>
      <w:r w:rsidRPr="00F134B3">
        <w:rPr>
          <w:rFonts w:ascii="Arial" w:hAnsi="Arial" w:cs="Arial"/>
          <w:sz w:val="22"/>
          <w:szCs w:val="24"/>
        </w:rPr>
        <w:t xml:space="preserve"> (2015) ‘Instrumentos fiscales para el control y la reducción de la contaminación en cursos de agua. Estudio aplicado a la Cuenca del Río Santa Lucía. Informe.’, p. 94.</w:t>
      </w:r>
    </w:p>
    <w:p w14:paraId="26EC535B"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Ferraro, P. J. (2009) ‘Counterfactual thinking and impact evaluation in environmental policy’, </w:t>
      </w:r>
      <w:r w:rsidRPr="00F134B3">
        <w:rPr>
          <w:rFonts w:ascii="Arial" w:hAnsi="Arial"/>
          <w:i/>
          <w:sz w:val="22"/>
          <w:lang w:val="en-US"/>
        </w:rPr>
        <w:t>New Directions for Evaluation</w:t>
      </w:r>
      <w:r w:rsidRPr="00F134B3">
        <w:rPr>
          <w:rFonts w:ascii="Arial" w:hAnsi="Arial"/>
          <w:sz w:val="22"/>
          <w:lang w:val="en-US"/>
        </w:rPr>
        <w:t>. John Wiley &amp; Sons, Ltd, 2009(122), pp. 75–84. doi: 10.1002/ev.297.</w:t>
      </w:r>
    </w:p>
    <w:p w14:paraId="53469CC7"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Forster, D. L., Bardos, C. I. and Southgate, D. D. (1987) ‘Soil erosion and water costs’, (October), pp. 349–352.</w:t>
      </w:r>
    </w:p>
    <w:p w14:paraId="56F96C83"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Freeman, M. A. (1995) ‘The Benefits of Water Quality Improvements for Marine Recreation: A Review of the Empirical Evidence’, </w:t>
      </w:r>
      <w:r w:rsidRPr="00F134B3">
        <w:rPr>
          <w:rFonts w:ascii="Arial" w:hAnsi="Arial"/>
          <w:i/>
          <w:sz w:val="22"/>
          <w:lang w:val="en-US"/>
        </w:rPr>
        <w:t>Marine Resource Economics</w:t>
      </w:r>
      <w:r w:rsidRPr="00F134B3">
        <w:rPr>
          <w:rFonts w:ascii="Arial" w:hAnsi="Arial"/>
          <w:sz w:val="22"/>
          <w:lang w:val="en-US"/>
        </w:rPr>
        <w:t>. Marine Resource Foundation, Inc., 10(4), pp. 385–406. doi: 10.1086/mre.10.4.42629129.</w:t>
      </w:r>
    </w:p>
    <w:p w14:paraId="39C4BED9"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Gertler, P. </w:t>
      </w:r>
      <w:r w:rsidRPr="00F134B3">
        <w:rPr>
          <w:rFonts w:ascii="Arial" w:hAnsi="Arial"/>
          <w:i/>
          <w:sz w:val="22"/>
          <w:lang w:val="en-US"/>
        </w:rPr>
        <w:t>et al.</w:t>
      </w:r>
      <w:r w:rsidRPr="00F134B3">
        <w:rPr>
          <w:rFonts w:ascii="Arial" w:hAnsi="Arial"/>
          <w:sz w:val="22"/>
          <w:lang w:val="en-US"/>
        </w:rPr>
        <w:t xml:space="preserve"> </w:t>
      </w:r>
      <w:r w:rsidRPr="00F134B3">
        <w:rPr>
          <w:rFonts w:ascii="Arial" w:hAnsi="Arial" w:cs="Arial"/>
          <w:sz w:val="22"/>
          <w:szCs w:val="24"/>
        </w:rPr>
        <w:t xml:space="preserve">(2017) </w:t>
      </w:r>
      <w:r w:rsidRPr="00F134B3">
        <w:rPr>
          <w:rFonts w:ascii="Arial" w:hAnsi="Arial" w:cs="Arial"/>
          <w:i/>
          <w:iCs/>
          <w:sz w:val="22"/>
          <w:szCs w:val="24"/>
        </w:rPr>
        <w:t>La evaluación de impacto en la práctica: Segunda edición</w:t>
      </w:r>
      <w:r w:rsidRPr="00F134B3">
        <w:rPr>
          <w:rFonts w:ascii="Arial" w:hAnsi="Arial" w:cs="Arial"/>
          <w:sz w:val="22"/>
          <w:szCs w:val="24"/>
        </w:rPr>
        <w:t xml:space="preserve">. Washingotn D.C.: Banco Internacional para la Reconstrucción y el Desarrollo/Banco Mundial. </w:t>
      </w:r>
      <w:r w:rsidRPr="00F134B3">
        <w:rPr>
          <w:rFonts w:ascii="Arial" w:hAnsi="Arial"/>
          <w:sz w:val="22"/>
          <w:lang w:val="en-US"/>
        </w:rPr>
        <w:t>Available at: https://publications.iadb.org/es/publicacion/17416/la-evaluacion-de-impacto-en-la-practica-segunda-edicion (Accessed: 20 May 2019).</w:t>
      </w:r>
    </w:p>
    <w:p w14:paraId="4BDA5BD4"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rPr>
        <w:t xml:space="preserve">de Groot, R. </w:t>
      </w:r>
      <w:r w:rsidRPr="00F134B3">
        <w:rPr>
          <w:rFonts w:ascii="Arial" w:hAnsi="Arial" w:cs="Arial"/>
          <w:i/>
          <w:iCs/>
          <w:sz w:val="22"/>
          <w:szCs w:val="24"/>
        </w:rPr>
        <w:t>et al.</w:t>
      </w:r>
      <w:r w:rsidRPr="00F134B3">
        <w:rPr>
          <w:rFonts w:ascii="Arial" w:hAnsi="Arial" w:cs="Arial"/>
          <w:sz w:val="22"/>
          <w:szCs w:val="24"/>
        </w:rPr>
        <w:t xml:space="preserve"> </w:t>
      </w:r>
      <w:r w:rsidRPr="00F134B3">
        <w:rPr>
          <w:rFonts w:ascii="Arial" w:hAnsi="Arial"/>
          <w:sz w:val="22"/>
          <w:lang w:val="en-US"/>
        </w:rPr>
        <w:t xml:space="preserve">(2012) ‘Global estimates of the value of ecosystems and their services in monetary units’, </w:t>
      </w:r>
      <w:r w:rsidRPr="00F134B3">
        <w:rPr>
          <w:rFonts w:ascii="Arial" w:hAnsi="Arial"/>
          <w:i/>
          <w:sz w:val="22"/>
          <w:lang w:val="en-US"/>
        </w:rPr>
        <w:t>Ecosystem Services</w:t>
      </w:r>
      <w:r w:rsidRPr="00F134B3">
        <w:rPr>
          <w:rFonts w:ascii="Arial" w:hAnsi="Arial"/>
          <w:sz w:val="22"/>
          <w:lang w:val="en-US"/>
        </w:rPr>
        <w:t>. Elsevier, 1(1), pp. 50–61. doi: 10.1016/J.ECOSER.2012.07.005.</w:t>
      </w:r>
    </w:p>
    <w:p w14:paraId="1301BB6B"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Holmes, T. P. (1988) ‘The Offsite Impact of Soil Erosion on the Water Treatment Industry’, </w:t>
      </w:r>
      <w:r w:rsidRPr="00F134B3">
        <w:rPr>
          <w:rFonts w:ascii="Arial" w:hAnsi="Arial"/>
          <w:i/>
          <w:sz w:val="22"/>
          <w:lang w:val="en-US"/>
        </w:rPr>
        <w:t>Land Economics</w:t>
      </w:r>
      <w:r w:rsidRPr="00F134B3">
        <w:rPr>
          <w:rFonts w:ascii="Arial" w:hAnsi="Arial"/>
          <w:sz w:val="22"/>
          <w:lang w:val="en-US"/>
        </w:rPr>
        <w:t>, 64(4), p. 356. doi: 10.2307/3146308.</w:t>
      </w:r>
    </w:p>
    <w:p w14:paraId="447FC4D3"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Kamarinas, I. </w:t>
      </w:r>
      <w:r w:rsidRPr="00F134B3">
        <w:rPr>
          <w:rFonts w:ascii="Arial" w:hAnsi="Arial"/>
          <w:i/>
          <w:sz w:val="22"/>
          <w:lang w:val="en-US"/>
        </w:rPr>
        <w:t>et al.</w:t>
      </w:r>
      <w:r w:rsidRPr="00F134B3">
        <w:rPr>
          <w:rFonts w:ascii="Arial" w:hAnsi="Arial"/>
          <w:sz w:val="22"/>
          <w:lang w:val="en-US"/>
        </w:rPr>
        <w:t xml:space="preserve"> (2016) ‘Nonlinear changes in land cover and sediment runoff in a New Zealand catchment dominated by plantation forestry and livestock grazing’, </w:t>
      </w:r>
      <w:r w:rsidRPr="00F134B3">
        <w:rPr>
          <w:rFonts w:ascii="Arial" w:hAnsi="Arial"/>
          <w:i/>
          <w:sz w:val="22"/>
          <w:lang w:val="en-US"/>
        </w:rPr>
        <w:t>Water (Switzerland)</w:t>
      </w:r>
      <w:r w:rsidRPr="00F134B3">
        <w:rPr>
          <w:rFonts w:ascii="Arial" w:hAnsi="Arial"/>
          <w:sz w:val="22"/>
          <w:lang w:val="en-US"/>
        </w:rPr>
        <w:t>, 8(10). doi: 10.3390/w8100436.</w:t>
      </w:r>
    </w:p>
    <w:p w14:paraId="74AE9B08"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Keeler, B. L. </w:t>
      </w:r>
      <w:r w:rsidRPr="00F134B3">
        <w:rPr>
          <w:rFonts w:ascii="Arial" w:hAnsi="Arial"/>
          <w:i/>
          <w:sz w:val="22"/>
          <w:lang w:val="en-US"/>
        </w:rPr>
        <w:t>et al.</w:t>
      </w:r>
      <w:r w:rsidRPr="00F134B3">
        <w:rPr>
          <w:rFonts w:ascii="Arial" w:hAnsi="Arial"/>
          <w:sz w:val="22"/>
          <w:lang w:val="en-US"/>
        </w:rPr>
        <w:t xml:space="preserve"> (2012) ‘Linking water quality and well-being for improved assessment and valuation of ecosystem services.’, </w:t>
      </w:r>
      <w:r w:rsidRPr="00F134B3">
        <w:rPr>
          <w:rFonts w:ascii="Arial" w:hAnsi="Arial"/>
          <w:i/>
          <w:sz w:val="22"/>
          <w:lang w:val="en-US"/>
        </w:rPr>
        <w:t>Proceedings of the National Academy of Sciences of the United States of America</w:t>
      </w:r>
      <w:r w:rsidRPr="00F134B3">
        <w:rPr>
          <w:rFonts w:ascii="Arial" w:hAnsi="Arial"/>
          <w:sz w:val="22"/>
          <w:lang w:val="en-US"/>
        </w:rPr>
        <w:t>. National Academy of Sciences, 109(45), pp. 18619–24. doi: 10.1073/pnas.1215991109.</w:t>
      </w:r>
    </w:p>
    <w:p w14:paraId="697E6D93"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Keeler, B. L. </w:t>
      </w:r>
      <w:r w:rsidRPr="00F134B3">
        <w:rPr>
          <w:rFonts w:ascii="Arial" w:hAnsi="Arial"/>
          <w:i/>
          <w:sz w:val="22"/>
          <w:lang w:val="en-US"/>
        </w:rPr>
        <w:t>et al.</w:t>
      </w:r>
      <w:r w:rsidRPr="00F134B3">
        <w:rPr>
          <w:rFonts w:ascii="Arial" w:hAnsi="Arial"/>
          <w:sz w:val="22"/>
          <w:lang w:val="en-US"/>
        </w:rPr>
        <w:t xml:space="preserve"> (2015) ‘Recreational demand for clean water: evidence from geotagged photographs by visitors to lakes’, </w:t>
      </w:r>
      <w:r w:rsidRPr="00F134B3">
        <w:rPr>
          <w:rFonts w:ascii="Arial" w:hAnsi="Arial"/>
          <w:i/>
          <w:sz w:val="22"/>
          <w:lang w:val="en-US"/>
        </w:rPr>
        <w:t>Frontiers in Ecology and the Environment</w:t>
      </w:r>
      <w:r w:rsidRPr="00F134B3">
        <w:rPr>
          <w:rFonts w:ascii="Arial" w:hAnsi="Arial"/>
          <w:sz w:val="22"/>
          <w:lang w:val="en-US"/>
        </w:rPr>
        <w:t>. John Wiley &amp; Sons, Ltd, 13(2), pp. 76–81. doi: 10.1890/140124.</w:t>
      </w:r>
    </w:p>
    <w:p w14:paraId="323EA15B"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Kraus, Y., Kramer, R. A. and Jenkins, W. A. (2010) ‘Valuing Drinking Water Provision as an Ecosystem Service in the Neuse River Basin’, (August), pp. 474–482.</w:t>
      </w:r>
    </w:p>
    <w:p w14:paraId="27C0EAB0" w14:textId="77777777" w:rsidR="002E79C7" w:rsidRPr="00F134B3" w:rsidRDefault="002E79C7" w:rsidP="00F134B3">
      <w:pPr>
        <w:widowControl w:val="0"/>
        <w:autoSpaceDE w:val="0"/>
        <w:autoSpaceDN w:val="0"/>
        <w:adjustRightInd w:val="0"/>
        <w:jc w:val="both"/>
        <w:rPr>
          <w:rFonts w:ascii="Arial" w:hAnsi="Arial" w:cs="Arial"/>
          <w:sz w:val="22"/>
          <w:szCs w:val="24"/>
        </w:rPr>
      </w:pPr>
      <w:r w:rsidRPr="00F134B3">
        <w:rPr>
          <w:rFonts w:ascii="Arial" w:hAnsi="Arial" w:cs="Arial"/>
          <w:sz w:val="22"/>
          <w:szCs w:val="24"/>
        </w:rPr>
        <w:lastRenderedPageBreak/>
        <w:t xml:space="preserve">Lescano, C. (2017) ‘Rol de los pastizales naturales en la retención de nutrientes provenientes de la agricultura’, </w:t>
      </w:r>
      <w:r w:rsidRPr="00F134B3">
        <w:rPr>
          <w:rFonts w:ascii="Arial" w:hAnsi="Arial" w:cs="Arial"/>
          <w:i/>
          <w:iCs/>
          <w:sz w:val="22"/>
          <w:szCs w:val="24"/>
        </w:rPr>
        <w:t>Innotec</w:t>
      </w:r>
      <w:r w:rsidRPr="00F134B3">
        <w:rPr>
          <w:rFonts w:ascii="Arial" w:hAnsi="Arial" w:cs="Arial"/>
          <w:sz w:val="22"/>
          <w:szCs w:val="24"/>
        </w:rPr>
        <w:t>, 13(13), pp. 78–91. doi: 10.26461/13.08.</w:t>
      </w:r>
    </w:p>
    <w:p w14:paraId="2EF8387B"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Lin, C. H. </w:t>
      </w:r>
      <w:r w:rsidRPr="00F134B3">
        <w:rPr>
          <w:rFonts w:ascii="Arial" w:hAnsi="Arial"/>
          <w:i/>
          <w:sz w:val="22"/>
          <w:lang w:val="en-US"/>
        </w:rPr>
        <w:t>et al.</w:t>
      </w:r>
      <w:r w:rsidRPr="00F134B3">
        <w:rPr>
          <w:rFonts w:ascii="Arial" w:hAnsi="Arial"/>
          <w:sz w:val="22"/>
          <w:lang w:val="en-US"/>
        </w:rPr>
        <w:t xml:space="preserve"> (2003) ‘The Effect of Five Forage Species on Transport and Transformation of Atrazine and Isoxaflutole (Balance) in Lysimeter Leachate’, </w:t>
      </w:r>
      <w:r w:rsidRPr="00F134B3">
        <w:rPr>
          <w:rFonts w:ascii="Arial" w:hAnsi="Arial"/>
          <w:i/>
          <w:sz w:val="22"/>
          <w:lang w:val="en-US"/>
        </w:rPr>
        <w:t>Journal of Environment Quality</w:t>
      </w:r>
      <w:r w:rsidRPr="00F134B3">
        <w:rPr>
          <w:rFonts w:ascii="Arial" w:hAnsi="Arial"/>
          <w:sz w:val="22"/>
          <w:lang w:val="en-US"/>
        </w:rPr>
        <w:t>. American Society of Agronomy, Crop Science Society of America, Soil Science Society, 32(6), p. 1992. doi: 10.2134/jeq2003.1992.</w:t>
      </w:r>
    </w:p>
    <w:p w14:paraId="039B98A9"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rPr>
        <w:t xml:space="preserve">Lizarralde, Ciganda, Baethgen, Q. (2016) ‘Perdida de nutrientes en agua de escurrimiento en sistemas de rotaciones contrastantes’, </w:t>
      </w:r>
      <w:r w:rsidRPr="00F134B3">
        <w:rPr>
          <w:rFonts w:ascii="Arial" w:hAnsi="Arial" w:cs="Arial"/>
          <w:i/>
          <w:iCs/>
          <w:sz w:val="22"/>
          <w:szCs w:val="24"/>
        </w:rPr>
        <w:t>Revista INIA</w:t>
      </w:r>
      <w:r w:rsidRPr="00F134B3">
        <w:rPr>
          <w:rFonts w:ascii="Arial" w:hAnsi="Arial" w:cs="Arial"/>
          <w:sz w:val="22"/>
          <w:szCs w:val="24"/>
        </w:rPr>
        <w:t xml:space="preserve">, 46, pp. 41–43. </w:t>
      </w:r>
      <w:r w:rsidRPr="00F134B3">
        <w:rPr>
          <w:rFonts w:ascii="Arial" w:hAnsi="Arial"/>
          <w:sz w:val="22"/>
          <w:lang w:val="en-US"/>
        </w:rPr>
        <w:t>Available at: http://www.ainfo.inia.uy/digital/bitstream/item/6134/1/Revista-INIA-Uruguay-n.-46.-p.-41-43.-2016.pdf.</w:t>
      </w:r>
    </w:p>
    <w:p w14:paraId="033C33EF"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Montoya, C. </w:t>
      </w:r>
      <w:r w:rsidRPr="00F134B3">
        <w:rPr>
          <w:rFonts w:ascii="Arial" w:hAnsi="Arial"/>
          <w:i/>
          <w:sz w:val="22"/>
          <w:lang w:val="en-US"/>
        </w:rPr>
        <w:t>et al.</w:t>
      </w:r>
      <w:r w:rsidRPr="00F134B3">
        <w:rPr>
          <w:rFonts w:ascii="Arial" w:hAnsi="Arial"/>
          <w:sz w:val="22"/>
          <w:lang w:val="en-US"/>
        </w:rPr>
        <w:t xml:space="preserve"> (2011) ‘Effect of increase of raw water turbidity on efficiency of conventional drinking water treatment processes’, </w:t>
      </w:r>
      <w:r w:rsidRPr="00F134B3">
        <w:rPr>
          <w:rFonts w:ascii="Arial" w:hAnsi="Arial"/>
          <w:i/>
          <w:sz w:val="22"/>
          <w:lang w:val="en-US"/>
        </w:rPr>
        <w:t>Revista EIA</w:t>
      </w:r>
      <w:r w:rsidRPr="00F134B3">
        <w:rPr>
          <w:rFonts w:ascii="Arial" w:hAnsi="Arial"/>
          <w:sz w:val="22"/>
          <w:lang w:val="en-US"/>
        </w:rPr>
        <w:t>. Escuela de ingenieria de Antioquia, 16(1794–1237), pp. 137–148. Available at: http://revista.eia.edu.co/articulos16/EIA 16. Art. 10 (137-148).pdf (Accessed: 27 January 2017).</w:t>
      </w:r>
    </w:p>
    <w:p w14:paraId="37A11591" w14:textId="77777777" w:rsidR="002E79C7" w:rsidRPr="00F134B3" w:rsidRDefault="002E79C7" w:rsidP="00F134B3">
      <w:pPr>
        <w:widowControl w:val="0"/>
        <w:autoSpaceDE w:val="0"/>
        <w:autoSpaceDN w:val="0"/>
        <w:adjustRightInd w:val="0"/>
        <w:jc w:val="both"/>
        <w:rPr>
          <w:rFonts w:ascii="Arial" w:hAnsi="Arial" w:cs="Arial"/>
          <w:sz w:val="22"/>
          <w:szCs w:val="24"/>
        </w:rPr>
      </w:pPr>
      <w:r w:rsidRPr="00F134B3">
        <w:rPr>
          <w:rFonts w:ascii="Arial" w:hAnsi="Arial"/>
          <w:sz w:val="22"/>
          <w:lang w:val="en-US"/>
        </w:rPr>
        <w:t xml:space="preserve">Neal, C. </w:t>
      </w:r>
      <w:r w:rsidRPr="00F134B3">
        <w:rPr>
          <w:rFonts w:ascii="Arial" w:hAnsi="Arial"/>
          <w:i/>
          <w:sz w:val="22"/>
          <w:lang w:val="en-US"/>
        </w:rPr>
        <w:t>et al.</w:t>
      </w:r>
      <w:r w:rsidRPr="00F134B3">
        <w:rPr>
          <w:rFonts w:ascii="Arial" w:hAnsi="Arial"/>
          <w:sz w:val="22"/>
          <w:lang w:val="en-US"/>
        </w:rPr>
        <w:t xml:space="preserve"> (1998) ‘The impacts of conifer harvesting on runoff water quality: a regional survey for Wales’, </w:t>
      </w:r>
      <w:r w:rsidRPr="00F134B3">
        <w:rPr>
          <w:rFonts w:ascii="Arial" w:hAnsi="Arial"/>
          <w:i/>
          <w:sz w:val="22"/>
          <w:lang w:val="en-US"/>
        </w:rPr>
        <w:t>Hydrology and Earth System Sciences</w:t>
      </w:r>
      <w:r w:rsidRPr="00F134B3">
        <w:rPr>
          <w:rFonts w:ascii="Arial" w:hAnsi="Arial"/>
          <w:sz w:val="22"/>
          <w:lang w:val="en-US"/>
        </w:rPr>
        <w:t xml:space="preserve">. </w:t>
      </w:r>
      <w:r w:rsidRPr="00F134B3">
        <w:rPr>
          <w:rFonts w:ascii="Arial" w:hAnsi="Arial" w:cs="Arial"/>
          <w:sz w:val="22"/>
          <w:szCs w:val="24"/>
        </w:rPr>
        <w:t>Copernicus GmbH, 2(2/3), pp. 323–344. doi: 10.5194/hess-2-323-1998.</w:t>
      </w:r>
    </w:p>
    <w:p w14:paraId="39C528EE"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rPr>
        <w:t xml:space="preserve">Piñeiro Rodríguez, V. and Perdomo, C. (2014) </w:t>
      </w:r>
      <w:r w:rsidRPr="00F134B3">
        <w:rPr>
          <w:rFonts w:ascii="Arial" w:hAnsi="Arial" w:cs="Arial"/>
          <w:i/>
          <w:iCs/>
          <w:sz w:val="22"/>
          <w:szCs w:val="24"/>
        </w:rPr>
        <w:t>CUANTIFICACIÓN DE NIVELES CRÍTICOS AMBIENTALES DE FÓSFORO EN PASTURAS CONVENCIONALES</w:t>
      </w:r>
      <w:r w:rsidRPr="00F134B3">
        <w:rPr>
          <w:rFonts w:ascii="Arial" w:hAnsi="Arial" w:cs="Arial"/>
          <w:sz w:val="22"/>
          <w:szCs w:val="24"/>
        </w:rPr>
        <w:t xml:space="preserve">. </w:t>
      </w:r>
      <w:r w:rsidRPr="00F134B3">
        <w:rPr>
          <w:rFonts w:ascii="Arial" w:hAnsi="Arial"/>
          <w:sz w:val="22"/>
          <w:lang w:val="en-US"/>
        </w:rPr>
        <w:t>Available at: http://www.suelos.com.uy/pdf/40.pdf (Accessed: 21 May 2019).</w:t>
      </w:r>
    </w:p>
    <w:p w14:paraId="5BC0075A"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Piper, S. (2003) ‘Impact of water quality on municipal water price and residential water demand and implications for water supply benefits’, 39(5). doi: 10.1029/2002WR001592.</w:t>
      </w:r>
    </w:p>
    <w:p w14:paraId="70E7002D"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cs="Arial"/>
          <w:sz w:val="22"/>
          <w:szCs w:val="24"/>
        </w:rPr>
        <w:t xml:space="preserve">SARAS (2010) </w:t>
      </w:r>
      <w:r w:rsidRPr="00F134B3">
        <w:rPr>
          <w:rFonts w:ascii="Arial" w:hAnsi="Arial" w:cs="Arial"/>
          <w:i/>
          <w:iCs/>
          <w:sz w:val="22"/>
          <w:szCs w:val="24"/>
        </w:rPr>
        <w:t>Bases técnicas para el manejo integrado de Laguna del Sauce y cuenca asociada</w:t>
      </w:r>
      <w:r w:rsidRPr="00F134B3">
        <w:rPr>
          <w:rFonts w:ascii="Arial" w:hAnsi="Arial" w:cs="Arial"/>
          <w:sz w:val="22"/>
          <w:szCs w:val="24"/>
        </w:rPr>
        <w:t xml:space="preserve">. </w:t>
      </w:r>
      <w:r w:rsidRPr="00F134B3">
        <w:rPr>
          <w:rFonts w:ascii="Arial" w:hAnsi="Arial"/>
          <w:sz w:val="22"/>
          <w:lang w:val="en-US"/>
        </w:rPr>
        <w:t>Maldonado: Universidad de la República y South American Institute for Resilience and Sustainability Studies.</w:t>
      </w:r>
    </w:p>
    <w:p w14:paraId="68FEC18C"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Sills, E. O. </w:t>
      </w:r>
      <w:r w:rsidRPr="00F134B3">
        <w:rPr>
          <w:rFonts w:ascii="Arial" w:hAnsi="Arial"/>
          <w:i/>
          <w:sz w:val="22"/>
          <w:lang w:val="en-US"/>
        </w:rPr>
        <w:t>et al.</w:t>
      </w:r>
      <w:r w:rsidRPr="00F134B3">
        <w:rPr>
          <w:rFonts w:ascii="Arial" w:hAnsi="Arial"/>
          <w:sz w:val="22"/>
          <w:lang w:val="en-US"/>
        </w:rPr>
        <w:t xml:space="preserve"> (2015) ‘Estimating the impacts of local policy innovation: The synthetic control method applied to tropical deforestation’, </w:t>
      </w:r>
      <w:r w:rsidRPr="00F134B3">
        <w:rPr>
          <w:rFonts w:ascii="Arial" w:hAnsi="Arial"/>
          <w:i/>
          <w:sz w:val="22"/>
          <w:lang w:val="en-US"/>
        </w:rPr>
        <w:t>PLoS ONE</w:t>
      </w:r>
      <w:r w:rsidRPr="00F134B3">
        <w:rPr>
          <w:rFonts w:ascii="Arial" w:hAnsi="Arial"/>
          <w:sz w:val="22"/>
          <w:lang w:val="en-US"/>
        </w:rPr>
        <w:t>, 10(7), pp. 1–15. doi: 10.1371/journal.pone.0132590.</w:t>
      </w:r>
    </w:p>
    <w:p w14:paraId="1053F3CD"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pt-BR"/>
        </w:rPr>
        <w:t xml:space="preserve">Telles, T. S., Guimarães, M. de F. and Dechen, S. C. F. (2011) ‘The costs of soil erosion’, </w:t>
      </w:r>
      <w:r w:rsidRPr="00F134B3">
        <w:rPr>
          <w:rFonts w:ascii="Arial" w:hAnsi="Arial"/>
          <w:i/>
          <w:sz w:val="22"/>
          <w:lang w:val="pt-BR"/>
        </w:rPr>
        <w:t>Revista Brasileira de Ciência do Solo</w:t>
      </w:r>
      <w:r w:rsidRPr="00F134B3">
        <w:rPr>
          <w:rFonts w:ascii="Arial" w:hAnsi="Arial"/>
          <w:sz w:val="22"/>
          <w:lang w:val="pt-BR"/>
        </w:rPr>
        <w:t xml:space="preserve">. </w:t>
      </w:r>
      <w:r w:rsidRPr="00F134B3">
        <w:rPr>
          <w:rFonts w:ascii="Arial" w:hAnsi="Arial"/>
          <w:sz w:val="22"/>
          <w:lang w:val="en-US"/>
        </w:rPr>
        <w:t>Sociedade Brasileira de Ciência do Solo, 35(2), pp. 287–298. doi: 10.1590/S0100-06832011000200001.</w:t>
      </w:r>
    </w:p>
    <w:p w14:paraId="7FBCAE13"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Udawatta, R. P., Garrett, H. E. and Kallenbach, R. L. (2010) ‘Agroforestry and grass buffer effects on water quality in grazed pastures’, </w:t>
      </w:r>
      <w:r w:rsidRPr="00F134B3">
        <w:rPr>
          <w:rFonts w:ascii="Arial" w:hAnsi="Arial"/>
          <w:i/>
          <w:sz w:val="22"/>
          <w:lang w:val="en-US"/>
        </w:rPr>
        <w:t>Agroforestry Systems</w:t>
      </w:r>
      <w:r w:rsidRPr="00F134B3">
        <w:rPr>
          <w:rFonts w:ascii="Arial" w:hAnsi="Arial"/>
          <w:sz w:val="22"/>
          <w:lang w:val="en-US"/>
        </w:rPr>
        <w:t>. Springer Netherlands, 79(1), pp. 81–87. doi: 10.1007/s10457-010-9288-9.</w:t>
      </w:r>
    </w:p>
    <w:p w14:paraId="046F0E5C"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Varanka, S. and Luoto, M. (2012) ‘Environmental determinants of water quality in boreal rivers based on partitioning methods’, </w:t>
      </w:r>
      <w:r w:rsidRPr="00F134B3">
        <w:rPr>
          <w:rFonts w:ascii="Arial" w:hAnsi="Arial"/>
          <w:i/>
          <w:sz w:val="22"/>
          <w:lang w:val="en-US"/>
        </w:rPr>
        <w:t>River Research and Applications</w:t>
      </w:r>
      <w:r w:rsidRPr="00F134B3">
        <w:rPr>
          <w:rFonts w:ascii="Arial" w:hAnsi="Arial"/>
          <w:sz w:val="22"/>
          <w:lang w:val="en-US"/>
        </w:rPr>
        <w:t>. John Wiley &amp; Sons, Ltd, 28(7), pp. 1034–1046. doi: 10.1002/rra.1502.</w:t>
      </w:r>
    </w:p>
    <w:p w14:paraId="338691DA"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Vesterinen, J. </w:t>
      </w:r>
      <w:r w:rsidRPr="00F134B3">
        <w:rPr>
          <w:rFonts w:ascii="Arial" w:hAnsi="Arial"/>
          <w:i/>
          <w:sz w:val="22"/>
          <w:lang w:val="en-US"/>
        </w:rPr>
        <w:t>et al.</w:t>
      </w:r>
      <w:r w:rsidRPr="00F134B3">
        <w:rPr>
          <w:rFonts w:ascii="Arial" w:hAnsi="Arial"/>
          <w:sz w:val="22"/>
          <w:lang w:val="en-US"/>
        </w:rPr>
        <w:t xml:space="preserve"> (2010) ‘Impacts of changes in water quality on recreation behavior and benefits in Finland’, </w:t>
      </w:r>
      <w:r w:rsidRPr="00F134B3">
        <w:rPr>
          <w:rFonts w:ascii="Arial" w:hAnsi="Arial"/>
          <w:i/>
          <w:sz w:val="22"/>
          <w:lang w:val="en-US"/>
        </w:rPr>
        <w:t>Journal of Environmental Management</w:t>
      </w:r>
      <w:r w:rsidRPr="00F134B3">
        <w:rPr>
          <w:rFonts w:ascii="Arial" w:hAnsi="Arial"/>
          <w:sz w:val="22"/>
          <w:lang w:val="en-US"/>
        </w:rPr>
        <w:t>. Academic Press, 91(4), pp. 984–994. doi: 10.1016/J.JENVMAN.2009.12.005.</w:t>
      </w:r>
    </w:p>
    <w:p w14:paraId="4C961509"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Vollmer-Sanders, C. </w:t>
      </w:r>
      <w:r w:rsidRPr="00F134B3">
        <w:rPr>
          <w:rFonts w:ascii="Arial" w:hAnsi="Arial"/>
          <w:i/>
          <w:sz w:val="22"/>
          <w:lang w:val="en-US"/>
        </w:rPr>
        <w:t>et al.</w:t>
      </w:r>
      <w:r w:rsidRPr="00F134B3">
        <w:rPr>
          <w:rFonts w:ascii="Arial" w:hAnsi="Arial"/>
          <w:sz w:val="22"/>
          <w:lang w:val="en-US"/>
        </w:rPr>
        <w:t xml:space="preserve"> (2016) ‘Building partnerships to scale up conservation: 4R Nutrient Stewardship Certification Program in the Lake Erie watershed’, </w:t>
      </w:r>
      <w:r w:rsidRPr="00F134B3">
        <w:rPr>
          <w:rFonts w:ascii="Arial" w:hAnsi="Arial"/>
          <w:i/>
          <w:sz w:val="22"/>
          <w:lang w:val="en-US"/>
        </w:rPr>
        <w:t>Journal of Great Lakes Research</w:t>
      </w:r>
      <w:r w:rsidRPr="00F134B3">
        <w:rPr>
          <w:rFonts w:ascii="Arial" w:hAnsi="Arial"/>
          <w:sz w:val="22"/>
          <w:lang w:val="en-US"/>
        </w:rPr>
        <w:t>. Elsevier, 42(6), pp. 1395–1402. doi: 10.1016/J.JGLR.2016.09.004.</w:t>
      </w:r>
    </w:p>
    <w:p w14:paraId="34B1E6FE" w14:textId="77777777" w:rsidR="002E79C7" w:rsidRPr="00F134B3" w:rsidRDefault="002E79C7" w:rsidP="00F134B3">
      <w:pPr>
        <w:widowControl w:val="0"/>
        <w:autoSpaceDE w:val="0"/>
        <w:autoSpaceDN w:val="0"/>
        <w:adjustRightInd w:val="0"/>
        <w:jc w:val="both"/>
        <w:rPr>
          <w:rFonts w:ascii="Arial" w:hAnsi="Arial"/>
          <w:sz w:val="22"/>
          <w:lang w:val="en-US"/>
        </w:rPr>
      </w:pPr>
      <w:r w:rsidRPr="00F134B3">
        <w:rPr>
          <w:rFonts w:ascii="Arial" w:hAnsi="Arial"/>
          <w:sz w:val="22"/>
          <w:lang w:val="en-US"/>
        </w:rPr>
        <w:t xml:space="preserve">Yahara Pride Farms (2016) </w:t>
      </w:r>
      <w:r w:rsidRPr="00F134B3">
        <w:rPr>
          <w:rFonts w:ascii="Arial" w:hAnsi="Arial"/>
          <w:i/>
          <w:sz w:val="22"/>
          <w:lang w:val="en-US"/>
        </w:rPr>
        <w:t>2015 Phosphorus Reduction Report</w:t>
      </w:r>
      <w:r w:rsidRPr="00F134B3">
        <w:rPr>
          <w:rFonts w:ascii="Arial" w:hAnsi="Arial"/>
          <w:sz w:val="22"/>
          <w:lang w:val="en-US"/>
        </w:rPr>
        <w:t>.</w:t>
      </w:r>
    </w:p>
    <w:p w14:paraId="27F76741" w14:textId="77777777" w:rsidR="00792B59" w:rsidRPr="002B5292" w:rsidRDefault="00792B59" w:rsidP="00792B59">
      <w:pPr>
        <w:jc w:val="both"/>
        <w:rPr>
          <w:rFonts w:ascii="Arial" w:hAnsi="Arial"/>
          <w:sz w:val="22"/>
          <w:lang w:val="en-US"/>
        </w:rPr>
      </w:pPr>
      <w:r w:rsidRPr="00F42B76">
        <w:rPr>
          <w:rFonts w:ascii="Arial" w:hAnsi="Arial" w:cs="Arial"/>
          <w:sz w:val="22"/>
          <w:szCs w:val="22"/>
        </w:rPr>
        <w:fldChar w:fldCharType="end"/>
      </w:r>
      <w:r w:rsidRPr="002B5292">
        <w:rPr>
          <w:rFonts w:ascii="Arial" w:hAnsi="Arial"/>
          <w:sz w:val="22"/>
          <w:lang w:val="en-US"/>
        </w:rPr>
        <w:t xml:space="preserve"> </w:t>
      </w:r>
    </w:p>
    <w:p w14:paraId="5940FF4E" w14:textId="441787A2" w:rsidR="00792B59" w:rsidRPr="002B5292" w:rsidRDefault="00792B59" w:rsidP="00792B59">
      <w:pPr>
        <w:jc w:val="both"/>
        <w:rPr>
          <w:rFonts w:ascii="Arial" w:hAnsi="Arial"/>
          <w:sz w:val="22"/>
          <w:lang w:val="en-US"/>
        </w:rPr>
      </w:pPr>
    </w:p>
    <w:sectPr w:rsidR="00792B59" w:rsidRPr="002B5292" w:rsidSect="00F324D2">
      <w:pgSz w:w="12240" w:h="15840"/>
      <w:pgMar w:top="1440" w:right="162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E3A5" w14:textId="77777777" w:rsidR="001B59DF" w:rsidRDefault="001B59DF" w:rsidP="001B5186">
      <w:r>
        <w:separator/>
      </w:r>
    </w:p>
  </w:endnote>
  <w:endnote w:type="continuationSeparator" w:id="0">
    <w:p w14:paraId="3FF21972" w14:textId="77777777" w:rsidR="001B59DF" w:rsidRDefault="001B59DF" w:rsidP="001B5186">
      <w:r>
        <w:continuationSeparator/>
      </w:r>
    </w:p>
  </w:endnote>
  <w:endnote w:type="continuationNotice" w:id="1">
    <w:p w14:paraId="00BB6F1D" w14:textId="77777777" w:rsidR="001B59DF" w:rsidRDefault="001B5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0FEB" w14:textId="77777777" w:rsidR="001B59DF" w:rsidRPr="00F134B3" w:rsidRDefault="001B59DF">
    <w:pPr>
      <w:pStyle w:val="Footer"/>
      <w:jc w:val="center"/>
      <w:rPr>
        <w:rFonts w:ascii="Arial" w:hAnsi="Arial" w:cs="Arial"/>
      </w:rPr>
    </w:pPr>
    <w:r w:rsidRPr="00F134B3">
      <w:rPr>
        <w:rFonts w:ascii="Arial" w:hAnsi="Arial" w:cs="Arial"/>
      </w:rPr>
      <w:fldChar w:fldCharType="begin"/>
    </w:r>
    <w:r w:rsidRPr="00F134B3">
      <w:rPr>
        <w:rFonts w:ascii="Arial" w:hAnsi="Arial" w:cs="Arial"/>
      </w:rPr>
      <w:instrText xml:space="preserve"> PAGE   \* MERGEFORMAT </w:instrText>
    </w:r>
    <w:r w:rsidRPr="00F134B3">
      <w:rPr>
        <w:rFonts w:ascii="Arial" w:hAnsi="Arial" w:cs="Arial"/>
      </w:rPr>
      <w:fldChar w:fldCharType="separate"/>
    </w:r>
    <w:r w:rsidRPr="00F134B3">
      <w:rPr>
        <w:rFonts w:ascii="Arial" w:hAnsi="Arial" w:cs="Arial"/>
        <w:noProof/>
      </w:rPr>
      <w:t>11</w:t>
    </w:r>
    <w:r w:rsidRPr="00F134B3">
      <w:rPr>
        <w:rFonts w:ascii="Arial" w:hAnsi="Arial" w:cs="Arial"/>
        <w:noProof/>
      </w:rPr>
      <w:fldChar w:fldCharType="end"/>
    </w:r>
  </w:p>
  <w:p w14:paraId="5C4B76A6" w14:textId="77777777" w:rsidR="001B59DF" w:rsidRDefault="001B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C5678" w14:textId="77777777" w:rsidR="001B59DF" w:rsidRDefault="001B59DF" w:rsidP="001B5186">
      <w:r>
        <w:separator/>
      </w:r>
    </w:p>
  </w:footnote>
  <w:footnote w:type="continuationSeparator" w:id="0">
    <w:p w14:paraId="565837A6" w14:textId="77777777" w:rsidR="001B59DF" w:rsidRDefault="001B59DF" w:rsidP="001B5186">
      <w:r>
        <w:continuationSeparator/>
      </w:r>
    </w:p>
  </w:footnote>
  <w:footnote w:type="continuationNotice" w:id="1">
    <w:p w14:paraId="086065AD" w14:textId="77777777" w:rsidR="001B59DF" w:rsidRDefault="001B59DF"/>
  </w:footnote>
  <w:footnote w:id="2">
    <w:p w14:paraId="58C01CCA" w14:textId="11BAC5F4" w:rsidR="001B59DF" w:rsidRPr="00F134B3" w:rsidRDefault="001B59DF" w:rsidP="00F134B3">
      <w:pPr>
        <w:pStyle w:val="FootnoteText"/>
        <w:spacing w:after="0"/>
        <w:ind w:left="0" w:firstLine="0"/>
        <w:rPr>
          <w:rFonts w:ascii="Arial" w:hAnsi="Arial" w:cs="Arial"/>
          <w:lang w:val="es-MX"/>
        </w:rPr>
      </w:pPr>
      <w:r w:rsidRPr="00F134B3">
        <w:rPr>
          <w:rStyle w:val="FootnoteReference"/>
          <w:rFonts w:ascii="Arial" w:hAnsi="Arial" w:cs="Arial"/>
        </w:rPr>
        <w:footnoteRef/>
      </w:r>
      <w:r w:rsidRPr="00F134B3">
        <w:rPr>
          <w:rFonts w:ascii="Arial" w:hAnsi="Arial" w:cs="Arial"/>
          <w:lang w:val="es-MX"/>
        </w:rPr>
        <w:t xml:space="preserve"> Este tema fue discutido a profundidad con </w:t>
      </w:r>
      <w:proofErr w:type="spellStart"/>
      <w:r w:rsidRPr="00F134B3">
        <w:rPr>
          <w:rFonts w:ascii="Arial" w:hAnsi="Arial" w:cs="Arial"/>
          <w:lang w:val="es-MX"/>
        </w:rPr>
        <w:t>SPD</w:t>
      </w:r>
      <w:proofErr w:type="spellEnd"/>
      <w:r w:rsidRPr="00F134B3">
        <w:rPr>
          <w:rFonts w:ascii="Arial" w:hAnsi="Arial" w:cs="Arial"/>
          <w:lang w:val="es-MX"/>
        </w:rPr>
        <w:t xml:space="preserve"> en junio de 2019  y como resultado de estas conversaciones, se decidió re</w:t>
      </w:r>
      <w:r>
        <w:rPr>
          <w:rFonts w:ascii="Arial" w:hAnsi="Arial" w:cs="Arial"/>
          <w:lang w:val="es-MX"/>
        </w:rPr>
        <w:t>orientar</w:t>
      </w:r>
      <w:r w:rsidRPr="00F134B3">
        <w:rPr>
          <w:rFonts w:ascii="Arial" w:hAnsi="Arial" w:cs="Arial"/>
          <w:lang w:val="es-MX"/>
        </w:rPr>
        <w:t xml:space="preserve"> la estrategia y enfocarse en una metodología sin atribución. </w:t>
      </w:r>
    </w:p>
  </w:footnote>
  <w:footnote w:id="3">
    <w:p w14:paraId="6BBCB034" w14:textId="3B9F8ACB" w:rsidR="001B59DF" w:rsidRPr="00F134B3" w:rsidRDefault="001B59DF">
      <w:pPr>
        <w:pStyle w:val="FootnoteText"/>
        <w:rPr>
          <w:lang w:val="es-MX"/>
        </w:rPr>
      </w:pPr>
      <w:r>
        <w:rPr>
          <w:rStyle w:val="FootnoteReference"/>
        </w:rPr>
        <w:footnoteRef/>
      </w:r>
      <w:r w:rsidRPr="00F134B3">
        <w:rPr>
          <w:lang w:val="es-MX"/>
        </w:rPr>
        <w:t xml:space="preserve"> Ver: </w:t>
      </w:r>
      <w:hyperlink r:id="rId1" w:history="1">
        <w:r w:rsidRPr="00F134B3">
          <w:rPr>
            <w:rStyle w:val="Hyperlink"/>
            <w:sz w:val="20"/>
            <w:lang w:val="es-MX"/>
          </w:rPr>
          <w:t>https://transparenciapresupuestaria.opp.gub.uy/</w:t>
        </w:r>
      </w:hyperlink>
      <w:r w:rsidRPr="00F134B3">
        <w:rPr>
          <w:lang w:val="es-MX"/>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4A6"/>
    <w:multiLevelType w:val="multilevel"/>
    <w:tmpl w:val="BDC6FDDE"/>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ascii="Arial" w:hAnsi="Arial" w:cs="Arial" w:hint="default"/>
        <w:b w:val="0"/>
        <w:sz w:val="22"/>
        <w:szCs w:val="22"/>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 w15:restartNumberingAfterBreak="0">
    <w:nsid w:val="071A1796"/>
    <w:multiLevelType w:val="hybridMultilevel"/>
    <w:tmpl w:val="096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52AF"/>
    <w:multiLevelType w:val="hybridMultilevel"/>
    <w:tmpl w:val="FB0A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4" w15:restartNumberingAfterBreak="0">
    <w:nsid w:val="2096623B"/>
    <w:multiLevelType w:val="hybridMultilevel"/>
    <w:tmpl w:val="6ADCFA28"/>
    <w:lvl w:ilvl="0" w:tplc="A5C27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87F2C"/>
    <w:multiLevelType w:val="hybridMultilevel"/>
    <w:tmpl w:val="2BD2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7" w15:restartNumberingAfterBreak="0">
    <w:nsid w:val="359B4991"/>
    <w:multiLevelType w:val="multilevel"/>
    <w:tmpl w:val="1E342BAA"/>
    <w:lvl w:ilvl="0">
      <w:start w:val="1"/>
      <w:numFmt w:val="upperRoman"/>
      <w:lvlText w:val="%1."/>
      <w:lvlJc w:val="center"/>
      <w:pPr>
        <w:tabs>
          <w:tab w:val="num" w:pos="1800"/>
        </w:tabs>
        <w:ind w:left="1152" w:firstLine="288"/>
      </w:pPr>
      <w:rPr>
        <w:rFonts w:cs="Times New Roman"/>
        <w:b/>
        <w:i w:val="0"/>
      </w:rPr>
    </w:lvl>
    <w:lvl w:ilvl="1">
      <w:start w:val="1"/>
      <w:numFmt w:val="decimal"/>
      <w:lvlText w:val="%1.%2"/>
      <w:lvlJc w:val="left"/>
      <w:pPr>
        <w:tabs>
          <w:tab w:val="num" w:pos="2448"/>
        </w:tabs>
        <w:ind w:left="2448" w:hanging="1296"/>
      </w:pPr>
      <w:rPr>
        <w:rFonts w:cs="Times New Roman"/>
        <w:b w:val="0"/>
      </w:rPr>
    </w:lvl>
    <w:lvl w:ilvl="2">
      <w:start w:val="1"/>
      <w:numFmt w:val="lowerLetter"/>
      <w:lvlText w:val="%3."/>
      <w:lvlJc w:val="left"/>
      <w:pPr>
        <w:tabs>
          <w:tab w:val="num" w:pos="2304"/>
        </w:tabs>
        <w:ind w:left="2304" w:hanging="432"/>
      </w:pPr>
      <w:rPr>
        <w:rFonts w:cs="Times New Roman"/>
      </w:rPr>
    </w:lvl>
    <w:lvl w:ilvl="3">
      <w:start w:val="1"/>
      <w:numFmt w:val="lowerRoman"/>
      <w:lvlText w:val="%4."/>
      <w:lvlJc w:val="right"/>
      <w:pPr>
        <w:tabs>
          <w:tab w:val="num" w:pos="2736"/>
        </w:tabs>
        <w:ind w:left="2736" w:hanging="288"/>
      </w:pPr>
      <w:rPr>
        <w:rFonts w:cs="Times New Roman"/>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8"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9" w15:restartNumberingAfterBreak="0">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10" w15:restartNumberingAfterBreak="0">
    <w:nsid w:val="3B416EA6"/>
    <w:multiLevelType w:val="multilevel"/>
    <w:tmpl w:val="434071AA"/>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bullet"/>
      <w:lvlText w:val=""/>
      <w:lvlJc w:val="left"/>
      <w:pPr>
        <w:tabs>
          <w:tab w:val="num" w:pos="720"/>
        </w:tabs>
        <w:ind w:left="720" w:hanging="720"/>
      </w:pPr>
      <w:rPr>
        <w:rFonts w:ascii="Symbol" w:hAnsi="Symbol" w:hint="default"/>
      </w:r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1" w15:restartNumberingAfterBreak="0">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12" w15:restartNumberingAfterBreak="0">
    <w:nsid w:val="5B9A7602"/>
    <w:multiLevelType w:val="hybridMultilevel"/>
    <w:tmpl w:val="9A38020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923C8"/>
    <w:multiLevelType w:val="multilevel"/>
    <w:tmpl w:val="09D0DD06"/>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4" w15:restartNumberingAfterBreak="0">
    <w:nsid w:val="6492034B"/>
    <w:multiLevelType w:val="multilevel"/>
    <w:tmpl w:val="21565A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6" w15:restartNumberingAfterBreak="0">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7" w15:restartNumberingAfterBreak="0">
    <w:nsid w:val="6D3F4ACA"/>
    <w:multiLevelType w:val="hybridMultilevel"/>
    <w:tmpl w:val="CDE0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F10B5"/>
    <w:multiLevelType w:val="hybridMultilevel"/>
    <w:tmpl w:val="5900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800"/>
    <w:multiLevelType w:val="hybridMultilevel"/>
    <w:tmpl w:val="25B0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11"/>
  </w:num>
  <w:num w:numId="5">
    <w:abstractNumId w:val="6"/>
  </w:num>
  <w:num w:numId="6">
    <w:abstractNumId w:val="13"/>
  </w:num>
  <w:num w:numId="7">
    <w:abstractNumId w:val="15"/>
  </w:num>
  <w:num w:numId="8">
    <w:abstractNumId w:val="3"/>
  </w:num>
  <w:num w:numId="9">
    <w:abstractNumId w:val="9"/>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1"/>
  </w:num>
  <w:num w:numId="14">
    <w:abstractNumId w:val="10"/>
  </w:num>
  <w:num w:numId="15">
    <w:abstractNumId w:val="14"/>
  </w:num>
  <w:num w:numId="16">
    <w:abstractNumId w:val="2"/>
  </w:num>
  <w:num w:numId="17">
    <w:abstractNumId w:val="4"/>
  </w:num>
  <w:num w:numId="18">
    <w:abstractNumId w:val="17"/>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237"/>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84"/>
    <w:rsid w:val="0000363C"/>
    <w:rsid w:val="0000426F"/>
    <w:rsid w:val="0000450B"/>
    <w:rsid w:val="000052DB"/>
    <w:rsid w:val="00010ADA"/>
    <w:rsid w:val="00010CF9"/>
    <w:rsid w:val="00016907"/>
    <w:rsid w:val="000169EA"/>
    <w:rsid w:val="000172AC"/>
    <w:rsid w:val="0001782B"/>
    <w:rsid w:val="00025F7F"/>
    <w:rsid w:val="00033729"/>
    <w:rsid w:val="0003601E"/>
    <w:rsid w:val="00036C80"/>
    <w:rsid w:val="00040711"/>
    <w:rsid w:val="00044090"/>
    <w:rsid w:val="000473FA"/>
    <w:rsid w:val="0006476A"/>
    <w:rsid w:val="0006575A"/>
    <w:rsid w:val="00070411"/>
    <w:rsid w:val="000707FE"/>
    <w:rsid w:val="00097827"/>
    <w:rsid w:val="000A317B"/>
    <w:rsid w:val="000A3E4D"/>
    <w:rsid w:val="000A509C"/>
    <w:rsid w:val="000A7CB9"/>
    <w:rsid w:val="000B588B"/>
    <w:rsid w:val="000D7191"/>
    <w:rsid w:val="000E30A9"/>
    <w:rsid w:val="000F0F79"/>
    <w:rsid w:val="000F61A7"/>
    <w:rsid w:val="000F79E3"/>
    <w:rsid w:val="00105AFA"/>
    <w:rsid w:val="00111761"/>
    <w:rsid w:val="00113E0A"/>
    <w:rsid w:val="00114AD6"/>
    <w:rsid w:val="0012034D"/>
    <w:rsid w:val="0012129F"/>
    <w:rsid w:val="001273CE"/>
    <w:rsid w:val="001367C1"/>
    <w:rsid w:val="00141867"/>
    <w:rsid w:val="0014369E"/>
    <w:rsid w:val="00146A2E"/>
    <w:rsid w:val="00147101"/>
    <w:rsid w:val="00147837"/>
    <w:rsid w:val="001859BC"/>
    <w:rsid w:val="00185D84"/>
    <w:rsid w:val="001940C5"/>
    <w:rsid w:val="00196A11"/>
    <w:rsid w:val="001A21FF"/>
    <w:rsid w:val="001A3F17"/>
    <w:rsid w:val="001A4796"/>
    <w:rsid w:val="001A57EA"/>
    <w:rsid w:val="001A7821"/>
    <w:rsid w:val="001B0881"/>
    <w:rsid w:val="001B11A1"/>
    <w:rsid w:val="001B5186"/>
    <w:rsid w:val="001B59DF"/>
    <w:rsid w:val="001C0DCF"/>
    <w:rsid w:val="001C55CD"/>
    <w:rsid w:val="001C67F0"/>
    <w:rsid w:val="001D5776"/>
    <w:rsid w:val="00214641"/>
    <w:rsid w:val="00215637"/>
    <w:rsid w:val="00215C24"/>
    <w:rsid w:val="00222974"/>
    <w:rsid w:val="00233E62"/>
    <w:rsid w:val="00240AE4"/>
    <w:rsid w:val="0025665F"/>
    <w:rsid w:val="0026252D"/>
    <w:rsid w:val="002744AD"/>
    <w:rsid w:val="002753B7"/>
    <w:rsid w:val="00280469"/>
    <w:rsid w:val="00281145"/>
    <w:rsid w:val="00283FDC"/>
    <w:rsid w:val="00286C85"/>
    <w:rsid w:val="0028764B"/>
    <w:rsid w:val="00291D8A"/>
    <w:rsid w:val="00294D42"/>
    <w:rsid w:val="00295917"/>
    <w:rsid w:val="002A1ECB"/>
    <w:rsid w:val="002A7C41"/>
    <w:rsid w:val="002A7F69"/>
    <w:rsid w:val="002B0D50"/>
    <w:rsid w:val="002B2462"/>
    <w:rsid w:val="002B5292"/>
    <w:rsid w:val="002B73B3"/>
    <w:rsid w:val="002C7333"/>
    <w:rsid w:val="002D0F96"/>
    <w:rsid w:val="002E285C"/>
    <w:rsid w:val="002E79C7"/>
    <w:rsid w:val="002F7913"/>
    <w:rsid w:val="00314214"/>
    <w:rsid w:val="00326BD1"/>
    <w:rsid w:val="00326C10"/>
    <w:rsid w:val="0033168B"/>
    <w:rsid w:val="00332D8A"/>
    <w:rsid w:val="003332E7"/>
    <w:rsid w:val="00333858"/>
    <w:rsid w:val="003350B7"/>
    <w:rsid w:val="00337284"/>
    <w:rsid w:val="003409E0"/>
    <w:rsid w:val="003412B2"/>
    <w:rsid w:val="00351711"/>
    <w:rsid w:val="00351C92"/>
    <w:rsid w:val="00352604"/>
    <w:rsid w:val="00355CAF"/>
    <w:rsid w:val="00362A17"/>
    <w:rsid w:val="00373FD6"/>
    <w:rsid w:val="003818B7"/>
    <w:rsid w:val="00382F6B"/>
    <w:rsid w:val="003869C5"/>
    <w:rsid w:val="00387144"/>
    <w:rsid w:val="00387BB0"/>
    <w:rsid w:val="003A2243"/>
    <w:rsid w:val="003A3C32"/>
    <w:rsid w:val="003B1F53"/>
    <w:rsid w:val="003B47C8"/>
    <w:rsid w:val="003B6D39"/>
    <w:rsid w:val="003C2053"/>
    <w:rsid w:val="003C36FC"/>
    <w:rsid w:val="003D703B"/>
    <w:rsid w:val="003E0C31"/>
    <w:rsid w:val="003E179F"/>
    <w:rsid w:val="003F00F9"/>
    <w:rsid w:val="003F7B3D"/>
    <w:rsid w:val="004033E5"/>
    <w:rsid w:val="00406370"/>
    <w:rsid w:val="00412988"/>
    <w:rsid w:val="00413D24"/>
    <w:rsid w:val="00416794"/>
    <w:rsid w:val="004437EF"/>
    <w:rsid w:val="0045025E"/>
    <w:rsid w:val="004532E9"/>
    <w:rsid w:val="004538EA"/>
    <w:rsid w:val="00455DF6"/>
    <w:rsid w:val="0045650B"/>
    <w:rsid w:val="0046480E"/>
    <w:rsid w:val="00473964"/>
    <w:rsid w:val="00477FDB"/>
    <w:rsid w:val="0048702B"/>
    <w:rsid w:val="00487D1C"/>
    <w:rsid w:val="00490722"/>
    <w:rsid w:val="00491AF4"/>
    <w:rsid w:val="004A07B9"/>
    <w:rsid w:val="004A3B7E"/>
    <w:rsid w:val="004A4293"/>
    <w:rsid w:val="004A4914"/>
    <w:rsid w:val="004A7D4D"/>
    <w:rsid w:val="004B2EDF"/>
    <w:rsid w:val="004B5C02"/>
    <w:rsid w:val="004B6265"/>
    <w:rsid w:val="004C1C29"/>
    <w:rsid w:val="004C7AFB"/>
    <w:rsid w:val="004D30E4"/>
    <w:rsid w:val="004E4D87"/>
    <w:rsid w:val="004E6EE8"/>
    <w:rsid w:val="004F265D"/>
    <w:rsid w:val="004F4817"/>
    <w:rsid w:val="00500858"/>
    <w:rsid w:val="0050389B"/>
    <w:rsid w:val="00506CC3"/>
    <w:rsid w:val="00506CE9"/>
    <w:rsid w:val="00507A40"/>
    <w:rsid w:val="00511439"/>
    <w:rsid w:val="005210DE"/>
    <w:rsid w:val="0052120C"/>
    <w:rsid w:val="005258AC"/>
    <w:rsid w:val="00525D0B"/>
    <w:rsid w:val="0053706F"/>
    <w:rsid w:val="0055596E"/>
    <w:rsid w:val="00556D5E"/>
    <w:rsid w:val="005703B5"/>
    <w:rsid w:val="005741B4"/>
    <w:rsid w:val="0057548B"/>
    <w:rsid w:val="00575500"/>
    <w:rsid w:val="005800A6"/>
    <w:rsid w:val="00592282"/>
    <w:rsid w:val="005B1887"/>
    <w:rsid w:val="005B2FB2"/>
    <w:rsid w:val="005B4232"/>
    <w:rsid w:val="005C5C2B"/>
    <w:rsid w:val="005C6B46"/>
    <w:rsid w:val="005D164C"/>
    <w:rsid w:val="005D3A28"/>
    <w:rsid w:val="005E4798"/>
    <w:rsid w:val="005F1559"/>
    <w:rsid w:val="006010E9"/>
    <w:rsid w:val="00602105"/>
    <w:rsid w:val="00606BE8"/>
    <w:rsid w:val="0061655B"/>
    <w:rsid w:val="00620544"/>
    <w:rsid w:val="00623799"/>
    <w:rsid w:val="00630895"/>
    <w:rsid w:val="00637C75"/>
    <w:rsid w:val="00641A27"/>
    <w:rsid w:val="00645C97"/>
    <w:rsid w:val="0065399A"/>
    <w:rsid w:val="0065737A"/>
    <w:rsid w:val="006630DC"/>
    <w:rsid w:val="006702EF"/>
    <w:rsid w:val="00671DA4"/>
    <w:rsid w:val="00672AEB"/>
    <w:rsid w:val="00673A5F"/>
    <w:rsid w:val="00674FD2"/>
    <w:rsid w:val="00682BF8"/>
    <w:rsid w:val="006834EE"/>
    <w:rsid w:val="00687B4A"/>
    <w:rsid w:val="00691A13"/>
    <w:rsid w:val="0069248B"/>
    <w:rsid w:val="00692AEE"/>
    <w:rsid w:val="006930DD"/>
    <w:rsid w:val="00694515"/>
    <w:rsid w:val="0069633D"/>
    <w:rsid w:val="00696343"/>
    <w:rsid w:val="006B3BC4"/>
    <w:rsid w:val="006B43E3"/>
    <w:rsid w:val="006B4BCA"/>
    <w:rsid w:val="006B6480"/>
    <w:rsid w:val="006B65B4"/>
    <w:rsid w:val="006C1608"/>
    <w:rsid w:val="006E4353"/>
    <w:rsid w:val="006E60CE"/>
    <w:rsid w:val="006F2E2C"/>
    <w:rsid w:val="006F4490"/>
    <w:rsid w:val="006F7108"/>
    <w:rsid w:val="007011EF"/>
    <w:rsid w:val="0070507C"/>
    <w:rsid w:val="00711F34"/>
    <w:rsid w:val="00715D5F"/>
    <w:rsid w:val="007207B9"/>
    <w:rsid w:val="007213E8"/>
    <w:rsid w:val="00726610"/>
    <w:rsid w:val="00726C3B"/>
    <w:rsid w:val="00726C59"/>
    <w:rsid w:val="007307F2"/>
    <w:rsid w:val="00730B80"/>
    <w:rsid w:val="00742B55"/>
    <w:rsid w:val="0074486C"/>
    <w:rsid w:val="00745127"/>
    <w:rsid w:val="00751C10"/>
    <w:rsid w:val="0075219F"/>
    <w:rsid w:val="00756383"/>
    <w:rsid w:val="007630D4"/>
    <w:rsid w:val="007638E7"/>
    <w:rsid w:val="00766491"/>
    <w:rsid w:val="00770FD2"/>
    <w:rsid w:val="00792B59"/>
    <w:rsid w:val="007934A7"/>
    <w:rsid w:val="0079449F"/>
    <w:rsid w:val="00795BA5"/>
    <w:rsid w:val="00797677"/>
    <w:rsid w:val="00797B1A"/>
    <w:rsid w:val="007A0A4B"/>
    <w:rsid w:val="007B15B6"/>
    <w:rsid w:val="007B2CAF"/>
    <w:rsid w:val="007B5B0D"/>
    <w:rsid w:val="007C06B8"/>
    <w:rsid w:val="007D07D3"/>
    <w:rsid w:val="007D101C"/>
    <w:rsid w:val="007D4995"/>
    <w:rsid w:val="007E5F12"/>
    <w:rsid w:val="007E6F1F"/>
    <w:rsid w:val="007E79C3"/>
    <w:rsid w:val="007F1104"/>
    <w:rsid w:val="007F1AB6"/>
    <w:rsid w:val="007F4ACF"/>
    <w:rsid w:val="007F6AB6"/>
    <w:rsid w:val="00810706"/>
    <w:rsid w:val="0081357C"/>
    <w:rsid w:val="00814CE8"/>
    <w:rsid w:val="00815AC0"/>
    <w:rsid w:val="008223B9"/>
    <w:rsid w:val="008325F9"/>
    <w:rsid w:val="00835C70"/>
    <w:rsid w:val="00837913"/>
    <w:rsid w:val="00841173"/>
    <w:rsid w:val="00842BE9"/>
    <w:rsid w:val="00844CFC"/>
    <w:rsid w:val="00851C0C"/>
    <w:rsid w:val="00853D7E"/>
    <w:rsid w:val="008551CE"/>
    <w:rsid w:val="008731D6"/>
    <w:rsid w:val="00873340"/>
    <w:rsid w:val="00874727"/>
    <w:rsid w:val="00875304"/>
    <w:rsid w:val="008770E6"/>
    <w:rsid w:val="00890DE1"/>
    <w:rsid w:val="0089632D"/>
    <w:rsid w:val="00897DCA"/>
    <w:rsid w:val="008B1103"/>
    <w:rsid w:val="008B1A56"/>
    <w:rsid w:val="008B4C6C"/>
    <w:rsid w:val="008B5277"/>
    <w:rsid w:val="008C2B50"/>
    <w:rsid w:val="008C3B12"/>
    <w:rsid w:val="008C618D"/>
    <w:rsid w:val="008C705E"/>
    <w:rsid w:val="008D41F8"/>
    <w:rsid w:val="008D4F83"/>
    <w:rsid w:val="008D5304"/>
    <w:rsid w:val="008D6278"/>
    <w:rsid w:val="008E503D"/>
    <w:rsid w:val="008E6C1F"/>
    <w:rsid w:val="008F4115"/>
    <w:rsid w:val="008F44D3"/>
    <w:rsid w:val="008F4E3A"/>
    <w:rsid w:val="008F5EAE"/>
    <w:rsid w:val="00901EEC"/>
    <w:rsid w:val="00902AE1"/>
    <w:rsid w:val="00902C94"/>
    <w:rsid w:val="00910488"/>
    <w:rsid w:val="009130D7"/>
    <w:rsid w:val="00914E0C"/>
    <w:rsid w:val="0091595B"/>
    <w:rsid w:val="00916801"/>
    <w:rsid w:val="00917B3A"/>
    <w:rsid w:val="00917B48"/>
    <w:rsid w:val="009379ED"/>
    <w:rsid w:val="00952EA6"/>
    <w:rsid w:val="00952F38"/>
    <w:rsid w:val="009648E6"/>
    <w:rsid w:val="00967C03"/>
    <w:rsid w:val="00977D79"/>
    <w:rsid w:val="009859C9"/>
    <w:rsid w:val="00987432"/>
    <w:rsid w:val="009879DE"/>
    <w:rsid w:val="009929D8"/>
    <w:rsid w:val="009966F6"/>
    <w:rsid w:val="009A028A"/>
    <w:rsid w:val="009A6378"/>
    <w:rsid w:val="009D10CE"/>
    <w:rsid w:val="009D5846"/>
    <w:rsid w:val="009D5D7C"/>
    <w:rsid w:val="009D7590"/>
    <w:rsid w:val="009E1C43"/>
    <w:rsid w:val="009E319C"/>
    <w:rsid w:val="009E6E4B"/>
    <w:rsid w:val="009F55E7"/>
    <w:rsid w:val="00A030AF"/>
    <w:rsid w:val="00A0314E"/>
    <w:rsid w:val="00A039EA"/>
    <w:rsid w:val="00A05530"/>
    <w:rsid w:val="00A05F1B"/>
    <w:rsid w:val="00A248B2"/>
    <w:rsid w:val="00A24FA8"/>
    <w:rsid w:val="00A25303"/>
    <w:rsid w:val="00A25A37"/>
    <w:rsid w:val="00A358CC"/>
    <w:rsid w:val="00A35B67"/>
    <w:rsid w:val="00A4295E"/>
    <w:rsid w:val="00A43DD3"/>
    <w:rsid w:val="00A47D3F"/>
    <w:rsid w:val="00A57E38"/>
    <w:rsid w:val="00A611B4"/>
    <w:rsid w:val="00A6381D"/>
    <w:rsid w:val="00A63CC0"/>
    <w:rsid w:val="00A64E7D"/>
    <w:rsid w:val="00A72B06"/>
    <w:rsid w:val="00A75516"/>
    <w:rsid w:val="00A75859"/>
    <w:rsid w:val="00A81C5B"/>
    <w:rsid w:val="00A92BD6"/>
    <w:rsid w:val="00A95B48"/>
    <w:rsid w:val="00A97F91"/>
    <w:rsid w:val="00AA5738"/>
    <w:rsid w:val="00AB492C"/>
    <w:rsid w:val="00AB50EA"/>
    <w:rsid w:val="00AB7486"/>
    <w:rsid w:val="00AC21AD"/>
    <w:rsid w:val="00AC30F1"/>
    <w:rsid w:val="00AE1B4F"/>
    <w:rsid w:val="00AE2ACB"/>
    <w:rsid w:val="00AF12E0"/>
    <w:rsid w:val="00B00CE7"/>
    <w:rsid w:val="00B02D77"/>
    <w:rsid w:val="00B21483"/>
    <w:rsid w:val="00B2379F"/>
    <w:rsid w:val="00B23858"/>
    <w:rsid w:val="00B255C9"/>
    <w:rsid w:val="00B30300"/>
    <w:rsid w:val="00B33985"/>
    <w:rsid w:val="00B34C5E"/>
    <w:rsid w:val="00B40C10"/>
    <w:rsid w:val="00B4201C"/>
    <w:rsid w:val="00B423C1"/>
    <w:rsid w:val="00B53984"/>
    <w:rsid w:val="00B55568"/>
    <w:rsid w:val="00B5701B"/>
    <w:rsid w:val="00B620AD"/>
    <w:rsid w:val="00B63192"/>
    <w:rsid w:val="00B64E1E"/>
    <w:rsid w:val="00B74E6E"/>
    <w:rsid w:val="00B867CA"/>
    <w:rsid w:val="00B87A39"/>
    <w:rsid w:val="00B933F9"/>
    <w:rsid w:val="00B94C03"/>
    <w:rsid w:val="00B9684A"/>
    <w:rsid w:val="00BA0FEF"/>
    <w:rsid w:val="00BA1105"/>
    <w:rsid w:val="00BA614B"/>
    <w:rsid w:val="00BB51DB"/>
    <w:rsid w:val="00BB61D4"/>
    <w:rsid w:val="00BB63E5"/>
    <w:rsid w:val="00BC652C"/>
    <w:rsid w:val="00BD09FB"/>
    <w:rsid w:val="00BD454E"/>
    <w:rsid w:val="00BD6120"/>
    <w:rsid w:val="00BD6C4D"/>
    <w:rsid w:val="00BD6CCC"/>
    <w:rsid w:val="00BE5E91"/>
    <w:rsid w:val="00BF0A54"/>
    <w:rsid w:val="00BF3572"/>
    <w:rsid w:val="00BF4A43"/>
    <w:rsid w:val="00C0090C"/>
    <w:rsid w:val="00C028F0"/>
    <w:rsid w:val="00C05CE7"/>
    <w:rsid w:val="00C070D2"/>
    <w:rsid w:val="00C075CB"/>
    <w:rsid w:val="00C21EED"/>
    <w:rsid w:val="00C23393"/>
    <w:rsid w:val="00C2372F"/>
    <w:rsid w:val="00C2578D"/>
    <w:rsid w:val="00C315D6"/>
    <w:rsid w:val="00C32613"/>
    <w:rsid w:val="00C32A84"/>
    <w:rsid w:val="00C34B5E"/>
    <w:rsid w:val="00C34ED4"/>
    <w:rsid w:val="00C424B6"/>
    <w:rsid w:val="00C436AE"/>
    <w:rsid w:val="00C45E76"/>
    <w:rsid w:val="00C47A61"/>
    <w:rsid w:val="00C50FC7"/>
    <w:rsid w:val="00C51883"/>
    <w:rsid w:val="00C551E1"/>
    <w:rsid w:val="00C562CC"/>
    <w:rsid w:val="00C630D8"/>
    <w:rsid w:val="00C82C7E"/>
    <w:rsid w:val="00C85D04"/>
    <w:rsid w:val="00C91183"/>
    <w:rsid w:val="00C933CE"/>
    <w:rsid w:val="00C93AE8"/>
    <w:rsid w:val="00CA04C0"/>
    <w:rsid w:val="00CA1433"/>
    <w:rsid w:val="00CA3F41"/>
    <w:rsid w:val="00CA456B"/>
    <w:rsid w:val="00CB18D7"/>
    <w:rsid w:val="00CB5D22"/>
    <w:rsid w:val="00CB7DEE"/>
    <w:rsid w:val="00CC12BC"/>
    <w:rsid w:val="00CC5FB5"/>
    <w:rsid w:val="00CD0CB6"/>
    <w:rsid w:val="00CD3AF2"/>
    <w:rsid w:val="00CE0055"/>
    <w:rsid w:val="00CE1B7D"/>
    <w:rsid w:val="00CE2FC3"/>
    <w:rsid w:val="00CE6C25"/>
    <w:rsid w:val="00CE7588"/>
    <w:rsid w:val="00CE7F0A"/>
    <w:rsid w:val="00CF1291"/>
    <w:rsid w:val="00CF614C"/>
    <w:rsid w:val="00D00971"/>
    <w:rsid w:val="00D01472"/>
    <w:rsid w:val="00D01E0C"/>
    <w:rsid w:val="00D02FAE"/>
    <w:rsid w:val="00D03019"/>
    <w:rsid w:val="00D06E7E"/>
    <w:rsid w:val="00D12B65"/>
    <w:rsid w:val="00D13DB6"/>
    <w:rsid w:val="00D22457"/>
    <w:rsid w:val="00D2384D"/>
    <w:rsid w:val="00D23BD1"/>
    <w:rsid w:val="00D2699D"/>
    <w:rsid w:val="00D35182"/>
    <w:rsid w:val="00D360AE"/>
    <w:rsid w:val="00D60065"/>
    <w:rsid w:val="00D617C2"/>
    <w:rsid w:val="00D66269"/>
    <w:rsid w:val="00D7208D"/>
    <w:rsid w:val="00D801F4"/>
    <w:rsid w:val="00D862F9"/>
    <w:rsid w:val="00D86E18"/>
    <w:rsid w:val="00D8743A"/>
    <w:rsid w:val="00D92181"/>
    <w:rsid w:val="00DB1D6B"/>
    <w:rsid w:val="00DC4030"/>
    <w:rsid w:val="00DC435D"/>
    <w:rsid w:val="00DC5D39"/>
    <w:rsid w:val="00DD232E"/>
    <w:rsid w:val="00DD2D6F"/>
    <w:rsid w:val="00DD2D8A"/>
    <w:rsid w:val="00DD6801"/>
    <w:rsid w:val="00DE45B7"/>
    <w:rsid w:val="00E012C6"/>
    <w:rsid w:val="00E01461"/>
    <w:rsid w:val="00E04732"/>
    <w:rsid w:val="00E075C7"/>
    <w:rsid w:val="00E11E26"/>
    <w:rsid w:val="00E20570"/>
    <w:rsid w:val="00E264C3"/>
    <w:rsid w:val="00E27F22"/>
    <w:rsid w:val="00E467D7"/>
    <w:rsid w:val="00E46BC2"/>
    <w:rsid w:val="00E527F2"/>
    <w:rsid w:val="00E658A7"/>
    <w:rsid w:val="00E67B7E"/>
    <w:rsid w:val="00E67D42"/>
    <w:rsid w:val="00E72E3F"/>
    <w:rsid w:val="00E732E8"/>
    <w:rsid w:val="00E77853"/>
    <w:rsid w:val="00E845A3"/>
    <w:rsid w:val="00E876FB"/>
    <w:rsid w:val="00E93D41"/>
    <w:rsid w:val="00E94CA0"/>
    <w:rsid w:val="00EA5B69"/>
    <w:rsid w:val="00EB1529"/>
    <w:rsid w:val="00EB75F2"/>
    <w:rsid w:val="00EC41B6"/>
    <w:rsid w:val="00EC5791"/>
    <w:rsid w:val="00EE4DFB"/>
    <w:rsid w:val="00EE5267"/>
    <w:rsid w:val="00EE54C4"/>
    <w:rsid w:val="00EF3974"/>
    <w:rsid w:val="00F03379"/>
    <w:rsid w:val="00F06FC0"/>
    <w:rsid w:val="00F134B3"/>
    <w:rsid w:val="00F16DDE"/>
    <w:rsid w:val="00F17F9A"/>
    <w:rsid w:val="00F25121"/>
    <w:rsid w:val="00F26240"/>
    <w:rsid w:val="00F311B9"/>
    <w:rsid w:val="00F31D79"/>
    <w:rsid w:val="00F324D2"/>
    <w:rsid w:val="00F42B76"/>
    <w:rsid w:val="00F46D2D"/>
    <w:rsid w:val="00F5581C"/>
    <w:rsid w:val="00F5688E"/>
    <w:rsid w:val="00F66F53"/>
    <w:rsid w:val="00F80848"/>
    <w:rsid w:val="00F82902"/>
    <w:rsid w:val="00F86802"/>
    <w:rsid w:val="00F95A47"/>
    <w:rsid w:val="00F9655B"/>
    <w:rsid w:val="00F97C5B"/>
    <w:rsid w:val="00FB5BD7"/>
    <w:rsid w:val="00FB6F45"/>
    <w:rsid w:val="00FC6A4D"/>
    <w:rsid w:val="00FD07B0"/>
    <w:rsid w:val="00FD27FA"/>
    <w:rsid w:val="00FD6D67"/>
    <w:rsid w:val="00FE067A"/>
    <w:rsid w:val="00FE162B"/>
    <w:rsid w:val="00FE2256"/>
    <w:rsid w:val="00FF0207"/>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0757E"/>
  <w15:chartTrackingRefBased/>
  <w15:docId w15:val="{1B8D984E-8B96-4D67-B0EE-A5FC2207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A39"/>
    <w:rPr>
      <w:rFonts w:ascii="Times New Roman" w:eastAsia="Times New Roman" w:hAnsi="Times New Roman"/>
      <w:spacing w:val="-3"/>
      <w:sz w:val="24"/>
      <w:lang w:val="es-ES_tradnl"/>
    </w:rPr>
  </w:style>
  <w:style w:type="paragraph" w:styleId="Heading1">
    <w:name w:val="heading 1"/>
    <w:aliases w:val="Heading 1.I"/>
    <w:next w:val="Normal"/>
    <w:link w:val="Heading1Char"/>
    <w:uiPriority w:val="9"/>
    <w:qFormat/>
    <w:rsid w:val="00B87A39"/>
    <w:pPr>
      <w:keepNext/>
      <w:numPr>
        <w:numId w:val="6"/>
      </w:numPr>
      <w:spacing w:before="240" w:after="240"/>
      <w:jc w:val="center"/>
      <w:outlineLvl w:val="0"/>
    </w:pPr>
    <w:rPr>
      <w:rFonts w:ascii="Times New Roman Bold" w:eastAsia="Times New Roman" w:hAnsi="Times New Roman Bold"/>
      <w:b/>
      <w:smallCaps/>
      <w:noProof/>
      <w:sz w:val="28"/>
    </w:rPr>
  </w:style>
  <w:style w:type="paragraph" w:styleId="Heading2">
    <w:name w:val="heading 2"/>
    <w:aliases w:val="Heading 2.A"/>
    <w:next w:val="Normal"/>
    <w:link w:val="Heading2Char"/>
    <w:qFormat/>
    <w:rsid w:val="00B87A39"/>
    <w:pPr>
      <w:keepNext/>
      <w:numPr>
        <w:numId w:val="4"/>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uiPriority w:val="9"/>
    <w:qFormat/>
    <w:rsid w:val="00B87A39"/>
    <w:pPr>
      <w:keepNext/>
      <w:numPr>
        <w:numId w:val="5"/>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uiPriority w:val="9"/>
    <w:qFormat/>
    <w:rsid w:val="00B87A39"/>
    <w:pPr>
      <w:keepNext/>
      <w:numPr>
        <w:ilvl w:val="2"/>
        <w:numId w:val="6"/>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B87A39"/>
    <w:pPr>
      <w:keepNext/>
      <w:numPr>
        <w:ilvl w:val="3"/>
        <w:numId w:val="6"/>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z w:val="20"/>
      <w:lang w:eastAsia="x-none"/>
    </w:rPr>
  </w:style>
  <w:style w:type="paragraph" w:styleId="Heading7">
    <w:name w:val="heading 7"/>
    <w:basedOn w:val="Normal"/>
    <w:next w:val="Normal"/>
    <w:link w:val="Heading7Char"/>
    <w:qFormat/>
    <w:rsid w:val="00816867"/>
    <w:pPr>
      <w:numPr>
        <w:ilvl w:val="6"/>
        <w:numId w:val="2"/>
      </w:numPr>
      <w:spacing w:before="240" w:after="60"/>
      <w:outlineLvl w:val="6"/>
    </w:pPr>
    <w:rPr>
      <w:rFonts w:ascii="Calibri" w:hAnsi="Calibri"/>
      <w:spacing w:val="0"/>
      <w:szCs w:val="24"/>
      <w:lang w:val="x-none" w:eastAsia="x-none"/>
    </w:rPr>
  </w:style>
  <w:style w:type="paragraph" w:styleId="Heading8">
    <w:name w:val="heading 8"/>
    <w:basedOn w:val="Normal"/>
    <w:next w:val="Normal"/>
    <w:link w:val="Heading8Char"/>
    <w:qFormat/>
    <w:rsid w:val="00816867"/>
    <w:pPr>
      <w:numPr>
        <w:ilvl w:val="7"/>
        <w:numId w:val="2"/>
      </w:numPr>
      <w:spacing w:before="240" w:after="60"/>
      <w:outlineLvl w:val="7"/>
    </w:pPr>
    <w:rPr>
      <w:rFonts w:ascii="Calibri" w:hAnsi="Calibri"/>
      <w:i/>
      <w:iCs/>
      <w:spacing w:val="0"/>
      <w:szCs w:val="24"/>
      <w:lang w:val="x-none" w:eastAsia="x-none"/>
    </w:rPr>
  </w:style>
  <w:style w:type="paragraph" w:styleId="Heading9">
    <w:name w:val="heading 9"/>
    <w:basedOn w:val="Normal"/>
    <w:next w:val="Normal"/>
    <w:link w:val="Heading9Char"/>
    <w:qFormat/>
    <w:rsid w:val="00816867"/>
    <w:pPr>
      <w:numPr>
        <w:ilvl w:val="8"/>
        <w:numId w:val="2"/>
      </w:numPr>
      <w:spacing w:before="240" w:after="60"/>
      <w:outlineLvl w:val="8"/>
    </w:pPr>
    <w:rPr>
      <w:rFonts w:ascii="Cambria" w:hAnsi="Cambria"/>
      <w:spacing w:val="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rPr>
      <w:rFonts w:ascii="Calibri" w:eastAsia="Calibri" w:hAnsi="Calibri"/>
      <w:spacing w:val="0"/>
      <w:sz w:val="22"/>
      <w:szCs w:val="22"/>
      <w:lang w:val="x-none" w:eastAsia="x-none"/>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rPr>
      <w:rFonts w:ascii="Tahoma" w:hAnsi="Tahoma"/>
      <w:spacing w:val="0"/>
      <w:sz w:val="16"/>
      <w:szCs w:val="16"/>
      <w:lang w:val="x-none" w:eastAsia="x-none"/>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iPriority w:val="99"/>
    <w:rsid w:val="00B87A39"/>
    <w:pPr>
      <w:keepNext/>
      <w:keepLines/>
      <w:spacing w:after="120"/>
      <w:ind w:left="288" w:hanging="288"/>
      <w:jc w:val="both"/>
    </w:pPr>
    <w:rPr>
      <w:sz w:val="20"/>
      <w:lang w:eastAsia="x-none"/>
    </w:rPr>
  </w:style>
  <w:style w:type="character" w:customStyle="1" w:styleId="FootnoteTextChar">
    <w:name w:val="Footnote Text Char"/>
    <w:aliases w:val="fn Char"/>
    <w:link w:val="FootnoteText"/>
    <w:uiPriority w:val="99"/>
    <w:rsid w:val="00902F77"/>
    <w:rPr>
      <w:rFonts w:ascii="Times New Roman" w:eastAsia="Times New Roman" w:hAnsi="Times New Roman"/>
      <w:spacing w:val="-3"/>
      <w:lang w:val="es-ES_tradnl"/>
    </w:rPr>
  </w:style>
  <w:style w:type="character" w:styleId="FootnoteReference">
    <w:name w:val="footnote reference"/>
    <w:uiPriority w:val="99"/>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lang w:val="x-none" w:eastAsia="x-none"/>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lang w:val="x-none" w:eastAsia="x-none"/>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lang w:val="x-none" w:eastAsia="x-none"/>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lang w:val="x-none" w:eastAsia="x-none"/>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z w:val="20"/>
    </w:rPr>
  </w:style>
  <w:style w:type="character" w:customStyle="1" w:styleId="CommentTextChar">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uiPriority w:val="99"/>
    <w:rsid w:val="001E55D5"/>
    <w:rPr>
      <w:rFonts w:ascii="Calibri" w:eastAsia="Calibri" w:hAnsi="Calibri"/>
      <w:b/>
      <w:bCs/>
      <w:spacing w:val="0"/>
      <w:lang w:val="x-none" w:eastAsia="x-none"/>
    </w:rPr>
  </w:style>
  <w:style w:type="character" w:customStyle="1" w:styleId="CommentSubjectChar">
    <w:name w:val="Comment Subject Char"/>
    <w:link w:val="CommentSubject"/>
    <w:uiPriority w:val="99"/>
    <w:rsid w:val="001E55D5"/>
    <w:rPr>
      <w:b/>
      <w:bCs/>
    </w:rPr>
  </w:style>
  <w:style w:type="paragraph" w:customStyle="1" w:styleId="Chapter">
    <w:name w:val="Chapter"/>
    <w:basedOn w:val="Normal"/>
    <w:next w:val="Normal"/>
    <w:link w:val="ChapterChar"/>
    <w:uiPriority w:val="99"/>
    <w:rsid w:val="00816867"/>
    <w:pPr>
      <w:keepNext/>
      <w:numPr>
        <w:numId w:val="2"/>
      </w:numPr>
      <w:tabs>
        <w:tab w:val="num" w:pos="648"/>
        <w:tab w:val="left" w:pos="1440"/>
      </w:tabs>
      <w:spacing w:before="240" w:after="240"/>
      <w:ind w:left="0" w:firstLine="288"/>
      <w:jc w:val="center"/>
    </w:pPr>
    <w:rPr>
      <w:rFonts w:eastAsia="Calibri"/>
      <w:b/>
      <w:smallCaps/>
      <w:spacing w:val="0"/>
      <w:szCs w:val="22"/>
      <w:lang w:val="x-none" w:eastAsia="x-none"/>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x-none" w:eastAsia="x-none"/>
    </w:rPr>
  </w:style>
  <w:style w:type="paragraph" w:customStyle="1" w:styleId="FirstHeading">
    <w:name w:val="FirstHeading"/>
    <w:basedOn w:val="Normal"/>
    <w:next w:val="Normal"/>
    <w:link w:val="FirstHeadingChar"/>
    <w:rsid w:val="00816867"/>
    <w:pPr>
      <w:keepNext/>
      <w:tabs>
        <w:tab w:val="left" w:pos="0"/>
        <w:tab w:val="left" w:pos="86"/>
      </w:tabs>
      <w:spacing w:before="120" w:after="120"/>
    </w:pPr>
    <w:rPr>
      <w:rFonts w:eastAsia="Calibri"/>
      <w:b/>
      <w:spacing w:val="0"/>
      <w:szCs w:val="22"/>
      <w:lang w:val="x-none" w:eastAsia="x-none"/>
    </w:rPr>
  </w:style>
  <w:style w:type="character" w:customStyle="1" w:styleId="FirstHeadingChar">
    <w:name w:val="FirstHeading Char"/>
    <w:link w:val="FirstHeading"/>
    <w:rsid w:val="00816867"/>
    <w:rPr>
      <w:rFonts w:ascii="Times New Roman" w:hAnsi="Times New Roman"/>
      <w:b/>
      <w:sz w:val="24"/>
      <w:szCs w:val="22"/>
      <w:lang w:val="x-none" w:eastAsia="x-none"/>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lang w:val="x-none" w:eastAsia="x-none"/>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uiPriority w:val="99"/>
    <w:rsid w:val="00816867"/>
    <w:pPr>
      <w:tabs>
        <w:tab w:val="num" w:pos="720"/>
      </w:tabs>
      <w:spacing w:before="120"/>
      <w:ind w:hanging="720"/>
      <w:jc w:val="both"/>
      <w:outlineLvl w:val="1"/>
    </w:pPr>
    <w:rPr>
      <w:rFonts w:eastAsia="Calibri"/>
      <w:spacing w:val="0"/>
      <w:szCs w:val="22"/>
      <w:lang w:val="x-none"/>
    </w:rPr>
  </w:style>
  <w:style w:type="character" w:customStyle="1" w:styleId="ParagraphChar">
    <w:name w:val="Paragraph Char"/>
    <w:aliases w:val="paragraph Char,p Char,PARAGRAPH Char,PG Char,pa Char,at Char"/>
    <w:link w:val="Paragraph"/>
    <w:uiPriority w:val="99"/>
    <w:rsid w:val="00816867"/>
    <w:rPr>
      <w:rFonts w:ascii="Times New Roman" w:hAnsi="Times New Roman"/>
      <w:sz w:val="24"/>
      <w:szCs w:val="22"/>
    </w:rPr>
  </w:style>
  <w:style w:type="paragraph" w:customStyle="1" w:styleId="subpar">
    <w:name w:val="subpar"/>
    <w:basedOn w:val="BodyTextIndent3"/>
    <w:link w:val="subparChar"/>
    <w:uiPriority w:val="99"/>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uiPriority w:val="99"/>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eastAsia="x-none"/>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uiPriority w:val="9"/>
    <w:rsid w:val="00816867"/>
    <w:rPr>
      <w:rFonts w:ascii="Times New Roman Bold" w:eastAsia="Times New Roman" w:hAnsi="Times New Roman Bold"/>
      <w:b/>
      <w:noProof/>
      <w:sz w:val="24"/>
    </w:rPr>
  </w:style>
  <w:style w:type="character" w:customStyle="1" w:styleId="Heading4Char">
    <w:name w:val="Heading 4 Char"/>
    <w:aliases w:val="Heading 4.a Char"/>
    <w:link w:val="Heading4"/>
    <w:uiPriority w:val="9"/>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x-none" w:eastAsia="x-none"/>
    </w:rPr>
  </w:style>
  <w:style w:type="character" w:customStyle="1" w:styleId="Heading8Char">
    <w:name w:val="Heading 8 Char"/>
    <w:link w:val="Heading8"/>
    <w:rsid w:val="00816867"/>
    <w:rPr>
      <w:rFonts w:eastAsia="Times New Roman"/>
      <w:i/>
      <w:iCs/>
      <w:sz w:val="24"/>
      <w:szCs w:val="24"/>
      <w:lang w:val="x-none" w:eastAsia="x-none"/>
    </w:rPr>
  </w:style>
  <w:style w:type="character" w:customStyle="1" w:styleId="Heading9Char">
    <w:name w:val="Heading 9 Char"/>
    <w:link w:val="Heading9"/>
    <w:rsid w:val="00816867"/>
    <w:rPr>
      <w:rFonts w:ascii="Cambria" w:eastAsia="Times New Roman" w:hAnsi="Cambria"/>
      <w:sz w:val="22"/>
      <w:szCs w:val="22"/>
      <w:lang w:val="x-none" w:eastAsia="x-none"/>
    </w:rPr>
  </w:style>
  <w:style w:type="paragraph" w:styleId="BodyTextIndent">
    <w:name w:val="Body Text Indent"/>
    <w:basedOn w:val="Normal"/>
    <w:link w:val="BodyTextIndentChar"/>
    <w:rsid w:val="00B87A39"/>
    <w:pPr>
      <w:spacing w:after="120"/>
      <w:ind w:left="360"/>
    </w:pPr>
    <w:rPr>
      <w:lang w:eastAsia="x-none"/>
    </w:r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lang w:val="x-none" w:eastAsia="x-none"/>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uiPriority w:val="9"/>
    <w:rsid w:val="00BF4A43"/>
    <w:rPr>
      <w:rFonts w:ascii="Times New Roman Bold" w:eastAsia="Times New Roman" w:hAnsi="Times New Roman Bold"/>
      <w:b/>
      <w:smallCaps/>
      <w:noProof/>
      <w:sz w:val="28"/>
    </w:rPr>
  </w:style>
  <w:style w:type="paragraph" w:customStyle="1" w:styleId="AutoNumpara">
    <w:name w:val="AutoNumpara"/>
    <w:basedOn w:val="BodyTextIndent"/>
    <w:rsid w:val="00B87A39"/>
    <w:pPr>
      <w:numPr>
        <w:ilvl w:val="1"/>
        <w:numId w:val="6"/>
      </w:numPr>
      <w:spacing w:before="120"/>
      <w:jc w:val="both"/>
    </w:pPr>
    <w:rPr>
      <w:noProof/>
      <w:spacing w:val="-2"/>
    </w:rPr>
  </w:style>
  <w:style w:type="paragraph" w:customStyle="1" w:styleId="bullets">
    <w:name w:val="bullets"/>
    <w:rsid w:val="00B87A39"/>
    <w:pPr>
      <w:numPr>
        <w:numId w:val="3"/>
      </w:numPr>
      <w:spacing w:before="120" w:after="120"/>
      <w:jc w:val="both"/>
    </w:pPr>
    <w:rPr>
      <w:rFonts w:ascii="Times New Roman" w:eastAsia="Times New Roman" w:hAnsi="Times New Roman"/>
      <w:spacing w:val="-2"/>
      <w:sz w:val="24"/>
    </w:rPr>
  </w:style>
  <w:style w:type="paragraph" w:styleId="Caption">
    <w:name w:val="caption"/>
    <w:basedOn w:val="Normal"/>
    <w:next w:val="Normal"/>
    <w:link w:val="CaptionChar"/>
    <w:uiPriority w:val="35"/>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rPr>
  </w:style>
  <w:style w:type="character" w:styleId="PageNumber">
    <w:name w:val="page number"/>
    <w:basedOn w:val="DefaultParagraphFont"/>
    <w:rsid w:val="00B87A39"/>
  </w:style>
  <w:style w:type="paragraph" w:customStyle="1" w:styleId="Paragrapha">
    <w:name w:val="Paragraph a"/>
    <w:rsid w:val="00B87A39"/>
    <w:pPr>
      <w:numPr>
        <w:numId w:val="7"/>
      </w:numPr>
      <w:spacing w:before="120" w:after="120"/>
      <w:jc w:val="both"/>
    </w:pPr>
    <w:rPr>
      <w:rFonts w:ascii="Times New Roman" w:eastAsia="Times New Roman" w:hAnsi="Times New Roman"/>
      <w:noProof/>
      <w:sz w:val="24"/>
    </w:rPr>
  </w:style>
  <w:style w:type="paragraph" w:customStyle="1" w:styleId="Paragraph1">
    <w:name w:val="Paragraph1"/>
    <w:rsid w:val="00B87A39"/>
    <w:pPr>
      <w:numPr>
        <w:numId w:val="8"/>
      </w:numPr>
      <w:spacing w:before="120" w:after="120"/>
      <w:jc w:val="both"/>
    </w:pPr>
    <w:rPr>
      <w:rFonts w:ascii="Times New Roman" w:eastAsia="Times New Roman" w:hAnsi="Times New Roman"/>
      <w:noProof/>
      <w:sz w:val="24"/>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rPr>
  </w:style>
  <w:style w:type="paragraph" w:customStyle="1" w:styleId="RomanParagraph">
    <w:name w:val="RomanParagraph"/>
    <w:rsid w:val="00B87A39"/>
    <w:pPr>
      <w:numPr>
        <w:numId w:val="9"/>
      </w:numPr>
      <w:spacing w:before="120" w:after="120"/>
      <w:jc w:val="both"/>
    </w:pPr>
    <w:rPr>
      <w:rFonts w:ascii="Times New Roman" w:eastAsia="Times New Roman" w:hAnsi="Times New Roman"/>
      <w:noProof/>
      <w:sz w:val="24"/>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39"/>
    <w:rsid w:val="00B87A39"/>
    <w:pPr>
      <w:tabs>
        <w:tab w:val="left" w:pos="1166"/>
        <w:tab w:val="right" w:leader="dot" w:pos="8630"/>
      </w:tabs>
      <w:ind w:left="1181" w:hanging="547"/>
    </w:pPr>
    <w:rPr>
      <w:noProof/>
    </w:rPr>
  </w:style>
  <w:style w:type="paragraph" w:styleId="TOC3">
    <w:name w:val="toc 3"/>
    <w:basedOn w:val="Normal"/>
    <w:next w:val="Normal"/>
    <w:autoRedefine/>
    <w:uiPriority w:val="39"/>
    <w:rsid w:val="00B87A39"/>
    <w:pPr>
      <w:tabs>
        <w:tab w:val="left" w:pos="1627"/>
        <w:tab w:val="right" w:leader="dot" w:pos="8630"/>
      </w:tabs>
      <w:ind w:left="1713" w:hanging="547"/>
    </w:pPr>
    <w:rPr>
      <w:noProof/>
    </w:rPr>
  </w:style>
  <w:style w:type="character" w:customStyle="1" w:styleId="apple-converted-space">
    <w:name w:val="apple-converted-space"/>
    <w:rsid w:val="00C0090C"/>
  </w:style>
  <w:style w:type="character" w:customStyle="1" w:styleId="il">
    <w:name w:val="il"/>
    <w:rsid w:val="00C0090C"/>
  </w:style>
  <w:style w:type="character" w:customStyle="1" w:styleId="MediumGrid1-Accent2Char">
    <w:name w:val="Medium Grid 1 - Accent 2 Char"/>
    <w:link w:val="MediumGrid1-Accent2"/>
    <w:uiPriority w:val="34"/>
    <w:rsid w:val="00DD232E"/>
    <w:rPr>
      <w:sz w:val="22"/>
      <w:szCs w:val="22"/>
    </w:rPr>
  </w:style>
  <w:style w:type="table" w:styleId="MediumGrid1-Accent2">
    <w:name w:val="Medium Grid 1 Accent 2"/>
    <w:basedOn w:val="TableNormal"/>
    <w:link w:val="MediumGrid1-Accent2Char"/>
    <w:uiPriority w:val="34"/>
    <w:rsid w:val="00DD232E"/>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Revision">
    <w:name w:val="Revision"/>
    <w:hidden/>
    <w:rsid w:val="00044090"/>
    <w:rPr>
      <w:rFonts w:ascii="Times New Roman" w:eastAsia="Times New Roman" w:hAnsi="Times New Roman"/>
      <w:spacing w:val="-3"/>
      <w:sz w:val="24"/>
      <w:lang w:val="es-ES_tradnl"/>
    </w:rPr>
  </w:style>
  <w:style w:type="paragraph" w:styleId="ListParagraph">
    <w:name w:val="List Paragraph"/>
    <w:basedOn w:val="Normal"/>
    <w:uiPriority w:val="34"/>
    <w:qFormat/>
    <w:rsid w:val="00DD2D8A"/>
    <w:pPr>
      <w:ind w:left="720"/>
      <w:contextualSpacing/>
    </w:pPr>
  </w:style>
  <w:style w:type="character" w:customStyle="1" w:styleId="CaptionChar">
    <w:name w:val="Caption Char"/>
    <w:link w:val="Caption"/>
    <w:uiPriority w:val="35"/>
    <w:rsid w:val="00792B59"/>
    <w:rPr>
      <w:rFonts w:ascii="Times New Roman" w:eastAsia="Times New Roman" w:hAnsi="Times New Roman"/>
      <w:spacing w:val="-3"/>
      <w:sz w:val="24"/>
      <w:lang w:val="es-ES_tradnl"/>
    </w:rPr>
  </w:style>
  <w:style w:type="paragraph" w:customStyle="1" w:styleId="Normal1">
    <w:name w:val="Normal1"/>
    <w:link w:val="Normal1Char"/>
    <w:rsid w:val="00792B59"/>
    <w:pPr>
      <w:pBdr>
        <w:top w:val="nil"/>
        <w:left w:val="nil"/>
        <w:bottom w:val="nil"/>
        <w:right w:val="nil"/>
        <w:between w:val="nil"/>
      </w:pBdr>
    </w:pPr>
    <w:rPr>
      <w:rFonts w:ascii="Times New Roman" w:eastAsia="Times New Roman" w:hAnsi="Times New Roman"/>
      <w:color w:val="000000"/>
      <w:sz w:val="24"/>
      <w:szCs w:val="24"/>
      <w:lang w:val="es-ES" w:eastAsia="es-ES"/>
    </w:rPr>
  </w:style>
  <w:style w:type="paragraph" w:styleId="NoSpacing">
    <w:name w:val="No Spacing"/>
    <w:uiPriority w:val="1"/>
    <w:qFormat/>
    <w:rsid w:val="00792B59"/>
    <w:rPr>
      <w:rFonts w:eastAsia="Times New Roman"/>
      <w:sz w:val="24"/>
      <w:szCs w:val="24"/>
      <w:lang w:val="es-ES_tradnl"/>
    </w:rPr>
  </w:style>
  <w:style w:type="paragraph" w:customStyle="1" w:styleId="EndNoteBibliographyTitle">
    <w:name w:val="EndNote Bibliography Title"/>
    <w:basedOn w:val="Normal"/>
    <w:link w:val="EndNoteBibliographyTitleChar"/>
    <w:rsid w:val="00792B59"/>
    <w:pPr>
      <w:spacing w:before="120" w:line="259" w:lineRule="auto"/>
      <w:jc w:val="center"/>
    </w:pPr>
    <w:rPr>
      <w:rFonts w:ascii="Calibri" w:eastAsia="Calibri" w:hAnsi="Calibri" w:cs="Calibri"/>
      <w:noProof/>
      <w:spacing w:val="0"/>
      <w:sz w:val="22"/>
      <w:szCs w:val="22"/>
      <w:lang w:val="en-US"/>
    </w:rPr>
  </w:style>
  <w:style w:type="character" w:customStyle="1" w:styleId="Normal1Char">
    <w:name w:val="Normal1 Char"/>
    <w:link w:val="Normal1"/>
    <w:rsid w:val="00792B59"/>
    <w:rPr>
      <w:rFonts w:ascii="Times New Roman" w:eastAsia="Times New Roman" w:hAnsi="Times New Roman"/>
      <w:color w:val="000000"/>
      <w:sz w:val="24"/>
      <w:szCs w:val="24"/>
      <w:lang w:val="es-ES" w:eastAsia="es-ES"/>
    </w:rPr>
  </w:style>
  <w:style w:type="character" w:customStyle="1" w:styleId="EndNoteBibliographyTitleChar">
    <w:name w:val="EndNote Bibliography Title Char"/>
    <w:link w:val="EndNoteBibliographyTitle"/>
    <w:rsid w:val="00792B59"/>
    <w:rPr>
      <w:rFonts w:cs="Calibri"/>
      <w:noProof/>
      <w:sz w:val="22"/>
      <w:szCs w:val="22"/>
    </w:rPr>
  </w:style>
  <w:style w:type="paragraph" w:customStyle="1" w:styleId="EndNoteBibliography">
    <w:name w:val="EndNote Bibliography"/>
    <w:basedOn w:val="Normal"/>
    <w:link w:val="EndNoteBibliographyChar"/>
    <w:rsid w:val="00792B59"/>
    <w:pPr>
      <w:spacing w:before="120" w:after="120"/>
      <w:jc w:val="both"/>
    </w:pPr>
    <w:rPr>
      <w:rFonts w:ascii="Calibri" w:eastAsia="Calibri" w:hAnsi="Calibri" w:cs="Calibri"/>
      <w:noProof/>
      <w:spacing w:val="0"/>
      <w:sz w:val="22"/>
      <w:szCs w:val="22"/>
      <w:lang w:val="en-US"/>
    </w:rPr>
  </w:style>
  <w:style w:type="character" w:customStyle="1" w:styleId="EndNoteBibliographyChar">
    <w:name w:val="EndNote Bibliography Char"/>
    <w:link w:val="EndNoteBibliography"/>
    <w:rsid w:val="00792B59"/>
    <w:rPr>
      <w:rFonts w:cs="Calibri"/>
      <w:noProof/>
      <w:sz w:val="22"/>
      <w:szCs w:val="22"/>
    </w:rPr>
  </w:style>
  <w:style w:type="paragraph" w:styleId="TOCHeading">
    <w:name w:val="TOC Heading"/>
    <w:basedOn w:val="Heading1"/>
    <w:next w:val="Normal"/>
    <w:uiPriority w:val="39"/>
    <w:unhideWhenUsed/>
    <w:qFormat/>
    <w:rsid w:val="00F311B9"/>
    <w:pPr>
      <w:keepLines/>
      <w:numPr>
        <w:numId w:val="0"/>
      </w:numPr>
      <w:spacing w:after="0" w:line="259" w:lineRule="auto"/>
      <w:jc w:val="left"/>
      <w:outlineLvl w:val="9"/>
    </w:pPr>
    <w:rPr>
      <w:rFonts w:ascii="Calibri Light" w:hAnsi="Calibri Light"/>
      <w:b w:val="0"/>
      <w:smallCaps w:val="0"/>
      <w:noProof w:val="0"/>
      <w:color w:val="2F5496"/>
      <w:sz w:val="32"/>
      <w:szCs w:val="32"/>
    </w:rPr>
  </w:style>
  <w:style w:type="paragraph" w:styleId="NormalWeb">
    <w:name w:val="Normal (Web)"/>
    <w:basedOn w:val="Normal"/>
    <w:uiPriority w:val="99"/>
    <w:unhideWhenUsed/>
    <w:rsid w:val="007E5F12"/>
    <w:pPr>
      <w:spacing w:before="100" w:beforeAutospacing="1" w:after="100" w:afterAutospacing="1"/>
    </w:pPr>
    <w:rPr>
      <w:spacing w:val="0"/>
      <w:szCs w:val="24"/>
      <w:lang w:val="en-US"/>
    </w:rPr>
  </w:style>
  <w:style w:type="character" w:styleId="UnresolvedMention">
    <w:name w:val="Unresolved Mention"/>
    <w:basedOn w:val="DefaultParagraphFont"/>
    <w:uiPriority w:val="99"/>
    <w:semiHidden/>
    <w:unhideWhenUsed/>
    <w:rsid w:val="00F0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361">
      <w:bodyDiv w:val="1"/>
      <w:marLeft w:val="0"/>
      <w:marRight w:val="0"/>
      <w:marTop w:val="0"/>
      <w:marBottom w:val="0"/>
      <w:divBdr>
        <w:top w:val="none" w:sz="0" w:space="0" w:color="auto"/>
        <w:left w:val="none" w:sz="0" w:space="0" w:color="auto"/>
        <w:bottom w:val="none" w:sz="0" w:space="0" w:color="auto"/>
        <w:right w:val="none" w:sz="0" w:space="0" w:color="auto"/>
      </w:divBdr>
    </w:div>
    <w:div w:id="231090593">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3171005">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62000">
      <w:bodyDiv w:val="1"/>
      <w:marLeft w:val="0"/>
      <w:marRight w:val="0"/>
      <w:marTop w:val="0"/>
      <w:marBottom w:val="0"/>
      <w:divBdr>
        <w:top w:val="none" w:sz="0" w:space="0" w:color="auto"/>
        <w:left w:val="none" w:sz="0" w:space="0" w:color="auto"/>
        <w:bottom w:val="none" w:sz="0" w:space="0" w:color="auto"/>
        <w:right w:val="none" w:sz="0" w:space="0" w:color="auto"/>
      </w:divBdr>
    </w:div>
    <w:div w:id="1174030936">
      <w:bodyDiv w:val="1"/>
      <w:marLeft w:val="0"/>
      <w:marRight w:val="0"/>
      <w:marTop w:val="0"/>
      <w:marBottom w:val="0"/>
      <w:divBdr>
        <w:top w:val="none" w:sz="0" w:space="0" w:color="auto"/>
        <w:left w:val="none" w:sz="0" w:space="0" w:color="auto"/>
        <w:bottom w:val="none" w:sz="0" w:space="0" w:color="auto"/>
        <w:right w:val="none" w:sz="0" w:space="0" w:color="auto"/>
      </w:divBdr>
    </w:div>
    <w:div w:id="1218320077">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32462888">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transparenciapresupuestaria.opp.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38089654</IDBDocs_x0020_Number>
    <TaxCatchAll xmlns="cdc7663a-08f0-4737-9e8c-148ce897a09c">
      <Value>125</Value>
      <Value>124</Value>
      <Value>32</Value>
      <Value>1</Value>
    </TaxCatchAll>
    <Phase xmlns="cdc7663a-08f0-4737-9e8c-148ce897a09c" xsi:nil="true"/>
    <SISCOR_x0020_Number xmlns="cdc7663a-08f0-4737-9e8c-148ce897a09c" xsi:nil="true"/>
    <Division_x0020_or_x0020_Unit xmlns="cdc7663a-08f0-4737-9e8c-148ce897a09c">CSD/RND</Division_x0020_or_x0020_Unit>
    <Approval_x0020_Number xmlns="cdc7663a-08f0-4737-9e8c-148ce897a09c" xsi:nil="true"/>
    <Document_x0020_Author xmlns="cdc7663a-08f0-4737-9e8c-148ce897a09c">Valle Porrua, Yolanda</Document_x0020_Author>
    <Fiscal_x0020_Year_x0020_IDB xmlns="cdc7663a-08f0-4737-9e8c-148ce897a09c">2019</Fiscal_x0020_Year_x0020_IDB>
    <Other_x0020_Author xmlns="cdc7663a-08f0-4737-9e8c-148ce897a09c" xsi:nil="true"/>
    <Project_x0020_Number xmlns="cdc7663a-08f0-4737-9e8c-148ce897a09c">UR-L1157</Project_x0020_Number>
    <Package_x0020_Code xmlns="cdc7663a-08f0-4737-9e8c-148ce897a09c" xsi:nil="true"/>
    <Key_x0020_Document xmlns="cdc7663a-08f0-4737-9e8c-148ce897a09c">false</Key_x0020_Document>
    <Migration_x0020_Info xmlns="cdc7663a-08f0-4737-9e8c-148ce897a09c">MS WORDLoan Proposal0NPO-UR-L1083-Plan</Migration_x0020_Info>
    <Operation_x0020_Type xmlns="cdc7663a-08f0-4737-9e8c-148ce897a09c">LON</Operation_x0020_Type>
    <Document_x0020_Language_x0020_IDB xmlns="cdc7663a-08f0-4737-9e8c-148ce897a09c">Spanish</Document_x0020_Language_x0020_IDB>
    <Identifier xmlns="cdc7663a-08f0-4737-9e8c-148ce897a09c" xsi:nil="true"/>
    <Access_x0020_to_x0020_Information_x00a0_Policy xmlns="cdc7663a-08f0-4737-9e8c-148ce897a09c">Public - Simultaneous Disclosure</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TermName>
          <TermId xmlns="http://schemas.microsoft.com/office/infopath/2007/PartnerControls">5d9b6fdd-d595-4446-a0eb-c14b465f6d0e</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PA-AMB</TermName>
          <TermId xmlns="http://schemas.microsoft.com/office/infopath/2007/PartnerControls">122c4743-25d1-443d-9cb4-bfdd32f28b6d</TermId>
        </TermInfo>
      </Term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261e2b33-090b-4ab0-8e06-3aa3e7f32d57</TermId>
        </TermInfo>
      </Terms>
    </nddeef1749674d76abdbe4b239a70bc6>
    <Record_x0020_Number xmlns="cdc7663a-08f0-4737-9e8c-148ce897a09c" xsi:nil="true"/>
    <_dlc_DocId xmlns="cdc7663a-08f0-4737-9e8c-148ce897a09c">EZSHARE-434689127-37</_dlc_DocId>
    <_dlc_DocIdUrl xmlns="cdc7663a-08f0-4737-9e8c-148ce897a09c">
      <Url>https://idbg.sharepoint.com/teams/EZ-UR-LON/UR-L1157/_layouts/15/DocIdRedir.aspx?ID=EZSHARE-434689127-37</Url>
      <Description>EZSHARE-434689127-37</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PA-AMB</Webtopic>
    <Abstract xmlns="cdc7663a-08f0-4737-9e8c-148ce897a09c" xsi:nil="true"/>
    <Publishing_x0020_House xmlns="cdc7663a-08f0-4737-9e8c-148ce897a09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50AE026941A404EA42D1E6262D4D818" ma:contentTypeVersion="1538" ma:contentTypeDescription="A content type to manage public (operations) IDB documents" ma:contentTypeScope="" ma:versionID="80ab88682bec48124c958b19ca40860c">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782E9-EF56-42CD-ABEA-58B5B509D8A3}">
  <ds:schemaRefs>
    <ds:schemaRef ds:uri="http://schemas.microsoft.com/office/2006/metadata/longProperties"/>
  </ds:schemaRefs>
</ds:datastoreItem>
</file>

<file path=customXml/itemProps2.xml><?xml version="1.0" encoding="utf-8"?>
<ds:datastoreItem xmlns:ds="http://schemas.openxmlformats.org/officeDocument/2006/customXml" ds:itemID="{ABAAD3DD-6458-4748-AD73-B929A9F996E6}"/>
</file>

<file path=customXml/itemProps3.xml><?xml version="1.0" encoding="utf-8"?>
<ds:datastoreItem xmlns:ds="http://schemas.openxmlformats.org/officeDocument/2006/customXml" ds:itemID="{AD269B9B-A9E0-460A-8EBD-C1FE926805D9}">
  <ds:schemaRefs>
    <ds:schemaRef ds:uri="http://schemas.microsoft.com/sharepoint/v3/contenttype/forms"/>
  </ds:schemaRefs>
</ds:datastoreItem>
</file>

<file path=customXml/itemProps4.xml><?xml version="1.0" encoding="utf-8"?>
<ds:datastoreItem xmlns:ds="http://schemas.openxmlformats.org/officeDocument/2006/customXml" ds:itemID="{9D5294C4-E4D0-4205-8E55-B7D09361BB3F}">
  <ds:schemaRef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9c571b2f-e523-4ab2-ba2e-09e151a03ef4"/>
    <ds:schemaRef ds:uri="http://purl.org/dc/elements/1.1/"/>
  </ds:schemaRefs>
</ds:datastoreItem>
</file>

<file path=customXml/itemProps5.xml><?xml version="1.0" encoding="utf-8"?>
<ds:datastoreItem xmlns:ds="http://schemas.openxmlformats.org/officeDocument/2006/customXml" ds:itemID="{5D7D1090-78F6-4FBB-BD8A-136995F6BCEB}"/>
</file>

<file path=customXml/itemProps6.xml><?xml version="1.0" encoding="utf-8"?>
<ds:datastoreItem xmlns:ds="http://schemas.openxmlformats.org/officeDocument/2006/customXml" ds:itemID="{BB2F34A4-FF0D-496B-A420-EFBA9FA26B7D}"/>
</file>

<file path=customXml/itemProps7.xml><?xml version="1.0" encoding="utf-8"?>
<ds:datastoreItem xmlns:ds="http://schemas.openxmlformats.org/officeDocument/2006/customXml" ds:itemID="{500B7B23-6DF0-4B73-A3E6-60C1F94363E0}">
  <ds:schemaRefs>
    <ds:schemaRef ds:uri="http://schemas.openxmlformats.org/officeDocument/2006/bibliography"/>
  </ds:schemaRefs>
</ds:datastoreItem>
</file>

<file path=customXml/itemProps8.xml><?xml version="1.0" encoding="utf-8"?>
<ds:datastoreItem xmlns:ds="http://schemas.openxmlformats.org/officeDocument/2006/customXml" ds:itemID="{DBAF703A-9AC0-478E-8A68-90B34344A04D}"/>
</file>

<file path=docProps/app.xml><?xml version="1.0" encoding="utf-8"?>
<Properties xmlns="http://schemas.openxmlformats.org/officeDocument/2006/extended-properties" xmlns:vt="http://schemas.openxmlformats.org/officeDocument/2006/docPropsVTypes">
  <Template>Normal</Template>
  <TotalTime>0</TotalTime>
  <Pages>43</Pages>
  <Words>25596</Words>
  <Characters>145901</Characters>
  <Application>Microsoft Office Word</Application>
  <DocSecurity>0</DocSecurity>
  <Lines>1215</Lines>
  <Paragraphs>342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UR-L1083 - LP - Link Arreglos para Seguimiento y Evaluación</vt:lpstr>
      <vt:lpstr>UR-L1083 - LP - Link Arreglos para Seguimiento y Evaluación</vt:lpstr>
    </vt:vector>
  </TitlesOfParts>
  <Company>Inter-American Development Bank</Company>
  <LinksUpToDate>false</LinksUpToDate>
  <CharactersWithSpaces>171155</CharactersWithSpaces>
  <SharedDoc>false</SharedDoc>
  <HLinks>
    <vt:vector size="138" baseType="variant">
      <vt:variant>
        <vt:i4>2752522</vt:i4>
      </vt:variant>
      <vt:variant>
        <vt:i4>134</vt:i4>
      </vt:variant>
      <vt:variant>
        <vt:i4>0</vt:i4>
      </vt:variant>
      <vt:variant>
        <vt:i4>5</vt:i4>
      </vt:variant>
      <vt:variant>
        <vt:lpwstr/>
      </vt:variant>
      <vt:variant>
        <vt:lpwstr>_Toc9930048</vt:lpwstr>
      </vt:variant>
      <vt:variant>
        <vt:i4>2752522</vt:i4>
      </vt:variant>
      <vt:variant>
        <vt:i4>128</vt:i4>
      </vt:variant>
      <vt:variant>
        <vt:i4>0</vt:i4>
      </vt:variant>
      <vt:variant>
        <vt:i4>5</vt:i4>
      </vt:variant>
      <vt:variant>
        <vt:lpwstr/>
      </vt:variant>
      <vt:variant>
        <vt:lpwstr>_Toc9930047</vt:lpwstr>
      </vt:variant>
      <vt:variant>
        <vt:i4>2752522</vt:i4>
      </vt:variant>
      <vt:variant>
        <vt:i4>122</vt:i4>
      </vt:variant>
      <vt:variant>
        <vt:i4>0</vt:i4>
      </vt:variant>
      <vt:variant>
        <vt:i4>5</vt:i4>
      </vt:variant>
      <vt:variant>
        <vt:lpwstr/>
      </vt:variant>
      <vt:variant>
        <vt:lpwstr>_Toc9930046</vt:lpwstr>
      </vt:variant>
      <vt:variant>
        <vt:i4>2752522</vt:i4>
      </vt:variant>
      <vt:variant>
        <vt:i4>116</vt:i4>
      </vt:variant>
      <vt:variant>
        <vt:i4>0</vt:i4>
      </vt:variant>
      <vt:variant>
        <vt:i4>5</vt:i4>
      </vt:variant>
      <vt:variant>
        <vt:lpwstr/>
      </vt:variant>
      <vt:variant>
        <vt:lpwstr>_Toc9930045</vt:lpwstr>
      </vt:variant>
      <vt:variant>
        <vt:i4>2752522</vt:i4>
      </vt:variant>
      <vt:variant>
        <vt:i4>110</vt:i4>
      </vt:variant>
      <vt:variant>
        <vt:i4>0</vt:i4>
      </vt:variant>
      <vt:variant>
        <vt:i4>5</vt:i4>
      </vt:variant>
      <vt:variant>
        <vt:lpwstr/>
      </vt:variant>
      <vt:variant>
        <vt:lpwstr>_Toc9930044</vt:lpwstr>
      </vt:variant>
      <vt:variant>
        <vt:i4>2752522</vt:i4>
      </vt:variant>
      <vt:variant>
        <vt:i4>104</vt:i4>
      </vt:variant>
      <vt:variant>
        <vt:i4>0</vt:i4>
      </vt:variant>
      <vt:variant>
        <vt:i4>5</vt:i4>
      </vt:variant>
      <vt:variant>
        <vt:lpwstr/>
      </vt:variant>
      <vt:variant>
        <vt:lpwstr>_Toc9930043</vt:lpwstr>
      </vt:variant>
      <vt:variant>
        <vt:i4>2752522</vt:i4>
      </vt:variant>
      <vt:variant>
        <vt:i4>98</vt:i4>
      </vt:variant>
      <vt:variant>
        <vt:i4>0</vt:i4>
      </vt:variant>
      <vt:variant>
        <vt:i4>5</vt:i4>
      </vt:variant>
      <vt:variant>
        <vt:lpwstr/>
      </vt:variant>
      <vt:variant>
        <vt:lpwstr>_Toc9930042</vt:lpwstr>
      </vt:variant>
      <vt:variant>
        <vt:i4>2752522</vt:i4>
      </vt:variant>
      <vt:variant>
        <vt:i4>92</vt:i4>
      </vt:variant>
      <vt:variant>
        <vt:i4>0</vt:i4>
      </vt:variant>
      <vt:variant>
        <vt:i4>5</vt:i4>
      </vt:variant>
      <vt:variant>
        <vt:lpwstr/>
      </vt:variant>
      <vt:variant>
        <vt:lpwstr>_Toc9930041</vt:lpwstr>
      </vt:variant>
      <vt:variant>
        <vt:i4>2752522</vt:i4>
      </vt:variant>
      <vt:variant>
        <vt:i4>86</vt:i4>
      </vt:variant>
      <vt:variant>
        <vt:i4>0</vt:i4>
      </vt:variant>
      <vt:variant>
        <vt:i4>5</vt:i4>
      </vt:variant>
      <vt:variant>
        <vt:lpwstr/>
      </vt:variant>
      <vt:variant>
        <vt:lpwstr>_Toc9930040</vt:lpwstr>
      </vt:variant>
      <vt:variant>
        <vt:i4>2949130</vt:i4>
      </vt:variant>
      <vt:variant>
        <vt:i4>80</vt:i4>
      </vt:variant>
      <vt:variant>
        <vt:i4>0</vt:i4>
      </vt:variant>
      <vt:variant>
        <vt:i4>5</vt:i4>
      </vt:variant>
      <vt:variant>
        <vt:lpwstr/>
      </vt:variant>
      <vt:variant>
        <vt:lpwstr>_Toc9930039</vt:lpwstr>
      </vt:variant>
      <vt:variant>
        <vt:i4>2949130</vt:i4>
      </vt:variant>
      <vt:variant>
        <vt:i4>74</vt:i4>
      </vt:variant>
      <vt:variant>
        <vt:i4>0</vt:i4>
      </vt:variant>
      <vt:variant>
        <vt:i4>5</vt:i4>
      </vt:variant>
      <vt:variant>
        <vt:lpwstr/>
      </vt:variant>
      <vt:variant>
        <vt:lpwstr>_Toc9930038</vt:lpwstr>
      </vt:variant>
      <vt:variant>
        <vt:i4>2949130</vt:i4>
      </vt:variant>
      <vt:variant>
        <vt:i4>68</vt:i4>
      </vt:variant>
      <vt:variant>
        <vt:i4>0</vt:i4>
      </vt:variant>
      <vt:variant>
        <vt:i4>5</vt:i4>
      </vt:variant>
      <vt:variant>
        <vt:lpwstr/>
      </vt:variant>
      <vt:variant>
        <vt:lpwstr>_Toc9930037</vt:lpwstr>
      </vt:variant>
      <vt:variant>
        <vt:i4>2949130</vt:i4>
      </vt:variant>
      <vt:variant>
        <vt:i4>62</vt:i4>
      </vt:variant>
      <vt:variant>
        <vt:i4>0</vt:i4>
      </vt:variant>
      <vt:variant>
        <vt:i4>5</vt:i4>
      </vt:variant>
      <vt:variant>
        <vt:lpwstr/>
      </vt:variant>
      <vt:variant>
        <vt:lpwstr>_Toc9930036</vt:lpwstr>
      </vt:variant>
      <vt:variant>
        <vt:i4>2949130</vt:i4>
      </vt:variant>
      <vt:variant>
        <vt:i4>56</vt:i4>
      </vt:variant>
      <vt:variant>
        <vt:i4>0</vt:i4>
      </vt:variant>
      <vt:variant>
        <vt:i4>5</vt:i4>
      </vt:variant>
      <vt:variant>
        <vt:lpwstr/>
      </vt:variant>
      <vt:variant>
        <vt:lpwstr>_Toc9930035</vt:lpwstr>
      </vt:variant>
      <vt:variant>
        <vt:i4>2949130</vt:i4>
      </vt:variant>
      <vt:variant>
        <vt:i4>50</vt:i4>
      </vt:variant>
      <vt:variant>
        <vt:i4>0</vt:i4>
      </vt:variant>
      <vt:variant>
        <vt:i4>5</vt:i4>
      </vt:variant>
      <vt:variant>
        <vt:lpwstr/>
      </vt:variant>
      <vt:variant>
        <vt:lpwstr>_Toc9930034</vt:lpwstr>
      </vt:variant>
      <vt:variant>
        <vt:i4>2949130</vt:i4>
      </vt:variant>
      <vt:variant>
        <vt:i4>44</vt:i4>
      </vt:variant>
      <vt:variant>
        <vt:i4>0</vt:i4>
      </vt:variant>
      <vt:variant>
        <vt:i4>5</vt:i4>
      </vt:variant>
      <vt:variant>
        <vt:lpwstr/>
      </vt:variant>
      <vt:variant>
        <vt:lpwstr>_Toc9930033</vt:lpwstr>
      </vt:variant>
      <vt:variant>
        <vt:i4>2949130</vt:i4>
      </vt:variant>
      <vt:variant>
        <vt:i4>38</vt:i4>
      </vt:variant>
      <vt:variant>
        <vt:i4>0</vt:i4>
      </vt:variant>
      <vt:variant>
        <vt:i4>5</vt:i4>
      </vt:variant>
      <vt:variant>
        <vt:lpwstr/>
      </vt:variant>
      <vt:variant>
        <vt:lpwstr>_Toc9930032</vt:lpwstr>
      </vt:variant>
      <vt:variant>
        <vt:i4>2949130</vt:i4>
      </vt:variant>
      <vt:variant>
        <vt:i4>32</vt:i4>
      </vt:variant>
      <vt:variant>
        <vt:i4>0</vt:i4>
      </vt:variant>
      <vt:variant>
        <vt:i4>5</vt:i4>
      </vt:variant>
      <vt:variant>
        <vt:lpwstr/>
      </vt:variant>
      <vt:variant>
        <vt:lpwstr>_Toc9930031</vt:lpwstr>
      </vt:variant>
      <vt:variant>
        <vt:i4>2949130</vt:i4>
      </vt:variant>
      <vt:variant>
        <vt:i4>26</vt:i4>
      </vt:variant>
      <vt:variant>
        <vt:i4>0</vt:i4>
      </vt:variant>
      <vt:variant>
        <vt:i4>5</vt:i4>
      </vt:variant>
      <vt:variant>
        <vt:lpwstr/>
      </vt:variant>
      <vt:variant>
        <vt:lpwstr>_Toc9930030</vt:lpwstr>
      </vt:variant>
      <vt:variant>
        <vt:i4>2883594</vt:i4>
      </vt:variant>
      <vt:variant>
        <vt:i4>20</vt:i4>
      </vt:variant>
      <vt:variant>
        <vt:i4>0</vt:i4>
      </vt:variant>
      <vt:variant>
        <vt:i4>5</vt:i4>
      </vt:variant>
      <vt:variant>
        <vt:lpwstr/>
      </vt:variant>
      <vt:variant>
        <vt:lpwstr>_Toc9930029</vt:lpwstr>
      </vt:variant>
      <vt:variant>
        <vt:i4>2883594</vt:i4>
      </vt:variant>
      <vt:variant>
        <vt:i4>14</vt:i4>
      </vt:variant>
      <vt:variant>
        <vt:i4>0</vt:i4>
      </vt:variant>
      <vt:variant>
        <vt:i4>5</vt:i4>
      </vt:variant>
      <vt:variant>
        <vt:lpwstr/>
      </vt:variant>
      <vt:variant>
        <vt:lpwstr>_Toc9930028</vt:lpwstr>
      </vt:variant>
      <vt:variant>
        <vt:i4>2883594</vt:i4>
      </vt:variant>
      <vt:variant>
        <vt:i4>8</vt:i4>
      </vt:variant>
      <vt:variant>
        <vt:i4>0</vt:i4>
      </vt:variant>
      <vt:variant>
        <vt:i4>5</vt:i4>
      </vt:variant>
      <vt:variant>
        <vt:lpwstr/>
      </vt:variant>
      <vt:variant>
        <vt:lpwstr>_Toc9930027</vt:lpwstr>
      </vt:variant>
      <vt:variant>
        <vt:i4>2883594</vt:i4>
      </vt:variant>
      <vt:variant>
        <vt:i4>2</vt:i4>
      </vt:variant>
      <vt:variant>
        <vt:i4>0</vt:i4>
      </vt:variant>
      <vt:variant>
        <vt:i4>5</vt:i4>
      </vt:variant>
      <vt:variant>
        <vt:lpwstr/>
      </vt:variant>
      <vt:variant>
        <vt:lpwstr>_Toc9930026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UR-L1083 - LP - Link Arreglos para Seguimiento y Evaluación</dc:title>
  <dc:subject/>
  <dc:creator>shakirahc</dc:creator>
  <cp:keywords/>
  <cp:lastModifiedBy>Onil Banerjee</cp:lastModifiedBy>
  <cp:revision>5</cp:revision>
  <cp:lastPrinted>2011-02-11T00:46:00Z</cp:lastPrinted>
  <dcterms:created xsi:type="dcterms:W3CDTF">2019-06-24T14:21:00Z</dcterms:created>
  <dcterms:modified xsi:type="dcterms:W3CDTF">2019-06-24T14:27:00Z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TaxHTField">
    <vt:lpwstr/>
  </property>
  <property fmtid="{D5CDD505-2E9C-101B-9397-08002B2CF9AE}" pid="7" name="TaxKeyword">
    <vt:lpwstr/>
  </property>
  <property fmtid="{D5CDD505-2E9C-101B-9397-08002B2CF9AE}" pid="8" name="display_urn:schemas-microsoft-com:office:office#Editor">
    <vt:lpwstr>migration</vt:lpwstr>
  </property>
  <property fmtid="{D5CDD505-2E9C-101B-9397-08002B2CF9AE}" pid="9" name="Webtopic">
    <vt:lpwstr>PA-AMB</vt:lpwstr>
  </property>
  <property fmtid="{D5CDD505-2E9C-101B-9397-08002B2CF9AE}" pid="10" name="display_urn:schemas-microsoft-com:office:office#Author">
    <vt:lpwstr>migration</vt:lpwstr>
  </property>
  <property fmtid="{D5CDD505-2E9C-101B-9397-08002B2CF9AE}" pid="11" name="Disclosure Activity">
    <vt:lpwstr>Loan Proposal</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17th edition (author-date)</vt:lpwstr>
  </property>
  <property fmtid="{D5CDD505-2E9C-101B-9397-08002B2CF9AE}" pid="20" name="Mendeley Recent Style Id 4_1">
    <vt:lpwstr>http://www.zotero.org/styles/harvard-cite-them-right</vt:lpwstr>
  </property>
  <property fmtid="{D5CDD505-2E9C-101B-9397-08002B2CF9AE}" pid="21" name="Mendeley Recent Style Name 4_1">
    <vt:lpwstr>Cite Them Right 10th edition - Harvard</vt:lpwstr>
  </property>
  <property fmtid="{D5CDD505-2E9C-101B-9397-08002B2CF9AE}" pid="22" name="Mendeley Recent Style Id 5_1">
    <vt:lpwstr>http://csl.mendeley.com/styles/22817841/convert-to-endnote-2</vt:lpwstr>
  </property>
  <property fmtid="{D5CDD505-2E9C-101B-9397-08002B2CF9AE}" pid="23" name="Mendeley Recent Style Name 5_1">
    <vt:lpwstr>Convert to EndNote</vt:lpwstr>
  </property>
  <property fmtid="{D5CDD505-2E9C-101B-9397-08002B2CF9AE}" pid="24" name="Mendeley Recent Style Id 6_1">
    <vt:lpwstr>http://www.zotero.org/styles/ecosystem-services</vt:lpwstr>
  </property>
  <property fmtid="{D5CDD505-2E9C-101B-9397-08002B2CF9AE}" pid="25" name="Mendeley Recent Style Name 6_1">
    <vt:lpwstr>Ecosystem Services</vt:lpwstr>
  </property>
  <property fmtid="{D5CDD505-2E9C-101B-9397-08002B2CF9AE}" pid="26" name="Mendeley Recent Style Id 7_1">
    <vt:lpwstr>http://www.zotero.org/styles/harvard1</vt:lpwstr>
  </property>
  <property fmtid="{D5CDD505-2E9C-101B-9397-08002B2CF9AE}" pid="27" name="Mendeley Recent Style Name 7_1">
    <vt:lpwstr>Harvard reference format 1 (deprecated)</vt:lpwstr>
  </property>
  <property fmtid="{D5CDD505-2E9C-101B-9397-08002B2CF9AE}" pid="28" name="Mendeley Recent Style Id 8_1">
    <vt:lpwstr>http://www.zotero.org/styles/modern-humanities-research-association</vt:lpwstr>
  </property>
  <property fmtid="{D5CDD505-2E9C-101B-9397-08002B2CF9AE}" pid="29" name="Mendeley Recent Style Name 8_1">
    <vt:lpwstr>Modern Humanities Research Association 3rd edition (note with bibliography)</vt:lpwstr>
  </property>
  <property fmtid="{D5CDD505-2E9C-101B-9397-08002B2CF9AE}" pid="30" name="Mendeley Recent Style Id 9_1">
    <vt:lpwstr>http://www.zotero.org/styles/pnas</vt:lpwstr>
  </property>
  <property fmtid="{D5CDD505-2E9C-101B-9397-08002B2CF9AE}" pid="31" name="Mendeley Recent Style Name 9_1">
    <vt:lpwstr>Proceedings of the National Academy of Sciences of the United States of America</vt:lpwstr>
  </property>
  <property fmtid="{D5CDD505-2E9C-101B-9397-08002B2CF9AE}" pid="32" name="Mendeley Document_1">
    <vt:lpwstr>True</vt:lpwstr>
  </property>
  <property fmtid="{D5CDD505-2E9C-101B-9397-08002B2CF9AE}" pid="33" name="Mendeley Unique User Id_1">
    <vt:lpwstr>d1dc30f6-b2bd-3f5a-b639-ad9eab37aae0</vt:lpwstr>
  </property>
  <property fmtid="{D5CDD505-2E9C-101B-9397-08002B2CF9AE}" pid="34" name="Mendeley Citation Style_1">
    <vt:lpwstr>http://www.zotero.org/styles/harvard-cite-them-right</vt:lpwstr>
  </property>
  <property fmtid="{D5CDD505-2E9C-101B-9397-08002B2CF9AE}" pid="36" name="Series Operations IDB">
    <vt:lpwstr/>
  </property>
  <property fmtid="{D5CDD505-2E9C-101B-9397-08002B2CF9AE}" pid="37" name="Sub-Sector">
    <vt:lpwstr>125;#PA-AMB|122c4743-25d1-443d-9cb4-bfdd32f28b6d</vt:lpwstr>
  </property>
  <property fmtid="{D5CDD505-2E9C-101B-9397-08002B2CF9AE}" pid="38" name="Fund IDB">
    <vt:lpwstr/>
  </property>
  <property fmtid="{D5CDD505-2E9C-101B-9397-08002B2CF9AE}" pid="39" name="Country">
    <vt:lpwstr>32;#UR|5d9b6fdd-d595-4446-a0eb-c14b465f6d0e</vt:lpwstr>
  </property>
  <property fmtid="{D5CDD505-2E9C-101B-9397-08002B2CF9AE}" pid="40" name="Sector IDB">
    <vt:lpwstr>124;#PA|261e2b33-090b-4ab0-8e06-3aa3e7f32d57</vt:lpwstr>
  </property>
  <property fmtid="{D5CDD505-2E9C-101B-9397-08002B2CF9AE}" pid="41" name="Function Operations IDB">
    <vt:lpwstr>1;#Project Preparation, Planning and Design|29ca0c72-1fc4-435f-a09c-28585cb5eac9</vt:lpwstr>
  </property>
  <property fmtid="{D5CDD505-2E9C-101B-9397-08002B2CF9AE}" pid="42" name="_dlc_DocIdItemGuid">
    <vt:lpwstr>b7241a98-d77d-4111-8398-62424a8d5c30</vt:lpwstr>
  </property>
  <property fmtid="{D5CDD505-2E9C-101B-9397-08002B2CF9AE}" pid="43" name="ContentTypeId">
    <vt:lpwstr>0x0101001A458A224826124E8B45B1D613300CFC00450AE026941A404EA42D1E6262D4D818</vt:lpwstr>
  </property>
</Properties>
</file>