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D8498" w14:textId="3239D887" w:rsidR="00D57CCE" w:rsidRPr="005D6E23" w:rsidRDefault="006404CB" w:rsidP="00F82BE2">
      <w:pPr>
        <w:adjustRightInd w:val="0"/>
        <w:snapToGrid w:val="0"/>
        <w:spacing w:after="120"/>
        <w:jc w:val="center"/>
        <w:rPr>
          <w:rFonts w:ascii="Arial" w:hAnsi="Arial" w:cs="Arial"/>
          <w:b/>
          <w:bCs/>
          <w:sz w:val="22"/>
          <w:szCs w:val="22"/>
          <w:lang w:val="es-CO"/>
        </w:rPr>
      </w:pPr>
      <w:r w:rsidRPr="005D6E23">
        <w:rPr>
          <w:rFonts w:ascii="Arial" w:hAnsi="Arial" w:cs="Arial"/>
          <w:b/>
          <w:bCs/>
          <w:sz w:val="22"/>
          <w:szCs w:val="22"/>
          <w:lang w:val="es-CO"/>
        </w:rPr>
        <w:t>EEO#</w:t>
      </w:r>
      <w:r w:rsidR="00DE5EBF">
        <w:rPr>
          <w:rFonts w:ascii="Arial" w:hAnsi="Arial" w:cs="Arial"/>
          <w:b/>
          <w:bCs/>
          <w:sz w:val="22"/>
          <w:szCs w:val="22"/>
          <w:lang w:val="es-CO"/>
        </w:rPr>
        <w:t xml:space="preserve">8 </w:t>
      </w:r>
      <w:r w:rsidR="00EE56FA" w:rsidRPr="005D6E23">
        <w:rPr>
          <w:rFonts w:ascii="Arial" w:hAnsi="Arial" w:cs="Arial"/>
          <w:b/>
          <w:bCs/>
          <w:sz w:val="22"/>
          <w:szCs w:val="22"/>
          <w:lang w:val="es-CO"/>
        </w:rPr>
        <w:t>Anexo</w:t>
      </w:r>
      <w:r w:rsidR="00D57CCE" w:rsidRPr="005D6E23">
        <w:rPr>
          <w:rFonts w:ascii="Arial" w:hAnsi="Arial" w:cs="Arial"/>
          <w:b/>
          <w:bCs/>
          <w:sz w:val="22"/>
          <w:szCs w:val="22"/>
          <w:lang w:val="es-CO"/>
        </w:rPr>
        <w:t xml:space="preserve"> de Género</w:t>
      </w:r>
      <w:r w:rsidR="00EE56FA" w:rsidRPr="005D6E23">
        <w:rPr>
          <w:rFonts w:ascii="Arial" w:hAnsi="Arial" w:cs="Arial"/>
          <w:b/>
          <w:bCs/>
          <w:sz w:val="22"/>
          <w:szCs w:val="22"/>
          <w:lang w:val="es-CO"/>
        </w:rPr>
        <w:t xml:space="preserve"> y Diversidad</w:t>
      </w:r>
      <w:r w:rsidR="00DE5EBF">
        <w:rPr>
          <w:rFonts w:ascii="Arial" w:hAnsi="Arial" w:cs="Arial"/>
          <w:b/>
          <w:bCs/>
          <w:sz w:val="22"/>
          <w:szCs w:val="22"/>
          <w:lang w:val="es-CO"/>
        </w:rPr>
        <w:t xml:space="preserve"> CR-L1144</w:t>
      </w:r>
    </w:p>
    <w:p w14:paraId="2AF0EFC6" w14:textId="6D6A2244" w:rsidR="0051240F" w:rsidRPr="005D6E23" w:rsidRDefault="0051240F" w:rsidP="00F82BE2">
      <w:pPr>
        <w:adjustRightInd w:val="0"/>
        <w:snapToGrid w:val="0"/>
        <w:spacing w:after="120"/>
        <w:jc w:val="center"/>
        <w:rPr>
          <w:rFonts w:ascii="Arial" w:eastAsia="Times New Roman" w:hAnsi="Arial" w:cs="Arial"/>
          <w:b/>
          <w:bCs/>
          <w:color w:val="212529"/>
          <w:sz w:val="22"/>
          <w:szCs w:val="22"/>
          <w:shd w:val="clear" w:color="auto" w:fill="FFFFFF"/>
          <w:lang w:val="es-CO" w:eastAsia="es-ES_tradnl"/>
        </w:rPr>
      </w:pPr>
    </w:p>
    <w:p w14:paraId="385DD435" w14:textId="0DE2B30B" w:rsidR="00AD4C27" w:rsidRPr="005D6E23" w:rsidRDefault="00AE306A" w:rsidP="000C770B">
      <w:pPr>
        <w:pStyle w:val="ListParagraph"/>
        <w:numPr>
          <w:ilvl w:val="0"/>
          <w:numId w:val="2"/>
        </w:numPr>
        <w:adjustRightInd w:val="0"/>
        <w:snapToGrid w:val="0"/>
        <w:spacing w:after="120"/>
        <w:jc w:val="both"/>
        <w:rPr>
          <w:rFonts w:ascii="Arial" w:eastAsia="Times New Roman" w:hAnsi="Arial" w:cs="Arial"/>
          <w:b/>
          <w:bCs/>
          <w:color w:val="212529"/>
          <w:sz w:val="22"/>
          <w:szCs w:val="22"/>
          <w:u w:val="single"/>
          <w:shd w:val="clear" w:color="auto" w:fill="FFFFFF"/>
          <w:lang w:val="es-CO" w:eastAsia="es-ES_tradnl"/>
        </w:rPr>
      </w:pPr>
      <w:r w:rsidRPr="006404CB">
        <w:rPr>
          <w:rFonts w:ascii="Arial" w:hAnsi="Arial" w:cs="Arial"/>
          <w:b/>
          <w:bCs/>
          <w:sz w:val="22"/>
          <w:szCs w:val="22"/>
        </w:rPr>
        <w:t>INTRODUCCIÓN</w:t>
      </w:r>
    </w:p>
    <w:p w14:paraId="381B471B" w14:textId="7B0FFD67" w:rsidR="00EE56FA" w:rsidRPr="005D6E23" w:rsidRDefault="00EE56FA"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Costa Rica reportó su primer caso confirmado de COVID-19 el 6 de marzo de este año</w:t>
      </w:r>
      <w:r w:rsidR="00DE61A9" w:rsidRPr="005D6E23">
        <w:rPr>
          <w:rFonts w:ascii="Arial" w:eastAsia="Times New Roman" w:hAnsi="Arial" w:cs="Arial"/>
          <w:color w:val="212529"/>
          <w:sz w:val="22"/>
          <w:szCs w:val="22"/>
          <w:shd w:val="clear" w:color="auto" w:fill="FFFFFF"/>
          <w:lang w:val="es-US" w:eastAsia="es-ES_tradnl"/>
        </w:rPr>
        <w:t xml:space="preserve"> y desde entonces, </w:t>
      </w:r>
      <w:r w:rsidR="0079564B" w:rsidRPr="005D6E23">
        <w:rPr>
          <w:rFonts w:ascii="Arial" w:eastAsia="Times New Roman" w:hAnsi="Arial" w:cs="Arial"/>
          <w:color w:val="212529"/>
          <w:sz w:val="22"/>
          <w:szCs w:val="22"/>
          <w:shd w:val="clear" w:color="auto" w:fill="FFFFFF"/>
          <w:lang w:val="es-US" w:eastAsia="es-ES_tradnl"/>
        </w:rPr>
        <w:t>las autoridades del país</w:t>
      </w:r>
      <w:r w:rsidRPr="005D6E23">
        <w:rPr>
          <w:rFonts w:ascii="Arial" w:eastAsia="Times New Roman" w:hAnsi="Arial" w:cs="Arial"/>
          <w:color w:val="212529"/>
          <w:sz w:val="22"/>
          <w:szCs w:val="22"/>
          <w:shd w:val="clear" w:color="auto" w:fill="FFFFFF"/>
          <w:lang w:val="es-US" w:eastAsia="es-ES_tradnl"/>
        </w:rPr>
        <w:t xml:space="preserve"> ha</w:t>
      </w:r>
      <w:r w:rsidR="0079564B" w:rsidRPr="005D6E23">
        <w:rPr>
          <w:rFonts w:ascii="Arial" w:eastAsia="Times New Roman" w:hAnsi="Arial" w:cs="Arial"/>
          <w:color w:val="212529"/>
          <w:sz w:val="22"/>
          <w:szCs w:val="22"/>
          <w:shd w:val="clear" w:color="auto" w:fill="FFFFFF"/>
          <w:lang w:val="es-US" w:eastAsia="es-ES_tradnl"/>
        </w:rPr>
        <w:t>n</w:t>
      </w:r>
      <w:r w:rsidRPr="005D6E23">
        <w:rPr>
          <w:rFonts w:ascii="Arial" w:eastAsia="Times New Roman" w:hAnsi="Arial" w:cs="Arial"/>
          <w:color w:val="212529"/>
          <w:sz w:val="22"/>
          <w:szCs w:val="22"/>
          <w:shd w:val="clear" w:color="auto" w:fill="FFFFFF"/>
          <w:lang w:val="es-US" w:eastAsia="es-ES_tradnl"/>
        </w:rPr>
        <w:t xml:space="preserve"> </w:t>
      </w:r>
      <w:r w:rsidR="00702C72" w:rsidRPr="005D6E23">
        <w:rPr>
          <w:rFonts w:ascii="Arial" w:eastAsia="Times New Roman" w:hAnsi="Arial" w:cs="Arial"/>
          <w:color w:val="212529"/>
          <w:sz w:val="22"/>
          <w:szCs w:val="22"/>
          <w:shd w:val="clear" w:color="auto" w:fill="FFFFFF"/>
          <w:lang w:val="es-US" w:eastAsia="es-ES_tradnl"/>
        </w:rPr>
        <w:t>implementado</w:t>
      </w:r>
      <w:r w:rsidRPr="005D6E23">
        <w:rPr>
          <w:rFonts w:ascii="Arial" w:eastAsia="Times New Roman" w:hAnsi="Arial" w:cs="Arial"/>
          <w:color w:val="212529"/>
          <w:sz w:val="22"/>
          <w:szCs w:val="22"/>
          <w:shd w:val="clear" w:color="auto" w:fill="FFFFFF"/>
          <w:lang w:val="es-US" w:eastAsia="es-ES_tradnl"/>
        </w:rPr>
        <w:t xml:space="preserve"> una serie de medidas para contener la propagación del coronavirus</w:t>
      </w:r>
      <w:r w:rsidR="0079564B" w:rsidRPr="005D6E23">
        <w:rPr>
          <w:rFonts w:ascii="Arial" w:eastAsia="Times New Roman" w:hAnsi="Arial" w:cs="Arial"/>
          <w:color w:val="212529"/>
          <w:sz w:val="22"/>
          <w:szCs w:val="22"/>
          <w:shd w:val="clear" w:color="auto" w:fill="FFFFFF"/>
          <w:lang w:val="es-US" w:eastAsia="es-ES_tradnl"/>
        </w:rPr>
        <w:t>, entre ellas</w:t>
      </w:r>
      <w:r w:rsidRPr="005D6E23">
        <w:rPr>
          <w:rFonts w:ascii="Arial" w:eastAsia="Times New Roman" w:hAnsi="Arial" w:cs="Arial"/>
          <w:color w:val="212529"/>
          <w:sz w:val="22"/>
          <w:szCs w:val="22"/>
          <w:shd w:val="clear" w:color="auto" w:fill="FFFFFF"/>
          <w:lang w:val="es-US" w:eastAsia="es-ES_tradnl"/>
        </w:rPr>
        <w:t xml:space="preserve"> la declaración del estado emergencia nacional, restricciones a los viajes internacionales, cuarentenas obligatorias, cierres de escuelas, parques nacionales, restaurantes, entre otr</w:t>
      </w:r>
      <w:r w:rsidR="0079564B" w:rsidRPr="005D6E23">
        <w:rPr>
          <w:rFonts w:ascii="Arial" w:eastAsia="Times New Roman" w:hAnsi="Arial" w:cs="Arial"/>
          <w:color w:val="212529"/>
          <w:sz w:val="22"/>
          <w:szCs w:val="22"/>
          <w:shd w:val="clear" w:color="auto" w:fill="FFFFFF"/>
          <w:lang w:val="es-US" w:eastAsia="es-ES_tradnl"/>
        </w:rPr>
        <w:t>a</w:t>
      </w:r>
      <w:r w:rsidRPr="005D6E23">
        <w:rPr>
          <w:rFonts w:ascii="Arial" w:eastAsia="Times New Roman" w:hAnsi="Arial" w:cs="Arial"/>
          <w:color w:val="212529"/>
          <w:sz w:val="22"/>
          <w:szCs w:val="22"/>
          <w:shd w:val="clear" w:color="auto" w:fill="FFFFFF"/>
          <w:lang w:val="es-US" w:eastAsia="es-ES_tradnl"/>
        </w:rPr>
        <w:t>s</w:t>
      </w:r>
      <w:r w:rsidR="0079564B" w:rsidRPr="005D6E23">
        <w:rPr>
          <w:rFonts w:ascii="Arial" w:eastAsia="Times New Roman" w:hAnsi="Arial" w:cs="Arial"/>
          <w:color w:val="212529"/>
          <w:sz w:val="22"/>
          <w:szCs w:val="22"/>
          <w:shd w:val="clear" w:color="auto" w:fill="FFFFFF"/>
          <w:lang w:val="es-US" w:eastAsia="es-ES_tradnl"/>
        </w:rPr>
        <w:t>.</w:t>
      </w:r>
    </w:p>
    <w:p w14:paraId="6BF59D92" w14:textId="77777777" w:rsidR="007E3A49" w:rsidRPr="005D6E23" w:rsidRDefault="00EE56FA"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 xml:space="preserve">Si bien estas medidas son indispensables para la contención del COVID-19, también es </w:t>
      </w:r>
      <w:r w:rsidR="0079564B" w:rsidRPr="005D6E23">
        <w:rPr>
          <w:rFonts w:ascii="Arial" w:eastAsia="Times New Roman" w:hAnsi="Arial" w:cs="Arial"/>
          <w:color w:val="212529"/>
          <w:sz w:val="22"/>
          <w:szCs w:val="22"/>
          <w:shd w:val="clear" w:color="auto" w:fill="FFFFFF"/>
          <w:lang w:val="es-US" w:eastAsia="es-ES_tradnl"/>
        </w:rPr>
        <w:t>previsible</w:t>
      </w:r>
      <w:r w:rsidRPr="005D6E23">
        <w:rPr>
          <w:rFonts w:ascii="Arial" w:eastAsia="Times New Roman" w:hAnsi="Arial" w:cs="Arial"/>
          <w:color w:val="212529"/>
          <w:sz w:val="22"/>
          <w:szCs w:val="22"/>
          <w:shd w:val="clear" w:color="auto" w:fill="FFFFFF"/>
          <w:lang w:val="es-US" w:eastAsia="es-ES_tradnl"/>
        </w:rPr>
        <w:t xml:space="preserve"> que tendrán consecuencias en el tejido económico </w:t>
      </w:r>
      <w:r w:rsidR="00C350B1" w:rsidRPr="005D6E23">
        <w:rPr>
          <w:rFonts w:ascii="Arial" w:eastAsia="Times New Roman" w:hAnsi="Arial" w:cs="Arial"/>
          <w:color w:val="212529"/>
          <w:sz w:val="22"/>
          <w:szCs w:val="22"/>
          <w:shd w:val="clear" w:color="auto" w:fill="FFFFFF"/>
          <w:lang w:val="es-US" w:eastAsia="es-ES_tradnl"/>
        </w:rPr>
        <w:t xml:space="preserve">y productivo </w:t>
      </w:r>
      <w:r w:rsidRPr="005D6E23">
        <w:rPr>
          <w:rFonts w:ascii="Arial" w:eastAsia="Times New Roman" w:hAnsi="Arial" w:cs="Arial"/>
          <w:color w:val="212529"/>
          <w:sz w:val="22"/>
          <w:szCs w:val="22"/>
          <w:shd w:val="clear" w:color="auto" w:fill="FFFFFF"/>
          <w:lang w:val="es-US" w:eastAsia="es-ES_tradnl"/>
        </w:rPr>
        <w:t>del país</w:t>
      </w:r>
      <w:r w:rsidR="0079564B" w:rsidRPr="005D6E23">
        <w:rPr>
          <w:rFonts w:ascii="Arial" w:eastAsia="Times New Roman" w:hAnsi="Arial" w:cs="Arial"/>
          <w:color w:val="212529"/>
          <w:sz w:val="22"/>
          <w:szCs w:val="22"/>
          <w:shd w:val="clear" w:color="auto" w:fill="FFFFFF"/>
          <w:lang w:val="es-US" w:eastAsia="es-ES_tradnl"/>
        </w:rPr>
        <w:t>,</w:t>
      </w:r>
      <w:r w:rsidR="0079564B" w:rsidRPr="005D6E23">
        <w:rPr>
          <w:rFonts w:ascii="Arial" w:hAnsi="Arial" w:cs="Arial"/>
          <w:sz w:val="22"/>
          <w:szCs w:val="22"/>
        </w:rPr>
        <w:t xml:space="preserve"> incluso hasta después de que la emergencia sanitaria haya pasado</w:t>
      </w:r>
      <w:r w:rsidR="00C350B1" w:rsidRPr="005D6E23">
        <w:rPr>
          <w:rFonts w:ascii="Arial" w:eastAsia="Times New Roman" w:hAnsi="Arial" w:cs="Arial"/>
          <w:color w:val="212529"/>
          <w:sz w:val="22"/>
          <w:szCs w:val="22"/>
          <w:shd w:val="clear" w:color="auto" w:fill="FFFFFF"/>
          <w:lang w:val="es-US" w:eastAsia="es-ES_tradnl"/>
        </w:rPr>
        <w:t>.</w:t>
      </w:r>
      <w:r w:rsidR="007E3A49" w:rsidRPr="005D6E23">
        <w:rPr>
          <w:rFonts w:ascii="Arial" w:eastAsia="Times New Roman" w:hAnsi="Arial" w:cs="Arial"/>
          <w:color w:val="212529"/>
          <w:sz w:val="22"/>
          <w:szCs w:val="22"/>
          <w:shd w:val="clear" w:color="auto" w:fill="FFFFFF"/>
          <w:lang w:val="es-US" w:eastAsia="es-ES_tradnl"/>
        </w:rPr>
        <w:t xml:space="preserve"> </w:t>
      </w:r>
      <w:r w:rsidR="00346554" w:rsidRPr="005D6E23">
        <w:rPr>
          <w:rFonts w:ascii="Arial" w:eastAsia="Times New Roman" w:hAnsi="Arial" w:cs="Arial"/>
          <w:color w:val="212529"/>
          <w:sz w:val="22"/>
          <w:szCs w:val="22"/>
          <w:shd w:val="clear" w:color="auto" w:fill="FFFFFF"/>
          <w:lang w:val="es-US" w:eastAsia="es-ES_tradnl"/>
        </w:rPr>
        <w:t>Esto</w:t>
      </w:r>
      <w:r w:rsidRPr="005D6E23">
        <w:rPr>
          <w:rFonts w:ascii="Arial" w:eastAsia="Times New Roman" w:hAnsi="Arial" w:cs="Arial"/>
          <w:color w:val="212529"/>
          <w:sz w:val="22"/>
          <w:szCs w:val="22"/>
          <w:shd w:val="clear" w:color="auto" w:fill="FFFFFF"/>
          <w:lang w:val="es-US" w:eastAsia="es-ES_tradnl"/>
        </w:rPr>
        <w:t xml:space="preserve"> afectará negativamente los ingresos de la mayoría de las personas, y afectará particularmente a los grupos vulnerables, que dependen de sus actividades laborales, en gran parte informales, para sustentar su consumo.</w:t>
      </w:r>
      <w:r w:rsidR="007E3A49" w:rsidRPr="005D6E23">
        <w:rPr>
          <w:rFonts w:ascii="Arial" w:eastAsia="Times New Roman" w:hAnsi="Arial" w:cs="Arial"/>
          <w:color w:val="212529"/>
          <w:sz w:val="22"/>
          <w:szCs w:val="22"/>
          <w:shd w:val="clear" w:color="auto" w:fill="FFFFFF"/>
          <w:lang w:val="es-US" w:eastAsia="es-ES_tradnl"/>
        </w:rPr>
        <w:t xml:space="preserve"> Sin embargo, e</w:t>
      </w:r>
      <w:r w:rsidRPr="005D6E23">
        <w:rPr>
          <w:rFonts w:ascii="Arial" w:eastAsia="Times New Roman" w:hAnsi="Arial" w:cs="Arial"/>
          <w:color w:val="212529"/>
          <w:sz w:val="22"/>
          <w:szCs w:val="22"/>
          <w:shd w:val="clear" w:color="auto" w:fill="FFFFFF"/>
          <w:lang w:val="es-US" w:eastAsia="es-ES_tradnl"/>
        </w:rPr>
        <w:t xml:space="preserve">sta situación también pone en riesgo a trabajadores del sector formal, cuyas empresas enfrentarán grandes dificultades para mantener los niveles de empleo y salarios previos a la crisis. </w:t>
      </w:r>
    </w:p>
    <w:p w14:paraId="2F77233D" w14:textId="4CB23705" w:rsidR="00694FF6" w:rsidRPr="005D6E23" w:rsidRDefault="00EE56FA"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Se estima que un 42,3% de los trabajadores costarricenses se encuentran en sectores en riesgo de pérdida de empleos (OIT</w:t>
      </w:r>
      <w:r w:rsidR="00035920" w:rsidRPr="005D6E23">
        <w:rPr>
          <w:rFonts w:ascii="Arial" w:eastAsia="Times New Roman" w:hAnsi="Arial" w:cs="Arial"/>
          <w:color w:val="212529"/>
          <w:sz w:val="22"/>
          <w:szCs w:val="22"/>
          <w:shd w:val="clear" w:color="auto" w:fill="FFFFFF"/>
          <w:lang w:val="es-US" w:eastAsia="es-ES_tradnl"/>
        </w:rPr>
        <w:t>, 2020</w:t>
      </w:r>
      <w:r w:rsidRPr="005D6E23">
        <w:rPr>
          <w:rFonts w:ascii="Arial" w:eastAsia="Times New Roman" w:hAnsi="Arial" w:cs="Arial"/>
          <w:color w:val="212529"/>
          <w:sz w:val="22"/>
          <w:szCs w:val="22"/>
          <w:shd w:val="clear" w:color="auto" w:fill="FFFFFF"/>
          <w:lang w:val="es-US" w:eastAsia="es-ES_tradnl"/>
        </w:rPr>
        <w:t xml:space="preserve">), entre 0.11 y 0.33 millones de trabajadores formales perderían su empleo, y el empleo informal podría afectar a 1 millón de empleados vulnerables (Azuara et al., 2020). </w:t>
      </w:r>
    </w:p>
    <w:p w14:paraId="617A617A" w14:textId="03255DAF" w:rsidR="0079564B" w:rsidRPr="005D6E23" w:rsidRDefault="00EE56FA"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 xml:space="preserve">La crisis </w:t>
      </w:r>
      <w:r w:rsidR="00C85D72" w:rsidRPr="005D6E23">
        <w:rPr>
          <w:rFonts w:ascii="Arial" w:eastAsia="Times New Roman" w:hAnsi="Arial" w:cs="Arial"/>
          <w:color w:val="212529"/>
          <w:sz w:val="22"/>
          <w:szCs w:val="22"/>
          <w:shd w:val="clear" w:color="auto" w:fill="FFFFFF"/>
          <w:lang w:val="es-US" w:eastAsia="es-ES_tradnl"/>
        </w:rPr>
        <w:t xml:space="preserve">además </w:t>
      </w:r>
      <w:r w:rsidRPr="005D6E23">
        <w:rPr>
          <w:rFonts w:ascii="Arial" w:eastAsia="Times New Roman" w:hAnsi="Arial" w:cs="Arial"/>
          <w:color w:val="212529"/>
          <w:sz w:val="22"/>
          <w:szCs w:val="22"/>
          <w:shd w:val="clear" w:color="auto" w:fill="FFFFFF"/>
          <w:lang w:val="es-US" w:eastAsia="es-ES_tradnl"/>
        </w:rPr>
        <w:t>ocurre en un momento de deterioro de los principales indicadores del mercado laboral</w:t>
      </w:r>
      <w:r w:rsidR="00C85D72" w:rsidRPr="005D6E23">
        <w:rPr>
          <w:rFonts w:ascii="Arial" w:eastAsia="Times New Roman" w:hAnsi="Arial" w:cs="Arial"/>
          <w:color w:val="212529"/>
          <w:sz w:val="22"/>
          <w:szCs w:val="22"/>
          <w:shd w:val="clear" w:color="auto" w:fill="FFFFFF"/>
          <w:lang w:val="es-US" w:eastAsia="es-ES_tradnl"/>
        </w:rPr>
        <w:t xml:space="preserve"> en el país</w:t>
      </w:r>
      <w:r w:rsidRPr="005D6E23">
        <w:rPr>
          <w:rFonts w:ascii="Arial" w:eastAsia="Times New Roman" w:hAnsi="Arial" w:cs="Arial"/>
          <w:color w:val="212529"/>
          <w:sz w:val="22"/>
          <w:szCs w:val="22"/>
          <w:shd w:val="clear" w:color="auto" w:fill="FFFFFF"/>
          <w:lang w:val="es-US" w:eastAsia="es-ES_tradnl"/>
        </w:rPr>
        <w:t xml:space="preserve">. Estos últimos años el crecimiento del empleo formal se ha estancado y la tasa de desempleo se ha duplicado </w:t>
      </w:r>
      <w:r w:rsidR="00035920" w:rsidRPr="005D6E23">
        <w:rPr>
          <w:rFonts w:ascii="Arial" w:eastAsia="Times New Roman" w:hAnsi="Arial" w:cs="Arial"/>
          <w:color w:val="212529"/>
          <w:sz w:val="22"/>
          <w:szCs w:val="22"/>
          <w:shd w:val="clear" w:color="auto" w:fill="FFFFFF"/>
          <w:lang w:val="es-US" w:eastAsia="es-ES_tradnl"/>
        </w:rPr>
        <w:t xml:space="preserve">y la situación de las personas vulnerables es aún peor como veremos a continuación. Esto, </w:t>
      </w:r>
      <w:r w:rsidR="0079564B" w:rsidRPr="005D6E23">
        <w:rPr>
          <w:rFonts w:ascii="Arial" w:eastAsia="Times New Roman" w:hAnsi="Arial" w:cs="Arial"/>
          <w:color w:val="212529"/>
          <w:sz w:val="22"/>
          <w:szCs w:val="22"/>
          <w:shd w:val="clear" w:color="auto" w:fill="FFFFFF"/>
          <w:lang w:val="es-US" w:eastAsia="es-ES_tradnl"/>
        </w:rPr>
        <w:t>previsiblemente profundizará las desigualdades existentes</w:t>
      </w:r>
      <w:r w:rsidR="00F82BE2" w:rsidRPr="005D6E23">
        <w:rPr>
          <w:rFonts w:ascii="Arial" w:eastAsia="Times New Roman" w:hAnsi="Arial" w:cs="Arial"/>
          <w:color w:val="212529"/>
          <w:sz w:val="22"/>
          <w:szCs w:val="22"/>
          <w:shd w:val="clear" w:color="auto" w:fill="FFFFFF"/>
          <w:lang w:val="es-US" w:eastAsia="es-ES_tradnl"/>
        </w:rPr>
        <w:t>.</w:t>
      </w:r>
    </w:p>
    <w:p w14:paraId="0A2D0ADE" w14:textId="77777777" w:rsidR="00C350B1" w:rsidRPr="005D6E23" w:rsidRDefault="00C350B1"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p>
    <w:p w14:paraId="51AA7863" w14:textId="06302390" w:rsidR="00694FF6" w:rsidRPr="005D6E23" w:rsidRDefault="00AE306A" w:rsidP="000C770B">
      <w:pPr>
        <w:pStyle w:val="ListParagraph"/>
        <w:numPr>
          <w:ilvl w:val="0"/>
          <w:numId w:val="2"/>
        </w:numPr>
        <w:adjustRightInd w:val="0"/>
        <w:snapToGrid w:val="0"/>
        <w:spacing w:after="120"/>
        <w:jc w:val="both"/>
        <w:rPr>
          <w:rFonts w:ascii="Arial" w:hAnsi="Arial" w:cs="Arial"/>
          <w:b/>
          <w:bCs/>
          <w:sz w:val="22"/>
          <w:szCs w:val="22"/>
        </w:rPr>
      </w:pPr>
      <w:r w:rsidRPr="006404CB">
        <w:rPr>
          <w:rFonts w:ascii="Arial" w:hAnsi="Arial" w:cs="Arial"/>
          <w:b/>
          <w:bCs/>
          <w:sz w:val="22"/>
          <w:szCs w:val="22"/>
        </w:rPr>
        <w:t>ANTECEDENTES Y PROBLEMÁTICAS DE GÉNERO</w:t>
      </w:r>
    </w:p>
    <w:p w14:paraId="6B223580" w14:textId="07ED542D"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En Costa Rica la igualdad es un derecho constitucional: “Toda persona es igual ante la ley y no podrá practicarse discriminación alguna contraria a la dignidad humana” (Constitución Política, art. 33).</w:t>
      </w:r>
    </w:p>
    <w:p w14:paraId="1A6B534F" w14:textId="1057BFEC" w:rsidR="00DE61A9" w:rsidRPr="005D6E23" w:rsidRDefault="006404CB"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b/>
          <w:bCs/>
          <w:color w:val="212529"/>
          <w:sz w:val="22"/>
          <w:szCs w:val="22"/>
          <w:shd w:val="clear" w:color="auto" w:fill="FFFFFF"/>
          <w:lang w:val="es-US" w:eastAsia="es-ES_tradnl"/>
        </w:rPr>
        <w:t>II.1</w:t>
      </w:r>
      <w:r w:rsidR="00AE306A">
        <w:rPr>
          <w:rFonts w:ascii="Arial" w:eastAsia="Times New Roman" w:hAnsi="Arial" w:cs="Arial"/>
          <w:b/>
          <w:bCs/>
          <w:color w:val="212529"/>
          <w:sz w:val="22"/>
          <w:szCs w:val="22"/>
          <w:shd w:val="clear" w:color="auto" w:fill="FFFFFF"/>
          <w:lang w:val="es-US" w:eastAsia="es-ES_tradnl"/>
        </w:rPr>
        <w:tab/>
      </w:r>
      <w:r w:rsidR="00AE306A" w:rsidRPr="00AE306A">
        <w:rPr>
          <w:rFonts w:ascii="Arial" w:eastAsia="Times New Roman" w:hAnsi="Arial" w:cs="Arial"/>
          <w:b/>
          <w:bCs/>
          <w:color w:val="212529"/>
          <w:sz w:val="22"/>
          <w:szCs w:val="22"/>
          <w:shd w:val="clear" w:color="auto" w:fill="FFFFFF"/>
          <w:lang w:val="es-US" w:eastAsia="es-ES_tradnl"/>
        </w:rPr>
        <w:t>Antecedentes:</w:t>
      </w:r>
      <w:r w:rsidR="00AE306A" w:rsidRPr="006404CB">
        <w:rPr>
          <w:rFonts w:ascii="Arial" w:eastAsia="Times New Roman" w:hAnsi="Arial" w:cs="Arial"/>
          <w:color w:val="212529"/>
          <w:sz w:val="22"/>
          <w:szCs w:val="22"/>
          <w:shd w:val="clear" w:color="auto" w:fill="FFFFFF"/>
          <w:lang w:val="es-US" w:eastAsia="es-ES_tradnl"/>
        </w:rPr>
        <w:t xml:space="preserve"> </w:t>
      </w:r>
      <w:r w:rsidR="00DE61A9" w:rsidRPr="005D6E23">
        <w:rPr>
          <w:rFonts w:ascii="Arial" w:eastAsia="Times New Roman" w:hAnsi="Arial" w:cs="Arial"/>
          <w:color w:val="212529"/>
          <w:sz w:val="22"/>
          <w:szCs w:val="22"/>
          <w:shd w:val="clear" w:color="auto" w:fill="FFFFFF"/>
          <w:lang w:val="es-US" w:eastAsia="es-ES_tradnl"/>
        </w:rPr>
        <w:t>Costa Rica ha suscrito los principales convenios y tratados internacionales en materia de igualdad de género. Ratificó la Convención sobre la Eliminación de Todas las Formas de Discriminación contra la Mujer (CEDAW) en el año 1986 y su Protocolo Facultativo en el año 2001, la Declaración de Beijing y la Estrategia de Montevideo. Ahora afronta el reto de impulsar de manera efectiva los Objetivos de Desarrollo Sostenible (ODS) 2030</w:t>
      </w:r>
      <w:r w:rsidR="005350A7" w:rsidRPr="005D6E23">
        <w:rPr>
          <w:rFonts w:ascii="Arial" w:eastAsia="Times New Roman" w:hAnsi="Arial" w:cs="Arial"/>
          <w:color w:val="212529"/>
          <w:sz w:val="22"/>
          <w:szCs w:val="22"/>
          <w:shd w:val="clear" w:color="auto" w:fill="FFFFFF"/>
          <w:lang w:val="es-US" w:eastAsia="es-ES_tradnl"/>
        </w:rPr>
        <w:t>.</w:t>
      </w:r>
    </w:p>
    <w:p w14:paraId="2267AF14" w14:textId="6ADF9314"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El país también ha ratificado los Convenios de la OIT núm 111 sobre la discriminación en el empleo y la ocupación; el núm. 100 sobre igualdad de remuneración; y el núm. 189 sobre las trabajadoras y los trabajadores domésticos.</w:t>
      </w:r>
    </w:p>
    <w:p w14:paraId="7EB460A3" w14:textId="582EB648"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Los compromisos asumidos con la firma de dichos convenios han sido trasladados a la normativa nacional. Basta mencionar que la Ley de Promoción de la Igualdad Social de la Mujer (Ley N° 7142 del 26 de marzo de 1990) define la obligación del Estado de promover y garantizar la igualdad de derechos entre hombres y mujeres.</w:t>
      </w:r>
    </w:p>
    <w:p w14:paraId="68EC4D44" w14:textId="3138F65E"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 xml:space="preserve">En el ámbito de la discriminación laboral, cabe mencionar el Decreto Legislativo Nº 9343 de Reforma del Proceso Laboral, cuyo título VIII está dirigido en su totalidad a la prohibición de </w:t>
      </w:r>
      <w:r w:rsidRPr="005D6E23">
        <w:rPr>
          <w:rFonts w:ascii="Arial" w:eastAsia="Times New Roman" w:hAnsi="Arial" w:cs="Arial"/>
          <w:color w:val="212529"/>
          <w:sz w:val="22"/>
          <w:szCs w:val="22"/>
          <w:shd w:val="clear" w:color="auto" w:fill="FFFFFF"/>
          <w:lang w:val="es-US" w:eastAsia="es-ES_tradnl"/>
        </w:rPr>
        <w:lastRenderedPageBreak/>
        <w:t>discriminar en el trabajo por razones de edad, etnia, sexo, religión, raza, orientación sexual, estado civil, opinión política, ascendencia nacional, origen social, filiación, discapacidad, afiliación sindical, situación económica o cualquier otra forma análoga de discriminación.</w:t>
      </w:r>
    </w:p>
    <w:p w14:paraId="4C5D13E0" w14:textId="542CDD32"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La discriminación salarial es otro de los aspectos regulados en la ley en Costa Rica. La igualdad salarial es un derecho reconocido en la propia Constitución (art. 56 y 57) y el en art. 167 del Código de Trabajo</w:t>
      </w:r>
      <w:r w:rsidR="005350A7" w:rsidRPr="005D6E23">
        <w:rPr>
          <w:rFonts w:ascii="Arial" w:eastAsia="Times New Roman" w:hAnsi="Arial" w:cs="Arial"/>
          <w:color w:val="212529"/>
          <w:sz w:val="22"/>
          <w:szCs w:val="22"/>
          <w:shd w:val="clear" w:color="auto" w:fill="FFFFFF"/>
          <w:lang w:val="es-US" w:eastAsia="es-ES_tradnl"/>
        </w:rPr>
        <w:t>.</w:t>
      </w:r>
      <w:r w:rsidRPr="005D6E23">
        <w:rPr>
          <w:rFonts w:ascii="Arial" w:eastAsia="Times New Roman" w:hAnsi="Arial" w:cs="Arial"/>
          <w:color w:val="212529"/>
          <w:sz w:val="22"/>
          <w:szCs w:val="22"/>
          <w:shd w:val="clear" w:color="auto" w:fill="FFFFFF"/>
          <w:lang w:val="es-US" w:eastAsia="es-ES_tradnl"/>
        </w:rPr>
        <w:t xml:space="preserve"> </w:t>
      </w:r>
    </w:p>
    <w:p w14:paraId="52687B30" w14:textId="4A80C240"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La Política Nacional para la Igualdad y Equidad de Género (PIEG) es la política principal que tiene Costa Rica para incidir en el cierre de brechas de género, en los ámbitos productivo, laboral, educativo, político, cultural y científico tecnológico. Está pensada como una política de largo plazo, que se revisa cada cinco años. La última PIEG</w:t>
      </w:r>
      <w:r w:rsidR="00C85D72" w:rsidRPr="005D6E23">
        <w:rPr>
          <w:rFonts w:ascii="Arial" w:eastAsia="Times New Roman" w:hAnsi="Arial" w:cs="Arial"/>
          <w:color w:val="212529"/>
          <w:sz w:val="22"/>
          <w:szCs w:val="22"/>
          <w:shd w:val="clear" w:color="auto" w:fill="FFFFFF"/>
          <w:lang w:val="es-US" w:eastAsia="es-ES_tradnl"/>
        </w:rPr>
        <w:t xml:space="preserve"> vigente es para</w:t>
      </w:r>
      <w:r w:rsidRPr="005D6E23">
        <w:rPr>
          <w:rFonts w:ascii="Arial" w:eastAsia="Times New Roman" w:hAnsi="Arial" w:cs="Arial"/>
          <w:color w:val="212529"/>
          <w:sz w:val="22"/>
          <w:szCs w:val="22"/>
          <w:shd w:val="clear" w:color="auto" w:fill="FFFFFF"/>
          <w:lang w:val="es-US" w:eastAsia="es-ES_tradnl"/>
        </w:rPr>
        <w:t xml:space="preserve"> el periodo 2018-2030. </w:t>
      </w:r>
    </w:p>
    <w:p w14:paraId="27C75AED" w14:textId="7F0AB3AD" w:rsidR="00E239AD" w:rsidRPr="005D6E23" w:rsidRDefault="00AE306A" w:rsidP="005D6E23">
      <w:pPr>
        <w:adjustRightInd w:val="0"/>
        <w:snapToGrid w:val="0"/>
        <w:spacing w:after="120"/>
        <w:ind w:left="720" w:hanging="720"/>
        <w:jc w:val="both"/>
        <w:rPr>
          <w:rFonts w:ascii="Arial" w:eastAsia="Times New Roman" w:hAnsi="Arial" w:cs="Arial"/>
          <w:b/>
          <w:bCs/>
          <w:color w:val="212529"/>
          <w:sz w:val="22"/>
          <w:szCs w:val="22"/>
          <w:u w:val="single"/>
          <w:shd w:val="clear" w:color="auto" w:fill="FFFFFF"/>
          <w:lang w:val="es-US" w:eastAsia="es-ES_tradnl"/>
        </w:rPr>
      </w:pPr>
      <w:r w:rsidRPr="005D6E23">
        <w:rPr>
          <w:rFonts w:ascii="Arial" w:eastAsia="Times New Roman" w:hAnsi="Arial" w:cs="Arial"/>
          <w:b/>
          <w:bCs/>
          <w:color w:val="212529"/>
          <w:sz w:val="22"/>
          <w:szCs w:val="22"/>
          <w:shd w:val="clear" w:color="auto" w:fill="FFFFFF"/>
          <w:lang w:val="es-US" w:eastAsia="es-ES_tradnl"/>
        </w:rPr>
        <w:t xml:space="preserve">II.2 </w:t>
      </w:r>
      <w:r>
        <w:rPr>
          <w:rFonts w:ascii="Arial" w:eastAsia="Times New Roman" w:hAnsi="Arial" w:cs="Arial"/>
          <w:b/>
          <w:bCs/>
          <w:color w:val="212529"/>
          <w:sz w:val="22"/>
          <w:szCs w:val="22"/>
          <w:shd w:val="clear" w:color="auto" w:fill="FFFFFF"/>
          <w:lang w:val="es-US" w:eastAsia="es-ES_tradnl"/>
        </w:rPr>
        <w:tab/>
      </w:r>
      <w:r w:rsidR="005350A7" w:rsidRPr="005D6E23">
        <w:rPr>
          <w:rFonts w:ascii="Arial" w:eastAsia="Times New Roman" w:hAnsi="Arial" w:cs="Arial"/>
          <w:b/>
          <w:bCs/>
          <w:color w:val="212529"/>
          <w:sz w:val="22"/>
          <w:szCs w:val="22"/>
          <w:shd w:val="clear" w:color="auto" w:fill="FFFFFF"/>
          <w:lang w:val="es-US" w:eastAsia="es-ES_tradnl"/>
        </w:rPr>
        <w:t>Problemática:</w:t>
      </w:r>
      <w:r w:rsidR="00E239AD" w:rsidRPr="005D6E23">
        <w:rPr>
          <w:rFonts w:ascii="Arial" w:hAnsi="Arial" w:cs="Arial"/>
          <w:sz w:val="22"/>
          <w:szCs w:val="22"/>
        </w:rPr>
        <w:t xml:space="preserve"> </w:t>
      </w:r>
      <w:r w:rsidR="00E239AD" w:rsidRPr="005D6E23">
        <w:rPr>
          <w:rFonts w:ascii="Arial" w:eastAsia="Times New Roman" w:hAnsi="Arial" w:cs="Arial"/>
          <w:color w:val="212529"/>
          <w:sz w:val="22"/>
          <w:szCs w:val="22"/>
          <w:shd w:val="clear" w:color="auto" w:fill="FFFFFF"/>
          <w:lang w:val="es-US" w:eastAsia="es-ES_tradnl"/>
        </w:rPr>
        <w:t>El impacto económico y laboral de la crisis puede afectar en mayor medida a las mujeres por varias razones. Pese a su avance en el mercado de trabajo, las mujeres continúan en situaciones de desventaja respecto a sus pares masculinos.</w:t>
      </w:r>
      <w:r w:rsidR="00E239AD" w:rsidRPr="005D6E23">
        <w:rPr>
          <w:rFonts w:ascii="Arial" w:eastAsia="Times New Roman" w:hAnsi="Arial" w:cs="Arial"/>
          <w:b/>
          <w:bCs/>
          <w:color w:val="212529"/>
          <w:sz w:val="22"/>
          <w:szCs w:val="22"/>
          <w:u w:val="single"/>
          <w:shd w:val="clear" w:color="auto" w:fill="FFFFFF"/>
          <w:lang w:val="es-US" w:eastAsia="es-ES_tradnl"/>
        </w:rPr>
        <w:t xml:space="preserve"> </w:t>
      </w:r>
    </w:p>
    <w:p w14:paraId="5DAE8242" w14:textId="5F4CE215" w:rsidR="00665BE5" w:rsidRPr="005D6E23" w:rsidRDefault="00665BE5" w:rsidP="005D6E23">
      <w:pPr>
        <w:adjustRightInd w:val="0"/>
        <w:snapToGrid w:val="0"/>
        <w:spacing w:after="120"/>
        <w:ind w:firstLine="708"/>
        <w:jc w:val="both"/>
        <w:rPr>
          <w:rFonts w:ascii="Arial" w:eastAsia="Times New Roman" w:hAnsi="Arial" w:cs="Arial"/>
          <w:b/>
          <w:bCs/>
          <w:color w:val="212529"/>
          <w:sz w:val="22"/>
          <w:szCs w:val="22"/>
          <w:u w:val="single"/>
          <w:shd w:val="clear" w:color="auto" w:fill="FFFFFF"/>
          <w:lang w:val="es-US" w:eastAsia="es-ES_tradnl"/>
        </w:rPr>
      </w:pPr>
      <w:r w:rsidRPr="005D6E23">
        <w:rPr>
          <w:rFonts w:ascii="Arial" w:eastAsia="Times New Roman" w:hAnsi="Arial" w:cs="Arial"/>
          <w:b/>
          <w:bCs/>
          <w:color w:val="212529"/>
          <w:sz w:val="22"/>
          <w:szCs w:val="22"/>
          <w:u w:val="single"/>
          <w:shd w:val="clear" w:color="auto" w:fill="FFFFFF"/>
          <w:lang w:val="es-US" w:eastAsia="es-ES_tradnl"/>
        </w:rPr>
        <w:t>Brechas en la participación laboral</w:t>
      </w:r>
    </w:p>
    <w:p w14:paraId="360C14B3" w14:textId="28D29101" w:rsidR="00E239AD" w:rsidRPr="005D6E23" w:rsidRDefault="00E239AD"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El crecimiento sostenido de la tasa de participación laboral femenina en Costa Rica desde la década de los noventa hasta el año 2010, parece haberse detenido en la actualidad. La tasa de participación económica de las mujeres pasó del 32.9% en 1990 al 45.7% en 2018</w:t>
      </w:r>
      <w:r w:rsidR="00B83546" w:rsidRPr="005D6E23">
        <w:rPr>
          <w:rFonts w:ascii="Arial" w:eastAsia="Times New Roman" w:hAnsi="Arial" w:cs="Arial"/>
          <w:color w:val="212529"/>
          <w:sz w:val="22"/>
          <w:szCs w:val="22"/>
          <w:shd w:val="clear" w:color="auto" w:fill="FFFFFF"/>
          <w:lang w:val="es-US" w:eastAsia="es-ES_tradnl"/>
        </w:rPr>
        <w:t>.</w:t>
      </w:r>
      <w:r w:rsidRPr="005D6E23">
        <w:rPr>
          <w:rFonts w:ascii="Arial" w:eastAsia="Times New Roman" w:hAnsi="Arial" w:cs="Arial"/>
          <w:color w:val="212529"/>
          <w:sz w:val="22"/>
          <w:szCs w:val="22"/>
          <w:shd w:val="clear" w:color="auto" w:fill="FFFFFF"/>
          <w:lang w:val="es-US" w:eastAsia="es-ES_tradnl"/>
        </w:rPr>
        <w:t xml:space="preserve"> </w:t>
      </w:r>
    </w:p>
    <w:p w14:paraId="08A17B83" w14:textId="77777777" w:rsidR="00E239AD" w:rsidRPr="005D6E23" w:rsidRDefault="00E239AD" w:rsidP="00F82BE2">
      <w:pPr>
        <w:adjustRightInd w:val="0"/>
        <w:snapToGrid w:val="0"/>
        <w:spacing w:after="120"/>
        <w:jc w:val="both"/>
        <w:rPr>
          <w:rFonts w:ascii="Arial" w:eastAsia="Times New Roman" w:hAnsi="Arial" w:cs="Arial"/>
          <w:b/>
          <w:bCs/>
          <w:color w:val="212529"/>
          <w:sz w:val="22"/>
          <w:szCs w:val="22"/>
          <w:u w:val="single"/>
          <w:shd w:val="clear" w:color="auto" w:fill="FFFFFF"/>
          <w:lang w:eastAsia="es-ES_tradnl"/>
        </w:rPr>
      </w:pPr>
    </w:p>
    <w:p w14:paraId="141980EE" w14:textId="77777777" w:rsidR="004D246D" w:rsidRPr="005D6E23" w:rsidRDefault="00F913DD" w:rsidP="00F82BE2">
      <w:pPr>
        <w:pStyle w:val="Caption"/>
        <w:adjustRightInd w:val="0"/>
        <w:snapToGrid w:val="0"/>
        <w:spacing w:after="120"/>
        <w:jc w:val="center"/>
        <w:rPr>
          <w:rFonts w:cs="Arial"/>
          <w:i w:val="0"/>
          <w:iCs w:val="0"/>
          <w:color w:val="44546A" w:themeColor="text2"/>
          <w:sz w:val="22"/>
          <w:szCs w:val="22"/>
        </w:rPr>
      </w:pPr>
      <w:r w:rsidRPr="005D6E23">
        <w:rPr>
          <w:rFonts w:cs="Arial"/>
          <w:i w:val="0"/>
          <w:iCs w:val="0"/>
          <w:color w:val="44546A" w:themeColor="text2"/>
          <w:sz w:val="22"/>
          <w:szCs w:val="22"/>
        </w:rPr>
        <w:t>Gráfico 1. Tasa de participación económica según sexo. Costa Rica. 1990-2018</w:t>
      </w:r>
    </w:p>
    <w:p w14:paraId="0C6BCAC5" w14:textId="13393100" w:rsidR="00F913DD" w:rsidRPr="005D6E23" w:rsidRDefault="00F913DD" w:rsidP="00F82BE2">
      <w:pPr>
        <w:pStyle w:val="Caption"/>
        <w:adjustRightInd w:val="0"/>
        <w:snapToGrid w:val="0"/>
        <w:spacing w:after="120"/>
        <w:jc w:val="center"/>
        <w:rPr>
          <w:rFonts w:cs="Arial"/>
          <w:sz w:val="22"/>
          <w:szCs w:val="22"/>
          <w:lang w:val="en-US"/>
        </w:rPr>
      </w:pPr>
      <w:r w:rsidRPr="005D6E23">
        <w:rPr>
          <w:rFonts w:cs="Arial"/>
          <w:noProof/>
          <w:sz w:val="22"/>
          <w:szCs w:val="22"/>
          <w:lang w:val="en-US"/>
        </w:rPr>
        <w:drawing>
          <wp:inline distT="0" distB="0" distL="0" distR="0" wp14:anchorId="13896CE9" wp14:editId="100353A4">
            <wp:extent cx="4648200" cy="2778263"/>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08303" cy="2814187"/>
                    </a:xfrm>
                    <a:prstGeom prst="rect">
                      <a:avLst/>
                    </a:prstGeom>
                    <a:noFill/>
                  </pic:spPr>
                </pic:pic>
              </a:graphicData>
            </a:graphic>
          </wp:inline>
        </w:drawing>
      </w:r>
    </w:p>
    <w:p w14:paraId="1E4E9653" w14:textId="77777777" w:rsidR="00F913DD" w:rsidRPr="005D6E23" w:rsidRDefault="00F913DD" w:rsidP="00F82BE2">
      <w:pPr>
        <w:adjustRightInd w:val="0"/>
        <w:snapToGrid w:val="0"/>
        <w:spacing w:after="120"/>
        <w:jc w:val="center"/>
        <w:rPr>
          <w:rFonts w:ascii="Arial" w:hAnsi="Arial" w:cs="Arial"/>
          <w:i/>
          <w:iCs/>
          <w:sz w:val="22"/>
          <w:szCs w:val="22"/>
        </w:rPr>
      </w:pPr>
      <w:r w:rsidRPr="005D6E23">
        <w:rPr>
          <w:rFonts w:ascii="Arial" w:hAnsi="Arial" w:cs="Arial"/>
          <w:i/>
          <w:iCs/>
          <w:color w:val="000000"/>
          <w:sz w:val="22"/>
          <w:szCs w:val="22"/>
          <w:lang w:eastAsia="es-CR"/>
        </w:rPr>
        <w:t>Fuente: Diagnóstico IPG Costa Rica, sobre la base del INEC.</w:t>
      </w:r>
    </w:p>
    <w:p w14:paraId="464BFFF9" w14:textId="77777777" w:rsidR="00AE306A" w:rsidRDefault="00AE306A"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p>
    <w:p w14:paraId="6AE45865" w14:textId="61DF1596" w:rsidR="00F913DD" w:rsidRPr="005D6E23" w:rsidRDefault="00F913DD"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 xml:space="preserve">La baja participación en la actividad económica se acentúa entre las mujeres que residen en zonas rurales, viven en situación de pobreza, residen en las regiones Brunca, Huetar Caribe y Huetar Norte o tienen escasos niveles de estudios. Según la ENAHO 2018, </w:t>
      </w:r>
      <w:r w:rsidR="008013FB" w:rsidRPr="005D6E23">
        <w:rPr>
          <w:rFonts w:ascii="Arial" w:eastAsia="Times New Roman" w:hAnsi="Arial" w:cs="Arial"/>
          <w:color w:val="212529"/>
          <w:sz w:val="22"/>
          <w:szCs w:val="22"/>
          <w:shd w:val="clear" w:color="auto" w:fill="FFFFFF"/>
          <w:lang w:val="es-US" w:eastAsia="es-ES_tradnl"/>
        </w:rPr>
        <w:t>e</w:t>
      </w:r>
      <w:r w:rsidRPr="005D6E23">
        <w:rPr>
          <w:rFonts w:ascii="Arial" w:eastAsia="Times New Roman" w:hAnsi="Arial" w:cs="Arial"/>
          <w:color w:val="212529"/>
          <w:sz w:val="22"/>
          <w:szCs w:val="22"/>
          <w:shd w:val="clear" w:color="auto" w:fill="FFFFFF"/>
          <w:lang w:val="es-US" w:eastAsia="es-ES_tradnl"/>
        </w:rPr>
        <w:t>stán fuera del mercado de trabajo:</w:t>
      </w:r>
    </w:p>
    <w:p w14:paraId="55201E0A" w14:textId="77777777" w:rsidR="00F913DD" w:rsidRPr="005D6E23" w:rsidRDefault="00F913DD" w:rsidP="000C770B">
      <w:pPr>
        <w:pStyle w:val="ListParagraph"/>
        <w:numPr>
          <w:ilvl w:val="0"/>
          <w:numId w:val="3"/>
        </w:num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6 de cada 10 mujeres rurales.</w:t>
      </w:r>
    </w:p>
    <w:p w14:paraId="4C2D4F82" w14:textId="77777777" w:rsidR="00F913DD" w:rsidRPr="005D6E23" w:rsidRDefault="00F913DD" w:rsidP="000C770B">
      <w:pPr>
        <w:pStyle w:val="ListParagraph"/>
        <w:numPr>
          <w:ilvl w:val="0"/>
          <w:numId w:val="3"/>
        </w:num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3 de cada 10 mujeres que padecen alguna condición de pobreza.</w:t>
      </w:r>
    </w:p>
    <w:p w14:paraId="014FFAF5" w14:textId="77777777" w:rsidR="00F913DD" w:rsidRPr="005D6E23" w:rsidRDefault="00F913DD" w:rsidP="000C770B">
      <w:pPr>
        <w:pStyle w:val="ListParagraph"/>
        <w:numPr>
          <w:ilvl w:val="0"/>
          <w:numId w:val="3"/>
        </w:num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lastRenderedPageBreak/>
        <w:t>6 de cada 10 mujeres de las regiones Brunca, Huetar Caribe y Huetar Norte.</w:t>
      </w:r>
    </w:p>
    <w:p w14:paraId="745B3C7A" w14:textId="77777777" w:rsidR="00F913DD" w:rsidRPr="005D6E23" w:rsidRDefault="00F913DD" w:rsidP="000C770B">
      <w:pPr>
        <w:pStyle w:val="ListParagraph"/>
        <w:numPr>
          <w:ilvl w:val="0"/>
          <w:numId w:val="3"/>
        </w:num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7 de cada 10 mujeres que no terminaron la educación secundaria.</w:t>
      </w:r>
    </w:p>
    <w:p w14:paraId="7F64BF25" w14:textId="13651DB2" w:rsidR="00F913DD" w:rsidRPr="005D6E23" w:rsidRDefault="00F913DD" w:rsidP="00F82BE2">
      <w:pPr>
        <w:pStyle w:val="Caption"/>
        <w:adjustRightInd w:val="0"/>
        <w:snapToGrid w:val="0"/>
        <w:spacing w:after="120"/>
        <w:jc w:val="center"/>
        <w:rPr>
          <w:rFonts w:cs="Arial"/>
          <w:sz w:val="22"/>
          <w:szCs w:val="22"/>
        </w:rPr>
      </w:pPr>
      <w:r w:rsidRPr="005D6E23">
        <w:rPr>
          <w:rFonts w:cs="Arial"/>
          <w:i w:val="0"/>
          <w:iCs w:val="0"/>
          <w:color w:val="44546A" w:themeColor="text2"/>
          <w:sz w:val="22"/>
          <w:szCs w:val="22"/>
        </w:rPr>
        <w:t>Gráfico 2. Población fuera de la fuerza de trabajo por sexo según regiones de planificación, 2018.</w:t>
      </w:r>
      <w:r w:rsidRPr="005D6E23">
        <w:rPr>
          <w:rFonts w:cs="Arial"/>
          <w:noProof/>
          <w:sz w:val="22"/>
          <w:szCs w:val="22"/>
          <w:lang w:val="en-US"/>
        </w:rPr>
        <w:drawing>
          <wp:inline distT="0" distB="0" distL="0" distR="0" wp14:anchorId="6C540A5B" wp14:editId="6ED59940">
            <wp:extent cx="4858045" cy="2552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ym fuera de la fza trab.png"/>
                    <pic:cNvPicPr/>
                  </pic:nvPicPr>
                  <pic:blipFill>
                    <a:blip r:embed="rId12" cstate="email">
                      <a:extLst>
                        <a:ext uri="{28A0092B-C50C-407E-A947-70E740481C1C}">
                          <a14:useLocalDpi xmlns:a14="http://schemas.microsoft.com/office/drawing/2010/main"/>
                        </a:ext>
                      </a:extLst>
                    </a:blip>
                    <a:stretch>
                      <a:fillRect/>
                    </a:stretch>
                  </pic:blipFill>
                  <pic:spPr>
                    <a:xfrm>
                      <a:off x="0" y="0"/>
                      <a:ext cx="4864697" cy="2556196"/>
                    </a:xfrm>
                    <a:prstGeom prst="rect">
                      <a:avLst/>
                    </a:prstGeom>
                  </pic:spPr>
                </pic:pic>
              </a:graphicData>
            </a:graphic>
          </wp:inline>
        </w:drawing>
      </w:r>
    </w:p>
    <w:p w14:paraId="5705EFFE" w14:textId="23D698A6" w:rsidR="00F913DD" w:rsidRPr="005D6E23" w:rsidRDefault="00F913DD" w:rsidP="00F82BE2">
      <w:pPr>
        <w:adjustRightInd w:val="0"/>
        <w:snapToGrid w:val="0"/>
        <w:spacing w:after="120"/>
        <w:jc w:val="center"/>
        <w:rPr>
          <w:rFonts w:ascii="Arial" w:hAnsi="Arial" w:cs="Arial"/>
          <w:i/>
          <w:iCs/>
          <w:color w:val="000000"/>
          <w:sz w:val="22"/>
          <w:szCs w:val="22"/>
          <w:lang w:eastAsia="es-CR"/>
        </w:rPr>
      </w:pPr>
      <w:r w:rsidRPr="005D6E23">
        <w:rPr>
          <w:rFonts w:ascii="Arial" w:hAnsi="Arial" w:cs="Arial"/>
          <w:i/>
          <w:iCs/>
          <w:color w:val="000000"/>
          <w:sz w:val="22"/>
          <w:szCs w:val="22"/>
          <w:lang w:eastAsia="es-CR"/>
        </w:rPr>
        <w:t>Fuente: Diagnóstico IPG Costa Rica, sobre la base de la ENAHO 2018.</w:t>
      </w:r>
    </w:p>
    <w:p w14:paraId="236CB1FA" w14:textId="77777777" w:rsidR="00F17DEB" w:rsidRPr="005D6E23" w:rsidRDefault="00F17DEB"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p>
    <w:p w14:paraId="152DA7C2" w14:textId="7D5E3D90" w:rsidR="00F913DD" w:rsidRPr="005D6E23" w:rsidRDefault="00F82BE2"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r w:rsidRPr="005D6E23">
        <w:rPr>
          <w:rFonts w:ascii="Arial" w:eastAsia="Times New Roman" w:hAnsi="Arial" w:cs="Arial"/>
          <w:color w:val="212529"/>
          <w:sz w:val="22"/>
          <w:szCs w:val="22"/>
          <w:shd w:val="clear" w:color="auto" w:fill="FFFFFF"/>
          <w:lang w:val="es-CR" w:eastAsia="es-ES_tradnl"/>
        </w:rPr>
        <w:t>S</w:t>
      </w:r>
      <w:r w:rsidR="00F913DD" w:rsidRPr="005D6E23">
        <w:rPr>
          <w:rFonts w:ascii="Arial" w:eastAsia="Times New Roman" w:hAnsi="Arial" w:cs="Arial"/>
          <w:color w:val="212529"/>
          <w:sz w:val="22"/>
          <w:szCs w:val="22"/>
          <w:shd w:val="clear" w:color="auto" w:fill="FFFFFF"/>
          <w:lang w:val="es-CR" w:eastAsia="es-ES_tradnl"/>
        </w:rPr>
        <w:t>i bien esas tendencias se repiten entre los hombres, ellos tienen una participación económica superior a la de las mujeres, lo que significa que los factores señalados no les afectan con la misma intensidad.</w:t>
      </w:r>
    </w:p>
    <w:p w14:paraId="5222535B" w14:textId="58F97708" w:rsidR="00DE61A9" w:rsidRPr="005D6E23" w:rsidRDefault="00DE61A9"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r w:rsidRPr="005D6E23">
        <w:rPr>
          <w:rFonts w:ascii="Arial" w:eastAsia="Times New Roman" w:hAnsi="Arial" w:cs="Arial"/>
          <w:color w:val="212529"/>
          <w:sz w:val="22"/>
          <w:szCs w:val="22"/>
          <w:shd w:val="clear" w:color="auto" w:fill="FFFFFF"/>
          <w:lang w:val="es-CR" w:eastAsia="es-ES_tradnl"/>
        </w:rPr>
        <w:t xml:space="preserve">En </w:t>
      </w:r>
      <w:r w:rsidR="008013FB" w:rsidRPr="005D6E23">
        <w:rPr>
          <w:rFonts w:ascii="Arial" w:eastAsia="Times New Roman" w:hAnsi="Arial" w:cs="Arial"/>
          <w:color w:val="212529"/>
          <w:sz w:val="22"/>
          <w:szCs w:val="22"/>
          <w:shd w:val="clear" w:color="auto" w:fill="FFFFFF"/>
          <w:lang w:val="es-CR" w:eastAsia="es-ES_tradnl"/>
        </w:rPr>
        <w:t>la actualidad</w:t>
      </w:r>
      <w:r w:rsidRPr="005D6E23">
        <w:rPr>
          <w:rFonts w:ascii="Arial" w:eastAsia="Times New Roman" w:hAnsi="Arial" w:cs="Arial"/>
          <w:color w:val="212529"/>
          <w:sz w:val="22"/>
          <w:szCs w:val="22"/>
          <w:shd w:val="clear" w:color="auto" w:fill="FFFFFF"/>
          <w:lang w:val="es-CR" w:eastAsia="es-ES_tradnl"/>
        </w:rPr>
        <w:t xml:space="preserve">, la fuerza laboral </w:t>
      </w:r>
      <w:r w:rsidR="008013FB" w:rsidRPr="005D6E23">
        <w:rPr>
          <w:rFonts w:ascii="Arial" w:eastAsia="Times New Roman" w:hAnsi="Arial" w:cs="Arial"/>
          <w:color w:val="212529"/>
          <w:sz w:val="22"/>
          <w:szCs w:val="22"/>
          <w:shd w:val="clear" w:color="auto" w:fill="FFFFFF"/>
          <w:lang w:val="es-CR" w:eastAsia="es-ES_tradnl"/>
        </w:rPr>
        <w:t xml:space="preserve">de Costa Rica </w:t>
      </w:r>
      <w:r w:rsidRPr="005D6E23">
        <w:rPr>
          <w:rFonts w:ascii="Arial" w:eastAsia="Times New Roman" w:hAnsi="Arial" w:cs="Arial"/>
          <w:color w:val="212529"/>
          <w:sz w:val="22"/>
          <w:szCs w:val="22"/>
          <w:shd w:val="clear" w:color="auto" w:fill="FFFFFF"/>
          <w:lang w:val="es-CR" w:eastAsia="es-ES_tradnl"/>
        </w:rPr>
        <w:t xml:space="preserve">está conformada por 2,49 millones de personas, de las cuales 1,49 millones son hombres y solo un millón son mujeres. La participación laboral de las mujeres en la fuerza laboral </w:t>
      </w:r>
      <w:r w:rsidR="00C350B1" w:rsidRPr="005D6E23">
        <w:rPr>
          <w:rFonts w:ascii="Arial" w:eastAsia="Times New Roman" w:hAnsi="Arial" w:cs="Arial"/>
          <w:color w:val="212529"/>
          <w:sz w:val="22"/>
          <w:szCs w:val="22"/>
          <w:shd w:val="clear" w:color="auto" w:fill="FFFFFF"/>
          <w:lang w:val="es-CR" w:eastAsia="es-ES_tradnl"/>
        </w:rPr>
        <w:t xml:space="preserve">en 2019 </w:t>
      </w:r>
      <w:r w:rsidRPr="005D6E23">
        <w:rPr>
          <w:rFonts w:ascii="Arial" w:eastAsia="Times New Roman" w:hAnsi="Arial" w:cs="Arial"/>
          <w:color w:val="212529"/>
          <w:sz w:val="22"/>
          <w:szCs w:val="22"/>
          <w:shd w:val="clear" w:color="auto" w:fill="FFFFFF"/>
          <w:lang w:val="es-CR" w:eastAsia="es-ES_tradnl"/>
        </w:rPr>
        <w:t>creció respecto del año anterior (978 mil mujeres formaban parte de la fuerza laboral en 2018). Sin embargo, continúan estando menos representadas que los hombres: participan en la fuerza laboral el 50,8% de las mujeres y el 74,9% de los hombres y el desempleo las afecta en mayor medida (tasa de desempleo de las mujeres es del 16,7% y de los hombres 9,6%) (INEC</w:t>
      </w:r>
      <w:r w:rsidR="00E239AD" w:rsidRPr="005D6E23">
        <w:rPr>
          <w:rFonts w:ascii="Arial" w:eastAsia="Times New Roman" w:hAnsi="Arial" w:cs="Arial"/>
          <w:color w:val="212529"/>
          <w:sz w:val="22"/>
          <w:szCs w:val="22"/>
          <w:shd w:val="clear" w:color="auto" w:fill="FFFFFF"/>
          <w:lang w:val="es-CR" w:eastAsia="es-ES_tradnl"/>
        </w:rPr>
        <w:t xml:space="preserve">, </w:t>
      </w:r>
      <w:r w:rsidRPr="005D6E23">
        <w:rPr>
          <w:rFonts w:ascii="Arial" w:eastAsia="Times New Roman" w:hAnsi="Arial" w:cs="Arial"/>
          <w:color w:val="212529"/>
          <w:sz w:val="22"/>
          <w:szCs w:val="22"/>
          <w:shd w:val="clear" w:color="auto" w:fill="FFFFFF"/>
          <w:lang w:val="es-CR" w:eastAsia="es-ES_tradnl"/>
        </w:rPr>
        <w:t>2019).</w:t>
      </w:r>
    </w:p>
    <w:p w14:paraId="5F1DCAD2" w14:textId="0B0EEF5F" w:rsidR="008013FB" w:rsidRPr="005D6E23" w:rsidRDefault="008013FB"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r w:rsidRPr="005D6E23">
        <w:rPr>
          <w:rFonts w:ascii="Arial" w:eastAsia="Times New Roman" w:hAnsi="Arial" w:cs="Arial"/>
          <w:color w:val="212529"/>
          <w:sz w:val="22"/>
          <w:szCs w:val="22"/>
          <w:shd w:val="clear" w:color="auto" w:fill="FFFFFF"/>
          <w:lang w:val="es-CR" w:eastAsia="es-ES_tradnl"/>
        </w:rPr>
        <w:t xml:space="preserve">También existen diferencias de género en la inclusión en la fuerza de trabajo según grupo etario. Desde los 15 hasta los 64 años, en cada grupo quinquenal es significativamente mayor la tasa de inactividad de las mujeres que la de los hombres. En la población mayor de 25 años, la tasa promedio de inactividad de los hombres es de 11% y 44% de las mujeres. </w:t>
      </w:r>
    </w:p>
    <w:p w14:paraId="1CE29BFC" w14:textId="0194F5C9" w:rsidR="00CF4FF5" w:rsidRPr="005D6E23" w:rsidRDefault="00CF4FF5"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r w:rsidRPr="005D6E23">
        <w:rPr>
          <w:rFonts w:ascii="Arial" w:eastAsia="Times New Roman" w:hAnsi="Arial" w:cs="Arial"/>
          <w:color w:val="212529"/>
          <w:sz w:val="22"/>
          <w:szCs w:val="22"/>
          <w:shd w:val="clear" w:color="auto" w:fill="FFFFFF"/>
          <w:lang w:val="es-CR" w:eastAsia="es-ES_tradnl"/>
        </w:rPr>
        <w:t xml:space="preserve">En particular, la ausencia o precariedad laboral de las mujeres jóvenes se encuentra vinculada, entre otros factores, a las tasas de embarazo adolescente (15 a 19 años), que si bien han mantenido una tendencia a la baja (la tasa de fecundidad pasó de 83 en el periodo 1995-2000 a 59 en el 2010-2015); siguen estando por detrás de países de la región con similar nivel de desarrollo humano. </w:t>
      </w:r>
    </w:p>
    <w:p w14:paraId="4AA5DBD0" w14:textId="1BF4969E" w:rsidR="00F82BE2" w:rsidRPr="005D6E23" w:rsidRDefault="00F82BE2"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p>
    <w:p w14:paraId="1142FA3A" w14:textId="31B075E0" w:rsidR="00F17DEB" w:rsidRDefault="00F17DEB"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p>
    <w:p w14:paraId="59A6E58B" w14:textId="72C0F729" w:rsidR="00AE306A" w:rsidRDefault="00AE306A"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p>
    <w:p w14:paraId="6FD6CEC9" w14:textId="1EC7EEA1" w:rsidR="00AE306A" w:rsidRDefault="00AE306A"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p>
    <w:p w14:paraId="771A68D5" w14:textId="77777777" w:rsidR="00AE306A" w:rsidRPr="005D6E23" w:rsidRDefault="00AE306A"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p>
    <w:p w14:paraId="611D4F96" w14:textId="0238BE3D" w:rsidR="008013FB" w:rsidRPr="005D6E23" w:rsidRDefault="008013FB" w:rsidP="00F82BE2">
      <w:pPr>
        <w:pStyle w:val="Caption"/>
        <w:adjustRightInd w:val="0"/>
        <w:snapToGrid w:val="0"/>
        <w:spacing w:after="120"/>
        <w:jc w:val="center"/>
        <w:rPr>
          <w:rFonts w:cs="Arial"/>
          <w:i w:val="0"/>
          <w:iCs w:val="0"/>
          <w:color w:val="44546A" w:themeColor="text2"/>
          <w:sz w:val="22"/>
          <w:szCs w:val="22"/>
        </w:rPr>
      </w:pPr>
      <w:r w:rsidRPr="005D6E23">
        <w:rPr>
          <w:rFonts w:cs="Arial"/>
          <w:i w:val="0"/>
          <w:iCs w:val="0"/>
          <w:color w:val="44546A" w:themeColor="text2"/>
          <w:sz w:val="22"/>
          <w:szCs w:val="22"/>
        </w:rPr>
        <w:lastRenderedPageBreak/>
        <w:t>Gráfico 3. Población fuera de la fuerza de trabajo por sexo según grupo etario. 2018 (en %)</w:t>
      </w:r>
    </w:p>
    <w:p w14:paraId="3DAF65E9" w14:textId="77777777" w:rsidR="00AE306A" w:rsidRDefault="008013FB" w:rsidP="00F82BE2">
      <w:pPr>
        <w:adjustRightInd w:val="0"/>
        <w:snapToGrid w:val="0"/>
        <w:spacing w:after="120"/>
        <w:jc w:val="center"/>
        <w:rPr>
          <w:rFonts w:ascii="Arial" w:hAnsi="Arial" w:cs="Arial"/>
          <w:i/>
          <w:iCs/>
          <w:color w:val="000000"/>
          <w:sz w:val="22"/>
          <w:szCs w:val="22"/>
          <w:lang w:eastAsia="es-CR"/>
        </w:rPr>
      </w:pPr>
      <w:r w:rsidRPr="005D6E23">
        <w:rPr>
          <w:rFonts w:ascii="Arial" w:hAnsi="Arial" w:cs="Arial"/>
          <w:noProof/>
          <w:sz w:val="22"/>
          <w:szCs w:val="22"/>
          <w:lang w:val="en-US"/>
        </w:rPr>
        <w:drawing>
          <wp:inline distT="0" distB="0" distL="0" distR="0" wp14:anchorId="6E12F745" wp14:editId="5BA5EB5D">
            <wp:extent cx="5172075" cy="2755162"/>
            <wp:effectExtent l="0" t="0" r="0" b="762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221046" cy="2781249"/>
                    </a:xfrm>
                    <a:prstGeom prst="rect">
                      <a:avLst/>
                    </a:prstGeom>
                  </pic:spPr>
                </pic:pic>
              </a:graphicData>
            </a:graphic>
          </wp:inline>
        </w:drawing>
      </w:r>
    </w:p>
    <w:p w14:paraId="3C832168" w14:textId="4B34A51F" w:rsidR="008013FB" w:rsidRPr="005D6E23" w:rsidRDefault="008013FB" w:rsidP="00F82BE2">
      <w:pPr>
        <w:adjustRightInd w:val="0"/>
        <w:snapToGrid w:val="0"/>
        <w:spacing w:after="120"/>
        <w:jc w:val="center"/>
        <w:rPr>
          <w:rFonts w:ascii="Arial" w:hAnsi="Arial" w:cs="Arial"/>
          <w:i/>
          <w:iCs/>
          <w:color w:val="000000"/>
          <w:sz w:val="22"/>
          <w:szCs w:val="22"/>
          <w:lang w:eastAsia="es-CR"/>
        </w:rPr>
      </w:pPr>
      <w:r w:rsidRPr="005D6E23">
        <w:rPr>
          <w:rFonts w:ascii="Arial" w:hAnsi="Arial" w:cs="Arial"/>
          <w:i/>
          <w:iCs/>
          <w:color w:val="000000"/>
          <w:sz w:val="22"/>
          <w:szCs w:val="22"/>
          <w:lang w:eastAsia="es-CR"/>
        </w:rPr>
        <w:t>Fuente: Diagnóstico IPG Costa Rica, sobre la base de ENAHO 2018.</w:t>
      </w:r>
    </w:p>
    <w:p w14:paraId="402DDF27" w14:textId="77777777" w:rsidR="00AE306A" w:rsidRPr="005D6E23" w:rsidRDefault="00AE306A" w:rsidP="005D6E23">
      <w:pPr>
        <w:adjustRightInd w:val="0"/>
        <w:snapToGrid w:val="0"/>
        <w:jc w:val="both"/>
        <w:rPr>
          <w:rFonts w:ascii="Arial" w:hAnsi="Arial" w:cs="Arial"/>
          <w:sz w:val="22"/>
          <w:szCs w:val="22"/>
        </w:rPr>
      </w:pPr>
    </w:p>
    <w:p w14:paraId="1E420191" w14:textId="0C1F9173" w:rsidR="008013FB" w:rsidRPr="005D6E23" w:rsidRDefault="008013FB" w:rsidP="005D6E23">
      <w:pPr>
        <w:adjustRightInd w:val="0"/>
        <w:snapToGrid w:val="0"/>
        <w:jc w:val="both"/>
        <w:rPr>
          <w:rFonts w:ascii="Arial" w:hAnsi="Arial" w:cs="Arial"/>
          <w:sz w:val="22"/>
          <w:szCs w:val="22"/>
        </w:rPr>
      </w:pPr>
      <w:r w:rsidRPr="005D6E23">
        <w:rPr>
          <w:rFonts w:ascii="Arial" w:hAnsi="Arial" w:cs="Arial"/>
          <w:sz w:val="22"/>
          <w:szCs w:val="22"/>
        </w:rPr>
        <w:t>De acuerdo con los datos de la ENAHO, el principal motivo para que las mujeres estén fuera de la actividad económica son las responsabilidades familiares y las obligaciones en el hogar, mientras que los hombres reportan los estudios o la situación de pensionado como las principales causas.</w:t>
      </w:r>
    </w:p>
    <w:p w14:paraId="4640DA98" w14:textId="3AD69F22" w:rsidR="00F82BE2" w:rsidRDefault="008013FB" w:rsidP="00F82BE2">
      <w:pPr>
        <w:adjustRightInd w:val="0"/>
        <w:snapToGrid w:val="0"/>
        <w:spacing w:after="120"/>
        <w:jc w:val="both"/>
        <w:rPr>
          <w:rFonts w:ascii="Arial" w:hAnsi="Arial" w:cs="Arial"/>
          <w:sz w:val="22"/>
          <w:szCs w:val="22"/>
        </w:rPr>
      </w:pPr>
      <w:r w:rsidRPr="005D6E23">
        <w:rPr>
          <w:rFonts w:ascii="Arial" w:hAnsi="Arial" w:cs="Arial"/>
          <w:sz w:val="22"/>
          <w:szCs w:val="22"/>
        </w:rPr>
        <w:t xml:space="preserve">Tal como se puede observar en el gráfico </w:t>
      </w:r>
      <w:r w:rsidR="00F274B7" w:rsidRPr="005D6E23">
        <w:rPr>
          <w:rFonts w:ascii="Arial" w:hAnsi="Arial" w:cs="Arial"/>
          <w:sz w:val="22"/>
          <w:szCs w:val="22"/>
        </w:rPr>
        <w:t>4</w:t>
      </w:r>
      <w:r w:rsidRPr="005D6E23">
        <w:rPr>
          <w:rFonts w:ascii="Arial" w:hAnsi="Arial" w:cs="Arial"/>
          <w:sz w:val="22"/>
          <w:szCs w:val="22"/>
        </w:rPr>
        <w:t xml:space="preserve">, </w:t>
      </w:r>
      <w:r w:rsidR="00CF4FF5" w:rsidRPr="005D6E23">
        <w:rPr>
          <w:rFonts w:ascii="Arial" w:hAnsi="Arial" w:cs="Arial"/>
          <w:sz w:val="22"/>
          <w:szCs w:val="22"/>
        </w:rPr>
        <w:t>600</w:t>
      </w:r>
      <w:r w:rsidRPr="005D6E23">
        <w:rPr>
          <w:rFonts w:ascii="Arial" w:hAnsi="Arial" w:cs="Arial"/>
          <w:sz w:val="22"/>
          <w:szCs w:val="22"/>
        </w:rPr>
        <w:t xml:space="preserve"> mil mujeres</w:t>
      </w:r>
      <w:r w:rsidRPr="005D6E23" w:rsidDel="005378A1">
        <w:rPr>
          <w:rFonts w:ascii="Arial" w:hAnsi="Arial" w:cs="Arial"/>
          <w:sz w:val="22"/>
          <w:szCs w:val="22"/>
        </w:rPr>
        <w:t xml:space="preserve"> </w:t>
      </w:r>
      <w:r w:rsidRPr="005D6E23">
        <w:rPr>
          <w:rFonts w:ascii="Arial" w:hAnsi="Arial" w:cs="Arial"/>
          <w:sz w:val="22"/>
          <w:szCs w:val="22"/>
        </w:rPr>
        <w:t>no están económicamente activas por la atención a sus obligaciones familiares, frente a 54 mil hombres en esa situación. Sólo el motivo de no poder trabajar debido a responsabilidades familiares y del hogar agrupa a más mujeres que el total de hombres que se encuentran inactivos por cualquiera de los seis motivos incluidos en la encuesta.</w:t>
      </w:r>
    </w:p>
    <w:p w14:paraId="56A39C2A" w14:textId="77777777" w:rsidR="00AE306A" w:rsidRPr="005D6E23" w:rsidRDefault="00AE306A" w:rsidP="005D6E23">
      <w:pPr>
        <w:adjustRightInd w:val="0"/>
        <w:snapToGrid w:val="0"/>
        <w:jc w:val="both"/>
        <w:rPr>
          <w:rFonts w:ascii="Arial" w:hAnsi="Arial" w:cs="Arial"/>
          <w:sz w:val="22"/>
          <w:szCs w:val="22"/>
        </w:rPr>
      </w:pPr>
    </w:p>
    <w:p w14:paraId="00777A88" w14:textId="0C922AEB" w:rsidR="008013FB" w:rsidRPr="005D6E23" w:rsidRDefault="008013FB" w:rsidP="005D6E23">
      <w:pPr>
        <w:adjustRightInd w:val="0"/>
        <w:snapToGrid w:val="0"/>
        <w:jc w:val="center"/>
        <w:rPr>
          <w:rFonts w:ascii="Arial" w:hAnsi="Arial" w:cs="Arial"/>
          <w:i/>
          <w:iCs/>
          <w:color w:val="44546A" w:themeColor="text2"/>
          <w:sz w:val="22"/>
          <w:szCs w:val="22"/>
        </w:rPr>
      </w:pPr>
      <w:r w:rsidRPr="005D6E23">
        <w:rPr>
          <w:rFonts w:ascii="Arial" w:hAnsi="Arial" w:cs="Arial"/>
          <w:i/>
          <w:iCs/>
          <w:color w:val="44546A" w:themeColor="text2"/>
          <w:sz w:val="22"/>
          <w:szCs w:val="22"/>
        </w:rPr>
        <w:t xml:space="preserve">Gráfico </w:t>
      </w:r>
      <w:r w:rsidR="00F274B7" w:rsidRPr="005D6E23">
        <w:rPr>
          <w:rFonts w:ascii="Arial" w:hAnsi="Arial" w:cs="Arial"/>
          <w:i/>
          <w:iCs/>
          <w:color w:val="44546A" w:themeColor="text2"/>
          <w:sz w:val="22"/>
          <w:szCs w:val="22"/>
        </w:rPr>
        <w:t>4</w:t>
      </w:r>
      <w:r w:rsidRPr="005D6E23">
        <w:rPr>
          <w:rFonts w:ascii="Arial" w:hAnsi="Arial" w:cs="Arial"/>
          <w:i/>
          <w:iCs/>
          <w:color w:val="44546A" w:themeColor="text2"/>
          <w:sz w:val="22"/>
          <w:szCs w:val="22"/>
        </w:rPr>
        <w:t>. Motivos declarados para estar fuera de la fuerza laboral por sexo. 2018</w:t>
      </w:r>
    </w:p>
    <w:p w14:paraId="02A456A0" w14:textId="77777777" w:rsidR="008013FB" w:rsidRPr="005D6E23" w:rsidRDefault="008013FB" w:rsidP="00F82BE2">
      <w:pPr>
        <w:adjustRightInd w:val="0"/>
        <w:snapToGrid w:val="0"/>
        <w:spacing w:after="120"/>
        <w:jc w:val="center"/>
        <w:rPr>
          <w:rFonts w:ascii="Arial" w:hAnsi="Arial" w:cs="Arial"/>
          <w:sz w:val="22"/>
          <w:szCs w:val="22"/>
          <w:lang w:val="es-MX" w:eastAsia="es-ES_tradnl"/>
        </w:rPr>
      </w:pPr>
      <w:r w:rsidRPr="005D6E23">
        <w:rPr>
          <w:rFonts w:ascii="Arial" w:hAnsi="Arial" w:cs="Arial"/>
          <w:noProof/>
          <w:sz w:val="22"/>
          <w:szCs w:val="22"/>
          <w:lang w:val="en-US"/>
        </w:rPr>
        <w:drawing>
          <wp:inline distT="0" distB="0" distL="0" distR="0" wp14:anchorId="1D480F02" wp14:editId="3774974D">
            <wp:extent cx="5339780" cy="25315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339780" cy="2531533"/>
                    </a:xfrm>
                    <a:prstGeom prst="rect">
                      <a:avLst/>
                    </a:prstGeom>
                  </pic:spPr>
                </pic:pic>
              </a:graphicData>
            </a:graphic>
          </wp:inline>
        </w:drawing>
      </w:r>
    </w:p>
    <w:p w14:paraId="759BF9D6" w14:textId="357B4640" w:rsidR="008013FB" w:rsidRPr="005D6E23" w:rsidRDefault="008013FB" w:rsidP="00F82BE2">
      <w:pPr>
        <w:pStyle w:val="Normal1"/>
        <w:adjustRightInd w:val="0"/>
        <w:snapToGrid w:val="0"/>
        <w:spacing w:after="120" w:line="240" w:lineRule="auto"/>
        <w:jc w:val="center"/>
        <w:rPr>
          <w:rFonts w:eastAsiaTheme="minorHAnsi"/>
          <w:i/>
          <w:iCs/>
          <w:szCs w:val="22"/>
          <w:lang w:val="es-ES_tradnl" w:eastAsia="es-CR"/>
        </w:rPr>
      </w:pPr>
      <w:r w:rsidRPr="005D6E23">
        <w:rPr>
          <w:rFonts w:eastAsiaTheme="minorHAnsi"/>
          <w:i/>
          <w:iCs/>
          <w:szCs w:val="22"/>
          <w:lang w:val="es-ES_tradnl" w:eastAsia="es-CR"/>
        </w:rPr>
        <w:t xml:space="preserve">Fuente: </w:t>
      </w:r>
      <w:r w:rsidRPr="005D6E23">
        <w:rPr>
          <w:i/>
          <w:iCs/>
          <w:szCs w:val="22"/>
          <w:lang w:val="es-CO" w:eastAsia="es-CR"/>
        </w:rPr>
        <w:t xml:space="preserve">Diagnóstico IPG Costa Rica, </w:t>
      </w:r>
      <w:r w:rsidRPr="005D6E23">
        <w:rPr>
          <w:rFonts w:eastAsiaTheme="minorHAnsi"/>
          <w:i/>
          <w:iCs/>
          <w:szCs w:val="22"/>
          <w:lang w:val="es-ES_tradnl" w:eastAsia="es-CR"/>
        </w:rPr>
        <w:t>sobre la base de ENAHO 2018.</w:t>
      </w:r>
    </w:p>
    <w:p w14:paraId="65A1804C" w14:textId="77777777" w:rsidR="00B0261B" w:rsidRPr="005D6E23" w:rsidRDefault="00455FA6" w:rsidP="00B0261B">
      <w:pPr>
        <w:adjustRightInd w:val="0"/>
        <w:snapToGrid w:val="0"/>
        <w:spacing w:after="120"/>
        <w:jc w:val="both"/>
        <w:rPr>
          <w:rFonts w:ascii="Arial" w:hAnsi="Arial" w:cs="Arial"/>
          <w:sz w:val="22"/>
          <w:szCs w:val="22"/>
        </w:rPr>
      </w:pPr>
      <w:r w:rsidRPr="005D6E23">
        <w:rPr>
          <w:rFonts w:ascii="Arial" w:hAnsi="Arial" w:cs="Arial"/>
          <w:sz w:val="22"/>
          <w:szCs w:val="22"/>
        </w:rPr>
        <w:lastRenderedPageBreak/>
        <w:t xml:space="preserve">En efecto, las mujeres dedican hasta casi tres veces más de su tiempo a este trabajo que los hombres. La Encuesta Nacional de Usos del Tiempo refleja que las mujeres dedican a la semana 36 horas en promedio al trabajo doméstico no remunerado, y los hombres sólo 14 horas. En el caso específicamente del cuido, la distribución es de 23 horas para las mujeres frente a 13,5 para los hombres. </w:t>
      </w:r>
      <w:r w:rsidR="00B0261B" w:rsidRPr="005D6E23">
        <w:rPr>
          <w:rFonts w:ascii="Arial" w:hAnsi="Arial" w:cs="Arial"/>
          <w:sz w:val="22"/>
          <w:szCs w:val="22"/>
        </w:rPr>
        <w:t>En el contexto del COVID-19 y ante cierre de las escuelas y suspensión de clases, e interrupción de servicios en los centros de cuido para niños, personas con discapacidad y adultos mayores, las mujeres experimentarán todavía una mayor carga en los hogares.</w:t>
      </w:r>
    </w:p>
    <w:p w14:paraId="1CA9C973" w14:textId="15C01A00" w:rsidR="00455FA6" w:rsidRPr="005D6E23" w:rsidRDefault="00B0261B" w:rsidP="00B0261B">
      <w:pPr>
        <w:adjustRightInd w:val="0"/>
        <w:snapToGrid w:val="0"/>
        <w:spacing w:after="120"/>
        <w:jc w:val="both"/>
        <w:rPr>
          <w:rFonts w:ascii="Arial" w:hAnsi="Arial" w:cs="Arial"/>
          <w:sz w:val="22"/>
          <w:szCs w:val="22"/>
        </w:rPr>
      </w:pPr>
      <w:r w:rsidRPr="005D6E23">
        <w:rPr>
          <w:rFonts w:ascii="Arial" w:hAnsi="Arial" w:cs="Arial"/>
          <w:sz w:val="22"/>
          <w:szCs w:val="22"/>
        </w:rPr>
        <w:t>Un grupo particularmente vulnerable en este sentido son las mujeres jefas de hogar. En Costa Rica, el 39,9% del total de los hogares tiene jefatura femenina, porcentaje que trepa al 47,8% entre los hogares pobres. Los hogares pobres encabezados por mujeres no tienen garantizados los recursos económicos para su subsistencia y deben atender una carga superior de cuidados, ya que en promedio tienen más miembros por hogar.</w:t>
      </w:r>
    </w:p>
    <w:p w14:paraId="2412D226" w14:textId="0C694A5A" w:rsidR="00F36FCE" w:rsidRPr="005D6E23" w:rsidRDefault="00D24761" w:rsidP="00F82BE2">
      <w:pPr>
        <w:adjustRightInd w:val="0"/>
        <w:snapToGrid w:val="0"/>
        <w:spacing w:after="120"/>
        <w:jc w:val="both"/>
        <w:rPr>
          <w:rFonts w:ascii="Arial" w:eastAsia="Times New Roman" w:hAnsi="Arial" w:cs="Arial"/>
          <w:color w:val="212529"/>
          <w:sz w:val="22"/>
          <w:szCs w:val="22"/>
          <w:shd w:val="clear" w:color="auto" w:fill="FFFFFF"/>
          <w:lang w:val="es-CR" w:eastAsia="es-ES_tradnl"/>
        </w:rPr>
      </w:pPr>
      <w:r w:rsidRPr="005D6E23">
        <w:rPr>
          <w:rFonts w:ascii="Arial" w:eastAsia="Times New Roman" w:hAnsi="Arial" w:cs="Arial"/>
          <w:color w:val="212529"/>
          <w:sz w:val="22"/>
          <w:szCs w:val="22"/>
          <w:shd w:val="clear" w:color="auto" w:fill="FFFFFF"/>
          <w:lang w:val="es-CR" w:eastAsia="es-ES_tradnl"/>
        </w:rPr>
        <w:t>Adicionalmente, esto implica que las mujeres</w:t>
      </w:r>
      <w:r w:rsidR="00F36FCE" w:rsidRPr="005D6E23">
        <w:rPr>
          <w:rFonts w:ascii="Arial" w:eastAsia="Times New Roman" w:hAnsi="Arial" w:cs="Arial"/>
          <w:color w:val="212529"/>
          <w:sz w:val="22"/>
          <w:szCs w:val="22"/>
          <w:shd w:val="clear" w:color="auto" w:fill="FFFFFF"/>
          <w:lang w:val="es-CR" w:eastAsia="es-ES_tradnl"/>
        </w:rPr>
        <w:t xml:space="preserve"> tienen una menor presencia en las actividades y sectores económicos más dinámicos, tecnológicos y de alta productividad. De hecho, en 2017, el 76% de las mujeres se encontraba ocupada en sectores de baja productividad, frente al 54% de los hombres. Adicionalmente, solo el 10% de las mujeres estaban ocupadas en las actividades económicas de mayor crecimiento del país (versus 25% de los hombres) y solo el 35% lo hacía en las actividades que más ingreso aportan a la economía del país (versus 68% de los hombres). (ONU Mujeres, 2017)</w:t>
      </w:r>
    </w:p>
    <w:p w14:paraId="1112B851" w14:textId="525A729D" w:rsidR="00274428" w:rsidRPr="005D6E23" w:rsidRDefault="008013FB" w:rsidP="00B0261B">
      <w:pPr>
        <w:adjustRightInd w:val="0"/>
        <w:snapToGrid w:val="0"/>
        <w:spacing w:after="120"/>
        <w:jc w:val="both"/>
        <w:rPr>
          <w:rFonts w:ascii="Arial" w:hAnsi="Arial" w:cs="Arial"/>
          <w:i/>
          <w:iCs/>
          <w:sz w:val="22"/>
          <w:szCs w:val="22"/>
          <w:lang w:eastAsia="es-CR"/>
        </w:rPr>
      </w:pPr>
      <w:r w:rsidRPr="005D6E23">
        <w:rPr>
          <w:rFonts w:ascii="Arial" w:eastAsia="Times New Roman" w:hAnsi="Arial" w:cs="Arial"/>
          <w:color w:val="212529"/>
          <w:sz w:val="22"/>
          <w:szCs w:val="22"/>
          <w:shd w:val="clear" w:color="auto" w:fill="FFFFFF"/>
          <w:lang w:val="es-CR" w:eastAsia="es-ES_tradnl"/>
        </w:rPr>
        <w:t>Por otro lado</w:t>
      </w:r>
      <w:r w:rsidR="00DE61A9" w:rsidRPr="005D6E23">
        <w:rPr>
          <w:rFonts w:ascii="Arial" w:eastAsia="Times New Roman" w:hAnsi="Arial" w:cs="Arial"/>
          <w:color w:val="212529"/>
          <w:sz w:val="22"/>
          <w:szCs w:val="22"/>
          <w:shd w:val="clear" w:color="auto" w:fill="FFFFFF"/>
          <w:lang w:val="es-CR" w:eastAsia="es-ES_tradnl"/>
        </w:rPr>
        <w:t xml:space="preserve">, las mujeres se incorporan laboralmente en los sectores más afectados por la crisis del COVID-19, como el comercio minorista, hotelería, restaurantes, actividades relacionadas al turismo </w:t>
      </w:r>
      <w:r w:rsidR="00DE61A9" w:rsidRPr="005D6E23">
        <w:rPr>
          <w:rFonts w:ascii="Arial" w:eastAsia="Times New Roman" w:hAnsi="Arial" w:cs="Arial"/>
          <w:sz w:val="22"/>
          <w:szCs w:val="22"/>
          <w:lang w:val="es-US" w:eastAsia="es-ES_tradnl"/>
        </w:rPr>
        <w:t xml:space="preserve">y los servicios de limpieza y de cuidado </w:t>
      </w:r>
      <w:r w:rsidR="00F36FCE" w:rsidRPr="005D6E23">
        <w:rPr>
          <w:rFonts w:ascii="Arial" w:eastAsia="Times New Roman" w:hAnsi="Arial" w:cs="Arial"/>
          <w:sz w:val="22"/>
          <w:szCs w:val="22"/>
          <w:lang w:val="es-US" w:eastAsia="es-ES_tradnl"/>
        </w:rPr>
        <w:t>doméstico</w:t>
      </w:r>
      <w:r w:rsidR="00DE61A9" w:rsidRPr="005D6E23">
        <w:rPr>
          <w:rFonts w:ascii="Arial" w:eastAsia="Times New Roman" w:hAnsi="Arial" w:cs="Arial"/>
          <w:sz w:val="22"/>
          <w:szCs w:val="22"/>
          <w:lang w:val="es-US" w:eastAsia="es-ES_tradnl"/>
        </w:rPr>
        <w:t xml:space="preserve"> remunerado. En Costa Rica, más de la mitad (51,4%) de las mujeres ocupadas se desempeña en esos sectores: el 17,2% de ellas están en el trabajo doméstico remunerado, el 16,7% en el comercio, el 9% en hoteles y restaurantes y el 8,5% en servicios de comida. En contraste, el solo un tercio (30,2%) de los hombres lo hace: 3,5%, 17,5%, 4,6% y 4,6%, </w:t>
      </w:r>
    </w:p>
    <w:p w14:paraId="3E136667" w14:textId="206A0E46" w:rsidR="00F36FCE" w:rsidRPr="005D6E23" w:rsidRDefault="00F36FCE"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Adicionalmente, las mujeres se encuentran sobrerrepresentadas entre los trabajadores más vulnerables, como las trabajadoras por cuenta propia en actividades informales sin protección social o aseguramiento, las trabajadoras migrantes, rurales, indígenas y las mujeres jóvenes desempleadas.</w:t>
      </w:r>
    </w:p>
    <w:p w14:paraId="094C43DB" w14:textId="77777777" w:rsidR="00F36FCE" w:rsidRPr="005D6E23" w:rsidRDefault="00F36FCE" w:rsidP="00F82BE2">
      <w:pPr>
        <w:adjustRightInd w:val="0"/>
        <w:snapToGrid w:val="0"/>
        <w:spacing w:after="120"/>
        <w:jc w:val="both"/>
        <w:rPr>
          <w:rFonts w:ascii="Arial" w:eastAsia="Times New Roman" w:hAnsi="Arial" w:cs="Arial"/>
          <w:color w:val="212529"/>
          <w:sz w:val="22"/>
          <w:szCs w:val="22"/>
          <w:shd w:val="clear" w:color="auto" w:fill="FFFFFF"/>
          <w:lang w:val="es-US" w:eastAsia="es-ES_tradnl"/>
        </w:rPr>
      </w:pPr>
      <w:r w:rsidRPr="005D6E23">
        <w:rPr>
          <w:rFonts w:ascii="Arial" w:eastAsia="Times New Roman" w:hAnsi="Arial" w:cs="Arial"/>
          <w:color w:val="212529"/>
          <w:sz w:val="22"/>
          <w:szCs w:val="22"/>
          <w:shd w:val="clear" w:color="auto" w:fill="FFFFFF"/>
          <w:lang w:val="es-US" w:eastAsia="es-ES_tradnl"/>
        </w:rPr>
        <w:t>La reducción de la actividad económica ante las cuarentenas, la reducción de la movilidad y los cierres de comercios minoristas afecta en primera instancia a las trabajadoras informales porque pierden su sustento de vida de forma casi inmediata. Al no contar con una red de protección social, percibir bajas remuneraciones y tener condiciones laborales precarias, les</w:t>
      </w:r>
      <w:r w:rsidRPr="005D6E23">
        <w:rPr>
          <w:rFonts w:ascii="Arial" w:eastAsia="Times New Roman" w:hAnsi="Arial" w:cs="Arial"/>
          <w:sz w:val="22"/>
          <w:szCs w:val="22"/>
          <w:lang w:val="es-US" w:eastAsia="es-ES_tradnl"/>
        </w:rPr>
        <w:t xml:space="preserve"> resulta casi imposible sustituir el ingreso diario. </w:t>
      </w:r>
    </w:p>
    <w:p w14:paraId="4DD3D225" w14:textId="7647817D" w:rsidR="00F36FCE" w:rsidRPr="005D6E23" w:rsidRDefault="00F36FCE"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Costa Rica, una de cada dos mujeres ocupadas es trabajadora informal (más de 400 mil mujeres): el 76,4% son asalariadas informales, el 18,4% son cuentapropistas informales, el 2,3% son patronos informales y el 2.9% son trabajadoras no remuneradas. Dentro de este grupo de trabajadoras vulnerables, las que se encuentran en peor situación porque no perciben ingresos o han dejado de percibirlos son las cuentapropistas (mujeres que tienen trabajos ocasionales) y las trabajadoras no remuneradas, que duplican en cantidad a los hombres en dicha situación (INEC - ECE IV trimestre 2018).</w:t>
      </w:r>
    </w:p>
    <w:p w14:paraId="303F99AA" w14:textId="28D15D93" w:rsidR="009B55CA" w:rsidRDefault="009B55CA" w:rsidP="00F82BE2">
      <w:pPr>
        <w:adjustRightInd w:val="0"/>
        <w:snapToGrid w:val="0"/>
        <w:spacing w:after="120"/>
        <w:jc w:val="both"/>
        <w:rPr>
          <w:rFonts w:ascii="Arial" w:eastAsia="Times New Roman" w:hAnsi="Arial" w:cs="Arial"/>
          <w:sz w:val="22"/>
          <w:szCs w:val="22"/>
          <w:lang w:val="es-US" w:eastAsia="es-ES_tradnl"/>
        </w:rPr>
      </w:pPr>
    </w:p>
    <w:p w14:paraId="02FF9B09" w14:textId="77777777" w:rsidR="00AE306A" w:rsidRPr="005D6E23" w:rsidRDefault="00AE306A" w:rsidP="00F82BE2">
      <w:pPr>
        <w:adjustRightInd w:val="0"/>
        <w:snapToGrid w:val="0"/>
        <w:spacing w:after="120"/>
        <w:jc w:val="both"/>
        <w:rPr>
          <w:rFonts w:ascii="Arial" w:eastAsia="Times New Roman" w:hAnsi="Arial" w:cs="Arial"/>
          <w:sz w:val="22"/>
          <w:szCs w:val="22"/>
          <w:lang w:val="es-US" w:eastAsia="es-ES_tradnl"/>
        </w:rPr>
      </w:pPr>
    </w:p>
    <w:p w14:paraId="216EF37C" w14:textId="77777777" w:rsidR="009B55CA" w:rsidRPr="005D6E23" w:rsidRDefault="009B55CA" w:rsidP="00F82BE2">
      <w:pPr>
        <w:adjustRightInd w:val="0"/>
        <w:snapToGrid w:val="0"/>
        <w:spacing w:after="120"/>
        <w:jc w:val="both"/>
        <w:rPr>
          <w:rFonts w:ascii="Arial" w:eastAsia="Times New Roman" w:hAnsi="Arial" w:cs="Arial"/>
          <w:sz w:val="22"/>
          <w:szCs w:val="22"/>
          <w:lang w:val="es-US" w:eastAsia="es-ES_tradnl"/>
        </w:rPr>
      </w:pPr>
    </w:p>
    <w:p w14:paraId="4B8FEDA5" w14:textId="77777777" w:rsidR="00AE306A" w:rsidRDefault="00AE306A" w:rsidP="00F82BE2">
      <w:pPr>
        <w:adjustRightInd w:val="0"/>
        <w:snapToGrid w:val="0"/>
        <w:spacing w:after="120"/>
        <w:jc w:val="center"/>
        <w:rPr>
          <w:rFonts w:ascii="Arial" w:eastAsia="Times New Roman" w:hAnsi="Arial" w:cs="Arial"/>
          <w:color w:val="44546A" w:themeColor="text2"/>
          <w:sz w:val="22"/>
          <w:szCs w:val="22"/>
          <w:lang w:val="es-MX" w:eastAsia="es-ES_tradnl"/>
        </w:rPr>
      </w:pPr>
    </w:p>
    <w:p w14:paraId="6F23E92F" w14:textId="1FD1B816" w:rsidR="00377DD7" w:rsidRPr="005D6E23" w:rsidRDefault="00377DD7" w:rsidP="00F82BE2">
      <w:pPr>
        <w:adjustRightInd w:val="0"/>
        <w:snapToGrid w:val="0"/>
        <w:spacing w:after="120"/>
        <w:jc w:val="center"/>
        <w:rPr>
          <w:rFonts w:ascii="Arial" w:eastAsia="Times New Roman" w:hAnsi="Arial" w:cs="Arial"/>
          <w:color w:val="44546A" w:themeColor="text2"/>
          <w:sz w:val="22"/>
          <w:szCs w:val="22"/>
          <w:lang w:val="es-MX" w:eastAsia="es-ES_tradnl"/>
        </w:rPr>
      </w:pPr>
      <w:r w:rsidRPr="005D6E23">
        <w:rPr>
          <w:rFonts w:ascii="Arial" w:eastAsia="Times New Roman" w:hAnsi="Arial" w:cs="Arial"/>
          <w:color w:val="44546A" w:themeColor="text2"/>
          <w:sz w:val="22"/>
          <w:szCs w:val="22"/>
          <w:lang w:val="es-MX" w:eastAsia="es-ES_tradnl"/>
        </w:rPr>
        <w:lastRenderedPageBreak/>
        <w:t>Cuadro 1: Posición en el empleo (IV Trimestre 2018)</w:t>
      </w:r>
    </w:p>
    <w:tbl>
      <w:tblPr>
        <w:tblStyle w:val="TableGrid"/>
        <w:tblW w:w="0" w:type="auto"/>
        <w:tblLook w:val="04A0" w:firstRow="1" w:lastRow="0" w:firstColumn="1" w:lastColumn="0" w:noHBand="0" w:noVBand="1"/>
      </w:tblPr>
      <w:tblGrid>
        <w:gridCol w:w="1765"/>
        <w:gridCol w:w="1765"/>
        <w:gridCol w:w="1766"/>
        <w:gridCol w:w="1766"/>
        <w:gridCol w:w="1766"/>
      </w:tblGrid>
      <w:tr w:rsidR="00377DD7" w:rsidRPr="00734F77" w14:paraId="5FA67818" w14:textId="77777777" w:rsidTr="005D6E23">
        <w:tc>
          <w:tcPr>
            <w:tcW w:w="1765" w:type="dxa"/>
            <w:vMerge w:val="restart"/>
            <w:shd w:val="clear" w:color="auto" w:fill="002060"/>
            <w:vAlign w:val="center"/>
          </w:tcPr>
          <w:p w14:paraId="4FB59035"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Total</w:t>
            </w:r>
          </w:p>
        </w:tc>
        <w:tc>
          <w:tcPr>
            <w:tcW w:w="3531" w:type="dxa"/>
            <w:gridSpan w:val="2"/>
            <w:shd w:val="clear" w:color="auto" w:fill="002060"/>
            <w:vAlign w:val="center"/>
          </w:tcPr>
          <w:p w14:paraId="036A1CE5"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Hombres</w:t>
            </w:r>
          </w:p>
        </w:tc>
        <w:tc>
          <w:tcPr>
            <w:tcW w:w="3532" w:type="dxa"/>
            <w:gridSpan w:val="2"/>
            <w:shd w:val="clear" w:color="auto" w:fill="002060"/>
            <w:vAlign w:val="center"/>
          </w:tcPr>
          <w:p w14:paraId="18E3364A"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Mujeres</w:t>
            </w:r>
          </w:p>
        </w:tc>
      </w:tr>
      <w:tr w:rsidR="00377DD7" w:rsidRPr="00734F77" w14:paraId="36AF99AB" w14:textId="77777777" w:rsidTr="005D6E23">
        <w:tc>
          <w:tcPr>
            <w:tcW w:w="1765" w:type="dxa"/>
            <w:vMerge/>
            <w:shd w:val="clear" w:color="auto" w:fill="002060"/>
            <w:vAlign w:val="center"/>
          </w:tcPr>
          <w:p w14:paraId="105A07F0"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p>
        </w:tc>
        <w:tc>
          <w:tcPr>
            <w:tcW w:w="1765" w:type="dxa"/>
            <w:shd w:val="clear" w:color="auto" w:fill="002060"/>
            <w:vAlign w:val="center"/>
          </w:tcPr>
          <w:p w14:paraId="68EF4625"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Total</w:t>
            </w:r>
          </w:p>
        </w:tc>
        <w:tc>
          <w:tcPr>
            <w:tcW w:w="1766" w:type="dxa"/>
            <w:shd w:val="clear" w:color="auto" w:fill="002060"/>
            <w:vAlign w:val="center"/>
          </w:tcPr>
          <w:p w14:paraId="3E62EFFA"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Informal (en %)</w:t>
            </w:r>
          </w:p>
        </w:tc>
        <w:tc>
          <w:tcPr>
            <w:tcW w:w="1766" w:type="dxa"/>
            <w:shd w:val="clear" w:color="auto" w:fill="002060"/>
            <w:vAlign w:val="center"/>
          </w:tcPr>
          <w:p w14:paraId="749D314B"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Total</w:t>
            </w:r>
          </w:p>
        </w:tc>
        <w:tc>
          <w:tcPr>
            <w:tcW w:w="1766" w:type="dxa"/>
            <w:shd w:val="clear" w:color="auto" w:fill="002060"/>
            <w:vAlign w:val="center"/>
          </w:tcPr>
          <w:p w14:paraId="4D790487"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Informal (en %)</w:t>
            </w:r>
          </w:p>
        </w:tc>
      </w:tr>
      <w:tr w:rsidR="00377DD7" w:rsidRPr="00734F77" w14:paraId="09C12911" w14:textId="77777777" w:rsidTr="00416CE4">
        <w:tc>
          <w:tcPr>
            <w:tcW w:w="1765" w:type="dxa"/>
          </w:tcPr>
          <w:p w14:paraId="09A6FACF"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Total</w:t>
            </w:r>
          </w:p>
        </w:tc>
        <w:tc>
          <w:tcPr>
            <w:tcW w:w="1765" w:type="dxa"/>
            <w:vAlign w:val="bottom"/>
          </w:tcPr>
          <w:p w14:paraId="65F087D3"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1.332.961</w:t>
            </w:r>
          </w:p>
        </w:tc>
        <w:tc>
          <w:tcPr>
            <w:tcW w:w="1766" w:type="dxa"/>
            <w:vAlign w:val="center"/>
          </w:tcPr>
          <w:p w14:paraId="5797A56F"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42,2</w:t>
            </w:r>
          </w:p>
        </w:tc>
        <w:tc>
          <w:tcPr>
            <w:tcW w:w="1766" w:type="dxa"/>
          </w:tcPr>
          <w:p w14:paraId="6FB26FDC"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832.362</w:t>
            </w:r>
          </w:p>
        </w:tc>
        <w:tc>
          <w:tcPr>
            <w:tcW w:w="1766" w:type="dxa"/>
            <w:vAlign w:val="bottom"/>
          </w:tcPr>
          <w:p w14:paraId="2B7A3147"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49,1</w:t>
            </w:r>
          </w:p>
        </w:tc>
      </w:tr>
      <w:tr w:rsidR="00377DD7" w:rsidRPr="006404CB" w14:paraId="2630ACDF" w14:textId="77777777" w:rsidTr="00416CE4">
        <w:tc>
          <w:tcPr>
            <w:tcW w:w="1765" w:type="dxa"/>
          </w:tcPr>
          <w:p w14:paraId="52513476"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Asalariado</w:t>
            </w:r>
          </w:p>
        </w:tc>
        <w:tc>
          <w:tcPr>
            <w:tcW w:w="1765" w:type="dxa"/>
            <w:vAlign w:val="bottom"/>
          </w:tcPr>
          <w:p w14:paraId="1056710E"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976.795</w:t>
            </w:r>
          </w:p>
        </w:tc>
        <w:tc>
          <w:tcPr>
            <w:tcW w:w="1766" w:type="dxa"/>
            <w:vAlign w:val="center"/>
          </w:tcPr>
          <w:p w14:paraId="5F3BE5EC"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25,1</w:t>
            </w:r>
          </w:p>
        </w:tc>
        <w:tc>
          <w:tcPr>
            <w:tcW w:w="1766" w:type="dxa"/>
          </w:tcPr>
          <w:p w14:paraId="17F085A6"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636.090</w:t>
            </w:r>
          </w:p>
        </w:tc>
        <w:tc>
          <w:tcPr>
            <w:tcW w:w="1766" w:type="dxa"/>
            <w:vAlign w:val="bottom"/>
          </w:tcPr>
          <w:p w14:paraId="0143EEE6"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35,0</w:t>
            </w:r>
          </w:p>
        </w:tc>
      </w:tr>
      <w:tr w:rsidR="00377DD7" w:rsidRPr="006404CB" w14:paraId="62D26D81" w14:textId="77777777" w:rsidTr="00416CE4">
        <w:tc>
          <w:tcPr>
            <w:tcW w:w="1765" w:type="dxa"/>
          </w:tcPr>
          <w:p w14:paraId="3464AD26"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Cuenta Propia</w:t>
            </w:r>
          </w:p>
        </w:tc>
        <w:tc>
          <w:tcPr>
            <w:tcW w:w="1765" w:type="dxa"/>
            <w:vAlign w:val="bottom"/>
          </w:tcPr>
          <w:p w14:paraId="15534A62"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269.468</w:t>
            </w:r>
          </w:p>
        </w:tc>
        <w:tc>
          <w:tcPr>
            <w:tcW w:w="1766" w:type="dxa"/>
            <w:vAlign w:val="center"/>
          </w:tcPr>
          <w:p w14:paraId="37595CF1"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94,5</w:t>
            </w:r>
          </w:p>
        </w:tc>
        <w:tc>
          <w:tcPr>
            <w:tcW w:w="1766" w:type="dxa"/>
          </w:tcPr>
          <w:p w14:paraId="7A4F68BE"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153.527</w:t>
            </w:r>
          </w:p>
        </w:tc>
        <w:tc>
          <w:tcPr>
            <w:tcW w:w="1766" w:type="dxa"/>
            <w:vAlign w:val="bottom"/>
          </w:tcPr>
          <w:p w14:paraId="53724BCA"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97,5</w:t>
            </w:r>
          </w:p>
        </w:tc>
      </w:tr>
      <w:tr w:rsidR="00377DD7" w:rsidRPr="006404CB" w14:paraId="3312AB79" w14:textId="77777777" w:rsidTr="00416CE4">
        <w:tc>
          <w:tcPr>
            <w:tcW w:w="1765" w:type="dxa"/>
          </w:tcPr>
          <w:p w14:paraId="3DBFE7FF"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Patrono</w:t>
            </w:r>
          </w:p>
        </w:tc>
        <w:tc>
          <w:tcPr>
            <w:tcW w:w="1765" w:type="dxa"/>
            <w:vAlign w:val="bottom"/>
          </w:tcPr>
          <w:p w14:paraId="0633FE54"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71.718</w:t>
            </w:r>
          </w:p>
        </w:tc>
        <w:tc>
          <w:tcPr>
            <w:tcW w:w="1766" w:type="dxa"/>
            <w:vAlign w:val="center"/>
          </w:tcPr>
          <w:p w14:paraId="13B08415"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70,9</w:t>
            </w:r>
          </w:p>
        </w:tc>
        <w:tc>
          <w:tcPr>
            <w:tcW w:w="1766" w:type="dxa"/>
          </w:tcPr>
          <w:p w14:paraId="75C7C981"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18.984</w:t>
            </w:r>
          </w:p>
        </w:tc>
        <w:tc>
          <w:tcPr>
            <w:tcW w:w="1766" w:type="dxa"/>
            <w:vAlign w:val="bottom"/>
          </w:tcPr>
          <w:p w14:paraId="0C8A5CB1"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65,7</w:t>
            </w:r>
          </w:p>
        </w:tc>
      </w:tr>
      <w:tr w:rsidR="00377DD7" w:rsidRPr="006404CB" w14:paraId="14A1BCEC" w14:textId="77777777" w:rsidTr="00416CE4">
        <w:tc>
          <w:tcPr>
            <w:tcW w:w="1765" w:type="dxa"/>
          </w:tcPr>
          <w:p w14:paraId="6E490B22"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No remunerado</w:t>
            </w:r>
          </w:p>
        </w:tc>
        <w:tc>
          <w:tcPr>
            <w:tcW w:w="1765" w:type="dxa"/>
          </w:tcPr>
          <w:p w14:paraId="033D10D0"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11.980</w:t>
            </w:r>
          </w:p>
        </w:tc>
        <w:tc>
          <w:tcPr>
            <w:tcW w:w="1766" w:type="dxa"/>
            <w:vAlign w:val="center"/>
          </w:tcPr>
          <w:p w14:paraId="58BABFF9"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100,0</w:t>
            </w:r>
          </w:p>
        </w:tc>
        <w:tc>
          <w:tcPr>
            <w:tcW w:w="1766" w:type="dxa"/>
          </w:tcPr>
          <w:p w14:paraId="0F638715"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23.761</w:t>
            </w:r>
          </w:p>
        </w:tc>
        <w:tc>
          <w:tcPr>
            <w:tcW w:w="1766" w:type="dxa"/>
            <w:vAlign w:val="bottom"/>
          </w:tcPr>
          <w:p w14:paraId="7841F004" w14:textId="77777777" w:rsidR="00377DD7" w:rsidRPr="005D6E23" w:rsidRDefault="00377DD7" w:rsidP="00F82BE2">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100,0</w:t>
            </w:r>
          </w:p>
        </w:tc>
      </w:tr>
    </w:tbl>
    <w:p w14:paraId="7C55783C" w14:textId="184930EE" w:rsidR="00377DD7" w:rsidRPr="005D6E23" w:rsidRDefault="00377DD7" w:rsidP="00F82BE2">
      <w:pPr>
        <w:pStyle w:val="Normal1"/>
        <w:adjustRightInd w:val="0"/>
        <w:snapToGrid w:val="0"/>
        <w:spacing w:line="240" w:lineRule="auto"/>
        <w:jc w:val="center"/>
        <w:rPr>
          <w:rFonts w:eastAsiaTheme="minorHAnsi"/>
          <w:i/>
          <w:iCs/>
          <w:szCs w:val="22"/>
          <w:lang w:val="es-ES_tradnl" w:eastAsia="es-CR"/>
        </w:rPr>
      </w:pPr>
      <w:r w:rsidRPr="005D6E23">
        <w:rPr>
          <w:rFonts w:eastAsiaTheme="minorHAnsi"/>
          <w:i/>
          <w:iCs/>
          <w:szCs w:val="22"/>
          <w:lang w:val="es-ES_tradnl" w:eastAsia="es-CR"/>
        </w:rPr>
        <w:t>Fuente: ECE (2018) - Anuario Estadístico del Ministerio de Trabajo.</w:t>
      </w:r>
    </w:p>
    <w:p w14:paraId="32881745" w14:textId="77777777" w:rsidR="00F82BE2" w:rsidRPr="005D6E23" w:rsidRDefault="00F82BE2" w:rsidP="00F82BE2">
      <w:pPr>
        <w:pStyle w:val="Normal1"/>
        <w:adjustRightInd w:val="0"/>
        <w:snapToGrid w:val="0"/>
        <w:spacing w:line="240" w:lineRule="auto"/>
        <w:jc w:val="both"/>
        <w:rPr>
          <w:rFonts w:eastAsiaTheme="minorHAnsi"/>
          <w:i/>
          <w:iCs/>
          <w:szCs w:val="22"/>
          <w:lang w:val="es-ES_tradnl" w:eastAsia="es-CR"/>
        </w:rPr>
      </w:pPr>
    </w:p>
    <w:p w14:paraId="2B808A36" w14:textId="29F18B88" w:rsidR="00377DD7" w:rsidRPr="005D6E23" w:rsidRDefault="00377DD7" w:rsidP="00F82BE2">
      <w:pPr>
        <w:pStyle w:val="Normal1"/>
        <w:adjustRightInd w:val="0"/>
        <w:snapToGrid w:val="0"/>
        <w:spacing w:line="240" w:lineRule="auto"/>
        <w:jc w:val="both"/>
        <w:rPr>
          <w:rFonts w:eastAsiaTheme="minorHAnsi"/>
          <w:i/>
          <w:iCs/>
          <w:szCs w:val="22"/>
          <w:lang w:val="es-ES_tradnl" w:eastAsia="es-CR"/>
        </w:rPr>
      </w:pPr>
      <w:r w:rsidRPr="005D6E23">
        <w:rPr>
          <w:rFonts w:eastAsiaTheme="minorHAnsi"/>
          <w:i/>
          <w:iCs/>
          <w:szCs w:val="22"/>
          <w:lang w:val="es-ES_tradnl" w:eastAsia="es-CR"/>
        </w:rPr>
        <w:t>Nota: Se considera “asalariado informal” a las personas asalariadas sin seguridad social pagada por el empleador, “cuenta propia informal” a las personas que tienen empresas no constituidas en sociedad o tienen trabajos ocasionales, se considera “patronos informales” a los que no tienen empresas constituidas en sociedad, se considera que todos los trabajadores no remunerados son informales.</w:t>
      </w:r>
    </w:p>
    <w:p w14:paraId="3282B59A" w14:textId="77777777" w:rsidR="00F82BE2" w:rsidRPr="005D6E23" w:rsidRDefault="00F82BE2" w:rsidP="00F82BE2">
      <w:pPr>
        <w:pStyle w:val="Normal1"/>
        <w:adjustRightInd w:val="0"/>
        <w:snapToGrid w:val="0"/>
        <w:spacing w:line="240" w:lineRule="auto"/>
        <w:jc w:val="both"/>
        <w:rPr>
          <w:rFonts w:eastAsiaTheme="minorHAnsi"/>
          <w:i/>
          <w:iCs/>
          <w:szCs w:val="22"/>
          <w:lang w:val="es-ES_tradnl" w:eastAsia="es-CR"/>
        </w:rPr>
      </w:pPr>
    </w:p>
    <w:p w14:paraId="5C728938" w14:textId="674389E4" w:rsidR="00377DD7" w:rsidRPr="005D6E23" w:rsidRDefault="00F36FCE"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La informalidad es especialmente alta en el servicio doméstico (8 de cada 10 trabajadoras domésticas remuneradas están en la informalidad).</w:t>
      </w:r>
      <w:r w:rsidR="00377DD7" w:rsidRPr="005D6E23">
        <w:rPr>
          <w:rFonts w:ascii="Arial" w:eastAsia="Times New Roman" w:hAnsi="Arial" w:cs="Arial"/>
          <w:sz w:val="22"/>
          <w:szCs w:val="22"/>
          <w:lang w:val="es-US" w:eastAsia="es-ES_tradnl"/>
        </w:rPr>
        <w:t xml:space="preserve"> Esto es preocupante porque las trabajadoras domésticas (el 17,2% de las mujeres ocupadas en Costa Rica) son uno de los grupos de mujeres más afectados por la crisis del COVID-19. Si continúan trabajando, deben asumir una mayor carga de cuidado de las personas que viven en el hogar donde trabajan durante el tiempo de teletrabajo y cierre de escuelas. Otras, pierden su ingreso si se les solicita dejar de trabajar y permanecer en sus casas. En cualquier caso, también deberán asumir en sus propios hogares una mayor carga de cuidados de sus familias.</w:t>
      </w:r>
    </w:p>
    <w:p w14:paraId="4CE94130" w14:textId="77BC0370" w:rsidR="00F36FCE" w:rsidRPr="005D6E23" w:rsidRDefault="00377DD7"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Por otro lado</w:t>
      </w:r>
      <w:r w:rsidR="00F36FCE" w:rsidRPr="005D6E23">
        <w:rPr>
          <w:rFonts w:ascii="Arial" w:eastAsia="Times New Roman" w:hAnsi="Arial" w:cs="Arial"/>
          <w:sz w:val="22"/>
          <w:szCs w:val="22"/>
          <w:lang w:val="es-US" w:eastAsia="es-ES_tradnl"/>
        </w:rPr>
        <w:t>, las mujeres se encuentran más representadas en el subempleo</w:t>
      </w:r>
      <w:r w:rsidR="00F36FCE" w:rsidRPr="005D6E23">
        <w:rPr>
          <w:rFonts w:ascii="Arial" w:eastAsia="Times New Roman" w:hAnsi="Arial" w:cs="Arial"/>
          <w:sz w:val="22"/>
          <w:szCs w:val="22"/>
          <w:vertAlign w:val="superscript"/>
          <w:lang w:val="es-US" w:eastAsia="es-ES_tradnl"/>
        </w:rPr>
        <w:footnoteReference w:id="1"/>
      </w:r>
      <w:r w:rsidR="00F36FCE" w:rsidRPr="005D6E23">
        <w:rPr>
          <w:rFonts w:ascii="Arial" w:eastAsia="Times New Roman" w:hAnsi="Arial" w:cs="Arial"/>
          <w:sz w:val="22"/>
          <w:szCs w:val="22"/>
          <w:vertAlign w:val="superscript"/>
          <w:lang w:val="es-US" w:eastAsia="es-ES_tradnl"/>
        </w:rPr>
        <w:t xml:space="preserve"> </w:t>
      </w:r>
      <w:r w:rsidR="00F36FCE" w:rsidRPr="005D6E23">
        <w:rPr>
          <w:rFonts w:ascii="Arial" w:eastAsia="Times New Roman" w:hAnsi="Arial" w:cs="Arial"/>
          <w:sz w:val="22"/>
          <w:szCs w:val="22"/>
          <w:lang w:val="es-US" w:eastAsia="es-ES_tradnl"/>
        </w:rPr>
        <w:t>(13,1%) respecto de los hombres (7</w:t>
      </w:r>
      <w:r w:rsidR="006404CB">
        <w:rPr>
          <w:rFonts w:ascii="Arial" w:eastAsia="Times New Roman" w:hAnsi="Arial" w:cs="Arial"/>
          <w:sz w:val="22"/>
          <w:szCs w:val="22"/>
          <w:lang w:val="es-US" w:eastAsia="es-ES_tradnl"/>
        </w:rPr>
        <w:t>,</w:t>
      </w:r>
      <w:r w:rsidR="00F36FCE" w:rsidRPr="005D6E23">
        <w:rPr>
          <w:rFonts w:ascii="Arial" w:eastAsia="Times New Roman" w:hAnsi="Arial" w:cs="Arial"/>
          <w:sz w:val="22"/>
          <w:szCs w:val="22"/>
          <w:lang w:val="es-US" w:eastAsia="es-ES_tradnl"/>
        </w:rPr>
        <w:t>2%). El subempleo es reflejo de la precariedad laboral que afecta a muchas mujeres en Costa Rica, que trabajan en jornadas parciales, con inestabilidad laboral, sin aseguramiento, y sin garantía de obtener un salario mínimo por ley, pues en Costa Rica el salario mínimo se calcula por jornada completa y no por horas.</w:t>
      </w:r>
    </w:p>
    <w:p w14:paraId="3D86E717" w14:textId="77777777" w:rsidR="00665BE5" w:rsidRPr="005D6E23" w:rsidRDefault="00665BE5" w:rsidP="00665BE5">
      <w:pPr>
        <w:adjustRightInd w:val="0"/>
        <w:snapToGrid w:val="0"/>
        <w:spacing w:before="120"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Variables como el ámbito de residencia (rural o urbano), la región de residencia o el nivel socioeconómico resultan ser determinantes de las oportunidades educativas y la situación laboral de las mujeres. De esa manera, aquellas que residen en zonas rurales, muestran en promedio menores niveles de participación laboral, mayores tasas de desempleo y niveles superiores de informalidad y precariedad.</w:t>
      </w:r>
    </w:p>
    <w:p w14:paraId="7B5C3BFD" w14:textId="77777777" w:rsidR="00665BE5" w:rsidRPr="005D6E23" w:rsidRDefault="00665BE5" w:rsidP="00665BE5">
      <w:pPr>
        <w:adjustRightInd w:val="0"/>
        <w:snapToGrid w:val="0"/>
        <w:spacing w:before="120"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El nivel socioeconómico también condiciona la posición laboral de las mujeres, siendo las de los estratos socioeconómicos inferiores las que en menor medida participan en la actividad económica y, si lo hacen, se ven más afectadas por situaciones de precariedad laboral. En el caso de los hombres, si bien estas variables también inciden en su participación y condiciones laborales, no lo hacen de la misma manera. </w:t>
      </w:r>
    </w:p>
    <w:p w14:paraId="1C764290" w14:textId="77777777" w:rsidR="00665BE5" w:rsidRPr="005D6E23" w:rsidRDefault="00665BE5" w:rsidP="00665BE5">
      <w:pPr>
        <w:adjustRightInd w:val="0"/>
        <w:snapToGrid w:val="0"/>
        <w:spacing w:before="120"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el caso de la etnia</w:t>
      </w:r>
      <w:r w:rsidRPr="005D6E23">
        <w:rPr>
          <w:rFonts w:ascii="Arial" w:eastAsia="Times New Roman" w:hAnsi="Arial" w:cs="Arial"/>
          <w:sz w:val="22"/>
          <w:szCs w:val="22"/>
          <w:vertAlign w:val="superscript"/>
          <w:lang w:val="es-US" w:eastAsia="es-ES_tradnl"/>
        </w:rPr>
        <w:footnoteReference w:id="2"/>
      </w:r>
      <w:r w:rsidRPr="005D6E23">
        <w:rPr>
          <w:rFonts w:ascii="Arial" w:eastAsia="Times New Roman" w:hAnsi="Arial" w:cs="Arial"/>
          <w:sz w:val="22"/>
          <w:szCs w:val="22"/>
          <w:lang w:val="es-US" w:eastAsia="es-ES_tradnl"/>
        </w:rPr>
        <w:t xml:space="preserve">, los datos del Censo de 2011 revelan que entre las mujeres afrodescendientes existe un mayor nivel de participación laboral que entre las mujeres blancas o las mestizas (con tasas de ocupación del 37% y 33% respectivamente) y también exhiben mayores tasas de desempleo (3.4% frente al 1.4% de las mujeres blancas). </w:t>
      </w:r>
    </w:p>
    <w:p w14:paraId="7FE44648" w14:textId="77777777" w:rsidR="00665BE5" w:rsidRPr="005D6E23" w:rsidRDefault="00665BE5" w:rsidP="00665BE5">
      <w:pPr>
        <w:adjustRightInd w:val="0"/>
        <w:snapToGrid w:val="0"/>
        <w:jc w:val="both"/>
        <w:rPr>
          <w:rFonts w:ascii="Arial" w:eastAsia="Times New Roman" w:hAnsi="Arial" w:cs="Arial"/>
          <w:sz w:val="22"/>
          <w:szCs w:val="22"/>
          <w:lang w:val="es-US" w:eastAsia="es-ES_tradnl"/>
        </w:rPr>
      </w:pPr>
    </w:p>
    <w:p w14:paraId="73692C4B" w14:textId="77777777" w:rsidR="00665BE5" w:rsidRPr="005D6E23" w:rsidRDefault="00665BE5" w:rsidP="00665BE5">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La población de origen migrante (mayoritariamente procedente de Nicaragua, en el caso de las mujeres) también se concentra en los sectores de actividad de mayor precariedad e informalidad (el 36% de ellas labora en el servicio doméstico) y está afectadas por mayores tasas de desempleo (15% en 2018).</w:t>
      </w:r>
    </w:p>
    <w:p w14:paraId="04D6BFC0" w14:textId="77777777" w:rsidR="00665BE5" w:rsidRPr="005D6E23" w:rsidRDefault="00665BE5" w:rsidP="00F82BE2">
      <w:pPr>
        <w:adjustRightInd w:val="0"/>
        <w:snapToGrid w:val="0"/>
        <w:spacing w:after="120"/>
        <w:jc w:val="both"/>
        <w:rPr>
          <w:rFonts w:ascii="Arial" w:eastAsia="Times New Roman" w:hAnsi="Arial" w:cs="Arial"/>
          <w:sz w:val="22"/>
          <w:szCs w:val="22"/>
          <w:lang w:val="es-US" w:eastAsia="es-ES_tradnl"/>
        </w:rPr>
      </w:pPr>
    </w:p>
    <w:p w14:paraId="426A2CA1" w14:textId="63E967A3" w:rsidR="00665BE5" w:rsidRPr="005D6E23" w:rsidRDefault="00665BE5" w:rsidP="00F82BE2">
      <w:pPr>
        <w:adjustRightInd w:val="0"/>
        <w:snapToGrid w:val="0"/>
        <w:spacing w:after="120"/>
        <w:jc w:val="both"/>
        <w:rPr>
          <w:rFonts w:ascii="Arial" w:eastAsia="Times New Roman" w:hAnsi="Arial" w:cs="Arial"/>
          <w:b/>
          <w:bCs/>
          <w:sz w:val="22"/>
          <w:szCs w:val="22"/>
          <w:u w:val="single"/>
          <w:lang w:val="es-US" w:eastAsia="es-ES_tradnl"/>
        </w:rPr>
      </w:pPr>
      <w:r w:rsidRPr="005D6E23">
        <w:rPr>
          <w:rFonts w:ascii="Arial" w:eastAsia="Times New Roman" w:hAnsi="Arial" w:cs="Arial"/>
          <w:b/>
          <w:bCs/>
          <w:sz w:val="22"/>
          <w:szCs w:val="22"/>
          <w:u w:val="single"/>
          <w:lang w:val="es-US" w:eastAsia="es-ES_tradnl"/>
        </w:rPr>
        <w:t>Brechas en la formación para el trabajo</w:t>
      </w:r>
    </w:p>
    <w:p w14:paraId="23084CA4" w14:textId="02DC60B8" w:rsidR="00377DD7" w:rsidRPr="005D6E23" w:rsidRDefault="00377DD7"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el ámbito de la educación técnica</w:t>
      </w:r>
      <w:r w:rsidRPr="005D6E23">
        <w:rPr>
          <w:rFonts w:ascii="Arial" w:eastAsia="Times New Roman" w:hAnsi="Arial" w:cs="Arial"/>
          <w:sz w:val="22"/>
          <w:szCs w:val="22"/>
          <w:vertAlign w:val="superscript"/>
          <w:lang w:val="es-US" w:eastAsia="es-ES_tradnl"/>
        </w:rPr>
        <w:footnoteReference w:id="3"/>
      </w:r>
      <w:r w:rsidRPr="005D6E23">
        <w:rPr>
          <w:rFonts w:ascii="Arial" w:eastAsia="Times New Roman" w:hAnsi="Arial" w:cs="Arial"/>
          <w:sz w:val="22"/>
          <w:szCs w:val="22"/>
          <w:lang w:val="es-US" w:eastAsia="es-ES_tradnl"/>
        </w:rPr>
        <w:t xml:space="preserve"> también existen brechas de género. Si bien el número de mujeres graduadas ha sido consistentemente mayor que el número de hombres (las mujeres representan el 58% de los graduados totales), las áreas y carreras a las que las mujeres y los hombres acceden son diferentes. Las mujeres escogen ramas como el secretariado y trabajo de oficina, productos textiles o procesamiento de alimentos, y los hombres mecánica y profesiones afines, y diseño y administración de redes y bases de datos (</w:t>
      </w:r>
      <w:r w:rsidR="00274428" w:rsidRPr="005D6E23">
        <w:rPr>
          <w:rFonts w:ascii="Arial" w:eastAsia="Times New Roman" w:hAnsi="Arial" w:cs="Arial"/>
          <w:sz w:val="22"/>
          <w:szCs w:val="22"/>
          <w:lang w:val="es-US" w:eastAsia="es-ES_tradnl"/>
        </w:rPr>
        <w:t>Estado de la Nación, 2019</w:t>
      </w:r>
      <w:r w:rsidRPr="005D6E23">
        <w:rPr>
          <w:rFonts w:ascii="Arial" w:eastAsia="Times New Roman" w:hAnsi="Arial" w:cs="Arial"/>
          <w:sz w:val="22"/>
          <w:szCs w:val="22"/>
          <w:lang w:val="es-US" w:eastAsia="es-ES_tradnl"/>
        </w:rPr>
        <w:t xml:space="preserve">). </w:t>
      </w:r>
    </w:p>
    <w:p w14:paraId="1070FD48" w14:textId="46E7D307" w:rsidR="00377DD7" w:rsidRPr="005D6E23" w:rsidRDefault="00377DD7"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El alejamiento de las mujeres de las opciones más técnicas y tecnológicas implica un menor acceso a oportunidades de empleo en el presente, ya que el 22% de los nuevos contratos registrados en el país estuvieron vinculados a áreas de ingeniería e industria (INEC 2018). Pero también condiciona la inserción laboral futura de las mujeres, dados los cambios económicos y de empleo que está genera</w:t>
      </w:r>
      <w:r w:rsidR="00665BE5" w:rsidRPr="005D6E23">
        <w:rPr>
          <w:rFonts w:ascii="Arial" w:eastAsia="Times New Roman" w:hAnsi="Arial" w:cs="Arial"/>
          <w:sz w:val="22"/>
          <w:szCs w:val="22"/>
          <w:lang w:val="es-US" w:eastAsia="es-ES_tradnl"/>
        </w:rPr>
        <w:t>n</w:t>
      </w:r>
      <w:r w:rsidRPr="005D6E23">
        <w:rPr>
          <w:rFonts w:ascii="Arial" w:eastAsia="Times New Roman" w:hAnsi="Arial" w:cs="Arial"/>
          <w:sz w:val="22"/>
          <w:szCs w:val="22"/>
          <w:lang w:val="es-US" w:eastAsia="es-ES_tradnl"/>
        </w:rPr>
        <w:t xml:space="preserve">do la 4ª Revolución Industrial. </w:t>
      </w:r>
    </w:p>
    <w:p w14:paraId="12069504" w14:textId="68E9BF06" w:rsidR="00F371A9" w:rsidRPr="005D6E23" w:rsidRDefault="00F371A9"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En la </w:t>
      </w:r>
      <w:r w:rsidR="000325FD" w:rsidRPr="005D6E23">
        <w:rPr>
          <w:rFonts w:ascii="Arial" w:eastAsia="Times New Roman" w:hAnsi="Arial" w:cs="Arial"/>
          <w:sz w:val="22"/>
          <w:szCs w:val="22"/>
          <w:lang w:val="es-US" w:eastAsia="es-ES_tradnl"/>
        </w:rPr>
        <w:t>Política Nacional para la igualdad entre mujeres y hombres en la formación, el empleo y el disfrute de los productos de la Ciencia, Tecnología, las Telecomunicaciones y la Innovación 2018-2027</w:t>
      </w:r>
      <w:r w:rsidRPr="005D6E23">
        <w:rPr>
          <w:rFonts w:ascii="Arial" w:eastAsia="Times New Roman" w:hAnsi="Arial" w:cs="Arial"/>
          <w:sz w:val="22"/>
          <w:szCs w:val="22"/>
          <w:lang w:val="es-US" w:eastAsia="es-ES_tradnl"/>
        </w:rPr>
        <w:t xml:space="preserve"> </w:t>
      </w:r>
      <w:r w:rsidR="000325FD" w:rsidRPr="005D6E23">
        <w:rPr>
          <w:rFonts w:ascii="Arial" w:eastAsia="Times New Roman" w:hAnsi="Arial" w:cs="Arial"/>
          <w:sz w:val="22"/>
          <w:szCs w:val="22"/>
          <w:lang w:val="es-US" w:eastAsia="es-ES_tradnl"/>
        </w:rPr>
        <w:t>del MICITT, se</w:t>
      </w:r>
      <w:r w:rsidRPr="005D6E23">
        <w:rPr>
          <w:rFonts w:ascii="Arial" w:eastAsia="Times New Roman" w:hAnsi="Arial" w:cs="Arial"/>
          <w:sz w:val="22"/>
          <w:szCs w:val="22"/>
          <w:lang w:val="es-US" w:eastAsia="es-ES_tradnl"/>
        </w:rPr>
        <w:t xml:space="preserve"> sugiere que las mujeres no encuentran barreras para el ingreso a la formación y la capacitación técnica en el INA. No obstante, </w:t>
      </w:r>
      <w:r w:rsidR="000325FD" w:rsidRPr="005D6E23">
        <w:rPr>
          <w:rFonts w:ascii="Arial" w:eastAsia="Times New Roman" w:hAnsi="Arial" w:cs="Arial"/>
          <w:sz w:val="22"/>
          <w:szCs w:val="22"/>
          <w:lang w:val="es-US" w:eastAsia="es-ES_tradnl"/>
        </w:rPr>
        <w:t>se</w:t>
      </w:r>
      <w:r w:rsidRPr="005D6E23">
        <w:rPr>
          <w:rFonts w:ascii="Arial" w:eastAsia="Times New Roman" w:hAnsi="Arial" w:cs="Arial"/>
          <w:sz w:val="22"/>
          <w:szCs w:val="22"/>
          <w:lang w:val="es-US" w:eastAsia="es-ES_tradnl"/>
        </w:rPr>
        <w:t xml:space="preserve"> señala</w:t>
      </w:r>
      <w:r w:rsidR="000325FD" w:rsidRPr="005D6E23">
        <w:rPr>
          <w:rFonts w:ascii="Arial" w:eastAsia="Times New Roman" w:hAnsi="Arial" w:cs="Arial"/>
          <w:sz w:val="22"/>
          <w:szCs w:val="22"/>
          <w:lang w:val="es-US" w:eastAsia="es-ES_tradnl"/>
        </w:rPr>
        <w:t>n</w:t>
      </w:r>
      <w:r w:rsidRPr="005D6E23">
        <w:rPr>
          <w:rFonts w:ascii="Arial" w:eastAsia="Times New Roman" w:hAnsi="Arial" w:cs="Arial"/>
          <w:sz w:val="22"/>
          <w:szCs w:val="22"/>
          <w:lang w:val="es-US" w:eastAsia="es-ES_tradnl"/>
        </w:rPr>
        <w:t xml:space="preserve"> </w:t>
      </w:r>
      <w:r w:rsidR="000325FD" w:rsidRPr="005D6E23">
        <w:rPr>
          <w:rFonts w:ascii="Arial" w:eastAsia="Times New Roman" w:hAnsi="Arial" w:cs="Arial"/>
          <w:sz w:val="22"/>
          <w:szCs w:val="22"/>
          <w:lang w:val="es-US" w:eastAsia="es-ES_tradnl"/>
        </w:rPr>
        <w:t>“</w:t>
      </w:r>
      <w:r w:rsidRPr="005D6E23">
        <w:rPr>
          <w:rFonts w:ascii="Arial" w:eastAsia="Times New Roman" w:hAnsi="Arial" w:cs="Arial"/>
          <w:sz w:val="22"/>
          <w:szCs w:val="22"/>
          <w:lang w:val="es-US" w:eastAsia="es-ES_tradnl"/>
        </w:rPr>
        <w:t>algunos obstáculos como son la baja cobertura de las acciones formativas en las zonas rurales, las restricciones presupuestarias para el otorgamiento de becas que incluyan servicios de cuido para las hijas y los hijos de las mujeres, las limitaciones para la obtención de empleo en las zonas rurales y los ambientes sexistas que prevalecen en las especialidades consideradas como propias del ámbito masculino, entre otras. De este modo, se observa que los estereotipos de género que modelan las preferencias profesionales y los requerimientos que aseguran la permanencia de las mujeres en la formación y la capacitación profesional, se convierten en factores críticos necesarios de enfrentar para lograr una igualdad sustantiva entre los hombres y las mujeres que estudian en el INA, particularmente, en las especialidades vinculadas con la ciencia y la tecnología</w:t>
      </w:r>
      <w:r w:rsidR="000325FD" w:rsidRPr="005D6E23">
        <w:rPr>
          <w:rFonts w:ascii="Arial" w:eastAsia="Times New Roman" w:hAnsi="Arial" w:cs="Arial"/>
          <w:sz w:val="22"/>
          <w:szCs w:val="22"/>
          <w:lang w:val="es-US" w:eastAsia="es-ES_tradnl"/>
        </w:rPr>
        <w:t>”. (MICITT, 201</w:t>
      </w:r>
      <w:r w:rsidR="00CD6E73" w:rsidRPr="005D6E23">
        <w:rPr>
          <w:rFonts w:ascii="Arial" w:eastAsia="Times New Roman" w:hAnsi="Arial" w:cs="Arial"/>
          <w:sz w:val="22"/>
          <w:szCs w:val="22"/>
          <w:lang w:val="es-US" w:eastAsia="es-ES_tradnl"/>
        </w:rPr>
        <w:t>7</w:t>
      </w:r>
      <w:r w:rsidR="000325FD" w:rsidRPr="005D6E23">
        <w:rPr>
          <w:rFonts w:ascii="Arial" w:eastAsia="Times New Roman" w:hAnsi="Arial" w:cs="Arial"/>
          <w:sz w:val="22"/>
          <w:szCs w:val="22"/>
          <w:lang w:val="es-US" w:eastAsia="es-ES_tradnl"/>
        </w:rPr>
        <w:t>)</w:t>
      </w:r>
    </w:p>
    <w:p w14:paraId="2B76A7FA" w14:textId="24FD0397" w:rsidR="00F36FCE" w:rsidRPr="005D6E23" w:rsidRDefault="00274428"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En el ámbito de la educación superior, las mujeres representan más del 60% del total de los graduados en el país, pero apenas representan el 36% de los graduados en las carreras de ingeniería y tecnologías. A pesar de que se observa un progreso en los últimos años de las mujeres que egresan de este tipo de carreras (en el año 2000 no llegaban a representar el 25%), los avances son lentos. </w:t>
      </w:r>
    </w:p>
    <w:p w14:paraId="197F7C7E" w14:textId="5E852AD2" w:rsidR="00274428" w:rsidRPr="005D6E23" w:rsidRDefault="00274428" w:rsidP="00F82BE2">
      <w:pPr>
        <w:adjustRightInd w:val="0"/>
        <w:snapToGrid w:val="0"/>
        <w:spacing w:after="120"/>
        <w:jc w:val="both"/>
        <w:rPr>
          <w:rFonts w:ascii="Arial" w:eastAsia="Times New Roman" w:hAnsi="Arial" w:cs="Arial"/>
          <w:sz w:val="22"/>
          <w:szCs w:val="22"/>
          <w:lang w:val="es-MX" w:eastAsia="es-ES_tradnl"/>
        </w:rPr>
      </w:pPr>
    </w:p>
    <w:p w14:paraId="35C8B5FF" w14:textId="6FFACD34" w:rsidR="00F17DEB" w:rsidRPr="005D6E23" w:rsidRDefault="00F17DEB" w:rsidP="00F82BE2">
      <w:pPr>
        <w:adjustRightInd w:val="0"/>
        <w:snapToGrid w:val="0"/>
        <w:spacing w:after="120"/>
        <w:jc w:val="both"/>
        <w:rPr>
          <w:rFonts w:ascii="Arial" w:eastAsia="Times New Roman" w:hAnsi="Arial" w:cs="Arial"/>
          <w:sz w:val="22"/>
          <w:szCs w:val="22"/>
          <w:lang w:val="es-MX" w:eastAsia="es-ES_tradnl"/>
        </w:rPr>
      </w:pPr>
    </w:p>
    <w:p w14:paraId="039F2E5E" w14:textId="4717DF28" w:rsidR="00F17DEB" w:rsidRPr="005D6E23" w:rsidRDefault="00F17DEB" w:rsidP="00F82BE2">
      <w:pPr>
        <w:adjustRightInd w:val="0"/>
        <w:snapToGrid w:val="0"/>
        <w:spacing w:after="120"/>
        <w:jc w:val="both"/>
        <w:rPr>
          <w:rFonts w:ascii="Arial" w:eastAsia="Times New Roman" w:hAnsi="Arial" w:cs="Arial"/>
          <w:sz w:val="22"/>
          <w:szCs w:val="22"/>
          <w:lang w:val="es-MX" w:eastAsia="es-ES_tradnl"/>
        </w:rPr>
      </w:pPr>
    </w:p>
    <w:p w14:paraId="79D8E57B" w14:textId="2359E7B4" w:rsidR="00F17DEB" w:rsidRPr="005D6E23" w:rsidRDefault="00F17DEB" w:rsidP="00F82BE2">
      <w:pPr>
        <w:adjustRightInd w:val="0"/>
        <w:snapToGrid w:val="0"/>
        <w:spacing w:after="120"/>
        <w:jc w:val="both"/>
        <w:rPr>
          <w:rFonts w:ascii="Arial" w:eastAsia="Times New Roman" w:hAnsi="Arial" w:cs="Arial"/>
          <w:sz w:val="22"/>
          <w:szCs w:val="22"/>
          <w:lang w:val="es-MX" w:eastAsia="es-ES_tradnl"/>
        </w:rPr>
      </w:pPr>
    </w:p>
    <w:p w14:paraId="4B1A9CF6" w14:textId="77777777" w:rsidR="00F17DEB" w:rsidRPr="005D6E23" w:rsidRDefault="00F17DEB" w:rsidP="00F82BE2">
      <w:pPr>
        <w:adjustRightInd w:val="0"/>
        <w:snapToGrid w:val="0"/>
        <w:spacing w:after="120"/>
        <w:jc w:val="both"/>
        <w:rPr>
          <w:rFonts w:ascii="Arial" w:eastAsia="Times New Roman" w:hAnsi="Arial" w:cs="Arial"/>
          <w:sz w:val="22"/>
          <w:szCs w:val="22"/>
          <w:lang w:val="es-MX" w:eastAsia="es-ES_tradnl"/>
        </w:rPr>
      </w:pPr>
    </w:p>
    <w:p w14:paraId="243AE4AA" w14:textId="595FF5BB" w:rsidR="00F36FCE" w:rsidRPr="005D6E23" w:rsidRDefault="00F36FCE" w:rsidP="00F82BE2">
      <w:pPr>
        <w:pStyle w:val="Caption"/>
        <w:adjustRightInd w:val="0"/>
        <w:snapToGrid w:val="0"/>
        <w:spacing w:after="120"/>
        <w:jc w:val="center"/>
        <w:rPr>
          <w:rFonts w:cs="Arial"/>
          <w:i w:val="0"/>
          <w:iCs w:val="0"/>
          <w:color w:val="44546A" w:themeColor="text2"/>
          <w:sz w:val="22"/>
          <w:szCs w:val="22"/>
        </w:rPr>
      </w:pPr>
      <w:bookmarkStart w:id="0" w:name="_Toc33190089"/>
      <w:r w:rsidRPr="005D6E23">
        <w:rPr>
          <w:rFonts w:cs="Arial"/>
          <w:i w:val="0"/>
          <w:iCs w:val="0"/>
          <w:color w:val="44546A" w:themeColor="text2"/>
          <w:sz w:val="22"/>
          <w:szCs w:val="22"/>
        </w:rPr>
        <w:lastRenderedPageBreak/>
        <w:t xml:space="preserve">Gráfico </w:t>
      </w:r>
      <w:r w:rsidR="00B0261B" w:rsidRPr="005D6E23">
        <w:rPr>
          <w:rFonts w:cs="Arial"/>
          <w:i w:val="0"/>
          <w:iCs w:val="0"/>
          <w:color w:val="44546A" w:themeColor="text2"/>
          <w:sz w:val="22"/>
          <w:szCs w:val="22"/>
        </w:rPr>
        <w:t>5</w:t>
      </w:r>
      <w:r w:rsidRPr="005D6E23">
        <w:rPr>
          <w:rFonts w:cs="Arial"/>
          <w:i w:val="0"/>
          <w:iCs w:val="0"/>
          <w:color w:val="44546A" w:themeColor="text2"/>
          <w:sz w:val="22"/>
          <w:szCs w:val="22"/>
        </w:rPr>
        <w:t>. Proporción de mujeres y hombres sobre el total de graduados en Ingenierías y Tecnología. 2000-2017</w:t>
      </w:r>
      <w:bookmarkEnd w:id="0"/>
    </w:p>
    <w:p w14:paraId="02631338" w14:textId="77777777" w:rsidR="00F36FCE" w:rsidRPr="005D6E23" w:rsidRDefault="00F36FCE" w:rsidP="00F82BE2">
      <w:pPr>
        <w:adjustRightInd w:val="0"/>
        <w:snapToGrid w:val="0"/>
        <w:spacing w:after="120"/>
        <w:rPr>
          <w:rFonts w:ascii="Arial" w:hAnsi="Arial" w:cs="Arial"/>
          <w:sz w:val="22"/>
          <w:szCs w:val="22"/>
          <w:lang w:val="es-MX" w:eastAsia="es-ES_tradnl"/>
        </w:rPr>
      </w:pPr>
      <w:r w:rsidRPr="005D6E23">
        <w:rPr>
          <w:rFonts w:ascii="Arial" w:hAnsi="Arial" w:cs="Arial"/>
          <w:noProof/>
          <w:sz w:val="22"/>
          <w:szCs w:val="22"/>
          <w:lang w:val="en-US"/>
        </w:rPr>
        <w:drawing>
          <wp:inline distT="0" distB="0" distL="0" distR="0" wp14:anchorId="1F9F4A5C" wp14:editId="3CF46531">
            <wp:extent cx="5232400" cy="2674812"/>
            <wp:effectExtent l="0" t="0" r="0" b="508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87955" cy="2703212"/>
                    </a:xfrm>
                    <a:prstGeom prst="rect">
                      <a:avLst/>
                    </a:prstGeom>
                  </pic:spPr>
                </pic:pic>
              </a:graphicData>
            </a:graphic>
          </wp:inline>
        </w:drawing>
      </w:r>
    </w:p>
    <w:p w14:paraId="2DE50D6F" w14:textId="59E5B10E" w:rsidR="00F36FCE" w:rsidRPr="005D6E23" w:rsidRDefault="00274428" w:rsidP="00F82BE2">
      <w:pPr>
        <w:adjustRightInd w:val="0"/>
        <w:snapToGrid w:val="0"/>
        <w:spacing w:after="120"/>
        <w:jc w:val="center"/>
        <w:rPr>
          <w:rFonts w:ascii="Arial" w:hAnsi="Arial" w:cs="Arial"/>
          <w:i/>
          <w:iCs/>
          <w:color w:val="000000"/>
          <w:sz w:val="22"/>
          <w:szCs w:val="22"/>
          <w:lang w:eastAsia="es-CR"/>
        </w:rPr>
      </w:pPr>
      <w:r w:rsidRPr="005D6E23">
        <w:rPr>
          <w:rFonts w:ascii="Arial" w:hAnsi="Arial" w:cs="Arial"/>
          <w:i/>
          <w:iCs/>
          <w:sz w:val="22"/>
          <w:szCs w:val="22"/>
          <w:lang w:eastAsia="es-CR"/>
        </w:rPr>
        <w:t xml:space="preserve">Fuente: </w:t>
      </w:r>
      <w:r w:rsidRPr="005D6E23">
        <w:rPr>
          <w:rFonts w:ascii="Arial" w:hAnsi="Arial" w:cs="Arial"/>
          <w:i/>
          <w:iCs/>
          <w:color w:val="000000"/>
          <w:sz w:val="22"/>
          <w:szCs w:val="22"/>
          <w:lang w:val="es-CO" w:eastAsia="es-CR"/>
        </w:rPr>
        <w:t xml:space="preserve">Diagnóstico IPG Costa Rica, </w:t>
      </w:r>
      <w:r w:rsidRPr="005D6E23">
        <w:rPr>
          <w:rFonts w:ascii="Arial" w:hAnsi="Arial" w:cs="Arial"/>
          <w:i/>
          <w:iCs/>
          <w:sz w:val="22"/>
          <w:szCs w:val="22"/>
          <w:lang w:eastAsia="es-CR"/>
        </w:rPr>
        <w:t xml:space="preserve">sobre la base </w:t>
      </w:r>
      <w:r w:rsidR="00F36FCE" w:rsidRPr="005D6E23">
        <w:rPr>
          <w:rFonts w:ascii="Arial" w:hAnsi="Arial" w:cs="Arial"/>
          <w:i/>
          <w:iCs/>
          <w:sz w:val="22"/>
          <w:szCs w:val="22"/>
          <w:lang w:eastAsia="es-CR"/>
        </w:rPr>
        <w:t>Hypatia - Estado de la Nación, 2019.</w:t>
      </w:r>
    </w:p>
    <w:p w14:paraId="3E2141E0" w14:textId="0896F0BA" w:rsidR="00274428" w:rsidRPr="005D6E23" w:rsidRDefault="006870C4" w:rsidP="00F82BE2">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Esta segregación ocupacional es una de las variables que explica la brecha salarial de género en el país. En efecto, </w:t>
      </w:r>
      <w:r w:rsidR="00EF7415" w:rsidRPr="005D6E23">
        <w:rPr>
          <w:rFonts w:ascii="Arial" w:eastAsia="Times New Roman" w:hAnsi="Arial" w:cs="Arial"/>
          <w:sz w:val="22"/>
          <w:szCs w:val="22"/>
          <w:lang w:val="es-US" w:eastAsia="es-ES_tradnl"/>
        </w:rPr>
        <w:t>e</w:t>
      </w:r>
      <w:r w:rsidR="00274428" w:rsidRPr="005D6E23">
        <w:rPr>
          <w:rFonts w:ascii="Arial" w:eastAsia="Times New Roman" w:hAnsi="Arial" w:cs="Arial"/>
          <w:sz w:val="22"/>
          <w:szCs w:val="22"/>
          <w:lang w:val="es-US" w:eastAsia="es-ES_tradnl"/>
        </w:rPr>
        <w:t>n el año 2018, las mujeres costarricenses obtenían una remuneración media 11% inferior a la de los hombres, calculada sobre el ingreso bruto mensual (ENAHO 2018).</w:t>
      </w:r>
      <w:r w:rsidRPr="005D6E23">
        <w:rPr>
          <w:rFonts w:ascii="Arial" w:eastAsia="Times New Roman" w:hAnsi="Arial" w:cs="Arial"/>
          <w:sz w:val="22"/>
          <w:szCs w:val="22"/>
          <w:lang w:val="es-US" w:eastAsia="es-ES_tradnl"/>
        </w:rPr>
        <w:t xml:space="preserve"> </w:t>
      </w:r>
      <w:r w:rsidR="00274428" w:rsidRPr="005D6E23">
        <w:rPr>
          <w:rFonts w:ascii="Arial" w:eastAsia="Times New Roman" w:hAnsi="Arial" w:cs="Arial"/>
          <w:sz w:val="22"/>
          <w:szCs w:val="22"/>
          <w:lang w:val="es-US" w:eastAsia="es-ES_tradnl"/>
        </w:rPr>
        <w:t xml:space="preserve">El valor de la brecha salarial por hora se ha situado en promedio al 12% en </w:t>
      </w:r>
      <w:r w:rsidRPr="005D6E23">
        <w:rPr>
          <w:rFonts w:ascii="Arial" w:eastAsia="Times New Roman" w:hAnsi="Arial" w:cs="Arial"/>
          <w:sz w:val="22"/>
          <w:szCs w:val="22"/>
          <w:lang w:val="es-US" w:eastAsia="es-ES_tradnl"/>
        </w:rPr>
        <w:t xml:space="preserve">el periodo 2011-2018. </w:t>
      </w:r>
      <w:r w:rsidR="00274428" w:rsidRPr="005D6E23">
        <w:rPr>
          <w:rFonts w:ascii="Arial" w:eastAsia="Times New Roman" w:hAnsi="Arial" w:cs="Arial"/>
          <w:sz w:val="22"/>
          <w:szCs w:val="22"/>
          <w:lang w:val="es-US" w:eastAsia="es-ES_tradnl"/>
        </w:rPr>
        <w:t>Según niveles de instrucción, la brecha salarial de género se mantiene favorable a los hombres en todos los casos</w:t>
      </w:r>
      <w:r w:rsidR="00656C1E" w:rsidRPr="005D6E23">
        <w:rPr>
          <w:rFonts w:ascii="Arial" w:eastAsia="Times New Roman" w:hAnsi="Arial" w:cs="Arial"/>
          <w:sz w:val="22"/>
          <w:szCs w:val="22"/>
          <w:lang w:val="es-US" w:eastAsia="es-ES_tradnl"/>
        </w:rPr>
        <w:t xml:space="preserve">. Sin embargo, la brecha disminuye considerablemente cuando se da el salto de la educación secundaria incompleta a la completa. </w:t>
      </w:r>
    </w:p>
    <w:p w14:paraId="219DD209" w14:textId="77777777" w:rsidR="00F17DEB" w:rsidRPr="005D6E23" w:rsidRDefault="00F17DEB" w:rsidP="00F82BE2">
      <w:pPr>
        <w:adjustRightInd w:val="0"/>
        <w:snapToGrid w:val="0"/>
        <w:spacing w:after="120"/>
        <w:jc w:val="both"/>
        <w:rPr>
          <w:rFonts w:ascii="Arial" w:eastAsia="Times New Roman" w:hAnsi="Arial" w:cs="Arial"/>
          <w:sz w:val="22"/>
          <w:szCs w:val="22"/>
          <w:lang w:val="es-US" w:eastAsia="es-ES_tradnl"/>
        </w:rPr>
      </w:pPr>
    </w:p>
    <w:p w14:paraId="1CE912C8" w14:textId="065007A1" w:rsidR="00274428" w:rsidRPr="005D6E23" w:rsidRDefault="00274428" w:rsidP="00665BE5">
      <w:pPr>
        <w:pStyle w:val="Caption"/>
        <w:adjustRightInd w:val="0"/>
        <w:snapToGrid w:val="0"/>
        <w:spacing w:after="120"/>
        <w:jc w:val="center"/>
        <w:rPr>
          <w:rFonts w:cs="Arial"/>
          <w:i w:val="0"/>
          <w:iCs w:val="0"/>
          <w:color w:val="44546A" w:themeColor="text2"/>
          <w:sz w:val="22"/>
          <w:szCs w:val="22"/>
        </w:rPr>
      </w:pPr>
      <w:bookmarkStart w:id="1" w:name="_Toc33190096"/>
      <w:r w:rsidRPr="005D6E23">
        <w:rPr>
          <w:rFonts w:cs="Arial"/>
          <w:i w:val="0"/>
          <w:iCs w:val="0"/>
          <w:color w:val="44546A" w:themeColor="text2"/>
          <w:sz w:val="22"/>
          <w:szCs w:val="22"/>
        </w:rPr>
        <w:t>Gráfico</w:t>
      </w:r>
      <w:r w:rsidR="00656C1E" w:rsidRPr="005D6E23">
        <w:rPr>
          <w:rFonts w:cs="Arial"/>
          <w:i w:val="0"/>
          <w:iCs w:val="0"/>
          <w:color w:val="44546A" w:themeColor="text2"/>
          <w:sz w:val="22"/>
          <w:szCs w:val="22"/>
        </w:rPr>
        <w:t xml:space="preserve"> </w:t>
      </w:r>
      <w:r w:rsidR="00B0261B" w:rsidRPr="005D6E23">
        <w:rPr>
          <w:rFonts w:cs="Arial"/>
          <w:i w:val="0"/>
          <w:iCs w:val="0"/>
          <w:color w:val="44546A" w:themeColor="text2"/>
          <w:sz w:val="22"/>
          <w:szCs w:val="22"/>
        </w:rPr>
        <w:t>6</w:t>
      </w:r>
      <w:r w:rsidRPr="005D6E23">
        <w:rPr>
          <w:rFonts w:cs="Arial"/>
          <w:i w:val="0"/>
          <w:iCs w:val="0"/>
          <w:color w:val="44546A" w:themeColor="text2"/>
          <w:sz w:val="22"/>
          <w:szCs w:val="22"/>
        </w:rPr>
        <w:t>. Brecha salarial de género según ingreso bruto mensual y nivel de instrucción. 2018</w:t>
      </w:r>
      <w:bookmarkEnd w:id="1"/>
    </w:p>
    <w:p w14:paraId="3482456B" w14:textId="77777777" w:rsidR="00274428" w:rsidRPr="005D6E23" w:rsidRDefault="00274428" w:rsidP="00F82BE2">
      <w:pPr>
        <w:adjustRightInd w:val="0"/>
        <w:snapToGrid w:val="0"/>
        <w:spacing w:after="120"/>
        <w:jc w:val="center"/>
        <w:rPr>
          <w:rFonts w:ascii="Arial" w:hAnsi="Arial" w:cs="Arial"/>
          <w:sz w:val="22"/>
          <w:szCs w:val="22"/>
          <w:lang w:val="es-MX" w:eastAsia="es-ES_tradnl"/>
        </w:rPr>
      </w:pPr>
      <w:r w:rsidRPr="005D6E23">
        <w:rPr>
          <w:rFonts w:ascii="Arial" w:hAnsi="Arial" w:cs="Arial"/>
          <w:noProof/>
          <w:sz w:val="22"/>
          <w:szCs w:val="22"/>
          <w:lang w:val="en-US"/>
        </w:rPr>
        <w:drawing>
          <wp:inline distT="0" distB="0" distL="0" distR="0" wp14:anchorId="28B5471A" wp14:editId="4D756E30">
            <wp:extent cx="4809067" cy="2677146"/>
            <wp:effectExtent l="0" t="0" r="4445" b="317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876007" cy="2714411"/>
                    </a:xfrm>
                    <a:prstGeom prst="rect">
                      <a:avLst/>
                    </a:prstGeom>
                  </pic:spPr>
                </pic:pic>
              </a:graphicData>
            </a:graphic>
          </wp:inline>
        </w:drawing>
      </w:r>
    </w:p>
    <w:p w14:paraId="04ADEDA5" w14:textId="27CC5264" w:rsidR="00274428" w:rsidRPr="005D6E23" w:rsidRDefault="00274428" w:rsidP="00F82BE2">
      <w:pPr>
        <w:adjustRightInd w:val="0"/>
        <w:snapToGrid w:val="0"/>
        <w:spacing w:after="120"/>
        <w:jc w:val="center"/>
        <w:rPr>
          <w:rFonts w:ascii="Arial" w:hAnsi="Arial" w:cs="Arial"/>
          <w:i/>
          <w:iCs/>
          <w:sz w:val="22"/>
          <w:szCs w:val="22"/>
          <w:lang w:eastAsia="es-CR"/>
        </w:rPr>
      </w:pPr>
      <w:r w:rsidRPr="005D6E23">
        <w:rPr>
          <w:rFonts w:ascii="Arial" w:hAnsi="Arial" w:cs="Arial"/>
          <w:i/>
          <w:iCs/>
          <w:sz w:val="22"/>
          <w:szCs w:val="22"/>
          <w:lang w:eastAsia="es-CR"/>
        </w:rPr>
        <w:t xml:space="preserve">Fuente: </w:t>
      </w:r>
      <w:r w:rsidR="00656C1E" w:rsidRPr="005D6E23">
        <w:rPr>
          <w:rFonts w:ascii="Arial" w:hAnsi="Arial" w:cs="Arial"/>
          <w:i/>
          <w:iCs/>
          <w:sz w:val="22"/>
          <w:szCs w:val="22"/>
          <w:lang w:eastAsia="es-CR"/>
        </w:rPr>
        <w:t xml:space="preserve">Diagnóstico IPG </w:t>
      </w:r>
      <w:r w:rsidR="00195830" w:rsidRPr="005D6E23">
        <w:rPr>
          <w:rFonts w:ascii="Arial" w:hAnsi="Arial" w:cs="Arial"/>
          <w:i/>
          <w:iCs/>
          <w:sz w:val="22"/>
          <w:szCs w:val="22"/>
          <w:lang w:eastAsia="es-CR"/>
        </w:rPr>
        <w:t>Costa Rica</w:t>
      </w:r>
      <w:r w:rsidRPr="005D6E23">
        <w:rPr>
          <w:rFonts w:ascii="Arial" w:hAnsi="Arial" w:cs="Arial"/>
          <w:i/>
          <w:iCs/>
          <w:sz w:val="22"/>
          <w:szCs w:val="22"/>
          <w:lang w:eastAsia="es-CR"/>
        </w:rPr>
        <w:t>, sobre la base de la ENAHO 2018.</w:t>
      </w:r>
    </w:p>
    <w:p w14:paraId="1ECDCBE9" w14:textId="1F2B4E0B" w:rsidR="009B55CA" w:rsidRPr="005D6E23" w:rsidRDefault="00AD42E2" w:rsidP="00665BE5">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lastRenderedPageBreak/>
        <w:t>La brecha salarial de género puede ser atribuida a que las mujeres se concentren en sectores peor retribuidos, en los niveles inferiores del escalafón laboral, o que laboren menos horas, tiene sus consecuencias a nivel salarial. Este factor aún tiene un peso explicativo importante sobre la dimensión de la brecha salarial</w:t>
      </w:r>
      <w:r w:rsidR="00195830" w:rsidRPr="005D6E23">
        <w:rPr>
          <w:rFonts w:ascii="Arial" w:eastAsia="Times New Roman" w:hAnsi="Arial" w:cs="Arial"/>
          <w:sz w:val="22"/>
          <w:szCs w:val="22"/>
          <w:lang w:val="es-US" w:eastAsia="es-ES_tradnl"/>
        </w:rPr>
        <w:t xml:space="preserve"> en el país. </w:t>
      </w:r>
      <w:r w:rsidRPr="005D6E23">
        <w:rPr>
          <w:rFonts w:ascii="Arial" w:eastAsia="Times New Roman" w:hAnsi="Arial" w:cs="Arial"/>
          <w:sz w:val="22"/>
          <w:szCs w:val="22"/>
          <w:lang w:val="es-US" w:eastAsia="es-ES_tradnl"/>
        </w:rPr>
        <w:t>A la par, existe discriminación cuando las mujeres que tienen la misma capacidad, nivel de estudios, formación y experiencia que los hombres, reciben un menor pago, un trato inferior en la contratación, el acceso a una ocupación, los ascensos, o las condiciones de trabajo</w:t>
      </w:r>
      <w:r w:rsidR="00195830" w:rsidRPr="005D6E23">
        <w:rPr>
          <w:rFonts w:ascii="Arial" w:eastAsia="Times New Roman" w:hAnsi="Arial" w:cs="Arial"/>
          <w:sz w:val="22"/>
          <w:szCs w:val="22"/>
          <w:lang w:val="es-US" w:eastAsia="es-ES_tradnl"/>
        </w:rPr>
        <w:t>. (Diagnóstico IPG Costa Rica, 2020).</w:t>
      </w:r>
    </w:p>
    <w:p w14:paraId="5C8CB90B" w14:textId="50426514" w:rsidR="00842667" w:rsidRPr="005D6E23" w:rsidRDefault="00842667" w:rsidP="00665BE5">
      <w:pPr>
        <w:adjustRightInd w:val="0"/>
        <w:snapToGrid w:val="0"/>
        <w:spacing w:after="120"/>
        <w:jc w:val="both"/>
        <w:rPr>
          <w:rFonts w:ascii="Arial" w:eastAsia="Times New Roman" w:hAnsi="Arial" w:cs="Arial"/>
          <w:sz w:val="22"/>
          <w:szCs w:val="22"/>
          <w:lang w:val="es-US" w:eastAsia="es-ES_tradnl"/>
        </w:rPr>
      </w:pPr>
    </w:p>
    <w:p w14:paraId="1E2CA289" w14:textId="3EB8E99F" w:rsidR="002B5C3C" w:rsidRPr="005D6E23" w:rsidRDefault="002B5C3C" w:rsidP="00665BE5">
      <w:pPr>
        <w:adjustRightInd w:val="0"/>
        <w:snapToGrid w:val="0"/>
        <w:spacing w:after="120"/>
        <w:jc w:val="both"/>
        <w:rPr>
          <w:rFonts w:ascii="Arial" w:eastAsia="Times New Roman" w:hAnsi="Arial" w:cs="Arial"/>
          <w:sz w:val="22"/>
          <w:szCs w:val="22"/>
          <w:u w:val="single"/>
          <w:lang w:val="es-US" w:eastAsia="es-ES_tradnl"/>
        </w:rPr>
      </w:pPr>
      <w:r w:rsidRPr="005D6E23">
        <w:rPr>
          <w:rFonts w:ascii="Arial" w:eastAsia="Times New Roman" w:hAnsi="Arial" w:cs="Arial"/>
          <w:sz w:val="22"/>
          <w:szCs w:val="22"/>
          <w:u w:val="single"/>
          <w:lang w:val="es-US" w:eastAsia="es-ES_tradnl"/>
        </w:rPr>
        <w:t>Brechas en el acceso al sistema financiero</w:t>
      </w:r>
    </w:p>
    <w:p w14:paraId="33C1431C" w14:textId="77777777" w:rsidR="002B5C3C" w:rsidRPr="005D6E23" w:rsidRDefault="002B5C3C" w:rsidP="002B5C3C">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Según el Informe de brechas entre hombres y mujeres en el acceso y uso del sistema financiero en Costa Rica las mujeres enfrentan diversas barreras, desde la demanda y desde la oferta (institucionales, estructurales y culturales), al momento de acceder y utilizar el sistema financiero. </w:t>
      </w:r>
    </w:p>
    <w:p w14:paraId="225107CA" w14:textId="2CDBDFEE" w:rsidR="002B5C3C" w:rsidRPr="005D6E23" w:rsidRDefault="002B5C3C" w:rsidP="002B5C3C">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relación con las barreras desde la demanda, “se pueden enumerar los bajos niveles de educación financiera, las restricciones de tiempo y movilidad, las normas culturales y de género (por ejemplo, estar constantemente expuestos, como sociedad, a estereotipos de género que identifican lo masculino como lo vinculado al mundo de las finanzas y con experiencia en términos del dinero e inversión, asociado a la imagen del hombre proveedor) y el limitado acceso a la educación, el empleo y las opciones de emprendimiento”. Con respecto a las barreras desde la oferta, “se pueden identificar la falta de garantías, como es la propiedad de bienes inmuebles, que impacta directamente en el acceso al crédito; los sesgos de género en las prácticas de instituciones financieras; y la falta del enfoque de género en los productos financieros, estrategia de mercadeo y servicios”. (SUGEF, 2019)</w:t>
      </w:r>
    </w:p>
    <w:p w14:paraId="06033AB1" w14:textId="7732D884" w:rsidR="002B5C3C" w:rsidRPr="005D6E23" w:rsidRDefault="002B5C3C" w:rsidP="002B5C3C">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Con respecto a las cuentas bancarias, el informe muestra que las mujeres tienen menor acceso a cuentas de ahorro que los hombres, y los montos promedio ahorrados también son menores. Dadas las características de estas cuentas, con alto uso transaccional, los montos tienden a reflejar actividad económica más que capacidad de ahorro. Sin embargo, la brecha es relativamente pequeña: 5 puntos porcentuales entre el número de cuentas de hombres y el de mujeres. En cuanto a los montos promedio, las cuentas de las mujeres tenían, a diciembre 2018, un saldo promedio de ¢521.582, mientras que las de los hombres mostraban un saldo promedio de ¢588.602.</w:t>
      </w:r>
    </w:p>
    <w:p w14:paraId="2A12D049" w14:textId="77777777" w:rsidR="002B5C3C" w:rsidRPr="005D6E23" w:rsidRDefault="002B5C3C" w:rsidP="002B5C3C">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La brecha señalada por los datos de la SUGEF en el acceso a cuentas de ahorro (5%) es bastante inferior a lo indicado en The Global Findex Database (Banco Mundial, 2017), que reporta una brecha de 15 puntos porcentuales. </w:t>
      </w:r>
    </w:p>
    <w:p w14:paraId="175DE99B" w14:textId="4C80E07E" w:rsidR="002B5C3C" w:rsidRPr="005D6E23" w:rsidRDefault="002B5C3C" w:rsidP="002B5C3C">
      <w:pPr>
        <w:adjustRightInd w:val="0"/>
        <w:snapToGrid w:val="0"/>
        <w:spacing w:before="120" w:after="120"/>
        <w:jc w:val="center"/>
        <w:rPr>
          <w:rFonts w:ascii="Arial" w:eastAsia="Times New Roman" w:hAnsi="Arial" w:cs="Arial"/>
          <w:color w:val="44546A" w:themeColor="text2"/>
          <w:sz w:val="22"/>
          <w:szCs w:val="22"/>
          <w:lang w:val="es-MX" w:eastAsia="es-ES_tradnl"/>
        </w:rPr>
      </w:pPr>
      <w:r w:rsidRPr="005D6E23">
        <w:rPr>
          <w:rFonts w:ascii="Arial" w:eastAsia="Times New Roman" w:hAnsi="Arial" w:cs="Arial"/>
          <w:color w:val="44546A" w:themeColor="text2"/>
          <w:sz w:val="22"/>
          <w:szCs w:val="22"/>
          <w:lang w:val="es-MX" w:eastAsia="es-ES_tradnl"/>
        </w:rPr>
        <w:t>Cuadro 2: Cuentas bancarias y captaciones a plazo (diciembre 2018)</w:t>
      </w:r>
    </w:p>
    <w:p w14:paraId="08D79629" w14:textId="77777777" w:rsidR="002B5C3C" w:rsidRPr="005D6E23" w:rsidRDefault="002B5C3C" w:rsidP="002B5C3C">
      <w:pPr>
        <w:adjustRightInd w:val="0"/>
        <w:snapToGrid w:val="0"/>
        <w:spacing w:before="120" w:after="120"/>
        <w:jc w:val="center"/>
        <w:rPr>
          <w:rFonts w:ascii="Arial" w:eastAsia="Times New Roman" w:hAnsi="Arial" w:cs="Arial"/>
          <w:i/>
          <w:iCs/>
          <w:sz w:val="22"/>
          <w:szCs w:val="22"/>
          <w:lang w:val="es-US" w:eastAsia="es-ES_tradnl"/>
        </w:rPr>
      </w:pPr>
      <w:r w:rsidRPr="005D6E23">
        <w:rPr>
          <w:rFonts w:ascii="Arial" w:eastAsia="Times New Roman" w:hAnsi="Arial" w:cs="Arial"/>
          <w:i/>
          <w:iCs/>
          <w:noProof/>
          <w:sz w:val="22"/>
          <w:szCs w:val="22"/>
          <w:lang w:val="es-US" w:eastAsia="es-ES_tradnl"/>
        </w:rPr>
        <w:drawing>
          <wp:inline distT="0" distB="0" distL="0" distR="0" wp14:anchorId="41CCCEC5" wp14:editId="69253AA6">
            <wp:extent cx="4138930" cy="147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1882"/>
                    <a:stretch/>
                  </pic:blipFill>
                  <pic:spPr bwMode="auto">
                    <a:xfrm>
                      <a:off x="0" y="0"/>
                      <a:ext cx="4138930" cy="1475423"/>
                    </a:xfrm>
                    <a:prstGeom prst="rect">
                      <a:avLst/>
                    </a:prstGeom>
                    <a:noFill/>
                    <a:ln>
                      <a:noFill/>
                    </a:ln>
                    <a:extLst>
                      <a:ext uri="{53640926-AAD7-44D8-BBD7-CCE9431645EC}">
                        <a14:shadowObscured xmlns:a14="http://schemas.microsoft.com/office/drawing/2010/main"/>
                      </a:ext>
                    </a:extLst>
                  </pic:spPr>
                </pic:pic>
              </a:graphicData>
            </a:graphic>
          </wp:inline>
        </w:drawing>
      </w:r>
    </w:p>
    <w:p w14:paraId="51A854DF" w14:textId="0A2A7339" w:rsidR="002B5C3C" w:rsidRPr="005D6E23" w:rsidRDefault="002B5C3C" w:rsidP="002B5C3C">
      <w:pPr>
        <w:adjustRightInd w:val="0"/>
        <w:snapToGrid w:val="0"/>
        <w:spacing w:before="120" w:after="120"/>
        <w:jc w:val="both"/>
        <w:rPr>
          <w:rFonts w:ascii="Arial" w:hAnsi="Arial" w:cs="Arial"/>
          <w:sz w:val="22"/>
          <w:szCs w:val="22"/>
          <w:lang w:val="es-US"/>
        </w:rPr>
      </w:pPr>
    </w:p>
    <w:p w14:paraId="1993094E" w14:textId="77777777" w:rsidR="002B5C3C" w:rsidRPr="005D6E23" w:rsidRDefault="002B5C3C" w:rsidP="002B5C3C">
      <w:pPr>
        <w:adjustRightInd w:val="0"/>
        <w:snapToGrid w:val="0"/>
        <w:spacing w:before="120" w:after="120"/>
        <w:jc w:val="both"/>
        <w:rPr>
          <w:rFonts w:ascii="Arial" w:hAnsi="Arial" w:cs="Arial"/>
          <w:sz w:val="22"/>
          <w:szCs w:val="22"/>
          <w:lang w:val="es-US"/>
        </w:rPr>
      </w:pPr>
    </w:p>
    <w:p w14:paraId="49E0BFB5" w14:textId="0563C5D8" w:rsidR="006C7D08" w:rsidRPr="005D6E23" w:rsidRDefault="00C30E6A" w:rsidP="000C770B">
      <w:pPr>
        <w:pStyle w:val="ListParagraph"/>
        <w:numPr>
          <w:ilvl w:val="0"/>
          <w:numId w:val="2"/>
        </w:numPr>
        <w:adjustRightInd w:val="0"/>
        <w:snapToGrid w:val="0"/>
        <w:spacing w:after="120"/>
        <w:jc w:val="both"/>
        <w:rPr>
          <w:rFonts w:ascii="Arial" w:hAnsi="Arial" w:cs="Arial"/>
          <w:b/>
          <w:bCs/>
          <w:sz w:val="22"/>
          <w:szCs w:val="22"/>
        </w:rPr>
      </w:pPr>
      <w:r w:rsidRPr="006404CB">
        <w:rPr>
          <w:rFonts w:ascii="Arial" w:hAnsi="Arial" w:cs="Arial"/>
          <w:b/>
          <w:bCs/>
          <w:sz w:val="22"/>
          <w:szCs w:val="22"/>
        </w:rPr>
        <w:lastRenderedPageBreak/>
        <w:t>ANTECEDENTES Y PROBLEMÁTICAS DE DIVERSIDAD</w:t>
      </w:r>
    </w:p>
    <w:p w14:paraId="54D9B314" w14:textId="1ABA2EDF" w:rsidR="004D246D" w:rsidRPr="005D6E23" w:rsidRDefault="004D246D" w:rsidP="006C7D08">
      <w:pPr>
        <w:adjustRightInd w:val="0"/>
        <w:snapToGrid w:val="0"/>
        <w:spacing w:after="120"/>
        <w:jc w:val="both"/>
        <w:rPr>
          <w:rFonts w:ascii="Arial" w:eastAsia="Times New Roman" w:hAnsi="Arial" w:cs="Arial"/>
          <w:b/>
          <w:bCs/>
          <w:color w:val="212529"/>
          <w:sz w:val="22"/>
          <w:szCs w:val="22"/>
          <w:u w:val="single"/>
          <w:shd w:val="clear" w:color="auto" w:fill="FFFFFF"/>
          <w:lang w:val="es-US" w:eastAsia="es-ES_tradnl"/>
        </w:rPr>
      </w:pPr>
      <w:r w:rsidRPr="005D6E23">
        <w:rPr>
          <w:rFonts w:ascii="Arial" w:eastAsia="Times New Roman" w:hAnsi="Arial" w:cs="Arial"/>
          <w:b/>
          <w:bCs/>
          <w:color w:val="212529"/>
          <w:sz w:val="22"/>
          <w:szCs w:val="22"/>
          <w:u w:val="single"/>
          <w:shd w:val="clear" w:color="auto" w:fill="FFFFFF"/>
          <w:lang w:val="es-US" w:eastAsia="es-ES_tradnl"/>
        </w:rPr>
        <w:t>Pueblos Indígenas</w:t>
      </w:r>
    </w:p>
    <w:p w14:paraId="62536A57" w14:textId="62B597C1" w:rsidR="006E7250" w:rsidRPr="005D6E23" w:rsidRDefault="006C7D08" w:rsidP="00400410">
      <w:pPr>
        <w:adjustRightInd w:val="0"/>
        <w:snapToGrid w:val="0"/>
        <w:spacing w:before="120" w:after="12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Antecedentes:</w:t>
      </w:r>
      <w:r w:rsidRPr="005D6E23">
        <w:rPr>
          <w:rFonts w:ascii="Arial" w:eastAsia="Times New Roman" w:hAnsi="Arial" w:cs="Arial"/>
          <w:sz w:val="22"/>
          <w:szCs w:val="22"/>
          <w:lang w:val="es-US" w:eastAsia="es-ES_tradnl"/>
        </w:rPr>
        <w:t xml:space="preserve"> </w:t>
      </w:r>
      <w:r w:rsidR="006E7250" w:rsidRPr="005D6E23">
        <w:rPr>
          <w:rFonts w:ascii="Arial" w:eastAsia="Times New Roman" w:hAnsi="Arial" w:cs="Arial"/>
          <w:sz w:val="22"/>
          <w:szCs w:val="22"/>
          <w:lang w:val="es-US" w:eastAsia="es-ES_tradnl"/>
        </w:rPr>
        <w:t>Costa Rica posee plataformas de protección de derechos de los Pueblos Indígenas, tales como el Convenio 169 sobre Pueblos Indígenas y Tribales en Países Independientes de la OIT, la Declaración de las Naciones Unidas</w:t>
      </w:r>
      <w:r w:rsidR="00400410" w:rsidRPr="005D6E23">
        <w:rPr>
          <w:rFonts w:ascii="Arial" w:eastAsia="Times New Roman" w:hAnsi="Arial" w:cs="Arial"/>
          <w:sz w:val="22"/>
          <w:szCs w:val="22"/>
          <w:lang w:val="es-US" w:eastAsia="es-ES_tradnl"/>
        </w:rPr>
        <w:t xml:space="preserve"> </w:t>
      </w:r>
      <w:r w:rsidR="006E7250" w:rsidRPr="005D6E23">
        <w:rPr>
          <w:rFonts w:ascii="Arial" w:eastAsia="Times New Roman" w:hAnsi="Arial" w:cs="Arial"/>
          <w:sz w:val="22"/>
          <w:szCs w:val="22"/>
          <w:lang w:val="es-US" w:eastAsia="es-ES_tradnl"/>
        </w:rPr>
        <w:t>sobre los derechos de los Pueblos Indígenas, la Convención Americana sobre Derechos</w:t>
      </w:r>
      <w:r w:rsidR="00400410" w:rsidRPr="005D6E23">
        <w:rPr>
          <w:rFonts w:ascii="Arial" w:eastAsia="Times New Roman" w:hAnsi="Arial" w:cs="Arial"/>
          <w:sz w:val="22"/>
          <w:szCs w:val="22"/>
          <w:lang w:val="es-US" w:eastAsia="es-ES_tradnl"/>
        </w:rPr>
        <w:t xml:space="preserve"> </w:t>
      </w:r>
      <w:r w:rsidR="006E7250" w:rsidRPr="005D6E23">
        <w:rPr>
          <w:rFonts w:ascii="Arial" w:eastAsia="Times New Roman" w:hAnsi="Arial" w:cs="Arial"/>
          <w:sz w:val="22"/>
          <w:szCs w:val="22"/>
          <w:lang w:val="es-US" w:eastAsia="es-ES_tradnl"/>
        </w:rPr>
        <w:t>Humanos o Pacto de San José, las 100 Reglas de Brasilia sobre Acceso a la Justicia de las</w:t>
      </w:r>
      <w:r w:rsidR="00400410" w:rsidRPr="005D6E23">
        <w:rPr>
          <w:rFonts w:ascii="Arial" w:eastAsia="Times New Roman" w:hAnsi="Arial" w:cs="Arial"/>
          <w:sz w:val="22"/>
          <w:szCs w:val="22"/>
          <w:lang w:val="es-US" w:eastAsia="es-ES_tradnl"/>
        </w:rPr>
        <w:t xml:space="preserve"> </w:t>
      </w:r>
      <w:r w:rsidR="006E7250" w:rsidRPr="005D6E23">
        <w:rPr>
          <w:rFonts w:ascii="Arial" w:eastAsia="Times New Roman" w:hAnsi="Arial" w:cs="Arial"/>
          <w:sz w:val="22"/>
          <w:szCs w:val="22"/>
          <w:lang w:val="es-US" w:eastAsia="es-ES_tradnl"/>
        </w:rPr>
        <w:t>Personas en Condición de Vulnerabilidad, así como legislación específica nacional.</w:t>
      </w:r>
    </w:p>
    <w:p w14:paraId="3998B335" w14:textId="215A4803" w:rsidR="00400410" w:rsidRPr="005D6E23" w:rsidRDefault="006E7250" w:rsidP="00400410">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Según el último Censo Nacional de Población (2011), en el país residen un total de 104.143</w:t>
      </w:r>
      <w:r w:rsidR="00400410"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 xml:space="preserve">personas indígenas </w:t>
      </w:r>
      <w:r w:rsidR="00400410" w:rsidRPr="005D6E23">
        <w:rPr>
          <w:rFonts w:ascii="Arial" w:eastAsia="Times New Roman" w:hAnsi="Arial" w:cs="Arial"/>
          <w:sz w:val="22"/>
          <w:szCs w:val="22"/>
          <w:lang w:val="es-US" w:eastAsia="es-ES_tradnl"/>
        </w:rPr>
        <w:t xml:space="preserve">(51.509 mujeres y 52.434 hombres) </w:t>
      </w:r>
      <w:r w:rsidRPr="005D6E23">
        <w:rPr>
          <w:rFonts w:ascii="Arial" w:eastAsia="Times New Roman" w:hAnsi="Arial" w:cs="Arial"/>
          <w:sz w:val="22"/>
          <w:szCs w:val="22"/>
          <w:lang w:val="es-US" w:eastAsia="es-ES_tradnl"/>
        </w:rPr>
        <w:t>provenientes de ocho pueblos: bribris, bruncas o borucas, cabécares,</w:t>
      </w:r>
      <w:r w:rsidR="00400410"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chorotegas, huetares, malekus o guatusos, ngöbes o guaimíes y teribes o térrabas distribuidos</w:t>
      </w:r>
      <w:r w:rsidR="00400410"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 xml:space="preserve">en 24 territorios que abarcan el 7% del territorio nacional. </w:t>
      </w:r>
      <w:r w:rsidR="006021F9" w:rsidRPr="005D6E23">
        <w:rPr>
          <w:rFonts w:ascii="Arial" w:eastAsia="Times New Roman" w:hAnsi="Arial" w:cs="Arial"/>
          <w:sz w:val="22"/>
          <w:szCs w:val="22"/>
          <w:lang w:val="es-US" w:eastAsia="es-ES_tradnl"/>
        </w:rPr>
        <w:t>Casi la mitad del total de mujeres (48,7%) y hombres indígenas (49,5%) no reside en sus territorios indígenas.</w:t>
      </w:r>
    </w:p>
    <w:p w14:paraId="18088B34" w14:textId="77777777" w:rsidR="006021F9" w:rsidRPr="005D6E23" w:rsidRDefault="006021F9" w:rsidP="00400410">
      <w:pPr>
        <w:adjustRightInd w:val="0"/>
        <w:snapToGrid w:val="0"/>
        <w:jc w:val="both"/>
        <w:rPr>
          <w:rFonts w:ascii="Arial" w:eastAsia="Times New Roman" w:hAnsi="Arial" w:cs="Arial"/>
          <w:sz w:val="22"/>
          <w:szCs w:val="22"/>
          <w:lang w:val="es-US" w:eastAsia="es-ES_tradnl"/>
        </w:rPr>
      </w:pPr>
    </w:p>
    <w:p w14:paraId="2F703E16" w14:textId="5B68D35C" w:rsidR="00400410" w:rsidRPr="005D6E23" w:rsidRDefault="00400410" w:rsidP="009A0802">
      <w:pPr>
        <w:adjustRightInd w:val="0"/>
        <w:snapToGrid w:val="0"/>
        <w:jc w:val="center"/>
        <w:rPr>
          <w:rFonts w:ascii="Arial" w:eastAsia="Times New Roman" w:hAnsi="Arial" w:cs="Arial"/>
          <w:sz w:val="22"/>
          <w:szCs w:val="22"/>
          <w:lang w:val="es-US" w:eastAsia="es-ES_tradnl"/>
        </w:rPr>
      </w:pPr>
      <w:r w:rsidRPr="005D6E23">
        <w:rPr>
          <w:rFonts w:ascii="Arial" w:hAnsi="Arial" w:cs="Arial"/>
          <w:i/>
          <w:iCs/>
          <w:color w:val="44546A" w:themeColor="text2"/>
          <w:sz w:val="22"/>
          <w:szCs w:val="22"/>
        </w:rPr>
        <w:t>Gráfico 7. Pueblos Indígenas de Costa Rica y territorios</w:t>
      </w:r>
      <w:r w:rsidRPr="005D6E23">
        <w:rPr>
          <w:rFonts w:ascii="Arial" w:eastAsia="Times New Roman" w:hAnsi="Arial" w:cs="Arial"/>
          <w:noProof/>
          <w:sz w:val="22"/>
          <w:szCs w:val="22"/>
          <w:lang w:val="es-US" w:eastAsia="es-ES_tradnl"/>
        </w:rPr>
        <w:drawing>
          <wp:inline distT="0" distB="0" distL="0" distR="0" wp14:anchorId="496ECD14" wp14:editId="0678F524">
            <wp:extent cx="3147678" cy="2657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910" cy="2668646"/>
                    </a:xfrm>
                    <a:prstGeom prst="rect">
                      <a:avLst/>
                    </a:prstGeom>
                    <a:noFill/>
                    <a:ln>
                      <a:noFill/>
                    </a:ln>
                  </pic:spPr>
                </pic:pic>
              </a:graphicData>
            </a:graphic>
          </wp:inline>
        </w:drawing>
      </w:r>
    </w:p>
    <w:p w14:paraId="000AA5B1" w14:textId="60166E58" w:rsidR="00400410" w:rsidRPr="005D6E23" w:rsidRDefault="00400410" w:rsidP="009A0802">
      <w:pPr>
        <w:adjustRightInd w:val="0"/>
        <w:snapToGrid w:val="0"/>
        <w:jc w:val="center"/>
        <w:rPr>
          <w:rFonts w:ascii="Arial" w:eastAsia="Times New Roman" w:hAnsi="Arial" w:cs="Arial"/>
          <w:sz w:val="22"/>
          <w:szCs w:val="22"/>
          <w:lang w:val="es-US" w:eastAsia="es-ES_tradnl"/>
        </w:rPr>
      </w:pPr>
      <w:r w:rsidRPr="005D6E23">
        <w:rPr>
          <w:rFonts w:ascii="Arial" w:hAnsi="Arial" w:cs="Arial"/>
          <w:i/>
          <w:iCs/>
          <w:sz w:val="22"/>
          <w:szCs w:val="22"/>
          <w:lang w:eastAsia="es-CR"/>
        </w:rPr>
        <w:t>Fuente:</w:t>
      </w:r>
      <w:r w:rsidR="007D467E" w:rsidRPr="005D6E23">
        <w:rPr>
          <w:rFonts w:ascii="Arial" w:hAnsi="Arial" w:cs="Arial"/>
          <w:i/>
          <w:iCs/>
          <w:sz w:val="22"/>
          <w:szCs w:val="22"/>
          <w:lang w:eastAsia="es-CR"/>
        </w:rPr>
        <w:t xml:space="preserve"> UNDP 2017</w:t>
      </w:r>
    </w:p>
    <w:p w14:paraId="338326A8" w14:textId="77777777" w:rsidR="00400410" w:rsidRPr="005D6E23" w:rsidRDefault="00400410" w:rsidP="00400410">
      <w:pPr>
        <w:adjustRightInd w:val="0"/>
        <w:snapToGrid w:val="0"/>
        <w:jc w:val="both"/>
        <w:rPr>
          <w:rFonts w:ascii="Arial" w:eastAsia="Times New Roman" w:hAnsi="Arial" w:cs="Arial"/>
          <w:sz w:val="22"/>
          <w:szCs w:val="22"/>
          <w:lang w:val="es-US" w:eastAsia="es-ES_tradnl"/>
        </w:rPr>
      </w:pPr>
    </w:p>
    <w:p w14:paraId="5BBBD0CD" w14:textId="5678DABB" w:rsidR="00400410" w:rsidRPr="005D6E23" w:rsidRDefault="007D467E" w:rsidP="00400410">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Problemática:</w:t>
      </w:r>
      <w:r w:rsidRPr="005D6E23">
        <w:rPr>
          <w:rFonts w:ascii="Arial" w:eastAsia="Times New Roman" w:hAnsi="Arial" w:cs="Arial"/>
          <w:sz w:val="22"/>
          <w:szCs w:val="22"/>
          <w:lang w:val="es-US" w:eastAsia="es-ES_tradnl"/>
        </w:rPr>
        <w:t xml:space="preserve"> </w:t>
      </w:r>
      <w:r w:rsidR="00400410" w:rsidRPr="005D6E23">
        <w:rPr>
          <w:rFonts w:ascii="Arial" w:eastAsia="Times New Roman" w:hAnsi="Arial" w:cs="Arial"/>
          <w:sz w:val="22"/>
          <w:szCs w:val="22"/>
          <w:lang w:val="es-US" w:eastAsia="es-ES_tradnl"/>
        </w:rPr>
        <w:t xml:space="preserve">Con respecto al empleo, la tasa neta de participación de la población indígena en la fuerza laboral es del 40,7% (59,3% se encuentra sin trabajo), y la mayoría (59,8%) lo hace en el sector primario de la economía, es decir, en labores agropecuarias. Estos datos visibilizan </w:t>
      </w:r>
      <w:r w:rsidR="006021F9" w:rsidRPr="005D6E23">
        <w:rPr>
          <w:rFonts w:ascii="Arial" w:eastAsia="Times New Roman" w:hAnsi="Arial" w:cs="Arial"/>
          <w:sz w:val="22"/>
          <w:szCs w:val="22"/>
          <w:lang w:val="es-US" w:eastAsia="es-ES_tradnl"/>
        </w:rPr>
        <w:t xml:space="preserve">una </w:t>
      </w:r>
      <w:r w:rsidR="00400410" w:rsidRPr="005D6E23">
        <w:rPr>
          <w:rFonts w:ascii="Arial" w:eastAsia="Times New Roman" w:hAnsi="Arial" w:cs="Arial"/>
          <w:sz w:val="22"/>
          <w:szCs w:val="22"/>
          <w:lang w:val="es-US" w:eastAsia="es-ES_tradnl"/>
        </w:rPr>
        <w:t>brecha en el acceso al empleo respecto al promedio nacional, pues la tasa neta de participación de la población total es 12,8 puntos porcentuales mayor al de esta población (53,5%).</w:t>
      </w:r>
      <w:r w:rsidR="006021F9" w:rsidRPr="005D6E23">
        <w:rPr>
          <w:rFonts w:ascii="Arial" w:eastAsia="Times New Roman" w:hAnsi="Arial" w:cs="Arial"/>
          <w:sz w:val="22"/>
          <w:szCs w:val="22"/>
          <w:lang w:val="es-US" w:eastAsia="es-ES_tradnl"/>
        </w:rPr>
        <w:t xml:space="preserve"> (Censo 2011)</w:t>
      </w:r>
    </w:p>
    <w:p w14:paraId="45BF5849" w14:textId="77777777" w:rsidR="00400410" w:rsidRPr="005D6E23" w:rsidRDefault="00400410" w:rsidP="00400410">
      <w:pPr>
        <w:adjustRightInd w:val="0"/>
        <w:snapToGrid w:val="0"/>
        <w:jc w:val="both"/>
        <w:rPr>
          <w:rFonts w:ascii="Arial" w:eastAsia="Times New Roman" w:hAnsi="Arial" w:cs="Arial"/>
          <w:sz w:val="22"/>
          <w:szCs w:val="22"/>
          <w:lang w:val="es-US" w:eastAsia="es-ES_tradnl"/>
        </w:rPr>
      </w:pPr>
    </w:p>
    <w:p w14:paraId="215FCEE1" w14:textId="231195E4" w:rsidR="00400410" w:rsidRPr="005D6E23" w:rsidRDefault="006021F9" w:rsidP="00400410">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L</w:t>
      </w:r>
      <w:r w:rsidR="00400410" w:rsidRPr="005D6E23">
        <w:rPr>
          <w:rFonts w:ascii="Arial" w:eastAsia="Times New Roman" w:hAnsi="Arial" w:cs="Arial"/>
          <w:sz w:val="22"/>
          <w:szCs w:val="22"/>
          <w:lang w:val="es-US" w:eastAsia="es-ES_tradnl"/>
        </w:rPr>
        <w:t>as mujeres indígenas registran el porcentaje de participación económica más bajo, con tan s</w:t>
      </w:r>
      <w:r w:rsidRPr="005D6E23">
        <w:rPr>
          <w:rFonts w:ascii="Arial" w:eastAsia="Times New Roman" w:hAnsi="Arial" w:cs="Arial"/>
          <w:sz w:val="22"/>
          <w:szCs w:val="22"/>
          <w:lang w:val="es-US" w:eastAsia="es-ES_tradnl"/>
        </w:rPr>
        <w:t>ó</w:t>
      </w:r>
      <w:r w:rsidR="00400410" w:rsidRPr="005D6E23">
        <w:rPr>
          <w:rFonts w:ascii="Arial" w:eastAsia="Times New Roman" w:hAnsi="Arial" w:cs="Arial"/>
          <w:sz w:val="22"/>
          <w:szCs w:val="22"/>
          <w:lang w:val="es-US" w:eastAsia="es-ES_tradnl"/>
        </w:rPr>
        <w:t>lo un 27,4%, frente a un 67,3% de los hombres indígenas. Asimismo, las mujeres indígenas presentan mayor presencia (13,8%) en el sector primario de la economía, que las mujeres no indígenas (4,3%). Igualmente sucede con los hombres indígenas, quienes tienen mayor presencia (48,7%) en el sector</w:t>
      </w:r>
      <w:r w:rsidRPr="005D6E23">
        <w:rPr>
          <w:rFonts w:ascii="Arial" w:eastAsia="Times New Roman" w:hAnsi="Arial" w:cs="Arial"/>
          <w:sz w:val="22"/>
          <w:szCs w:val="22"/>
          <w:lang w:val="es-US" w:eastAsia="es-ES_tradnl"/>
        </w:rPr>
        <w:t xml:space="preserve"> </w:t>
      </w:r>
      <w:r w:rsidR="00400410" w:rsidRPr="005D6E23">
        <w:rPr>
          <w:rFonts w:ascii="Arial" w:eastAsia="Times New Roman" w:hAnsi="Arial" w:cs="Arial"/>
          <w:sz w:val="22"/>
          <w:szCs w:val="22"/>
          <w:lang w:val="es-US" w:eastAsia="es-ES_tradnl"/>
        </w:rPr>
        <w:t xml:space="preserve">primario, frente a los no indígenas (20,8%). </w:t>
      </w:r>
      <w:r w:rsidRPr="005D6E23">
        <w:rPr>
          <w:rFonts w:ascii="Arial" w:eastAsia="Times New Roman" w:hAnsi="Arial" w:cs="Arial"/>
          <w:sz w:val="22"/>
          <w:szCs w:val="22"/>
          <w:lang w:val="es-US" w:eastAsia="es-ES_tradnl"/>
        </w:rPr>
        <w:t>(CEPAL 2013)</w:t>
      </w:r>
    </w:p>
    <w:p w14:paraId="74B0024C" w14:textId="1F551FD6" w:rsidR="004A64D2" w:rsidRPr="005D6E23" w:rsidRDefault="004A64D2" w:rsidP="00400410">
      <w:pPr>
        <w:adjustRightInd w:val="0"/>
        <w:snapToGrid w:val="0"/>
        <w:jc w:val="both"/>
        <w:rPr>
          <w:rFonts w:ascii="Arial" w:eastAsia="Times New Roman" w:hAnsi="Arial" w:cs="Arial"/>
          <w:sz w:val="22"/>
          <w:szCs w:val="22"/>
          <w:lang w:val="es-US" w:eastAsia="es-ES_tradnl"/>
        </w:rPr>
      </w:pPr>
    </w:p>
    <w:p w14:paraId="1FB322E5" w14:textId="7532249A" w:rsidR="004A64D2" w:rsidRPr="005D6E23" w:rsidRDefault="004A64D2" w:rsidP="00400410">
      <w:pPr>
        <w:adjustRightInd w:val="0"/>
        <w:snapToGrid w:val="0"/>
        <w:jc w:val="both"/>
        <w:rPr>
          <w:rFonts w:ascii="Arial" w:eastAsia="Times New Roman" w:hAnsi="Arial" w:cs="Arial"/>
          <w:sz w:val="22"/>
          <w:szCs w:val="22"/>
          <w:lang w:val="es-CO" w:eastAsia="es-ES_tradnl"/>
        </w:rPr>
      </w:pPr>
      <w:r w:rsidRPr="005D6E23">
        <w:rPr>
          <w:rFonts w:ascii="Arial" w:eastAsia="Times New Roman" w:hAnsi="Arial" w:cs="Arial"/>
          <w:sz w:val="22"/>
          <w:szCs w:val="22"/>
          <w:lang w:val="es-CO" w:eastAsia="es-ES_tradnl"/>
        </w:rPr>
        <w:t xml:space="preserve">Este sector de la economía no será previsiblemente uno de los más afectados frente al COVID-19, sin embargo, algunas comunidades indígenas en la región han optado por cerrar la entrada de proveedores o intermediarios para la venta y compra de alimentos a sus </w:t>
      </w:r>
      <w:r w:rsidRPr="005D6E23">
        <w:rPr>
          <w:rFonts w:ascii="Arial" w:eastAsia="Times New Roman" w:hAnsi="Arial" w:cs="Arial"/>
          <w:sz w:val="22"/>
          <w:szCs w:val="22"/>
          <w:lang w:val="es-CO" w:eastAsia="es-ES_tradnl"/>
        </w:rPr>
        <w:lastRenderedPageBreak/>
        <w:t xml:space="preserve">comunidades para protegerse del contagio del virus, lo que expondría a los pueblos indígenas a una vulnerabilidad económica frente a la crisis. </w:t>
      </w:r>
      <w:r w:rsidR="00F17DEB" w:rsidRPr="005D6E23">
        <w:rPr>
          <w:rFonts w:ascii="Arial" w:eastAsia="Times New Roman" w:hAnsi="Arial" w:cs="Arial"/>
          <w:sz w:val="22"/>
          <w:szCs w:val="22"/>
          <w:lang w:val="es-CO" w:eastAsia="es-ES_tradnl"/>
        </w:rPr>
        <w:t xml:space="preserve">(BID, 2020) </w:t>
      </w:r>
    </w:p>
    <w:p w14:paraId="1351579F" w14:textId="329B1C52" w:rsidR="007D467E" w:rsidRPr="005D6E23" w:rsidRDefault="007D467E" w:rsidP="00400410">
      <w:pPr>
        <w:adjustRightInd w:val="0"/>
        <w:snapToGrid w:val="0"/>
        <w:jc w:val="both"/>
        <w:rPr>
          <w:rFonts w:ascii="Arial" w:eastAsia="Times New Roman" w:hAnsi="Arial" w:cs="Arial"/>
          <w:sz w:val="22"/>
          <w:szCs w:val="22"/>
          <w:lang w:val="es-CO" w:eastAsia="es-ES_tradnl"/>
        </w:rPr>
      </w:pPr>
    </w:p>
    <w:p w14:paraId="1888C2AE" w14:textId="1DA3D129" w:rsidR="007D467E" w:rsidRPr="005D6E23" w:rsidRDefault="007D467E" w:rsidP="007D467E">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relación a los servicios de salud, un 89,2% de la población indígena está asegurada</w:t>
      </w:r>
      <w:r w:rsidR="006021F9" w:rsidRPr="005D6E23">
        <w:rPr>
          <w:rFonts w:ascii="Arial" w:eastAsia="Times New Roman" w:hAnsi="Arial" w:cs="Arial"/>
          <w:sz w:val="22"/>
          <w:szCs w:val="22"/>
          <w:lang w:val="es-US" w:eastAsia="es-ES_tradnl"/>
        </w:rPr>
        <w:t>:</w:t>
      </w:r>
      <w:r w:rsidRPr="005D6E23">
        <w:rPr>
          <w:rFonts w:ascii="Arial" w:eastAsia="Times New Roman" w:hAnsi="Arial" w:cs="Arial"/>
          <w:sz w:val="22"/>
          <w:szCs w:val="22"/>
          <w:lang w:val="es-US" w:eastAsia="es-ES_tradnl"/>
        </w:rPr>
        <w:t xml:space="preserve"> 61,2% tiene seguro con el Estado, 15,5% </w:t>
      </w:r>
      <w:r w:rsidR="006021F9" w:rsidRPr="005D6E23">
        <w:rPr>
          <w:rFonts w:ascii="Arial" w:eastAsia="Times New Roman" w:hAnsi="Arial" w:cs="Arial"/>
          <w:sz w:val="22"/>
          <w:szCs w:val="22"/>
          <w:lang w:val="es-US" w:eastAsia="es-ES_tradnl"/>
        </w:rPr>
        <w:t>un</w:t>
      </w:r>
      <w:r w:rsidRPr="005D6E23">
        <w:rPr>
          <w:rFonts w:ascii="Arial" w:eastAsia="Times New Roman" w:hAnsi="Arial" w:cs="Arial"/>
          <w:sz w:val="22"/>
          <w:szCs w:val="22"/>
          <w:lang w:val="es-US" w:eastAsia="es-ES_tradnl"/>
        </w:rPr>
        <w:t xml:space="preserve"> seguro familiar, 1% </w:t>
      </w:r>
      <w:r w:rsidR="006021F9" w:rsidRPr="005D6E23">
        <w:rPr>
          <w:rFonts w:ascii="Arial" w:eastAsia="Times New Roman" w:hAnsi="Arial" w:cs="Arial"/>
          <w:sz w:val="22"/>
          <w:szCs w:val="22"/>
          <w:lang w:val="es-US" w:eastAsia="es-ES_tradnl"/>
        </w:rPr>
        <w:t xml:space="preserve">es </w:t>
      </w:r>
      <w:r w:rsidRPr="005D6E23">
        <w:rPr>
          <w:rFonts w:ascii="Arial" w:eastAsia="Times New Roman" w:hAnsi="Arial" w:cs="Arial"/>
          <w:sz w:val="22"/>
          <w:szCs w:val="22"/>
          <w:lang w:val="es-US" w:eastAsia="es-ES_tradnl"/>
        </w:rPr>
        <w:t xml:space="preserve">pensionado, 1,3% </w:t>
      </w:r>
      <w:r w:rsidR="006021F9" w:rsidRPr="005D6E23">
        <w:rPr>
          <w:rFonts w:ascii="Arial" w:eastAsia="Times New Roman" w:hAnsi="Arial" w:cs="Arial"/>
          <w:sz w:val="22"/>
          <w:szCs w:val="22"/>
          <w:lang w:val="es-US" w:eastAsia="es-ES_tradnl"/>
        </w:rPr>
        <w:t xml:space="preserve">hace parte del </w:t>
      </w:r>
      <w:r w:rsidRPr="005D6E23">
        <w:rPr>
          <w:rFonts w:ascii="Arial" w:eastAsia="Times New Roman" w:hAnsi="Arial" w:cs="Arial"/>
          <w:sz w:val="22"/>
          <w:szCs w:val="22"/>
          <w:lang w:val="es-US" w:eastAsia="es-ES_tradnl"/>
        </w:rPr>
        <w:t>régimen no contributivo</w:t>
      </w:r>
      <w:r w:rsidR="006021F9"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 xml:space="preserve">3,8% cuenta con seguro por cuenta propia y el 5,9% </w:t>
      </w:r>
      <w:r w:rsidR="006021F9" w:rsidRPr="005D6E23">
        <w:rPr>
          <w:rFonts w:ascii="Arial" w:eastAsia="Times New Roman" w:hAnsi="Arial" w:cs="Arial"/>
          <w:sz w:val="22"/>
          <w:szCs w:val="22"/>
          <w:lang w:val="es-US" w:eastAsia="es-ES_tradnl"/>
        </w:rPr>
        <w:t xml:space="preserve">es </w:t>
      </w:r>
      <w:r w:rsidRPr="005D6E23">
        <w:rPr>
          <w:rFonts w:ascii="Arial" w:eastAsia="Times New Roman" w:hAnsi="Arial" w:cs="Arial"/>
          <w:sz w:val="22"/>
          <w:szCs w:val="22"/>
          <w:lang w:val="es-US" w:eastAsia="es-ES_tradnl"/>
        </w:rPr>
        <w:t>asalariado. Ad</w:t>
      </w:r>
      <w:r w:rsidR="006021F9" w:rsidRPr="005D6E23">
        <w:rPr>
          <w:rFonts w:ascii="Arial" w:eastAsia="Times New Roman" w:hAnsi="Arial" w:cs="Arial"/>
          <w:sz w:val="22"/>
          <w:szCs w:val="22"/>
          <w:lang w:val="es-US" w:eastAsia="es-ES_tradnl"/>
        </w:rPr>
        <w:t xml:space="preserve">icionalmente, </w:t>
      </w:r>
      <w:r w:rsidRPr="005D6E23">
        <w:rPr>
          <w:rFonts w:ascii="Arial" w:eastAsia="Times New Roman" w:hAnsi="Arial" w:cs="Arial"/>
          <w:sz w:val="22"/>
          <w:szCs w:val="22"/>
          <w:lang w:val="es-US" w:eastAsia="es-ES_tradnl"/>
        </w:rPr>
        <w:t>9,9% de la población indígena tiene al menos una discapacidad.</w:t>
      </w:r>
      <w:r w:rsidR="006021F9" w:rsidRPr="005D6E23">
        <w:rPr>
          <w:rFonts w:ascii="Arial" w:eastAsia="Times New Roman" w:hAnsi="Arial" w:cs="Arial"/>
          <w:sz w:val="22"/>
          <w:szCs w:val="22"/>
          <w:lang w:val="es-US" w:eastAsia="es-ES_tradnl"/>
        </w:rPr>
        <w:t xml:space="preserve"> (Censo 2011)</w:t>
      </w:r>
    </w:p>
    <w:p w14:paraId="28BB82EF" w14:textId="77777777" w:rsidR="00400410" w:rsidRPr="005D6E23" w:rsidRDefault="00400410" w:rsidP="00400410">
      <w:pPr>
        <w:adjustRightInd w:val="0"/>
        <w:snapToGrid w:val="0"/>
        <w:jc w:val="both"/>
        <w:rPr>
          <w:rFonts w:ascii="Arial" w:eastAsia="Times New Roman" w:hAnsi="Arial" w:cs="Arial"/>
          <w:sz w:val="22"/>
          <w:szCs w:val="22"/>
          <w:lang w:val="es-US" w:eastAsia="es-ES_tradnl"/>
        </w:rPr>
      </w:pPr>
    </w:p>
    <w:p w14:paraId="48F3A4CB" w14:textId="6D6F4B2F" w:rsidR="00DE61A9" w:rsidRPr="005D6E23" w:rsidRDefault="006021F9"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Por otro lado, un 60% habla su idioma indígena y un 10,4% de la población indígena no sabe leer ni escribir en español. Y</w:t>
      </w:r>
      <w:r w:rsidR="00400410" w:rsidRPr="005D6E23">
        <w:rPr>
          <w:rFonts w:ascii="Arial" w:eastAsia="Times New Roman" w:hAnsi="Arial" w:cs="Arial"/>
          <w:sz w:val="22"/>
          <w:szCs w:val="22"/>
          <w:lang w:val="es-US" w:eastAsia="es-ES_tradnl"/>
        </w:rPr>
        <w:t xml:space="preserve"> en el tema de tecnologías de la información y comunicación, </w:t>
      </w:r>
      <w:r w:rsidRPr="005D6E23">
        <w:rPr>
          <w:rFonts w:ascii="Arial" w:eastAsia="Times New Roman" w:hAnsi="Arial" w:cs="Arial"/>
          <w:sz w:val="22"/>
          <w:szCs w:val="22"/>
          <w:lang w:val="es-US" w:eastAsia="es-ES_tradnl"/>
        </w:rPr>
        <w:t>s</w:t>
      </w:r>
      <w:r w:rsidR="00400410" w:rsidRPr="005D6E23">
        <w:rPr>
          <w:rFonts w:ascii="Arial" w:eastAsia="Times New Roman" w:hAnsi="Arial" w:cs="Arial"/>
          <w:sz w:val="22"/>
          <w:szCs w:val="22"/>
          <w:lang w:val="es-US" w:eastAsia="es-ES_tradnl"/>
        </w:rPr>
        <w:t xml:space="preserve">ólo 36,1% de la población indígena ha tenido acceso a telefonía celular, 17% ha tenido acceso a computadora y 14,9% acceso a internet, mientras el porcentaje de la población total fue de: 72% a celular, 48, 7% computadora y 63% internet, respectivamente. </w:t>
      </w:r>
      <w:r w:rsidRPr="005D6E23">
        <w:rPr>
          <w:rFonts w:ascii="Arial" w:eastAsia="Times New Roman" w:hAnsi="Arial" w:cs="Arial"/>
          <w:sz w:val="22"/>
          <w:szCs w:val="22"/>
          <w:lang w:val="es-US" w:eastAsia="es-ES_tradnl"/>
        </w:rPr>
        <w:t>(UNDP, 2017)</w:t>
      </w:r>
      <w:r w:rsidR="004A64D2" w:rsidRPr="005D6E23">
        <w:rPr>
          <w:rFonts w:ascii="Arial" w:eastAsia="Times New Roman" w:hAnsi="Arial" w:cs="Arial"/>
          <w:sz w:val="22"/>
          <w:szCs w:val="22"/>
          <w:lang w:val="es-US" w:eastAsia="es-ES_tradnl"/>
        </w:rPr>
        <w:t xml:space="preserve"> Esto podría limitar su participación en los esquemas de apoyo del gobierno que se estén implementando a través de plataformas digitales en el marco de la crisis. </w:t>
      </w:r>
    </w:p>
    <w:p w14:paraId="08439A83" w14:textId="248B4C76" w:rsidR="00400410" w:rsidRPr="005D6E23" w:rsidRDefault="00400410" w:rsidP="00A702BD">
      <w:pPr>
        <w:adjustRightInd w:val="0"/>
        <w:snapToGrid w:val="0"/>
        <w:jc w:val="both"/>
        <w:rPr>
          <w:rFonts w:ascii="Arial" w:eastAsia="Times New Roman" w:hAnsi="Arial" w:cs="Arial"/>
          <w:sz w:val="22"/>
          <w:szCs w:val="22"/>
          <w:lang w:val="es-US" w:eastAsia="es-ES_tradnl"/>
        </w:rPr>
      </w:pPr>
    </w:p>
    <w:p w14:paraId="60CDD78F" w14:textId="1FB319EA" w:rsidR="00F17DEB" w:rsidRPr="005D6E23" w:rsidRDefault="00A702BD" w:rsidP="00A702BD">
      <w:pPr>
        <w:adjustRightInd w:val="0"/>
        <w:snapToGrid w:val="0"/>
        <w:jc w:val="both"/>
        <w:rPr>
          <w:rFonts w:ascii="Arial" w:eastAsia="Times New Roman" w:hAnsi="Arial" w:cs="Arial"/>
          <w:b/>
          <w:bCs/>
          <w:sz w:val="22"/>
          <w:szCs w:val="22"/>
          <w:u w:val="single"/>
          <w:lang w:val="es-US" w:eastAsia="es-ES_tradnl"/>
        </w:rPr>
      </w:pPr>
      <w:r w:rsidRPr="005D6E23">
        <w:rPr>
          <w:rFonts w:ascii="Arial" w:eastAsia="Times New Roman" w:hAnsi="Arial" w:cs="Arial"/>
          <w:b/>
          <w:bCs/>
          <w:color w:val="212529"/>
          <w:sz w:val="22"/>
          <w:szCs w:val="22"/>
          <w:u w:val="single"/>
          <w:shd w:val="clear" w:color="auto" w:fill="FFFFFF"/>
          <w:lang w:val="es-US" w:eastAsia="es-ES_tradnl"/>
        </w:rPr>
        <w:t>Población Afrodescendiente</w:t>
      </w:r>
      <w:r w:rsidRPr="005D6E23">
        <w:rPr>
          <w:rFonts w:ascii="Arial" w:eastAsia="Times New Roman" w:hAnsi="Arial" w:cs="Arial"/>
          <w:b/>
          <w:bCs/>
          <w:sz w:val="22"/>
          <w:szCs w:val="22"/>
          <w:u w:val="single"/>
          <w:lang w:val="es-US" w:eastAsia="es-ES_tradnl"/>
        </w:rPr>
        <w:t xml:space="preserve"> </w:t>
      </w:r>
    </w:p>
    <w:p w14:paraId="34F5E420" w14:textId="77777777" w:rsidR="00F17DEB" w:rsidRPr="005D6E23" w:rsidRDefault="00F17DEB" w:rsidP="00A702BD">
      <w:pPr>
        <w:adjustRightInd w:val="0"/>
        <w:snapToGrid w:val="0"/>
        <w:jc w:val="both"/>
        <w:rPr>
          <w:rFonts w:ascii="Arial" w:eastAsia="Times New Roman" w:hAnsi="Arial" w:cs="Arial"/>
          <w:b/>
          <w:bCs/>
          <w:sz w:val="22"/>
          <w:szCs w:val="22"/>
          <w:u w:val="single"/>
          <w:lang w:val="es-US" w:eastAsia="es-ES_tradnl"/>
        </w:rPr>
      </w:pPr>
    </w:p>
    <w:p w14:paraId="48C30B7C" w14:textId="77777777" w:rsidR="00F17DEB" w:rsidRPr="005D6E23" w:rsidRDefault="007D467E"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Antecedentes</w:t>
      </w:r>
      <w:r w:rsidRPr="005D6E23">
        <w:rPr>
          <w:rFonts w:ascii="Arial" w:eastAsia="Times New Roman" w:hAnsi="Arial" w:cs="Arial"/>
          <w:b/>
          <w:bCs/>
          <w:color w:val="212529"/>
          <w:sz w:val="22"/>
          <w:szCs w:val="22"/>
          <w:u w:val="single"/>
          <w:shd w:val="clear" w:color="auto" w:fill="FFFFFF"/>
          <w:lang w:val="es-US" w:eastAsia="es-ES_tradnl"/>
        </w:rPr>
        <w:t>:</w:t>
      </w:r>
      <w:r w:rsidRPr="005D6E23">
        <w:rPr>
          <w:rFonts w:ascii="Arial" w:eastAsia="Times New Roman" w:hAnsi="Arial" w:cs="Arial"/>
          <w:sz w:val="22"/>
          <w:szCs w:val="22"/>
          <w:lang w:val="es-US" w:eastAsia="es-ES_tradnl"/>
        </w:rPr>
        <w:t xml:space="preserve"> </w:t>
      </w:r>
      <w:r w:rsidR="006021F9" w:rsidRPr="005D6E23">
        <w:rPr>
          <w:rFonts w:ascii="Arial" w:eastAsia="Times New Roman" w:hAnsi="Arial" w:cs="Arial"/>
          <w:sz w:val="22"/>
          <w:szCs w:val="22"/>
          <w:lang w:val="es-US" w:eastAsia="es-ES_tradnl"/>
        </w:rPr>
        <w:t>La</w:t>
      </w:r>
      <w:r w:rsidR="00400410" w:rsidRPr="005D6E23">
        <w:rPr>
          <w:rFonts w:ascii="Arial" w:eastAsia="Times New Roman" w:hAnsi="Arial" w:cs="Arial"/>
          <w:sz w:val="22"/>
          <w:szCs w:val="22"/>
          <w:lang w:val="es-US" w:eastAsia="es-ES_tradnl"/>
        </w:rPr>
        <w:t xml:space="preserve"> oficina del Comisionado Presidencial para Asuntos de la Afrodescendencia,</w:t>
      </w:r>
      <w:r w:rsidR="006021F9" w:rsidRPr="005D6E23">
        <w:rPr>
          <w:rFonts w:ascii="Arial" w:eastAsia="Times New Roman" w:hAnsi="Arial" w:cs="Arial"/>
          <w:sz w:val="22"/>
          <w:szCs w:val="22"/>
          <w:lang w:val="es-US" w:eastAsia="es-ES_tradnl"/>
        </w:rPr>
        <w:t xml:space="preserve"> es el ente rector y desde allí </w:t>
      </w:r>
      <w:r w:rsidR="00400410" w:rsidRPr="005D6E23">
        <w:rPr>
          <w:rFonts w:ascii="Arial" w:eastAsia="Times New Roman" w:hAnsi="Arial" w:cs="Arial"/>
          <w:sz w:val="22"/>
          <w:szCs w:val="22"/>
          <w:lang w:val="es-US" w:eastAsia="es-ES_tradnl"/>
        </w:rPr>
        <w:t xml:space="preserve">se </w:t>
      </w:r>
      <w:r w:rsidR="004A64D2" w:rsidRPr="005D6E23">
        <w:rPr>
          <w:rFonts w:ascii="Arial" w:eastAsia="Times New Roman" w:hAnsi="Arial" w:cs="Arial"/>
          <w:sz w:val="22"/>
          <w:szCs w:val="22"/>
          <w:lang w:val="es-US" w:eastAsia="es-ES_tradnl"/>
        </w:rPr>
        <w:t>ha formulado</w:t>
      </w:r>
      <w:r w:rsidR="00400410" w:rsidRPr="005D6E23">
        <w:rPr>
          <w:rFonts w:ascii="Arial" w:eastAsia="Times New Roman" w:hAnsi="Arial" w:cs="Arial"/>
          <w:sz w:val="22"/>
          <w:szCs w:val="22"/>
          <w:lang w:val="es-US" w:eastAsia="es-ES_tradnl"/>
        </w:rPr>
        <w:t xml:space="preserve"> </w:t>
      </w:r>
      <w:r w:rsidR="006021F9" w:rsidRPr="005D6E23">
        <w:rPr>
          <w:rFonts w:ascii="Arial" w:eastAsia="Times New Roman" w:hAnsi="Arial" w:cs="Arial"/>
          <w:sz w:val="22"/>
          <w:szCs w:val="22"/>
          <w:lang w:val="es-US" w:eastAsia="es-ES_tradnl"/>
        </w:rPr>
        <w:t>el</w:t>
      </w:r>
      <w:r w:rsidR="00400410" w:rsidRPr="005D6E23">
        <w:rPr>
          <w:rFonts w:ascii="Arial" w:eastAsia="Times New Roman" w:hAnsi="Arial" w:cs="Arial"/>
          <w:sz w:val="22"/>
          <w:szCs w:val="22"/>
          <w:lang w:val="es-US" w:eastAsia="es-ES_tradnl"/>
        </w:rPr>
        <w:t xml:space="preserve"> Plan Nacional para Afrodescendientes 2015 – 2018</w:t>
      </w:r>
      <w:r w:rsidR="006021F9" w:rsidRPr="005D6E23">
        <w:rPr>
          <w:rFonts w:ascii="Arial" w:eastAsia="Times New Roman" w:hAnsi="Arial" w:cs="Arial"/>
          <w:sz w:val="22"/>
          <w:szCs w:val="22"/>
          <w:lang w:val="es-US" w:eastAsia="es-ES_tradnl"/>
        </w:rPr>
        <w:t xml:space="preserve"> y la Política </w:t>
      </w:r>
      <w:r w:rsidR="004A64D2" w:rsidRPr="005D6E23">
        <w:rPr>
          <w:rFonts w:ascii="Arial" w:eastAsia="Times New Roman" w:hAnsi="Arial" w:cs="Arial"/>
          <w:sz w:val="22"/>
          <w:szCs w:val="22"/>
          <w:lang w:val="es-US" w:eastAsia="es-ES_tradnl"/>
        </w:rPr>
        <w:t>N</w:t>
      </w:r>
      <w:r w:rsidR="006021F9" w:rsidRPr="005D6E23">
        <w:rPr>
          <w:rFonts w:ascii="Arial" w:eastAsia="Times New Roman" w:hAnsi="Arial" w:cs="Arial"/>
          <w:sz w:val="22"/>
          <w:szCs w:val="22"/>
          <w:lang w:val="es-US" w:eastAsia="es-ES_tradnl"/>
        </w:rPr>
        <w:t>acional para una sociedad libre de racismo, discriminación racial y xenofobia 2014-2025.</w:t>
      </w:r>
    </w:p>
    <w:p w14:paraId="732546AC" w14:textId="77777777" w:rsidR="00F17DEB" w:rsidRPr="005D6E23" w:rsidRDefault="00F17DEB" w:rsidP="00A702BD">
      <w:pPr>
        <w:adjustRightInd w:val="0"/>
        <w:snapToGrid w:val="0"/>
        <w:jc w:val="both"/>
        <w:rPr>
          <w:rFonts w:ascii="Arial" w:eastAsia="Times New Roman" w:hAnsi="Arial" w:cs="Arial"/>
          <w:sz w:val="22"/>
          <w:szCs w:val="22"/>
          <w:lang w:val="es-US" w:eastAsia="es-ES_tradnl"/>
        </w:rPr>
      </w:pPr>
    </w:p>
    <w:p w14:paraId="4F325926" w14:textId="7D9C603F" w:rsidR="00400410" w:rsidRPr="005D6E23" w:rsidRDefault="00400410"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De acuerdo con los datos del Censo</w:t>
      </w:r>
      <w:r w:rsidR="007D467E" w:rsidRPr="005D6E23">
        <w:rPr>
          <w:rFonts w:ascii="Arial" w:eastAsia="Times New Roman" w:hAnsi="Arial" w:cs="Arial"/>
          <w:sz w:val="22"/>
          <w:szCs w:val="22"/>
          <w:lang w:val="es-US" w:eastAsia="es-ES_tradnl"/>
        </w:rPr>
        <w:t xml:space="preserve"> </w:t>
      </w:r>
      <w:r w:rsidR="006021F9" w:rsidRPr="005D6E23">
        <w:rPr>
          <w:rFonts w:ascii="Arial" w:eastAsia="Times New Roman" w:hAnsi="Arial" w:cs="Arial"/>
          <w:sz w:val="22"/>
          <w:szCs w:val="22"/>
          <w:lang w:val="es-US" w:eastAsia="es-ES_tradnl"/>
        </w:rPr>
        <w:t>de</w:t>
      </w:r>
      <w:r w:rsidRPr="005D6E23">
        <w:rPr>
          <w:rFonts w:ascii="Arial" w:eastAsia="Times New Roman" w:hAnsi="Arial" w:cs="Arial"/>
          <w:sz w:val="22"/>
          <w:szCs w:val="22"/>
          <w:lang w:val="es-US" w:eastAsia="es-ES_tradnl"/>
        </w:rPr>
        <w:t xml:space="preserve"> 2011,</w:t>
      </w:r>
      <w:r w:rsidR="007D467E"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en Costa Rica habitan 334.437 personas</w:t>
      </w:r>
      <w:r w:rsidR="007D467E"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 xml:space="preserve">afrodescendientes, </w:t>
      </w:r>
      <w:r w:rsidR="006021F9" w:rsidRPr="005D6E23">
        <w:rPr>
          <w:rFonts w:ascii="Arial" w:eastAsia="Times New Roman" w:hAnsi="Arial" w:cs="Arial"/>
          <w:sz w:val="22"/>
          <w:szCs w:val="22"/>
          <w:lang w:val="es-US" w:eastAsia="es-ES_tradnl"/>
        </w:rPr>
        <w:t xml:space="preserve">de las cuales el 52% son hombres y el 48% mujeres, y </w:t>
      </w:r>
      <w:r w:rsidRPr="005D6E23">
        <w:rPr>
          <w:rFonts w:ascii="Arial" w:eastAsia="Times New Roman" w:hAnsi="Arial" w:cs="Arial"/>
          <w:sz w:val="22"/>
          <w:szCs w:val="22"/>
          <w:lang w:val="es-US" w:eastAsia="es-ES_tradnl"/>
        </w:rPr>
        <w:t>corresponden al</w:t>
      </w:r>
      <w:r w:rsidR="007D467E"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7,8% del total de la población del país</w:t>
      </w:r>
      <w:r w:rsidR="006021F9" w:rsidRPr="005D6E23">
        <w:rPr>
          <w:rFonts w:ascii="Arial" w:eastAsia="Times New Roman" w:hAnsi="Arial" w:cs="Arial"/>
          <w:sz w:val="22"/>
          <w:szCs w:val="22"/>
          <w:lang w:val="es-US" w:eastAsia="es-ES_tradnl"/>
        </w:rPr>
        <w:t>.</w:t>
      </w:r>
    </w:p>
    <w:p w14:paraId="5ACCFEB6" w14:textId="7D161CF0" w:rsidR="007D467E" w:rsidRPr="005D6E23" w:rsidRDefault="007D467E" w:rsidP="00A702BD">
      <w:pPr>
        <w:adjustRightInd w:val="0"/>
        <w:snapToGrid w:val="0"/>
        <w:jc w:val="both"/>
        <w:rPr>
          <w:rFonts w:ascii="Arial" w:eastAsia="Times New Roman" w:hAnsi="Arial" w:cs="Arial"/>
          <w:sz w:val="22"/>
          <w:szCs w:val="22"/>
          <w:lang w:val="es-US" w:eastAsia="es-ES_tradnl"/>
        </w:rPr>
      </w:pPr>
    </w:p>
    <w:p w14:paraId="2A7B48FA" w14:textId="213FF4C7" w:rsidR="007D467E" w:rsidRPr="005D6E23" w:rsidRDefault="007D467E" w:rsidP="006021F9">
      <w:pPr>
        <w:adjustRightInd w:val="0"/>
        <w:snapToGrid w:val="0"/>
        <w:jc w:val="center"/>
        <w:rPr>
          <w:rFonts w:ascii="Arial" w:eastAsia="Times New Roman" w:hAnsi="Arial" w:cs="Arial"/>
          <w:sz w:val="22"/>
          <w:szCs w:val="22"/>
          <w:lang w:val="es-US" w:eastAsia="es-ES_tradnl"/>
        </w:rPr>
      </w:pPr>
      <w:r w:rsidRPr="005D6E23">
        <w:rPr>
          <w:rFonts w:ascii="Arial" w:hAnsi="Arial" w:cs="Arial"/>
          <w:i/>
          <w:iCs/>
          <w:color w:val="44546A" w:themeColor="text2"/>
          <w:sz w:val="22"/>
          <w:szCs w:val="22"/>
        </w:rPr>
        <w:t>Gráfico 8. Distribución territorial de población afrodescendiente, negra o mulata (%)</w:t>
      </w:r>
    </w:p>
    <w:p w14:paraId="112601B2" w14:textId="28509FF6" w:rsidR="007D467E" w:rsidRPr="005D6E23" w:rsidRDefault="007D467E" w:rsidP="006021F9">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noProof/>
          <w:sz w:val="22"/>
          <w:szCs w:val="22"/>
          <w:lang w:val="es-US" w:eastAsia="es-ES_tradnl"/>
        </w:rPr>
        <w:drawing>
          <wp:inline distT="0" distB="0" distL="0" distR="0" wp14:anchorId="573E443C" wp14:editId="308E3B12">
            <wp:extent cx="2186534" cy="195262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2633" cy="1967001"/>
                    </a:xfrm>
                    <a:prstGeom prst="rect">
                      <a:avLst/>
                    </a:prstGeom>
                    <a:noFill/>
                    <a:ln>
                      <a:noFill/>
                    </a:ln>
                  </pic:spPr>
                </pic:pic>
              </a:graphicData>
            </a:graphic>
          </wp:inline>
        </w:drawing>
      </w:r>
    </w:p>
    <w:p w14:paraId="6644BD4A" w14:textId="77777777" w:rsidR="007D467E" w:rsidRPr="005D6E23" w:rsidRDefault="007D467E" w:rsidP="006021F9">
      <w:pPr>
        <w:adjustRightInd w:val="0"/>
        <w:snapToGrid w:val="0"/>
        <w:jc w:val="center"/>
        <w:rPr>
          <w:rFonts w:ascii="Arial" w:eastAsia="Times New Roman" w:hAnsi="Arial" w:cs="Arial"/>
          <w:sz w:val="22"/>
          <w:szCs w:val="22"/>
          <w:lang w:val="es-US" w:eastAsia="es-ES_tradnl"/>
        </w:rPr>
      </w:pPr>
      <w:r w:rsidRPr="005D6E23">
        <w:rPr>
          <w:rFonts w:ascii="Arial" w:hAnsi="Arial" w:cs="Arial"/>
          <w:i/>
          <w:iCs/>
          <w:sz w:val="22"/>
          <w:szCs w:val="22"/>
          <w:lang w:eastAsia="es-CR"/>
        </w:rPr>
        <w:t>Fuente: UNDP 2017</w:t>
      </w:r>
    </w:p>
    <w:p w14:paraId="4CF1EDFE" w14:textId="356FF07E" w:rsidR="007D467E" w:rsidRPr="005D6E23" w:rsidRDefault="00A702BD"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Problemática</w:t>
      </w:r>
      <w:r w:rsidRPr="005D6E23">
        <w:rPr>
          <w:rFonts w:ascii="Arial" w:eastAsia="Times New Roman" w:hAnsi="Arial" w:cs="Arial"/>
          <w:b/>
          <w:bCs/>
          <w:color w:val="212529"/>
          <w:sz w:val="22"/>
          <w:szCs w:val="22"/>
          <w:u w:val="single"/>
          <w:shd w:val="clear" w:color="auto" w:fill="FFFFFF"/>
          <w:lang w:val="es-US" w:eastAsia="es-ES_tradnl"/>
        </w:rPr>
        <w:t>:</w:t>
      </w:r>
      <w:r w:rsidRPr="005D6E23">
        <w:rPr>
          <w:rFonts w:ascii="Arial" w:eastAsia="Times New Roman" w:hAnsi="Arial" w:cs="Arial"/>
          <w:sz w:val="22"/>
          <w:szCs w:val="22"/>
          <w:lang w:val="es-US" w:eastAsia="es-ES_tradnl"/>
        </w:rPr>
        <w:t xml:space="preserve"> </w:t>
      </w:r>
      <w:r w:rsidR="007D467E" w:rsidRPr="005D6E23">
        <w:rPr>
          <w:rFonts w:ascii="Arial" w:eastAsia="Times New Roman" w:hAnsi="Arial" w:cs="Arial"/>
          <w:sz w:val="22"/>
          <w:szCs w:val="22"/>
          <w:lang w:val="es-US" w:eastAsia="es-ES_tradnl"/>
        </w:rPr>
        <w:t>La escolaridad promedio de la población afrodescendiente es de 7.9 años, mientras que el promedio nacional alcanza los 8.7 años.</w:t>
      </w:r>
      <w:r w:rsidR="00416CE4" w:rsidRPr="005D6E23">
        <w:rPr>
          <w:rFonts w:ascii="Arial" w:eastAsia="Times New Roman" w:hAnsi="Arial" w:cs="Arial"/>
          <w:sz w:val="22"/>
          <w:szCs w:val="22"/>
          <w:lang w:val="es-US" w:eastAsia="es-ES_tradnl"/>
        </w:rPr>
        <w:t xml:space="preserve"> </w:t>
      </w:r>
      <w:r w:rsidR="007D467E" w:rsidRPr="005D6E23">
        <w:rPr>
          <w:rFonts w:ascii="Arial" w:eastAsia="Times New Roman" w:hAnsi="Arial" w:cs="Arial"/>
          <w:sz w:val="22"/>
          <w:szCs w:val="22"/>
          <w:lang w:val="es-US" w:eastAsia="es-ES_tradnl"/>
        </w:rPr>
        <w:t>Cabe destacar que las mujeres afrodescendientes presentan el mayor número de años de educación con respecto al total general de la población (9,6 años), y que en la zona urbana</w:t>
      </w:r>
      <w:r w:rsidRPr="005D6E23">
        <w:rPr>
          <w:rFonts w:ascii="Arial" w:eastAsia="Times New Roman" w:hAnsi="Arial" w:cs="Arial"/>
          <w:sz w:val="22"/>
          <w:szCs w:val="22"/>
          <w:lang w:val="es-US" w:eastAsia="es-ES_tradnl"/>
        </w:rPr>
        <w:t xml:space="preserve"> </w:t>
      </w:r>
      <w:r w:rsidR="007D467E" w:rsidRPr="005D6E23">
        <w:rPr>
          <w:rFonts w:ascii="Arial" w:eastAsia="Times New Roman" w:hAnsi="Arial" w:cs="Arial"/>
          <w:sz w:val="22"/>
          <w:szCs w:val="22"/>
          <w:lang w:val="es-US" w:eastAsia="es-ES_tradnl"/>
        </w:rPr>
        <w:t>presentan un mayor porcentaje de educación universitaria con un 23%; sin embargo, ocupan</w:t>
      </w:r>
      <w:r w:rsidRPr="005D6E23">
        <w:rPr>
          <w:rFonts w:ascii="Arial" w:eastAsia="Times New Roman" w:hAnsi="Arial" w:cs="Arial"/>
          <w:sz w:val="22"/>
          <w:szCs w:val="22"/>
          <w:lang w:val="es-US" w:eastAsia="es-ES_tradnl"/>
        </w:rPr>
        <w:t xml:space="preserve"> </w:t>
      </w:r>
      <w:r w:rsidR="007D467E" w:rsidRPr="005D6E23">
        <w:rPr>
          <w:rFonts w:ascii="Arial" w:eastAsia="Times New Roman" w:hAnsi="Arial" w:cs="Arial"/>
          <w:sz w:val="22"/>
          <w:szCs w:val="22"/>
          <w:lang w:val="es-US" w:eastAsia="es-ES_tradnl"/>
        </w:rPr>
        <w:t>en mayor proporción labores poco o nada calificadas.</w:t>
      </w:r>
    </w:p>
    <w:p w14:paraId="714770A6" w14:textId="77777777" w:rsidR="00A702BD" w:rsidRPr="005D6E23" w:rsidRDefault="00A702BD" w:rsidP="00A702BD">
      <w:pPr>
        <w:adjustRightInd w:val="0"/>
        <w:snapToGrid w:val="0"/>
        <w:jc w:val="both"/>
        <w:rPr>
          <w:rFonts w:ascii="Arial" w:eastAsia="Times New Roman" w:hAnsi="Arial" w:cs="Arial"/>
          <w:sz w:val="22"/>
          <w:szCs w:val="22"/>
          <w:lang w:val="es-US" w:eastAsia="es-ES_tradnl"/>
        </w:rPr>
      </w:pPr>
    </w:p>
    <w:p w14:paraId="53EF5AA5" w14:textId="5CB97E86" w:rsidR="007D467E" w:rsidRPr="005D6E23" w:rsidRDefault="007D467E"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Asimismo, este grupo poblacional también presenta el mayor porcentaje de personas con secundaria incompleta, un 49,1% con respecto al 45,4% de la población total, lo que se refleja</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lastRenderedPageBreak/>
        <w:t>en un menor porcentaje de afrodescendientes que culminan la universidad, 9,3% con respecto</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al 15,2% que si lo hace en la población total.</w:t>
      </w:r>
    </w:p>
    <w:p w14:paraId="5337BC03" w14:textId="77777777" w:rsidR="00A702BD" w:rsidRPr="005D6E23" w:rsidRDefault="00A702BD" w:rsidP="00A702BD">
      <w:pPr>
        <w:adjustRightInd w:val="0"/>
        <w:snapToGrid w:val="0"/>
        <w:jc w:val="both"/>
        <w:rPr>
          <w:rFonts w:ascii="Arial" w:eastAsia="Times New Roman" w:hAnsi="Arial" w:cs="Arial"/>
          <w:sz w:val="22"/>
          <w:szCs w:val="22"/>
          <w:lang w:val="es-US" w:eastAsia="es-ES_tradnl"/>
        </w:rPr>
      </w:pPr>
    </w:p>
    <w:p w14:paraId="6661F159" w14:textId="1ACF4287" w:rsidR="007D467E" w:rsidRPr="005D6E23" w:rsidRDefault="007D467E" w:rsidP="0030382C">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De lo anterior se desprende que los empleos a los que acceden las personas afrocostarricenses</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en su mayoría son de baja calidad y mal remunerados, presentando los mayores niveles de desempleo abierto en el país.</w:t>
      </w:r>
      <w:r w:rsidR="004A64D2" w:rsidRPr="005D6E23">
        <w:rPr>
          <w:rFonts w:ascii="Arial" w:eastAsia="Times New Roman" w:hAnsi="Arial" w:cs="Arial"/>
          <w:sz w:val="22"/>
          <w:szCs w:val="22"/>
          <w:lang w:val="es-US" w:eastAsia="es-ES_tradnl"/>
        </w:rPr>
        <w:t xml:space="preserve"> (PNUD, 2017)</w:t>
      </w:r>
    </w:p>
    <w:p w14:paraId="0FD7E2C8" w14:textId="77777777" w:rsidR="00A702BD" w:rsidRPr="005D6E23" w:rsidRDefault="00A702BD" w:rsidP="0030382C">
      <w:pPr>
        <w:adjustRightInd w:val="0"/>
        <w:snapToGrid w:val="0"/>
        <w:jc w:val="both"/>
        <w:rPr>
          <w:rFonts w:ascii="Arial" w:eastAsia="Times New Roman" w:hAnsi="Arial" w:cs="Arial"/>
          <w:sz w:val="22"/>
          <w:szCs w:val="22"/>
          <w:lang w:val="es-US" w:eastAsia="es-ES_tradnl"/>
        </w:rPr>
      </w:pPr>
    </w:p>
    <w:p w14:paraId="26B46AAD" w14:textId="77777777" w:rsidR="0030382C" w:rsidRPr="005D6E23" w:rsidRDefault="007D467E" w:rsidP="0030382C">
      <w:pPr>
        <w:jc w:val="both"/>
        <w:rPr>
          <w:rFonts w:ascii="Arial" w:hAnsi="Arial" w:cs="Arial"/>
          <w:sz w:val="22"/>
          <w:szCs w:val="22"/>
        </w:rPr>
      </w:pPr>
      <w:r w:rsidRPr="005D6E23">
        <w:rPr>
          <w:rFonts w:ascii="Arial" w:eastAsia="Times New Roman" w:hAnsi="Arial" w:cs="Arial"/>
          <w:sz w:val="22"/>
          <w:szCs w:val="22"/>
          <w:lang w:val="es-US" w:eastAsia="es-ES_tradnl"/>
        </w:rPr>
        <w:t>Sólo el 5,5% de los hombres afrodescendientes poseen un trabajo de nivel profesional o científico, y el 57,3% se dedica a actividades de baja o nula calificación. Lo anterior confirma que el vínculo laboral prevaleciente en esta población es el trabajo asalariado, el cual concentra al 70,1% de los hombres, y al 64,5% de las mujeres. Solamente el 6% de la población afrodescendiente se desempeña como empresarios o patronos.</w:t>
      </w:r>
      <w:r w:rsidR="0030382C" w:rsidRPr="005D6E23">
        <w:rPr>
          <w:rFonts w:ascii="Arial" w:hAnsi="Arial" w:cs="Arial"/>
          <w:sz w:val="22"/>
          <w:szCs w:val="22"/>
        </w:rPr>
        <w:t xml:space="preserve"> </w:t>
      </w:r>
    </w:p>
    <w:p w14:paraId="60AAD1BC" w14:textId="77777777" w:rsidR="0030382C" w:rsidRPr="005D6E23" w:rsidRDefault="0030382C" w:rsidP="0030382C">
      <w:pPr>
        <w:jc w:val="both"/>
        <w:rPr>
          <w:rFonts w:ascii="Arial" w:hAnsi="Arial" w:cs="Arial"/>
          <w:sz w:val="22"/>
          <w:szCs w:val="22"/>
        </w:rPr>
      </w:pPr>
    </w:p>
    <w:p w14:paraId="47EAE2FB" w14:textId="004201F8" w:rsidR="007D467E" w:rsidRPr="005D6E23" w:rsidRDefault="0030382C" w:rsidP="0030382C">
      <w:pPr>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Si además se considera que los afrodescendientes tienen menos probabilidades de tener acceso a crédito (BID, 2017) y tienen menores ingresos y tasas de ahorro, las comunidades afrodescendientes pueden enfrentar mayor vulnerabilidad económica ante la crisis del COVID-19. </w:t>
      </w:r>
    </w:p>
    <w:p w14:paraId="3FD693A0" w14:textId="27D35129" w:rsidR="00A702BD" w:rsidRPr="005D6E23" w:rsidRDefault="00A702BD" w:rsidP="00A702BD">
      <w:pPr>
        <w:adjustRightInd w:val="0"/>
        <w:snapToGrid w:val="0"/>
        <w:jc w:val="both"/>
        <w:rPr>
          <w:rFonts w:ascii="Arial" w:eastAsia="Times New Roman" w:hAnsi="Arial" w:cs="Arial"/>
          <w:sz w:val="22"/>
          <w:szCs w:val="22"/>
          <w:lang w:val="es-US" w:eastAsia="es-ES_tradnl"/>
        </w:rPr>
      </w:pPr>
    </w:p>
    <w:p w14:paraId="126CC3E4" w14:textId="76AC3D4C" w:rsidR="007D467E" w:rsidRPr="005D6E23" w:rsidRDefault="007D467E"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lo que respecta al aseguramiento, el 18,7% de la población no se encuentra afiliado a la seguridad social y tienen menor acceso a pensiones, especialmente las mujeres: el 34,6% de los hombres y el 70,4% de las mujeres afrodescendientes mayores de 65 años no cuentan con pensión, en contraposición con el 30,7% y el 68,2% respectivamente de la población blanca y mestiza. 30 mil hogares afrodescendientes viven en pobreza, y 9 mil en pobreza extrema; 13%</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de esta población tienen carencias sanitarias, cifra que asciende al 29% en zonas rurales.</w:t>
      </w:r>
    </w:p>
    <w:p w14:paraId="326EEBFD" w14:textId="64601DA7" w:rsidR="007D467E" w:rsidRPr="005D6E23" w:rsidRDefault="007D467E" w:rsidP="00A702BD">
      <w:pPr>
        <w:adjustRightInd w:val="0"/>
        <w:snapToGrid w:val="0"/>
        <w:jc w:val="both"/>
        <w:rPr>
          <w:rFonts w:ascii="Arial" w:eastAsia="Times New Roman" w:hAnsi="Arial" w:cs="Arial"/>
          <w:sz w:val="22"/>
          <w:szCs w:val="22"/>
          <w:lang w:val="es-US" w:eastAsia="es-ES_tradnl"/>
        </w:rPr>
      </w:pPr>
    </w:p>
    <w:p w14:paraId="565E7A37" w14:textId="057EA342" w:rsidR="007D467E" w:rsidRPr="005D6E23" w:rsidRDefault="007D467E" w:rsidP="00A702BD">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Por último, esta población tiene menos acceso</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al uso de internet, pues mientras un 45% de la</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población total hace uso del mismo, en el caso</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de los afrodescendientes la cifra en esta área</w:t>
      </w:r>
      <w:r w:rsidR="00A702BD"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solamente asciende al 39%.</w:t>
      </w:r>
      <w:r w:rsidR="004A64D2" w:rsidRPr="005D6E23">
        <w:rPr>
          <w:rFonts w:ascii="Arial" w:eastAsia="Times New Roman" w:hAnsi="Arial" w:cs="Arial"/>
          <w:sz w:val="22"/>
          <w:szCs w:val="22"/>
          <w:lang w:val="es-US" w:eastAsia="es-ES_tradnl"/>
        </w:rPr>
        <w:t xml:space="preserve"> Esto podría dificultar su participación en los esquemas de apoyo del gobierno que se estén implementando a través de plataformas digitales en el marco de la crisis.</w:t>
      </w:r>
    </w:p>
    <w:p w14:paraId="2547EC00" w14:textId="533587FA" w:rsidR="009A0802" w:rsidRPr="005D6E23" w:rsidRDefault="009A0802" w:rsidP="00A702BD">
      <w:pPr>
        <w:adjustRightInd w:val="0"/>
        <w:snapToGrid w:val="0"/>
        <w:jc w:val="both"/>
        <w:rPr>
          <w:rFonts w:ascii="Arial" w:eastAsia="Times New Roman" w:hAnsi="Arial" w:cs="Arial"/>
          <w:sz w:val="22"/>
          <w:szCs w:val="22"/>
          <w:lang w:val="es-US" w:eastAsia="es-ES_tradnl"/>
        </w:rPr>
      </w:pPr>
    </w:p>
    <w:p w14:paraId="080D67EA" w14:textId="77777777" w:rsidR="009A0802" w:rsidRPr="005D6E23" w:rsidRDefault="009A0802" w:rsidP="009A0802">
      <w:pPr>
        <w:adjustRightInd w:val="0"/>
        <w:snapToGrid w:val="0"/>
        <w:spacing w:after="120"/>
        <w:jc w:val="both"/>
        <w:rPr>
          <w:rFonts w:ascii="Arial" w:eastAsia="Times New Roman" w:hAnsi="Arial" w:cs="Arial"/>
          <w:b/>
          <w:bCs/>
          <w:color w:val="212529"/>
          <w:sz w:val="22"/>
          <w:szCs w:val="22"/>
          <w:u w:val="single"/>
          <w:shd w:val="clear" w:color="auto" w:fill="FFFFFF"/>
          <w:lang w:val="es-US" w:eastAsia="es-ES_tradnl"/>
        </w:rPr>
      </w:pPr>
      <w:r w:rsidRPr="005D6E23">
        <w:rPr>
          <w:rFonts w:ascii="Arial" w:eastAsia="Times New Roman" w:hAnsi="Arial" w:cs="Arial"/>
          <w:b/>
          <w:bCs/>
          <w:color w:val="212529"/>
          <w:sz w:val="22"/>
          <w:szCs w:val="22"/>
          <w:u w:val="single"/>
          <w:shd w:val="clear" w:color="auto" w:fill="FFFFFF"/>
          <w:lang w:val="es-US" w:eastAsia="es-ES_tradnl"/>
        </w:rPr>
        <w:t>Personas con Discapacidad</w:t>
      </w:r>
    </w:p>
    <w:p w14:paraId="05582B4B" w14:textId="0D846869" w:rsidR="009A0802" w:rsidRPr="005D6E23" w:rsidRDefault="009A0802" w:rsidP="009A0802">
      <w:pPr>
        <w:adjustRightInd w:val="0"/>
        <w:snapToGrid w:val="0"/>
        <w:spacing w:before="120" w:after="12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Antecedentes:</w:t>
      </w:r>
      <w:r w:rsidRPr="005D6E23">
        <w:rPr>
          <w:rFonts w:ascii="Arial" w:eastAsia="Times New Roman" w:hAnsi="Arial" w:cs="Arial"/>
          <w:sz w:val="22"/>
          <w:szCs w:val="22"/>
          <w:lang w:val="es-US" w:eastAsia="es-ES_tradnl"/>
        </w:rPr>
        <w:t xml:space="preserve"> La Convención sobre los Derechos de las Personas con Discapacidad (CDPD), fue ratificada por Costa Rica en septiembre del 2018 mediante la Ley Nº 8661. La primera Encuesta Nacional sobre Discapacidad (Enadis) se realiz</w:t>
      </w:r>
      <w:r w:rsidR="0030382C" w:rsidRPr="005D6E23">
        <w:rPr>
          <w:rFonts w:ascii="Arial" w:eastAsia="Times New Roman" w:hAnsi="Arial" w:cs="Arial"/>
          <w:sz w:val="22"/>
          <w:szCs w:val="22"/>
          <w:lang w:val="es-US" w:eastAsia="es-ES_tradnl"/>
        </w:rPr>
        <w:t>ó</w:t>
      </w:r>
      <w:r w:rsidRPr="005D6E23">
        <w:rPr>
          <w:rFonts w:ascii="Arial" w:eastAsia="Times New Roman" w:hAnsi="Arial" w:cs="Arial"/>
          <w:sz w:val="22"/>
          <w:szCs w:val="22"/>
          <w:lang w:val="es-US" w:eastAsia="es-ES_tradnl"/>
        </w:rPr>
        <w:t xml:space="preserve"> en ese mismo año. El ente rector es el CONAPDIS, Consejo Nacional de las Personas con Discapacidad. </w:t>
      </w:r>
    </w:p>
    <w:p w14:paraId="228180F7" w14:textId="77777777" w:rsidR="009A0802" w:rsidRPr="005D6E23" w:rsidRDefault="009A0802" w:rsidP="009A0802">
      <w:pPr>
        <w:adjustRightInd w:val="0"/>
        <w:snapToGrid w:val="0"/>
        <w:spacing w:after="120"/>
        <w:jc w:val="both"/>
        <w:rPr>
          <w:rFonts w:ascii="Arial" w:hAnsi="Arial" w:cs="Arial"/>
          <w:sz w:val="22"/>
          <w:szCs w:val="22"/>
        </w:rPr>
      </w:pPr>
      <w:r w:rsidRPr="005D6E23">
        <w:rPr>
          <w:rFonts w:ascii="Arial" w:eastAsia="Times New Roman" w:hAnsi="Arial" w:cs="Arial"/>
          <w:sz w:val="22"/>
          <w:szCs w:val="22"/>
          <w:lang w:val="es-US" w:eastAsia="es-ES_tradnl"/>
        </w:rPr>
        <w:t>Según la Enadis el 18,2 % de personas de 18 años y más que residen en el país están en situación de discapacidad (PeSD), esto representa aproximadamente 670,640 personas.</w:t>
      </w:r>
      <w:r w:rsidRPr="005D6E23">
        <w:rPr>
          <w:rFonts w:ascii="Arial" w:hAnsi="Arial" w:cs="Arial"/>
          <w:sz w:val="22"/>
          <w:szCs w:val="22"/>
        </w:rPr>
        <w:t xml:space="preserve"> </w:t>
      </w:r>
    </w:p>
    <w:p w14:paraId="5D3D375B" w14:textId="5F81B139" w:rsidR="009A0802" w:rsidRPr="005D6E23" w:rsidRDefault="009A0802" w:rsidP="009A0802">
      <w:pPr>
        <w:adjustRightInd w:val="0"/>
        <w:snapToGrid w:val="0"/>
        <w:spacing w:after="120"/>
        <w:jc w:val="both"/>
        <w:rPr>
          <w:rFonts w:ascii="Arial" w:hAnsi="Arial" w:cs="Arial"/>
          <w:sz w:val="22"/>
          <w:szCs w:val="22"/>
        </w:rPr>
      </w:pPr>
      <w:r w:rsidRPr="005D6E23">
        <w:rPr>
          <w:rFonts w:ascii="Arial" w:eastAsia="Times New Roman" w:hAnsi="Arial" w:cs="Arial"/>
          <w:sz w:val="22"/>
          <w:szCs w:val="22"/>
          <w:lang w:val="es-US" w:eastAsia="es-ES_tradnl"/>
        </w:rPr>
        <w:t>Respecto al total de mujeres</w:t>
      </w:r>
      <w:r w:rsidR="0030382C" w:rsidRPr="005D6E23">
        <w:rPr>
          <w:rFonts w:ascii="Arial" w:eastAsia="Times New Roman" w:hAnsi="Arial" w:cs="Arial"/>
          <w:sz w:val="22"/>
          <w:szCs w:val="22"/>
          <w:lang w:val="es-US" w:eastAsia="es-ES_tradnl"/>
        </w:rPr>
        <w:t xml:space="preserve"> en el país</w:t>
      </w:r>
      <w:r w:rsidRPr="005D6E23">
        <w:rPr>
          <w:rFonts w:ascii="Arial" w:eastAsia="Times New Roman" w:hAnsi="Arial" w:cs="Arial"/>
          <w:sz w:val="22"/>
          <w:szCs w:val="22"/>
          <w:lang w:val="es-US" w:eastAsia="es-ES_tradnl"/>
        </w:rPr>
        <w:t>, el 22,3 % están en situación de discapacidad, mientras que del total de hombres, quienes están en esta condición son el 14,2 %. Por grupo etario, conforme aumenta la edad, el porcentaje de población en dicha situación es mayor, ya que del total de personas de 65 años y más, alrededor del 35 % son PeSD, en tanto, el grupo de 18 a 35 años el 9,6 % corresponde a personas con discapacidad.</w:t>
      </w:r>
      <w:r w:rsidRPr="005D6E23">
        <w:rPr>
          <w:rFonts w:ascii="Arial" w:hAnsi="Arial" w:cs="Arial"/>
          <w:sz w:val="22"/>
          <w:szCs w:val="22"/>
        </w:rPr>
        <w:t xml:space="preserve"> </w:t>
      </w:r>
    </w:p>
    <w:p w14:paraId="10817DAC" w14:textId="0FA75019" w:rsidR="009A0802" w:rsidRPr="005D6E23" w:rsidRDefault="009A0802" w:rsidP="00416CE4">
      <w:pPr>
        <w:adjustRightInd w:val="0"/>
        <w:snapToGrid w:val="0"/>
        <w:spacing w:after="120"/>
        <w:jc w:val="both"/>
        <w:rPr>
          <w:rFonts w:ascii="Arial" w:hAnsi="Arial" w:cs="Arial"/>
          <w:sz w:val="22"/>
          <w:szCs w:val="22"/>
        </w:rPr>
      </w:pPr>
      <w:r w:rsidRPr="005D6E23">
        <w:rPr>
          <w:rFonts w:ascii="Arial" w:eastAsia="Times New Roman" w:hAnsi="Arial" w:cs="Arial"/>
          <w:sz w:val="22"/>
          <w:szCs w:val="22"/>
          <w:lang w:val="es-US" w:eastAsia="es-ES_tradnl"/>
        </w:rPr>
        <w:t>Al segmentar el 18,2 % de población con discapacidad según grado se estima que el 14,4 % tienen un grado severo</w:t>
      </w:r>
      <w:r w:rsidR="0030382C" w:rsidRPr="005D6E23">
        <w:rPr>
          <w:rFonts w:ascii="Arial" w:eastAsia="Times New Roman" w:hAnsi="Arial" w:cs="Arial"/>
          <w:sz w:val="22"/>
          <w:szCs w:val="22"/>
          <w:lang w:val="es-US" w:eastAsia="es-ES_tradnl"/>
        </w:rPr>
        <w:t xml:space="preserve"> de discapacidad</w:t>
      </w:r>
      <w:r w:rsidRPr="005D6E23">
        <w:rPr>
          <w:rFonts w:ascii="Arial" w:eastAsia="Times New Roman" w:hAnsi="Arial" w:cs="Arial"/>
          <w:sz w:val="22"/>
          <w:szCs w:val="22"/>
          <w:lang w:val="es-US" w:eastAsia="es-ES_tradnl"/>
        </w:rPr>
        <w:t>, es decir, que son personas que</w:t>
      </w:r>
      <w:r w:rsidR="0030382C" w:rsidRPr="005D6E23">
        <w:rPr>
          <w:rFonts w:ascii="Arial" w:eastAsia="Times New Roman" w:hAnsi="Arial" w:cs="Arial"/>
          <w:sz w:val="22"/>
          <w:szCs w:val="22"/>
          <w:lang w:val="es-US" w:eastAsia="es-ES_tradnl"/>
        </w:rPr>
        <w:t xml:space="preserve"> según la Enadis 2018</w:t>
      </w:r>
      <w:r w:rsidRPr="005D6E23">
        <w:rPr>
          <w:rFonts w:ascii="Arial" w:eastAsia="Times New Roman" w:hAnsi="Arial" w:cs="Arial"/>
          <w:sz w:val="22"/>
          <w:szCs w:val="22"/>
          <w:lang w:val="es-US" w:eastAsia="es-ES_tradnl"/>
        </w:rPr>
        <w:t>, debido a las barreras que les impone los diferentes entornos, tuvieron una mayor dificultad para desempeñarse en actividades cotidianas</w:t>
      </w:r>
      <w:r w:rsidR="0030382C" w:rsidRPr="005D6E23">
        <w:rPr>
          <w:rFonts w:ascii="Arial" w:eastAsia="Times New Roman" w:hAnsi="Arial" w:cs="Arial"/>
          <w:sz w:val="22"/>
          <w:szCs w:val="22"/>
          <w:lang w:val="es-US" w:eastAsia="es-ES_tradnl"/>
        </w:rPr>
        <w:t xml:space="preserve">. Por otro lado, </w:t>
      </w:r>
      <w:r w:rsidRPr="005D6E23">
        <w:rPr>
          <w:rFonts w:ascii="Arial" w:eastAsia="Times New Roman" w:hAnsi="Arial" w:cs="Arial"/>
          <w:sz w:val="22"/>
          <w:szCs w:val="22"/>
          <w:lang w:val="es-US" w:eastAsia="es-ES_tradnl"/>
        </w:rPr>
        <w:t>el 3,8 % tiene una discapacidad de leve a moderada, lo cual corresponde a las personas que presentaron una dificultad menor para realizar actividades diarias.</w:t>
      </w:r>
      <w:r w:rsidR="00416CE4" w:rsidRPr="005D6E23">
        <w:rPr>
          <w:rFonts w:ascii="Arial" w:hAnsi="Arial" w:cs="Arial"/>
          <w:sz w:val="22"/>
          <w:szCs w:val="22"/>
        </w:rPr>
        <w:t xml:space="preserve"> </w:t>
      </w:r>
    </w:p>
    <w:p w14:paraId="46FF97B5" w14:textId="77777777" w:rsidR="00F17DEB" w:rsidRPr="005D6E23" w:rsidRDefault="00F17DEB" w:rsidP="009A0802">
      <w:pPr>
        <w:adjustRightInd w:val="0"/>
        <w:snapToGrid w:val="0"/>
        <w:spacing w:after="120"/>
        <w:jc w:val="center"/>
        <w:rPr>
          <w:rFonts w:ascii="Arial" w:hAnsi="Arial" w:cs="Arial"/>
          <w:i/>
          <w:iCs/>
          <w:color w:val="44546A" w:themeColor="text2"/>
          <w:sz w:val="22"/>
          <w:szCs w:val="22"/>
        </w:rPr>
      </w:pPr>
    </w:p>
    <w:p w14:paraId="52BEDA45" w14:textId="583D695A" w:rsidR="009A0802" w:rsidRPr="005D6E23" w:rsidRDefault="009A0802" w:rsidP="009A0802">
      <w:pPr>
        <w:adjustRightInd w:val="0"/>
        <w:snapToGrid w:val="0"/>
        <w:spacing w:after="120"/>
        <w:jc w:val="center"/>
        <w:rPr>
          <w:rFonts w:ascii="Arial" w:eastAsia="Times New Roman" w:hAnsi="Arial" w:cs="Arial"/>
          <w:sz w:val="22"/>
          <w:szCs w:val="22"/>
          <w:lang w:val="es-US" w:eastAsia="es-ES_tradnl"/>
        </w:rPr>
      </w:pPr>
      <w:r w:rsidRPr="005D6E23">
        <w:rPr>
          <w:rFonts w:ascii="Arial" w:hAnsi="Arial" w:cs="Arial"/>
          <w:i/>
          <w:iCs/>
          <w:color w:val="44546A" w:themeColor="text2"/>
          <w:sz w:val="22"/>
          <w:szCs w:val="22"/>
        </w:rPr>
        <w:t>Gráfico 9.</w:t>
      </w:r>
      <w:r w:rsidRPr="005D6E23">
        <w:rPr>
          <w:rFonts w:ascii="Arial" w:hAnsi="Arial" w:cs="Arial"/>
          <w:sz w:val="22"/>
          <w:szCs w:val="22"/>
        </w:rPr>
        <w:t xml:space="preserve"> </w:t>
      </w:r>
      <w:r w:rsidRPr="005D6E23">
        <w:rPr>
          <w:rFonts w:ascii="Arial" w:hAnsi="Arial" w:cs="Arial"/>
          <w:i/>
          <w:iCs/>
          <w:color w:val="44546A" w:themeColor="text2"/>
          <w:sz w:val="22"/>
          <w:szCs w:val="22"/>
        </w:rPr>
        <w:t>Porcentaje de la población de 18 años</w:t>
      </w:r>
      <w:r w:rsidR="006021F9" w:rsidRPr="005D6E23">
        <w:rPr>
          <w:rFonts w:ascii="Arial" w:hAnsi="Arial" w:cs="Arial"/>
          <w:i/>
          <w:iCs/>
          <w:color w:val="44546A" w:themeColor="text2"/>
          <w:sz w:val="22"/>
          <w:szCs w:val="22"/>
        </w:rPr>
        <w:t>+</w:t>
      </w:r>
      <w:r w:rsidRPr="005D6E23">
        <w:rPr>
          <w:rFonts w:ascii="Arial" w:hAnsi="Arial" w:cs="Arial"/>
          <w:i/>
          <w:iCs/>
          <w:color w:val="44546A" w:themeColor="text2"/>
          <w:sz w:val="22"/>
          <w:szCs w:val="22"/>
        </w:rPr>
        <w:t xml:space="preserve"> según situación y grado de discapacidad</w:t>
      </w:r>
      <w:r w:rsidR="006021F9" w:rsidRPr="005D6E23">
        <w:rPr>
          <w:rFonts w:ascii="Arial" w:hAnsi="Arial" w:cs="Arial"/>
          <w:i/>
          <w:iCs/>
          <w:color w:val="44546A" w:themeColor="text2"/>
          <w:sz w:val="22"/>
          <w:szCs w:val="22"/>
        </w:rPr>
        <w:t xml:space="preserve"> (</w:t>
      </w:r>
      <w:r w:rsidRPr="005D6E23">
        <w:rPr>
          <w:rFonts w:ascii="Arial" w:hAnsi="Arial" w:cs="Arial"/>
          <w:i/>
          <w:iCs/>
          <w:color w:val="44546A" w:themeColor="text2"/>
          <w:sz w:val="22"/>
          <w:szCs w:val="22"/>
        </w:rPr>
        <w:t>2018</w:t>
      </w:r>
      <w:r w:rsidR="006021F9" w:rsidRPr="005D6E23">
        <w:rPr>
          <w:rFonts w:ascii="Arial" w:hAnsi="Arial" w:cs="Arial"/>
          <w:i/>
          <w:iCs/>
          <w:color w:val="44546A" w:themeColor="text2"/>
          <w:sz w:val="22"/>
          <w:szCs w:val="22"/>
        </w:rPr>
        <w:t>)</w:t>
      </w:r>
    </w:p>
    <w:p w14:paraId="7EC8580A" w14:textId="77777777" w:rsidR="009A0802" w:rsidRPr="005D6E23" w:rsidRDefault="009A0802" w:rsidP="009A0802">
      <w:pPr>
        <w:adjustRightInd w:val="0"/>
        <w:snapToGrid w:val="0"/>
        <w:spacing w:after="120"/>
        <w:jc w:val="center"/>
        <w:rPr>
          <w:rFonts w:ascii="Arial" w:eastAsia="Times New Roman" w:hAnsi="Arial" w:cs="Arial"/>
          <w:sz w:val="22"/>
          <w:szCs w:val="22"/>
          <w:lang w:val="es-US" w:eastAsia="es-ES_tradnl"/>
        </w:rPr>
      </w:pPr>
      <w:r w:rsidRPr="005D6E23">
        <w:rPr>
          <w:rFonts w:ascii="Arial" w:eastAsia="Times New Roman" w:hAnsi="Arial" w:cs="Arial"/>
          <w:noProof/>
          <w:sz w:val="22"/>
          <w:szCs w:val="22"/>
          <w:lang w:val="es-US" w:eastAsia="es-ES_tradnl"/>
        </w:rPr>
        <w:drawing>
          <wp:inline distT="0" distB="0" distL="0" distR="0" wp14:anchorId="2F6582F6" wp14:editId="2F69AF38">
            <wp:extent cx="2693245"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317" cy="2235530"/>
                    </a:xfrm>
                    <a:prstGeom prst="rect">
                      <a:avLst/>
                    </a:prstGeom>
                    <a:noFill/>
                    <a:ln>
                      <a:noFill/>
                    </a:ln>
                  </pic:spPr>
                </pic:pic>
              </a:graphicData>
            </a:graphic>
          </wp:inline>
        </w:drawing>
      </w:r>
    </w:p>
    <w:p w14:paraId="66E662B4" w14:textId="77777777" w:rsidR="009A0802" w:rsidRPr="005D6E23" w:rsidRDefault="009A0802" w:rsidP="009A0802">
      <w:pPr>
        <w:adjustRightInd w:val="0"/>
        <w:snapToGrid w:val="0"/>
        <w:spacing w:after="120"/>
        <w:jc w:val="both"/>
        <w:rPr>
          <w:rFonts w:ascii="Arial" w:eastAsia="Times New Roman" w:hAnsi="Arial" w:cs="Arial"/>
          <w:b/>
          <w:bCs/>
          <w:color w:val="212529"/>
          <w:sz w:val="22"/>
          <w:szCs w:val="22"/>
          <w:u w:val="single"/>
          <w:shd w:val="clear" w:color="auto" w:fill="FFFFFF"/>
          <w:lang w:val="es-US" w:eastAsia="es-ES_tradnl"/>
        </w:rPr>
      </w:pPr>
    </w:p>
    <w:p w14:paraId="6479342E" w14:textId="26FB8ACC" w:rsidR="00416CE4" w:rsidRPr="005D6E23" w:rsidRDefault="00CE5A30" w:rsidP="00416CE4">
      <w:pPr>
        <w:adjustRightInd w:val="0"/>
        <w:snapToGrid w:val="0"/>
        <w:spacing w:after="12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Problemática:</w:t>
      </w:r>
      <w:r w:rsidRPr="005D6E23">
        <w:rPr>
          <w:rFonts w:ascii="Arial" w:eastAsia="Times New Roman" w:hAnsi="Arial" w:cs="Arial"/>
          <w:sz w:val="22"/>
          <w:szCs w:val="22"/>
          <w:lang w:val="es-US" w:eastAsia="es-ES_tradnl"/>
        </w:rPr>
        <w:t xml:space="preserve"> </w:t>
      </w:r>
      <w:r w:rsidR="00416CE4" w:rsidRPr="005D6E23">
        <w:rPr>
          <w:rFonts w:ascii="Arial" w:eastAsia="Times New Roman" w:hAnsi="Arial" w:cs="Arial"/>
          <w:sz w:val="22"/>
          <w:szCs w:val="22"/>
          <w:lang w:val="es-US" w:eastAsia="es-ES_tradnl"/>
        </w:rPr>
        <w:t xml:space="preserve">El 5,7 % </w:t>
      </w:r>
      <w:r w:rsidR="0030382C" w:rsidRPr="005D6E23">
        <w:rPr>
          <w:rFonts w:ascii="Arial" w:eastAsia="Times New Roman" w:hAnsi="Arial" w:cs="Arial"/>
          <w:sz w:val="22"/>
          <w:szCs w:val="22"/>
          <w:lang w:val="es-US" w:eastAsia="es-ES_tradnl"/>
        </w:rPr>
        <w:t xml:space="preserve">la población con discapacidad </w:t>
      </w:r>
      <w:r w:rsidR="00416CE4" w:rsidRPr="005D6E23">
        <w:rPr>
          <w:rFonts w:ascii="Arial" w:eastAsia="Times New Roman" w:hAnsi="Arial" w:cs="Arial"/>
          <w:sz w:val="22"/>
          <w:szCs w:val="22"/>
          <w:lang w:val="es-US" w:eastAsia="es-ES_tradnl"/>
        </w:rPr>
        <w:t xml:space="preserve">asiste </w:t>
      </w:r>
      <w:r w:rsidR="0030382C" w:rsidRPr="005D6E23">
        <w:rPr>
          <w:rFonts w:ascii="Arial" w:eastAsia="Times New Roman" w:hAnsi="Arial" w:cs="Arial"/>
          <w:sz w:val="22"/>
          <w:szCs w:val="22"/>
          <w:lang w:val="es-US" w:eastAsia="es-ES_tradnl"/>
        </w:rPr>
        <w:t xml:space="preserve">a la educación formal: </w:t>
      </w:r>
      <w:r w:rsidR="00416CE4" w:rsidRPr="005D6E23">
        <w:rPr>
          <w:rFonts w:ascii="Arial" w:eastAsia="Times New Roman" w:hAnsi="Arial" w:cs="Arial"/>
          <w:sz w:val="22"/>
          <w:szCs w:val="22"/>
          <w:lang w:val="es-US" w:eastAsia="es-ES_tradnl"/>
        </w:rPr>
        <w:t>el 53,1 % estudian en centros educativos públicos, mientras que aproximadamente el 47 % están en centros educativos privados. Por otro lado, el 99,6 % de las personas mayores de edad con discapacidad en el país saben leer y escribir.</w:t>
      </w:r>
    </w:p>
    <w:p w14:paraId="44CABCFC" w14:textId="477D4675" w:rsidR="00416CE4" w:rsidRPr="005D6E23" w:rsidRDefault="00416CE4" w:rsidP="00416CE4">
      <w:pPr>
        <w:adjustRightInd w:val="0"/>
        <w:snapToGrid w:val="0"/>
        <w:jc w:val="both"/>
        <w:rPr>
          <w:rFonts w:ascii="Arial" w:hAnsi="Arial" w:cs="Arial"/>
          <w:sz w:val="22"/>
          <w:szCs w:val="22"/>
        </w:rPr>
      </w:pPr>
      <w:r w:rsidRPr="005D6E23">
        <w:rPr>
          <w:rFonts w:ascii="Arial" w:eastAsia="Times New Roman" w:hAnsi="Arial" w:cs="Arial"/>
          <w:sz w:val="22"/>
          <w:szCs w:val="22"/>
          <w:lang w:val="es-US" w:eastAsia="es-ES_tradnl"/>
        </w:rPr>
        <w:t>La población de 18 años y más dentro de la fuerza de trabajo (ocupada y desocupada) muestra diferencias importantes entre la población con y sin discapacidad. El 43,6 % de las personas con discapacidad tienen algún trabajo o están en búsqueda de uno, mientras que en las personas sin discapacidad corresponde al 68,2 %.</w:t>
      </w:r>
      <w:r w:rsidRPr="005D6E23">
        <w:rPr>
          <w:rFonts w:ascii="Arial" w:hAnsi="Arial" w:cs="Arial"/>
          <w:sz w:val="22"/>
          <w:szCs w:val="22"/>
        </w:rPr>
        <w:t xml:space="preserve"> </w:t>
      </w:r>
    </w:p>
    <w:p w14:paraId="022F8470" w14:textId="73F8687B" w:rsidR="00416CE4" w:rsidRPr="005D6E23" w:rsidRDefault="00416CE4" w:rsidP="00416CE4">
      <w:pPr>
        <w:adjustRightInd w:val="0"/>
        <w:snapToGrid w:val="0"/>
        <w:jc w:val="both"/>
        <w:rPr>
          <w:rFonts w:ascii="Arial" w:eastAsia="Times New Roman" w:hAnsi="Arial" w:cs="Arial"/>
          <w:sz w:val="22"/>
          <w:szCs w:val="22"/>
          <w:lang w:val="es-US" w:eastAsia="es-ES_tradnl"/>
        </w:rPr>
      </w:pPr>
    </w:p>
    <w:p w14:paraId="7D1483EE" w14:textId="093596D3" w:rsidR="00416CE4" w:rsidRPr="005D6E23" w:rsidRDefault="00416CE4" w:rsidP="00416CE4">
      <w:pPr>
        <w:adjustRightInd w:val="0"/>
        <w:snapToGrid w:val="0"/>
        <w:spacing w:after="120"/>
        <w:jc w:val="center"/>
        <w:rPr>
          <w:rFonts w:ascii="Arial" w:eastAsia="Times New Roman" w:hAnsi="Arial" w:cs="Arial"/>
          <w:sz w:val="22"/>
          <w:szCs w:val="22"/>
          <w:lang w:val="es-US" w:eastAsia="es-ES_tradnl"/>
        </w:rPr>
      </w:pPr>
      <w:r w:rsidRPr="005D6E23">
        <w:rPr>
          <w:rFonts w:ascii="Arial" w:hAnsi="Arial" w:cs="Arial"/>
          <w:i/>
          <w:iCs/>
          <w:color w:val="44546A" w:themeColor="text2"/>
          <w:sz w:val="22"/>
          <w:szCs w:val="22"/>
        </w:rPr>
        <w:t>Cuadro 3.</w:t>
      </w:r>
      <w:r w:rsidRPr="005D6E23">
        <w:rPr>
          <w:rFonts w:ascii="Arial" w:hAnsi="Arial" w:cs="Arial"/>
          <w:sz w:val="22"/>
          <w:szCs w:val="22"/>
        </w:rPr>
        <w:t xml:space="preserve"> </w:t>
      </w:r>
      <w:r w:rsidRPr="005D6E23">
        <w:rPr>
          <w:rFonts w:ascii="Arial" w:hAnsi="Arial" w:cs="Arial"/>
          <w:i/>
          <w:iCs/>
          <w:color w:val="44546A" w:themeColor="text2"/>
          <w:sz w:val="22"/>
          <w:szCs w:val="22"/>
        </w:rPr>
        <w:t xml:space="preserve">Población de 18 años+ por situación de discapacidad, según condición de actividad </w:t>
      </w:r>
    </w:p>
    <w:p w14:paraId="48F68A21" w14:textId="442241C3" w:rsidR="00416CE4" w:rsidRPr="005D6E23" w:rsidRDefault="00416CE4" w:rsidP="00416CE4">
      <w:pPr>
        <w:adjustRightInd w:val="0"/>
        <w:snapToGrid w:val="0"/>
        <w:jc w:val="center"/>
        <w:rPr>
          <w:rFonts w:ascii="Arial" w:eastAsia="Times New Roman" w:hAnsi="Arial" w:cs="Arial"/>
          <w:sz w:val="22"/>
          <w:szCs w:val="22"/>
          <w:lang w:val="es-US" w:eastAsia="es-ES_tradnl"/>
        </w:rPr>
      </w:pPr>
      <w:r w:rsidRPr="005D6E23">
        <w:rPr>
          <w:rFonts w:ascii="Arial" w:eastAsia="Times New Roman" w:hAnsi="Arial" w:cs="Arial"/>
          <w:noProof/>
          <w:sz w:val="22"/>
          <w:szCs w:val="22"/>
          <w:lang w:val="es-US" w:eastAsia="es-ES_tradnl"/>
        </w:rPr>
        <w:drawing>
          <wp:inline distT="0" distB="0" distL="0" distR="0" wp14:anchorId="1FC4CE1B" wp14:editId="30887061">
            <wp:extent cx="4086225" cy="17408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7325" cy="1745606"/>
                    </a:xfrm>
                    <a:prstGeom prst="rect">
                      <a:avLst/>
                    </a:prstGeom>
                    <a:noFill/>
                    <a:ln>
                      <a:noFill/>
                    </a:ln>
                  </pic:spPr>
                </pic:pic>
              </a:graphicData>
            </a:graphic>
          </wp:inline>
        </w:drawing>
      </w:r>
    </w:p>
    <w:p w14:paraId="0B15A3CB" w14:textId="288BDEB2" w:rsidR="00416CE4" w:rsidRPr="005D6E23" w:rsidRDefault="00416CE4" w:rsidP="00416CE4">
      <w:pPr>
        <w:adjustRightInd w:val="0"/>
        <w:snapToGrid w:val="0"/>
        <w:jc w:val="both"/>
        <w:rPr>
          <w:rFonts w:ascii="Arial" w:hAnsi="Arial" w:cs="Arial"/>
          <w:sz w:val="22"/>
          <w:szCs w:val="22"/>
        </w:rPr>
      </w:pPr>
      <w:r w:rsidRPr="005D6E23">
        <w:rPr>
          <w:rFonts w:ascii="Arial" w:eastAsia="Times New Roman" w:hAnsi="Arial" w:cs="Arial"/>
          <w:sz w:val="22"/>
          <w:szCs w:val="22"/>
          <w:lang w:val="es-US" w:eastAsia="es-ES_tradnl"/>
        </w:rPr>
        <w:t>En relación a la población fuera de la fuerza de trabajo, se identifica una diferencia de alrededor de 25 p</w:t>
      </w:r>
      <w:r w:rsidR="00CC205A" w:rsidRPr="005D6E23">
        <w:rPr>
          <w:rFonts w:ascii="Arial" w:eastAsia="Times New Roman" w:hAnsi="Arial" w:cs="Arial"/>
          <w:sz w:val="22"/>
          <w:szCs w:val="22"/>
          <w:lang w:val="es-US" w:eastAsia="es-ES_tradnl"/>
        </w:rPr>
        <w:t xml:space="preserve">untos </w:t>
      </w:r>
      <w:r w:rsidRPr="005D6E23">
        <w:rPr>
          <w:rFonts w:ascii="Arial" w:eastAsia="Times New Roman" w:hAnsi="Arial" w:cs="Arial"/>
          <w:sz w:val="22"/>
          <w:szCs w:val="22"/>
          <w:lang w:val="es-US" w:eastAsia="es-ES_tradnl"/>
        </w:rPr>
        <w:t>p</w:t>
      </w:r>
      <w:r w:rsidR="00CC205A" w:rsidRPr="005D6E23">
        <w:rPr>
          <w:rFonts w:ascii="Arial" w:eastAsia="Times New Roman" w:hAnsi="Arial" w:cs="Arial"/>
          <w:sz w:val="22"/>
          <w:szCs w:val="22"/>
          <w:lang w:val="es-US" w:eastAsia="es-ES_tradnl"/>
        </w:rPr>
        <w:t>orcentuales</w:t>
      </w:r>
      <w:r w:rsidRPr="005D6E23">
        <w:rPr>
          <w:rFonts w:ascii="Arial" w:eastAsia="Times New Roman" w:hAnsi="Arial" w:cs="Arial"/>
          <w:sz w:val="22"/>
          <w:szCs w:val="22"/>
          <w:lang w:val="es-US" w:eastAsia="es-ES_tradnl"/>
        </w:rPr>
        <w:t xml:space="preserve"> entre la población con y sin discapacidad, siendo superior en la población con discapacidad, que cubre al 56,4 % de las personas.</w:t>
      </w:r>
      <w:r w:rsidR="00CC205A" w:rsidRPr="005D6E23">
        <w:rPr>
          <w:rFonts w:ascii="Arial" w:eastAsia="Times New Roman" w:hAnsi="Arial" w:cs="Arial"/>
          <w:sz w:val="22"/>
          <w:szCs w:val="22"/>
          <w:lang w:val="es-US" w:eastAsia="es-ES_tradnl"/>
        </w:rPr>
        <w:t xml:space="preserve"> L</w:t>
      </w:r>
      <w:r w:rsidRPr="005D6E23">
        <w:rPr>
          <w:rFonts w:ascii="Arial" w:eastAsia="Times New Roman" w:hAnsi="Arial" w:cs="Arial"/>
          <w:sz w:val="22"/>
          <w:szCs w:val="22"/>
          <w:lang w:val="es-US" w:eastAsia="es-ES_tradnl"/>
        </w:rPr>
        <w:t xml:space="preserve">os principales motivos </w:t>
      </w:r>
      <w:r w:rsidR="00CC205A" w:rsidRPr="005D6E23">
        <w:rPr>
          <w:rFonts w:ascii="Arial" w:eastAsia="Times New Roman" w:hAnsi="Arial" w:cs="Arial"/>
          <w:sz w:val="22"/>
          <w:szCs w:val="22"/>
          <w:lang w:val="es-US" w:eastAsia="es-ES_tradnl"/>
        </w:rPr>
        <w:t xml:space="preserve">reportados en la Enadis 2018 </w:t>
      </w:r>
      <w:r w:rsidRPr="005D6E23">
        <w:rPr>
          <w:rFonts w:ascii="Arial" w:eastAsia="Times New Roman" w:hAnsi="Arial" w:cs="Arial"/>
          <w:sz w:val="22"/>
          <w:szCs w:val="22"/>
          <w:lang w:val="es-US" w:eastAsia="es-ES_tradnl"/>
        </w:rPr>
        <w:t>por lo que las personas con discapacidad no buscan trabajo</w:t>
      </w:r>
      <w:r w:rsidR="00CC205A" w:rsidRPr="005D6E23">
        <w:rPr>
          <w:rFonts w:ascii="Arial" w:eastAsia="Times New Roman" w:hAnsi="Arial" w:cs="Arial"/>
          <w:sz w:val="22"/>
          <w:szCs w:val="22"/>
          <w:lang w:val="es-US" w:eastAsia="es-ES_tradnl"/>
        </w:rPr>
        <w:t>,</w:t>
      </w:r>
      <w:r w:rsidRPr="005D6E23">
        <w:rPr>
          <w:rFonts w:ascii="Arial" w:eastAsia="Times New Roman" w:hAnsi="Arial" w:cs="Arial"/>
          <w:sz w:val="22"/>
          <w:szCs w:val="22"/>
          <w:lang w:val="es-US" w:eastAsia="es-ES_tradnl"/>
        </w:rPr>
        <w:t xml:space="preserve"> es por alguna enfermedad o condición de salud (50,4 %), porque no le dan trabajo debido a su edad, por su sexo, origen étnico, identidad de género, orientación sexual</w:t>
      </w:r>
      <w:r w:rsidR="00CC205A"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(22,8 %) y porque no desea trabajar (16,2 %).</w:t>
      </w:r>
      <w:r w:rsidRPr="005D6E23">
        <w:rPr>
          <w:rFonts w:ascii="Arial" w:hAnsi="Arial" w:cs="Arial"/>
          <w:sz w:val="22"/>
          <w:szCs w:val="22"/>
        </w:rPr>
        <w:t xml:space="preserve"> </w:t>
      </w:r>
    </w:p>
    <w:p w14:paraId="18EB29A9" w14:textId="77777777" w:rsidR="00CC205A" w:rsidRPr="005D6E23" w:rsidRDefault="00CC205A" w:rsidP="00416CE4">
      <w:pPr>
        <w:adjustRightInd w:val="0"/>
        <w:snapToGrid w:val="0"/>
        <w:jc w:val="both"/>
        <w:rPr>
          <w:rFonts w:ascii="Arial" w:hAnsi="Arial" w:cs="Arial"/>
          <w:sz w:val="22"/>
          <w:szCs w:val="22"/>
        </w:rPr>
      </w:pPr>
    </w:p>
    <w:p w14:paraId="6C9BC3EA" w14:textId="77777777" w:rsidR="00CC205A" w:rsidRPr="005D6E23" w:rsidRDefault="008A2A03" w:rsidP="00CC205A">
      <w:pPr>
        <w:adjustRightInd w:val="0"/>
        <w:snapToGrid w:val="0"/>
        <w:jc w:val="both"/>
        <w:rPr>
          <w:rFonts w:ascii="Arial" w:eastAsia="Times New Roman" w:hAnsi="Arial" w:cs="Arial"/>
          <w:sz w:val="22"/>
          <w:szCs w:val="22"/>
          <w:lang w:eastAsia="es-ES_tradnl"/>
        </w:rPr>
      </w:pPr>
      <w:r w:rsidRPr="005D6E23">
        <w:rPr>
          <w:rFonts w:ascii="Arial" w:eastAsia="Times New Roman" w:hAnsi="Arial" w:cs="Arial"/>
          <w:sz w:val="22"/>
          <w:szCs w:val="22"/>
          <w:lang w:val="es-US" w:eastAsia="es-ES_tradnl"/>
        </w:rPr>
        <w:lastRenderedPageBreak/>
        <w:t>Una de las principales diferencias entre la población ocupada con y sin discapacidad se presenta en la cantidad de horas que trabajan regularmente en el trabajo principal, casi el 40 % de las PeSD acceden a puestos de trabajo con jornadas incompletas (menos de 40 horas a la semana), mientras que en la población sin discapacidad alcanza únicamente el 25,8 % de los puestos de trabajo.</w:t>
      </w:r>
      <w:r w:rsidR="00CC205A" w:rsidRPr="005D6E23">
        <w:rPr>
          <w:rFonts w:ascii="Arial" w:eastAsia="Times New Roman" w:hAnsi="Arial" w:cs="Arial"/>
          <w:sz w:val="22"/>
          <w:szCs w:val="22"/>
          <w:lang w:val="es-US" w:eastAsia="es-ES_tradnl"/>
        </w:rPr>
        <w:t xml:space="preserve"> Adicional a esto, l</w:t>
      </w:r>
      <w:r w:rsidRPr="005D6E23">
        <w:rPr>
          <w:rFonts w:ascii="Arial" w:eastAsia="Times New Roman" w:hAnsi="Arial" w:cs="Arial"/>
          <w:sz w:val="22"/>
          <w:szCs w:val="22"/>
          <w:lang w:val="es-US" w:eastAsia="es-ES_tradnl"/>
        </w:rPr>
        <w:t>as personas que trabajan de forma independiente o por cuenta propia alcanzan al 35,4 % de la población ocupada con discapacidad y al 28,3 % de las personas sin discapacidad.</w:t>
      </w:r>
      <w:r w:rsidRPr="005D6E23">
        <w:rPr>
          <w:rFonts w:ascii="Arial" w:hAnsi="Arial" w:cs="Arial"/>
          <w:sz w:val="22"/>
          <w:szCs w:val="22"/>
        </w:rPr>
        <w:t xml:space="preserve"> </w:t>
      </w:r>
    </w:p>
    <w:p w14:paraId="5D8871A4" w14:textId="77777777" w:rsidR="00CC205A" w:rsidRPr="005D6E23" w:rsidRDefault="00CC205A" w:rsidP="00CC205A">
      <w:pPr>
        <w:adjustRightInd w:val="0"/>
        <w:snapToGrid w:val="0"/>
        <w:jc w:val="both"/>
        <w:rPr>
          <w:rFonts w:ascii="Arial" w:eastAsia="Times New Roman" w:hAnsi="Arial" w:cs="Arial"/>
          <w:sz w:val="22"/>
          <w:szCs w:val="22"/>
          <w:lang w:eastAsia="es-ES_tradnl"/>
        </w:rPr>
      </w:pPr>
    </w:p>
    <w:p w14:paraId="08CDC250" w14:textId="26526E68" w:rsidR="00CC205A" w:rsidRPr="005D6E23" w:rsidRDefault="00CE5A30" w:rsidP="008A2A03">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Con respecto a la condición de aseguramiento, del total de personas con discapacidad, un 88 % tienen algún tipo de seguro (asalariado, voluntario, por el Estado, familiar de asegurado directo, entre otros), mientras que cerca del 83 % de las personas sin discapacidad están aseguradas.</w:t>
      </w:r>
      <w:r w:rsidRPr="005D6E23">
        <w:rPr>
          <w:rFonts w:ascii="Arial" w:hAnsi="Arial" w:cs="Arial"/>
          <w:sz w:val="22"/>
          <w:szCs w:val="22"/>
        </w:rPr>
        <w:t xml:space="preserve"> </w:t>
      </w:r>
    </w:p>
    <w:p w14:paraId="2E204060" w14:textId="77777777" w:rsidR="00CC205A" w:rsidRPr="005D6E23" w:rsidRDefault="00CC205A" w:rsidP="008A2A03">
      <w:pPr>
        <w:adjustRightInd w:val="0"/>
        <w:snapToGrid w:val="0"/>
        <w:jc w:val="both"/>
        <w:rPr>
          <w:rFonts w:ascii="Arial" w:eastAsia="Times New Roman" w:hAnsi="Arial" w:cs="Arial"/>
          <w:sz w:val="22"/>
          <w:szCs w:val="22"/>
          <w:lang w:val="es-US" w:eastAsia="es-ES_tradnl"/>
        </w:rPr>
      </w:pPr>
    </w:p>
    <w:p w14:paraId="035D1307" w14:textId="76B07BF0" w:rsidR="008A2A03" w:rsidRPr="005D6E23" w:rsidRDefault="00CC205A" w:rsidP="008A2A03">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Por otro lado, c</w:t>
      </w:r>
      <w:r w:rsidR="008A2A03" w:rsidRPr="005D6E23">
        <w:rPr>
          <w:rFonts w:ascii="Arial" w:eastAsia="Times New Roman" w:hAnsi="Arial" w:cs="Arial"/>
          <w:sz w:val="22"/>
          <w:szCs w:val="22"/>
          <w:lang w:val="es-US" w:eastAsia="es-ES_tradnl"/>
        </w:rPr>
        <w:t>erca del 53 % del total de las PeSD se ubican en los quintiles I y II, es decir, el 40 % de los hogares con menores ingresos agrupa alrededor de la mitad de la población con discapacidad, mientras que la población sin discapacidad agrupa alrededor del 37 % de las personas.</w:t>
      </w:r>
    </w:p>
    <w:p w14:paraId="7A2B7300" w14:textId="6FE7CE8B" w:rsidR="008A2A03" w:rsidRPr="005D6E23" w:rsidRDefault="008A2A03" w:rsidP="008A2A03">
      <w:pPr>
        <w:adjustRightInd w:val="0"/>
        <w:snapToGrid w:val="0"/>
        <w:jc w:val="both"/>
        <w:rPr>
          <w:rFonts w:ascii="Arial" w:eastAsia="Times New Roman" w:hAnsi="Arial" w:cs="Arial"/>
          <w:sz w:val="22"/>
          <w:szCs w:val="22"/>
          <w:lang w:val="es-US" w:eastAsia="es-ES_tradnl"/>
        </w:rPr>
      </w:pPr>
    </w:p>
    <w:p w14:paraId="2AEB9AF7" w14:textId="5D44A42E" w:rsidR="008A2A03" w:rsidRPr="005D6E23" w:rsidRDefault="008A2A03" w:rsidP="008A2A03">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En relación a las características de las personas que ofrecen asistencia a la población con discapacidad, alrededor del 79 % se refiere a asistencia personal intensa, es decir, la que se brinda de forma más frecuente, constante y generalizada para la realización de actividades de la vida diaria.</w:t>
      </w:r>
      <w:r w:rsidR="00CC205A"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Aproximadamente el 66 % de las personas que facilitan este apoyo son parte del mismo hogar</w:t>
      </w:r>
      <w:r w:rsidR="00CC205A" w:rsidRPr="005D6E23">
        <w:rPr>
          <w:rFonts w:ascii="Arial" w:eastAsia="Times New Roman" w:hAnsi="Arial" w:cs="Arial"/>
          <w:sz w:val="22"/>
          <w:szCs w:val="22"/>
          <w:lang w:val="es-US" w:eastAsia="es-ES_tradnl"/>
        </w:rPr>
        <w:t xml:space="preserve">. La Enadis 2018 </w:t>
      </w:r>
      <w:r w:rsidRPr="005D6E23">
        <w:rPr>
          <w:rFonts w:ascii="Arial" w:eastAsia="Times New Roman" w:hAnsi="Arial" w:cs="Arial"/>
          <w:sz w:val="22"/>
          <w:szCs w:val="22"/>
          <w:lang w:val="es-US" w:eastAsia="es-ES_tradnl"/>
        </w:rPr>
        <w:t>encuentra</w:t>
      </w:r>
      <w:r w:rsidR="00CC205A" w:rsidRPr="005D6E23">
        <w:rPr>
          <w:rFonts w:ascii="Arial" w:eastAsia="Times New Roman" w:hAnsi="Arial" w:cs="Arial"/>
          <w:sz w:val="22"/>
          <w:szCs w:val="22"/>
          <w:lang w:val="es-US" w:eastAsia="es-ES_tradnl"/>
        </w:rPr>
        <w:t xml:space="preserve"> reporta también </w:t>
      </w:r>
      <w:r w:rsidRPr="005D6E23">
        <w:rPr>
          <w:rFonts w:ascii="Arial" w:eastAsia="Times New Roman" w:hAnsi="Arial" w:cs="Arial"/>
          <w:sz w:val="22"/>
          <w:szCs w:val="22"/>
          <w:lang w:val="es-US" w:eastAsia="es-ES_tradnl"/>
        </w:rPr>
        <w:t>que son las mujeres quienes principalmente proporcionan apoyo a personas con discapacidad, con el 69,8 %. Además, tan solo el 9,6 % de estas personas son remuneradas por este trabajo, es decir, el 90,4 % realizan dichas</w:t>
      </w:r>
      <w:r w:rsidR="00CC205A"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actividades de forma gratuita.</w:t>
      </w:r>
    </w:p>
    <w:p w14:paraId="644FE787" w14:textId="54D43498" w:rsidR="008A2A03" w:rsidRPr="005D6E23" w:rsidRDefault="008A2A03" w:rsidP="00416CE4">
      <w:pPr>
        <w:adjustRightInd w:val="0"/>
        <w:snapToGrid w:val="0"/>
        <w:jc w:val="both"/>
        <w:rPr>
          <w:rFonts w:ascii="Arial" w:eastAsia="Times New Roman" w:hAnsi="Arial" w:cs="Arial"/>
          <w:sz w:val="22"/>
          <w:szCs w:val="22"/>
          <w:lang w:val="es-US" w:eastAsia="es-ES_tradnl"/>
        </w:rPr>
      </w:pPr>
    </w:p>
    <w:p w14:paraId="6BF29889" w14:textId="54D2C07F" w:rsidR="00CE5A30" w:rsidRPr="005D6E23" w:rsidRDefault="00CE5A30" w:rsidP="00416CE4">
      <w:pPr>
        <w:adjustRightInd w:val="0"/>
        <w:snapToGrid w:val="0"/>
        <w:jc w:val="both"/>
        <w:rPr>
          <w:rFonts w:ascii="Arial" w:eastAsia="Times New Roman" w:hAnsi="Arial" w:cs="Arial"/>
          <w:sz w:val="22"/>
          <w:szCs w:val="22"/>
          <w:lang w:val="es-US" w:eastAsia="es-ES_tradnl"/>
        </w:rPr>
      </w:pPr>
    </w:p>
    <w:p w14:paraId="22C1C15B" w14:textId="3E1FCB42" w:rsidR="00CE5A30" w:rsidRPr="005D6E23" w:rsidRDefault="00C30E6A" w:rsidP="000C770B">
      <w:pPr>
        <w:pStyle w:val="ListParagraph"/>
        <w:numPr>
          <w:ilvl w:val="0"/>
          <w:numId w:val="2"/>
        </w:numPr>
        <w:adjustRightInd w:val="0"/>
        <w:snapToGrid w:val="0"/>
        <w:spacing w:after="120"/>
        <w:jc w:val="both"/>
        <w:rPr>
          <w:rFonts w:ascii="Arial" w:hAnsi="Arial" w:cs="Arial"/>
          <w:b/>
          <w:bCs/>
          <w:sz w:val="22"/>
          <w:szCs w:val="22"/>
        </w:rPr>
      </w:pPr>
      <w:r w:rsidRPr="006404CB">
        <w:rPr>
          <w:rFonts w:ascii="Arial" w:hAnsi="Arial" w:cs="Arial"/>
          <w:b/>
          <w:bCs/>
          <w:sz w:val="22"/>
          <w:szCs w:val="22"/>
        </w:rPr>
        <w:t>ACTIVIDADES PARA LA TRANSVERSALIZACIÓN DE GÉNERO Y DIVERSIDAD</w:t>
      </w:r>
    </w:p>
    <w:p w14:paraId="315CF45C" w14:textId="77777777" w:rsidR="00933A2C" w:rsidRPr="005D6E23" w:rsidRDefault="008454FA" w:rsidP="008454FA">
      <w:pPr>
        <w:spacing w:before="120" w:after="120"/>
        <w:jc w:val="both"/>
        <w:rPr>
          <w:rFonts w:ascii="Arial" w:eastAsia="Times New Roman" w:hAnsi="Arial" w:cs="Arial"/>
          <w:sz w:val="22"/>
          <w:szCs w:val="22"/>
          <w:lang w:val="es-US" w:eastAsia="es-ES_tradnl"/>
        </w:rPr>
      </w:pPr>
      <w:bookmarkStart w:id="2" w:name="_Hlk38027827"/>
      <w:r w:rsidRPr="005D6E23">
        <w:rPr>
          <w:rFonts w:ascii="Arial" w:eastAsia="Times New Roman" w:hAnsi="Arial" w:cs="Arial"/>
          <w:sz w:val="22"/>
          <w:szCs w:val="22"/>
          <w:lang w:val="es-US" w:eastAsia="es-ES_tradnl"/>
        </w:rPr>
        <w:t xml:space="preserve">El objetivo de desarrollo general del préstamo es contribuir a asegurar niveles mínimos de calidad de vida de las personas vulnerables frente a la crisis causada por el COVID-19. El objetivo específico es apoyar niveles mínimos de ingreso y de empleo de personas afectadas por el virus, en el periodo inmediato y durante la recuperación. </w:t>
      </w:r>
      <w:bookmarkEnd w:id="2"/>
      <w:r w:rsidRPr="005D6E23">
        <w:rPr>
          <w:rFonts w:ascii="Arial" w:eastAsia="Times New Roman" w:hAnsi="Arial" w:cs="Arial"/>
          <w:sz w:val="22"/>
          <w:szCs w:val="22"/>
          <w:lang w:val="es-US" w:eastAsia="es-ES_tradnl"/>
        </w:rPr>
        <w:t xml:space="preserve">Las actividades incluyen: </w:t>
      </w:r>
    </w:p>
    <w:p w14:paraId="7FFEBFE8" w14:textId="77777777" w:rsidR="008454FA" w:rsidRPr="005D6E23" w:rsidRDefault="008454FA" w:rsidP="00416CE4">
      <w:pPr>
        <w:adjustRightInd w:val="0"/>
        <w:snapToGrid w:val="0"/>
        <w:jc w:val="both"/>
        <w:rPr>
          <w:rFonts w:ascii="Arial" w:eastAsia="Times New Roman" w:hAnsi="Arial" w:cs="Arial"/>
          <w:sz w:val="22"/>
          <w:szCs w:val="22"/>
          <w:lang w:val="es-EC" w:eastAsia="es-ES_tradnl"/>
        </w:rPr>
      </w:pPr>
    </w:p>
    <w:p w14:paraId="655BCA5A" w14:textId="18B6549D" w:rsidR="00D16A68" w:rsidRPr="005D6E23" w:rsidRDefault="00D16A68" w:rsidP="00D16A68">
      <w:pPr>
        <w:adjustRightInd w:val="0"/>
        <w:snapToGrid w:val="0"/>
        <w:jc w:val="both"/>
        <w:rPr>
          <w:rFonts w:ascii="Arial" w:eastAsia="Times New Roman" w:hAnsi="Arial" w:cs="Arial"/>
          <w:b/>
          <w:bCs/>
          <w:sz w:val="22"/>
          <w:szCs w:val="22"/>
          <w:lang w:val="es-US" w:eastAsia="es-ES_tradnl"/>
        </w:rPr>
      </w:pPr>
      <w:r w:rsidRPr="005D6E23">
        <w:rPr>
          <w:rFonts w:ascii="Arial" w:eastAsia="Times New Roman" w:hAnsi="Arial" w:cs="Arial"/>
          <w:b/>
          <w:bCs/>
          <w:sz w:val="22"/>
          <w:szCs w:val="22"/>
          <w:u w:val="single"/>
          <w:lang w:val="es-US" w:eastAsia="es-ES_tradnl"/>
        </w:rPr>
        <w:t>Componente 1.</w:t>
      </w:r>
      <w:r w:rsidRPr="005D6E23">
        <w:rPr>
          <w:rFonts w:ascii="Arial" w:eastAsia="Times New Roman" w:hAnsi="Arial" w:cs="Arial"/>
          <w:b/>
          <w:bCs/>
          <w:sz w:val="22"/>
          <w:szCs w:val="22"/>
          <w:lang w:val="es-US" w:eastAsia="es-ES_tradnl"/>
        </w:rPr>
        <w:t xml:space="preserve"> Protección para población vulnerable que no se encuentra en los padrones de programas de transferencias, y que trabaja en el sector informal</w:t>
      </w:r>
      <w:r w:rsidR="001446C8" w:rsidRPr="005D6E23">
        <w:rPr>
          <w:rFonts w:ascii="Arial" w:eastAsia="Times New Roman" w:hAnsi="Arial" w:cs="Arial"/>
          <w:b/>
          <w:bCs/>
          <w:sz w:val="22"/>
          <w:szCs w:val="22"/>
          <w:lang w:val="es-US" w:eastAsia="es-ES_tradnl"/>
        </w:rPr>
        <w:t>.</w:t>
      </w:r>
      <w:r w:rsidRPr="005D6E23">
        <w:rPr>
          <w:rFonts w:ascii="Arial" w:eastAsia="Times New Roman" w:hAnsi="Arial" w:cs="Arial"/>
          <w:b/>
          <w:bCs/>
          <w:sz w:val="22"/>
          <w:szCs w:val="22"/>
          <w:lang w:val="es-US" w:eastAsia="es-ES_tradnl"/>
        </w:rPr>
        <w:t xml:space="preserve"> </w:t>
      </w:r>
    </w:p>
    <w:p w14:paraId="0BBBD18F" w14:textId="2D10CDE3" w:rsidR="00D16A68" w:rsidRPr="005D6E23" w:rsidRDefault="00D16A68" w:rsidP="00D16A68">
      <w:pPr>
        <w:adjustRightInd w:val="0"/>
        <w:snapToGrid w:val="0"/>
        <w:jc w:val="both"/>
        <w:rPr>
          <w:rFonts w:ascii="Arial" w:eastAsia="Times New Roman" w:hAnsi="Arial" w:cs="Arial"/>
          <w:sz w:val="22"/>
          <w:szCs w:val="22"/>
          <w:lang w:val="es-US" w:eastAsia="es-ES_tradnl"/>
        </w:rPr>
      </w:pPr>
    </w:p>
    <w:p w14:paraId="7FD19984" w14:textId="77777777" w:rsidR="008454FA" w:rsidRPr="005D6E23" w:rsidRDefault="00D16A68" w:rsidP="00D16A68">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Subcomponente 1.1.</w:t>
      </w:r>
      <w:r w:rsidRPr="005D6E23">
        <w:rPr>
          <w:rFonts w:ascii="Arial" w:eastAsia="Times New Roman" w:hAnsi="Arial" w:cs="Arial"/>
          <w:b/>
          <w:bCs/>
          <w:sz w:val="22"/>
          <w:szCs w:val="22"/>
          <w:lang w:val="es-US" w:eastAsia="es-ES_tradnl"/>
        </w:rPr>
        <w:t xml:space="preserve"> Protección a trabajadores informales.</w:t>
      </w:r>
      <w:r w:rsidRPr="005D6E23">
        <w:rPr>
          <w:rFonts w:ascii="Arial" w:eastAsia="Times New Roman" w:hAnsi="Arial" w:cs="Arial"/>
          <w:sz w:val="22"/>
          <w:szCs w:val="22"/>
          <w:lang w:val="es-US" w:eastAsia="es-ES_tradnl"/>
        </w:rPr>
        <w:t xml:space="preserve"> </w:t>
      </w:r>
    </w:p>
    <w:p w14:paraId="322453CB" w14:textId="01F4AF22" w:rsidR="008454FA" w:rsidRPr="005D6E23" w:rsidRDefault="008454FA" w:rsidP="008454FA">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S</w:t>
      </w:r>
      <w:r w:rsidR="00D16A68" w:rsidRPr="005D6E23">
        <w:rPr>
          <w:rFonts w:ascii="Arial" w:eastAsia="Times New Roman" w:hAnsi="Arial" w:cs="Arial"/>
          <w:sz w:val="22"/>
          <w:szCs w:val="22"/>
          <w:lang w:val="es-US" w:eastAsia="es-ES_tradnl"/>
        </w:rPr>
        <w:t>e prevé financiar</w:t>
      </w:r>
      <w:r w:rsidRPr="005D6E23">
        <w:rPr>
          <w:rFonts w:ascii="Arial" w:eastAsia="Times New Roman" w:hAnsi="Arial" w:cs="Arial"/>
          <w:sz w:val="22"/>
          <w:szCs w:val="22"/>
          <w:lang w:val="es-US" w:eastAsia="es-ES_tradnl"/>
        </w:rPr>
        <w:t>:</w:t>
      </w:r>
    </w:p>
    <w:p w14:paraId="691E6CD4" w14:textId="30B7F618" w:rsidR="008454FA" w:rsidRPr="005D6E23" w:rsidRDefault="008454FA" w:rsidP="00687142">
      <w:pPr>
        <w:pStyle w:val="ListParagraph"/>
        <w:numPr>
          <w:ilvl w:val="0"/>
          <w:numId w:val="4"/>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T</w:t>
      </w:r>
      <w:r w:rsidR="00D16A68" w:rsidRPr="005D6E23">
        <w:rPr>
          <w:rFonts w:ascii="Arial" w:eastAsia="Times New Roman" w:hAnsi="Arial" w:cs="Arial"/>
          <w:sz w:val="22"/>
          <w:szCs w:val="22"/>
          <w:lang w:val="es-US" w:eastAsia="es-ES_tradnl"/>
        </w:rPr>
        <w:t>ransferencias monetarias a trabajadores informales elegibles para recibir el Bono Proteger</w:t>
      </w:r>
      <w:r w:rsidR="009E53B1" w:rsidRPr="005D6E23">
        <w:rPr>
          <w:rFonts w:ascii="Arial" w:eastAsia="Times New Roman" w:hAnsi="Arial" w:cs="Arial"/>
          <w:sz w:val="22"/>
          <w:szCs w:val="22"/>
          <w:lang w:val="es-US" w:eastAsia="es-ES_tradnl"/>
        </w:rPr>
        <w:t xml:space="preserve"> (BP)</w:t>
      </w:r>
      <w:r w:rsidRPr="005D6E23">
        <w:rPr>
          <w:rFonts w:ascii="Arial" w:eastAsia="Times New Roman" w:hAnsi="Arial" w:cs="Arial"/>
          <w:sz w:val="22"/>
          <w:szCs w:val="22"/>
          <w:lang w:val="es-US" w:eastAsia="es-ES_tradnl"/>
        </w:rPr>
        <w:t xml:space="preserve">. </w:t>
      </w:r>
      <w:r w:rsidR="009E53B1" w:rsidRPr="005D6E23">
        <w:rPr>
          <w:rFonts w:ascii="Arial" w:eastAsia="Times New Roman" w:hAnsi="Arial" w:cs="Arial"/>
          <w:sz w:val="22"/>
          <w:szCs w:val="22"/>
          <w:lang w:val="es-US" w:eastAsia="es-ES_tradnl"/>
        </w:rPr>
        <w:t>E</w:t>
      </w:r>
      <w:r w:rsidR="002B5C3C" w:rsidRPr="005D6E23">
        <w:rPr>
          <w:rFonts w:ascii="Arial" w:eastAsia="Times New Roman" w:hAnsi="Arial" w:cs="Arial"/>
          <w:sz w:val="22"/>
          <w:szCs w:val="22"/>
          <w:lang w:val="es-US" w:eastAsia="es-ES_tradnl"/>
        </w:rPr>
        <w:t>n e</w:t>
      </w:r>
      <w:r w:rsidR="009E53B1" w:rsidRPr="005D6E23">
        <w:rPr>
          <w:rFonts w:ascii="Arial" w:eastAsia="Times New Roman" w:hAnsi="Arial" w:cs="Arial"/>
          <w:sz w:val="22"/>
          <w:szCs w:val="22"/>
          <w:lang w:val="es-US" w:eastAsia="es-ES_tradnl"/>
        </w:rPr>
        <w:t>l proceso de asignación de la transferencia</w:t>
      </w:r>
      <w:r w:rsidR="002B5C3C" w:rsidRPr="005D6E23">
        <w:rPr>
          <w:rFonts w:ascii="Arial" w:eastAsia="Times New Roman" w:hAnsi="Arial" w:cs="Arial"/>
          <w:sz w:val="22"/>
          <w:szCs w:val="22"/>
          <w:lang w:val="es-US" w:eastAsia="es-ES_tradnl"/>
        </w:rPr>
        <w:t>, a</w:t>
      </w:r>
      <w:r w:rsidR="009E53B1" w:rsidRPr="005D6E23">
        <w:rPr>
          <w:rFonts w:ascii="Arial" w:eastAsia="Times New Roman" w:hAnsi="Arial" w:cs="Arial"/>
          <w:sz w:val="22"/>
          <w:szCs w:val="22"/>
          <w:lang w:val="es-US" w:eastAsia="es-ES_tradnl"/>
        </w:rPr>
        <w:t>demás de los criterios de afectación laboral, se ha establecido un sistema de puntos para la priorización de la asignación del BP a personas de bajos ingresos o en condición de pobreza extrema, mujeres, jefas de hogar, mayores de 65 años, personas con discapacidad, y hogares con mayor cantidad de miembros.</w:t>
      </w:r>
    </w:p>
    <w:p w14:paraId="61275EE4" w14:textId="317783D4" w:rsidR="009E53B1" w:rsidRPr="005D6E23" w:rsidRDefault="009E53B1" w:rsidP="009E53B1">
      <w:pPr>
        <w:adjustRightInd w:val="0"/>
        <w:snapToGrid w:val="0"/>
        <w:jc w:val="both"/>
        <w:rPr>
          <w:rFonts w:ascii="Arial" w:eastAsia="Times New Roman" w:hAnsi="Arial" w:cs="Arial"/>
          <w:sz w:val="22"/>
          <w:szCs w:val="22"/>
          <w:lang w:val="es-US" w:eastAsia="es-ES_tradnl"/>
        </w:rPr>
      </w:pPr>
    </w:p>
    <w:p w14:paraId="53757503" w14:textId="66F86A13" w:rsidR="00622FF2" w:rsidRPr="005D6E23" w:rsidRDefault="00D16A68" w:rsidP="00D16A68">
      <w:pPr>
        <w:adjustRightInd w:val="0"/>
        <w:snapToGrid w:val="0"/>
        <w:jc w:val="both"/>
        <w:rPr>
          <w:rFonts w:ascii="Arial" w:eastAsia="Times New Roman" w:hAnsi="Arial" w:cs="Arial"/>
          <w:sz w:val="22"/>
          <w:szCs w:val="22"/>
          <w:lang w:val="es-US" w:eastAsia="es-ES_tradnl"/>
        </w:rPr>
      </w:pPr>
      <w:bookmarkStart w:id="3" w:name="_Hlk39280046"/>
      <w:bookmarkStart w:id="4" w:name="_Hlk39280988"/>
      <w:r w:rsidRPr="005D6E23">
        <w:rPr>
          <w:rFonts w:ascii="Arial" w:eastAsia="Times New Roman" w:hAnsi="Arial" w:cs="Arial"/>
          <w:b/>
          <w:bCs/>
          <w:sz w:val="22"/>
          <w:szCs w:val="22"/>
          <w:u w:val="single"/>
          <w:lang w:val="es-US" w:eastAsia="es-ES_tradnl"/>
        </w:rPr>
        <w:t>Subcomponente 1.2.</w:t>
      </w:r>
      <w:r w:rsidRPr="005D6E23">
        <w:rPr>
          <w:rFonts w:ascii="Arial" w:eastAsia="Times New Roman" w:hAnsi="Arial" w:cs="Arial"/>
          <w:b/>
          <w:bCs/>
          <w:sz w:val="22"/>
          <w:szCs w:val="22"/>
          <w:lang w:val="es-US" w:eastAsia="es-ES_tradnl"/>
        </w:rPr>
        <w:t xml:space="preserve"> Actividades de capacitación e intermediación laboral para la inserción laboral formal</w:t>
      </w:r>
      <w:r w:rsidR="002B5C3C" w:rsidRPr="005D6E23">
        <w:rPr>
          <w:rFonts w:ascii="Arial" w:eastAsia="Times New Roman" w:hAnsi="Arial" w:cs="Arial"/>
          <w:b/>
          <w:bCs/>
          <w:sz w:val="22"/>
          <w:szCs w:val="22"/>
          <w:lang w:val="es-US" w:eastAsia="es-ES_tradnl"/>
        </w:rPr>
        <w:t>.</w:t>
      </w:r>
      <w:r w:rsidRPr="005D6E23">
        <w:rPr>
          <w:rFonts w:ascii="Arial" w:eastAsia="Times New Roman" w:hAnsi="Arial" w:cs="Arial"/>
          <w:sz w:val="22"/>
          <w:szCs w:val="22"/>
          <w:lang w:val="es-US" w:eastAsia="es-ES_tradnl"/>
        </w:rPr>
        <w:t xml:space="preserve"> </w:t>
      </w:r>
    </w:p>
    <w:p w14:paraId="746FFB08" w14:textId="77777777" w:rsidR="002B5C3C" w:rsidRPr="005D6E23" w:rsidRDefault="002B5C3C" w:rsidP="002B5C3C">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Busca fortalecer y expandir la cobertura del programa Empléate.</w:t>
      </w:r>
    </w:p>
    <w:p w14:paraId="06FE5B12" w14:textId="77777777" w:rsidR="002B5C3C" w:rsidRPr="005D6E23" w:rsidRDefault="002B5C3C" w:rsidP="002B5C3C">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Se prevé financiar:</w:t>
      </w:r>
    </w:p>
    <w:p w14:paraId="583837D4" w14:textId="50D15EBA" w:rsidR="009E53B1" w:rsidRPr="005D6E23" w:rsidRDefault="00EF78F0" w:rsidP="009E53B1">
      <w:pPr>
        <w:pStyle w:val="ListParagraph"/>
        <w:numPr>
          <w:ilvl w:val="0"/>
          <w:numId w:val="5"/>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lastRenderedPageBreak/>
        <w:t>el desarrollo e implementación de una estrategia de comunicación y difusión del programa</w:t>
      </w:r>
      <w:r w:rsidR="002B5C3C" w:rsidRPr="005D6E23">
        <w:rPr>
          <w:rFonts w:ascii="Arial" w:eastAsia="Times New Roman" w:hAnsi="Arial" w:cs="Arial"/>
          <w:sz w:val="22"/>
          <w:szCs w:val="22"/>
          <w:lang w:val="es-US" w:eastAsia="es-ES_tradnl"/>
        </w:rPr>
        <w:t xml:space="preserve"> con enfoque diferencial</w:t>
      </w:r>
      <w:r w:rsidRPr="005D6E23">
        <w:rPr>
          <w:rFonts w:ascii="Arial" w:eastAsia="Times New Roman" w:hAnsi="Arial" w:cs="Arial"/>
          <w:sz w:val="22"/>
          <w:szCs w:val="22"/>
          <w:lang w:val="es-US" w:eastAsia="es-ES_tradnl"/>
        </w:rPr>
        <w:t>; </w:t>
      </w:r>
    </w:p>
    <w:p w14:paraId="1A60FC84" w14:textId="78A5CD4C" w:rsidR="009E53B1" w:rsidRPr="005D6E23" w:rsidRDefault="00687142" w:rsidP="009E53B1">
      <w:pPr>
        <w:pStyle w:val="ListParagraph"/>
        <w:numPr>
          <w:ilvl w:val="0"/>
          <w:numId w:val="5"/>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la priorización y validación de planes formativos ofrecidos por el programa (presenciales o semi-presenciales, y consideren un módulo de habilidades transversales)</w:t>
      </w:r>
      <w:r w:rsidR="00DD00D4" w:rsidRPr="005D6E23">
        <w:rPr>
          <w:rFonts w:ascii="Arial" w:eastAsia="Times New Roman" w:hAnsi="Arial" w:cs="Arial"/>
          <w:sz w:val="22"/>
          <w:szCs w:val="22"/>
          <w:lang w:val="es-US" w:eastAsia="es-ES_tradnl"/>
        </w:rPr>
        <w:t>. Asegurarse que los cursos cuentan con módulos de habilidades transversales</w:t>
      </w:r>
      <w:r w:rsidR="00881950" w:rsidRPr="005D6E23">
        <w:rPr>
          <w:rFonts w:ascii="Arial" w:eastAsia="Times New Roman" w:hAnsi="Arial" w:cs="Arial"/>
          <w:sz w:val="22"/>
          <w:szCs w:val="22"/>
          <w:lang w:val="es-US" w:eastAsia="es-ES_tradnl"/>
        </w:rPr>
        <w:t xml:space="preserve"> es primordial</w:t>
      </w:r>
      <w:r w:rsidR="00DD00D4" w:rsidRPr="005D6E23">
        <w:rPr>
          <w:rFonts w:ascii="Arial" w:eastAsia="Times New Roman" w:hAnsi="Arial" w:cs="Arial"/>
          <w:sz w:val="22"/>
          <w:szCs w:val="22"/>
          <w:lang w:val="es-US" w:eastAsia="es-ES_tradnl"/>
        </w:rPr>
        <w:t xml:space="preserve"> pues </w:t>
      </w:r>
      <w:r w:rsidR="00B50D91" w:rsidRPr="005D6E23">
        <w:rPr>
          <w:rFonts w:ascii="Arial" w:eastAsia="Times New Roman" w:hAnsi="Arial" w:cs="Arial"/>
          <w:sz w:val="22"/>
          <w:szCs w:val="22"/>
          <w:lang w:val="es-US" w:eastAsia="es-ES_tradnl"/>
        </w:rPr>
        <w:t>la incorporación de dichas habilidades podría</w:t>
      </w:r>
      <w:r w:rsidR="00DD00D4" w:rsidRPr="005D6E23">
        <w:rPr>
          <w:rFonts w:ascii="Arial" w:eastAsia="Times New Roman" w:hAnsi="Arial" w:cs="Arial"/>
          <w:sz w:val="22"/>
          <w:szCs w:val="22"/>
          <w:lang w:val="es-US" w:eastAsia="es-ES_tradnl"/>
        </w:rPr>
        <w:t xml:space="preserve"> tener </w:t>
      </w:r>
      <w:r w:rsidR="00B50D91" w:rsidRPr="005D6E23">
        <w:rPr>
          <w:rFonts w:ascii="Arial" w:eastAsia="Times New Roman" w:hAnsi="Arial" w:cs="Arial"/>
          <w:sz w:val="22"/>
          <w:szCs w:val="22"/>
          <w:lang w:val="es-US" w:eastAsia="es-ES_tradnl"/>
        </w:rPr>
        <w:t xml:space="preserve">un </w:t>
      </w:r>
      <w:r w:rsidR="00DD00D4" w:rsidRPr="005D6E23">
        <w:rPr>
          <w:rFonts w:ascii="Arial" w:eastAsia="Times New Roman" w:hAnsi="Arial" w:cs="Arial"/>
          <w:sz w:val="22"/>
          <w:szCs w:val="22"/>
          <w:lang w:val="es-US" w:eastAsia="es-ES_tradnl"/>
        </w:rPr>
        <w:t>impacto indirecto en la reducción en la tasa de embarazo adolescente</w:t>
      </w:r>
      <w:r w:rsidR="00DD00D4" w:rsidRPr="005D6E23">
        <w:rPr>
          <w:rStyle w:val="FootnoteReference"/>
          <w:rFonts w:ascii="Arial" w:eastAsia="Times New Roman" w:hAnsi="Arial" w:cs="Arial"/>
          <w:sz w:val="22"/>
          <w:szCs w:val="22"/>
          <w:lang w:val="es-US" w:eastAsia="es-ES_tradnl"/>
        </w:rPr>
        <w:footnoteReference w:id="4"/>
      </w:r>
      <w:r w:rsidR="00DD00D4" w:rsidRPr="005D6E23">
        <w:rPr>
          <w:rFonts w:ascii="Arial" w:eastAsia="Times New Roman" w:hAnsi="Arial" w:cs="Arial"/>
          <w:sz w:val="22"/>
          <w:szCs w:val="22"/>
          <w:lang w:val="es-US" w:eastAsia="es-ES_tradnl"/>
        </w:rPr>
        <w:t>.</w:t>
      </w:r>
    </w:p>
    <w:p w14:paraId="36185CF7" w14:textId="748B0A5F" w:rsidR="0056312A" w:rsidRPr="005D6E23" w:rsidRDefault="00881950" w:rsidP="0056312A">
      <w:pPr>
        <w:pStyle w:val="ListParagraph"/>
        <w:numPr>
          <w:ilvl w:val="0"/>
          <w:numId w:val="4"/>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plataforma digital con data desagregada por género, raza, etnia y existencia de alguna discapacidad, que permita la posibilidad de conectarse con otras bases de datos para verificar la veracidad de la información personal, y que posea aplicativos parametrizables con el fin de ajustar los algoritmos a los criterios de priorización de la población y su elección como beneficiarios</w:t>
      </w:r>
      <w:r w:rsidR="0056312A" w:rsidRPr="005D6E23">
        <w:rPr>
          <w:rFonts w:ascii="Arial" w:eastAsia="Times New Roman" w:hAnsi="Arial" w:cs="Arial"/>
          <w:sz w:val="22"/>
          <w:szCs w:val="22"/>
          <w:lang w:val="es-US" w:eastAsia="es-ES_tradnl"/>
        </w:rPr>
        <w:t xml:space="preserve">. </w:t>
      </w:r>
    </w:p>
    <w:p w14:paraId="5301598F" w14:textId="77777777" w:rsidR="00B50D91" w:rsidRPr="005D6E23" w:rsidRDefault="00EF78F0" w:rsidP="00B50D91">
      <w:pPr>
        <w:pStyle w:val="ListParagraph"/>
        <w:numPr>
          <w:ilvl w:val="0"/>
          <w:numId w:val="5"/>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desarrollo e implementación de un sistema de monitoreo y evaluación</w:t>
      </w:r>
      <w:r w:rsidR="007733E3"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que permita una gestión basada en resultados</w:t>
      </w:r>
      <w:r w:rsidR="007733E3" w:rsidRPr="005D6E23">
        <w:rPr>
          <w:rFonts w:ascii="Arial" w:eastAsia="Times New Roman" w:hAnsi="Arial" w:cs="Arial"/>
          <w:sz w:val="22"/>
          <w:szCs w:val="22"/>
          <w:lang w:val="es-US" w:eastAsia="es-ES_tradnl"/>
        </w:rPr>
        <w:t xml:space="preserve"> y análisis con enfoque diferencial</w:t>
      </w:r>
      <w:r w:rsidRPr="005D6E23">
        <w:rPr>
          <w:rFonts w:ascii="Arial" w:eastAsia="Times New Roman" w:hAnsi="Arial" w:cs="Arial"/>
          <w:sz w:val="22"/>
          <w:szCs w:val="22"/>
          <w:lang w:val="es-US" w:eastAsia="es-ES_tradnl"/>
        </w:rPr>
        <w:t xml:space="preserve">; </w:t>
      </w:r>
    </w:p>
    <w:p w14:paraId="4C1AC03F" w14:textId="7736737C" w:rsidR="00B50D91" w:rsidRPr="005D6E23" w:rsidRDefault="00881950" w:rsidP="00B50D91">
      <w:pPr>
        <w:pStyle w:val="ListParagraph"/>
        <w:numPr>
          <w:ilvl w:val="0"/>
          <w:numId w:val="5"/>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estipendios para capacitación a unos 4.500 TI y D. Estos beneficiarios se sumarían a los 11.102 beneficiarios que prevé capacitar el programa</w:t>
      </w:r>
      <w:r w:rsidR="00EF78F0" w:rsidRPr="005D6E23">
        <w:rPr>
          <w:rFonts w:ascii="Arial" w:eastAsia="Times New Roman" w:hAnsi="Arial" w:cs="Arial"/>
          <w:sz w:val="22"/>
          <w:szCs w:val="22"/>
          <w:lang w:val="es-US" w:eastAsia="es-ES_tradnl"/>
        </w:rPr>
        <w:t>. </w:t>
      </w:r>
      <w:r w:rsidR="00B50D91" w:rsidRPr="005D6E23">
        <w:rPr>
          <w:rFonts w:ascii="Arial" w:eastAsia="Times New Roman" w:hAnsi="Arial" w:cs="Arial"/>
          <w:sz w:val="22"/>
          <w:szCs w:val="22"/>
          <w:lang w:val="es-US" w:eastAsia="es-ES_tradnl"/>
        </w:rPr>
        <w:t>Los estipendios cobijan la posibilidad de utilizar los recursos de la beca para el pago de servicios de cuido si el beneficiario así lo desea, lo cual facilitará la inscripción y permanencia de las mujeres en los cursos.</w:t>
      </w:r>
    </w:p>
    <w:p w14:paraId="78689725" w14:textId="394DFC57" w:rsidR="00104BDD" w:rsidRPr="005D6E23" w:rsidRDefault="00104BDD" w:rsidP="00B50D91">
      <w:pPr>
        <w:pStyle w:val="ListParagraph"/>
        <w:adjustRightInd w:val="0"/>
        <w:snapToGrid w:val="0"/>
        <w:jc w:val="both"/>
        <w:rPr>
          <w:rFonts w:ascii="Arial" w:eastAsia="Times New Roman" w:hAnsi="Arial" w:cs="Arial"/>
          <w:sz w:val="22"/>
          <w:szCs w:val="22"/>
          <w:lang w:val="es-US" w:eastAsia="es-ES_tradnl"/>
        </w:rPr>
      </w:pPr>
    </w:p>
    <w:p w14:paraId="5CC7AF8A" w14:textId="47044244" w:rsidR="00104BDD" w:rsidRPr="005D6E23" w:rsidRDefault="00104BDD" w:rsidP="00104BDD">
      <w:pPr>
        <w:adjustRightInd w:val="0"/>
        <w:snapToGrid w:val="0"/>
        <w:jc w:val="both"/>
        <w:rPr>
          <w:rFonts w:ascii="Arial" w:eastAsia="Times New Roman" w:hAnsi="Arial" w:cs="Arial"/>
          <w:sz w:val="22"/>
          <w:szCs w:val="22"/>
          <w:lang w:val="es-US" w:eastAsia="es-ES_tradnl"/>
        </w:rPr>
      </w:pPr>
    </w:p>
    <w:bookmarkEnd w:id="3"/>
    <w:bookmarkEnd w:id="4"/>
    <w:p w14:paraId="285A71B4" w14:textId="6B20CD94" w:rsidR="00D16A68" w:rsidRPr="005D6E23" w:rsidRDefault="00D16A68" w:rsidP="00D16A68">
      <w:pPr>
        <w:adjustRightInd w:val="0"/>
        <w:snapToGrid w:val="0"/>
        <w:jc w:val="both"/>
        <w:rPr>
          <w:rFonts w:ascii="Arial" w:eastAsia="Times New Roman" w:hAnsi="Arial" w:cs="Arial"/>
          <w:b/>
          <w:bCs/>
          <w:sz w:val="22"/>
          <w:szCs w:val="22"/>
          <w:lang w:val="es-US" w:eastAsia="es-ES_tradnl"/>
        </w:rPr>
      </w:pPr>
      <w:r w:rsidRPr="005D6E23">
        <w:rPr>
          <w:rFonts w:ascii="Arial" w:eastAsia="Times New Roman" w:hAnsi="Arial" w:cs="Arial"/>
          <w:b/>
          <w:bCs/>
          <w:sz w:val="22"/>
          <w:szCs w:val="22"/>
          <w:u w:val="single"/>
          <w:lang w:val="es-US" w:eastAsia="es-ES_tradnl"/>
        </w:rPr>
        <w:t>Componente 2.</w:t>
      </w:r>
      <w:r w:rsidRPr="005D6E23">
        <w:rPr>
          <w:rFonts w:ascii="Arial" w:eastAsia="Times New Roman" w:hAnsi="Arial" w:cs="Arial"/>
          <w:b/>
          <w:bCs/>
          <w:sz w:val="22"/>
          <w:szCs w:val="22"/>
          <w:lang w:val="es-US" w:eastAsia="es-ES_tradnl"/>
        </w:rPr>
        <w:t xml:space="preserve"> Protección para población vulnerable que no se encuentra en los padrones de programas de transferencias, y que trabaja en el sector formal</w:t>
      </w:r>
      <w:r w:rsidR="00622FF2" w:rsidRPr="005D6E23">
        <w:rPr>
          <w:rFonts w:ascii="Arial" w:eastAsia="Times New Roman" w:hAnsi="Arial" w:cs="Arial"/>
          <w:b/>
          <w:bCs/>
          <w:sz w:val="22"/>
          <w:szCs w:val="22"/>
          <w:lang w:val="es-US" w:eastAsia="es-ES_tradnl"/>
        </w:rPr>
        <w:t>.</w:t>
      </w:r>
    </w:p>
    <w:p w14:paraId="647B8EB0" w14:textId="77777777" w:rsidR="00622FF2" w:rsidRPr="005D6E23" w:rsidRDefault="00622FF2" w:rsidP="00D16A68">
      <w:pPr>
        <w:adjustRightInd w:val="0"/>
        <w:snapToGrid w:val="0"/>
        <w:jc w:val="both"/>
        <w:rPr>
          <w:rFonts w:ascii="Arial" w:eastAsia="Times New Roman" w:hAnsi="Arial" w:cs="Arial"/>
          <w:sz w:val="22"/>
          <w:szCs w:val="22"/>
          <w:lang w:val="es-US" w:eastAsia="es-ES_tradnl"/>
        </w:rPr>
      </w:pPr>
    </w:p>
    <w:p w14:paraId="6BEA1210" w14:textId="502E8FA5" w:rsidR="00DD1AEF" w:rsidRPr="005D6E23" w:rsidRDefault="00D16A68" w:rsidP="00D16A68">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b/>
          <w:bCs/>
          <w:sz w:val="22"/>
          <w:szCs w:val="22"/>
          <w:u w:val="single"/>
          <w:lang w:val="es-US" w:eastAsia="es-ES_tradnl"/>
        </w:rPr>
        <w:t>Subcomponente 2.1.</w:t>
      </w:r>
      <w:r w:rsidRPr="005D6E23">
        <w:rPr>
          <w:rFonts w:ascii="Arial" w:eastAsia="Times New Roman" w:hAnsi="Arial" w:cs="Arial"/>
          <w:b/>
          <w:bCs/>
          <w:sz w:val="22"/>
          <w:szCs w:val="22"/>
          <w:lang w:val="es-US" w:eastAsia="es-ES_tradnl"/>
        </w:rPr>
        <w:t xml:space="preserve"> Protección a </w:t>
      </w:r>
      <w:r w:rsidR="00104BDD" w:rsidRPr="005D6E23">
        <w:rPr>
          <w:rFonts w:ascii="Arial" w:eastAsia="Times New Roman" w:hAnsi="Arial" w:cs="Arial"/>
          <w:b/>
          <w:bCs/>
          <w:sz w:val="22"/>
          <w:szCs w:val="22"/>
          <w:lang w:val="es-US" w:eastAsia="es-ES_tradnl"/>
        </w:rPr>
        <w:t xml:space="preserve">desempleados por la crisis, los </w:t>
      </w:r>
      <w:r w:rsidRPr="005D6E23">
        <w:rPr>
          <w:rFonts w:ascii="Arial" w:eastAsia="Times New Roman" w:hAnsi="Arial" w:cs="Arial"/>
          <w:b/>
          <w:bCs/>
          <w:sz w:val="22"/>
          <w:szCs w:val="22"/>
          <w:lang w:val="es-US" w:eastAsia="es-ES_tradnl"/>
        </w:rPr>
        <w:t xml:space="preserve">trabajadores </w:t>
      </w:r>
      <w:r w:rsidR="00104BDD" w:rsidRPr="005D6E23">
        <w:rPr>
          <w:rFonts w:ascii="Arial" w:eastAsia="Times New Roman" w:hAnsi="Arial" w:cs="Arial"/>
          <w:b/>
          <w:bCs/>
          <w:sz w:val="22"/>
          <w:szCs w:val="22"/>
          <w:lang w:val="es-US" w:eastAsia="es-ES_tradnl"/>
        </w:rPr>
        <w:t xml:space="preserve">independientes </w:t>
      </w:r>
      <w:r w:rsidRPr="005D6E23">
        <w:rPr>
          <w:rFonts w:ascii="Arial" w:eastAsia="Times New Roman" w:hAnsi="Arial" w:cs="Arial"/>
          <w:b/>
          <w:bCs/>
          <w:sz w:val="22"/>
          <w:szCs w:val="22"/>
          <w:lang w:val="es-US" w:eastAsia="es-ES_tradnl"/>
        </w:rPr>
        <w:t>formales</w:t>
      </w:r>
      <w:r w:rsidR="00104BDD" w:rsidRPr="005D6E23">
        <w:rPr>
          <w:rFonts w:ascii="Arial" w:eastAsia="Times New Roman" w:hAnsi="Arial" w:cs="Arial"/>
          <w:b/>
          <w:bCs/>
          <w:sz w:val="22"/>
          <w:szCs w:val="22"/>
          <w:lang w:val="es-US" w:eastAsia="es-ES_tradnl"/>
        </w:rPr>
        <w:t>, y trabajadores formales que han experimentado una reducción total o parcial de ingresos</w:t>
      </w:r>
      <w:r w:rsidRPr="005D6E23">
        <w:rPr>
          <w:rFonts w:ascii="Arial" w:eastAsia="Times New Roman" w:hAnsi="Arial" w:cs="Arial"/>
          <w:sz w:val="22"/>
          <w:szCs w:val="22"/>
          <w:lang w:val="es-US" w:eastAsia="es-ES_tradnl"/>
        </w:rPr>
        <w:t xml:space="preserve">. </w:t>
      </w:r>
    </w:p>
    <w:p w14:paraId="14B47698" w14:textId="77777777" w:rsidR="00DD1AEF" w:rsidRPr="005D6E23" w:rsidRDefault="00D16A68" w:rsidP="00D16A68">
      <w:p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 xml:space="preserve">Se prevé financiar: </w:t>
      </w:r>
    </w:p>
    <w:p w14:paraId="6EC38E62" w14:textId="35B6B180" w:rsidR="00DD1AEF" w:rsidRPr="005D6E23" w:rsidRDefault="007B0DA6" w:rsidP="00B042C3">
      <w:pPr>
        <w:pStyle w:val="ListParagraph"/>
        <w:numPr>
          <w:ilvl w:val="0"/>
          <w:numId w:val="4"/>
        </w:numPr>
        <w:adjustRightInd w:val="0"/>
        <w:snapToGrid w:val="0"/>
        <w:jc w:val="both"/>
        <w:rPr>
          <w:rFonts w:ascii="Arial" w:eastAsia="Times New Roman" w:hAnsi="Arial" w:cs="Arial"/>
          <w:sz w:val="22"/>
          <w:szCs w:val="22"/>
          <w:lang w:val="es-US" w:eastAsia="es-ES_tradnl"/>
        </w:rPr>
      </w:pPr>
      <w:r w:rsidRPr="005D6E23">
        <w:rPr>
          <w:rFonts w:ascii="Arial" w:eastAsia="Times New Roman" w:hAnsi="Arial" w:cs="Arial"/>
          <w:sz w:val="22"/>
          <w:szCs w:val="22"/>
          <w:lang w:val="es-US" w:eastAsia="es-ES_tradnl"/>
        </w:rPr>
        <w:t>T</w:t>
      </w:r>
      <w:r w:rsidR="00D16A68" w:rsidRPr="005D6E23">
        <w:rPr>
          <w:rFonts w:ascii="Arial" w:eastAsia="Times New Roman" w:hAnsi="Arial" w:cs="Arial"/>
          <w:sz w:val="22"/>
          <w:szCs w:val="22"/>
          <w:lang w:val="es-US" w:eastAsia="es-ES_tradnl"/>
        </w:rPr>
        <w:t xml:space="preserve">ransferencias monetarias a </w:t>
      </w:r>
      <w:r w:rsidRPr="005D6E23">
        <w:rPr>
          <w:rFonts w:ascii="Arial" w:eastAsia="Times New Roman" w:hAnsi="Arial" w:cs="Arial"/>
          <w:sz w:val="22"/>
          <w:szCs w:val="22"/>
          <w:lang w:val="es-US" w:eastAsia="es-ES_tradnl"/>
        </w:rPr>
        <w:t xml:space="preserve">personas desempleadas por la crisis, los trabajadores independientes formales, y trabajadores formales que han experimentado una reducción total o parcial de ingresos, </w:t>
      </w:r>
      <w:r w:rsidR="00D16A68" w:rsidRPr="005D6E23">
        <w:rPr>
          <w:rFonts w:ascii="Arial" w:eastAsia="Times New Roman" w:hAnsi="Arial" w:cs="Arial"/>
          <w:sz w:val="22"/>
          <w:szCs w:val="22"/>
          <w:lang w:val="es-US" w:eastAsia="es-ES_tradnl"/>
        </w:rPr>
        <w:t>y que son elegibles para recibir el Bono Proteger</w:t>
      </w:r>
      <w:r w:rsidRPr="005D6E23">
        <w:rPr>
          <w:rFonts w:ascii="Arial" w:eastAsia="Times New Roman" w:hAnsi="Arial" w:cs="Arial"/>
          <w:sz w:val="22"/>
          <w:szCs w:val="22"/>
          <w:lang w:val="es-US" w:eastAsia="es-ES_tradnl"/>
        </w:rPr>
        <w:t xml:space="preserve"> (BP)</w:t>
      </w:r>
      <w:r w:rsidR="00D16A68" w:rsidRPr="005D6E23">
        <w:rPr>
          <w:rFonts w:ascii="Arial" w:eastAsia="Times New Roman" w:hAnsi="Arial" w:cs="Arial"/>
          <w:sz w:val="22"/>
          <w:szCs w:val="22"/>
          <w:lang w:val="es-US" w:eastAsia="es-ES_tradnl"/>
        </w:rPr>
        <w:t xml:space="preserve">. </w:t>
      </w:r>
      <w:r w:rsidRPr="005D6E23">
        <w:rPr>
          <w:rFonts w:ascii="Arial" w:eastAsia="Times New Roman" w:hAnsi="Arial" w:cs="Arial"/>
          <w:sz w:val="22"/>
          <w:szCs w:val="22"/>
          <w:lang w:val="es-US" w:eastAsia="es-ES_tradnl"/>
        </w:rPr>
        <w:t>En el proceso de asignación de la transferencia, además de los criterios de afectación laboral, se ha establecido un sistema de puntos para la priorización de la asignación del BP a personas de bajos ingresos o en condición de pobreza extrema, mujeres, jefas de hogar, mayores de 65 años, personas con discapacidad, y hogares con mayor cantidad de miembros.</w:t>
      </w:r>
    </w:p>
    <w:p w14:paraId="001C5D54" w14:textId="374D3A22" w:rsidR="00622FF2" w:rsidRPr="005D6E23" w:rsidRDefault="00622FF2" w:rsidP="00D16A68">
      <w:pPr>
        <w:adjustRightInd w:val="0"/>
        <w:snapToGrid w:val="0"/>
        <w:jc w:val="both"/>
        <w:rPr>
          <w:rFonts w:ascii="Arial" w:eastAsia="Times New Roman" w:hAnsi="Arial" w:cs="Arial"/>
          <w:sz w:val="22"/>
          <w:szCs w:val="22"/>
          <w:lang w:val="es-US" w:eastAsia="es-ES_tradnl"/>
        </w:rPr>
      </w:pPr>
    </w:p>
    <w:p w14:paraId="12319B3E" w14:textId="7C20D071" w:rsidR="00C728F0" w:rsidRPr="005D6E23" w:rsidRDefault="008454FA" w:rsidP="00881950">
      <w:pPr>
        <w:jc w:val="both"/>
        <w:rPr>
          <w:rFonts w:ascii="Arial" w:hAnsi="Arial" w:cs="Arial"/>
          <w:sz w:val="22"/>
          <w:szCs w:val="22"/>
          <w:lang w:val="es-EC"/>
        </w:rPr>
      </w:pPr>
      <w:r w:rsidRPr="005D6E23">
        <w:rPr>
          <w:rFonts w:ascii="Arial" w:eastAsia="Times New Roman" w:hAnsi="Arial" w:cs="Arial"/>
          <w:sz w:val="22"/>
          <w:szCs w:val="22"/>
          <w:lang w:val="es-US" w:eastAsia="es-ES_tradnl"/>
        </w:rPr>
        <w:t xml:space="preserve">Se espera que gracias a estas actividades se </w:t>
      </w:r>
      <w:r w:rsidR="00C728F0" w:rsidRPr="005D6E23">
        <w:rPr>
          <w:rFonts w:ascii="Arial" w:eastAsia="Times New Roman" w:hAnsi="Arial" w:cs="Arial"/>
          <w:sz w:val="22"/>
          <w:szCs w:val="22"/>
          <w:lang w:val="es-US" w:eastAsia="es-ES_tradnl"/>
        </w:rPr>
        <w:t>cumpla el objetivo de asegurar niveles mínimos de calidad de vida de las personas vulnerables frente a la crisis causada por el COVID-19, apoyando niveles mínimos de ingreso y de empleo de personas afectadas por el virus, en el periodo inmediato y durante la recuperación.</w:t>
      </w:r>
      <w:r w:rsidRPr="005D6E23">
        <w:rPr>
          <w:rFonts w:ascii="Arial" w:eastAsia="Times New Roman" w:hAnsi="Arial" w:cs="Arial"/>
          <w:sz w:val="22"/>
          <w:szCs w:val="22"/>
          <w:lang w:val="es-US" w:eastAsia="es-ES_tradnl"/>
        </w:rPr>
        <w:t xml:space="preserve"> En este sentido habría un abordaje especializado </w:t>
      </w:r>
      <w:r w:rsidR="00C728F0" w:rsidRPr="005D6E23">
        <w:rPr>
          <w:rFonts w:ascii="Arial" w:eastAsia="Times New Roman" w:hAnsi="Arial" w:cs="Arial"/>
          <w:sz w:val="22"/>
          <w:szCs w:val="22"/>
          <w:lang w:val="es-US" w:eastAsia="es-ES_tradnl"/>
        </w:rPr>
        <w:t>con enfoque de género y diversidad que permita la inclusión de</w:t>
      </w:r>
      <w:r w:rsidRPr="005D6E23">
        <w:rPr>
          <w:rFonts w:ascii="Arial" w:eastAsia="Times New Roman" w:hAnsi="Arial" w:cs="Arial"/>
          <w:sz w:val="22"/>
          <w:szCs w:val="22"/>
          <w:lang w:val="es-US" w:eastAsia="es-ES_tradnl"/>
        </w:rPr>
        <w:t xml:space="preserve"> los diversos grupos </w:t>
      </w:r>
      <w:r w:rsidR="00C728F0" w:rsidRPr="005D6E23">
        <w:rPr>
          <w:rFonts w:ascii="Arial" w:eastAsia="Times New Roman" w:hAnsi="Arial" w:cs="Arial"/>
          <w:sz w:val="22"/>
          <w:szCs w:val="22"/>
          <w:lang w:val="es-US" w:eastAsia="es-ES_tradnl"/>
        </w:rPr>
        <w:t>poblacionales</w:t>
      </w:r>
      <w:r w:rsidR="00B51301" w:rsidRPr="005D6E23">
        <w:rPr>
          <w:rStyle w:val="FootnoteReference"/>
          <w:rFonts w:ascii="Arial" w:eastAsia="Times New Roman" w:hAnsi="Arial" w:cs="Arial"/>
          <w:sz w:val="22"/>
          <w:szCs w:val="22"/>
          <w:lang w:val="es-US" w:eastAsia="es-ES_tradnl"/>
        </w:rPr>
        <w:footnoteReference w:id="5"/>
      </w:r>
      <w:r w:rsidR="00C728F0" w:rsidRPr="005D6E23">
        <w:rPr>
          <w:rFonts w:ascii="Arial" w:eastAsia="Times New Roman" w:hAnsi="Arial" w:cs="Arial"/>
          <w:sz w:val="22"/>
          <w:szCs w:val="22"/>
          <w:lang w:val="es-US" w:eastAsia="es-ES_tradnl"/>
        </w:rPr>
        <w:t>.</w:t>
      </w:r>
      <w:r w:rsidRPr="005D6E23">
        <w:rPr>
          <w:rFonts w:ascii="Arial" w:eastAsia="Times New Roman" w:hAnsi="Arial" w:cs="Arial"/>
          <w:sz w:val="22"/>
          <w:szCs w:val="22"/>
          <w:lang w:val="es-US" w:eastAsia="es-ES_tradnl"/>
        </w:rPr>
        <w:t xml:space="preserve"> </w:t>
      </w:r>
    </w:p>
    <w:p w14:paraId="30210918" w14:textId="68E2DC99" w:rsidR="00DE61A9" w:rsidRPr="005D6E23" w:rsidRDefault="007A39E3" w:rsidP="00DE61A9">
      <w:pPr>
        <w:adjustRightInd w:val="0"/>
        <w:snapToGrid w:val="0"/>
        <w:spacing w:before="120" w:after="120"/>
        <w:jc w:val="both"/>
        <w:rPr>
          <w:rFonts w:ascii="Arial" w:hAnsi="Arial" w:cs="Arial"/>
          <w:b/>
          <w:bCs/>
          <w:sz w:val="22"/>
          <w:szCs w:val="22"/>
          <w:u w:val="single"/>
        </w:rPr>
      </w:pPr>
      <w:r w:rsidRPr="005D6E23">
        <w:rPr>
          <w:rFonts w:ascii="Arial" w:hAnsi="Arial" w:cs="Arial"/>
          <w:b/>
          <w:bCs/>
          <w:sz w:val="22"/>
          <w:szCs w:val="22"/>
          <w:u w:val="single"/>
        </w:rPr>
        <w:lastRenderedPageBreak/>
        <w:t>Referencias</w:t>
      </w:r>
    </w:p>
    <w:p w14:paraId="174FFD78" w14:textId="7D90E01F" w:rsidR="00C728F0" w:rsidRPr="005D6E23" w:rsidRDefault="00C728F0" w:rsidP="00CD1ED9">
      <w:pPr>
        <w:adjustRightInd w:val="0"/>
        <w:snapToGrid w:val="0"/>
        <w:spacing w:before="120" w:after="120"/>
        <w:rPr>
          <w:rFonts w:ascii="Arial" w:hAnsi="Arial" w:cs="Arial"/>
          <w:sz w:val="22"/>
          <w:szCs w:val="22"/>
        </w:rPr>
      </w:pPr>
      <w:r w:rsidRPr="005D6E23">
        <w:rPr>
          <w:rFonts w:ascii="Arial" w:hAnsi="Arial" w:cs="Arial"/>
          <w:sz w:val="22"/>
          <w:szCs w:val="22"/>
        </w:rPr>
        <w:t xml:space="preserve">Azuara O et al. (2020) </w:t>
      </w:r>
      <w:r w:rsidRPr="005D6E23">
        <w:rPr>
          <w:rFonts w:ascii="Arial" w:hAnsi="Arial" w:cs="Arial"/>
          <w:i/>
          <w:iCs/>
          <w:sz w:val="22"/>
          <w:szCs w:val="22"/>
        </w:rPr>
        <w:t>Escenarios de Pérdida de Empleos Formales por COVID-19 en América Latina y el Caribe</w:t>
      </w:r>
      <w:r w:rsidRPr="005D6E23">
        <w:rPr>
          <w:rFonts w:ascii="Arial" w:hAnsi="Arial" w:cs="Arial"/>
          <w:sz w:val="22"/>
          <w:szCs w:val="22"/>
        </w:rPr>
        <w:t>, Mimeo, Banco Interamericano de Desarrollo.</w:t>
      </w:r>
    </w:p>
    <w:p w14:paraId="7E66A01A" w14:textId="77777777" w:rsidR="00DE61A9" w:rsidRPr="005D6E23" w:rsidRDefault="00DE61A9" w:rsidP="00CD1ED9">
      <w:pPr>
        <w:adjustRightInd w:val="0"/>
        <w:snapToGrid w:val="0"/>
        <w:spacing w:before="120" w:after="120"/>
        <w:rPr>
          <w:rFonts w:ascii="Arial" w:hAnsi="Arial" w:cs="Arial"/>
          <w:b/>
          <w:bCs/>
          <w:sz w:val="22"/>
          <w:szCs w:val="22"/>
          <w:lang w:val="es-US"/>
        </w:rPr>
      </w:pPr>
      <w:r w:rsidRPr="005D6E23">
        <w:rPr>
          <w:rFonts w:ascii="Arial" w:hAnsi="Arial" w:cs="Arial"/>
          <w:sz w:val="22"/>
          <w:szCs w:val="22"/>
          <w:lang w:val="es-US"/>
        </w:rPr>
        <w:t xml:space="preserve">Benvides Shirley (2020). </w:t>
      </w:r>
      <w:r w:rsidRPr="005D6E23">
        <w:rPr>
          <w:rFonts w:ascii="Arial" w:hAnsi="Arial" w:cs="Arial"/>
          <w:i/>
          <w:iCs/>
          <w:sz w:val="22"/>
          <w:szCs w:val="22"/>
          <w:lang w:val="es-US"/>
        </w:rPr>
        <w:t>El aporte del turismo a la economía costarricense: más de una década después</w:t>
      </w:r>
      <w:r w:rsidRPr="005D6E23">
        <w:rPr>
          <w:rFonts w:ascii="Arial" w:hAnsi="Arial" w:cs="Arial"/>
          <w:sz w:val="22"/>
          <w:szCs w:val="22"/>
          <w:lang w:val="es-US"/>
        </w:rPr>
        <w:t>.  Revista Economía y Sociedad, Volumen 25, Número 57. Enero-Junio 2020. Costa Rica.</w:t>
      </w:r>
    </w:p>
    <w:p w14:paraId="4219031A" w14:textId="77777777" w:rsidR="00DE61A9" w:rsidRPr="005D6E23" w:rsidRDefault="00DE61A9" w:rsidP="00CD1ED9">
      <w:pPr>
        <w:adjustRightInd w:val="0"/>
        <w:snapToGrid w:val="0"/>
        <w:spacing w:before="120" w:after="120"/>
        <w:rPr>
          <w:rFonts w:ascii="Arial" w:hAnsi="Arial" w:cs="Arial"/>
          <w:b/>
          <w:bCs/>
          <w:sz w:val="22"/>
          <w:szCs w:val="22"/>
          <w:lang w:val="es-US"/>
        </w:rPr>
      </w:pPr>
      <w:r w:rsidRPr="005D6E23">
        <w:rPr>
          <w:rFonts w:ascii="Arial" w:hAnsi="Arial" w:cs="Arial"/>
          <w:sz w:val="22"/>
          <w:szCs w:val="22"/>
          <w:lang w:val="es-US"/>
        </w:rPr>
        <w:t xml:space="preserve">Comisión Económica para América Latina y el Caribe-CEPAL (2020). </w:t>
      </w:r>
      <w:r w:rsidRPr="005D6E23">
        <w:rPr>
          <w:rFonts w:ascii="Arial" w:hAnsi="Arial" w:cs="Arial"/>
          <w:i/>
          <w:iCs/>
          <w:sz w:val="22"/>
          <w:szCs w:val="22"/>
          <w:lang w:val="es-US"/>
        </w:rPr>
        <w:t>América Latina y el Caribe ante la pandemia del COVID-19: efectos económicos y sociales</w:t>
      </w:r>
      <w:r w:rsidRPr="005D6E23">
        <w:rPr>
          <w:rFonts w:ascii="Arial" w:hAnsi="Arial" w:cs="Arial"/>
          <w:sz w:val="22"/>
          <w:szCs w:val="22"/>
          <w:lang w:val="es-US"/>
        </w:rPr>
        <w:t>. Informe Especial N</w:t>
      </w:r>
      <w:r w:rsidRPr="005D6E23">
        <w:rPr>
          <w:rFonts w:ascii="Arial" w:hAnsi="Arial" w:cs="Arial"/>
          <w:sz w:val="22"/>
          <w:szCs w:val="22"/>
          <w:vertAlign w:val="superscript"/>
          <w:lang w:val="es-US"/>
        </w:rPr>
        <w:t>o</w:t>
      </w:r>
      <w:r w:rsidRPr="005D6E23">
        <w:rPr>
          <w:rFonts w:ascii="Arial" w:hAnsi="Arial" w:cs="Arial"/>
          <w:sz w:val="22"/>
          <w:szCs w:val="22"/>
          <w:lang w:val="es-US"/>
        </w:rPr>
        <w:t xml:space="preserve"> 1. Santiago de Chile.</w:t>
      </w:r>
    </w:p>
    <w:p w14:paraId="6852716D" w14:textId="77777777" w:rsidR="00CD6E73" w:rsidRPr="005D6E23" w:rsidRDefault="00CD6E73" w:rsidP="00CD1ED9">
      <w:pPr>
        <w:adjustRightInd w:val="0"/>
        <w:snapToGrid w:val="0"/>
        <w:spacing w:before="120" w:after="120"/>
        <w:rPr>
          <w:rFonts w:ascii="Arial" w:hAnsi="Arial" w:cs="Arial"/>
          <w:sz w:val="22"/>
          <w:szCs w:val="22"/>
          <w:lang w:val="es-CO"/>
        </w:rPr>
      </w:pPr>
      <w:r w:rsidRPr="005D6E23">
        <w:rPr>
          <w:rFonts w:ascii="Arial" w:hAnsi="Arial" w:cs="Arial"/>
          <w:sz w:val="22"/>
          <w:szCs w:val="22"/>
          <w:lang w:val="es-CR"/>
        </w:rPr>
        <w:t xml:space="preserve">Cotacachi David y Griguera Ana. </w:t>
      </w:r>
      <w:r w:rsidRPr="005D6E23">
        <w:rPr>
          <w:rFonts w:ascii="Arial" w:hAnsi="Arial" w:cs="Arial"/>
          <w:i/>
          <w:iCs/>
          <w:sz w:val="22"/>
          <w:szCs w:val="22"/>
          <w:lang w:val="es-CR"/>
        </w:rPr>
        <w:t>¿Cómo afrontamos la crisis del COVID-19? Consideraciones para organizaciones y comunidades indígenas para responder al COVID-19.</w:t>
      </w:r>
      <w:r w:rsidRPr="005D6E23">
        <w:rPr>
          <w:rFonts w:ascii="Arial" w:hAnsi="Arial" w:cs="Arial"/>
          <w:sz w:val="22"/>
          <w:szCs w:val="22"/>
          <w:lang w:val="es-CR"/>
        </w:rPr>
        <w:t xml:space="preserve"> </w:t>
      </w:r>
      <w:r w:rsidRPr="005D6E23">
        <w:rPr>
          <w:rFonts w:ascii="Arial" w:hAnsi="Arial" w:cs="Arial"/>
          <w:sz w:val="22"/>
          <w:szCs w:val="22"/>
          <w:lang w:val="es-US"/>
        </w:rPr>
        <w:t xml:space="preserve">Banco Interamericano de Desarrollo. </w:t>
      </w:r>
      <w:r w:rsidRPr="005D6E23">
        <w:rPr>
          <w:rFonts w:ascii="Arial" w:hAnsi="Arial" w:cs="Arial"/>
          <w:sz w:val="22"/>
          <w:szCs w:val="22"/>
          <w:lang w:val="es-CO"/>
        </w:rPr>
        <w:t xml:space="preserve">Washington DC. </w:t>
      </w:r>
      <w:hyperlink r:id="rId22" w:history="1">
        <w:r w:rsidRPr="005D6E23">
          <w:rPr>
            <w:rStyle w:val="Hyperlink"/>
            <w:rFonts w:ascii="Arial" w:hAnsi="Arial" w:cs="Arial"/>
            <w:sz w:val="22"/>
            <w:szCs w:val="22"/>
            <w:lang w:val="es-CO"/>
          </w:rPr>
          <w:t>http://idbdocs.iadb.org/wsdocs/getdocument.aspx?docnum=EZSHARE-1043693673-53</w:t>
        </w:r>
      </w:hyperlink>
      <w:r w:rsidRPr="005D6E23">
        <w:rPr>
          <w:rFonts w:ascii="Arial" w:hAnsi="Arial" w:cs="Arial"/>
          <w:sz w:val="22"/>
          <w:szCs w:val="22"/>
          <w:lang w:val="es-CO"/>
        </w:rPr>
        <w:t xml:space="preserve"> </w:t>
      </w:r>
    </w:p>
    <w:p w14:paraId="5498C773" w14:textId="77777777" w:rsidR="00DE61A9" w:rsidRPr="005D6E23" w:rsidRDefault="00DE61A9" w:rsidP="00CD1ED9">
      <w:pPr>
        <w:adjustRightInd w:val="0"/>
        <w:snapToGrid w:val="0"/>
        <w:spacing w:before="120" w:after="120"/>
        <w:rPr>
          <w:rFonts w:ascii="Arial" w:hAnsi="Arial" w:cs="Arial"/>
          <w:sz w:val="22"/>
          <w:szCs w:val="22"/>
          <w:lang w:val="es-US"/>
        </w:rPr>
      </w:pPr>
      <w:r w:rsidRPr="005D6E23">
        <w:rPr>
          <w:rFonts w:ascii="Arial" w:hAnsi="Arial" w:cs="Arial"/>
          <w:sz w:val="22"/>
          <w:szCs w:val="22"/>
          <w:lang w:val="es-US"/>
        </w:rPr>
        <w:t xml:space="preserve">Fondo Monetario Internacional-FMI (2020). </w:t>
      </w:r>
      <w:r w:rsidRPr="005D6E23">
        <w:rPr>
          <w:rFonts w:ascii="Arial" w:hAnsi="Arial" w:cs="Arial"/>
          <w:i/>
          <w:iCs/>
          <w:sz w:val="22"/>
          <w:szCs w:val="22"/>
          <w:lang w:val="es-US"/>
        </w:rPr>
        <w:t>La pandemia del coronavirus y América Latina: Es el momento de tomar medidas decisivas</w:t>
      </w:r>
      <w:r w:rsidRPr="005D6E23">
        <w:rPr>
          <w:rFonts w:ascii="Arial" w:hAnsi="Arial" w:cs="Arial"/>
          <w:sz w:val="22"/>
          <w:szCs w:val="22"/>
          <w:lang w:val="es-US"/>
        </w:rPr>
        <w:t>. Diálogo a Fondo. Washington DC.</w:t>
      </w:r>
    </w:p>
    <w:p w14:paraId="042859CD" w14:textId="77777777" w:rsidR="00DE61A9" w:rsidRPr="005D6E23" w:rsidRDefault="00DE61A9" w:rsidP="00CD1ED9">
      <w:pPr>
        <w:adjustRightInd w:val="0"/>
        <w:snapToGrid w:val="0"/>
        <w:spacing w:before="120" w:after="120"/>
        <w:rPr>
          <w:rFonts w:ascii="Arial" w:hAnsi="Arial" w:cs="Arial"/>
          <w:sz w:val="22"/>
          <w:szCs w:val="22"/>
          <w:lang w:val="es-CR"/>
        </w:rPr>
      </w:pPr>
      <w:r w:rsidRPr="005D6E23">
        <w:rPr>
          <w:rFonts w:ascii="Arial" w:hAnsi="Arial" w:cs="Arial"/>
          <w:sz w:val="22"/>
          <w:szCs w:val="22"/>
          <w:lang w:val="es-CR"/>
        </w:rPr>
        <w:t xml:space="preserve">Freund, A. (11 de marzo de 2020). COVID-19: ¿Quiénes son los más afectados y por qué? </w:t>
      </w:r>
      <w:r w:rsidRPr="005D6E23">
        <w:rPr>
          <w:rFonts w:ascii="Arial" w:hAnsi="Arial" w:cs="Arial"/>
          <w:i/>
          <w:iCs/>
          <w:sz w:val="22"/>
          <w:szCs w:val="22"/>
          <w:lang w:val="es-CR"/>
        </w:rPr>
        <w:t>DW</w:t>
      </w:r>
      <w:r w:rsidRPr="005D6E23">
        <w:rPr>
          <w:rFonts w:ascii="Arial" w:hAnsi="Arial" w:cs="Arial"/>
          <w:sz w:val="22"/>
          <w:szCs w:val="22"/>
          <w:lang w:val="es-CR"/>
        </w:rPr>
        <w:t xml:space="preserve">. Recuperado el 30 de marzo de 2020, de </w:t>
      </w:r>
      <w:hyperlink r:id="rId23" w:history="1">
        <w:r w:rsidRPr="005D6E23">
          <w:rPr>
            <w:rStyle w:val="Hyperlink"/>
            <w:rFonts w:ascii="Arial" w:hAnsi="Arial" w:cs="Arial"/>
            <w:sz w:val="22"/>
            <w:szCs w:val="22"/>
            <w:lang w:val="es-CR"/>
          </w:rPr>
          <w:t>https://www.dw.com/es/covid-19-qui%C3%A9nes-son-los-m%C3%A1s-afectados-y-por-qu%C3%A9/a-52728619</w:t>
        </w:r>
      </w:hyperlink>
      <w:r w:rsidRPr="005D6E23">
        <w:rPr>
          <w:rFonts w:ascii="Arial" w:hAnsi="Arial" w:cs="Arial"/>
          <w:sz w:val="22"/>
          <w:szCs w:val="22"/>
          <w:lang w:val="es-CR"/>
        </w:rPr>
        <w:t xml:space="preserve"> </w:t>
      </w:r>
    </w:p>
    <w:p w14:paraId="5B61C27E" w14:textId="2471B68F" w:rsidR="00C728F0" w:rsidRPr="005D6E23" w:rsidRDefault="00DE61A9" w:rsidP="00CD1ED9">
      <w:pPr>
        <w:adjustRightInd w:val="0"/>
        <w:snapToGrid w:val="0"/>
        <w:spacing w:before="120" w:after="120"/>
        <w:rPr>
          <w:rFonts w:ascii="Arial" w:hAnsi="Arial" w:cs="Arial"/>
          <w:sz w:val="22"/>
          <w:szCs w:val="22"/>
        </w:rPr>
      </w:pPr>
      <w:r w:rsidRPr="005D6E23">
        <w:rPr>
          <w:rFonts w:ascii="Arial" w:hAnsi="Arial" w:cs="Arial"/>
          <w:sz w:val="22"/>
          <w:szCs w:val="22"/>
          <w:lang w:val="es-CR"/>
        </w:rPr>
        <w:t>INAMU (20</w:t>
      </w:r>
      <w:r w:rsidR="00C728F0" w:rsidRPr="005D6E23">
        <w:rPr>
          <w:rFonts w:ascii="Arial" w:hAnsi="Arial" w:cs="Arial"/>
          <w:sz w:val="22"/>
          <w:szCs w:val="22"/>
          <w:lang w:val="es-CR"/>
        </w:rPr>
        <w:t>18</w:t>
      </w:r>
      <w:r w:rsidRPr="005D6E23">
        <w:rPr>
          <w:rFonts w:ascii="Arial" w:hAnsi="Arial" w:cs="Arial"/>
          <w:sz w:val="22"/>
          <w:szCs w:val="22"/>
          <w:lang w:val="es-CR"/>
        </w:rPr>
        <w:t xml:space="preserve">). </w:t>
      </w:r>
      <w:r w:rsidR="00C728F0" w:rsidRPr="005D6E23">
        <w:rPr>
          <w:rFonts w:ascii="Arial" w:hAnsi="Arial" w:cs="Arial"/>
          <w:i/>
          <w:iCs/>
          <w:sz w:val="22"/>
          <w:szCs w:val="22"/>
          <w:lang w:val="es-CR"/>
        </w:rPr>
        <w:t>PIEG</w:t>
      </w:r>
      <w:r w:rsidRPr="005D6E23">
        <w:rPr>
          <w:rFonts w:ascii="Arial" w:hAnsi="Arial" w:cs="Arial"/>
          <w:i/>
          <w:iCs/>
          <w:sz w:val="22"/>
          <w:szCs w:val="22"/>
          <w:lang w:val="es-CR"/>
        </w:rPr>
        <w:t>.</w:t>
      </w:r>
      <w:r w:rsidRPr="005D6E23">
        <w:rPr>
          <w:rFonts w:ascii="Arial" w:hAnsi="Arial" w:cs="Arial"/>
          <w:sz w:val="22"/>
          <w:szCs w:val="22"/>
          <w:lang w:val="es-CR"/>
        </w:rPr>
        <w:t xml:space="preserve"> Instituto Nacional de la Mujer, San José. </w:t>
      </w:r>
      <w:hyperlink r:id="rId24" w:history="1">
        <w:r w:rsidR="00C728F0" w:rsidRPr="005D6E23">
          <w:rPr>
            <w:rStyle w:val="Hyperlink"/>
            <w:rFonts w:ascii="Arial" w:hAnsi="Arial" w:cs="Arial"/>
            <w:sz w:val="22"/>
            <w:szCs w:val="22"/>
          </w:rPr>
          <w:t>https://www.inamu.go.cr/documents/10179/401246/INAMU+PIEG+2018-2030+NEW.pdf/f8333d70-df04-417e-bbe9-c48c412a3cfb</w:t>
        </w:r>
      </w:hyperlink>
    </w:p>
    <w:p w14:paraId="72EB4E16" w14:textId="0ABBE61B" w:rsidR="00CD1ED9" w:rsidRPr="005D6E23" w:rsidRDefault="00CD1ED9" w:rsidP="00CD1ED9">
      <w:pPr>
        <w:adjustRightInd w:val="0"/>
        <w:snapToGrid w:val="0"/>
        <w:rPr>
          <w:rFonts w:ascii="Arial" w:hAnsi="Arial" w:cs="Arial"/>
          <w:sz w:val="22"/>
          <w:szCs w:val="22"/>
          <w:lang w:eastAsia="es-ES_tradnl"/>
        </w:rPr>
      </w:pPr>
      <w:r w:rsidRPr="005D6E23">
        <w:rPr>
          <w:rFonts w:ascii="Arial" w:hAnsi="Arial" w:cs="Arial"/>
          <w:sz w:val="22"/>
          <w:szCs w:val="22"/>
          <w:lang w:eastAsia="es-ES_tradnl"/>
        </w:rPr>
        <w:t>INEC (2017). Encuesta Nacional de Hogares 2017. Creación de variables. San José, Costa Rica: Instituto Nacional de Estadística y Censos.</w:t>
      </w:r>
    </w:p>
    <w:p w14:paraId="7ACF7F2C" w14:textId="18582F5C" w:rsidR="00C728F0" w:rsidRPr="005D6E23" w:rsidRDefault="00C728F0" w:rsidP="00CD1ED9">
      <w:pPr>
        <w:adjustRightInd w:val="0"/>
        <w:snapToGrid w:val="0"/>
        <w:spacing w:before="120" w:after="120"/>
        <w:rPr>
          <w:rFonts w:ascii="Arial" w:hAnsi="Arial" w:cs="Arial"/>
          <w:sz w:val="22"/>
          <w:szCs w:val="22"/>
        </w:rPr>
      </w:pPr>
      <w:r w:rsidRPr="005D6E23">
        <w:rPr>
          <w:rFonts w:ascii="Arial" w:hAnsi="Arial" w:cs="Arial"/>
          <w:sz w:val="22"/>
          <w:szCs w:val="22"/>
        </w:rPr>
        <w:t>INEC (</w:t>
      </w:r>
      <w:r w:rsidR="00CD6E73" w:rsidRPr="005D6E23">
        <w:rPr>
          <w:rFonts w:ascii="Arial" w:hAnsi="Arial" w:cs="Arial"/>
          <w:sz w:val="22"/>
          <w:szCs w:val="22"/>
        </w:rPr>
        <w:t xml:space="preserve">2011) Censo </w:t>
      </w:r>
      <w:r w:rsidR="00CD1ED9" w:rsidRPr="005D6E23">
        <w:rPr>
          <w:rFonts w:ascii="Arial" w:hAnsi="Arial" w:cs="Arial"/>
          <w:sz w:val="22"/>
          <w:szCs w:val="22"/>
        </w:rPr>
        <w:t xml:space="preserve">2011. </w:t>
      </w:r>
      <w:hyperlink r:id="rId25" w:history="1">
        <w:r w:rsidR="000C36F8" w:rsidRPr="005D6E23">
          <w:rPr>
            <w:rStyle w:val="Hyperlink"/>
            <w:rFonts w:ascii="Arial" w:hAnsi="Arial" w:cs="Arial"/>
            <w:sz w:val="22"/>
            <w:szCs w:val="22"/>
          </w:rPr>
          <w:t>https://www.inec.cr/sites/default/files/documentos/inec_institucional/publicaciones/anpoblaccenso2011-04.pdf.pdf</w:t>
        </w:r>
      </w:hyperlink>
    </w:p>
    <w:p w14:paraId="3820C9CB" w14:textId="2345DCFA" w:rsidR="00C728F0" w:rsidRPr="005D6E23" w:rsidRDefault="00C728F0" w:rsidP="00CD1ED9">
      <w:pPr>
        <w:adjustRightInd w:val="0"/>
        <w:snapToGrid w:val="0"/>
        <w:spacing w:before="120" w:after="120"/>
        <w:rPr>
          <w:rFonts w:ascii="Arial" w:hAnsi="Arial" w:cs="Arial"/>
          <w:sz w:val="22"/>
          <w:szCs w:val="22"/>
          <w:lang w:val="en-US"/>
        </w:rPr>
      </w:pPr>
      <w:r w:rsidRPr="005D6E23">
        <w:rPr>
          <w:rFonts w:ascii="Arial" w:hAnsi="Arial" w:cs="Arial"/>
          <w:sz w:val="22"/>
          <w:szCs w:val="22"/>
          <w:lang w:val="es-CR"/>
        </w:rPr>
        <w:t xml:space="preserve">INEC (2018) </w:t>
      </w:r>
      <w:r w:rsidR="00CD6E73" w:rsidRPr="005D6E23">
        <w:rPr>
          <w:rFonts w:ascii="Arial" w:hAnsi="Arial" w:cs="Arial"/>
          <w:i/>
          <w:iCs/>
          <w:sz w:val="22"/>
          <w:szCs w:val="22"/>
          <w:lang w:val="es-CR"/>
        </w:rPr>
        <w:t xml:space="preserve">Encuesta Nacional sobre Discapacidad - </w:t>
      </w:r>
      <w:r w:rsidRPr="005D6E23">
        <w:rPr>
          <w:rFonts w:ascii="Arial" w:hAnsi="Arial" w:cs="Arial"/>
          <w:i/>
          <w:iCs/>
          <w:sz w:val="22"/>
          <w:szCs w:val="22"/>
          <w:lang w:val="es-CR"/>
        </w:rPr>
        <w:t>Enadis.</w:t>
      </w:r>
      <w:r w:rsidRPr="005D6E23">
        <w:rPr>
          <w:rFonts w:ascii="Arial" w:hAnsi="Arial" w:cs="Arial"/>
          <w:sz w:val="22"/>
          <w:szCs w:val="22"/>
          <w:lang w:val="es-CR"/>
        </w:rPr>
        <w:t xml:space="preserve"> </w:t>
      </w:r>
      <w:r w:rsidR="00CD6E73" w:rsidRPr="005D6E23">
        <w:rPr>
          <w:rFonts w:ascii="Arial" w:hAnsi="Arial" w:cs="Arial"/>
          <w:sz w:val="22"/>
          <w:szCs w:val="22"/>
          <w:lang w:val="en-US"/>
        </w:rPr>
        <w:t xml:space="preserve">ISSN: 2215-5813 </w:t>
      </w:r>
      <w:hyperlink r:id="rId26" w:history="1">
        <w:r w:rsidR="00CD6E73" w:rsidRPr="005D6E23">
          <w:rPr>
            <w:rStyle w:val="Hyperlink"/>
            <w:rFonts w:ascii="Arial" w:hAnsi="Arial" w:cs="Arial"/>
            <w:sz w:val="22"/>
            <w:szCs w:val="22"/>
            <w:lang w:val="en-US"/>
          </w:rPr>
          <w:t>https://www.inec.cr/sites/default/files/documetos-biblioteca-virtual/reenadis2018.pdf</w:t>
        </w:r>
      </w:hyperlink>
    </w:p>
    <w:p w14:paraId="61B76AE0" w14:textId="7C949A37" w:rsidR="00DE61A9" w:rsidRPr="005D6E23" w:rsidRDefault="00DE61A9" w:rsidP="00CD1ED9">
      <w:pPr>
        <w:adjustRightInd w:val="0"/>
        <w:snapToGrid w:val="0"/>
        <w:spacing w:before="120" w:after="120"/>
        <w:rPr>
          <w:rFonts w:ascii="Arial" w:hAnsi="Arial" w:cs="Arial"/>
          <w:sz w:val="22"/>
          <w:szCs w:val="22"/>
          <w:lang w:val="es-CR"/>
        </w:rPr>
      </w:pPr>
      <w:r w:rsidRPr="005D6E23">
        <w:rPr>
          <w:rFonts w:ascii="Arial" w:hAnsi="Arial" w:cs="Arial"/>
          <w:sz w:val="22"/>
          <w:szCs w:val="22"/>
          <w:lang w:val="es-CR"/>
        </w:rPr>
        <w:t xml:space="preserve">INEC (17 de Octubre de 2019). </w:t>
      </w:r>
      <w:r w:rsidRPr="005D6E23">
        <w:rPr>
          <w:rFonts w:ascii="Arial" w:hAnsi="Arial" w:cs="Arial"/>
          <w:i/>
          <w:iCs/>
          <w:sz w:val="22"/>
          <w:szCs w:val="22"/>
          <w:lang w:val="es-CR"/>
        </w:rPr>
        <w:t>Resultados Generales sobre ingresos, pobreza y desigualdad.</w:t>
      </w:r>
      <w:r w:rsidRPr="005D6E23">
        <w:rPr>
          <w:rFonts w:ascii="Arial" w:hAnsi="Arial" w:cs="Arial"/>
          <w:sz w:val="22"/>
          <w:szCs w:val="22"/>
          <w:lang w:val="es-CR"/>
        </w:rPr>
        <w:t xml:space="preserve"> Recuperado el 31 de marzo de 2020, de Encuesta Nacional de Hogares 2019: </w:t>
      </w:r>
      <w:hyperlink r:id="rId27" w:history="1">
        <w:r w:rsidR="00CD6E73" w:rsidRPr="005D6E23">
          <w:rPr>
            <w:rStyle w:val="Hyperlink"/>
            <w:rFonts w:ascii="Arial" w:hAnsi="Arial" w:cs="Arial"/>
            <w:sz w:val="22"/>
            <w:szCs w:val="22"/>
            <w:lang w:val="es-CR"/>
          </w:rPr>
          <w:t>https://www.inec.cr/sites/default/files/presentacion-multimedia/imgenaho2019-ppt.pdf</w:t>
        </w:r>
      </w:hyperlink>
      <w:r w:rsidR="00CD6E73" w:rsidRPr="005D6E23">
        <w:rPr>
          <w:rFonts w:ascii="Arial" w:hAnsi="Arial" w:cs="Arial"/>
          <w:sz w:val="22"/>
          <w:szCs w:val="22"/>
          <w:lang w:val="es-CR"/>
        </w:rPr>
        <w:t xml:space="preserve"> </w:t>
      </w:r>
    </w:p>
    <w:p w14:paraId="548C0C3C" w14:textId="0F650B4A" w:rsidR="00DE61A9" w:rsidRPr="005D6E23" w:rsidRDefault="00DE61A9" w:rsidP="00CD1ED9">
      <w:pPr>
        <w:adjustRightInd w:val="0"/>
        <w:snapToGrid w:val="0"/>
        <w:spacing w:before="120" w:after="120"/>
        <w:rPr>
          <w:rFonts w:ascii="Arial" w:hAnsi="Arial" w:cs="Arial"/>
          <w:sz w:val="22"/>
          <w:szCs w:val="22"/>
          <w:lang w:val="es-CR"/>
        </w:rPr>
      </w:pPr>
      <w:r w:rsidRPr="005D6E23">
        <w:rPr>
          <w:rFonts w:ascii="Arial" w:hAnsi="Arial" w:cs="Arial"/>
          <w:sz w:val="22"/>
          <w:szCs w:val="22"/>
          <w:lang w:val="es-CR"/>
        </w:rPr>
        <w:t xml:space="preserve">INEC (2020). </w:t>
      </w:r>
      <w:r w:rsidRPr="005D6E23">
        <w:rPr>
          <w:rFonts w:ascii="Arial" w:hAnsi="Arial" w:cs="Arial"/>
          <w:i/>
          <w:iCs/>
          <w:sz w:val="22"/>
          <w:szCs w:val="22"/>
          <w:lang w:val="es-CR"/>
        </w:rPr>
        <w:t>Encuesta Continua de Empleo IV Trimestre 2019.</w:t>
      </w:r>
      <w:r w:rsidRPr="005D6E23">
        <w:rPr>
          <w:rFonts w:ascii="Arial" w:hAnsi="Arial" w:cs="Arial"/>
          <w:sz w:val="22"/>
          <w:szCs w:val="22"/>
          <w:lang w:val="es-CR"/>
        </w:rPr>
        <w:t xml:space="preserve"> Estadística, Instituto Nacional de Estadística y Censos de Costa Rica, San José.</w:t>
      </w:r>
      <w:r w:rsidR="00CD6E73" w:rsidRPr="005D6E23">
        <w:rPr>
          <w:rFonts w:ascii="Arial" w:hAnsi="Arial" w:cs="Arial"/>
          <w:sz w:val="22"/>
          <w:szCs w:val="22"/>
        </w:rPr>
        <w:t xml:space="preserve"> </w:t>
      </w:r>
      <w:hyperlink r:id="rId28" w:history="1">
        <w:r w:rsidR="00CD6E73" w:rsidRPr="005D6E23">
          <w:rPr>
            <w:rStyle w:val="Hyperlink"/>
            <w:rFonts w:ascii="Arial" w:hAnsi="Arial" w:cs="Arial"/>
            <w:sz w:val="22"/>
            <w:szCs w:val="22"/>
          </w:rPr>
          <w:t>https://www.inec.cr/encuestas/encuesta-continua-de-empleo</w:t>
        </w:r>
      </w:hyperlink>
    </w:p>
    <w:p w14:paraId="3ABB9149" w14:textId="4FFD80BE" w:rsidR="00C728F0" w:rsidRPr="005D6E23" w:rsidRDefault="00DE61A9" w:rsidP="00CD1ED9">
      <w:pPr>
        <w:adjustRightInd w:val="0"/>
        <w:snapToGrid w:val="0"/>
        <w:spacing w:before="120" w:after="120"/>
        <w:rPr>
          <w:rFonts w:ascii="Arial" w:hAnsi="Arial" w:cs="Arial"/>
          <w:sz w:val="22"/>
          <w:szCs w:val="22"/>
        </w:rPr>
      </w:pPr>
      <w:r w:rsidRPr="005D6E23">
        <w:rPr>
          <w:rFonts w:ascii="Arial" w:hAnsi="Arial" w:cs="Arial"/>
          <w:sz w:val="22"/>
          <w:szCs w:val="22"/>
          <w:lang w:val="es-CR"/>
        </w:rPr>
        <w:t xml:space="preserve">INEC (2020). </w:t>
      </w:r>
      <w:r w:rsidRPr="005D6E23">
        <w:rPr>
          <w:rFonts w:ascii="Arial" w:hAnsi="Arial" w:cs="Arial"/>
          <w:i/>
          <w:iCs/>
          <w:sz w:val="22"/>
          <w:szCs w:val="22"/>
          <w:lang w:val="es-CR"/>
        </w:rPr>
        <w:t>Encuesta Continua del Empleo al IV Trimestre del 2019: Resultados Generales.</w:t>
      </w:r>
      <w:r w:rsidRPr="005D6E23">
        <w:rPr>
          <w:rFonts w:ascii="Arial" w:hAnsi="Arial" w:cs="Arial"/>
          <w:sz w:val="22"/>
          <w:szCs w:val="22"/>
          <w:lang w:val="es-CR"/>
        </w:rPr>
        <w:t xml:space="preserve"> </w:t>
      </w:r>
      <w:r w:rsidR="00C728F0" w:rsidRPr="005D6E23">
        <w:rPr>
          <w:rFonts w:ascii="Arial" w:hAnsi="Arial" w:cs="Arial"/>
          <w:sz w:val="22"/>
          <w:szCs w:val="22"/>
        </w:rPr>
        <w:t xml:space="preserve">Vol 4. Año 8. San José, Costa Rica. ISSN: 2215-3136 </w:t>
      </w:r>
    </w:p>
    <w:p w14:paraId="6ABBA6CA" w14:textId="77777777" w:rsidR="00DE61A9" w:rsidRPr="005D6E23" w:rsidRDefault="00DE61A9" w:rsidP="00CD1ED9">
      <w:pPr>
        <w:adjustRightInd w:val="0"/>
        <w:snapToGrid w:val="0"/>
        <w:spacing w:before="120" w:after="120"/>
        <w:rPr>
          <w:rFonts w:ascii="Arial" w:hAnsi="Arial" w:cs="Arial"/>
          <w:sz w:val="22"/>
          <w:szCs w:val="22"/>
          <w:lang w:val="es-CR"/>
        </w:rPr>
      </w:pPr>
      <w:r w:rsidRPr="005D6E23">
        <w:rPr>
          <w:rFonts w:ascii="Arial" w:hAnsi="Arial" w:cs="Arial"/>
          <w:sz w:val="22"/>
          <w:szCs w:val="22"/>
          <w:lang w:val="es-CR"/>
        </w:rPr>
        <w:t xml:space="preserve">INEC (8 de marzo de 2020). </w:t>
      </w:r>
      <w:r w:rsidRPr="005D6E23">
        <w:rPr>
          <w:rFonts w:ascii="Arial" w:hAnsi="Arial" w:cs="Arial"/>
          <w:i/>
          <w:iCs/>
          <w:sz w:val="22"/>
          <w:szCs w:val="22"/>
          <w:lang w:val="es-CR"/>
        </w:rPr>
        <w:t>Por los derechos de las mujeres.</w:t>
      </w:r>
      <w:r w:rsidRPr="005D6E23">
        <w:rPr>
          <w:rFonts w:ascii="Arial" w:hAnsi="Arial" w:cs="Arial"/>
          <w:sz w:val="22"/>
          <w:szCs w:val="22"/>
          <w:lang w:val="es-CR"/>
        </w:rPr>
        <w:t xml:space="preserve"> Recuperado el 01 de abril de 2020, de Instituto Nacional de Estadística y Censos de Costa Rica: </w:t>
      </w:r>
      <w:hyperlink r:id="rId29" w:history="1">
        <w:r w:rsidRPr="005D6E23">
          <w:rPr>
            <w:rStyle w:val="Hyperlink"/>
            <w:rFonts w:ascii="Arial" w:hAnsi="Arial" w:cs="Arial"/>
            <w:sz w:val="22"/>
            <w:szCs w:val="22"/>
            <w:lang w:val="es-CR"/>
          </w:rPr>
          <w:t>https://www.inec.cr/sites/default/files/infografias-pdf/imgdia-internacional-mujer-2020.pdf</w:t>
        </w:r>
      </w:hyperlink>
      <w:r w:rsidRPr="005D6E23">
        <w:rPr>
          <w:rFonts w:ascii="Arial" w:hAnsi="Arial" w:cs="Arial"/>
          <w:sz w:val="22"/>
          <w:szCs w:val="22"/>
          <w:lang w:val="es-CR"/>
        </w:rPr>
        <w:t xml:space="preserve"> </w:t>
      </w:r>
    </w:p>
    <w:p w14:paraId="3BFA899F" w14:textId="77777777" w:rsidR="00DE61A9" w:rsidRPr="005D6E23" w:rsidRDefault="00DE61A9" w:rsidP="00CD1ED9">
      <w:pPr>
        <w:adjustRightInd w:val="0"/>
        <w:snapToGrid w:val="0"/>
        <w:spacing w:before="120" w:after="120"/>
        <w:rPr>
          <w:rFonts w:ascii="Arial" w:hAnsi="Arial" w:cs="Arial"/>
          <w:bCs/>
          <w:i/>
          <w:iCs/>
          <w:sz w:val="22"/>
          <w:szCs w:val="22"/>
          <w:lang w:val="es-ES"/>
        </w:rPr>
      </w:pPr>
      <w:r w:rsidRPr="005D6E23">
        <w:rPr>
          <w:rFonts w:ascii="Arial" w:hAnsi="Arial" w:cs="Arial"/>
          <w:sz w:val="22"/>
          <w:szCs w:val="22"/>
          <w:lang w:val="es-US"/>
        </w:rPr>
        <w:t xml:space="preserve">IPG Costa Rica (2020). </w:t>
      </w:r>
      <w:r w:rsidRPr="005D6E23">
        <w:rPr>
          <w:rFonts w:ascii="Arial" w:hAnsi="Arial" w:cs="Arial"/>
          <w:bCs/>
          <w:i/>
          <w:iCs/>
          <w:sz w:val="22"/>
          <w:szCs w:val="22"/>
          <w:lang w:val="es-ES"/>
        </w:rPr>
        <w:t xml:space="preserve">Diagnóstico de la Iniciativa de Paridad de Género en Costa Rica. </w:t>
      </w:r>
      <w:r w:rsidRPr="005D6E23">
        <w:rPr>
          <w:rFonts w:ascii="Arial" w:hAnsi="Arial" w:cs="Arial"/>
          <w:bCs/>
          <w:sz w:val="22"/>
          <w:szCs w:val="22"/>
          <w:lang w:val="es-ES"/>
        </w:rPr>
        <w:t>BID, WEF, Gobierno de la República, ENRED e INCAE.</w:t>
      </w:r>
    </w:p>
    <w:p w14:paraId="157E645E" w14:textId="77777777" w:rsidR="00DE61A9" w:rsidRPr="005D6E23" w:rsidRDefault="00DE61A9" w:rsidP="00CD1ED9">
      <w:pPr>
        <w:adjustRightInd w:val="0"/>
        <w:snapToGrid w:val="0"/>
        <w:spacing w:before="120" w:after="120"/>
        <w:rPr>
          <w:rFonts w:ascii="Arial" w:hAnsi="Arial" w:cs="Arial"/>
          <w:sz w:val="22"/>
          <w:szCs w:val="22"/>
          <w:lang w:val="es-CR"/>
        </w:rPr>
      </w:pPr>
      <w:r w:rsidRPr="005D6E23">
        <w:rPr>
          <w:rFonts w:ascii="Arial" w:hAnsi="Arial" w:cs="Arial"/>
          <w:sz w:val="22"/>
          <w:szCs w:val="22"/>
          <w:lang w:val="es-CR"/>
        </w:rPr>
        <w:lastRenderedPageBreak/>
        <w:t xml:space="preserve">Jímenez, G., &amp; Mora, P. (30 de marzo de 2020). Conferencia de Prensa 30 de marzo del 2020. (V. periodistas, Entrevistador) San José, Costa Rica: Casa Presidencial de Costa Rica. Recuperado el 01 de marzo de 2020, de </w:t>
      </w:r>
      <w:hyperlink r:id="rId30" w:history="1">
        <w:r w:rsidRPr="005D6E23">
          <w:rPr>
            <w:rStyle w:val="Hyperlink"/>
            <w:rFonts w:ascii="Arial" w:hAnsi="Arial" w:cs="Arial"/>
            <w:sz w:val="22"/>
            <w:szCs w:val="22"/>
            <w:lang w:val="es-CR"/>
          </w:rPr>
          <w:t>https://www.youtube.com/watch?v=j2oIW2OWm5c</w:t>
        </w:r>
      </w:hyperlink>
      <w:r w:rsidRPr="005D6E23">
        <w:rPr>
          <w:rFonts w:ascii="Arial" w:hAnsi="Arial" w:cs="Arial"/>
          <w:sz w:val="22"/>
          <w:szCs w:val="22"/>
          <w:lang w:val="es-CR"/>
        </w:rPr>
        <w:t xml:space="preserve"> </w:t>
      </w:r>
    </w:p>
    <w:p w14:paraId="48677E78" w14:textId="06A9B047" w:rsidR="00CD6E73" w:rsidRPr="005D6E23" w:rsidRDefault="00CD6E73" w:rsidP="00CD1ED9">
      <w:pPr>
        <w:adjustRightInd w:val="0"/>
        <w:snapToGrid w:val="0"/>
        <w:spacing w:before="120" w:after="120"/>
        <w:rPr>
          <w:rFonts w:ascii="Arial" w:hAnsi="Arial" w:cs="Arial"/>
          <w:sz w:val="22"/>
          <w:szCs w:val="22"/>
        </w:rPr>
      </w:pPr>
      <w:r w:rsidRPr="005D6E23">
        <w:rPr>
          <w:rFonts w:ascii="Arial" w:hAnsi="Arial" w:cs="Arial"/>
          <w:sz w:val="22"/>
          <w:szCs w:val="22"/>
          <w:lang w:val="es-CR"/>
        </w:rPr>
        <w:t xml:space="preserve">MICITT. (2017) </w:t>
      </w:r>
      <w:r w:rsidRPr="005D6E23">
        <w:rPr>
          <w:rFonts w:ascii="Arial" w:eastAsia="Times New Roman" w:hAnsi="Arial" w:cs="Arial"/>
          <w:i/>
          <w:iCs/>
          <w:sz w:val="22"/>
          <w:szCs w:val="22"/>
          <w:lang w:val="es-US" w:eastAsia="es-ES_tradnl"/>
        </w:rPr>
        <w:t>Política Nacional para la igualdad entre mujeres y hombres en la formación, el empleo y el disfrute de los productos de la Ciencia, Tecnología, las Telecomunicaciones y la Innovación</w:t>
      </w:r>
      <w:r w:rsidRPr="005D6E23">
        <w:rPr>
          <w:rFonts w:ascii="Arial" w:eastAsia="Times New Roman" w:hAnsi="Arial" w:cs="Arial"/>
          <w:sz w:val="22"/>
          <w:szCs w:val="22"/>
          <w:lang w:val="es-US" w:eastAsia="es-ES_tradnl"/>
        </w:rPr>
        <w:t xml:space="preserve"> 2018-2027. ISBN:978-9968-732-54-3 </w:t>
      </w:r>
      <w:hyperlink r:id="rId31" w:history="1">
        <w:r w:rsidRPr="005D6E23">
          <w:rPr>
            <w:rStyle w:val="Hyperlink"/>
            <w:rFonts w:ascii="Arial" w:hAnsi="Arial" w:cs="Arial"/>
            <w:sz w:val="22"/>
            <w:szCs w:val="22"/>
          </w:rPr>
          <w:t>https://www.micit.go.cr/sites/default/files/pdf.pdf</w:t>
        </w:r>
      </w:hyperlink>
    </w:p>
    <w:p w14:paraId="2CDD2831" w14:textId="504FFA46" w:rsidR="00DE61A9" w:rsidRPr="005D6E23" w:rsidRDefault="00DE61A9" w:rsidP="00CD1ED9">
      <w:pPr>
        <w:adjustRightInd w:val="0"/>
        <w:snapToGrid w:val="0"/>
        <w:spacing w:before="120" w:after="120"/>
        <w:rPr>
          <w:rFonts w:ascii="Arial" w:hAnsi="Arial" w:cs="Arial"/>
          <w:sz w:val="22"/>
          <w:szCs w:val="22"/>
          <w:lang w:val="es-CR"/>
        </w:rPr>
      </w:pPr>
      <w:r w:rsidRPr="005D6E23">
        <w:rPr>
          <w:rFonts w:ascii="Arial" w:hAnsi="Arial" w:cs="Arial"/>
          <w:sz w:val="22"/>
          <w:szCs w:val="22"/>
          <w:lang w:val="es-CR"/>
        </w:rPr>
        <w:t xml:space="preserve">Ministerio de Salud Costa Rica. (29 de marzo de 2020). </w:t>
      </w:r>
      <w:r w:rsidRPr="005D6E23">
        <w:rPr>
          <w:rFonts w:ascii="Arial" w:hAnsi="Arial" w:cs="Arial"/>
          <w:i/>
          <w:iCs/>
          <w:sz w:val="22"/>
          <w:szCs w:val="22"/>
          <w:lang w:val="es-CR"/>
        </w:rPr>
        <w:t>Semana cierra con 314 personas positivas por COVID-19</w:t>
      </w:r>
      <w:r w:rsidRPr="005D6E23">
        <w:rPr>
          <w:rFonts w:ascii="Arial" w:hAnsi="Arial" w:cs="Arial"/>
          <w:sz w:val="22"/>
          <w:szCs w:val="22"/>
          <w:lang w:val="es-CR"/>
        </w:rPr>
        <w:t xml:space="preserve">. Recuperado el 30 de marzo de 2020, de Situación Nacional COVID-19: </w:t>
      </w:r>
      <w:hyperlink r:id="rId32" w:history="1">
        <w:r w:rsidRPr="005D6E23">
          <w:rPr>
            <w:rStyle w:val="Hyperlink"/>
            <w:rFonts w:ascii="Arial" w:hAnsi="Arial" w:cs="Arial"/>
            <w:sz w:val="22"/>
            <w:szCs w:val="22"/>
            <w:lang w:val="es-CR"/>
          </w:rPr>
          <w:t>https://www.ministeriodesalud.go.cr/sobre_ministerio/prensa/img_cvd/img_datos_marzo_2020_19.jpeg</w:t>
        </w:r>
      </w:hyperlink>
      <w:r w:rsidRPr="005D6E23">
        <w:rPr>
          <w:rFonts w:ascii="Arial" w:hAnsi="Arial" w:cs="Arial"/>
          <w:sz w:val="22"/>
          <w:szCs w:val="22"/>
          <w:lang w:val="es-CR"/>
        </w:rPr>
        <w:t xml:space="preserve"> </w:t>
      </w:r>
    </w:p>
    <w:p w14:paraId="27411E8E" w14:textId="55567B52" w:rsidR="00CD6E73" w:rsidRPr="005D6E23" w:rsidRDefault="00CD6E73" w:rsidP="00CD1ED9">
      <w:pPr>
        <w:adjustRightInd w:val="0"/>
        <w:snapToGrid w:val="0"/>
        <w:spacing w:before="120" w:after="120"/>
        <w:rPr>
          <w:rFonts w:ascii="Arial" w:hAnsi="Arial" w:cs="Arial"/>
          <w:sz w:val="22"/>
          <w:szCs w:val="22"/>
        </w:rPr>
      </w:pPr>
      <w:r w:rsidRPr="005D6E23">
        <w:rPr>
          <w:rFonts w:ascii="Arial" w:hAnsi="Arial" w:cs="Arial"/>
          <w:sz w:val="22"/>
          <w:szCs w:val="22"/>
          <w:lang w:val="es-CO"/>
        </w:rPr>
        <w:t>Morrison, Judith. (2020)</w:t>
      </w:r>
      <w:r w:rsidRPr="005D6E23">
        <w:rPr>
          <w:rFonts w:ascii="Arial" w:hAnsi="Arial" w:cs="Arial"/>
          <w:sz w:val="22"/>
          <w:szCs w:val="22"/>
        </w:rPr>
        <w:t xml:space="preserve"> </w:t>
      </w:r>
      <w:r w:rsidRPr="005D6E23">
        <w:rPr>
          <w:rFonts w:ascii="Arial" w:hAnsi="Arial" w:cs="Arial"/>
          <w:i/>
          <w:iCs/>
          <w:sz w:val="22"/>
          <w:szCs w:val="22"/>
          <w:lang w:val="es-CO"/>
        </w:rPr>
        <w:t>Ser afrodescendiente durante el COVID-19: exposición y desigualdades.</w:t>
      </w:r>
      <w:r w:rsidRPr="005D6E23">
        <w:rPr>
          <w:rFonts w:ascii="Arial" w:hAnsi="Arial" w:cs="Arial"/>
          <w:sz w:val="22"/>
          <w:szCs w:val="22"/>
          <w:lang w:val="es-CO"/>
        </w:rPr>
        <w:t xml:space="preserve"> </w:t>
      </w:r>
      <w:r w:rsidRPr="005D6E23">
        <w:rPr>
          <w:rFonts w:ascii="Arial" w:hAnsi="Arial" w:cs="Arial"/>
          <w:sz w:val="22"/>
          <w:szCs w:val="22"/>
          <w:lang w:val="es-US"/>
        </w:rPr>
        <w:t xml:space="preserve">Blog ¿Y si hablamos de Igualdad? Banco Interamericano de Desarrollo. </w:t>
      </w:r>
      <w:r w:rsidRPr="005D6E23">
        <w:rPr>
          <w:rFonts w:ascii="Arial" w:hAnsi="Arial" w:cs="Arial"/>
          <w:sz w:val="22"/>
          <w:szCs w:val="22"/>
          <w:lang w:val="en-US"/>
        </w:rPr>
        <w:t xml:space="preserve">Washington DC. </w:t>
      </w:r>
      <w:hyperlink r:id="rId33" w:history="1">
        <w:r w:rsidRPr="005D6E23">
          <w:rPr>
            <w:rStyle w:val="Hyperlink"/>
            <w:rFonts w:ascii="Arial" w:hAnsi="Arial" w:cs="Arial"/>
            <w:sz w:val="22"/>
            <w:szCs w:val="22"/>
          </w:rPr>
          <w:t>https://blogs.iadb.org/igualdad/es/ser-afrodescendiente-durante-el-covid-19/</w:t>
        </w:r>
      </w:hyperlink>
      <w:r w:rsidRPr="005D6E23">
        <w:rPr>
          <w:rFonts w:ascii="Arial" w:hAnsi="Arial" w:cs="Arial"/>
          <w:sz w:val="22"/>
          <w:szCs w:val="22"/>
        </w:rPr>
        <w:t xml:space="preserve"> </w:t>
      </w:r>
    </w:p>
    <w:p w14:paraId="3B5BA290" w14:textId="7CA998A3" w:rsidR="00DE61A9" w:rsidRPr="005D6E23" w:rsidRDefault="00C728F0" w:rsidP="00CD1ED9">
      <w:pPr>
        <w:adjustRightInd w:val="0"/>
        <w:snapToGrid w:val="0"/>
        <w:spacing w:before="120" w:after="120"/>
        <w:rPr>
          <w:rFonts w:ascii="Arial" w:hAnsi="Arial" w:cs="Arial"/>
          <w:sz w:val="22"/>
          <w:szCs w:val="22"/>
          <w:lang w:val="es-US"/>
        </w:rPr>
      </w:pPr>
      <w:r w:rsidRPr="005D6E23">
        <w:rPr>
          <w:rFonts w:ascii="Arial" w:hAnsi="Arial" w:cs="Arial"/>
          <w:sz w:val="22"/>
          <w:szCs w:val="22"/>
          <w:lang w:val="es-US"/>
        </w:rPr>
        <w:t xml:space="preserve">Organización </w:t>
      </w:r>
      <w:r w:rsidR="00DE61A9" w:rsidRPr="005D6E23">
        <w:rPr>
          <w:rFonts w:ascii="Arial" w:hAnsi="Arial" w:cs="Arial"/>
          <w:sz w:val="22"/>
          <w:szCs w:val="22"/>
          <w:lang w:val="es-US"/>
        </w:rPr>
        <w:t>Internacional del Trabajo</w:t>
      </w:r>
      <w:r w:rsidRPr="005D6E23">
        <w:rPr>
          <w:rFonts w:ascii="Arial" w:hAnsi="Arial" w:cs="Arial"/>
          <w:sz w:val="22"/>
          <w:szCs w:val="22"/>
          <w:lang w:val="es-US"/>
        </w:rPr>
        <w:t xml:space="preserve"> - </w:t>
      </w:r>
      <w:r w:rsidR="00DE61A9" w:rsidRPr="005D6E23">
        <w:rPr>
          <w:rFonts w:ascii="Arial" w:hAnsi="Arial" w:cs="Arial"/>
          <w:sz w:val="22"/>
          <w:szCs w:val="22"/>
          <w:lang w:val="es-US"/>
        </w:rPr>
        <w:t xml:space="preserve">OIT (2000). </w:t>
      </w:r>
      <w:r w:rsidR="00DE61A9" w:rsidRPr="005D6E23">
        <w:rPr>
          <w:rFonts w:ascii="Arial" w:hAnsi="Arial" w:cs="Arial"/>
          <w:i/>
          <w:iCs/>
          <w:sz w:val="22"/>
          <w:szCs w:val="22"/>
          <w:lang w:val="es-US"/>
        </w:rPr>
        <w:t>El COVID-19 y el mundo del trabajo: Repercusiones y respuestas.</w:t>
      </w:r>
      <w:r w:rsidR="00DE61A9" w:rsidRPr="005D6E23">
        <w:rPr>
          <w:rFonts w:ascii="Arial" w:hAnsi="Arial" w:cs="Arial"/>
          <w:sz w:val="22"/>
          <w:szCs w:val="22"/>
          <w:lang w:val="es-US"/>
        </w:rPr>
        <w:t xml:space="preserve"> 18 de marzo. Ginebra.</w:t>
      </w:r>
    </w:p>
    <w:p w14:paraId="0ECE30F9" w14:textId="0ECB361E" w:rsidR="00C728F0" w:rsidRPr="005D6E23" w:rsidRDefault="00C728F0" w:rsidP="00CD1ED9">
      <w:pPr>
        <w:adjustRightInd w:val="0"/>
        <w:snapToGrid w:val="0"/>
        <w:spacing w:before="120" w:after="120"/>
        <w:rPr>
          <w:rFonts w:ascii="Arial" w:hAnsi="Arial" w:cs="Arial"/>
          <w:sz w:val="22"/>
          <w:szCs w:val="22"/>
          <w:lang w:val="es-CO"/>
        </w:rPr>
      </w:pPr>
      <w:r w:rsidRPr="005D6E23">
        <w:rPr>
          <w:rFonts w:ascii="Arial" w:hAnsi="Arial" w:cs="Arial"/>
          <w:sz w:val="22"/>
          <w:szCs w:val="22"/>
          <w:lang w:val="es-US"/>
        </w:rPr>
        <w:t>Organización Internacional del Trabajo - OIT (</w:t>
      </w:r>
      <w:r w:rsidRPr="005D6E23">
        <w:rPr>
          <w:rFonts w:ascii="Arial" w:hAnsi="Arial" w:cs="Arial"/>
          <w:sz w:val="22"/>
          <w:szCs w:val="22"/>
          <w:lang w:val="es-CO"/>
        </w:rPr>
        <w:t xml:space="preserve">2020). </w:t>
      </w:r>
      <w:hyperlink r:id="rId34" w:history="1">
        <w:r w:rsidRPr="005D6E23">
          <w:rPr>
            <w:rStyle w:val="Hyperlink"/>
            <w:rFonts w:ascii="Arial" w:hAnsi="Arial" w:cs="Arial"/>
            <w:sz w:val="22"/>
            <w:szCs w:val="22"/>
            <w:lang w:val="es-CO"/>
          </w:rPr>
          <w:t>https://www.ilo.org/wcmsp5/groups/public/---dgreports/---comm/documents/briefingnote/wcms_740981.pdf</w:t>
        </w:r>
      </w:hyperlink>
    </w:p>
    <w:p w14:paraId="32B336D9" w14:textId="77777777" w:rsidR="00CD6E73" w:rsidRPr="005D6E23" w:rsidRDefault="00CD6E73" w:rsidP="00CD1ED9">
      <w:pPr>
        <w:adjustRightInd w:val="0"/>
        <w:snapToGrid w:val="0"/>
        <w:rPr>
          <w:rFonts w:ascii="Arial" w:hAnsi="Arial" w:cs="Arial"/>
          <w:sz w:val="22"/>
          <w:szCs w:val="22"/>
          <w:lang w:eastAsia="es-ES_tradnl"/>
        </w:rPr>
      </w:pPr>
      <w:r w:rsidRPr="005D6E23">
        <w:rPr>
          <w:rFonts w:ascii="Arial" w:hAnsi="Arial" w:cs="Arial"/>
          <w:sz w:val="22"/>
          <w:szCs w:val="22"/>
          <w:lang w:eastAsia="es-ES_tradnl"/>
        </w:rPr>
        <w:t xml:space="preserve">ONU MUJERES. (2017). </w:t>
      </w:r>
      <w:r w:rsidRPr="005D6E23">
        <w:rPr>
          <w:rFonts w:ascii="Arial" w:hAnsi="Arial" w:cs="Arial"/>
          <w:i/>
          <w:iCs/>
          <w:sz w:val="22"/>
          <w:szCs w:val="22"/>
          <w:lang w:eastAsia="es-ES_tradnl"/>
        </w:rPr>
        <w:t>El progreso de las mujeres en América Latina y el Caribe 2017. Transformar las economías para realizar los derechos.</w:t>
      </w:r>
      <w:r w:rsidRPr="005D6E23">
        <w:rPr>
          <w:rFonts w:ascii="Arial" w:hAnsi="Arial" w:cs="Arial"/>
          <w:sz w:val="22"/>
          <w:szCs w:val="22"/>
          <w:lang w:eastAsia="es-ES_tradnl"/>
        </w:rPr>
        <w:t xml:space="preserve"> </w:t>
      </w:r>
    </w:p>
    <w:p w14:paraId="45784215" w14:textId="3E5257F4" w:rsidR="00DE61A9" w:rsidRPr="005D6E23" w:rsidRDefault="00DE61A9" w:rsidP="00CD1ED9">
      <w:pPr>
        <w:adjustRightInd w:val="0"/>
        <w:snapToGrid w:val="0"/>
        <w:spacing w:before="120" w:after="120"/>
        <w:rPr>
          <w:rFonts w:ascii="Arial" w:hAnsi="Arial" w:cs="Arial"/>
          <w:sz w:val="22"/>
          <w:szCs w:val="22"/>
          <w:lang w:val="es-US"/>
        </w:rPr>
      </w:pPr>
      <w:r w:rsidRPr="005D6E23">
        <w:rPr>
          <w:rFonts w:ascii="Arial" w:hAnsi="Arial" w:cs="Arial"/>
          <w:sz w:val="22"/>
          <w:szCs w:val="22"/>
          <w:lang w:val="es-US"/>
        </w:rPr>
        <w:t xml:space="preserve">ONU Mujeres (2020). </w:t>
      </w:r>
      <w:r w:rsidRPr="005D6E23">
        <w:rPr>
          <w:rFonts w:ascii="Arial" w:hAnsi="Arial" w:cs="Arial"/>
          <w:i/>
          <w:iCs/>
          <w:sz w:val="22"/>
          <w:szCs w:val="22"/>
          <w:lang w:val="es-US"/>
        </w:rPr>
        <w:t>Covid-19 en América Latina y el Caribe: Cómo incorporar a las mujeres y la igualdad de género en la gestión de la respuesta a la crisis</w:t>
      </w:r>
      <w:r w:rsidRPr="005D6E23">
        <w:rPr>
          <w:rFonts w:ascii="Arial" w:hAnsi="Arial" w:cs="Arial"/>
          <w:sz w:val="22"/>
          <w:szCs w:val="22"/>
          <w:lang w:val="es-US"/>
        </w:rPr>
        <w:t xml:space="preserve">. BRIEF v 1.1. 17.03.2020 </w:t>
      </w:r>
    </w:p>
    <w:p w14:paraId="7473888F" w14:textId="226BE402" w:rsidR="00CD6E73" w:rsidRPr="005D6E23" w:rsidRDefault="00CD6E73" w:rsidP="00CD1ED9">
      <w:pPr>
        <w:adjustRightInd w:val="0"/>
        <w:snapToGrid w:val="0"/>
        <w:spacing w:before="120" w:after="120"/>
        <w:rPr>
          <w:rFonts w:ascii="Arial" w:hAnsi="Arial" w:cs="Arial"/>
          <w:sz w:val="22"/>
          <w:szCs w:val="22"/>
        </w:rPr>
      </w:pPr>
      <w:r w:rsidRPr="005D6E23">
        <w:rPr>
          <w:rFonts w:ascii="Arial" w:hAnsi="Arial" w:cs="Arial"/>
          <w:sz w:val="22"/>
          <w:szCs w:val="22"/>
          <w:lang w:val="es-US"/>
        </w:rPr>
        <w:t xml:space="preserve">ONU Mujeres (2020). Recuperado el 26 de abril de 2020. </w:t>
      </w:r>
      <w:hyperlink r:id="rId35" w:anchor="notes" w:history="1">
        <w:r w:rsidRPr="005D6E23">
          <w:rPr>
            <w:rStyle w:val="Hyperlink"/>
            <w:rFonts w:ascii="Arial" w:hAnsi="Arial" w:cs="Arial"/>
            <w:sz w:val="22"/>
            <w:szCs w:val="22"/>
          </w:rPr>
          <w:t>https://www.unwomen.org/es/what-we-do/economic-empowerment/facts-and-figures#notes</w:t>
        </w:r>
      </w:hyperlink>
    </w:p>
    <w:p w14:paraId="318BFC51" w14:textId="77777777" w:rsidR="00DE61A9" w:rsidRPr="005D6E23" w:rsidRDefault="00DE61A9" w:rsidP="00CD1ED9">
      <w:pPr>
        <w:adjustRightInd w:val="0"/>
        <w:snapToGrid w:val="0"/>
        <w:spacing w:before="120" w:after="120"/>
        <w:rPr>
          <w:rFonts w:ascii="Arial" w:hAnsi="Arial" w:cs="Arial"/>
          <w:sz w:val="22"/>
          <w:szCs w:val="22"/>
          <w:lang w:val="es-US"/>
        </w:rPr>
      </w:pPr>
      <w:r w:rsidRPr="005D6E23">
        <w:rPr>
          <w:rFonts w:ascii="Arial" w:hAnsi="Arial" w:cs="Arial"/>
          <w:sz w:val="22"/>
          <w:szCs w:val="22"/>
          <w:lang w:val="es-US"/>
        </w:rPr>
        <w:t xml:space="preserve">Piras Claudia (2020). </w:t>
      </w:r>
      <w:r w:rsidRPr="005D6E23">
        <w:rPr>
          <w:rFonts w:ascii="Arial" w:hAnsi="Arial" w:cs="Arial"/>
          <w:i/>
          <w:iCs/>
          <w:sz w:val="22"/>
          <w:szCs w:val="22"/>
          <w:lang w:val="es-US"/>
        </w:rPr>
        <w:t>Las mujeres en América Latina y el Caribe enfrentan mayores riesgos ante el Coronavirus.</w:t>
      </w:r>
      <w:r w:rsidRPr="005D6E23">
        <w:rPr>
          <w:rFonts w:ascii="Arial" w:hAnsi="Arial" w:cs="Arial"/>
          <w:sz w:val="22"/>
          <w:szCs w:val="22"/>
          <w:lang w:val="es-US"/>
        </w:rPr>
        <w:t xml:space="preserve"> Blog ¿Y si hablamos de Igualdad? Banco Interamericano de Desarrollo. Washington DC.</w:t>
      </w:r>
    </w:p>
    <w:p w14:paraId="53B7384F" w14:textId="3F3ADD7E" w:rsidR="00C728F0" w:rsidRPr="005D6E23" w:rsidRDefault="00C728F0" w:rsidP="00CD1ED9">
      <w:pPr>
        <w:adjustRightInd w:val="0"/>
        <w:snapToGrid w:val="0"/>
        <w:spacing w:before="120" w:after="120"/>
        <w:rPr>
          <w:rFonts w:ascii="Arial" w:hAnsi="Arial" w:cs="Arial"/>
          <w:sz w:val="22"/>
          <w:szCs w:val="22"/>
          <w:lang w:val="es-US"/>
        </w:rPr>
      </w:pPr>
      <w:r w:rsidRPr="005D6E23">
        <w:rPr>
          <w:rFonts w:ascii="Arial" w:hAnsi="Arial" w:cs="Arial"/>
          <w:sz w:val="22"/>
          <w:szCs w:val="22"/>
          <w:lang w:val="es-US"/>
        </w:rPr>
        <w:t xml:space="preserve">Programa de las Naciones Unidas para el Desarrollo-PNUD (2017). </w:t>
      </w:r>
      <w:r w:rsidR="00CD6E73" w:rsidRPr="005D6E23">
        <w:rPr>
          <w:rFonts w:ascii="Arial" w:hAnsi="Arial" w:cs="Arial"/>
          <w:i/>
          <w:iCs/>
          <w:sz w:val="22"/>
          <w:szCs w:val="22"/>
          <w:lang w:val="es-US"/>
        </w:rPr>
        <w:t>Visión 2030: Poblaciones Excluidas en Co</w:t>
      </w:r>
      <w:r w:rsidRPr="005D6E23">
        <w:rPr>
          <w:rFonts w:ascii="Arial" w:hAnsi="Arial" w:cs="Arial"/>
          <w:i/>
          <w:iCs/>
          <w:sz w:val="22"/>
          <w:szCs w:val="22"/>
          <w:lang w:val="es-US"/>
        </w:rPr>
        <w:t>s</w:t>
      </w:r>
      <w:r w:rsidR="00CD6E73" w:rsidRPr="005D6E23">
        <w:rPr>
          <w:rFonts w:ascii="Arial" w:hAnsi="Arial" w:cs="Arial"/>
          <w:i/>
          <w:iCs/>
          <w:sz w:val="22"/>
          <w:szCs w:val="22"/>
          <w:lang w:val="es-US"/>
        </w:rPr>
        <w:t xml:space="preserve">ta Rica. No dejar a nadie atrás. </w:t>
      </w:r>
      <w:r w:rsidRPr="005D6E23">
        <w:rPr>
          <w:rFonts w:ascii="Arial" w:hAnsi="Arial" w:cs="Arial"/>
          <w:i/>
          <w:iCs/>
          <w:sz w:val="22"/>
          <w:szCs w:val="22"/>
          <w:lang w:val="es-US"/>
        </w:rPr>
        <w:t xml:space="preserve"> </w:t>
      </w:r>
      <w:hyperlink r:id="rId36" w:history="1">
        <w:r w:rsidRPr="005D6E23">
          <w:rPr>
            <w:rStyle w:val="Hyperlink"/>
            <w:rFonts w:ascii="Arial" w:hAnsi="Arial" w:cs="Arial"/>
            <w:sz w:val="22"/>
            <w:szCs w:val="22"/>
            <w:lang w:val="es-US"/>
          </w:rPr>
          <w:t>https://www.undp.org/content/dam/rblac/docs/Research%20and%20Publications/Repository/CostaRica/UNDP-RBLAC-Visi%C3%B3n2030CR.pdf</w:t>
        </w:r>
      </w:hyperlink>
    </w:p>
    <w:p w14:paraId="728E4A36" w14:textId="01A4AAEF" w:rsidR="002B5C3C" w:rsidRPr="005D6E23" w:rsidRDefault="002B5C3C" w:rsidP="00881950">
      <w:pPr>
        <w:adjustRightInd w:val="0"/>
        <w:snapToGrid w:val="0"/>
        <w:spacing w:before="120" w:after="120"/>
        <w:rPr>
          <w:rFonts w:ascii="Arial" w:hAnsi="Arial" w:cs="Arial"/>
          <w:sz w:val="22"/>
          <w:szCs w:val="22"/>
          <w:lang w:val="es-CO"/>
        </w:rPr>
      </w:pPr>
      <w:r w:rsidRPr="005D6E23">
        <w:rPr>
          <w:rFonts w:ascii="Arial" w:hAnsi="Arial" w:cs="Arial"/>
          <w:sz w:val="22"/>
          <w:szCs w:val="22"/>
          <w:lang w:val="es-CO"/>
        </w:rPr>
        <w:t>SUGEF</w:t>
      </w:r>
      <w:r w:rsidR="00881950" w:rsidRPr="005D6E23">
        <w:rPr>
          <w:rFonts w:ascii="Arial" w:hAnsi="Arial" w:cs="Arial"/>
          <w:sz w:val="22"/>
          <w:szCs w:val="22"/>
          <w:lang w:val="es-CO"/>
        </w:rPr>
        <w:t>,</w:t>
      </w:r>
      <w:r w:rsidRPr="005D6E23">
        <w:rPr>
          <w:rFonts w:ascii="Arial" w:hAnsi="Arial" w:cs="Arial"/>
          <w:sz w:val="22"/>
          <w:szCs w:val="22"/>
          <w:lang w:val="es-CO"/>
        </w:rPr>
        <w:t xml:space="preserve"> INAMU </w:t>
      </w:r>
      <w:r w:rsidR="00881950" w:rsidRPr="005D6E23">
        <w:rPr>
          <w:rFonts w:ascii="Arial" w:hAnsi="Arial" w:cs="Arial"/>
          <w:sz w:val="22"/>
          <w:szCs w:val="22"/>
          <w:lang w:val="es-CO"/>
        </w:rPr>
        <w:t xml:space="preserve">y Banca para el Desarrollo (2019) </w:t>
      </w:r>
      <w:r w:rsidR="00881950" w:rsidRPr="005D6E23">
        <w:rPr>
          <w:rFonts w:ascii="Arial" w:hAnsi="Arial" w:cs="Arial"/>
          <w:i/>
          <w:iCs/>
          <w:sz w:val="22"/>
          <w:szCs w:val="22"/>
          <w:lang w:val="es-CO"/>
        </w:rPr>
        <w:t xml:space="preserve">Informe de brechas entre hombres y mujeres en el acceso y uso del sistema financiero en Costa Rica </w:t>
      </w:r>
      <w:hyperlink r:id="rId37" w:history="1">
        <w:r w:rsidR="00881950" w:rsidRPr="005D6E23">
          <w:rPr>
            <w:rStyle w:val="Hyperlink"/>
            <w:rFonts w:ascii="Arial" w:hAnsi="Arial" w:cs="Arial"/>
            <w:sz w:val="22"/>
            <w:szCs w:val="22"/>
            <w:lang w:val="es-CO"/>
          </w:rPr>
          <w:t>https://www.sugef.fi.cr/informacion_relevante/informe%20brechas%20de%20genero/Informe%20Brechas%20Financieras%20SUGEF%20INAMU%20SBD.pdf</w:t>
        </w:r>
      </w:hyperlink>
    </w:p>
    <w:p w14:paraId="4F6D224B" w14:textId="77777777" w:rsidR="00CD6E73" w:rsidRPr="005D6E23" w:rsidRDefault="00CD6E73" w:rsidP="00CD1ED9">
      <w:pPr>
        <w:adjustRightInd w:val="0"/>
        <w:snapToGrid w:val="0"/>
        <w:spacing w:before="120" w:after="120"/>
        <w:rPr>
          <w:rFonts w:ascii="Arial" w:hAnsi="Arial" w:cs="Arial"/>
          <w:sz w:val="22"/>
          <w:szCs w:val="22"/>
          <w:lang w:val="es-CO"/>
        </w:rPr>
      </w:pPr>
    </w:p>
    <w:sectPr w:rsidR="00CD6E73" w:rsidRPr="005D6E23" w:rsidSect="005D6E23">
      <w:footerReference w:type="even" r:id="rId38"/>
      <w:footerReference w:type="default" r:id="rId39"/>
      <w:pgSz w:w="12240" w:h="15840"/>
      <w:pgMar w:top="1417" w:right="1530" w:bottom="126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A38E6" w14:textId="77777777" w:rsidR="00FA3588" w:rsidRDefault="00FA3588" w:rsidP="008D5DE6">
      <w:r>
        <w:separator/>
      </w:r>
    </w:p>
  </w:endnote>
  <w:endnote w:type="continuationSeparator" w:id="0">
    <w:p w14:paraId="3E127C8A" w14:textId="77777777" w:rsidR="00FA3588" w:rsidRDefault="00FA3588" w:rsidP="008D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3309045"/>
      <w:docPartObj>
        <w:docPartGallery w:val="Page Numbers (Bottom of Page)"/>
        <w:docPartUnique/>
      </w:docPartObj>
    </w:sdtPr>
    <w:sdtEndPr>
      <w:rPr>
        <w:rStyle w:val="PageNumber"/>
      </w:rPr>
    </w:sdtEndPr>
    <w:sdtContent>
      <w:p w14:paraId="36241C66" w14:textId="77777777" w:rsidR="00416CE4" w:rsidRDefault="00416CE4" w:rsidP="003333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62339F" w14:textId="77777777" w:rsidR="00416CE4" w:rsidRDefault="00416CE4" w:rsidP="008D5D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7996063"/>
      <w:docPartObj>
        <w:docPartGallery w:val="Page Numbers (Bottom of Page)"/>
        <w:docPartUnique/>
      </w:docPartObj>
    </w:sdtPr>
    <w:sdtEndPr>
      <w:rPr>
        <w:rStyle w:val="PageNumber"/>
      </w:rPr>
    </w:sdtEndPr>
    <w:sdtContent>
      <w:p w14:paraId="72FFFF78" w14:textId="77777777" w:rsidR="00416CE4" w:rsidRDefault="00416CE4" w:rsidP="003333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F8A444" w14:textId="77777777" w:rsidR="00416CE4" w:rsidRDefault="00416CE4" w:rsidP="008D5D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864CE" w14:textId="77777777" w:rsidR="00FA3588" w:rsidRDefault="00FA3588" w:rsidP="008D5DE6">
      <w:r>
        <w:separator/>
      </w:r>
    </w:p>
  </w:footnote>
  <w:footnote w:type="continuationSeparator" w:id="0">
    <w:p w14:paraId="7C1CA255" w14:textId="77777777" w:rsidR="00FA3588" w:rsidRDefault="00FA3588" w:rsidP="008D5DE6">
      <w:r>
        <w:continuationSeparator/>
      </w:r>
    </w:p>
  </w:footnote>
  <w:footnote w:id="1">
    <w:p w14:paraId="5C49BC2D" w14:textId="77777777" w:rsidR="00416CE4" w:rsidRPr="005D6E23" w:rsidRDefault="00416CE4" w:rsidP="005D6E23">
      <w:pPr>
        <w:pStyle w:val="FootnoteText"/>
        <w:jc w:val="both"/>
        <w:rPr>
          <w:rStyle w:val="QuoteChar"/>
          <w:rFonts w:ascii="Arial" w:hAnsi="Arial" w:cs="Arial"/>
          <w:i w:val="0"/>
          <w:iCs w:val="0"/>
          <w:sz w:val="18"/>
          <w:szCs w:val="18"/>
        </w:rPr>
      </w:pPr>
      <w:r w:rsidRPr="005D6E23">
        <w:rPr>
          <w:rStyle w:val="FootnoteReference"/>
          <w:rFonts w:ascii="Arial" w:hAnsi="Arial" w:cs="Arial"/>
          <w:sz w:val="18"/>
          <w:szCs w:val="18"/>
        </w:rPr>
        <w:footnoteRef/>
      </w:r>
      <w:r w:rsidRPr="005D6E23">
        <w:rPr>
          <w:rFonts w:ascii="Arial" w:hAnsi="Arial" w:cs="Arial"/>
          <w:sz w:val="18"/>
          <w:szCs w:val="18"/>
        </w:rPr>
        <w:t xml:space="preserve"> </w:t>
      </w:r>
      <w:r w:rsidRPr="005D6E23">
        <w:rPr>
          <w:rStyle w:val="QuoteChar"/>
          <w:rFonts w:ascii="Arial" w:hAnsi="Arial" w:cs="Arial"/>
          <w:i w:val="0"/>
          <w:iCs w:val="0"/>
          <w:sz w:val="18"/>
          <w:szCs w:val="18"/>
        </w:rPr>
        <w:t>Una persona subempleada es las que trabaja menos de 40 horas por semana, pero quiere trabajar más y está disponible para hacerlo.</w:t>
      </w:r>
    </w:p>
  </w:footnote>
  <w:footnote w:id="2">
    <w:p w14:paraId="206EE088" w14:textId="77777777" w:rsidR="00665BE5" w:rsidRPr="00C10416" w:rsidRDefault="00665BE5" w:rsidP="005D6E23">
      <w:pPr>
        <w:pStyle w:val="FootnoteText"/>
        <w:jc w:val="both"/>
        <w:rPr>
          <w:rStyle w:val="QuoteChar"/>
          <w:rFonts w:ascii="Arial" w:hAnsi="Arial" w:cs="Times New Roman"/>
          <w:szCs w:val="16"/>
        </w:rPr>
      </w:pPr>
      <w:r w:rsidRPr="005D6E23">
        <w:rPr>
          <w:rStyle w:val="FootnoteReference"/>
          <w:rFonts w:ascii="Arial" w:hAnsi="Arial" w:cs="Arial"/>
          <w:sz w:val="18"/>
          <w:szCs w:val="18"/>
        </w:rPr>
        <w:footnoteRef/>
      </w:r>
      <w:r w:rsidRPr="005D6E23">
        <w:rPr>
          <w:rFonts w:ascii="Arial" w:hAnsi="Arial" w:cs="Arial"/>
          <w:sz w:val="18"/>
          <w:szCs w:val="18"/>
        </w:rPr>
        <w:t xml:space="preserve"> </w:t>
      </w:r>
      <w:r w:rsidRPr="005D6E23">
        <w:rPr>
          <w:rStyle w:val="QuoteChar"/>
          <w:rFonts w:ascii="Arial" w:hAnsi="Arial" w:cs="Arial"/>
          <w:i w:val="0"/>
          <w:iCs w:val="0"/>
          <w:sz w:val="18"/>
          <w:szCs w:val="18"/>
        </w:rPr>
        <w:t>En Costa Rica el 85% de la población se autocalifica como blanco o mestizo, hay un 1.1% de población afrodescendiente, 6.9% de población mulata, 2.5% de población indígena y el restante se reparte en personas de origen chino (Censo, INEC, 2011).</w:t>
      </w:r>
      <w:r w:rsidRPr="005D6E23">
        <w:rPr>
          <w:rStyle w:val="QuoteChar"/>
          <w:sz w:val="18"/>
          <w:szCs w:val="18"/>
        </w:rPr>
        <w:t xml:space="preserve"> </w:t>
      </w:r>
    </w:p>
  </w:footnote>
  <w:footnote w:id="3">
    <w:p w14:paraId="6CA910FA" w14:textId="77777777" w:rsidR="00416CE4" w:rsidRPr="005D6E23" w:rsidRDefault="00416CE4" w:rsidP="00377DD7">
      <w:pPr>
        <w:pStyle w:val="FootnoteText"/>
        <w:rPr>
          <w:rStyle w:val="QuoteChar"/>
          <w:rFonts w:ascii="Arial" w:hAnsi="Arial" w:cs="Arial"/>
          <w:szCs w:val="16"/>
          <w:lang w:val="es-AR"/>
        </w:rPr>
      </w:pPr>
      <w:r w:rsidRPr="005D6E23">
        <w:rPr>
          <w:rStyle w:val="FootnoteReference"/>
          <w:rFonts w:ascii="Arial" w:hAnsi="Arial" w:cs="Arial"/>
          <w:i/>
          <w:iCs/>
          <w:sz w:val="18"/>
          <w:szCs w:val="18"/>
        </w:rPr>
        <w:footnoteRef/>
      </w:r>
      <w:r w:rsidRPr="005D6E23">
        <w:rPr>
          <w:rFonts w:ascii="Arial" w:hAnsi="Arial" w:cs="Arial"/>
          <w:i/>
          <w:iCs/>
          <w:sz w:val="18"/>
          <w:szCs w:val="18"/>
        </w:rPr>
        <w:t xml:space="preserve"> </w:t>
      </w:r>
      <w:r w:rsidRPr="005D6E23">
        <w:rPr>
          <w:rStyle w:val="QuoteChar"/>
          <w:rFonts w:ascii="Arial" w:hAnsi="Arial" w:cs="Arial"/>
          <w:sz w:val="18"/>
          <w:szCs w:val="18"/>
        </w:rPr>
        <w:t>Definida por el Ministerio de Educación Pública como un subsistema del sistema educativo formal, que representa una alternativa de formación integral, para aquellas mujeres y hombres que desean incorporarse al campo laboral.</w:t>
      </w:r>
    </w:p>
  </w:footnote>
  <w:footnote w:id="4">
    <w:p w14:paraId="16F851B8" w14:textId="77777777" w:rsidR="00DD00D4" w:rsidRPr="005D6E23" w:rsidRDefault="00DD00D4" w:rsidP="00DD00D4">
      <w:pPr>
        <w:pStyle w:val="FootnoteText"/>
        <w:jc w:val="both"/>
        <w:rPr>
          <w:rFonts w:ascii="Arial" w:hAnsi="Arial" w:cs="Arial"/>
          <w:sz w:val="18"/>
          <w:szCs w:val="18"/>
          <w:lang w:val="es-CO"/>
        </w:rPr>
      </w:pPr>
      <w:r w:rsidRPr="005D6E23">
        <w:rPr>
          <w:rStyle w:val="FootnoteReference"/>
          <w:rFonts w:ascii="Arial" w:hAnsi="Arial" w:cs="Arial"/>
          <w:sz w:val="18"/>
          <w:szCs w:val="18"/>
        </w:rPr>
        <w:footnoteRef/>
      </w:r>
      <w:r w:rsidRPr="005D6E23">
        <w:rPr>
          <w:rFonts w:ascii="Arial" w:hAnsi="Arial" w:cs="Arial"/>
          <w:sz w:val="18"/>
          <w:szCs w:val="18"/>
        </w:rPr>
        <w:t xml:space="preserve"> </w:t>
      </w:r>
      <w:r w:rsidRPr="005D6E23">
        <w:rPr>
          <w:rFonts w:ascii="Arial" w:eastAsia="Times New Roman" w:hAnsi="Arial" w:cs="Arial"/>
          <w:sz w:val="18"/>
          <w:szCs w:val="18"/>
          <w:lang w:val="es-US" w:eastAsia="es-ES_tradnl"/>
        </w:rPr>
        <w:t>La evaluación de impacto del Programa Juventud y Empleo en la República Dominicana muestra que las mujeres que participaron en el programa han reducido en un 20% sus probabilidades de quedar embarazadas. También se evidenció un cambio en sus expectativas frente a la vida, gracias a un fortalecimiento de sus habilidades socioemocionales: mayor autoestima, mejor capacidad para planear y tomar las riendas de su futuro, y más organización fuera y dentro del trabajo.</w:t>
      </w:r>
    </w:p>
  </w:footnote>
  <w:footnote w:id="5">
    <w:p w14:paraId="7BD40AC5" w14:textId="5211F572" w:rsidR="00B51301" w:rsidRPr="00B51301" w:rsidRDefault="00B51301" w:rsidP="00B51301">
      <w:pPr>
        <w:pStyle w:val="FootnoteText"/>
        <w:jc w:val="both"/>
        <w:rPr>
          <w:lang w:val="es-CO"/>
        </w:rPr>
      </w:pPr>
      <w:r w:rsidRPr="005D6E23">
        <w:rPr>
          <w:rStyle w:val="FootnoteReference"/>
          <w:rFonts w:ascii="Arial" w:hAnsi="Arial" w:cs="Arial"/>
          <w:sz w:val="18"/>
          <w:szCs w:val="18"/>
        </w:rPr>
        <w:footnoteRef/>
      </w:r>
      <w:r w:rsidRPr="005D6E23">
        <w:rPr>
          <w:rFonts w:ascii="Arial" w:hAnsi="Arial" w:cs="Arial"/>
          <w:sz w:val="18"/>
          <w:szCs w:val="18"/>
        </w:rPr>
        <w:t xml:space="preserve"> </w:t>
      </w:r>
      <w:r w:rsidRPr="005D6E23">
        <w:rPr>
          <w:rFonts w:ascii="Arial" w:hAnsi="Arial" w:cs="Arial"/>
          <w:sz w:val="18"/>
          <w:szCs w:val="18"/>
          <w:lang w:val="es-CO"/>
        </w:rPr>
        <w:t>Sin embargo, es importante notar que cada una de las problemáticas que se presentan en este Anexo no podrán ser abordadas en el marco de la operación, por lo cual será importante prestar atención a los esfuerzos adicionales que se puedan implementar para resolverlas. Para los temas de género, en particular, se abordarán las mismas en el marco del trabajo de la Iniciativa de Paridad de Género de Costa Rica. Y esfuerzos del gobierno con la REDCUDI también aportaran para el cierre de brechas aquí mencionadas.</w:t>
      </w:r>
      <w:r>
        <w:rPr>
          <w:lang w:val="es-C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603C"/>
    <w:multiLevelType w:val="hybridMultilevel"/>
    <w:tmpl w:val="EF44A1BA"/>
    <w:lvl w:ilvl="0" w:tplc="DB26E3B4">
      <w:start w:val="1"/>
      <w:numFmt w:val="upperRoman"/>
      <w:lvlText w:val="%1."/>
      <w:lvlJc w:val="left"/>
      <w:pPr>
        <w:ind w:left="1080" w:hanging="720"/>
      </w:pPr>
      <w:rPr>
        <w:rFonts w:ascii="Arial" w:eastAsiaTheme="minorHAnsi" w:hAnsi="Arial" w:cs="Arial"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E7538"/>
    <w:multiLevelType w:val="multilevel"/>
    <w:tmpl w:val="4F9222B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B25F0"/>
    <w:multiLevelType w:val="multilevel"/>
    <w:tmpl w:val="3C08562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34699"/>
    <w:multiLevelType w:val="multilevel"/>
    <w:tmpl w:val="5F8E267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8F307F"/>
    <w:multiLevelType w:val="multilevel"/>
    <w:tmpl w:val="50B0ED9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FB13A4"/>
    <w:multiLevelType w:val="hybridMultilevel"/>
    <w:tmpl w:val="64B4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D4648"/>
    <w:multiLevelType w:val="multilevel"/>
    <w:tmpl w:val="E1C26A9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D16111"/>
    <w:multiLevelType w:val="hybridMultilevel"/>
    <w:tmpl w:val="4CA4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B3D01"/>
    <w:multiLevelType w:val="hybridMultilevel"/>
    <w:tmpl w:val="3170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00D3B"/>
    <w:multiLevelType w:val="multilevel"/>
    <w:tmpl w:val="727EA70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623365"/>
    <w:multiLevelType w:val="hybridMultilevel"/>
    <w:tmpl w:val="C234BD64"/>
    <w:styleLink w:val="Estiloimportado1"/>
    <w:lvl w:ilvl="0" w:tplc="3CB6A38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568B500">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9FE28C4">
      <w:start w:val="1"/>
      <w:numFmt w:val="lowerRoman"/>
      <w:lvlText w:val="%3."/>
      <w:lvlJc w:val="left"/>
      <w:pPr>
        <w:ind w:left="1866" w:hanging="382"/>
      </w:pPr>
      <w:rPr>
        <w:rFonts w:hAnsi="Arial Unicode MS"/>
        <w:caps w:val="0"/>
        <w:smallCaps w:val="0"/>
        <w:strike w:val="0"/>
        <w:dstrike w:val="0"/>
        <w:outline w:val="0"/>
        <w:emboss w:val="0"/>
        <w:imprint w:val="0"/>
        <w:spacing w:val="0"/>
        <w:w w:val="100"/>
        <w:kern w:val="0"/>
        <w:position w:val="0"/>
        <w:highlight w:val="none"/>
        <w:vertAlign w:val="baseline"/>
      </w:rPr>
    </w:lvl>
    <w:lvl w:ilvl="3" w:tplc="5672B34A">
      <w:start w:val="1"/>
      <w:numFmt w:val="decimal"/>
      <w:lvlText w:val="%4."/>
      <w:lvlJc w:val="left"/>
      <w:pPr>
        <w:ind w:left="2586"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D0222544">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9449FC2">
      <w:start w:val="1"/>
      <w:numFmt w:val="lowerRoman"/>
      <w:lvlText w:val="%6."/>
      <w:lvlJc w:val="left"/>
      <w:pPr>
        <w:ind w:left="4026" w:hanging="381"/>
      </w:pPr>
      <w:rPr>
        <w:rFonts w:hAnsi="Arial Unicode MS"/>
        <w:caps w:val="0"/>
        <w:smallCaps w:val="0"/>
        <w:strike w:val="0"/>
        <w:dstrike w:val="0"/>
        <w:outline w:val="0"/>
        <w:emboss w:val="0"/>
        <w:imprint w:val="0"/>
        <w:spacing w:val="0"/>
        <w:w w:val="100"/>
        <w:kern w:val="0"/>
        <w:position w:val="0"/>
        <w:highlight w:val="none"/>
        <w:vertAlign w:val="baseline"/>
      </w:rPr>
    </w:lvl>
    <w:lvl w:ilvl="6" w:tplc="5D38C30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E6C3334">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ADCD188">
      <w:start w:val="1"/>
      <w:numFmt w:val="lowerRoman"/>
      <w:lvlText w:val="%9."/>
      <w:lvlJc w:val="left"/>
      <w:pPr>
        <w:ind w:left="6186" w:hanging="3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A587855"/>
    <w:multiLevelType w:val="multilevel"/>
    <w:tmpl w:val="43462E6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235375"/>
    <w:multiLevelType w:val="hybridMultilevel"/>
    <w:tmpl w:val="E65E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913ED"/>
    <w:multiLevelType w:val="multilevel"/>
    <w:tmpl w:val="2DBA9AF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4E7943"/>
    <w:multiLevelType w:val="multilevel"/>
    <w:tmpl w:val="83524350"/>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697567"/>
    <w:multiLevelType w:val="multilevel"/>
    <w:tmpl w:val="6304FD2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6B2F28E5"/>
    <w:multiLevelType w:val="hybridMultilevel"/>
    <w:tmpl w:val="A11E96AE"/>
    <w:lvl w:ilvl="0" w:tplc="EA4C29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F714EE"/>
    <w:multiLevelType w:val="multilevel"/>
    <w:tmpl w:val="3690B6D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4E3538"/>
    <w:multiLevelType w:val="multilevel"/>
    <w:tmpl w:val="EB861DC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12"/>
  </w:num>
  <w:num w:numId="4">
    <w:abstractNumId w:val="5"/>
  </w:num>
  <w:num w:numId="5">
    <w:abstractNumId w:val="7"/>
  </w:num>
  <w:num w:numId="6">
    <w:abstractNumId w:val="8"/>
  </w:num>
  <w:num w:numId="7">
    <w:abstractNumId w:val="9"/>
  </w:num>
  <w:num w:numId="8">
    <w:abstractNumId w:val="1"/>
  </w:num>
  <w:num w:numId="9">
    <w:abstractNumId w:val="14"/>
  </w:num>
  <w:num w:numId="10">
    <w:abstractNumId w:val="18"/>
  </w:num>
  <w:num w:numId="11">
    <w:abstractNumId w:val="4"/>
  </w:num>
  <w:num w:numId="12">
    <w:abstractNumId w:val="13"/>
  </w:num>
  <w:num w:numId="13">
    <w:abstractNumId w:val="11"/>
  </w:num>
  <w:num w:numId="14">
    <w:abstractNumId w:val="6"/>
  </w:num>
  <w:num w:numId="15">
    <w:abstractNumId w:val="3"/>
  </w:num>
  <w:num w:numId="16">
    <w:abstractNumId w:val="17"/>
  </w:num>
  <w:num w:numId="17">
    <w:abstractNumId w:val="15"/>
  </w:num>
  <w:num w:numId="18">
    <w:abstractNumId w:val="2"/>
  </w:num>
  <w:num w:numId="1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E7"/>
    <w:rsid w:val="000036E7"/>
    <w:rsid w:val="00006B96"/>
    <w:rsid w:val="000112C8"/>
    <w:rsid w:val="000237CE"/>
    <w:rsid w:val="0002651E"/>
    <w:rsid w:val="00031070"/>
    <w:rsid w:val="00031F0E"/>
    <w:rsid w:val="000325FD"/>
    <w:rsid w:val="00035920"/>
    <w:rsid w:val="00054E25"/>
    <w:rsid w:val="00057F90"/>
    <w:rsid w:val="000610F7"/>
    <w:rsid w:val="00065994"/>
    <w:rsid w:val="000A1C6C"/>
    <w:rsid w:val="000C1CC3"/>
    <w:rsid w:val="000C1D4C"/>
    <w:rsid w:val="000C36F8"/>
    <w:rsid w:val="000C770B"/>
    <w:rsid w:val="000D1933"/>
    <w:rsid w:val="000E36D9"/>
    <w:rsid w:val="000E388C"/>
    <w:rsid w:val="000E46A4"/>
    <w:rsid w:val="000F4682"/>
    <w:rsid w:val="000F4D87"/>
    <w:rsid w:val="00104BDD"/>
    <w:rsid w:val="00117F5A"/>
    <w:rsid w:val="001446C8"/>
    <w:rsid w:val="0017001A"/>
    <w:rsid w:val="001808ED"/>
    <w:rsid w:val="00194FA6"/>
    <w:rsid w:val="00195830"/>
    <w:rsid w:val="00195935"/>
    <w:rsid w:val="001A7AE9"/>
    <w:rsid w:val="001B2178"/>
    <w:rsid w:val="0020186D"/>
    <w:rsid w:val="00210FFE"/>
    <w:rsid w:val="0023270C"/>
    <w:rsid w:val="0023768C"/>
    <w:rsid w:val="00243C93"/>
    <w:rsid w:val="00251AEC"/>
    <w:rsid w:val="00255C5B"/>
    <w:rsid w:val="00274428"/>
    <w:rsid w:val="002B5C3C"/>
    <w:rsid w:val="002C0485"/>
    <w:rsid w:val="002D50E0"/>
    <w:rsid w:val="002F7849"/>
    <w:rsid w:val="0030382C"/>
    <w:rsid w:val="003117C8"/>
    <w:rsid w:val="00316F79"/>
    <w:rsid w:val="003171D9"/>
    <w:rsid w:val="00321184"/>
    <w:rsid w:val="00327642"/>
    <w:rsid w:val="003333E2"/>
    <w:rsid w:val="00346554"/>
    <w:rsid w:val="00353A0C"/>
    <w:rsid w:val="00355F56"/>
    <w:rsid w:val="00360008"/>
    <w:rsid w:val="003617D1"/>
    <w:rsid w:val="00377DD7"/>
    <w:rsid w:val="00387919"/>
    <w:rsid w:val="00397400"/>
    <w:rsid w:val="003A76E6"/>
    <w:rsid w:val="003B55E7"/>
    <w:rsid w:val="003D1976"/>
    <w:rsid w:val="003D551B"/>
    <w:rsid w:val="003F7BD9"/>
    <w:rsid w:val="00400410"/>
    <w:rsid w:val="00404DFF"/>
    <w:rsid w:val="00405D0E"/>
    <w:rsid w:val="0041104B"/>
    <w:rsid w:val="00416CE4"/>
    <w:rsid w:val="0042119A"/>
    <w:rsid w:val="00427AB1"/>
    <w:rsid w:val="00430679"/>
    <w:rsid w:val="00437B7B"/>
    <w:rsid w:val="004423F0"/>
    <w:rsid w:val="00455B80"/>
    <w:rsid w:val="00455FA6"/>
    <w:rsid w:val="0047437E"/>
    <w:rsid w:val="00494892"/>
    <w:rsid w:val="004A18D0"/>
    <w:rsid w:val="004A64D2"/>
    <w:rsid w:val="004B07F2"/>
    <w:rsid w:val="004B71DA"/>
    <w:rsid w:val="004D246D"/>
    <w:rsid w:val="004E511B"/>
    <w:rsid w:val="004F74AB"/>
    <w:rsid w:val="00501344"/>
    <w:rsid w:val="005123DC"/>
    <w:rsid w:val="0051240F"/>
    <w:rsid w:val="005350A7"/>
    <w:rsid w:val="00537960"/>
    <w:rsid w:val="00541CC8"/>
    <w:rsid w:val="00552178"/>
    <w:rsid w:val="0056312A"/>
    <w:rsid w:val="00586930"/>
    <w:rsid w:val="005D6E23"/>
    <w:rsid w:val="005E336A"/>
    <w:rsid w:val="005E45A1"/>
    <w:rsid w:val="006021F9"/>
    <w:rsid w:val="006039FA"/>
    <w:rsid w:val="00616701"/>
    <w:rsid w:val="00622FF2"/>
    <w:rsid w:val="00624779"/>
    <w:rsid w:val="00625A43"/>
    <w:rsid w:val="00626AAC"/>
    <w:rsid w:val="006372F1"/>
    <w:rsid w:val="006404CB"/>
    <w:rsid w:val="006408AD"/>
    <w:rsid w:val="00656C1E"/>
    <w:rsid w:val="0066447E"/>
    <w:rsid w:val="00665BE5"/>
    <w:rsid w:val="00670B6F"/>
    <w:rsid w:val="00672081"/>
    <w:rsid w:val="006816CF"/>
    <w:rsid w:val="00686718"/>
    <w:rsid w:val="006870C4"/>
    <w:rsid w:val="00687142"/>
    <w:rsid w:val="00687767"/>
    <w:rsid w:val="00694FF6"/>
    <w:rsid w:val="006963DE"/>
    <w:rsid w:val="00697606"/>
    <w:rsid w:val="006B359B"/>
    <w:rsid w:val="006C2F2D"/>
    <w:rsid w:val="006C7D08"/>
    <w:rsid w:val="006E7250"/>
    <w:rsid w:val="006F4C4D"/>
    <w:rsid w:val="00702C72"/>
    <w:rsid w:val="00710C24"/>
    <w:rsid w:val="00711427"/>
    <w:rsid w:val="007219BB"/>
    <w:rsid w:val="00733457"/>
    <w:rsid w:val="00734F77"/>
    <w:rsid w:val="007611C3"/>
    <w:rsid w:val="0076403B"/>
    <w:rsid w:val="00767FF7"/>
    <w:rsid w:val="00772136"/>
    <w:rsid w:val="007733E3"/>
    <w:rsid w:val="0077723B"/>
    <w:rsid w:val="00783D3C"/>
    <w:rsid w:val="0079564B"/>
    <w:rsid w:val="007A39E3"/>
    <w:rsid w:val="007B0DA6"/>
    <w:rsid w:val="007B2E6B"/>
    <w:rsid w:val="007D2C71"/>
    <w:rsid w:val="007D467E"/>
    <w:rsid w:val="007E1C48"/>
    <w:rsid w:val="007E3A49"/>
    <w:rsid w:val="007F0B25"/>
    <w:rsid w:val="007F6ED3"/>
    <w:rsid w:val="008013FB"/>
    <w:rsid w:val="00805AD1"/>
    <w:rsid w:val="008163A5"/>
    <w:rsid w:val="00835476"/>
    <w:rsid w:val="00842667"/>
    <w:rsid w:val="008454FA"/>
    <w:rsid w:val="00854AAE"/>
    <w:rsid w:val="00854FCA"/>
    <w:rsid w:val="00865524"/>
    <w:rsid w:val="00881950"/>
    <w:rsid w:val="008A2A03"/>
    <w:rsid w:val="008D1B4C"/>
    <w:rsid w:val="008D5DE6"/>
    <w:rsid w:val="008E0D47"/>
    <w:rsid w:val="008F2511"/>
    <w:rsid w:val="008F764F"/>
    <w:rsid w:val="009062B4"/>
    <w:rsid w:val="009073EC"/>
    <w:rsid w:val="00911E77"/>
    <w:rsid w:val="00924FDD"/>
    <w:rsid w:val="00925FD6"/>
    <w:rsid w:val="009310A3"/>
    <w:rsid w:val="00931436"/>
    <w:rsid w:val="00933A2C"/>
    <w:rsid w:val="009735D8"/>
    <w:rsid w:val="009928F0"/>
    <w:rsid w:val="009A0802"/>
    <w:rsid w:val="009A7482"/>
    <w:rsid w:val="009B55CA"/>
    <w:rsid w:val="009B7C89"/>
    <w:rsid w:val="009E0431"/>
    <w:rsid w:val="009E53B1"/>
    <w:rsid w:val="009F01D4"/>
    <w:rsid w:val="00A07C3E"/>
    <w:rsid w:val="00A2077A"/>
    <w:rsid w:val="00A2596E"/>
    <w:rsid w:val="00A25BFA"/>
    <w:rsid w:val="00A26EAD"/>
    <w:rsid w:val="00A52FBB"/>
    <w:rsid w:val="00A702BD"/>
    <w:rsid w:val="00A77AD4"/>
    <w:rsid w:val="00A8495D"/>
    <w:rsid w:val="00A87A2D"/>
    <w:rsid w:val="00AB6FA3"/>
    <w:rsid w:val="00AC390A"/>
    <w:rsid w:val="00AD42E2"/>
    <w:rsid w:val="00AD4C27"/>
    <w:rsid w:val="00AE306A"/>
    <w:rsid w:val="00B0261B"/>
    <w:rsid w:val="00B117C5"/>
    <w:rsid w:val="00B310A6"/>
    <w:rsid w:val="00B40550"/>
    <w:rsid w:val="00B50D91"/>
    <w:rsid w:val="00B51301"/>
    <w:rsid w:val="00B678C3"/>
    <w:rsid w:val="00B83546"/>
    <w:rsid w:val="00B92B3B"/>
    <w:rsid w:val="00B975A9"/>
    <w:rsid w:val="00BC2F31"/>
    <w:rsid w:val="00BC6D7D"/>
    <w:rsid w:val="00BD68A2"/>
    <w:rsid w:val="00C30E6A"/>
    <w:rsid w:val="00C3160F"/>
    <w:rsid w:val="00C31921"/>
    <w:rsid w:val="00C33038"/>
    <w:rsid w:val="00C350B1"/>
    <w:rsid w:val="00C37CD8"/>
    <w:rsid w:val="00C45CAF"/>
    <w:rsid w:val="00C53FEF"/>
    <w:rsid w:val="00C610B7"/>
    <w:rsid w:val="00C61627"/>
    <w:rsid w:val="00C728F0"/>
    <w:rsid w:val="00C85D72"/>
    <w:rsid w:val="00C94F8A"/>
    <w:rsid w:val="00CA2989"/>
    <w:rsid w:val="00CA4F83"/>
    <w:rsid w:val="00CC205A"/>
    <w:rsid w:val="00CD0456"/>
    <w:rsid w:val="00CD1ED9"/>
    <w:rsid w:val="00CD629B"/>
    <w:rsid w:val="00CD6E73"/>
    <w:rsid w:val="00CE5A30"/>
    <w:rsid w:val="00CF4FF5"/>
    <w:rsid w:val="00D01BFC"/>
    <w:rsid w:val="00D16A68"/>
    <w:rsid w:val="00D22F5C"/>
    <w:rsid w:val="00D23BDB"/>
    <w:rsid w:val="00D24761"/>
    <w:rsid w:val="00D4183D"/>
    <w:rsid w:val="00D517E8"/>
    <w:rsid w:val="00D57CCE"/>
    <w:rsid w:val="00D61955"/>
    <w:rsid w:val="00D63EF9"/>
    <w:rsid w:val="00D748FC"/>
    <w:rsid w:val="00D91CE0"/>
    <w:rsid w:val="00DA42BF"/>
    <w:rsid w:val="00DC68EF"/>
    <w:rsid w:val="00DD00D4"/>
    <w:rsid w:val="00DD1AEF"/>
    <w:rsid w:val="00DE5EBF"/>
    <w:rsid w:val="00DE61A9"/>
    <w:rsid w:val="00DF6DD1"/>
    <w:rsid w:val="00DF7E78"/>
    <w:rsid w:val="00E239AD"/>
    <w:rsid w:val="00E274F7"/>
    <w:rsid w:val="00E31E16"/>
    <w:rsid w:val="00E46F6E"/>
    <w:rsid w:val="00E55C62"/>
    <w:rsid w:val="00E65EC0"/>
    <w:rsid w:val="00E800A9"/>
    <w:rsid w:val="00E86255"/>
    <w:rsid w:val="00E94759"/>
    <w:rsid w:val="00E961C6"/>
    <w:rsid w:val="00EA40D9"/>
    <w:rsid w:val="00ED45B6"/>
    <w:rsid w:val="00EE283A"/>
    <w:rsid w:val="00EE4D94"/>
    <w:rsid w:val="00EE56FA"/>
    <w:rsid w:val="00EF7415"/>
    <w:rsid w:val="00EF78F0"/>
    <w:rsid w:val="00F0213E"/>
    <w:rsid w:val="00F10957"/>
    <w:rsid w:val="00F14161"/>
    <w:rsid w:val="00F17DEB"/>
    <w:rsid w:val="00F238DF"/>
    <w:rsid w:val="00F274B7"/>
    <w:rsid w:val="00F36FCE"/>
    <w:rsid w:val="00F371A9"/>
    <w:rsid w:val="00F42029"/>
    <w:rsid w:val="00F52262"/>
    <w:rsid w:val="00F60857"/>
    <w:rsid w:val="00F82BE2"/>
    <w:rsid w:val="00F8752D"/>
    <w:rsid w:val="00F913DD"/>
    <w:rsid w:val="00FA3588"/>
    <w:rsid w:val="00FB226A"/>
    <w:rsid w:val="00FB50A6"/>
    <w:rsid w:val="00FC2C1E"/>
    <w:rsid w:val="00FC3CAC"/>
    <w:rsid w:val="00FC5DFF"/>
    <w:rsid w:val="00FD3DF3"/>
    <w:rsid w:val="00FE3B4A"/>
    <w:rsid w:val="00FE4824"/>
    <w:rsid w:val="00FE79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F712E"/>
  <w14:defaultImageDpi w14:val="32767"/>
  <w15:chartTrackingRefBased/>
  <w15:docId w15:val="{B0F6B57A-AD1E-7042-BBE0-CD87B3385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21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16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61A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E61A9"/>
    <w:pPr>
      <w:keepNext/>
      <w:keepLines/>
      <w:spacing w:before="200"/>
      <w:outlineLvl w:val="3"/>
    </w:pPr>
    <w:rPr>
      <w:rFonts w:asciiTheme="majorHAnsi" w:eastAsiaTheme="majorEastAsia" w:hAnsiTheme="majorHAnsi" w:cstheme="majorBidi"/>
      <w:b/>
      <w:bCs/>
      <w:i/>
      <w:iCs/>
      <w:color w:val="4472C4" w:themeColor="accent1"/>
      <w:lang w:val="es-MX"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13E"/>
    <w:rPr>
      <w:rFonts w:asciiTheme="majorHAnsi" w:eastAsiaTheme="majorEastAsia" w:hAnsiTheme="majorHAnsi" w:cstheme="majorBidi"/>
      <w:color w:val="2F5496" w:themeColor="accent1" w:themeShade="BF"/>
      <w:sz w:val="32"/>
      <w:szCs w:val="32"/>
    </w:rPr>
  </w:style>
  <w:style w:type="paragraph" w:styleId="ListParagraph">
    <w:name w:val="List Paragraph"/>
    <w:aliases w:val="List Bullet Mary,Numbered List Paragraph,Bullet paras,Heading 1.1,List Paragraph (numbered (a)),Use Case List Paragraph,Bullets,ANNEX,List Paragraph1,List Paragraph2,List Paragraph Char Char Char,Main numbered paragraph,References"/>
    <w:basedOn w:val="Normal"/>
    <w:link w:val="ListParagraphChar"/>
    <w:uiPriority w:val="34"/>
    <w:qFormat/>
    <w:rsid w:val="00C94F8A"/>
    <w:pPr>
      <w:ind w:left="720"/>
      <w:contextualSpacing/>
    </w:pPr>
  </w:style>
  <w:style w:type="character" w:styleId="Hyperlink">
    <w:name w:val="Hyperlink"/>
    <w:basedOn w:val="DefaultParagraphFont"/>
    <w:uiPriority w:val="99"/>
    <w:unhideWhenUsed/>
    <w:rsid w:val="00D61955"/>
    <w:rPr>
      <w:color w:val="0563C1" w:themeColor="hyperlink"/>
      <w:u w:val="single"/>
    </w:rPr>
  </w:style>
  <w:style w:type="character" w:styleId="UnresolvedMention">
    <w:name w:val="Unresolved Mention"/>
    <w:basedOn w:val="DefaultParagraphFont"/>
    <w:uiPriority w:val="99"/>
    <w:rsid w:val="00D61955"/>
    <w:rPr>
      <w:color w:val="605E5C"/>
      <w:shd w:val="clear" w:color="auto" w:fill="E1DFDD"/>
    </w:rPr>
  </w:style>
  <w:style w:type="paragraph" w:styleId="NormalWeb">
    <w:name w:val="Normal (Web)"/>
    <w:basedOn w:val="Normal"/>
    <w:uiPriority w:val="99"/>
    <w:semiHidden/>
    <w:unhideWhenUsed/>
    <w:rsid w:val="00D61955"/>
    <w:rPr>
      <w:rFonts w:ascii="Times New Roman" w:hAnsi="Times New Roman" w:cs="Times New Roman"/>
    </w:rPr>
  </w:style>
  <w:style w:type="character" w:customStyle="1" w:styleId="Heading2Char">
    <w:name w:val="Heading 2 Char"/>
    <w:basedOn w:val="DefaultParagraphFont"/>
    <w:link w:val="Heading2"/>
    <w:uiPriority w:val="9"/>
    <w:rsid w:val="00C3160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D91CE0"/>
    <w:rPr>
      <w:color w:val="954F72" w:themeColor="followedHyperlink"/>
      <w:u w:val="single"/>
    </w:rPr>
  </w:style>
  <w:style w:type="paragraph" w:styleId="Footer">
    <w:name w:val="footer"/>
    <w:basedOn w:val="Normal"/>
    <w:link w:val="FooterChar"/>
    <w:uiPriority w:val="99"/>
    <w:unhideWhenUsed/>
    <w:rsid w:val="008D5DE6"/>
    <w:pPr>
      <w:tabs>
        <w:tab w:val="center" w:pos="4419"/>
        <w:tab w:val="right" w:pos="8838"/>
      </w:tabs>
    </w:pPr>
  </w:style>
  <w:style w:type="character" w:customStyle="1" w:styleId="FooterChar">
    <w:name w:val="Footer Char"/>
    <w:basedOn w:val="DefaultParagraphFont"/>
    <w:link w:val="Footer"/>
    <w:uiPriority w:val="99"/>
    <w:rsid w:val="008D5DE6"/>
  </w:style>
  <w:style w:type="character" w:styleId="PageNumber">
    <w:name w:val="page number"/>
    <w:basedOn w:val="DefaultParagraphFont"/>
    <w:uiPriority w:val="99"/>
    <w:semiHidden/>
    <w:unhideWhenUsed/>
    <w:rsid w:val="008D5DE6"/>
  </w:style>
  <w:style w:type="table" w:styleId="TableGrid">
    <w:name w:val="Table Grid"/>
    <w:basedOn w:val="TableNormal"/>
    <w:uiPriority w:val="39"/>
    <w:rsid w:val="00672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7E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7E78"/>
    <w:rPr>
      <w:rFonts w:ascii="Times New Roman" w:hAnsi="Times New Roman" w:cs="Times New Roman"/>
      <w:sz w:val="18"/>
      <w:szCs w:val="18"/>
    </w:rPr>
  </w:style>
  <w:style w:type="character" w:styleId="CommentReference">
    <w:name w:val="annotation reference"/>
    <w:basedOn w:val="DefaultParagraphFont"/>
    <w:uiPriority w:val="99"/>
    <w:unhideWhenUsed/>
    <w:rsid w:val="00360008"/>
    <w:rPr>
      <w:sz w:val="16"/>
      <w:szCs w:val="16"/>
    </w:rPr>
  </w:style>
  <w:style w:type="paragraph" w:styleId="CommentText">
    <w:name w:val="annotation text"/>
    <w:basedOn w:val="Normal"/>
    <w:link w:val="CommentTextChar"/>
    <w:unhideWhenUsed/>
    <w:rsid w:val="00360008"/>
    <w:rPr>
      <w:sz w:val="20"/>
      <w:szCs w:val="20"/>
    </w:rPr>
  </w:style>
  <w:style w:type="character" w:customStyle="1" w:styleId="CommentTextChar">
    <w:name w:val="Comment Text Char"/>
    <w:basedOn w:val="DefaultParagraphFont"/>
    <w:link w:val="CommentText"/>
    <w:rsid w:val="00360008"/>
    <w:rPr>
      <w:sz w:val="20"/>
      <w:szCs w:val="20"/>
    </w:rPr>
  </w:style>
  <w:style w:type="paragraph" w:styleId="CommentSubject">
    <w:name w:val="annotation subject"/>
    <w:basedOn w:val="CommentText"/>
    <w:next w:val="CommentText"/>
    <w:link w:val="CommentSubjectChar"/>
    <w:uiPriority w:val="99"/>
    <w:semiHidden/>
    <w:unhideWhenUsed/>
    <w:rsid w:val="00360008"/>
    <w:rPr>
      <w:b/>
      <w:bCs/>
    </w:rPr>
  </w:style>
  <w:style w:type="character" w:customStyle="1" w:styleId="CommentSubjectChar">
    <w:name w:val="Comment Subject Char"/>
    <w:basedOn w:val="CommentTextChar"/>
    <w:link w:val="CommentSubject"/>
    <w:uiPriority w:val="99"/>
    <w:semiHidden/>
    <w:rsid w:val="00360008"/>
    <w:rPr>
      <w:b/>
      <w:bCs/>
      <w:sz w:val="20"/>
      <w:szCs w:val="20"/>
    </w:rPr>
  </w:style>
  <w:style w:type="paragraph" w:styleId="Caption">
    <w:name w:val="caption"/>
    <w:basedOn w:val="Normal"/>
    <w:next w:val="Normal"/>
    <w:uiPriority w:val="35"/>
    <w:unhideWhenUsed/>
    <w:qFormat/>
    <w:rsid w:val="00F10957"/>
    <w:pPr>
      <w:spacing w:after="200"/>
    </w:pPr>
    <w:rPr>
      <w:rFonts w:ascii="Arial" w:eastAsia="Times New Roman" w:hAnsi="Arial" w:cs="Times New Roman"/>
      <w:i/>
      <w:iCs/>
      <w:color w:val="4472C4" w:themeColor="accent1"/>
      <w:sz w:val="18"/>
      <w:szCs w:val="18"/>
      <w:lang w:val="es-MX" w:eastAsia="es-ES_tradnl"/>
    </w:rPr>
  </w:style>
  <w:style w:type="paragraph" w:styleId="Bibliography">
    <w:name w:val="Bibliography"/>
    <w:basedOn w:val="Normal"/>
    <w:next w:val="Normal"/>
    <w:uiPriority w:val="37"/>
    <w:unhideWhenUsed/>
    <w:rsid w:val="0047437E"/>
    <w:pPr>
      <w:spacing w:after="160" w:line="259" w:lineRule="auto"/>
    </w:pPr>
    <w:rPr>
      <w:rFonts w:ascii="Times New Roman" w:hAnsi="Times New Roman"/>
      <w:szCs w:val="22"/>
      <w:lang w:val="es-CR"/>
    </w:rPr>
  </w:style>
  <w:style w:type="paragraph" w:styleId="FootnoteText">
    <w:name w:val="footnote text"/>
    <w:aliases w:val="fn,footnote,Footnote Text Char Char Char,Footnote Text Char Char Char Char Char Char Char,Footnote Text Char Char Char Char Char,Footnote Text Char Char Char Char Char Char,Footnote Text Char Char Char Char Ch Char,foottextfra,F,ADB,ft,FN"/>
    <w:basedOn w:val="Normal"/>
    <w:link w:val="FootnoteTextChar"/>
    <w:uiPriority w:val="99"/>
    <w:unhideWhenUsed/>
    <w:qFormat/>
    <w:rsid w:val="00C45CAF"/>
    <w:rPr>
      <w:sz w:val="20"/>
      <w:szCs w:val="20"/>
    </w:rPr>
  </w:style>
  <w:style w:type="character" w:customStyle="1" w:styleId="FootnoteTextChar">
    <w:name w:val="Footnote Text Char"/>
    <w:aliases w:val="fn Char,footnote Char,Footnote Text Char Char Char Char,Footnote Text Char Char Char Char Char Char Char Char,Footnote Text Char Char Char Char Char Char1,Footnote Text Char Char Char Char Char Char Char1,foottextfra Char,F Char"/>
    <w:basedOn w:val="DefaultParagraphFont"/>
    <w:link w:val="FootnoteText"/>
    <w:uiPriority w:val="99"/>
    <w:rsid w:val="00C45CAF"/>
    <w:rPr>
      <w:sz w:val="20"/>
      <w:szCs w:val="20"/>
    </w:rPr>
  </w:style>
  <w:style w:type="character" w:styleId="FootnoteReference">
    <w:name w:val="footnote reference"/>
    <w:aliases w:val="Style 24,titulo 2,pie pddes,Ref. de nota al pie.,FC,ftref,Знак сноски-FN,Ref,de nota al pie,16 Point,Superscript 6 Point,Fußnotenzeichen DISS,BVI fnr,Знак сноски 1,referencia nota al pie,Footnote Referencefra, BVI fnr,BVI fnr Car Car"/>
    <w:basedOn w:val="DefaultParagraphFont"/>
    <w:link w:val="Char2"/>
    <w:uiPriority w:val="99"/>
    <w:unhideWhenUsed/>
    <w:qFormat/>
    <w:rsid w:val="00C45CAF"/>
    <w:rPr>
      <w:vertAlign w:val="superscript"/>
    </w:rPr>
  </w:style>
  <w:style w:type="paragraph" w:customStyle="1" w:styleId="Default">
    <w:name w:val="Default"/>
    <w:rsid w:val="0017001A"/>
    <w:pPr>
      <w:autoSpaceDE w:val="0"/>
      <w:autoSpaceDN w:val="0"/>
      <w:adjustRightInd w:val="0"/>
    </w:pPr>
    <w:rPr>
      <w:rFonts w:ascii="Arial" w:hAnsi="Arial" w:cs="Arial"/>
      <w:color w:val="000000"/>
      <w:lang w:val="es-CR"/>
    </w:rPr>
  </w:style>
  <w:style w:type="character" w:styleId="Emphasis">
    <w:name w:val="Emphasis"/>
    <w:basedOn w:val="DefaultParagraphFont"/>
    <w:uiPriority w:val="20"/>
    <w:qFormat/>
    <w:rsid w:val="002F7849"/>
    <w:rPr>
      <w:i/>
      <w:iCs/>
    </w:rPr>
  </w:style>
  <w:style w:type="character" w:customStyle="1" w:styleId="apple-converted-space">
    <w:name w:val="apple-converted-space"/>
    <w:basedOn w:val="DefaultParagraphFont"/>
    <w:rsid w:val="002F7849"/>
  </w:style>
  <w:style w:type="numbering" w:customStyle="1" w:styleId="Estiloimportado1">
    <w:name w:val="Estilo importado 1"/>
    <w:rsid w:val="009F01D4"/>
    <w:pPr>
      <w:numPr>
        <w:numId w:val="1"/>
      </w:numPr>
    </w:pPr>
  </w:style>
  <w:style w:type="paragraph" w:styleId="PlainText">
    <w:name w:val="Plain Text"/>
    <w:basedOn w:val="Normal"/>
    <w:link w:val="PlainTextChar"/>
    <w:uiPriority w:val="99"/>
    <w:unhideWhenUsed/>
    <w:rsid w:val="00F14161"/>
    <w:rPr>
      <w:rFonts w:ascii="Calibri" w:hAnsi="Calibri"/>
      <w:sz w:val="22"/>
      <w:szCs w:val="21"/>
      <w:lang w:val="en-US"/>
    </w:rPr>
  </w:style>
  <w:style w:type="character" w:customStyle="1" w:styleId="PlainTextChar">
    <w:name w:val="Plain Text Char"/>
    <w:basedOn w:val="DefaultParagraphFont"/>
    <w:link w:val="PlainText"/>
    <w:uiPriority w:val="99"/>
    <w:rsid w:val="00F14161"/>
    <w:rPr>
      <w:rFonts w:ascii="Calibri" w:hAnsi="Calibri"/>
      <w:sz w:val="22"/>
      <w:szCs w:val="21"/>
      <w:lang w:val="en-US"/>
    </w:rPr>
  </w:style>
  <w:style w:type="paragraph" w:customStyle="1" w:styleId="Newpage">
    <w:name w:val="Newpage"/>
    <w:basedOn w:val="Normal"/>
    <w:rsid w:val="00EE56FA"/>
    <w:pPr>
      <w:keepNext/>
      <w:tabs>
        <w:tab w:val="num" w:pos="1800"/>
        <w:tab w:val="left" w:pos="3060"/>
      </w:tabs>
      <w:spacing w:before="240"/>
      <w:jc w:val="center"/>
    </w:pPr>
    <w:rPr>
      <w:rFonts w:ascii="Times New Roman" w:eastAsia="Times New Roman" w:hAnsi="Times New Roman" w:cs="Times New Roman"/>
      <w:b/>
      <w:smallCaps/>
      <w:szCs w:val="20"/>
      <w:lang w:val="es-ES"/>
    </w:rPr>
  </w:style>
  <w:style w:type="paragraph" w:customStyle="1" w:styleId="Char2">
    <w:name w:val="Char2"/>
    <w:basedOn w:val="Normal"/>
    <w:link w:val="FootnoteReference"/>
    <w:uiPriority w:val="99"/>
    <w:rsid w:val="00EE56FA"/>
    <w:pPr>
      <w:spacing w:after="160" w:line="240" w:lineRule="exact"/>
    </w:pPr>
    <w:rPr>
      <w:vertAlign w:val="superscript"/>
    </w:rPr>
  </w:style>
  <w:style w:type="character" w:customStyle="1" w:styleId="ListParagraphChar">
    <w:name w:val="List Paragraph Char"/>
    <w:aliases w:val="List Bullet Mary Char,Numbered List Paragraph Char,Bullet paras Char,Heading 1.1 Char,List Paragraph (numbered (a)) Char,Use Case List Paragraph Char,Bullets Char,ANNEX Char,List Paragraph1 Char,List Paragraph2 Char,References Char"/>
    <w:basedOn w:val="DefaultParagraphFont"/>
    <w:link w:val="ListParagraph"/>
    <w:uiPriority w:val="34"/>
    <w:rsid w:val="00EE56FA"/>
  </w:style>
  <w:style w:type="character" w:customStyle="1" w:styleId="Heading3Char">
    <w:name w:val="Heading 3 Char"/>
    <w:basedOn w:val="DefaultParagraphFont"/>
    <w:link w:val="Heading3"/>
    <w:uiPriority w:val="9"/>
    <w:rsid w:val="00DE61A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DE61A9"/>
    <w:rPr>
      <w:rFonts w:asciiTheme="majorHAnsi" w:eastAsiaTheme="majorEastAsia" w:hAnsiTheme="majorHAnsi" w:cstheme="majorBidi"/>
      <w:b/>
      <w:bCs/>
      <w:i/>
      <w:iCs/>
      <w:color w:val="4472C4" w:themeColor="accent1"/>
      <w:lang w:val="es-MX" w:eastAsia="es-ES_tradnl"/>
    </w:rPr>
  </w:style>
  <w:style w:type="paragraph" w:styleId="TOC1">
    <w:name w:val="toc 1"/>
    <w:basedOn w:val="Normal"/>
    <w:next w:val="Normal"/>
    <w:autoRedefine/>
    <w:uiPriority w:val="39"/>
    <w:unhideWhenUsed/>
    <w:rsid w:val="00DE61A9"/>
    <w:pPr>
      <w:tabs>
        <w:tab w:val="right" w:pos="8828"/>
      </w:tabs>
      <w:adjustRightInd w:val="0"/>
      <w:snapToGrid w:val="0"/>
      <w:spacing w:before="120" w:after="120"/>
    </w:pPr>
    <w:rPr>
      <w:rFonts w:asciiTheme="majorHAnsi" w:hAnsiTheme="majorHAnsi" w:cstheme="majorHAnsi"/>
      <w:b/>
      <w:bCs/>
      <w:caps/>
      <w:lang w:val="es-ES"/>
    </w:rPr>
  </w:style>
  <w:style w:type="paragraph" w:styleId="TOC2">
    <w:name w:val="toc 2"/>
    <w:basedOn w:val="Normal"/>
    <w:next w:val="Normal"/>
    <w:autoRedefine/>
    <w:uiPriority w:val="39"/>
    <w:unhideWhenUsed/>
    <w:rsid w:val="00DE61A9"/>
    <w:pPr>
      <w:tabs>
        <w:tab w:val="right" w:pos="8828"/>
      </w:tabs>
      <w:adjustRightInd w:val="0"/>
      <w:snapToGrid w:val="0"/>
      <w:spacing w:before="120" w:after="120"/>
    </w:pPr>
    <w:rPr>
      <w:rFonts w:cstheme="minorHAnsi"/>
      <w:b/>
      <w:bCs/>
      <w:sz w:val="18"/>
      <w:szCs w:val="20"/>
      <w:lang w:val="es-ES"/>
    </w:rPr>
  </w:style>
  <w:style w:type="paragraph" w:styleId="TOC3">
    <w:name w:val="toc 3"/>
    <w:basedOn w:val="Normal"/>
    <w:next w:val="Normal"/>
    <w:autoRedefine/>
    <w:uiPriority w:val="39"/>
    <w:unhideWhenUsed/>
    <w:rsid w:val="00DE61A9"/>
    <w:pPr>
      <w:tabs>
        <w:tab w:val="right" w:pos="8828"/>
      </w:tabs>
      <w:adjustRightInd w:val="0"/>
      <w:snapToGrid w:val="0"/>
      <w:spacing w:before="120" w:after="120"/>
      <w:ind w:left="200"/>
    </w:pPr>
    <w:rPr>
      <w:rFonts w:cstheme="minorHAnsi"/>
      <w:sz w:val="18"/>
      <w:szCs w:val="20"/>
      <w:lang w:val="es-ES"/>
    </w:rPr>
  </w:style>
  <w:style w:type="paragraph" w:styleId="TOC4">
    <w:name w:val="toc 4"/>
    <w:basedOn w:val="Normal"/>
    <w:next w:val="Normal"/>
    <w:autoRedefine/>
    <w:uiPriority w:val="39"/>
    <w:unhideWhenUsed/>
    <w:rsid w:val="00DE61A9"/>
    <w:pPr>
      <w:spacing w:line="276" w:lineRule="auto"/>
      <w:ind w:left="400"/>
    </w:pPr>
    <w:rPr>
      <w:rFonts w:cstheme="minorHAnsi"/>
      <w:sz w:val="18"/>
      <w:szCs w:val="20"/>
      <w:lang w:val="es-ES"/>
    </w:rPr>
  </w:style>
  <w:style w:type="paragraph" w:styleId="TOC5">
    <w:name w:val="toc 5"/>
    <w:basedOn w:val="Normal"/>
    <w:next w:val="Normal"/>
    <w:autoRedefine/>
    <w:uiPriority w:val="39"/>
    <w:unhideWhenUsed/>
    <w:rsid w:val="00DE61A9"/>
    <w:pPr>
      <w:spacing w:line="276" w:lineRule="auto"/>
      <w:ind w:left="600"/>
    </w:pPr>
    <w:rPr>
      <w:rFonts w:cstheme="minorHAnsi"/>
      <w:sz w:val="18"/>
      <w:szCs w:val="20"/>
      <w:lang w:val="es-ES"/>
    </w:rPr>
  </w:style>
  <w:style w:type="paragraph" w:styleId="TOC6">
    <w:name w:val="toc 6"/>
    <w:basedOn w:val="Normal"/>
    <w:next w:val="Normal"/>
    <w:autoRedefine/>
    <w:uiPriority w:val="39"/>
    <w:unhideWhenUsed/>
    <w:rsid w:val="00DE61A9"/>
    <w:pPr>
      <w:spacing w:line="276" w:lineRule="auto"/>
      <w:ind w:left="800"/>
    </w:pPr>
    <w:rPr>
      <w:rFonts w:cstheme="minorHAnsi"/>
      <w:sz w:val="18"/>
      <w:szCs w:val="20"/>
      <w:lang w:val="es-ES"/>
    </w:rPr>
  </w:style>
  <w:style w:type="paragraph" w:styleId="TOC7">
    <w:name w:val="toc 7"/>
    <w:basedOn w:val="Normal"/>
    <w:next w:val="Normal"/>
    <w:autoRedefine/>
    <w:uiPriority w:val="39"/>
    <w:unhideWhenUsed/>
    <w:rsid w:val="00DE61A9"/>
    <w:pPr>
      <w:spacing w:line="276" w:lineRule="auto"/>
      <w:ind w:left="1000"/>
    </w:pPr>
    <w:rPr>
      <w:rFonts w:cstheme="minorHAnsi"/>
      <w:sz w:val="18"/>
      <w:szCs w:val="20"/>
      <w:lang w:val="es-ES"/>
    </w:rPr>
  </w:style>
  <w:style w:type="paragraph" w:styleId="TOC8">
    <w:name w:val="toc 8"/>
    <w:basedOn w:val="Normal"/>
    <w:next w:val="Normal"/>
    <w:autoRedefine/>
    <w:uiPriority w:val="39"/>
    <w:unhideWhenUsed/>
    <w:rsid w:val="00DE61A9"/>
    <w:pPr>
      <w:spacing w:line="276" w:lineRule="auto"/>
      <w:ind w:left="1200"/>
    </w:pPr>
    <w:rPr>
      <w:rFonts w:cstheme="minorHAnsi"/>
      <w:sz w:val="18"/>
      <w:szCs w:val="20"/>
      <w:lang w:val="es-ES"/>
    </w:rPr>
  </w:style>
  <w:style w:type="paragraph" w:styleId="TOC9">
    <w:name w:val="toc 9"/>
    <w:basedOn w:val="Normal"/>
    <w:next w:val="Normal"/>
    <w:autoRedefine/>
    <w:uiPriority w:val="39"/>
    <w:unhideWhenUsed/>
    <w:rsid w:val="00DE61A9"/>
    <w:pPr>
      <w:spacing w:line="276" w:lineRule="auto"/>
      <w:ind w:left="1400"/>
    </w:pPr>
    <w:rPr>
      <w:rFonts w:cstheme="minorHAnsi"/>
      <w:sz w:val="18"/>
      <w:szCs w:val="20"/>
      <w:lang w:val="es-ES"/>
    </w:rPr>
  </w:style>
  <w:style w:type="paragraph" w:styleId="Quote">
    <w:name w:val="Quote"/>
    <w:basedOn w:val="Normal"/>
    <w:next w:val="Normal"/>
    <w:link w:val="QuoteChar"/>
    <w:uiPriority w:val="29"/>
    <w:qFormat/>
    <w:rsid w:val="00DE61A9"/>
    <w:pPr>
      <w:spacing w:after="200"/>
      <w:jc w:val="both"/>
    </w:pPr>
    <w:rPr>
      <w:i/>
      <w:iCs/>
      <w:color w:val="000000" w:themeColor="text1"/>
      <w:sz w:val="16"/>
      <w:szCs w:val="22"/>
      <w:lang w:val="es-ES"/>
    </w:rPr>
  </w:style>
  <w:style w:type="character" w:customStyle="1" w:styleId="QuoteChar">
    <w:name w:val="Quote Char"/>
    <w:basedOn w:val="DefaultParagraphFont"/>
    <w:link w:val="Quote"/>
    <w:uiPriority w:val="29"/>
    <w:rsid w:val="00DE61A9"/>
    <w:rPr>
      <w:i/>
      <w:iCs/>
      <w:color w:val="000000" w:themeColor="text1"/>
      <w:sz w:val="16"/>
      <w:szCs w:val="22"/>
      <w:lang w:val="es-ES"/>
    </w:rPr>
  </w:style>
  <w:style w:type="paragraph" w:styleId="TOCHeading">
    <w:name w:val="TOC Heading"/>
    <w:basedOn w:val="Heading1"/>
    <w:next w:val="Normal"/>
    <w:uiPriority w:val="39"/>
    <w:semiHidden/>
    <w:unhideWhenUsed/>
    <w:qFormat/>
    <w:rsid w:val="00DE61A9"/>
    <w:pPr>
      <w:spacing w:before="480" w:line="276" w:lineRule="auto"/>
      <w:outlineLvl w:val="9"/>
    </w:pPr>
    <w:rPr>
      <w:rFonts w:ascii="Tw Cen MT" w:hAnsi="Tw Cen MT"/>
      <w:b/>
      <w:bCs/>
      <w:sz w:val="28"/>
      <w:szCs w:val="28"/>
      <w:lang w:val="es-ES"/>
    </w:rPr>
  </w:style>
  <w:style w:type="character" w:styleId="BookTitle">
    <w:name w:val="Book Title"/>
    <w:basedOn w:val="DefaultParagraphFont"/>
    <w:uiPriority w:val="33"/>
    <w:qFormat/>
    <w:rsid w:val="00DE61A9"/>
    <w:rPr>
      <w:b/>
      <w:bCs/>
      <w:smallCaps/>
      <w:spacing w:val="5"/>
    </w:rPr>
  </w:style>
  <w:style w:type="paragraph" w:customStyle="1" w:styleId="Normal1">
    <w:name w:val="Normal1"/>
    <w:rsid w:val="00DE61A9"/>
    <w:pPr>
      <w:spacing w:line="276" w:lineRule="auto"/>
    </w:pPr>
    <w:rPr>
      <w:rFonts w:ascii="Arial" w:eastAsia="Arial" w:hAnsi="Arial" w:cs="Arial"/>
      <w:color w:val="000000"/>
      <w:sz w:val="22"/>
      <w:szCs w:val="20"/>
      <w:lang w:val="en-US" w:eastAsia="es-ES"/>
    </w:rPr>
  </w:style>
  <w:style w:type="paragraph" w:styleId="TableofFigures">
    <w:name w:val="table of figures"/>
    <w:basedOn w:val="Normal"/>
    <w:next w:val="Normal"/>
    <w:uiPriority w:val="99"/>
    <w:unhideWhenUsed/>
    <w:rsid w:val="00DE61A9"/>
    <w:pPr>
      <w:spacing w:line="276" w:lineRule="auto"/>
    </w:pPr>
    <w:rPr>
      <w:sz w:val="18"/>
      <w:szCs w:val="22"/>
      <w:lang w:val="es-ES"/>
    </w:rPr>
  </w:style>
  <w:style w:type="paragraph" w:styleId="Header">
    <w:name w:val="header"/>
    <w:basedOn w:val="Normal"/>
    <w:link w:val="HeaderChar"/>
    <w:uiPriority w:val="99"/>
    <w:unhideWhenUsed/>
    <w:rsid w:val="00DE61A9"/>
    <w:pPr>
      <w:tabs>
        <w:tab w:val="center" w:pos="4252"/>
        <w:tab w:val="right" w:pos="8504"/>
      </w:tabs>
    </w:pPr>
    <w:rPr>
      <w:sz w:val="18"/>
      <w:szCs w:val="22"/>
      <w:lang w:val="es-ES"/>
    </w:rPr>
  </w:style>
  <w:style w:type="character" w:customStyle="1" w:styleId="HeaderChar">
    <w:name w:val="Header Char"/>
    <w:basedOn w:val="DefaultParagraphFont"/>
    <w:link w:val="Header"/>
    <w:uiPriority w:val="99"/>
    <w:rsid w:val="00DE61A9"/>
    <w:rPr>
      <w:sz w:val="18"/>
      <w:szCs w:val="22"/>
      <w:lang w:val="es-ES"/>
    </w:rPr>
  </w:style>
  <w:style w:type="character" w:styleId="IntenseEmphasis">
    <w:name w:val="Intense Emphasis"/>
    <w:basedOn w:val="DefaultParagraphFont"/>
    <w:uiPriority w:val="21"/>
    <w:qFormat/>
    <w:rsid w:val="00DE61A9"/>
    <w:rPr>
      <w:b/>
      <w:bCs/>
      <w:i w:val="0"/>
      <w:iCs/>
      <w:color w:val="ED7D31" w:themeColor="accent2"/>
    </w:rPr>
  </w:style>
  <w:style w:type="paragraph" w:styleId="Revision">
    <w:name w:val="Revision"/>
    <w:hidden/>
    <w:uiPriority w:val="99"/>
    <w:semiHidden/>
    <w:rsid w:val="00DE61A9"/>
    <w:rPr>
      <w:sz w:val="18"/>
      <w:szCs w:val="22"/>
      <w:lang w:val="es-ES"/>
    </w:rPr>
  </w:style>
  <w:style w:type="character" w:customStyle="1" w:styleId="Mencinsinresolver1">
    <w:name w:val="Mención sin resolver1"/>
    <w:basedOn w:val="DefaultParagraphFont"/>
    <w:uiPriority w:val="99"/>
    <w:semiHidden/>
    <w:unhideWhenUsed/>
    <w:rsid w:val="00DE61A9"/>
    <w:rPr>
      <w:color w:val="605E5C"/>
      <w:shd w:val="clear" w:color="auto" w:fill="E1DFDD"/>
    </w:rPr>
  </w:style>
  <w:style w:type="paragraph" w:customStyle="1" w:styleId="TITULO1">
    <w:name w:val="TITULO1"/>
    <w:basedOn w:val="Normal"/>
    <w:qFormat/>
    <w:rsid w:val="00DE61A9"/>
    <w:pPr>
      <w:spacing w:after="100" w:afterAutospacing="1"/>
      <w:contextualSpacing/>
      <w:jc w:val="both"/>
    </w:pPr>
    <w:rPr>
      <w:rFonts w:ascii="Arial" w:eastAsiaTheme="minorEastAsia" w:hAnsi="Arial"/>
      <w:b/>
      <w:color w:val="262626" w:themeColor="text1" w:themeTint="D9"/>
      <w:sz w:val="22"/>
      <w:lang w:val="en-US"/>
    </w:rPr>
  </w:style>
  <w:style w:type="character" w:customStyle="1" w:styleId="normaltextrun">
    <w:name w:val="normaltextrun"/>
    <w:basedOn w:val="DefaultParagraphFont"/>
    <w:rsid w:val="00933A2C"/>
  </w:style>
  <w:style w:type="character" w:customStyle="1" w:styleId="eop">
    <w:name w:val="eop"/>
    <w:basedOn w:val="DefaultParagraphFont"/>
    <w:rsid w:val="00933A2C"/>
  </w:style>
  <w:style w:type="paragraph" w:customStyle="1" w:styleId="paragraph">
    <w:name w:val="paragraph"/>
    <w:basedOn w:val="Normal"/>
    <w:rsid w:val="00933A2C"/>
    <w:pPr>
      <w:spacing w:before="100" w:beforeAutospacing="1" w:after="100" w:afterAutospacing="1"/>
    </w:pPr>
    <w:rPr>
      <w:rFonts w:ascii="Times New Roman" w:eastAsia="Times New Roman" w:hAnsi="Times New Roman" w:cs="Times New Roman"/>
      <w:lang w:val="en-US"/>
    </w:rPr>
  </w:style>
  <w:style w:type="character" w:customStyle="1" w:styleId="textrun">
    <w:name w:val="textrun"/>
    <w:basedOn w:val="DefaultParagraphFont"/>
    <w:rsid w:val="00933A2C"/>
  </w:style>
  <w:style w:type="character" w:customStyle="1" w:styleId="superscript">
    <w:name w:val="superscript"/>
    <w:basedOn w:val="DefaultParagraphFont"/>
    <w:rsid w:val="00EF7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35024">
      <w:bodyDiv w:val="1"/>
      <w:marLeft w:val="0"/>
      <w:marRight w:val="0"/>
      <w:marTop w:val="0"/>
      <w:marBottom w:val="0"/>
      <w:divBdr>
        <w:top w:val="none" w:sz="0" w:space="0" w:color="auto"/>
        <w:left w:val="none" w:sz="0" w:space="0" w:color="auto"/>
        <w:bottom w:val="none" w:sz="0" w:space="0" w:color="auto"/>
        <w:right w:val="none" w:sz="0" w:space="0" w:color="auto"/>
      </w:divBdr>
    </w:div>
    <w:div w:id="76101120">
      <w:bodyDiv w:val="1"/>
      <w:marLeft w:val="0"/>
      <w:marRight w:val="0"/>
      <w:marTop w:val="0"/>
      <w:marBottom w:val="0"/>
      <w:divBdr>
        <w:top w:val="none" w:sz="0" w:space="0" w:color="auto"/>
        <w:left w:val="none" w:sz="0" w:space="0" w:color="auto"/>
        <w:bottom w:val="none" w:sz="0" w:space="0" w:color="auto"/>
        <w:right w:val="none" w:sz="0" w:space="0" w:color="auto"/>
      </w:divBdr>
    </w:div>
    <w:div w:id="79252077">
      <w:bodyDiv w:val="1"/>
      <w:marLeft w:val="0"/>
      <w:marRight w:val="0"/>
      <w:marTop w:val="0"/>
      <w:marBottom w:val="0"/>
      <w:divBdr>
        <w:top w:val="none" w:sz="0" w:space="0" w:color="auto"/>
        <w:left w:val="none" w:sz="0" w:space="0" w:color="auto"/>
        <w:bottom w:val="none" w:sz="0" w:space="0" w:color="auto"/>
        <w:right w:val="none" w:sz="0" w:space="0" w:color="auto"/>
      </w:divBdr>
    </w:div>
    <w:div w:id="131950179">
      <w:bodyDiv w:val="1"/>
      <w:marLeft w:val="0"/>
      <w:marRight w:val="0"/>
      <w:marTop w:val="0"/>
      <w:marBottom w:val="0"/>
      <w:divBdr>
        <w:top w:val="none" w:sz="0" w:space="0" w:color="auto"/>
        <w:left w:val="none" w:sz="0" w:space="0" w:color="auto"/>
        <w:bottom w:val="none" w:sz="0" w:space="0" w:color="auto"/>
        <w:right w:val="none" w:sz="0" w:space="0" w:color="auto"/>
      </w:divBdr>
    </w:div>
    <w:div w:id="149441650">
      <w:bodyDiv w:val="1"/>
      <w:marLeft w:val="0"/>
      <w:marRight w:val="0"/>
      <w:marTop w:val="0"/>
      <w:marBottom w:val="0"/>
      <w:divBdr>
        <w:top w:val="none" w:sz="0" w:space="0" w:color="auto"/>
        <w:left w:val="none" w:sz="0" w:space="0" w:color="auto"/>
        <w:bottom w:val="none" w:sz="0" w:space="0" w:color="auto"/>
        <w:right w:val="none" w:sz="0" w:space="0" w:color="auto"/>
      </w:divBdr>
    </w:div>
    <w:div w:id="150872312">
      <w:bodyDiv w:val="1"/>
      <w:marLeft w:val="0"/>
      <w:marRight w:val="0"/>
      <w:marTop w:val="0"/>
      <w:marBottom w:val="0"/>
      <w:divBdr>
        <w:top w:val="none" w:sz="0" w:space="0" w:color="auto"/>
        <w:left w:val="none" w:sz="0" w:space="0" w:color="auto"/>
        <w:bottom w:val="none" w:sz="0" w:space="0" w:color="auto"/>
        <w:right w:val="none" w:sz="0" w:space="0" w:color="auto"/>
      </w:divBdr>
      <w:divsChild>
        <w:div w:id="1410466603">
          <w:marLeft w:val="0"/>
          <w:marRight w:val="0"/>
          <w:marTop w:val="0"/>
          <w:marBottom w:val="0"/>
          <w:divBdr>
            <w:top w:val="none" w:sz="0" w:space="0" w:color="auto"/>
            <w:left w:val="none" w:sz="0" w:space="0" w:color="auto"/>
            <w:bottom w:val="none" w:sz="0" w:space="0" w:color="auto"/>
            <w:right w:val="none" w:sz="0" w:space="0" w:color="auto"/>
          </w:divBdr>
          <w:divsChild>
            <w:div w:id="231156911">
              <w:marLeft w:val="0"/>
              <w:marRight w:val="0"/>
              <w:marTop w:val="0"/>
              <w:marBottom w:val="0"/>
              <w:divBdr>
                <w:top w:val="none" w:sz="0" w:space="0" w:color="auto"/>
                <w:left w:val="none" w:sz="0" w:space="0" w:color="auto"/>
                <w:bottom w:val="none" w:sz="0" w:space="0" w:color="auto"/>
                <w:right w:val="none" w:sz="0" w:space="0" w:color="auto"/>
              </w:divBdr>
              <w:divsChild>
                <w:div w:id="180167396">
                  <w:marLeft w:val="0"/>
                  <w:marRight w:val="0"/>
                  <w:marTop w:val="0"/>
                  <w:marBottom w:val="0"/>
                  <w:divBdr>
                    <w:top w:val="none" w:sz="0" w:space="0" w:color="auto"/>
                    <w:left w:val="none" w:sz="0" w:space="0" w:color="auto"/>
                    <w:bottom w:val="none" w:sz="0" w:space="0" w:color="auto"/>
                    <w:right w:val="none" w:sz="0" w:space="0" w:color="auto"/>
                  </w:divBdr>
                  <w:divsChild>
                    <w:div w:id="12520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2464">
      <w:bodyDiv w:val="1"/>
      <w:marLeft w:val="0"/>
      <w:marRight w:val="0"/>
      <w:marTop w:val="0"/>
      <w:marBottom w:val="0"/>
      <w:divBdr>
        <w:top w:val="none" w:sz="0" w:space="0" w:color="auto"/>
        <w:left w:val="none" w:sz="0" w:space="0" w:color="auto"/>
        <w:bottom w:val="none" w:sz="0" w:space="0" w:color="auto"/>
        <w:right w:val="none" w:sz="0" w:space="0" w:color="auto"/>
      </w:divBdr>
      <w:divsChild>
        <w:div w:id="17439836">
          <w:marLeft w:val="0"/>
          <w:marRight w:val="0"/>
          <w:marTop w:val="0"/>
          <w:marBottom w:val="0"/>
          <w:divBdr>
            <w:top w:val="none" w:sz="0" w:space="0" w:color="auto"/>
            <w:left w:val="none" w:sz="0" w:space="0" w:color="auto"/>
            <w:bottom w:val="none" w:sz="0" w:space="0" w:color="auto"/>
            <w:right w:val="none" w:sz="0" w:space="0" w:color="auto"/>
          </w:divBdr>
          <w:divsChild>
            <w:div w:id="1014377271">
              <w:marLeft w:val="0"/>
              <w:marRight w:val="0"/>
              <w:marTop w:val="0"/>
              <w:marBottom w:val="0"/>
              <w:divBdr>
                <w:top w:val="none" w:sz="0" w:space="0" w:color="auto"/>
                <w:left w:val="none" w:sz="0" w:space="0" w:color="auto"/>
                <w:bottom w:val="none" w:sz="0" w:space="0" w:color="auto"/>
                <w:right w:val="none" w:sz="0" w:space="0" w:color="auto"/>
              </w:divBdr>
              <w:divsChild>
                <w:div w:id="1543442251">
                  <w:marLeft w:val="0"/>
                  <w:marRight w:val="0"/>
                  <w:marTop w:val="0"/>
                  <w:marBottom w:val="0"/>
                  <w:divBdr>
                    <w:top w:val="none" w:sz="0" w:space="0" w:color="auto"/>
                    <w:left w:val="none" w:sz="0" w:space="0" w:color="auto"/>
                    <w:bottom w:val="none" w:sz="0" w:space="0" w:color="auto"/>
                    <w:right w:val="none" w:sz="0" w:space="0" w:color="auto"/>
                  </w:divBdr>
                  <w:divsChild>
                    <w:div w:id="20487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3186">
      <w:bodyDiv w:val="1"/>
      <w:marLeft w:val="0"/>
      <w:marRight w:val="0"/>
      <w:marTop w:val="0"/>
      <w:marBottom w:val="0"/>
      <w:divBdr>
        <w:top w:val="none" w:sz="0" w:space="0" w:color="auto"/>
        <w:left w:val="none" w:sz="0" w:space="0" w:color="auto"/>
        <w:bottom w:val="none" w:sz="0" w:space="0" w:color="auto"/>
        <w:right w:val="none" w:sz="0" w:space="0" w:color="auto"/>
      </w:divBdr>
      <w:divsChild>
        <w:div w:id="737477492">
          <w:marLeft w:val="0"/>
          <w:marRight w:val="0"/>
          <w:marTop w:val="0"/>
          <w:marBottom w:val="0"/>
          <w:divBdr>
            <w:top w:val="none" w:sz="0" w:space="0" w:color="auto"/>
            <w:left w:val="none" w:sz="0" w:space="0" w:color="auto"/>
            <w:bottom w:val="none" w:sz="0" w:space="0" w:color="auto"/>
            <w:right w:val="none" w:sz="0" w:space="0" w:color="auto"/>
          </w:divBdr>
          <w:divsChild>
            <w:div w:id="757095011">
              <w:marLeft w:val="0"/>
              <w:marRight w:val="0"/>
              <w:marTop w:val="0"/>
              <w:marBottom w:val="0"/>
              <w:divBdr>
                <w:top w:val="none" w:sz="0" w:space="0" w:color="auto"/>
                <w:left w:val="none" w:sz="0" w:space="0" w:color="auto"/>
                <w:bottom w:val="none" w:sz="0" w:space="0" w:color="auto"/>
                <w:right w:val="none" w:sz="0" w:space="0" w:color="auto"/>
              </w:divBdr>
              <w:divsChild>
                <w:div w:id="379742009">
                  <w:marLeft w:val="0"/>
                  <w:marRight w:val="0"/>
                  <w:marTop w:val="0"/>
                  <w:marBottom w:val="0"/>
                  <w:divBdr>
                    <w:top w:val="none" w:sz="0" w:space="0" w:color="auto"/>
                    <w:left w:val="none" w:sz="0" w:space="0" w:color="auto"/>
                    <w:bottom w:val="none" w:sz="0" w:space="0" w:color="auto"/>
                    <w:right w:val="none" w:sz="0" w:space="0" w:color="auto"/>
                  </w:divBdr>
                  <w:divsChild>
                    <w:div w:id="4948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5485">
      <w:bodyDiv w:val="1"/>
      <w:marLeft w:val="0"/>
      <w:marRight w:val="0"/>
      <w:marTop w:val="0"/>
      <w:marBottom w:val="0"/>
      <w:divBdr>
        <w:top w:val="none" w:sz="0" w:space="0" w:color="auto"/>
        <w:left w:val="none" w:sz="0" w:space="0" w:color="auto"/>
        <w:bottom w:val="none" w:sz="0" w:space="0" w:color="auto"/>
        <w:right w:val="none" w:sz="0" w:space="0" w:color="auto"/>
      </w:divBdr>
    </w:div>
    <w:div w:id="202600494">
      <w:bodyDiv w:val="1"/>
      <w:marLeft w:val="0"/>
      <w:marRight w:val="0"/>
      <w:marTop w:val="0"/>
      <w:marBottom w:val="0"/>
      <w:divBdr>
        <w:top w:val="none" w:sz="0" w:space="0" w:color="auto"/>
        <w:left w:val="none" w:sz="0" w:space="0" w:color="auto"/>
        <w:bottom w:val="none" w:sz="0" w:space="0" w:color="auto"/>
        <w:right w:val="none" w:sz="0" w:space="0" w:color="auto"/>
      </w:divBdr>
      <w:divsChild>
        <w:div w:id="746390985">
          <w:marLeft w:val="0"/>
          <w:marRight w:val="0"/>
          <w:marTop w:val="0"/>
          <w:marBottom w:val="0"/>
          <w:divBdr>
            <w:top w:val="none" w:sz="0" w:space="0" w:color="auto"/>
            <w:left w:val="none" w:sz="0" w:space="0" w:color="auto"/>
            <w:bottom w:val="none" w:sz="0" w:space="0" w:color="auto"/>
            <w:right w:val="none" w:sz="0" w:space="0" w:color="auto"/>
          </w:divBdr>
          <w:divsChild>
            <w:div w:id="1915314310">
              <w:marLeft w:val="0"/>
              <w:marRight w:val="0"/>
              <w:marTop w:val="0"/>
              <w:marBottom w:val="0"/>
              <w:divBdr>
                <w:top w:val="none" w:sz="0" w:space="0" w:color="auto"/>
                <w:left w:val="none" w:sz="0" w:space="0" w:color="auto"/>
                <w:bottom w:val="none" w:sz="0" w:space="0" w:color="auto"/>
                <w:right w:val="none" w:sz="0" w:space="0" w:color="auto"/>
              </w:divBdr>
              <w:divsChild>
                <w:div w:id="2022857550">
                  <w:marLeft w:val="0"/>
                  <w:marRight w:val="0"/>
                  <w:marTop w:val="0"/>
                  <w:marBottom w:val="0"/>
                  <w:divBdr>
                    <w:top w:val="none" w:sz="0" w:space="0" w:color="auto"/>
                    <w:left w:val="none" w:sz="0" w:space="0" w:color="auto"/>
                    <w:bottom w:val="none" w:sz="0" w:space="0" w:color="auto"/>
                    <w:right w:val="none" w:sz="0" w:space="0" w:color="auto"/>
                  </w:divBdr>
                  <w:divsChild>
                    <w:div w:id="409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2805">
      <w:bodyDiv w:val="1"/>
      <w:marLeft w:val="0"/>
      <w:marRight w:val="0"/>
      <w:marTop w:val="0"/>
      <w:marBottom w:val="0"/>
      <w:divBdr>
        <w:top w:val="none" w:sz="0" w:space="0" w:color="auto"/>
        <w:left w:val="none" w:sz="0" w:space="0" w:color="auto"/>
        <w:bottom w:val="none" w:sz="0" w:space="0" w:color="auto"/>
        <w:right w:val="none" w:sz="0" w:space="0" w:color="auto"/>
      </w:divBdr>
      <w:divsChild>
        <w:div w:id="2106998021">
          <w:marLeft w:val="0"/>
          <w:marRight w:val="0"/>
          <w:marTop w:val="0"/>
          <w:marBottom w:val="0"/>
          <w:divBdr>
            <w:top w:val="none" w:sz="0" w:space="0" w:color="auto"/>
            <w:left w:val="none" w:sz="0" w:space="0" w:color="auto"/>
            <w:bottom w:val="none" w:sz="0" w:space="0" w:color="auto"/>
            <w:right w:val="none" w:sz="0" w:space="0" w:color="auto"/>
          </w:divBdr>
          <w:divsChild>
            <w:div w:id="1483158218">
              <w:marLeft w:val="0"/>
              <w:marRight w:val="0"/>
              <w:marTop w:val="0"/>
              <w:marBottom w:val="0"/>
              <w:divBdr>
                <w:top w:val="none" w:sz="0" w:space="0" w:color="auto"/>
                <w:left w:val="none" w:sz="0" w:space="0" w:color="auto"/>
                <w:bottom w:val="none" w:sz="0" w:space="0" w:color="auto"/>
                <w:right w:val="none" w:sz="0" w:space="0" w:color="auto"/>
              </w:divBdr>
              <w:divsChild>
                <w:div w:id="262498881">
                  <w:marLeft w:val="0"/>
                  <w:marRight w:val="0"/>
                  <w:marTop w:val="0"/>
                  <w:marBottom w:val="0"/>
                  <w:divBdr>
                    <w:top w:val="none" w:sz="0" w:space="0" w:color="auto"/>
                    <w:left w:val="none" w:sz="0" w:space="0" w:color="auto"/>
                    <w:bottom w:val="none" w:sz="0" w:space="0" w:color="auto"/>
                    <w:right w:val="none" w:sz="0" w:space="0" w:color="auto"/>
                  </w:divBdr>
                  <w:divsChild>
                    <w:div w:id="1574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062342">
      <w:bodyDiv w:val="1"/>
      <w:marLeft w:val="0"/>
      <w:marRight w:val="0"/>
      <w:marTop w:val="0"/>
      <w:marBottom w:val="0"/>
      <w:divBdr>
        <w:top w:val="none" w:sz="0" w:space="0" w:color="auto"/>
        <w:left w:val="none" w:sz="0" w:space="0" w:color="auto"/>
        <w:bottom w:val="none" w:sz="0" w:space="0" w:color="auto"/>
        <w:right w:val="none" w:sz="0" w:space="0" w:color="auto"/>
      </w:divBdr>
      <w:divsChild>
        <w:div w:id="1159734588">
          <w:marLeft w:val="0"/>
          <w:marRight w:val="0"/>
          <w:marTop w:val="0"/>
          <w:marBottom w:val="0"/>
          <w:divBdr>
            <w:top w:val="none" w:sz="0" w:space="0" w:color="auto"/>
            <w:left w:val="none" w:sz="0" w:space="0" w:color="auto"/>
            <w:bottom w:val="none" w:sz="0" w:space="0" w:color="auto"/>
            <w:right w:val="none" w:sz="0" w:space="0" w:color="auto"/>
          </w:divBdr>
          <w:divsChild>
            <w:div w:id="1441609854">
              <w:marLeft w:val="0"/>
              <w:marRight w:val="0"/>
              <w:marTop w:val="0"/>
              <w:marBottom w:val="0"/>
              <w:divBdr>
                <w:top w:val="none" w:sz="0" w:space="0" w:color="auto"/>
                <w:left w:val="none" w:sz="0" w:space="0" w:color="auto"/>
                <w:bottom w:val="none" w:sz="0" w:space="0" w:color="auto"/>
                <w:right w:val="none" w:sz="0" w:space="0" w:color="auto"/>
              </w:divBdr>
              <w:divsChild>
                <w:div w:id="271399028">
                  <w:marLeft w:val="0"/>
                  <w:marRight w:val="0"/>
                  <w:marTop w:val="0"/>
                  <w:marBottom w:val="0"/>
                  <w:divBdr>
                    <w:top w:val="none" w:sz="0" w:space="0" w:color="auto"/>
                    <w:left w:val="none" w:sz="0" w:space="0" w:color="auto"/>
                    <w:bottom w:val="none" w:sz="0" w:space="0" w:color="auto"/>
                    <w:right w:val="none" w:sz="0" w:space="0" w:color="auto"/>
                  </w:divBdr>
                  <w:divsChild>
                    <w:div w:id="17291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103253">
      <w:bodyDiv w:val="1"/>
      <w:marLeft w:val="0"/>
      <w:marRight w:val="0"/>
      <w:marTop w:val="0"/>
      <w:marBottom w:val="0"/>
      <w:divBdr>
        <w:top w:val="none" w:sz="0" w:space="0" w:color="auto"/>
        <w:left w:val="none" w:sz="0" w:space="0" w:color="auto"/>
        <w:bottom w:val="none" w:sz="0" w:space="0" w:color="auto"/>
        <w:right w:val="none" w:sz="0" w:space="0" w:color="auto"/>
      </w:divBdr>
    </w:div>
    <w:div w:id="249511580">
      <w:bodyDiv w:val="1"/>
      <w:marLeft w:val="0"/>
      <w:marRight w:val="0"/>
      <w:marTop w:val="0"/>
      <w:marBottom w:val="0"/>
      <w:divBdr>
        <w:top w:val="none" w:sz="0" w:space="0" w:color="auto"/>
        <w:left w:val="none" w:sz="0" w:space="0" w:color="auto"/>
        <w:bottom w:val="none" w:sz="0" w:space="0" w:color="auto"/>
        <w:right w:val="none" w:sz="0" w:space="0" w:color="auto"/>
      </w:divBdr>
      <w:divsChild>
        <w:div w:id="1507282453">
          <w:marLeft w:val="0"/>
          <w:marRight w:val="0"/>
          <w:marTop w:val="0"/>
          <w:marBottom w:val="0"/>
          <w:divBdr>
            <w:top w:val="none" w:sz="0" w:space="0" w:color="auto"/>
            <w:left w:val="none" w:sz="0" w:space="0" w:color="auto"/>
            <w:bottom w:val="none" w:sz="0" w:space="0" w:color="auto"/>
            <w:right w:val="none" w:sz="0" w:space="0" w:color="auto"/>
          </w:divBdr>
          <w:divsChild>
            <w:div w:id="2120559811">
              <w:marLeft w:val="0"/>
              <w:marRight w:val="0"/>
              <w:marTop w:val="0"/>
              <w:marBottom w:val="0"/>
              <w:divBdr>
                <w:top w:val="none" w:sz="0" w:space="0" w:color="auto"/>
                <w:left w:val="none" w:sz="0" w:space="0" w:color="auto"/>
                <w:bottom w:val="none" w:sz="0" w:space="0" w:color="auto"/>
                <w:right w:val="none" w:sz="0" w:space="0" w:color="auto"/>
              </w:divBdr>
              <w:divsChild>
                <w:div w:id="154498863">
                  <w:marLeft w:val="0"/>
                  <w:marRight w:val="0"/>
                  <w:marTop w:val="0"/>
                  <w:marBottom w:val="0"/>
                  <w:divBdr>
                    <w:top w:val="none" w:sz="0" w:space="0" w:color="auto"/>
                    <w:left w:val="none" w:sz="0" w:space="0" w:color="auto"/>
                    <w:bottom w:val="none" w:sz="0" w:space="0" w:color="auto"/>
                    <w:right w:val="none" w:sz="0" w:space="0" w:color="auto"/>
                  </w:divBdr>
                  <w:divsChild>
                    <w:div w:id="13670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6949">
      <w:bodyDiv w:val="1"/>
      <w:marLeft w:val="0"/>
      <w:marRight w:val="0"/>
      <w:marTop w:val="0"/>
      <w:marBottom w:val="0"/>
      <w:divBdr>
        <w:top w:val="none" w:sz="0" w:space="0" w:color="auto"/>
        <w:left w:val="none" w:sz="0" w:space="0" w:color="auto"/>
        <w:bottom w:val="none" w:sz="0" w:space="0" w:color="auto"/>
        <w:right w:val="none" w:sz="0" w:space="0" w:color="auto"/>
      </w:divBdr>
      <w:divsChild>
        <w:div w:id="1753552401">
          <w:marLeft w:val="0"/>
          <w:marRight w:val="0"/>
          <w:marTop w:val="0"/>
          <w:marBottom w:val="0"/>
          <w:divBdr>
            <w:top w:val="none" w:sz="0" w:space="0" w:color="auto"/>
            <w:left w:val="none" w:sz="0" w:space="0" w:color="auto"/>
            <w:bottom w:val="none" w:sz="0" w:space="0" w:color="auto"/>
            <w:right w:val="none" w:sz="0" w:space="0" w:color="auto"/>
          </w:divBdr>
          <w:divsChild>
            <w:div w:id="933515069">
              <w:marLeft w:val="0"/>
              <w:marRight w:val="0"/>
              <w:marTop w:val="0"/>
              <w:marBottom w:val="0"/>
              <w:divBdr>
                <w:top w:val="none" w:sz="0" w:space="0" w:color="auto"/>
                <w:left w:val="none" w:sz="0" w:space="0" w:color="auto"/>
                <w:bottom w:val="none" w:sz="0" w:space="0" w:color="auto"/>
                <w:right w:val="none" w:sz="0" w:space="0" w:color="auto"/>
              </w:divBdr>
              <w:divsChild>
                <w:div w:id="1319773118">
                  <w:marLeft w:val="0"/>
                  <w:marRight w:val="0"/>
                  <w:marTop w:val="0"/>
                  <w:marBottom w:val="0"/>
                  <w:divBdr>
                    <w:top w:val="none" w:sz="0" w:space="0" w:color="auto"/>
                    <w:left w:val="none" w:sz="0" w:space="0" w:color="auto"/>
                    <w:bottom w:val="none" w:sz="0" w:space="0" w:color="auto"/>
                    <w:right w:val="none" w:sz="0" w:space="0" w:color="auto"/>
                  </w:divBdr>
                  <w:divsChild>
                    <w:div w:id="20360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4996">
      <w:bodyDiv w:val="1"/>
      <w:marLeft w:val="0"/>
      <w:marRight w:val="0"/>
      <w:marTop w:val="0"/>
      <w:marBottom w:val="0"/>
      <w:divBdr>
        <w:top w:val="none" w:sz="0" w:space="0" w:color="auto"/>
        <w:left w:val="none" w:sz="0" w:space="0" w:color="auto"/>
        <w:bottom w:val="none" w:sz="0" w:space="0" w:color="auto"/>
        <w:right w:val="none" w:sz="0" w:space="0" w:color="auto"/>
      </w:divBdr>
    </w:div>
    <w:div w:id="368068668">
      <w:bodyDiv w:val="1"/>
      <w:marLeft w:val="0"/>
      <w:marRight w:val="0"/>
      <w:marTop w:val="0"/>
      <w:marBottom w:val="0"/>
      <w:divBdr>
        <w:top w:val="none" w:sz="0" w:space="0" w:color="auto"/>
        <w:left w:val="none" w:sz="0" w:space="0" w:color="auto"/>
        <w:bottom w:val="none" w:sz="0" w:space="0" w:color="auto"/>
        <w:right w:val="none" w:sz="0" w:space="0" w:color="auto"/>
      </w:divBdr>
    </w:div>
    <w:div w:id="369499227">
      <w:bodyDiv w:val="1"/>
      <w:marLeft w:val="0"/>
      <w:marRight w:val="0"/>
      <w:marTop w:val="0"/>
      <w:marBottom w:val="0"/>
      <w:divBdr>
        <w:top w:val="none" w:sz="0" w:space="0" w:color="auto"/>
        <w:left w:val="none" w:sz="0" w:space="0" w:color="auto"/>
        <w:bottom w:val="none" w:sz="0" w:space="0" w:color="auto"/>
        <w:right w:val="none" w:sz="0" w:space="0" w:color="auto"/>
      </w:divBdr>
      <w:divsChild>
        <w:div w:id="11802232">
          <w:marLeft w:val="0"/>
          <w:marRight w:val="0"/>
          <w:marTop w:val="0"/>
          <w:marBottom w:val="0"/>
          <w:divBdr>
            <w:top w:val="none" w:sz="0" w:space="0" w:color="auto"/>
            <w:left w:val="none" w:sz="0" w:space="0" w:color="auto"/>
            <w:bottom w:val="none" w:sz="0" w:space="0" w:color="auto"/>
            <w:right w:val="none" w:sz="0" w:space="0" w:color="auto"/>
          </w:divBdr>
          <w:divsChild>
            <w:div w:id="1752654064">
              <w:marLeft w:val="0"/>
              <w:marRight w:val="0"/>
              <w:marTop w:val="0"/>
              <w:marBottom w:val="0"/>
              <w:divBdr>
                <w:top w:val="none" w:sz="0" w:space="0" w:color="auto"/>
                <w:left w:val="none" w:sz="0" w:space="0" w:color="auto"/>
                <w:bottom w:val="none" w:sz="0" w:space="0" w:color="auto"/>
                <w:right w:val="none" w:sz="0" w:space="0" w:color="auto"/>
              </w:divBdr>
              <w:divsChild>
                <w:div w:id="1688097650">
                  <w:marLeft w:val="0"/>
                  <w:marRight w:val="0"/>
                  <w:marTop w:val="0"/>
                  <w:marBottom w:val="0"/>
                  <w:divBdr>
                    <w:top w:val="none" w:sz="0" w:space="0" w:color="auto"/>
                    <w:left w:val="none" w:sz="0" w:space="0" w:color="auto"/>
                    <w:bottom w:val="none" w:sz="0" w:space="0" w:color="auto"/>
                    <w:right w:val="none" w:sz="0" w:space="0" w:color="auto"/>
                  </w:divBdr>
                  <w:divsChild>
                    <w:div w:id="17127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935220">
      <w:bodyDiv w:val="1"/>
      <w:marLeft w:val="0"/>
      <w:marRight w:val="0"/>
      <w:marTop w:val="0"/>
      <w:marBottom w:val="0"/>
      <w:divBdr>
        <w:top w:val="none" w:sz="0" w:space="0" w:color="auto"/>
        <w:left w:val="none" w:sz="0" w:space="0" w:color="auto"/>
        <w:bottom w:val="none" w:sz="0" w:space="0" w:color="auto"/>
        <w:right w:val="none" w:sz="0" w:space="0" w:color="auto"/>
      </w:divBdr>
      <w:divsChild>
        <w:div w:id="308091906">
          <w:marLeft w:val="0"/>
          <w:marRight w:val="0"/>
          <w:marTop w:val="0"/>
          <w:marBottom w:val="0"/>
          <w:divBdr>
            <w:top w:val="none" w:sz="0" w:space="0" w:color="auto"/>
            <w:left w:val="none" w:sz="0" w:space="0" w:color="auto"/>
            <w:bottom w:val="none" w:sz="0" w:space="0" w:color="auto"/>
            <w:right w:val="none" w:sz="0" w:space="0" w:color="auto"/>
          </w:divBdr>
          <w:divsChild>
            <w:div w:id="34084739">
              <w:marLeft w:val="0"/>
              <w:marRight w:val="0"/>
              <w:marTop w:val="0"/>
              <w:marBottom w:val="0"/>
              <w:divBdr>
                <w:top w:val="none" w:sz="0" w:space="0" w:color="auto"/>
                <w:left w:val="none" w:sz="0" w:space="0" w:color="auto"/>
                <w:bottom w:val="none" w:sz="0" w:space="0" w:color="auto"/>
                <w:right w:val="none" w:sz="0" w:space="0" w:color="auto"/>
              </w:divBdr>
              <w:divsChild>
                <w:div w:id="350690116">
                  <w:marLeft w:val="0"/>
                  <w:marRight w:val="0"/>
                  <w:marTop w:val="0"/>
                  <w:marBottom w:val="0"/>
                  <w:divBdr>
                    <w:top w:val="none" w:sz="0" w:space="0" w:color="auto"/>
                    <w:left w:val="none" w:sz="0" w:space="0" w:color="auto"/>
                    <w:bottom w:val="none" w:sz="0" w:space="0" w:color="auto"/>
                    <w:right w:val="none" w:sz="0" w:space="0" w:color="auto"/>
                  </w:divBdr>
                  <w:divsChild>
                    <w:div w:id="1967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41076">
      <w:bodyDiv w:val="1"/>
      <w:marLeft w:val="0"/>
      <w:marRight w:val="0"/>
      <w:marTop w:val="0"/>
      <w:marBottom w:val="0"/>
      <w:divBdr>
        <w:top w:val="none" w:sz="0" w:space="0" w:color="auto"/>
        <w:left w:val="none" w:sz="0" w:space="0" w:color="auto"/>
        <w:bottom w:val="none" w:sz="0" w:space="0" w:color="auto"/>
        <w:right w:val="none" w:sz="0" w:space="0" w:color="auto"/>
      </w:divBdr>
      <w:divsChild>
        <w:div w:id="978850621">
          <w:marLeft w:val="0"/>
          <w:marRight w:val="0"/>
          <w:marTop w:val="0"/>
          <w:marBottom w:val="0"/>
          <w:divBdr>
            <w:top w:val="none" w:sz="0" w:space="0" w:color="auto"/>
            <w:left w:val="none" w:sz="0" w:space="0" w:color="auto"/>
            <w:bottom w:val="none" w:sz="0" w:space="0" w:color="auto"/>
            <w:right w:val="none" w:sz="0" w:space="0" w:color="auto"/>
          </w:divBdr>
          <w:divsChild>
            <w:div w:id="764884767">
              <w:marLeft w:val="0"/>
              <w:marRight w:val="0"/>
              <w:marTop w:val="0"/>
              <w:marBottom w:val="0"/>
              <w:divBdr>
                <w:top w:val="none" w:sz="0" w:space="0" w:color="auto"/>
                <w:left w:val="none" w:sz="0" w:space="0" w:color="auto"/>
                <w:bottom w:val="none" w:sz="0" w:space="0" w:color="auto"/>
                <w:right w:val="none" w:sz="0" w:space="0" w:color="auto"/>
              </w:divBdr>
              <w:divsChild>
                <w:div w:id="1307011414">
                  <w:marLeft w:val="0"/>
                  <w:marRight w:val="0"/>
                  <w:marTop w:val="0"/>
                  <w:marBottom w:val="0"/>
                  <w:divBdr>
                    <w:top w:val="none" w:sz="0" w:space="0" w:color="auto"/>
                    <w:left w:val="none" w:sz="0" w:space="0" w:color="auto"/>
                    <w:bottom w:val="none" w:sz="0" w:space="0" w:color="auto"/>
                    <w:right w:val="none" w:sz="0" w:space="0" w:color="auto"/>
                  </w:divBdr>
                  <w:divsChild>
                    <w:div w:id="9740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80416">
      <w:bodyDiv w:val="1"/>
      <w:marLeft w:val="0"/>
      <w:marRight w:val="0"/>
      <w:marTop w:val="0"/>
      <w:marBottom w:val="0"/>
      <w:divBdr>
        <w:top w:val="none" w:sz="0" w:space="0" w:color="auto"/>
        <w:left w:val="none" w:sz="0" w:space="0" w:color="auto"/>
        <w:bottom w:val="none" w:sz="0" w:space="0" w:color="auto"/>
        <w:right w:val="none" w:sz="0" w:space="0" w:color="auto"/>
      </w:divBdr>
      <w:divsChild>
        <w:div w:id="116413853">
          <w:marLeft w:val="0"/>
          <w:marRight w:val="0"/>
          <w:marTop w:val="0"/>
          <w:marBottom w:val="0"/>
          <w:divBdr>
            <w:top w:val="none" w:sz="0" w:space="0" w:color="auto"/>
            <w:left w:val="none" w:sz="0" w:space="0" w:color="auto"/>
            <w:bottom w:val="none" w:sz="0" w:space="0" w:color="auto"/>
            <w:right w:val="none" w:sz="0" w:space="0" w:color="auto"/>
          </w:divBdr>
          <w:divsChild>
            <w:div w:id="176576985">
              <w:marLeft w:val="0"/>
              <w:marRight w:val="0"/>
              <w:marTop w:val="0"/>
              <w:marBottom w:val="0"/>
              <w:divBdr>
                <w:top w:val="none" w:sz="0" w:space="0" w:color="auto"/>
                <w:left w:val="none" w:sz="0" w:space="0" w:color="auto"/>
                <w:bottom w:val="none" w:sz="0" w:space="0" w:color="auto"/>
                <w:right w:val="none" w:sz="0" w:space="0" w:color="auto"/>
              </w:divBdr>
              <w:divsChild>
                <w:div w:id="13639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31596">
      <w:bodyDiv w:val="1"/>
      <w:marLeft w:val="0"/>
      <w:marRight w:val="0"/>
      <w:marTop w:val="0"/>
      <w:marBottom w:val="0"/>
      <w:divBdr>
        <w:top w:val="none" w:sz="0" w:space="0" w:color="auto"/>
        <w:left w:val="none" w:sz="0" w:space="0" w:color="auto"/>
        <w:bottom w:val="none" w:sz="0" w:space="0" w:color="auto"/>
        <w:right w:val="none" w:sz="0" w:space="0" w:color="auto"/>
      </w:divBdr>
      <w:divsChild>
        <w:div w:id="1405906632">
          <w:marLeft w:val="0"/>
          <w:marRight w:val="0"/>
          <w:marTop w:val="0"/>
          <w:marBottom w:val="0"/>
          <w:divBdr>
            <w:top w:val="none" w:sz="0" w:space="0" w:color="auto"/>
            <w:left w:val="none" w:sz="0" w:space="0" w:color="auto"/>
            <w:bottom w:val="none" w:sz="0" w:space="0" w:color="auto"/>
            <w:right w:val="none" w:sz="0" w:space="0" w:color="auto"/>
          </w:divBdr>
          <w:divsChild>
            <w:div w:id="103424011">
              <w:marLeft w:val="0"/>
              <w:marRight w:val="0"/>
              <w:marTop w:val="0"/>
              <w:marBottom w:val="0"/>
              <w:divBdr>
                <w:top w:val="none" w:sz="0" w:space="0" w:color="auto"/>
                <w:left w:val="none" w:sz="0" w:space="0" w:color="auto"/>
                <w:bottom w:val="none" w:sz="0" w:space="0" w:color="auto"/>
                <w:right w:val="none" w:sz="0" w:space="0" w:color="auto"/>
              </w:divBdr>
              <w:divsChild>
                <w:div w:id="1689331324">
                  <w:marLeft w:val="0"/>
                  <w:marRight w:val="0"/>
                  <w:marTop w:val="0"/>
                  <w:marBottom w:val="0"/>
                  <w:divBdr>
                    <w:top w:val="none" w:sz="0" w:space="0" w:color="auto"/>
                    <w:left w:val="none" w:sz="0" w:space="0" w:color="auto"/>
                    <w:bottom w:val="none" w:sz="0" w:space="0" w:color="auto"/>
                    <w:right w:val="none" w:sz="0" w:space="0" w:color="auto"/>
                  </w:divBdr>
                  <w:divsChild>
                    <w:div w:id="18990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50660">
      <w:bodyDiv w:val="1"/>
      <w:marLeft w:val="0"/>
      <w:marRight w:val="0"/>
      <w:marTop w:val="0"/>
      <w:marBottom w:val="0"/>
      <w:divBdr>
        <w:top w:val="none" w:sz="0" w:space="0" w:color="auto"/>
        <w:left w:val="none" w:sz="0" w:space="0" w:color="auto"/>
        <w:bottom w:val="none" w:sz="0" w:space="0" w:color="auto"/>
        <w:right w:val="none" w:sz="0" w:space="0" w:color="auto"/>
      </w:divBdr>
    </w:div>
    <w:div w:id="520702564">
      <w:bodyDiv w:val="1"/>
      <w:marLeft w:val="0"/>
      <w:marRight w:val="0"/>
      <w:marTop w:val="0"/>
      <w:marBottom w:val="0"/>
      <w:divBdr>
        <w:top w:val="none" w:sz="0" w:space="0" w:color="auto"/>
        <w:left w:val="none" w:sz="0" w:space="0" w:color="auto"/>
        <w:bottom w:val="none" w:sz="0" w:space="0" w:color="auto"/>
        <w:right w:val="none" w:sz="0" w:space="0" w:color="auto"/>
      </w:divBdr>
      <w:divsChild>
        <w:div w:id="164979710">
          <w:marLeft w:val="0"/>
          <w:marRight w:val="0"/>
          <w:marTop w:val="0"/>
          <w:marBottom w:val="0"/>
          <w:divBdr>
            <w:top w:val="none" w:sz="0" w:space="0" w:color="auto"/>
            <w:left w:val="none" w:sz="0" w:space="0" w:color="auto"/>
            <w:bottom w:val="none" w:sz="0" w:space="0" w:color="auto"/>
            <w:right w:val="none" w:sz="0" w:space="0" w:color="auto"/>
          </w:divBdr>
          <w:divsChild>
            <w:div w:id="543831930">
              <w:marLeft w:val="0"/>
              <w:marRight w:val="0"/>
              <w:marTop w:val="0"/>
              <w:marBottom w:val="0"/>
              <w:divBdr>
                <w:top w:val="none" w:sz="0" w:space="0" w:color="auto"/>
                <w:left w:val="none" w:sz="0" w:space="0" w:color="auto"/>
                <w:bottom w:val="none" w:sz="0" w:space="0" w:color="auto"/>
                <w:right w:val="none" w:sz="0" w:space="0" w:color="auto"/>
              </w:divBdr>
              <w:divsChild>
                <w:div w:id="745341477">
                  <w:marLeft w:val="0"/>
                  <w:marRight w:val="0"/>
                  <w:marTop w:val="0"/>
                  <w:marBottom w:val="0"/>
                  <w:divBdr>
                    <w:top w:val="none" w:sz="0" w:space="0" w:color="auto"/>
                    <w:left w:val="none" w:sz="0" w:space="0" w:color="auto"/>
                    <w:bottom w:val="none" w:sz="0" w:space="0" w:color="auto"/>
                    <w:right w:val="none" w:sz="0" w:space="0" w:color="auto"/>
                  </w:divBdr>
                </w:div>
                <w:div w:id="1060057783">
                  <w:marLeft w:val="0"/>
                  <w:marRight w:val="0"/>
                  <w:marTop w:val="0"/>
                  <w:marBottom w:val="0"/>
                  <w:divBdr>
                    <w:top w:val="none" w:sz="0" w:space="0" w:color="auto"/>
                    <w:left w:val="none" w:sz="0" w:space="0" w:color="auto"/>
                    <w:bottom w:val="none" w:sz="0" w:space="0" w:color="auto"/>
                    <w:right w:val="none" w:sz="0" w:space="0" w:color="auto"/>
                  </w:divBdr>
                </w:div>
              </w:divsChild>
            </w:div>
            <w:div w:id="618415140">
              <w:marLeft w:val="0"/>
              <w:marRight w:val="0"/>
              <w:marTop w:val="0"/>
              <w:marBottom w:val="0"/>
              <w:divBdr>
                <w:top w:val="none" w:sz="0" w:space="0" w:color="auto"/>
                <w:left w:val="none" w:sz="0" w:space="0" w:color="auto"/>
                <w:bottom w:val="none" w:sz="0" w:space="0" w:color="auto"/>
                <w:right w:val="none" w:sz="0" w:space="0" w:color="auto"/>
              </w:divBdr>
              <w:divsChild>
                <w:div w:id="1829831247">
                  <w:marLeft w:val="0"/>
                  <w:marRight w:val="0"/>
                  <w:marTop w:val="0"/>
                  <w:marBottom w:val="0"/>
                  <w:divBdr>
                    <w:top w:val="none" w:sz="0" w:space="0" w:color="auto"/>
                    <w:left w:val="none" w:sz="0" w:space="0" w:color="auto"/>
                    <w:bottom w:val="none" w:sz="0" w:space="0" w:color="auto"/>
                    <w:right w:val="none" w:sz="0" w:space="0" w:color="auto"/>
                  </w:divBdr>
                </w:div>
              </w:divsChild>
            </w:div>
            <w:div w:id="1612084132">
              <w:marLeft w:val="0"/>
              <w:marRight w:val="0"/>
              <w:marTop w:val="0"/>
              <w:marBottom w:val="0"/>
              <w:divBdr>
                <w:top w:val="none" w:sz="0" w:space="0" w:color="auto"/>
                <w:left w:val="none" w:sz="0" w:space="0" w:color="auto"/>
                <w:bottom w:val="none" w:sz="0" w:space="0" w:color="auto"/>
                <w:right w:val="none" w:sz="0" w:space="0" w:color="auto"/>
              </w:divBdr>
              <w:divsChild>
                <w:div w:id="1973049513">
                  <w:marLeft w:val="0"/>
                  <w:marRight w:val="0"/>
                  <w:marTop w:val="0"/>
                  <w:marBottom w:val="0"/>
                  <w:divBdr>
                    <w:top w:val="none" w:sz="0" w:space="0" w:color="auto"/>
                    <w:left w:val="none" w:sz="0" w:space="0" w:color="auto"/>
                    <w:bottom w:val="none" w:sz="0" w:space="0" w:color="auto"/>
                    <w:right w:val="none" w:sz="0" w:space="0" w:color="auto"/>
                  </w:divBdr>
                  <w:divsChild>
                    <w:div w:id="9123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3995">
          <w:marLeft w:val="0"/>
          <w:marRight w:val="0"/>
          <w:marTop w:val="0"/>
          <w:marBottom w:val="0"/>
          <w:divBdr>
            <w:top w:val="none" w:sz="0" w:space="0" w:color="auto"/>
            <w:left w:val="none" w:sz="0" w:space="0" w:color="auto"/>
            <w:bottom w:val="none" w:sz="0" w:space="0" w:color="auto"/>
            <w:right w:val="none" w:sz="0" w:space="0" w:color="auto"/>
          </w:divBdr>
          <w:divsChild>
            <w:div w:id="1450585059">
              <w:marLeft w:val="0"/>
              <w:marRight w:val="0"/>
              <w:marTop w:val="0"/>
              <w:marBottom w:val="0"/>
              <w:divBdr>
                <w:top w:val="none" w:sz="0" w:space="0" w:color="auto"/>
                <w:left w:val="none" w:sz="0" w:space="0" w:color="auto"/>
                <w:bottom w:val="none" w:sz="0" w:space="0" w:color="auto"/>
                <w:right w:val="none" w:sz="0" w:space="0" w:color="auto"/>
              </w:divBdr>
              <w:divsChild>
                <w:div w:id="597760748">
                  <w:marLeft w:val="0"/>
                  <w:marRight w:val="0"/>
                  <w:marTop w:val="0"/>
                  <w:marBottom w:val="0"/>
                  <w:divBdr>
                    <w:top w:val="none" w:sz="0" w:space="0" w:color="auto"/>
                    <w:left w:val="none" w:sz="0" w:space="0" w:color="auto"/>
                    <w:bottom w:val="none" w:sz="0" w:space="0" w:color="auto"/>
                    <w:right w:val="none" w:sz="0" w:space="0" w:color="auto"/>
                  </w:divBdr>
                  <w:divsChild>
                    <w:div w:id="8398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339257">
      <w:bodyDiv w:val="1"/>
      <w:marLeft w:val="0"/>
      <w:marRight w:val="0"/>
      <w:marTop w:val="0"/>
      <w:marBottom w:val="0"/>
      <w:divBdr>
        <w:top w:val="none" w:sz="0" w:space="0" w:color="auto"/>
        <w:left w:val="none" w:sz="0" w:space="0" w:color="auto"/>
        <w:bottom w:val="none" w:sz="0" w:space="0" w:color="auto"/>
        <w:right w:val="none" w:sz="0" w:space="0" w:color="auto"/>
      </w:divBdr>
      <w:divsChild>
        <w:div w:id="1173757875">
          <w:marLeft w:val="0"/>
          <w:marRight w:val="0"/>
          <w:marTop w:val="0"/>
          <w:marBottom w:val="0"/>
          <w:divBdr>
            <w:top w:val="none" w:sz="0" w:space="0" w:color="auto"/>
            <w:left w:val="none" w:sz="0" w:space="0" w:color="auto"/>
            <w:bottom w:val="none" w:sz="0" w:space="0" w:color="auto"/>
            <w:right w:val="none" w:sz="0" w:space="0" w:color="auto"/>
          </w:divBdr>
          <w:divsChild>
            <w:div w:id="1549682091">
              <w:marLeft w:val="0"/>
              <w:marRight w:val="0"/>
              <w:marTop w:val="0"/>
              <w:marBottom w:val="0"/>
              <w:divBdr>
                <w:top w:val="none" w:sz="0" w:space="0" w:color="auto"/>
                <w:left w:val="none" w:sz="0" w:space="0" w:color="auto"/>
                <w:bottom w:val="none" w:sz="0" w:space="0" w:color="auto"/>
                <w:right w:val="none" w:sz="0" w:space="0" w:color="auto"/>
              </w:divBdr>
              <w:divsChild>
                <w:div w:id="17141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4558">
      <w:bodyDiv w:val="1"/>
      <w:marLeft w:val="0"/>
      <w:marRight w:val="0"/>
      <w:marTop w:val="0"/>
      <w:marBottom w:val="0"/>
      <w:divBdr>
        <w:top w:val="none" w:sz="0" w:space="0" w:color="auto"/>
        <w:left w:val="none" w:sz="0" w:space="0" w:color="auto"/>
        <w:bottom w:val="none" w:sz="0" w:space="0" w:color="auto"/>
        <w:right w:val="none" w:sz="0" w:space="0" w:color="auto"/>
      </w:divBdr>
    </w:div>
    <w:div w:id="552038367">
      <w:bodyDiv w:val="1"/>
      <w:marLeft w:val="0"/>
      <w:marRight w:val="0"/>
      <w:marTop w:val="0"/>
      <w:marBottom w:val="0"/>
      <w:divBdr>
        <w:top w:val="none" w:sz="0" w:space="0" w:color="auto"/>
        <w:left w:val="none" w:sz="0" w:space="0" w:color="auto"/>
        <w:bottom w:val="none" w:sz="0" w:space="0" w:color="auto"/>
        <w:right w:val="none" w:sz="0" w:space="0" w:color="auto"/>
      </w:divBdr>
      <w:divsChild>
        <w:div w:id="285353177">
          <w:marLeft w:val="0"/>
          <w:marRight w:val="0"/>
          <w:marTop w:val="0"/>
          <w:marBottom w:val="0"/>
          <w:divBdr>
            <w:top w:val="none" w:sz="0" w:space="0" w:color="auto"/>
            <w:left w:val="none" w:sz="0" w:space="0" w:color="auto"/>
            <w:bottom w:val="none" w:sz="0" w:space="0" w:color="auto"/>
            <w:right w:val="none" w:sz="0" w:space="0" w:color="auto"/>
          </w:divBdr>
          <w:divsChild>
            <w:div w:id="1657420461">
              <w:marLeft w:val="0"/>
              <w:marRight w:val="0"/>
              <w:marTop w:val="0"/>
              <w:marBottom w:val="0"/>
              <w:divBdr>
                <w:top w:val="none" w:sz="0" w:space="0" w:color="auto"/>
                <w:left w:val="none" w:sz="0" w:space="0" w:color="auto"/>
                <w:bottom w:val="none" w:sz="0" w:space="0" w:color="auto"/>
                <w:right w:val="none" w:sz="0" w:space="0" w:color="auto"/>
              </w:divBdr>
              <w:divsChild>
                <w:div w:id="1941987284">
                  <w:marLeft w:val="0"/>
                  <w:marRight w:val="0"/>
                  <w:marTop w:val="0"/>
                  <w:marBottom w:val="0"/>
                  <w:divBdr>
                    <w:top w:val="none" w:sz="0" w:space="0" w:color="auto"/>
                    <w:left w:val="none" w:sz="0" w:space="0" w:color="auto"/>
                    <w:bottom w:val="none" w:sz="0" w:space="0" w:color="auto"/>
                    <w:right w:val="none" w:sz="0" w:space="0" w:color="auto"/>
                  </w:divBdr>
                  <w:divsChild>
                    <w:div w:id="14659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65610">
      <w:bodyDiv w:val="1"/>
      <w:marLeft w:val="0"/>
      <w:marRight w:val="0"/>
      <w:marTop w:val="0"/>
      <w:marBottom w:val="0"/>
      <w:divBdr>
        <w:top w:val="none" w:sz="0" w:space="0" w:color="auto"/>
        <w:left w:val="none" w:sz="0" w:space="0" w:color="auto"/>
        <w:bottom w:val="none" w:sz="0" w:space="0" w:color="auto"/>
        <w:right w:val="none" w:sz="0" w:space="0" w:color="auto"/>
      </w:divBdr>
      <w:divsChild>
        <w:div w:id="2088988497">
          <w:marLeft w:val="0"/>
          <w:marRight w:val="0"/>
          <w:marTop w:val="0"/>
          <w:marBottom w:val="0"/>
          <w:divBdr>
            <w:top w:val="none" w:sz="0" w:space="0" w:color="auto"/>
            <w:left w:val="none" w:sz="0" w:space="0" w:color="auto"/>
            <w:bottom w:val="none" w:sz="0" w:space="0" w:color="auto"/>
            <w:right w:val="none" w:sz="0" w:space="0" w:color="auto"/>
          </w:divBdr>
          <w:divsChild>
            <w:div w:id="1436287359">
              <w:marLeft w:val="0"/>
              <w:marRight w:val="0"/>
              <w:marTop w:val="0"/>
              <w:marBottom w:val="0"/>
              <w:divBdr>
                <w:top w:val="none" w:sz="0" w:space="0" w:color="auto"/>
                <w:left w:val="none" w:sz="0" w:space="0" w:color="auto"/>
                <w:bottom w:val="none" w:sz="0" w:space="0" w:color="auto"/>
                <w:right w:val="none" w:sz="0" w:space="0" w:color="auto"/>
              </w:divBdr>
              <w:divsChild>
                <w:div w:id="1753697331">
                  <w:marLeft w:val="0"/>
                  <w:marRight w:val="0"/>
                  <w:marTop w:val="0"/>
                  <w:marBottom w:val="0"/>
                  <w:divBdr>
                    <w:top w:val="none" w:sz="0" w:space="0" w:color="auto"/>
                    <w:left w:val="none" w:sz="0" w:space="0" w:color="auto"/>
                    <w:bottom w:val="none" w:sz="0" w:space="0" w:color="auto"/>
                    <w:right w:val="none" w:sz="0" w:space="0" w:color="auto"/>
                  </w:divBdr>
                  <w:divsChild>
                    <w:div w:id="5874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44813">
      <w:bodyDiv w:val="1"/>
      <w:marLeft w:val="0"/>
      <w:marRight w:val="0"/>
      <w:marTop w:val="0"/>
      <w:marBottom w:val="0"/>
      <w:divBdr>
        <w:top w:val="none" w:sz="0" w:space="0" w:color="auto"/>
        <w:left w:val="none" w:sz="0" w:space="0" w:color="auto"/>
        <w:bottom w:val="none" w:sz="0" w:space="0" w:color="auto"/>
        <w:right w:val="none" w:sz="0" w:space="0" w:color="auto"/>
      </w:divBdr>
    </w:div>
    <w:div w:id="578708061">
      <w:bodyDiv w:val="1"/>
      <w:marLeft w:val="0"/>
      <w:marRight w:val="0"/>
      <w:marTop w:val="0"/>
      <w:marBottom w:val="0"/>
      <w:divBdr>
        <w:top w:val="none" w:sz="0" w:space="0" w:color="auto"/>
        <w:left w:val="none" w:sz="0" w:space="0" w:color="auto"/>
        <w:bottom w:val="none" w:sz="0" w:space="0" w:color="auto"/>
        <w:right w:val="none" w:sz="0" w:space="0" w:color="auto"/>
      </w:divBdr>
      <w:divsChild>
        <w:div w:id="196242213">
          <w:marLeft w:val="0"/>
          <w:marRight w:val="0"/>
          <w:marTop w:val="0"/>
          <w:marBottom w:val="0"/>
          <w:divBdr>
            <w:top w:val="none" w:sz="0" w:space="0" w:color="auto"/>
            <w:left w:val="none" w:sz="0" w:space="0" w:color="auto"/>
            <w:bottom w:val="none" w:sz="0" w:space="0" w:color="auto"/>
            <w:right w:val="none" w:sz="0" w:space="0" w:color="auto"/>
          </w:divBdr>
          <w:divsChild>
            <w:div w:id="1280531182">
              <w:marLeft w:val="0"/>
              <w:marRight w:val="0"/>
              <w:marTop w:val="0"/>
              <w:marBottom w:val="0"/>
              <w:divBdr>
                <w:top w:val="none" w:sz="0" w:space="0" w:color="auto"/>
                <w:left w:val="none" w:sz="0" w:space="0" w:color="auto"/>
                <w:bottom w:val="none" w:sz="0" w:space="0" w:color="auto"/>
                <w:right w:val="none" w:sz="0" w:space="0" w:color="auto"/>
              </w:divBdr>
              <w:divsChild>
                <w:div w:id="1722096253">
                  <w:marLeft w:val="0"/>
                  <w:marRight w:val="0"/>
                  <w:marTop w:val="0"/>
                  <w:marBottom w:val="0"/>
                  <w:divBdr>
                    <w:top w:val="none" w:sz="0" w:space="0" w:color="auto"/>
                    <w:left w:val="none" w:sz="0" w:space="0" w:color="auto"/>
                    <w:bottom w:val="none" w:sz="0" w:space="0" w:color="auto"/>
                    <w:right w:val="none" w:sz="0" w:space="0" w:color="auto"/>
                  </w:divBdr>
                  <w:divsChild>
                    <w:div w:id="16470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40994">
      <w:bodyDiv w:val="1"/>
      <w:marLeft w:val="0"/>
      <w:marRight w:val="0"/>
      <w:marTop w:val="0"/>
      <w:marBottom w:val="0"/>
      <w:divBdr>
        <w:top w:val="none" w:sz="0" w:space="0" w:color="auto"/>
        <w:left w:val="none" w:sz="0" w:space="0" w:color="auto"/>
        <w:bottom w:val="none" w:sz="0" w:space="0" w:color="auto"/>
        <w:right w:val="none" w:sz="0" w:space="0" w:color="auto"/>
      </w:divBdr>
    </w:div>
    <w:div w:id="597326170">
      <w:bodyDiv w:val="1"/>
      <w:marLeft w:val="0"/>
      <w:marRight w:val="0"/>
      <w:marTop w:val="0"/>
      <w:marBottom w:val="0"/>
      <w:divBdr>
        <w:top w:val="none" w:sz="0" w:space="0" w:color="auto"/>
        <w:left w:val="none" w:sz="0" w:space="0" w:color="auto"/>
        <w:bottom w:val="none" w:sz="0" w:space="0" w:color="auto"/>
        <w:right w:val="none" w:sz="0" w:space="0" w:color="auto"/>
      </w:divBdr>
    </w:div>
    <w:div w:id="597762462">
      <w:bodyDiv w:val="1"/>
      <w:marLeft w:val="0"/>
      <w:marRight w:val="0"/>
      <w:marTop w:val="0"/>
      <w:marBottom w:val="0"/>
      <w:divBdr>
        <w:top w:val="none" w:sz="0" w:space="0" w:color="auto"/>
        <w:left w:val="none" w:sz="0" w:space="0" w:color="auto"/>
        <w:bottom w:val="none" w:sz="0" w:space="0" w:color="auto"/>
        <w:right w:val="none" w:sz="0" w:space="0" w:color="auto"/>
      </w:divBdr>
      <w:divsChild>
        <w:div w:id="913397093">
          <w:marLeft w:val="0"/>
          <w:marRight w:val="0"/>
          <w:marTop w:val="0"/>
          <w:marBottom w:val="0"/>
          <w:divBdr>
            <w:top w:val="none" w:sz="0" w:space="0" w:color="auto"/>
            <w:left w:val="none" w:sz="0" w:space="0" w:color="auto"/>
            <w:bottom w:val="none" w:sz="0" w:space="0" w:color="auto"/>
            <w:right w:val="none" w:sz="0" w:space="0" w:color="auto"/>
          </w:divBdr>
          <w:divsChild>
            <w:div w:id="299505126">
              <w:marLeft w:val="0"/>
              <w:marRight w:val="0"/>
              <w:marTop w:val="0"/>
              <w:marBottom w:val="0"/>
              <w:divBdr>
                <w:top w:val="none" w:sz="0" w:space="0" w:color="auto"/>
                <w:left w:val="none" w:sz="0" w:space="0" w:color="auto"/>
                <w:bottom w:val="none" w:sz="0" w:space="0" w:color="auto"/>
                <w:right w:val="none" w:sz="0" w:space="0" w:color="auto"/>
              </w:divBdr>
              <w:divsChild>
                <w:div w:id="1355502084">
                  <w:marLeft w:val="0"/>
                  <w:marRight w:val="0"/>
                  <w:marTop w:val="0"/>
                  <w:marBottom w:val="0"/>
                  <w:divBdr>
                    <w:top w:val="none" w:sz="0" w:space="0" w:color="auto"/>
                    <w:left w:val="none" w:sz="0" w:space="0" w:color="auto"/>
                    <w:bottom w:val="none" w:sz="0" w:space="0" w:color="auto"/>
                    <w:right w:val="none" w:sz="0" w:space="0" w:color="auto"/>
                  </w:divBdr>
                  <w:divsChild>
                    <w:div w:id="17215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348885">
      <w:bodyDiv w:val="1"/>
      <w:marLeft w:val="0"/>
      <w:marRight w:val="0"/>
      <w:marTop w:val="0"/>
      <w:marBottom w:val="0"/>
      <w:divBdr>
        <w:top w:val="none" w:sz="0" w:space="0" w:color="auto"/>
        <w:left w:val="none" w:sz="0" w:space="0" w:color="auto"/>
        <w:bottom w:val="none" w:sz="0" w:space="0" w:color="auto"/>
        <w:right w:val="none" w:sz="0" w:space="0" w:color="auto"/>
      </w:divBdr>
      <w:divsChild>
        <w:div w:id="134567733">
          <w:marLeft w:val="0"/>
          <w:marRight w:val="0"/>
          <w:marTop w:val="0"/>
          <w:marBottom w:val="0"/>
          <w:divBdr>
            <w:top w:val="none" w:sz="0" w:space="0" w:color="auto"/>
            <w:left w:val="none" w:sz="0" w:space="0" w:color="auto"/>
            <w:bottom w:val="none" w:sz="0" w:space="0" w:color="auto"/>
            <w:right w:val="none" w:sz="0" w:space="0" w:color="auto"/>
          </w:divBdr>
          <w:divsChild>
            <w:div w:id="108742161">
              <w:marLeft w:val="0"/>
              <w:marRight w:val="0"/>
              <w:marTop w:val="0"/>
              <w:marBottom w:val="0"/>
              <w:divBdr>
                <w:top w:val="none" w:sz="0" w:space="0" w:color="auto"/>
                <w:left w:val="none" w:sz="0" w:space="0" w:color="auto"/>
                <w:bottom w:val="none" w:sz="0" w:space="0" w:color="auto"/>
                <w:right w:val="none" w:sz="0" w:space="0" w:color="auto"/>
              </w:divBdr>
              <w:divsChild>
                <w:div w:id="417680569">
                  <w:marLeft w:val="0"/>
                  <w:marRight w:val="0"/>
                  <w:marTop w:val="0"/>
                  <w:marBottom w:val="0"/>
                  <w:divBdr>
                    <w:top w:val="none" w:sz="0" w:space="0" w:color="auto"/>
                    <w:left w:val="none" w:sz="0" w:space="0" w:color="auto"/>
                    <w:bottom w:val="none" w:sz="0" w:space="0" w:color="auto"/>
                    <w:right w:val="none" w:sz="0" w:space="0" w:color="auto"/>
                  </w:divBdr>
                  <w:divsChild>
                    <w:div w:id="815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17952">
      <w:bodyDiv w:val="1"/>
      <w:marLeft w:val="0"/>
      <w:marRight w:val="0"/>
      <w:marTop w:val="0"/>
      <w:marBottom w:val="0"/>
      <w:divBdr>
        <w:top w:val="none" w:sz="0" w:space="0" w:color="auto"/>
        <w:left w:val="none" w:sz="0" w:space="0" w:color="auto"/>
        <w:bottom w:val="none" w:sz="0" w:space="0" w:color="auto"/>
        <w:right w:val="none" w:sz="0" w:space="0" w:color="auto"/>
      </w:divBdr>
    </w:div>
    <w:div w:id="766999266">
      <w:bodyDiv w:val="1"/>
      <w:marLeft w:val="0"/>
      <w:marRight w:val="0"/>
      <w:marTop w:val="0"/>
      <w:marBottom w:val="0"/>
      <w:divBdr>
        <w:top w:val="none" w:sz="0" w:space="0" w:color="auto"/>
        <w:left w:val="none" w:sz="0" w:space="0" w:color="auto"/>
        <w:bottom w:val="none" w:sz="0" w:space="0" w:color="auto"/>
        <w:right w:val="none" w:sz="0" w:space="0" w:color="auto"/>
      </w:divBdr>
    </w:div>
    <w:div w:id="808598510">
      <w:bodyDiv w:val="1"/>
      <w:marLeft w:val="0"/>
      <w:marRight w:val="0"/>
      <w:marTop w:val="0"/>
      <w:marBottom w:val="0"/>
      <w:divBdr>
        <w:top w:val="none" w:sz="0" w:space="0" w:color="auto"/>
        <w:left w:val="none" w:sz="0" w:space="0" w:color="auto"/>
        <w:bottom w:val="none" w:sz="0" w:space="0" w:color="auto"/>
        <w:right w:val="none" w:sz="0" w:space="0" w:color="auto"/>
      </w:divBdr>
      <w:divsChild>
        <w:div w:id="1475565982">
          <w:marLeft w:val="0"/>
          <w:marRight w:val="0"/>
          <w:marTop w:val="0"/>
          <w:marBottom w:val="0"/>
          <w:divBdr>
            <w:top w:val="none" w:sz="0" w:space="0" w:color="auto"/>
            <w:left w:val="none" w:sz="0" w:space="0" w:color="auto"/>
            <w:bottom w:val="none" w:sz="0" w:space="0" w:color="auto"/>
            <w:right w:val="none" w:sz="0" w:space="0" w:color="auto"/>
          </w:divBdr>
          <w:divsChild>
            <w:div w:id="1752123242">
              <w:marLeft w:val="0"/>
              <w:marRight w:val="0"/>
              <w:marTop w:val="0"/>
              <w:marBottom w:val="0"/>
              <w:divBdr>
                <w:top w:val="none" w:sz="0" w:space="0" w:color="auto"/>
                <w:left w:val="none" w:sz="0" w:space="0" w:color="auto"/>
                <w:bottom w:val="none" w:sz="0" w:space="0" w:color="auto"/>
                <w:right w:val="none" w:sz="0" w:space="0" w:color="auto"/>
              </w:divBdr>
              <w:divsChild>
                <w:div w:id="882326611">
                  <w:marLeft w:val="0"/>
                  <w:marRight w:val="0"/>
                  <w:marTop w:val="0"/>
                  <w:marBottom w:val="0"/>
                  <w:divBdr>
                    <w:top w:val="none" w:sz="0" w:space="0" w:color="auto"/>
                    <w:left w:val="none" w:sz="0" w:space="0" w:color="auto"/>
                    <w:bottom w:val="none" w:sz="0" w:space="0" w:color="auto"/>
                    <w:right w:val="none" w:sz="0" w:space="0" w:color="auto"/>
                  </w:divBdr>
                  <w:divsChild>
                    <w:div w:id="2692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53424">
      <w:bodyDiv w:val="1"/>
      <w:marLeft w:val="0"/>
      <w:marRight w:val="0"/>
      <w:marTop w:val="0"/>
      <w:marBottom w:val="0"/>
      <w:divBdr>
        <w:top w:val="none" w:sz="0" w:space="0" w:color="auto"/>
        <w:left w:val="none" w:sz="0" w:space="0" w:color="auto"/>
        <w:bottom w:val="none" w:sz="0" w:space="0" w:color="auto"/>
        <w:right w:val="none" w:sz="0" w:space="0" w:color="auto"/>
      </w:divBdr>
      <w:divsChild>
        <w:div w:id="12415001">
          <w:marLeft w:val="0"/>
          <w:marRight w:val="0"/>
          <w:marTop w:val="0"/>
          <w:marBottom w:val="0"/>
          <w:divBdr>
            <w:top w:val="none" w:sz="0" w:space="0" w:color="auto"/>
            <w:left w:val="none" w:sz="0" w:space="0" w:color="auto"/>
            <w:bottom w:val="none" w:sz="0" w:space="0" w:color="auto"/>
            <w:right w:val="none" w:sz="0" w:space="0" w:color="auto"/>
          </w:divBdr>
        </w:div>
        <w:div w:id="757364436">
          <w:marLeft w:val="0"/>
          <w:marRight w:val="0"/>
          <w:marTop w:val="0"/>
          <w:marBottom w:val="0"/>
          <w:divBdr>
            <w:top w:val="none" w:sz="0" w:space="0" w:color="auto"/>
            <w:left w:val="none" w:sz="0" w:space="0" w:color="auto"/>
            <w:bottom w:val="none" w:sz="0" w:space="0" w:color="auto"/>
            <w:right w:val="none" w:sz="0" w:space="0" w:color="auto"/>
          </w:divBdr>
        </w:div>
        <w:div w:id="1679044574">
          <w:marLeft w:val="0"/>
          <w:marRight w:val="0"/>
          <w:marTop w:val="0"/>
          <w:marBottom w:val="0"/>
          <w:divBdr>
            <w:top w:val="none" w:sz="0" w:space="0" w:color="auto"/>
            <w:left w:val="none" w:sz="0" w:space="0" w:color="auto"/>
            <w:bottom w:val="none" w:sz="0" w:space="0" w:color="auto"/>
            <w:right w:val="none" w:sz="0" w:space="0" w:color="auto"/>
          </w:divBdr>
        </w:div>
        <w:div w:id="225726617">
          <w:marLeft w:val="0"/>
          <w:marRight w:val="0"/>
          <w:marTop w:val="0"/>
          <w:marBottom w:val="0"/>
          <w:divBdr>
            <w:top w:val="none" w:sz="0" w:space="0" w:color="auto"/>
            <w:left w:val="none" w:sz="0" w:space="0" w:color="auto"/>
            <w:bottom w:val="none" w:sz="0" w:space="0" w:color="auto"/>
            <w:right w:val="none" w:sz="0" w:space="0" w:color="auto"/>
          </w:divBdr>
        </w:div>
        <w:div w:id="1804075581">
          <w:marLeft w:val="0"/>
          <w:marRight w:val="0"/>
          <w:marTop w:val="0"/>
          <w:marBottom w:val="0"/>
          <w:divBdr>
            <w:top w:val="none" w:sz="0" w:space="0" w:color="auto"/>
            <w:left w:val="none" w:sz="0" w:space="0" w:color="auto"/>
            <w:bottom w:val="none" w:sz="0" w:space="0" w:color="auto"/>
            <w:right w:val="none" w:sz="0" w:space="0" w:color="auto"/>
          </w:divBdr>
        </w:div>
        <w:div w:id="1144734516">
          <w:marLeft w:val="0"/>
          <w:marRight w:val="0"/>
          <w:marTop w:val="0"/>
          <w:marBottom w:val="0"/>
          <w:divBdr>
            <w:top w:val="none" w:sz="0" w:space="0" w:color="auto"/>
            <w:left w:val="none" w:sz="0" w:space="0" w:color="auto"/>
            <w:bottom w:val="none" w:sz="0" w:space="0" w:color="auto"/>
            <w:right w:val="none" w:sz="0" w:space="0" w:color="auto"/>
          </w:divBdr>
        </w:div>
        <w:div w:id="914169232">
          <w:marLeft w:val="0"/>
          <w:marRight w:val="0"/>
          <w:marTop w:val="0"/>
          <w:marBottom w:val="0"/>
          <w:divBdr>
            <w:top w:val="none" w:sz="0" w:space="0" w:color="auto"/>
            <w:left w:val="none" w:sz="0" w:space="0" w:color="auto"/>
            <w:bottom w:val="none" w:sz="0" w:space="0" w:color="auto"/>
            <w:right w:val="none" w:sz="0" w:space="0" w:color="auto"/>
          </w:divBdr>
        </w:div>
        <w:div w:id="1802963465">
          <w:marLeft w:val="0"/>
          <w:marRight w:val="0"/>
          <w:marTop w:val="0"/>
          <w:marBottom w:val="0"/>
          <w:divBdr>
            <w:top w:val="none" w:sz="0" w:space="0" w:color="auto"/>
            <w:left w:val="none" w:sz="0" w:space="0" w:color="auto"/>
            <w:bottom w:val="none" w:sz="0" w:space="0" w:color="auto"/>
            <w:right w:val="none" w:sz="0" w:space="0" w:color="auto"/>
          </w:divBdr>
        </w:div>
        <w:div w:id="1776441880">
          <w:marLeft w:val="0"/>
          <w:marRight w:val="0"/>
          <w:marTop w:val="0"/>
          <w:marBottom w:val="0"/>
          <w:divBdr>
            <w:top w:val="none" w:sz="0" w:space="0" w:color="auto"/>
            <w:left w:val="none" w:sz="0" w:space="0" w:color="auto"/>
            <w:bottom w:val="none" w:sz="0" w:space="0" w:color="auto"/>
            <w:right w:val="none" w:sz="0" w:space="0" w:color="auto"/>
          </w:divBdr>
        </w:div>
        <w:div w:id="79565467">
          <w:marLeft w:val="0"/>
          <w:marRight w:val="0"/>
          <w:marTop w:val="0"/>
          <w:marBottom w:val="0"/>
          <w:divBdr>
            <w:top w:val="none" w:sz="0" w:space="0" w:color="auto"/>
            <w:left w:val="none" w:sz="0" w:space="0" w:color="auto"/>
            <w:bottom w:val="none" w:sz="0" w:space="0" w:color="auto"/>
            <w:right w:val="none" w:sz="0" w:space="0" w:color="auto"/>
          </w:divBdr>
        </w:div>
        <w:div w:id="718087207">
          <w:marLeft w:val="0"/>
          <w:marRight w:val="0"/>
          <w:marTop w:val="0"/>
          <w:marBottom w:val="0"/>
          <w:divBdr>
            <w:top w:val="none" w:sz="0" w:space="0" w:color="auto"/>
            <w:left w:val="none" w:sz="0" w:space="0" w:color="auto"/>
            <w:bottom w:val="none" w:sz="0" w:space="0" w:color="auto"/>
            <w:right w:val="none" w:sz="0" w:space="0" w:color="auto"/>
          </w:divBdr>
        </w:div>
        <w:div w:id="1311860377">
          <w:marLeft w:val="0"/>
          <w:marRight w:val="0"/>
          <w:marTop w:val="0"/>
          <w:marBottom w:val="0"/>
          <w:divBdr>
            <w:top w:val="none" w:sz="0" w:space="0" w:color="auto"/>
            <w:left w:val="none" w:sz="0" w:space="0" w:color="auto"/>
            <w:bottom w:val="none" w:sz="0" w:space="0" w:color="auto"/>
            <w:right w:val="none" w:sz="0" w:space="0" w:color="auto"/>
          </w:divBdr>
        </w:div>
      </w:divsChild>
    </w:div>
    <w:div w:id="850992540">
      <w:bodyDiv w:val="1"/>
      <w:marLeft w:val="0"/>
      <w:marRight w:val="0"/>
      <w:marTop w:val="0"/>
      <w:marBottom w:val="0"/>
      <w:divBdr>
        <w:top w:val="none" w:sz="0" w:space="0" w:color="auto"/>
        <w:left w:val="none" w:sz="0" w:space="0" w:color="auto"/>
        <w:bottom w:val="none" w:sz="0" w:space="0" w:color="auto"/>
        <w:right w:val="none" w:sz="0" w:space="0" w:color="auto"/>
      </w:divBdr>
      <w:divsChild>
        <w:div w:id="1716346241">
          <w:marLeft w:val="0"/>
          <w:marRight w:val="0"/>
          <w:marTop w:val="0"/>
          <w:marBottom w:val="0"/>
          <w:divBdr>
            <w:top w:val="none" w:sz="0" w:space="0" w:color="auto"/>
            <w:left w:val="none" w:sz="0" w:space="0" w:color="auto"/>
            <w:bottom w:val="none" w:sz="0" w:space="0" w:color="auto"/>
            <w:right w:val="none" w:sz="0" w:space="0" w:color="auto"/>
          </w:divBdr>
          <w:divsChild>
            <w:div w:id="764305511">
              <w:marLeft w:val="0"/>
              <w:marRight w:val="0"/>
              <w:marTop w:val="0"/>
              <w:marBottom w:val="0"/>
              <w:divBdr>
                <w:top w:val="none" w:sz="0" w:space="0" w:color="auto"/>
                <w:left w:val="none" w:sz="0" w:space="0" w:color="auto"/>
                <w:bottom w:val="none" w:sz="0" w:space="0" w:color="auto"/>
                <w:right w:val="none" w:sz="0" w:space="0" w:color="auto"/>
              </w:divBdr>
              <w:divsChild>
                <w:div w:id="17381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9720">
      <w:bodyDiv w:val="1"/>
      <w:marLeft w:val="0"/>
      <w:marRight w:val="0"/>
      <w:marTop w:val="0"/>
      <w:marBottom w:val="0"/>
      <w:divBdr>
        <w:top w:val="none" w:sz="0" w:space="0" w:color="auto"/>
        <w:left w:val="none" w:sz="0" w:space="0" w:color="auto"/>
        <w:bottom w:val="none" w:sz="0" w:space="0" w:color="auto"/>
        <w:right w:val="none" w:sz="0" w:space="0" w:color="auto"/>
      </w:divBdr>
      <w:divsChild>
        <w:div w:id="2042510718">
          <w:marLeft w:val="0"/>
          <w:marRight w:val="0"/>
          <w:marTop w:val="0"/>
          <w:marBottom w:val="0"/>
          <w:divBdr>
            <w:top w:val="none" w:sz="0" w:space="0" w:color="auto"/>
            <w:left w:val="none" w:sz="0" w:space="0" w:color="auto"/>
            <w:bottom w:val="none" w:sz="0" w:space="0" w:color="auto"/>
            <w:right w:val="none" w:sz="0" w:space="0" w:color="auto"/>
          </w:divBdr>
          <w:divsChild>
            <w:div w:id="1727871991">
              <w:marLeft w:val="0"/>
              <w:marRight w:val="0"/>
              <w:marTop w:val="0"/>
              <w:marBottom w:val="0"/>
              <w:divBdr>
                <w:top w:val="none" w:sz="0" w:space="0" w:color="auto"/>
                <w:left w:val="none" w:sz="0" w:space="0" w:color="auto"/>
                <w:bottom w:val="none" w:sz="0" w:space="0" w:color="auto"/>
                <w:right w:val="none" w:sz="0" w:space="0" w:color="auto"/>
              </w:divBdr>
              <w:divsChild>
                <w:div w:id="804733215">
                  <w:marLeft w:val="0"/>
                  <w:marRight w:val="0"/>
                  <w:marTop w:val="0"/>
                  <w:marBottom w:val="0"/>
                  <w:divBdr>
                    <w:top w:val="none" w:sz="0" w:space="0" w:color="auto"/>
                    <w:left w:val="none" w:sz="0" w:space="0" w:color="auto"/>
                    <w:bottom w:val="none" w:sz="0" w:space="0" w:color="auto"/>
                    <w:right w:val="none" w:sz="0" w:space="0" w:color="auto"/>
                  </w:divBdr>
                  <w:divsChild>
                    <w:div w:id="9689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537059">
      <w:bodyDiv w:val="1"/>
      <w:marLeft w:val="0"/>
      <w:marRight w:val="0"/>
      <w:marTop w:val="0"/>
      <w:marBottom w:val="0"/>
      <w:divBdr>
        <w:top w:val="none" w:sz="0" w:space="0" w:color="auto"/>
        <w:left w:val="none" w:sz="0" w:space="0" w:color="auto"/>
        <w:bottom w:val="none" w:sz="0" w:space="0" w:color="auto"/>
        <w:right w:val="none" w:sz="0" w:space="0" w:color="auto"/>
      </w:divBdr>
      <w:divsChild>
        <w:div w:id="689718863">
          <w:marLeft w:val="0"/>
          <w:marRight w:val="0"/>
          <w:marTop w:val="0"/>
          <w:marBottom w:val="0"/>
          <w:divBdr>
            <w:top w:val="none" w:sz="0" w:space="0" w:color="auto"/>
            <w:left w:val="none" w:sz="0" w:space="0" w:color="auto"/>
            <w:bottom w:val="none" w:sz="0" w:space="0" w:color="auto"/>
            <w:right w:val="none" w:sz="0" w:space="0" w:color="auto"/>
          </w:divBdr>
          <w:divsChild>
            <w:div w:id="1422874012">
              <w:marLeft w:val="0"/>
              <w:marRight w:val="0"/>
              <w:marTop w:val="0"/>
              <w:marBottom w:val="0"/>
              <w:divBdr>
                <w:top w:val="none" w:sz="0" w:space="0" w:color="auto"/>
                <w:left w:val="none" w:sz="0" w:space="0" w:color="auto"/>
                <w:bottom w:val="none" w:sz="0" w:space="0" w:color="auto"/>
                <w:right w:val="none" w:sz="0" w:space="0" w:color="auto"/>
              </w:divBdr>
              <w:divsChild>
                <w:div w:id="765535272">
                  <w:marLeft w:val="0"/>
                  <w:marRight w:val="0"/>
                  <w:marTop w:val="0"/>
                  <w:marBottom w:val="0"/>
                  <w:divBdr>
                    <w:top w:val="none" w:sz="0" w:space="0" w:color="auto"/>
                    <w:left w:val="none" w:sz="0" w:space="0" w:color="auto"/>
                    <w:bottom w:val="none" w:sz="0" w:space="0" w:color="auto"/>
                    <w:right w:val="none" w:sz="0" w:space="0" w:color="auto"/>
                  </w:divBdr>
                </w:div>
                <w:div w:id="593394952">
                  <w:marLeft w:val="0"/>
                  <w:marRight w:val="0"/>
                  <w:marTop w:val="0"/>
                  <w:marBottom w:val="0"/>
                  <w:divBdr>
                    <w:top w:val="none" w:sz="0" w:space="0" w:color="auto"/>
                    <w:left w:val="none" w:sz="0" w:space="0" w:color="auto"/>
                    <w:bottom w:val="none" w:sz="0" w:space="0" w:color="auto"/>
                    <w:right w:val="none" w:sz="0" w:space="0" w:color="auto"/>
                  </w:divBdr>
                </w:div>
              </w:divsChild>
            </w:div>
            <w:div w:id="1826774987">
              <w:marLeft w:val="0"/>
              <w:marRight w:val="0"/>
              <w:marTop w:val="0"/>
              <w:marBottom w:val="0"/>
              <w:divBdr>
                <w:top w:val="none" w:sz="0" w:space="0" w:color="auto"/>
                <w:left w:val="none" w:sz="0" w:space="0" w:color="auto"/>
                <w:bottom w:val="none" w:sz="0" w:space="0" w:color="auto"/>
                <w:right w:val="none" w:sz="0" w:space="0" w:color="auto"/>
              </w:divBdr>
              <w:divsChild>
                <w:div w:id="1369600708">
                  <w:marLeft w:val="0"/>
                  <w:marRight w:val="0"/>
                  <w:marTop w:val="0"/>
                  <w:marBottom w:val="0"/>
                  <w:divBdr>
                    <w:top w:val="none" w:sz="0" w:space="0" w:color="auto"/>
                    <w:left w:val="none" w:sz="0" w:space="0" w:color="auto"/>
                    <w:bottom w:val="none" w:sz="0" w:space="0" w:color="auto"/>
                    <w:right w:val="none" w:sz="0" w:space="0" w:color="auto"/>
                  </w:divBdr>
                </w:div>
              </w:divsChild>
            </w:div>
            <w:div w:id="220869009">
              <w:marLeft w:val="0"/>
              <w:marRight w:val="0"/>
              <w:marTop w:val="0"/>
              <w:marBottom w:val="0"/>
              <w:divBdr>
                <w:top w:val="none" w:sz="0" w:space="0" w:color="auto"/>
                <w:left w:val="none" w:sz="0" w:space="0" w:color="auto"/>
                <w:bottom w:val="none" w:sz="0" w:space="0" w:color="auto"/>
                <w:right w:val="none" w:sz="0" w:space="0" w:color="auto"/>
              </w:divBdr>
              <w:divsChild>
                <w:div w:id="1556119037">
                  <w:marLeft w:val="0"/>
                  <w:marRight w:val="0"/>
                  <w:marTop w:val="0"/>
                  <w:marBottom w:val="0"/>
                  <w:divBdr>
                    <w:top w:val="none" w:sz="0" w:space="0" w:color="auto"/>
                    <w:left w:val="none" w:sz="0" w:space="0" w:color="auto"/>
                    <w:bottom w:val="none" w:sz="0" w:space="0" w:color="auto"/>
                    <w:right w:val="none" w:sz="0" w:space="0" w:color="auto"/>
                  </w:divBdr>
                  <w:divsChild>
                    <w:div w:id="2158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652451">
          <w:marLeft w:val="0"/>
          <w:marRight w:val="0"/>
          <w:marTop w:val="0"/>
          <w:marBottom w:val="0"/>
          <w:divBdr>
            <w:top w:val="none" w:sz="0" w:space="0" w:color="auto"/>
            <w:left w:val="none" w:sz="0" w:space="0" w:color="auto"/>
            <w:bottom w:val="none" w:sz="0" w:space="0" w:color="auto"/>
            <w:right w:val="none" w:sz="0" w:space="0" w:color="auto"/>
          </w:divBdr>
          <w:divsChild>
            <w:div w:id="2015329529">
              <w:marLeft w:val="0"/>
              <w:marRight w:val="0"/>
              <w:marTop w:val="0"/>
              <w:marBottom w:val="0"/>
              <w:divBdr>
                <w:top w:val="none" w:sz="0" w:space="0" w:color="auto"/>
                <w:left w:val="none" w:sz="0" w:space="0" w:color="auto"/>
                <w:bottom w:val="none" w:sz="0" w:space="0" w:color="auto"/>
                <w:right w:val="none" w:sz="0" w:space="0" w:color="auto"/>
              </w:divBdr>
              <w:divsChild>
                <w:div w:id="173614833">
                  <w:marLeft w:val="0"/>
                  <w:marRight w:val="0"/>
                  <w:marTop w:val="0"/>
                  <w:marBottom w:val="0"/>
                  <w:divBdr>
                    <w:top w:val="none" w:sz="0" w:space="0" w:color="auto"/>
                    <w:left w:val="none" w:sz="0" w:space="0" w:color="auto"/>
                    <w:bottom w:val="none" w:sz="0" w:space="0" w:color="auto"/>
                    <w:right w:val="none" w:sz="0" w:space="0" w:color="auto"/>
                  </w:divBdr>
                  <w:divsChild>
                    <w:div w:id="13218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5513">
      <w:bodyDiv w:val="1"/>
      <w:marLeft w:val="0"/>
      <w:marRight w:val="0"/>
      <w:marTop w:val="0"/>
      <w:marBottom w:val="0"/>
      <w:divBdr>
        <w:top w:val="none" w:sz="0" w:space="0" w:color="auto"/>
        <w:left w:val="none" w:sz="0" w:space="0" w:color="auto"/>
        <w:bottom w:val="none" w:sz="0" w:space="0" w:color="auto"/>
        <w:right w:val="none" w:sz="0" w:space="0" w:color="auto"/>
      </w:divBdr>
    </w:div>
    <w:div w:id="1003781997">
      <w:bodyDiv w:val="1"/>
      <w:marLeft w:val="0"/>
      <w:marRight w:val="0"/>
      <w:marTop w:val="0"/>
      <w:marBottom w:val="0"/>
      <w:divBdr>
        <w:top w:val="none" w:sz="0" w:space="0" w:color="auto"/>
        <w:left w:val="none" w:sz="0" w:space="0" w:color="auto"/>
        <w:bottom w:val="none" w:sz="0" w:space="0" w:color="auto"/>
        <w:right w:val="none" w:sz="0" w:space="0" w:color="auto"/>
      </w:divBdr>
    </w:div>
    <w:div w:id="1005397911">
      <w:bodyDiv w:val="1"/>
      <w:marLeft w:val="0"/>
      <w:marRight w:val="0"/>
      <w:marTop w:val="0"/>
      <w:marBottom w:val="0"/>
      <w:divBdr>
        <w:top w:val="none" w:sz="0" w:space="0" w:color="auto"/>
        <w:left w:val="none" w:sz="0" w:space="0" w:color="auto"/>
        <w:bottom w:val="none" w:sz="0" w:space="0" w:color="auto"/>
        <w:right w:val="none" w:sz="0" w:space="0" w:color="auto"/>
      </w:divBdr>
    </w:div>
    <w:div w:id="1018121444">
      <w:bodyDiv w:val="1"/>
      <w:marLeft w:val="0"/>
      <w:marRight w:val="0"/>
      <w:marTop w:val="0"/>
      <w:marBottom w:val="0"/>
      <w:divBdr>
        <w:top w:val="none" w:sz="0" w:space="0" w:color="auto"/>
        <w:left w:val="none" w:sz="0" w:space="0" w:color="auto"/>
        <w:bottom w:val="none" w:sz="0" w:space="0" w:color="auto"/>
        <w:right w:val="none" w:sz="0" w:space="0" w:color="auto"/>
      </w:divBdr>
      <w:divsChild>
        <w:div w:id="1060976659">
          <w:marLeft w:val="0"/>
          <w:marRight w:val="0"/>
          <w:marTop w:val="0"/>
          <w:marBottom w:val="0"/>
          <w:divBdr>
            <w:top w:val="none" w:sz="0" w:space="0" w:color="auto"/>
            <w:left w:val="none" w:sz="0" w:space="0" w:color="auto"/>
            <w:bottom w:val="none" w:sz="0" w:space="0" w:color="auto"/>
            <w:right w:val="none" w:sz="0" w:space="0" w:color="auto"/>
          </w:divBdr>
          <w:divsChild>
            <w:div w:id="466944859">
              <w:marLeft w:val="0"/>
              <w:marRight w:val="0"/>
              <w:marTop w:val="0"/>
              <w:marBottom w:val="0"/>
              <w:divBdr>
                <w:top w:val="none" w:sz="0" w:space="0" w:color="auto"/>
                <w:left w:val="none" w:sz="0" w:space="0" w:color="auto"/>
                <w:bottom w:val="none" w:sz="0" w:space="0" w:color="auto"/>
                <w:right w:val="none" w:sz="0" w:space="0" w:color="auto"/>
              </w:divBdr>
              <w:divsChild>
                <w:div w:id="1127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6502">
      <w:bodyDiv w:val="1"/>
      <w:marLeft w:val="0"/>
      <w:marRight w:val="0"/>
      <w:marTop w:val="0"/>
      <w:marBottom w:val="0"/>
      <w:divBdr>
        <w:top w:val="none" w:sz="0" w:space="0" w:color="auto"/>
        <w:left w:val="none" w:sz="0" w:space="0" w:color="auto"/>
        <w:bottom w:val="none" w:sz="0" w:space="0" w:color="auto"/>
        <w:right w:val="none" w:sz="0" w:space="0" w:color="auto"/>
      </w:divBdr>
      <w:divsChild>
        <w:div w:id="288517252">
          <w:marLeft w:val="0"/>
          <w:marRight w:val="0"/>
          <w:marTop w:val="0"/>
          <w:marBottom w:val="0"/>
          <w:divBdr>
            <w:top w:val="none" w:sz="0" w:space="0" w:color="auto"/>
            <w:left w:val="none" w:sz="0" w:space="0" w:color="auto"/>
            <w:bottom w:val="none" w:sz="0" w:space="0" w:color="auto"/>
            <w:right w:val="none" w:sz="0" w:space="0" w:color="auto"/>
          </w:divBdr>
          <w:divsChild>
            <w:div w:id="782044004">
              <w:marLeft w:val="0"/>
              <w:marRight w:val="0"/>
              <w:marTop w:val="0"/>
              <w:marBottom w:val="0"/>
              <w:divBdr>
                <w:top w:val="none" w:sz="0" w:space="0" w:color="auto"/>
                <w:left w:val="none" w:sz="0" w:space="0" w:color="auto"/>
                <w:bottom w:val="none" w:sz="0" w:space="0" w:color="auto"/>
                <w:right w:val="none" w:sz="0" w:space="0" w:color="auto"/>
              </w:divBdr>
              <w:divsChild>
                <w:div w:id="1076320800">
                  <w:marLeft w:val="0"/>
                  <w:marRight w:val="0"/>
                  <w:marTop w:val="0"/>
                  <w:marBottom w:val="0"/>
                  <w:divBdr>
                    <w:top w:val="none" w:sz="0" w:space="0" w:color="auto"/>
                    <w:left w:val="none" w:sz="0" w:space="0" w:color="auto"/>
                    <w:bottom w:val="none" w:sz="0" w:space="0" w:color="auto"/>
                    <w:right w:val="none" w:sz="0" w:space="0" w:color="auto"/>
                  </w:divBdr>
                  <w:divsChild>
                    <w:div w:id="8696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662755">
      <w:bodyDiv w:val="1"/>
      <w:marLeft w:val="0"/>
      <w:marRight w:val="0"/>
      <w:marTop w:val="0"/>
      <w:marBottom w:val="0"/>
      <w:divBdr>
        <w:top w:val="none" w:sz="0" w:space="0" w:color="auto"/>
        <w:left w:val="none" w:sz="0" w:space="0" w:color="auto"/>
        <w:bottom w:val="none" w:sz="0" w:space="0" w:color="auto"/>
        <w:right w:val="none" w:sz="0" w:space="0" w:color="auto"/>
      </w:divBdr>
    </w:div>
    <w:div w:id="1052268501">
      <w:bodyDiv w:val="1"/>
      <w:marLeft w:val="0"/>
      <w:marRight w:val="0"/>
      <w:marTop w:val="0"/>
      <w:marBottom w:val="0"/>
      <w:divBdr>
        <w:top w:val="none" w:sz="0" w:space="0" w:color="auto"/>
        <w:left w:val="none" w:sz="0" w:space="0" w:color="auto"/>
        <w:bottom w:val="none" w:sz="0" w:space="0" w:color="auto"/>
        <w:right w:val="none" w:sz="0" w:space="0" w:color="auto"/>
      </w:divBdr>
      <w:divsChild>
        <w:div w:id="530460423">
          <w:marLeft w:val="0"/>
          <w:marRight w:val="0"/>
          <w:marTop w:val="0"/>
          <w:marBottom w:val="0"/>
          <w:divBdr>
            <w:top w:val="none" w:sz="0" w:space="0" w:color="auto"/>
            <w:left w:val="none" w:sz="0" w:space="0" w:color="auto"/>
            <w:bottom w:val="none" w:sz="0" w:space="0" w:color="auto"/>
            <w:right w:val="none" w:sz="0" w:space="0" w:color="auto"/>
          </w:divBdr>
          <w:divsChild>
            <w:div w:id="240256325">
              <w:marLeft w:val="0"/>
              <w:marRight w:val="0"/>
              <w:marTop w:val="0"/>
              <w:marBottom w:val="0"/>
              <w:divBdr>
                <w:top w:val="none" w:sz="0" w:space="0" w:color="auto"/>
                <w:left w:val="none" w:sz="0" w:space="0" w:color="auto"/>
                <w:bottom w:val="none" w:sz="0" w:space="0" w:color="auto"/>
                <w:right w:val="none" w:sz="0" w:space="0" w:color="auto"/>
              </w:divBdr>
              <w:divsChild>
                <w:div w:id="1957833077">
                  <w:marLeft w:val="0"/>
                  <w:marRight w:val="0"/>
                  <w:marTop w:val="0"/>
                  <w:marBottom w:val="0"/>
                  <w:divBdr>
                    <w:top w:val="none" w:sz="0" w:space="0" w:color="auto"/>
                    <w:left w:val="none" w:sz="0" w:space="0" w:color="auto"/>
                    <w:bottom w:val="none" w:sz="0" w:space="0" w:color="auto"/>
                    <w:right w:val="none" w:sz="0" w:space="0" w:color="auto"/>
                  </w:divBdr>
                  <w:divsChild>
                    <w:div w:id="6819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22073">
      <w:bodyDiv w:val="1"/>
      <w:marLeft w:val="0"/>
      <w:marRight w:val="0"/>
      <w:marTop w:val="0"/>
      <w:marBottom w:val="0"/>
      <w:divBdr>
        <w:top w:val="none" w:sz="0" w:space="0" w:color="auto"/>
        <w:left w:val="none" w:sz="0" w:space="0" w:color="auto"/>
        <w:bottom w:val="none" w:sz="0" w:space="0" w:color="auto"/>
        <w:right w:val="none" w:sz="0" w:space="0" w:color="auto"/>
      </w:divBdr>
      <w:divsChild>
        <w:div w:id="696395369">
          <w:marLeft w:val="0"/>
          <w:marRight w:val="0"/>
          <w:marTop w:val="0"/>
          <w:marBottom w:val="0"/>
          <w:divBdr>
            <w:top w:val="none" w:sz="0" w:space="0" w:color="auto"/>
            <w:left w:val="none" w:sz="0" w:space="0" w:color="auto"/>
            <w:bottom w:val="none" w:sz="0" w:space="0" w:color="auto"/>
            <w:right w:val="none" w:sz="0" w:space="0" w:color="auto"/>
          </w:divBdr>
          <w:divsChild>
            <w:div w:id="644091802">
              <w:marLeft w:val="0"/>
              <w:marRight w:val="0"/>
              <w:marTop w:val="0"/>
              <w:marBottom w:val="0"/>
              <w:divBdr>
                <w:top w:val="none" w:sz="0" w:space="0" w:color="auto"/>
                <w:left w:val="none" w:sz="0" w:space="0" w:color="auto"/>
                <w:bottom w:val="none" w:sz="0" w:space="0" w:color="auto"/>
                <w:right w:val="none" w:sz="0" w:space="0" w:color="auto"/>
              </w:divBdr>
              <w:divsChild>
                <w:div w:id="304162618">
                  <w:marLeft w:val="0"/>
                  <w:marRight w:val="0"/>
                  <w:marTop w:val="0"/>
                  <w:marBottom w:val="0"/>
                  <w:divBdr>
                    <w:top w:val="none" w:sz="0" w:space="0" w:color="auto"/>
                    <w:left w:val="none" w:sz="0" w:space="0" w:color="auto"/>
                    <w:bottom w:val="none" w:sz="0" w:space="0" w:color="auto"/>
                    <w:right w:val="none" w:sz="0" w:space="0" w:color="auto"/>
                  </w:divBdr>
                  <w:divsChild>
                    <w:div w:id="374231912">
                      <w:marLeft w:val="0"/>
                      <w:marRight w:val="0"/>
                      <w:marTop w:val="0"/>
                      <w:marBottom w:val="0"/>
                      <w:divBdr>
                        <w:top w:val="none" w:sz="0" w:space="0" w:color="auto"/>
                        <w:left w:val="none" w:sz="0" w:space="0" w:color="auto"/>
                        <w:bottom w:val="none" w:sz="0" w:space="0" w:color="auto"/>
                        <w:right w:val="none" w:sz="0" w:space="0" w:color="auto"/>
                      </w:divBdr>
                      <w:divsChild>
                        <w:div w:id="1430353715">
                          <w:marLeft w:val="0"/>
                          <w:marRight w:val="0"/>
                          <w:marTop w:val="0"/>
                          <w:marBottom w:val="0"/>
                          <w:divBdr>
                            <w:top w:val="none" w:sz="0" w:space="0" w:color="auto"/>
                            <w:left w:val="none" w:sz="0" w:space="0" w:color="auto"/>
                            <w:bottom w:val="none" w:sz="0" w:space="0" w:color="auto"/>
                            <w:right w:val="none" w:sz="0" w:space="0" w:color="auto"/>
                          </w:divBdr>
                        </w:div>
                      </w:divsChild>
                    </w:div>
                    <w:div w:id="1007711784">
                      <w:marLeft w:val="0"/>
                      <w:marRight w:val="0"/>
                      <w:marTop w:val="0"/>
                      <w:marBottom w:val="0"/>
                      <w:divBdr>
                        <w:top w:val="none" w:sz="0" w:space="0" w:color="auto"/>
                        <w:left w:val="none" w:sz="0" w:space="0" w:color="auto"/>
                        <w:bottom w:val="none" w:sz="0" w:space="0" w:color="auto"/>
                        <w:right w:val="none" w:sz="0" w:space="0" w:color="auto"/>
                      </w:divBdr>
                      <w:divsChild>
                        <w:div w:id="15847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076">
                  <w:marLeft w:val="0"/>
                  <w:marRight w:val="0"/>
                  <w:marTop w:val="0"/>
                  <w:marBottom w:val="0"/>
                  <w:divBdr>
                    <w:top w:val="none" w:sz="0" w:space="0" w:color="auto"/>
                    <w:left w:val="none" w:sz="0" w:space="0" w:color="auto"/>
                    <w:bottom w:val="none" w:sz="0" w:space="0" w:color="auto"/>
                    <w:right w:val="none" w:sz="0" w:space="0" w:color="auto"/>
                  </w:divBdr>
                  <w:divsChild>
                    <w:div w:id="2011054340">
                      <w:marLeft w:val="0"/>
                      <w:marRight w:val="0"/>
                      <w:marTop w:val="0"/>
                      <w:marBottom w:val="0"/>
                      <w:divBdr>
                        <w:top w:val="none" w:sz="0" w:space="0" w:color="auto"/>
                        <w:left w:val="none" w:sz="0" w:space="0" w:color="auto"/>
                        <w:bottom w:val="none" w:sz="0" w:space="0" w:color="auto"/>
                        <w:right w:val="none" w:sz="0" w:space="0" w:color="auto"/>
                      </w:divBdr>
                      <w:divsChild>
                        <w:div w:id="20923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7681">
              <w:marLeft w:val="0"/>
              <w:marRight w:val="0"/>
              <w:marTop w:val="0"/>
              <w:marBottom w:val="0"/>
              <w:divBdr>
                <w:top w:val="none" w:sz="0" w:space="0" w:color="auto"/>
                <w:left w:val="none" w:sz="0" w:space="0" w:color="auto"/>
                <w:bottom w:val="none" w:sz="0" w:space="0" w:color="auto"/>
                <w:right w:val="none" w:sz="0" w:space="0" w:color="auto"/>
              </w:divBdr>
              <w:divsChild>
                <w:div w:id="1806963825">
                  <w:marLeft w:val="0"/>
                  <w:marRight w:val="0"/>
                  <w:marTop w:val="0"/>
                  <w:marBottom w:val="0"/>
                  <w:divBdr>
                    <w:top w:val="none" w:sz="0" w:space="0" w:color="auto"/>
                    <w:left w:val="none" w:sz="0" w:space="0" w:color="auto"/>
                    <w:bottom w:val="none" w:sz="0" w:space="0" w:color="auto"/>
                    <w:right w:val="none" w:sz="0" w:space="0" w:color="auto"/>
                  </w:divBdr>
                  <w:divsChild>
                    <w:div w:id="849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6528">
          <w:marLeft w:val="0"/>
          <w:marRight w:val="0"/>
          <w:marTop w:val="0"/>
          <w:marBottom w:val="0"/>
          <w:divBdr>
            <w:top w:val="none" w:sz="0" w:space="0" w:color="auto"/>
            <w:left w:val="none" w:sz="0" w:space="0" w:color="auto"/>
            <w:bottom w:val="none" w:sz="0" w:space="0" w:color="auto"/>
            <w:right w:val="none" w:sz="0" w:space="0" w:color="auto"/>
          </w:divBdr>
          <w:divsChild>
            <w:div w:id="1472938471">
              <w:marLeft w:val="0"/>
              <w:marRight w:val="0"/>
              <w:marTop w:val="0"/>
              <w:marBottom w:val="0"/>
              <w:divBdr>
                <w:top w:val="none" w:sz="0" w:space="0" w:color="auto"/>
                <w:left w:val="none" w:sz="0" w:space="0" w:color="auto"/>
                <w:bottom w:val="none" w:sz="0" w:space="0" w:color="auto"/>
                <w:right w:val="none" w:sz="0" w:space="0" w:color="auto"/>
              </w:divBdr>
              <w:divsChild>
                <w:div w:id="1395355858">
                  <w:marLeft w:val="0"/>
                  <w:marRight w:val="0"/>
                  <w:marTop w:val="0"/>
                  <w:marBottom w:val="0"/>
                  <w:divBdr>
                    <w:top w:val="none" w:sz="0" w:space="0" w:color="auto"/>
                    <w:left w:val="none" w:sz="0" w:space="0" w:color="auto"/>
                    <w:bottom w:val="none" w:sz="0" w:space="0" w:color="auto"/>
                    <w:right w:val="none" w:sz="0" w:space="0" w:color="auto"/>
                  </w:divBdr>
                  <w:divsChild>
                    <w:div w:id="2613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139">
      <w:bodyDiv w:val="1"/>
      <w:marLeft w:val="0"/>
      <w:marRight w:val="0"/>
      <w:marTop w:val="0"/>
      <w:marBottom w:val="0"/>
      <w:divBdr>
        <w:top w:val="none" w:sz="0" w:space="0" w:color="auto"/>
        <w:left w:val="none" w:sz="0" w:space="0" w:color="auto"/>
        <w:bottom w:val="none" w:sz="0" w:space="0" w:color="auto"/>
        <w:right w:val="none" w:sz="0" w:space="0" w:color="auto"/>
      </w:divBdr>
      <w:divsChild>
        <w:div w:id="808594870">
          <w:marLeft w:val="0"/>
          <w:marRight w:val="0"/>
          <w:marTop w:val="0"/>
          <w:marBottom w:val="0"/>
          <w:divBdr>
            <w:top w:val="none" w:sz="0" w:space="0" w:color="auto"/>
            <w:left w:val="none" w:sz="0" w:space="0" w:color="auto"/>
            <w:bottom w:val="none" w:sz="0" w:space="0" w:color="auto"/>
            <w:right w:val="none" w:sz="0" w:space="0" w:color="auto"/>
          </w:divBdr>
          <w:divsChild>
            <w:div w:id="1123306215">
              <w:marLeft w:val="0"/>
              <w:marRight w:val="0"/>
              <w:marTop w:val="0"/>
              <w:marBottom w:val="0"/>
              <w:divBdr>
                <w:top w:val="none" w:sz="0" w:space="0" w:color="auto"/>
                <w:left w:val="none" w:sz="0" w:space="0" w:color="auto"/>
                <w:bottom w:val="none" w:sz="0" w:space="0" w:color="auto"/>
                <w:right w:val="none" w:sz="0" w:space="0" w:color="auto"/>
              </w:divBdr>
              <w:divsChild>
                <w:div w:id="1910579154">
                  <w:marLeft w:val="0"/>
                  <w:marRight w:val="0"/>
                  <w:marTop w:val="0"/>
                  <w:marBottom w:val="0"/>
                  <w:divBdr>
                    <w:top w:val="none" w:sz="0" w:space="0" w:color="auto"/>
                    <w:left w:val="none" w:sz="0" w:space="0" w:color="auto"/>
                    <w:bottom w:val="none" w:sz="0" w:space="0" w:color="auto"/>
                    <w:right w:val="none" w:sz="0" w:space="0" w:color="auto"/>
                  </w:divBdr>
                  <w:divsChild>
                    <w:div w:id="3839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106134">
      <w:bodyDiv w:val="1"/>
      <w:marLeft w:val="0"/>
      <w:marRight w:val="0"/>
      <w:marTop w:val="0"/>
      <w:marBottom w:val="0"/>
      <w:divBdr>
        <w:top w:val="none" w:sz="0" w:space="0" w:color="auto"/>
        <w:left w:val="none" w:sz="0" w:space="0" w:color="auto"/>
        <w:bottom w:val="none" w:sz="0" w:space="0" w:color="auto"/>
        <w:right w:val="none" w:sz="0" w:space="0" w:color="auto"/>
      </w:divBdr>
      <w:divsChild>
        <w:div w:id="477191720">
          <w:marLeft w:val="0"/>
          <w:marRight w:val="0"/>
          <w:marTop w:val="0"/>
          <w:marBottom w:val="0"/>
          <w:divBdr>
            <w:top w:val="none" w:sz="0" w:space="0" w:color="auto"/>
            <w:left w:val="none" w:sz="0" w:space="0" w:color="auto"/>
            <w:bottom w:val="none" w:sz="0" w:space="0" w:color="auto"/>
            <w:right w:val="none" w:sz="0" w:space="0" w:color="auto"/>
          </w:divBdr>
          <w:divsChild>
            <w:div w:id="1901669907">
              <w:marLeft w:val="0"/>
              <w:marRight w:val="0"/>
              <w:marTop w:val="0"/>
              <w:marBottom w:val="0"/>
              <w:divBdr>
                <w:top w:val="none" w:sz="0" w:space="0" w:color="auto"/>
                <w:left w:val="none" w:sz="0" w:space="0" w:color="auto"/>
                <w:bottom w:val="none" w:sz="0" w:space="0" w:color="auto"/>
                <w:right w:val="none" w:sz="0" w:space="0" w:color="auto"/>
              </w:divBdr>
              <w:divsChild>
                <w:div w:id="1680885324">
                  <w:marLeft w:val="0"/>
                  <w:marRight w:val="0"/>
                  <w:marTop w:val="0"/>
                  <w:marBottom w:val="0"/>
                  <w:divBdr>
                    <w:top w:val="none" w:sz="0" w:space="0" w:color="auto"/>
                    <w:left w:val="none" w:sz="0" w:space="0" w:color="auto"/>
                    <w:bottom w:val="none" w:sz="0" w:space="0" w:color="auto"/>
                    <w:right w:val="none" w:sz="0" w:space="0" w:color="auto"/>
                  </w:divBdr>
                  <w:divsChild>
                    <w:div w:id="9278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24004">
      <w:bodyDiv w:val="1"/>
      <w:marLeft w:val="0"/>
      <w:marRight w:val="0"/>
      <w:marTop w:val="0"/>
      <w:marBottom w:val="0"/>
      <w:divBdr>
        <w:top w:val="none" w:sz="0" w:space="0" w:color="auto"/>
        <w:left w:val="none" w:sz="0" w:space="0" w:color="auto"/>
        <w:bottom w:val="none" w:sz="0" w:space="0" w:color="auto"/>
        <w:right w:val="none" w:sz="0" w:space="0" w:color="auto"/>
      </w:divBdr>
    </w:div>
    <w:div w:id="1121417482">
      <w:bodyDiv w:val="1"/>
      <w:marLeft w:val="0"/>
      <w:marRight w:val="0"/>
      <w:marTop w:val="0"/>
      <w:marBottom w:val="0"/>
      <w:divBdr>
        <w:top w:val="none" w:sz="0" w:space="0" w:color="auto"/>
        <w:left w:val="none" w:sz="0" w:space="0" w:color="auto"/>
        <w:bottom w:val="none" w:sz="0" w:space="0" w:color="auto"/>
        <w:right w:val="none" w:sz="0" w:space="0" w:color="auto"/>
      </w:divBdr>
      <w:divsChild>
        <w:div w:id="1221481403">
          <w:marLeft w:val="0"/>
          <w:marRight w:val="0"/>
          <w:marTop w:val="0"/>
          <w:marBottom w:val="0"/>
          <w:divBdr>
            <w:top w:val="none" w:sz="0" w:space="0" w:color="auto"/>
            <w:left w:val="none" w:sz="0" w:space="0" w:color="auto"/>
            <w:bottom w:val="none" w:sz="0" w:space="0" w:color="auto"/>
            <w:right w:val="none" w:sz="0" w:space="0" w:color="auto"/>
          </w:divBdr>
          <w:divsChild>
            <w:div w:id="133762791">
              <w:marLeft w:val="0"/>
              <w:marRight w:val="0"/>
              <w:marTop w:val="0"/>
              <w:marBottom w:val="0"/>
              <w:divBdr>
                <w:top w:val="none" w:sz="0" w:space="0" w:color="auto"/>
                <w:left w:val="none" w:sz="0" w:space="0" w:color="auto"/>
                <w:bottom w:val="none" w:sz="0" w:space="0" w:color="auto"/>
                <w:right w:val="none" w:sz="0" w:space="0" w:color="auto"/>
              </w:divBdr>
              <w:divsChild>
                <w:div w:id="222722897">
                  <w:marLeft w:val="0"/>
                  <w:marRight w:val="0"/>
                  <w:marTop w:val="0"/>
                  <w:marBottom w:val="0"/>
                  <w:divBdr>
                    <w:top w:val="none" w:sz="0" w:space="0" w:color="auto"/>
                    <w:left w:val="none" w:sz="0" w:space="0" w:color="auto"/>
                    <w:bottom w:val="none" w:sz="0" w:space="0" w:color="auto"/>
                    <w:right w:val="none" w:sz="0" w:space="0" w:color="auto"/>
                  </w:divBdr>
                  <w:divsChild>
                    <w:div w:id="4022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3930">
      <w:bodyDiv w:val="1"/>
      <w:marLeft w:val="0"/>
      <w:marRight w:val="0"/>
      <w:marTop w:val="0"/>
      <w:marBottom w:val="0"/>
      <w:divBdr>
        <w:top w:val="none" w:sz="0" w:space="0" w:color="auto"/>
        <w:left w:val="none" w:sz="0" w:space="0" w:color="auto"/>
        <w:bottom w:val="none" w:sz="0" w:space="0" w:color="auto"/>
        <w:right w:val="none" w:sz="0" w:space="0" w:color="auto"/>
      </w:divBdr>
      <w:divsChild>
        <w:div w:id="1741752479">
          <w:marLeft w:val="0"/>
          <w:marRight w:val="0"/>
          <w:marTop w:val="0"/>
          <w:marBottom w:val="0"/>
          <w:divBdr>
            <w:top w:val="none" w:sz="0" w:space="0" w:color="auto"/>
            <w:left w:val="none" w:sz="0" w:space="0" w:color="auto"/>
            <w:bottom w:val="none" w:sz="0" w:space="0" w:color="auto"/>
            <w:right w:val="none" w:sz="0" w:space="0" w:color="auto"/>
          </w:divBdr>
          <w:divsChild>
            <w:div w:id="1702245062">
              <w:marLeft w:val="0"/>
              <w:marRight w:val="0"/>
              <w:marTop w:val="0"/>
              <w:marBottom w:val="0"/>
              <w:divBdr>
                <w:top w:val="none" w:sz="0" w:space="0" w:color="auto"/>
                <w:left w:val="none" w:sz="0" w:space="0" w:color="auto"/>
                <w:bottom w:val="none" w:sz="0" w:space="0" w:color="auto"/>
                <w:right w:val="none" w:sz="0" w:space="0" w:color="auto"/>
              </w:divBdr>
              <w:divsChild>
                <w:div w:id="5115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4004">
      <w:bodyDiv w:val="1"/>
      <w:marLeft w:val="0"/>
      <w:marRight w:val="0"/>
      <w:marTop w:val="0"/>
      <w:marBottom w:val="0"/>
      <w:divBdr>
        <w:top w:val="none" w:sz="0" w:space="0" w:color="auto"/>
        <w:left w:val="none" w:sz="0" w:space="0" w:color="auto"/>
        <w:bottom w:val="none" w:sz="0" w:space="0" w:color="auto"/>
        <w:right w:val="none" w:sz="0" w:space="0" w:color="auto"/>
      </w:divBdr>
      <w:divsChild>
        <w:div w:id="916331680">
          <w:marLeft w:val="0"/>
          <w:marRight w:val="0"/>
          <w:marTop w:val="0"/>
          <w:marBottom w:val="0"/>
          <w:divBdr>
            <w:top w:val="none" w:sz="0" w:space="0" w:color="auto"/>
            <w:left w:val="none" w:sz="0" w:space="0" w:color="auto"/>
            <w:bottom w:val="none" w:sz="0" w:space="0" w:color="auto"/>
            <w:right w:val="none" w:sz="0" w:space="0" w:color="auto"/>
          </w:divBdr>
          <w:divsChild>
            <w:div w:id="236473978">
              <w:marLeft w:val="0"/>
              <w:marRight w:val="0"/>
              <w:marTop w:val="0"/>
              <w:marBottom w:val="0"/>
              <w:divBdr>
                <w:top w:val="none" w:sz="0" w:space="0" w:color="auto"/>
                <w:left w:val="none" w:sz="0" w:space="0" w:color="auto"/>
                <w:bottom w:val="none" w:sz="0" w:space="0" w:color="auto"/>
                <w:right w:val="none" w:sz="0" w:space="0" w:color="auto"/>
              </w:divBdr>
              <w:divsChild>
                <w:div w:id="1401631294">
                  <w:marLeft w:val="0"/>
                  <w:marRight w:val="0"/>
                  <w:marTop w:val="0"/>
                  <w:marBottom w:val="0"/>
                  <w:divBdr>
                    <w:top w:val="none" w:sz="0" w:space="0" w:color="auto"/>
                    <w:left w:val="none" w:sz="0" w:space="0" w:color="auto"/>
                    <w:bottom w:val="none" w:sz="0" w:space="0" w:color="auto"/>
                    <w:right w:val="none" w:sz="0" w:space="0" w:color="auto"/>
                  </w:divBdr>
                  <w:divsChild>
                    <w:div w:id="10632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27106">
      <w:bodyDiv w:val="1"/>
      <w:marLeft w:val="0"/>
      <w:marRight w:val="0"/>
      <w:marTop w:val="0"/>
      <w:marBottom w:val="0"/>
      <w:divBdr>
        <w:top w:val="none" w:sz="0" w:space="0" w:color="auto"/>
        <w:left w:val="none" w:sz="0" w:space="0" w:color="auto"/>
        <w:bottom w:val="none" w:sz="0" w:space="0" w:color="auto"/>
        <w:right w:val="none" w:sz="0" w:space="0" w:color="auto"/>
      </w:divBdr>
      <w:divsChild>
        <w:div w:id="1044020731">
          <w:marLeft w:val="0"/>
          <w:marRight w:val="0"/>
          <w:marTop w:val="0"/>
          <w:marBottom w:val="0"/>
          <w:divBdr>
            <w:top w:val="none" w:sz="0" w:space="0" w:color="auto"/>
            <w:left w:val="none" w:sz="0" w:space="0" w:color="auto"/>
            <w:bottom w:val="none" w:sz="0" w:space="0" w:color="auto"/>
            <w:right w:val="none" w:sz="0" w:space="0" w:color="auto"/>
          </w:divBdr>
          <w:divsChild>
            <w:div w:id="1779910879">
              <w:marLeft w:val="0"/>
              <w:marRight w:val="0"/>
              <w:marTop w:val="0"/>
              <w:marBottom w:val="0"/>
              <w:divBdr>
                <w:top w:val="none" w:sz="0" w:space="0" w:color="auto"/>
                <w:left w:val="none" w:sz="0" w:space="0" w:color="auto"/>
                <w:bottom w:val="none" w:sz="0" w:space="0" w:color="auto"/>
                <w:right w:val="none" w:sz="0" w:space="0" w:color="auto"/>
              </w:divBdr>
              <w:divsChild>
                <w:div w:id="1938824694">
                  <w:marLeft w:val="0"/>
                  <w:marRight w:val="0"/>
                  <w:marTop w:val="0"/>
                  <w:marBottom w:val="0"/>
                  <w:divBdr>
                    <w:top w:val="none" w:sz="0" w:space="0" w:color="auto"/>
                    <w:left w:val="none" w:sz="0" w:space="0" w:color="auto"/>
                    <w:bottom w:val="none" w:sz="0" w:space="0" w:color="auto"/>
                    <w:right w:val="none" w:sz="0" w:space="0" w:color="auto"/>
                  </w:divBdr>
                  <w:divsChild>
                    <w:div w:id="3652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668751">
      <w:bodyDiv w:val="1"/>
      <w:marLeft w:val="0"/>
      <w:marRight w:val="0"/>
      <w:marTop w:val="0"/>
      <w:marBottom w:val="0"/>
      <w:divBdr>
        <w:top w:val="none" w:sz="0" w:space="0" w:color="auto"/>
        <w:left w:val="none" w:sz="0" w:space="0" w:color="auto"/>
        <w:bottom w:val="none" w:sz="0" w:space="0" w:color="auto"/>
        <w:right w:val="none" w:sz="0" w:space="0" w:color="auto"/>
      </w:divBdr>
      <w:divsChild>
        <w:div w:id="1604151182">
          <w:marLeft w:val="0"/>
          <w:marRight w:val="0"/>
          <w:marTop w:val="0"/>
          <w:marBottom w:val="0"/>
          <w:divBdr>
            <w:top w:val="none" w:sz="0" w:space="0" w:color="auto"/>
            <w:left w:val="none" w:sz="0" w:space="0" w:color="auto"/>
            <w:bottom w:val="none" w:sz="0" w:space="0" w:color="auto"/>
            <w:right w:val="none" w:sz="0" w:space="0" w:color="auto"/>
          </w:divBdr>
          <w:divsChild>
            <w:div w:id="1816485236">
              <w:marLeft w:val="0"/>
              <w:marRight w:val="0"/>
              <w:marTop w:val="0"/>
              <w:marBottom w:val="0"/>
              <w:divBdr>
                <w:top w:val="none" w:sz="0" w:space="0" w:color="auto"/>
                <w:left w:val="none" w:sz="0" w:space="0" w:color="auto"/>
                <w:bottom w:val="none" w:sz="0" w:space="0" w:color="auto"/>
                <w:right w:val="none" w:sz="0" w:space="0" w:color="auto"/>
              </w:divBdr>
              <w:divsChild>
                <w:div w:id="1075981304">
                  <w:marLeft w:val="0"/>
                  <w:marRight w:val="0"/>
                  <w:marTop w:val="0"/>
                  <w:marBottom w:val="0"/>
                  <w:divBdr>
                    <w:top w:val="none" w:sz="0" w:space="0" w:color="auto"/>
                    <w:left w:val="none" w:sz="0" w:space="0" w:color="auto"/>
                    <w:bottom w:val="none" w:sz="0" w:space="0" w:color="auto"/>
                    <w:right w:val="none" w:sz="0" w:space="0" w:color="auto"/>
                  </w:divBdr>
                  <w:divsChild>
                    <w:div w:id="213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237853">
      <w:bodyDiv w:val="1"/>
      <w:marLeft w:val="0"/>
      <w:marRight w:val="0"/>
      <w:marTop w:val="0"/>
      <w:marBottom w:val="0"/>
      <w:divBdr>
        <w:top w:val="none" w:sz="0" w:space="0" w:color="auto"/>
        <w:left w:val="none" w:sz="0" w:space="0" w:color="auto"/>
        <w:bottom w:val="none" w:sz="0" w:space="0" w:color="auto"/>
        <w:right w:val="none" w:sz="0" w:space="0" w:color="auto"/>
      </w:divBdr>
      <w:divsChild>
        <w:div w:id="168451107">
          <w:marLeft w:val="0"/>
          <w:marRight w:val="0"/>
          <w:marTop w:val="0"/>
          <w:marBottom w:val="0"/>
          <w:divBdr>
            <w:top w:val="none" w:sz="0" w:space="0" w:color="auto"/>
            <w:left w:val="none" w:sz="0" w:space="0" w:color="auto"/>
            <w:bottom w:val="none" w:sz="0" w:space="0" w:color="auto"/>
            <w:right w:val="none" w:sz="0" w:space="0" w:color="auto"/>
          </w:divBdr>
          <w:divsChild>
            <w:div w:id="1738282022">
              <w:marLeft w:val="0"/>
              <w:marRight w:val="0"/>
              <w:marTop w:val="0"/>
              <w:marBottom w:val="0"/>
              <w:divBdr>
                <w:top w:val="none" w:sz="0" w:space="0" w:color="auto"/>
                <w:left w:val="none" w:sz="0" w:space="0" w:color="auto"/>
                <w:bottom w:val="none" w:sz="0" w:space="0" w:color="auto"/>
                <w:right w:val="none" w:sz="0" w:space="0" w:color="auto"/>
              </w:divBdr>
              <w:divsChild>
                <w:div w:id="58869194">
                  <w:marLeft w:val="0"/>
                  <w:marRight w:val="0"/>
                  <w:marTop w:val="0"/>
                  <w:marBottom w:val="0"/>
                  <w:divBdr>
                    <w:top w:val="none" w:sz="0" w:space="0" w:color="auto"/>
                    <w:left w:val="none" w:sz="0" w:space="0" w:color="auto"/>
                    <w:bottom w:val="none" w:sz="0" w:space="0" w:color="auto"/>
                    <w:right w:val="none" w:sz="0" w:space="0" w:color="auto"/>
                  </w:divBdr>
                  <w:divsChild>
                    <w:div w:id="7011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255086">
      <w:bodyDiv w:val="1"/>
      <w:marLeft w:val="0"/>
      <w:marRight w:val="0"/>
      <w:marTop w:val="0"/>
      <w:marBottom w:val="0"/>
      <w:divBdr>
        <w:top w:val="none" w:sz="0" w:space="0" w:color="auto"/>
        <w:left w:val="none" w:sz="0" w:space="0" w:color="auto"/>
        <w:bottom w:val="none" w:sz="0" w:space="0" w:color="auto"/>
        <w:right w:val="none" w:sz="0" w:space="0" w:color="auto"/>
      </w:divBdr>
      <w:divsChild>
        <w:div w:id="1979915878">
          <w:marLeft w:val="0"/>
          <w:marRight w:val="0"/>
          <w:marTop w:val="0"/>
          <w:marBottom w:val="0"/>
          <w:divBdr>
            <w:top w:val="none" w:sz="0" w:space="0" w:color="auto"/>
            <w:left w:val="none" w:sz="0" w:space="0" w:color="auto"/>
            <w:bottom w:val="none" w:sz="0" w:space="0" w:color="auto"/>
            <w:right w:val="none" w:sz="0" w:space="0" w:color="auto"/>
          </w:divBdr>
          <w:divsChild>
            <w:div w:id="270355055">
              <w:marLeft w:val="0"/>
              <w:marRight w:val="0"/>
              <w:marTop w:val="0"/>
              <w:marBottom w:val="0"/>
              <w:divBdr>
                <w:top w:val="none" w:sz="0" w:space="0" w:color="auto"/>
                <w:left w:val="none" w:sz="0" w:space="0" w:color="auto"/>
                <w:bottom w:val="none" w:sz="0" w:space="0" w:color="auto"/>
                <w:right w:val="none" w:sz="0" w:space="0" w:color="auto"/>
              </w:divBdr>
              <w:divsChild>
                <w:div w:id="915239305">
                  <w:marLeft w:val="0"/>
                  <w:marRight w:val="0"/>
                  <w:marTop w:val="0"/>
                  <w:marBottom w:val="0"/>
                  <w:divBdr>
                    <w:top w:val="none" w:sz="0" w:space="0" w:color="auto"/>
                    <w:left w:val="none" w:sz="0" w:space="0" w:color="auto"/>
                    <w:bottom w:val="none" w:sz="0" w:space="0" w:color="auto"/>
                    <w:right w:val="none" w:sz="0" w:space="0" w:color="auto"/>
                  </w:divBdr>
                </w:div>
                <w:div w:id="1175343003">
                  <w:marLeft w:val="0"/>
                  <w:marRight w:val="0"/>
                  <w:marTop w:val="0"/>
                  <w:marBottom w:val="0"/>
                  <w:divBdr>
                    <w:top w:val="none" w:sz="0" w:space="0" w:color="auto"/>
                    <w:left w:val="none" w:sz="0" w:space="0" w:color="auto"/>
                    <w:bottom w:val="none" w:sz="0" w:space="0" w:color="auto"/>
                    <w:right w:val="none" w:sz="0" w:space="0" w:color="auto"/>
                  </w:divBdr>
                </w:div>
              </w:divsChild>
            </w:div>
            <w:div w:id="1052123205">
              <w:marLeft w:val="0"/>
              <w:marRight w:val="0"/>
              <w:marTop w:val="0"/>
              <w:marBottom w:val="0"/>
              <w:divBdr>
                <w:top w:val="none" w:sz="0" w:space="0" w:color="auto"/>
                <w:left w:val="none" w:sz="0" w:space="0" w:color="auto"/>
                <w:bottom w:val="none" w:sz="0" w:space="0" w:color="auto"/>
                <w:right w:val="none" w:sz="0" w:space="0" w:color="auto"/>
              </w:divBdr>
              <w:divsChild>
                <w:div w:id="738134188">
                  <w:marLeft w:val="0"/>
                  <w:marRight w:val="0"/>
                  <w:marTop w:val="0"/>
                  <w:marBottom w:val="0"/>
                  <w:divBdr>
                    <w:top w:val="none" w:sz="0" w:space="0" w:color="auto"/>
                    <w:left w:val="none" w:sz="0" w:space="0" w:color="auto"/>
                    <w:bottom w:val="none" w:sz="0" w:space="0" w:color="auto"/>
                    <w:right w:val="none" w:sz="0" w:space="0" w:color="auto"/>
                  </w:divBdr>
                </w:div>
              </w:divsChild>
            </w:div>
            <w:div w:id="627013370">
              <w:marLeft w:val="0"/>
              <w:marRight w:val="0"/>
              <w:marTop w:val="0"/>
              <w:marBottom w:val="0"/>
              <w:divBdr>
                <w:top w:val="none" w:sz="0" w:space="0" w:color="auto"/>
                <w:left w:val="none" w:sz="0" w:space="0" w:color="auto"/>
                <w:bottom w:val="none" w:sz="0" w:space="0" w:color="auto"/>
                <w:right w:val="none" w:sz="0" w:space="0" w:color="auto"/>
              </w:divBdr>
              <w:divsChild>
                <w:div w:id="1653831989">
                  <w:marLeft w:val="0"/>
                  <w:marRight w:val="0"/>
                  <w:marTop w:val="0"/>
                  <w:marBottom w:val="0"/>
                  <w:divBdr>
                    <w:top w:val="none" w:sz="0" w:space="0" w:color="auto"/>
                    <w:left w:val="none" w:sz="0" w:space="0" w:color="auto"/>
                    <w:bottom w:val="none" w:sz="0" w:space="0" w:color="auto"/>
                    <w:right w:val="none" w:sz="0" w:space="0" w:color="auto"/>
                  </w:divBdr>
                  <w:divsChild>
                    <w:div w:id="93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19655">
          <w:marLeft w:val="0"/>
          <w:marRight w:val="0"/>
          <w:marTop w:val="0"/>
          <w:marBottom w:val="0"/>
          <w:divBdr>
            <w:top w:val="none" w:sz="0" w:space="0" w:color="auto"/>
            <w:left w:val="none" w:sz="0" w:space="0" w:color="auto"/>
            <w:bottom w:val="none" w:sz="0" w:space="0" w:color="auto"/>
            <w:right w:val="none" w:sz="0" w:space="0" w:color="auto"/>
          </w:divBdr>
          <w:divsChild>
            <w:div w:id="753822759">
              <w:marLeft w:val="0"/>
              <w:marRight w:val="0"/>
              <w:marTop w:val="0"/>
              <w:marBottom w:val="0"/>
              <w:divBdr>
                <w:top w:val="none" w:sz="0" w:space="0" w:color="auto"/>
                <w:left w:val="none" w:sz="0" w:space="0" w:color="auto"/>
                <w:bottom w:val="none" w:sz="0" w:space="0" w:color="auto"/>
                <w:right w:val="none" w:sz="0" w:space="0" w:color="auto"/>
              </w:divBdr>
              <w:divsChild>
                <w:div w:id="1237858806">
                  <w:marLeft w:val="0"/>
                  <w:marRight w:val="0"/>
                  <w:marTop w:val="0"/>
                  <w:marBottom w:val="0"/>
                  <w:divBdr>
                    <w:top w:val="none" w:sz="0" w:space="0" w:color="auto"/>
                    <w:left w:val="none" w:sz="0" w:space="0" w:color="auto"/>
                    <w:bottom w:val="none" w:sz="0" w:space="0" w:color="auto"/>
                    <w:right w:val="none" w:sz="0" w:space="0" w:color="auto"/>
                  </w:divBdr>
                  <w:divsChild>
                    <w:div w:id="12188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86160">
      <w:bodyDiv w:val="1"/>
      <w:marLeft w:val="0"/>
      <w:marRight w:val="0"/>
      <w:marTop w:val="0"/>
      <w:marBottom w:val="0"/>
      <w:divBdr>
        <w:top w:val="none" w:sz="0" w:space="0" w:color="auto"/>
        <w:left w:val="none" w:sz="0" w:space="0" w:color="auto"/>
        <w:bottom w:val="none" w:sz="0" w:space="0" w:color="auto"/>
        <w:right w:val="none" w:sz="0" w:space="0" w:color="auto"/>
      </w:divBdr>
      <w:divsChild>
        <w:div w:id="387724467">
          <w:marLeft w:val="0"/>
          <w:marRight w:val="0"/>
          <w:marTop w:val="0"/>
          <w:marBottom w:val="0"/>
          <w:divBdr>
            <w:top w:val="none" w:sz="0" w:space="0" w:color="auto"/>
            <w:left w:val="none" w:sz="0" w:space="0" w:color="auto"/>
            <w:bottom w:val="none" w:sz="0" w:space="0" w:color="auto"/>
            <w:right w:val="none" w:sz="0" w:space="0" w:color="auto"/>
          </w:divBdr>
          <w:divsChild>
            <w:div w:id="215897505">
              <w:marLeft w:val="0"/>
              <w:marRight w:val="0"/>
              <w:marTop w:val="0"/>
              <w:marBottom w:val="0"/>
              <w:divBdr>
                <w:top w:val="none" w:sz="0" w:space="0" w:color="auto"/>
                <w:left w:val="none" w:sz="0" w:space="0" w:color="auto"/>
                <w:bottom w:val="none" w:sz="0" w:space="0" w:color="auto"/>
                <w:right w:val="none" w:sz="0" w:space="0" w:color="auto"/>
              </w:divBdr>
              <w:divsChild>
                <w:div w:id="1309361731">
                  <w:marLeft w:val="0"/>
                  <w:marRight w:val="0"/>
                  <w:marTop w:val="0"/>
                  <w:marBottom w:val="0"/>
                  <w:divBdr>
                    <w:top w:val="none" w:sz="0" w:space="0" w:color="auto"/>
                    <w:left w:val="none" w:sz="0" w:space="0" w:color="auto"/>
                    <w:bottom w:val="none" w:sz="0" w:space="0" w:color="auto"/>
                    <w:right w:val="none" w:sz="0" w:space="0" w:color="auto"/>
                  </w:divBdr>
                  <w:divsChild>
                    <w:div w:id="1414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155676">
      <w:bodyDiv w:val="1"/>
      <w:marLeft w:val="0"/>
      <w:marRight w:val="0"/>
      <w:marTop w:val="0"/>
      <w:marBottom w:val="0"/>
      <w:divBdr>
        <w:top w:val="none" w:sz="0" w:space="0" w:color="auto"/>
        <w:left w:val="none" w:sz="0" w:space="0" w:color="auto"/>
        <w:bottom w:val="none" w:sz="0" w:space="0" w:color="auto"/>
        <w:right w:val="none" w:sz="0" w:space="0" w:color="auto"/>
      </w:divBdr>
    </w:div>
    <w:div w:id="1404642893">
      <w:bodyDiv w:val="1"/>
      <w:marLeft w:val="0"/>
      <w:marRight w:val="0"/>
      <w:marTop w:val="0"/>
      <w:marBottom w:val="0"/>
      <w:divBdr>
        <w:top w:val="none" w:sz="0" w:space="0" w:color="auto"/>
        <w:left w:val="none" w:sz="0" w:space="0" w:color="auto"/>
        <w:bottom w:val="none" w:sz="0" w:space="0" w:color="auto"/>
        <w:right w:val="none" w:sz="0" w:space="0" w:color="auto"/>
      </w:divBdr>
      <w:divsChild>
        <w:div w:id="170603966">
          <w:marLeft w:val="0"/>
          <w:marRight w:val="0"/>
          <w:marTop w:val="0"/>
          <w:marBottom w:val="0"/>
          <w:divBdr>
            <w:top w:val="none" w:sz="0" w:space="0" w:color="auto"/>
            <w:left w:val="none" w:sz="0" w:space="0" w:color="auto"/>
            <w:bottom w:val="none" w:sz="0" w:space="0" w:color="auto"/>
            <w:right w:val="none" w:sz="0" w:space="0" w:color="auto"/>
          </w:divBdr>
          <w:divsChild>
            <w:div w:id="523592945">
              <w:marLeft w:val="0"/>
              <w:marRight w:val="0"/>
              <w:marTop w:val="0"/>
              <w:marBottom w:val="0"/>
              <w:divBdr>
                <w:top w:val="none" w:sz="0" w:space="0" w:color="auto"/>
                <w:left w:val="none" w:sz="0" w:space="0" w:color="auto"/>
                <w:bottom w:val="none" w:sz="0" w:space="0" w:color="auto"/>
                <w:right w:val="none" w:sz="0" w:space="0" w:color="auto"/>
              </w:divBdr>
              <w:divsChild>
                <w:div w:id="7960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11793">
      <w:bodyDiv w:val="1"/>
      <w:marLeft w:val="0"/>
      <w:marRight w:val="0"/>
      <w:marTop w:val="0"/>
      <w:marBottom w:val="0"/>
      <w:divBdr>
        <w:top w:val="none" w:sz="0" w:space="0" w:color="auto"/>
        <w:left w:val="none" w:sz="0" w:space="0" w:color="auto"/>
        <w:bottom w:val="none" w:sz="0" w:space="0" w:color="auto"/>
        <w:right w:val="none" w:sz="0" w:space="0" w:color="auto"/>
      </w:divBdr>
      <w:divsChild>
        <w:div w:id="1784567336">
          <w:marLeft w:val="0"/>
          <w:marRight w:val="0"/>
          <w:marTop w:val="0"/>
          <w:marBottom w:val="0"/>
          <w:divBdr>
            <w:top w:val="none" w:sz="0" w:space="0" w:color="auto"/>
            <w:left w:val="none" w:sz="0" w:space="0" w:color="auto"/>
            <w:bottom w:val="none" w:sz="0" w:space="0" w:color="auto"/>
            <w:right w:val="none" w:sz="0" w:space="0" w:color="auto"/>
          </w:divBdr>
          <w:divsChild>
            <w:div w:id="424881702">
              <w:marLeft w:val="0"/>
              <w:marRight w:val="0"/>
              <w:marTop w:val="0"/>
              <w:marBottom w:val="0"/>
              <w:divBdr>
                <w:top w:val="none" w:sz="0" w:space="0" w:color="auto"/>
                <w:left w:val="none" w:sz="0" w:space="0" w:color="auto"/>
                <w:bottom w:val="none" w:sz="0" w:space="0" w:color="auto"/>
                <w:right w:val="none" w:sz="0" w:space="0" w:color="auto"/>
              </w:divBdr>
              <w:divsChild>
                <w:div w:id="1819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0441">
      <w:bodyDiv w:val="1"/>
      <w:marLeft w:val="0"/>
      <w:marRight w:val="0"/>
      <w:marTop w:val="0"/>
      <w:marBottom w:val="0"/>
      <w:divBdr>
        <w:top w:val="none" w:sz="0" w:space="0" w:color="auto"/>
        <w:left w:val="none" w:sz="0" w:space="0" w:color="auto"/>
        <w:bottom w:val="none" w:sz="0" w:space="0" w:color="auto"/>
        <w:right w:val="none" w:sz="0" w:space="0" w:color="auto"/>
      </w:divBdr>
      <w:divsChild>
        <w:div w:id="416173120">
          <w:marLeft w:val="0"/>
          <w:marRight w:val="0"/>
          <w:marTop w:val="0"/>
          <w:marBottom w:val="0"/>
          <w:divBdr>
            <w:top w:val="none" w:sz="0" w:space="0" w:color="auto"/>
            <w:left w:val="none" w:sz="0" w:space="0" w:color="auto"/>
            <w:bottom w:val="none" w:sz="0" w:space="0" w:color="auto"/>
            <w:right w:val="none" w:sz="0" w:space="0" w:color="auto"/>
          </w:divBdr>
          <w:divsChild>
            <w:div w:id="504511676">
              <w:marLeft w:val="0"/>
              <w:marRight w:val="0"/>
              <w:marTop w:val="0"/>
              <w:marBottom w:val="0"/>
              <w:divBdr>
                <w:top w:val="none" w:sz="0" w:space="0" w:color="auto"/>
                <w:left w:val="none" w:sz="0" w:space="0" w:color="auto"/>
                <w:bottom w:val="none" w:sz="0" w:space="0" w:color="auto"/>
                <w:right w:val="none" w:sz="0" w:space="0" w:color="auto"/>
              </w:divBdr>
              <w:divsChild>
                <w:div w:id="44838546">
                  <w:marLeft w:val="0"/>
                  <w:marRight w:val="0"/>
                  <w:marTop w:val="0"/>
                  <w:marBottom w:val="0"/>
                  <w:divBdr>
                    <w:top w:val="none" w:sz="0" w:space="0" w:color="auto"/>
                    <w:left w:val="none" w:sz="0" w:space="0" w:color="auto"/>
                    <w:bottom w:val="none" w:sz="0" w:space="0" w:color="auto"/>
                    <w:right w:val="none" w:sz="0" w:space="0" w:color="auto"/>
                  </w:divBdr>
                  <w:divsChild>
                    <w:div w:id="7475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58220">
      <w:bodyDiv w:val="1"/>
      <w:marLeft w:val="0"/>
      <w:marRight w:val="0"/>
      <w:marTop w:val="0"/>
      <w:marBottom w:val="0"/>
      <w:divBdr>
        <w:top w:val="none" w:sz="0" w:space="0" w:color="auto"/>
        <w:left w:val="none" w:sz="0" w:space="0" w:color="auto"/>
        <w:bottom w:val="none" w:sz="0" w:space="0" w:color="auto"/>
        <w:right w:val="none" w:sz="0" w:space="0" w:color="auto"/>
      </w:divBdr>
      <w:divsChild>
        <w:div w:id="838277694">
          <w:marLeft w:val="0"/>
          <w:marRight w:val="0"/>
          <w:marTop w:val="0"/>
          <w:marBottom w:val="0"/>
          <w:divBdr>
            <w:top w:val="none" w:sz="0" w:space="0" w:color="auto"/>
            <w:left w:val="none" w:sz="0" w:space="0" w:color="auto"/>
            <w:bottom w:val="none" w:sz="0" w:space="0" w:color="auto"/>
            <w:right w:val="none" w:sz="0" w:space="0" w:color="auto"/>
          </w:divBdr>
          <w:divsChild>
            <w:div w:id="1432702566">
              <w:marLeft w:val="0"/>
              <w:marRight w:val="0"/>
              <w:marTop w:val="0"/>
              <w:marBottom w:val="0"/>
              <w:divBdr>
                <w:top w:val="none" w:sz="0" w:space="0" w:color="auto"/>
                <w:left w:val="none" w:sz="0" w:space="0" w:color="auto"/>
                <w:bottom w:val="none" w:sz="0" w:space="0" w:color="auto"/>
                <w:right w:val="none" w:sz="0" w:space="0" w:color="auto"/>
              </w:divBdr>
              <w:divsChild>
                <w:div w:id="1512531303">
                  <w:marLeft w:val="0"/>
                  <w:marRight w:val="0"/>
                  <w:marTop w:val="0"/>
                  <w:marBottom w:val="0"/>
                  <w:divBdr>
                    <w:top w:val="none" w:sz="0" w:space="0" w:color="auto"/>
                    <w:left w:val="none" w:sz="0" w:space="0" w:color="auto"/>
                    <w:bottom w:val="none" w:sz="0" w:space="0" w:color="auto"/>
                    <w:right w:val="none" w:sz="0" w:space="0" w:color="auto"/>
                  </w:divBdr>
                  <w:divsChild>
                    <w:div w:id="1944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32518">
      <w:bodyDiv w:val="1"/>
      <w:marLeft w:val="0"/>
      <w:marRight w:val="0"/>
      <w:marTop w:val="0"/>
      <w:marBottom w:val="0"/>
      <w:divBdr>
        <w:top w:val="none" w:sz="0" w:space="0" w:color="auto"/>
        <w:left w:val="none" w:sz="0" w:space="0" w:color="auto"/>
        <w:bottom w:val="none" w:sz="0" w:space="0" w:color="auto"/>
        <w:right w:val="none" w:sz="0" w:space="0" w:color="auto"/>
      </w:divBdr>
      <w:divsChild>
        <w:div w:id="749692003">
          <w:marLeft w:val="0"/>
          <w:marRight w:val="0"/>
          <w:marTop w:val="0"/>
          <w:marBottom w:val="0"/>
          <w:divBdr>
            <w:top w:val="none" w:sz="0" w:space="0" w:color="auto"/>
            <w:left w:val="none" w:sz="0" w:space="0" w:color="auto"/>
            <w:bottom w:val="none" w:sz="0" w:space="0" w:color="auto"/>
            <w:right w:val="none" w:sz="0" w:space="0" w:color="auto"/>
          </w:divBdr>
          <w:divsChild>
            <w:div w:id="1756127824">
              <w:marLeft w:val="0"/>
              <w:marRight w:val="0"/>
              <w:marTop w:val="0"/>
              <w:marBottom w:val="0"/>
              <w:divBdr>
                <w:top w:val="none" w:sz="0" w:space="0" w:color="auto"/>
                <w:left w:val="none" w:sz="0" w:space="0" w:color="auto"/>
                <w:bottom w:val="none" w:sz="0" w:space="0" w:color="auto"/>
                <w:right w:val="none" w:sz="0" w:space="0" w:color="auto"/>
              </w:divBdr>
              <w:divsChild>
                <w:div w:id="8535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53232">
      <w:bodyDiv w:val="1"/>
      <w:marLeft w:val="0"/>
      <w:marRight w:val="0"/>
      <w:marTop w:val="0"/>
      <w:marBottom w:val="0"/>
      <w:divBdr>
        <w:top w:val="none" w:sz="0" w:space="0" w:color="auto"/>
        <w:left w:val="none" w:sz="0" w:space="0" w:color="auto"/>
        <w:bottom w:val="none" w:sz="0" w:space="0" w:color="auto"/>
        <w:right w:val="none" w:sz="0" w:space="0" w:color="auto"/>
      </w:divBdr>
    </w:div>
    <w:div w:id="1506550809">
      <w:bodyDiv w:val="1"/>
      <w:marLeft w:val="0"/>
      <w:marRight w:val="0"/>
      <w:marTop w:val="0"/>
      <w:marBottom w:val="0"/>
      <w:divBdr>
        <w:top w:val="none" w:sz="0" w:space="0" w:color="auto"/>
        <w:left w:val="none" w:sz="0" w:space="0" w:color="auto"/>
        <w:bottom w:val="none" w:sz="0" w:space="0" w:color="auto"/>
        <w:right w:val="none" w:sz="0" w:space="0" w:color="auto"/>
      </w:divBdr>
    </w:div>
    <w:div w:id="1529100301">
      <w:bodyDiv w:val="1"/>
      <w:marLeft w:val="0"/>
      <w:marRight w:val="0"/>
      <w:marTop w:val="0"/>
      <w:marBottom w:val="0"/>
      <w:divBdr>
        <w:top w:val="none" w:sz="0" w:space="0" w:color="auto"/>
        <w:left w:val="none" w:sz="0" w:space="0" w:color="auto"/>
        <w:bottom w:val="none" w:sz="0" w:space="0" w:color="auto"/>
        <w:right w:val="none" w:sz="0" w:space="0" w:color="auto"/>
      </w:divBdr>
    </w:div>
    <w:div w:id="1531604711">
      <w:bodyDiv w:val="1"/>
      <w:marLeft w:val="0"/>
      <w:marRight w:val="0"/>
      <w:marTop w:val="0"/>
      <w:marBottom w:val="0"/>
      <w:divBdr>
        <w:top w:val="none" w:sz="0" w:space="0" w:color="auto"/>
        <w:left w:val="none" w:sz="0" w:space="0" w:color="auto"/>
        <w:bottom w:val="none" w:sz="0" w:space="0" w:color="auto"/>
        <w:right w:val="none" w:sz="0" w:space="0" w:color="auto"/>
      </w:divBdr>
      <w:divsChild>
        <w:div w:id="1597398181">
          <w:marLeft w:val="0"/>
          <w:marRight w:val="0"/>
          <w:marTop w:val="0"/>
          <w:marBottom w:val="0"/>
          <w:divBdr>
            <w:top w:val="none" w:sz="0" w:space="0" w:color="auto"/>
            <w:left w:val="none" w:sz="0" w:space="0" w:color="auto"/>
            <w:bottom w:val="none" w:sz="0" w:space="0" w:color="auto"/>
            <w:right w:val="none" w:sz="0" w:space="0" w:color="auto"/>
          </w:divBdr>
          <w:divsChild>
            <w:div w:id="543176503">
              <w:marLeft w:val="0"/>
              <w:marRight w:val="0"/>
              <w:marTop w:val="0"/>
              <w:marBottom w:val="0"/>
              <w:divBdr>
                <w:top w:val="none" w:sz="0" w:space="0" w:color="auto"/>
                <w:left w:val="none" w:sz="0" w:space="0" w:color="auto"/>
                <w:bottom w:val="none" w:sz="0" w:space="0" w:color="auto"/>
                <w:right w:val="none" w:sz="0" w:space="0" w:color="auto"/>
              </w:divBdr>
              <w:divsChild>
                <w:div w:id="1012756388">
                  <w:marLeft w:val="0"/>
                  <w:marRight w:val="0"/>
                  <w:marTop w:val="0"/>
                  <w:marBottom w:val="0"/>
                  <w:divBdr>
                    <w:top w:val="none" w:sz="0" w:space="0" w:color="auto"/>
                    <w:left w:val="none" w:sz="0" w:space="0" w:color="auto"/>
                    <w:bottom w:val="none" w:sz="0" w:space="0" w:color="auto"/>
                    <w:right w:val="none" w:sz="0" w:space="0" w:color="auto"/>
                  </w:divBdr>
                  <w:divsChild>
                    <w:div w:id="20712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21528">
      <w:bodyDiv w:val="1"/>
      <w:marLeft w:val="0"/>
      <w:marRight w:val="0"/>
      <w:marTop w:val="0"/>
      <w:marBottom w:val="0"/>
      <w:divBdr>
        <w:top w:val="none" w:sz="0" w:space="0" w:color="auto"/>
        <w:left w:val="none" w:sz="0" w:space="0" w:color="auto"/>
        <w:bottom w:val="none" w:sz="0" w:space="0" w:color="auto"/>
        <w:right w:val="none" w:sz="0" w:space="0" w:color="auto"/>
      </w:divBdr>
      <w:divsChild>
        <w:div w:id="35400886">
          <w:marLeft w:val="0"/>
          <w:marRight w:val="0"/>
          <w:marTop w:val="0"/>
          <w:marBottom w:val="0"/>
          <w:divBdr>
            <w:top w:val="none" w:sz="0" w:space="0" w:color="auto"/>
            <w:left w:val="none" w:sz="0" w:space="0" w:color="auto"/>
            <w:bottom w:val="none" w:sz="0" w:space="0" w:color="auto"/>
            <w:right w:val="none" w:sz="0" w:space="0" w:color="auto"/>
          </w:divBdr>
          <w:divsChild>
            <w:div w:id="1126705075">
              <w:marLeft w:val="0"/>
              <w:marRight w:val="0"/>
              <w:marTop w:val="0"/>
              <w:marBottom w:val="0"/>
              <w:divBdr>
                <w:top w:val="none" w:sz="0" w:space="0" w:color="auto"/>
                <w:left w:val="none" w:sz="0" w:space="0" w:color="auto"/>
                <w:bottom w:val="none" w:sz="0" w:space="0" w:color="auto"/>
                <w:right w:val="none" w:sz="0" w:space="0" w:color="auto"/>
              </w:divBdr>
              <w:divsChild>
                <w:div w:id="282663212">
                  <w:marLeft w:val="0"/>
                  <w:marRight w:val="0"/>
                  <w:marTop w:val="0"/>
                  <w:marBottom w:val="0"/>
                  <w:divBdr>
                    <w:top w:val="none" w:sz="0" w:space="0" w:color="auto"/>
                    <w:left w:val="none" w:sz="0" w:space="0" w:color="auto"/>
                    <w:bottom w:val="none" w:sz="0" w:space="0" w:color="auto"/>
                    <w:right w:val="none" w:sz="0" w:space="0" w:color="auto"/>
                  </w:divBdr>
                  <w:divsChild>
                    <w:div w:id="6139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570658">
      <w:bodyDiv w:val="1"/>
      <w:marLeft w:val="0"/>
      <w:marRight w:val="0"/>
      <w:marTop w:val="0"/>
      <w:marBottom w:val="0"/>
      <w:divBdr>
        <w:top w:val="none" w:sz="0" w:space="0" w:color="auto"/>
        <w:left w:val="none" w:sz="0" w:space="0" w:color="auto"/>
        <w:bottom w:val="none" w:sz="0" w:space="0" w:color="auto"/>
        <w:right w:val="none" w:sz="0" w:space="0" w:color="auto"/>
      </w:divBdr>
    </w:div>
    <w:div w:id="1627471315">
      <w:bodyDiv w:val="1"/>
      <w:marLeft w:val="0"/>
      <w:marRight w:val="0"/>
      <w:marTop w:val="0"/>
      <w:marBottom w:val="0"/>
      <w:divBdr>
        <w:top w:val="none" w:sz="0" w:space="0" w:color="auto"/>
        <w:left w:val="none" w:sz="0" w:space="0" w:color="auto"/>
        <w:bottom w:val="none" w:sz="0" w:space="0" w:color="auto"/>
        <w:right w:val="none" w:sz="0" w:space="0" w:color="auto"/>
      </w:divBdr>
    </w:div>
    <w:div w:id="1637175405">
      <w:bodyDiv w:val="1"/>
      <w:marLeft w:val="0"/>
      <w:marRight w:val="0"/>
      <w:marTop w:val="0"/>
      <w:marBottom w:val="0"/>
      <w:divBdr>
        <w:top w:val="none" w:sz="0" w:space="0" w:color="auto"/>
        <w:left w:val="none" w:sz="0" w:space="0" w:color="auto"/>
        <w:bottom w:val="none" w:sz="0" w:space="0" w:color="auto"/>
        <w:right w:val="none" w:sz="0" w:space="0" w:color="auto"/>
      </w:divBdr>
      <w:divsChild>
        <w:div w:id="1857184784">
          <w:marLeft w:val="0"/>
          <w:marRight w:val="0"/>
          <w:marTop w:val="0"/>
          <w:marBottom w:val="0"/>
          <w:divBdr>
            <w:top w:val="none" w:sz="0" w:space="0" w:color="auto"/>
            <w:left w:val="none" w:sz="0" w:space="0" w:color="auto"/>
            <w:bottom w:val="none" w:sz="0" w:space="0" w:color="auto"/>
            <w:right w:val="none" w:sz="0" w:space="0" w:color="auto"/>
          </w:divBdr>
          <w:divsChild>
            <w:div w:id="619655404">
              <w:marLeft w:val="0"/>
              <w:marRight w:val="0"/>
              <w:marTop w:val="0"/>
              <w:marBottom w:val="0"/>
              <w:divBdr>
                <w:top w:val="none" w:sz="0" w:space="0" w:color="auto"/>
                <w:left w:val="none" w:sz="0" w:space="0" w:color="auto"/>
                <w:bottom w:val="none" w:sz="0" w:space="0" w:color="auto"/>
                <w:right w:val="none" w:sz="0" w:space="0" w:color="auto"/>
              </w:divBdr>
              <w:divsChild>
                <w:div w:id="204752298">
                  <w:marLeft w:val="0"/>
                  <w:marRight w:val="0"/>
                  <w:marTop w:val="0"/>
                  <w:marBottom w:val="0"/>
                  <w:divBdr>
                    <w:top w:val="none" w:sz="0" w:space="0" w:color="auto"/>
                    <w:left w:val="none" w:sz="0" w:space="0" w:color="auto"/>
                    <w:bottom w:val="none" w:sz="0" w:space="0" w:color="auto"/>
                    <w:right w:val="none" w:sz="0" w:space="0" w:color="auto"/>
                  </w:divBdr>
                  <w:divsChild>
                    <w:div w:id="5199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3122">
      <w:bodyDiv w:val="1"/>
      <w:marLeft w:val="0"/>
      <w:marRight w:val="0"/>
      <w:marTop w:val="0"/>
      <w:marBottom w:val="0"/>
      <w:divBdr>
        <w:top w:val="none" w:sz="0" w:space="0" w:color="auto"/>
        <w:left w:val="none" w:sz="0" w:space="0" w:color="auto"/>
        <w:bottom w:val="none" w:sz="0" w:space="0" w:color="auto"/>
        <w:right w:val="none" w:sz="0" w:space="0" w:color="auto"/>
      </w:divBdr>
      <w:divsChild>
        <w:div w:id="1467119680">
          <w:marLeft w:val="0"/>
          <w:marRight w:val="0"/>
          <w:marTop w:val="0"/>
          <w:marBottom w:val="0"/>
          <w:divBdr>
            <w:top w:val="none" w:sz="0" w:space="0" w:color="auto"/>
            <w:left w:val="none" w:sz="0" w:space="0" w:color="auto"/>
            <w:bottom w:val="none" w:sz="0" w:space="0" w:color="auto"/>
            <w:right w:val="none" w:sz="0" w:space="0" w:color="auto"/>
          </w:divBdr>
          <w:divsChild>
            <w:div w:id="1927764350">
              <w:marLeft w:val="0"/>
              <w:marRight w:val="0"/>
              <w:marTop w:val="0"/>
              <w:marBottom w:val="0"/>
              <w:divBdr>
                <w:top w:val="none" w:sz="0" w:space="0" w:color="auto"/>
                <w:left w:val="none" w:sz="0" w:space="0" w:color="auto"/>
                <w:bottom w:val="none" w:sz="0" w:space="0" w:color="auto"/>
                <w:right w:val="none" w:sz="0" w:space="0" w:color="auto"/>
              </w:divBdr>
              <w:divsChild>
                <w:div w:id="1531533835">
                  <w:marLeft w:val="0"/>
                  <w:marRight w:val="0"/>
                  <w:marTop w:val="0"/>
                  <w:marBottom w:val="0"/>
                  <w:divBdr>
                    <w:top w:val="none" w:sz="0" w:space="0" w:color="auto"/>
                    <w:left w:val="none" w:sz="0" w:space="0" w:color="auto"/>
                    <w:bottom w:val="none" w:sz="0" w:space="0" w:color="auto"/>
                    <w:right w:val="none" w:sz="0" w:space="0" w:color="auto"/>
                  </w:divBdr>
                  <w:divsChild>
                    <w:div w:id="4068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82624">
      <w:bodyDiv w:val="1"/>
      <w:marLeft w:val="0"/>
      <w:marRight w:val="0"/>
      <w:marTop w:val="0"/>
      <w:marBottom w:val="0"/>
      <w:divBdr>
        <w:top w:val="none" w:sz="0" w:space="0" w:color="auto"/>
        <w:left w:val="none" w:sz="0" w:space="0" w:color="auto"/>
        <w:bottom w:val="none" w:sz="0" w:space="0" w:color="auto"/>
        <w:right w:val="none" w:sz="0" w:space="0" w:color="auto"/>
      </w:divBdr>
    </w:div>
    <w:div w:id="1699349661">
      <w:bodyDiv w:val="1"/>
      <w:marLeft w:val="0"/>
      <w:marRight w:val="0"/>
      <w:marTop w:val="0"/>
      <w:marBottom w:val="0"/>
      <w:divBdr>
        <w:top w:val="none" w:sz="0" w:space="0" w:color="auto"/>
        <w:left w:val="none" w:sz="0" w:space="0" w:color="auto"/>
        <w:bottom w:val="none" w:sz="0" w:space="0" w:color="auto"/>
        <w:right w:val="none" w:sz="0" w:space="0" w:color="auto"/>
      </w:divBdr>
      <w:divsChild>
        <w:div w:id="660501845">
          <w:marLeft w:val="0"/>
          <w:marRight w:val="0"/>
          <w:marTop w:val="0"/>
          <w:marBottom w:val="0"/>
          <w:divBdr>
            <w:top w:val="none" w:sz="0" w:space="0" w:color="auto"/>
            <w:left w:val="none" w:sz="0" w:space="0" w:color="auto"/>
            <w:bottom w:val="none" w:sz="0" w:space="0" w:color="auto"/>
            <w:right w:val="none" w:sz="0" w:space="0" w:color="auto"/>
          </w:divBdr>
          <w:divsChild>
            <w:div w:id="176233278">
              <w:marLeft w:val="0"/>
              <w:marRight w:val="0"/>
              <w:marTop w:val="0"/>
              <w:marBottom w:val="0"/>
              <w:divBdr>
                <w:top w:val="none" w:sz="0" w:space="0" w:color="auto"/>
                <w:left w:val="none" w:sz="0" w:space="0" w:color="auto"/>
                <w:bottom w:val="none" w:sz="0" w:space="0" w:color="auto"/>
                <w:right w:val="none" w:sz="0" w:space="0" w:color="auto"/>
              </w:divBdr>
              <w:divsChild>
                <w:div w:id="131066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45413">
      <w:bodyDiv w:val="1"/>
      <w:marLeft w:val="0"/>
      <w:marRight w:val="0"/>
      <w:marTop w:val="0"/>
      <w:marBottom w:val="0"/>
      <w:divBdr>
        <w:top w:val="none" w:sz="0" w:space="0" w:color="auto"/>
        <w:left w:val="none" w:sz="0" w:space="0" w:color="auto"/>
        <w:bottom w:val="none" w:sz="0" w:space="0" w:color="auto"/>
        <w:right w:val="none" w:sz="0" w:space="0" w:color="auto"/>
      </w:divBdr>
    </w:div>
    <w:div w:id="1734157563">
      <w:bodyDiv w:val="1"/>
      <w:marLeft w:val="0"/>
      <w:marRight w:val="0"/>
      <w:marTop w:val="0"/>
      <w:marBottom w:val="0"/>
      <w:divBdr>
        <w:top w:val="none" w:sz="0" w:space="0" w:color="auto"/>
        <w:left w:val="none" w:sz="0" w:space="0" w:color="auto"/>
        <w:bottom w:val="none" w:sz="0" w:space="0" w:color="auto"/>
        <w:right w:val="none" w:sz="0" w:space="0" w:color="auto"/>
      </w:divBdr>
    </w:div>
    <w:div w:id="1736968247">
      <w:bodyDiv w:val="1"/>
      <w:marLeft w:val="0"/>
      <w:marRight w:val="0"/>
      <w:marTop w:val="0"/>
      <w:marBottom w:val="0"/>
      <w:divBdr>
        <w:top w:val="none" w:sz="0" w:space="0" w:color="auto"/>
        <w:left w:val="none" w:sz="0" w:space="0" w:color="auto"/>
        <w:bottom w:val="none" w:sz="0" w:space="0" w:color="auto"/>
        <w:right w:val="none" w:sz="0" w:space="0" w:color="auto"/>
      </w:divBdr>
      <w:divsChild>
        <w:div w:id="604311609">
          <w:marLeft w:val="0"/>
          <w:marRight w:val="0"/>
          <w:marTop w:val="0"/>
          <w:marBottom w:val="0"/>
          <w:divBdr>
            <w:top w:val="none" w:sz="0" w:space="0" w:color="auto"/>
            <w:left w:val="none" w:sz="0" w:space="0" w:color="auto"/>
            <w:bottom w:val="none" w:sz="0" w:space="0" w:color="auto"/>
            <w:right w:val="none" w:sz="0" w:space="0" w:color="auto"/>
          </w:divBdr>
          <w:divsChild>
            <w:div w:id="1425148166">
              <w:marLeft w:val="0"/>
              <w:marRight w:val="0"/>
              <w:marTop w:val="0"/>
              <w:marBottom w:val="0"/>
              <w:divBdr>
                <w:top w:val="none" w:sz="0" w:space="0" w:color="auto"/>
                <w:left w:val="none" w:sz="0" w:space="0" w:color="auto"/>
                <w:bottom w:val="none" w:sz="0" w:space="0" w:color="auto"/>
                <w:right w:val="none" w:sz="0" w:space="0" w:color="auto"/>
              </w:divBdr>
              <w:divsChild>
                <w:div w:id="2787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0588">
      <w:bodyDiv w:val="1"/>
      <w:marLeft w:val="0"/>
      <w:marRight w:val="0"/>
      <w:marTop w:val="0"/>
      <w:marBottom w:val="0"/>
      <w:divBdr>
        <w:top w:val="none" w:sz="0" w:space="0" w:color="auto"/>
        <w:left w:val="none" w:sz="0" w:space="0" w:color="auto"/>
        <w:bottom w:val="none" w:sz="0" w:space="0" w:color="auto"/>
        <w:right w:val="none" w:sz="0" w:space="0" w:color="auto"/>
      </w:divBdr>
    </w:div>
    <w:div w:id="1841235665">
      <w:bodyDiv w:val="1"/>
      <w:marLeft w:val="0"/>
      <w:marRight w:val="0"/>
      <w:marTop w:val="0"/>
      <w:marBottom w:val="0"/>
      <w:divBdr>
        <w:top w:val="none" w:sz="0" w:space="0" w:color="auto"/>
        <w:left w:val="none" w:sz="0" w:space="0" w:color="auto"/>
        <w:bottom w:val="none" w:sz="0" w:space="0" w:color="auto"/>
        <w:right w:val="none" w:sz="0" w:space="0" w:color="auto"/>
      </w:divBdr>
      <w:divsChild>
        <w:div w:id="2003118346">
          <w:marLeft w:val="0"/>
          <w:marRight w:val="0"/>
          <w:marTop w:val="0"/>
          <w:marBottom w:val="0"/>
          <w:divBdr>
            <w:top w:val="none" w:sz="0" w:space="0" w:color="auto"/>
            <w:left w:val="none" w:sz="0" w:space="0" w:color="auto"/>
            <w:bottom w:val="none" w:sz="0" w:space="0" w:color="auto"/>
            <w:right w:val="none" w:sz="0" w:space="0" w:color="auto"/>
          </w:divBdr>
          <w:divsChild>
            <w:div w:id="1798915470">
              <w:marLeft w:val="0"/>
              <w:marRight w:val="0"/>
              <w:marTop w:val="0"/>
              <w:marBottom w:val="0"/>
              <w:divBdr>
                <w:top w:val="none" w:sz="0" w:space="0" w:color="auto"/>
                <w:left w:val="none" w:sz="0" w:space="0" w:color="auto"/>
                <w:bottom w:val="none" w:sz="0" w:space="0" w:color="auto"/>
                <w:right w:val="none" w:sz="0" w:space="0" w:color="auto"/>
              </w:divBdr>
              <w:divsChild>
                <w:div w:id="1910185532">
                  <w:marLeft w:val="0"/>
                  <w:marRight w:val="0"/>
                  <w:marTop w:val="0"/>
                  <w:marBottom w:val="0"/>
                  <w:divBdr>
                    <w:top w:val="none" w:sz="0" w:space="0" w:color="auto"/>
                    <w:left w:val="none" w:sz="0" w:space="0" w:color="auto"/>
                    <w:bottom w:val="none" w:sz="0" w:space="0" w:color="auto"/>
                    <w:right w:val="none" w:sz="0" w:space="0" w:color="auto"/>
                  </w:divBdr>
                  <w:divsChild>
                    <w:div w:id="7679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12810">
      <w:bodyDiv w:val="1"/>
      <w:marLeft w:val="0"/>
      <w:marRight w:val="0"/>
      <w:marTop w:val="0"/>
      <w:marBottom w:val="0"/>
      <w:divBdr>
        <w:top w:val="none" w:sz="0" w:space="0" w:color="auto"/>
        <w:left w:val="none" w:sz="0" w:space="0" w:color="auto"/>
        <w:bottom w:val="none" w:sz="0" w:space="0" w:color="auto"/>
        <w:right w:val="none" w:sz="0" w:space="0" w:color="auto"/>
      </w:divBdr>
    </w:div>
    <w:div w:id="1870754738">
      <w:bodyDiv w:val="1"/>
      <w:marLeft w:val="0"/>
      <w:marRight w:val="0"/>
      <w:marTop w:val="0"/>
      <w:marBottom w:val="0"/>
      <w:divBdr>
        <w:top w:val="none" w:sz="0" w:space="0" w:color="auto"/>
        <w:left w:val="none" w:sz="0" w:space="0" w:color="auto"/>
        <w:bottom w:val="none" w:sz="0" w:space="0" w:color="auto"/>
        <w:right w:val="none" w:sz="0" w:space="0" w:color="auto"/>
      </w:divBdr>
      <w:divsChild>
        <w:div w:id="100533788">
          <w:marLeft w:val="0"/>
          <w:marRight w:val="0"/>
          <w:marTop w:val="0"/>
          <w:marBottom w:val="0"/>
          <w:divBdr>
            <w:top w:val="none" w:sz="0" w:space="0" w:color="auto"/>
            <w:left w:val="none" w:sz="0" w:space="0" w:color="auto"/>
            <w:bottom w:val="none" w:sz="0" w:space="0" w:color="auto"/>
            <w:right w:val="none" w:sz="0" w:space="0" w:color="auto"/>
          </w:divBdr>
          <w:divsChild>
            <w:div w:id="511844925">
              <w:marLeft w:val="0"/>
              <w:marRight w:val="0"/>
              <w:marTop w:val="0"/>
              <w:marBottom w:val="0"/>
              <w:divBdr>
                <w:top w:val="none" w:sz="0" w:space="0" w:color="auto"/>
                <w:left w:val="none" w:sz="0" w:space="0" w:color="auto"/>
                <w:bottom w:val="none" w:sz="0" w:space="0" w:color="auto"/>
                <w:right w:val="none" w:sz="0" w:space="0" w:color="auto"/>
              </w:divBdr>
              <w:divsChild>
                <w:div w:id="1558124967">
                  <w:marLeft w:val="0"/>
                  <w:marRight w:val="0"/>
                  <w:marTop w:val="0"/>
                  <w:marBottom w:val="0"/>
                  <w:divBdr>
                    <w:top w:val="none" w:sz="0" w:space="0" w:color="auto"/>
                    <w:left w:val="none" w:sz="0" w:space="0" w:color="auto"/>
                    <w:bottom w:val="none" w:sz="0" w:space="0" w:color="auto"/>
                    <w:right w:val="none" w:sz="0" w:space="0" w:color="auto"/>
                  </w:divBdr>
                  <w:divsChild>
                    <w:div w:id="19568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148204">
      <w:bodyDiv w:val="1"/>
      <w:marLeft w:val="0"/>
      <w:marRight w:val="0"/>
      <w:marTop w:val="0"/>
      <w:marBottom w:val="0"/>
      <w:divBdr>
        <w:top w:val="none" w:sz="0" w:space="0" w:color="auto"/>
        <w:left w:val="none" w:sz="0" w:space="0" w:color="auto"/>
        <w:bottom w:val="none" w:sz="0" w:space="0" w:color="auto"/>
        <w:right w:val="none" w:sz="0" w:space="0" w:color="auto"/>
      </w:divBdr>
    </w:div>
    <w:div w:id="1874339219">
      <w:bodyDiv w:val="1"/>
      <w:marLeft w:val="0"/>
      <w:marRight w:val="0"/>
      <w:marTop w:val="0"/>
      <w:marBottom w:val="0"/>
      <w:divBdr>
        <w:top w:val="none" w:sz="0" w:space="0" w:color="auto"/>
        <w:left w:val="none" w:sz="0" w:space="0" w:color="auto"/>
        <w:bottom w:val="none" w:sz="0" w:space="0" w:color="auto"/>
        <w:right w:val="none" w:sz="0" w:space="0" w:color="auto"/>
      </w:divBdr>
      <w:divsChild>
        <w:div w:id="955058963">
          <w:marLeft w:val="0"/>
          <w:marRight w:val="0"/>
          <w:marTop w:val="0"/>
          <w:marBottom w:val="0"/>
          <w:divBdr>
            <w:top w:val="none" w:sz="0" w:space="0" w:color="auto"/>
            <w:left w:val="none" w:sz="0" w:space="0" w:color="auto"/>
            <w:bottom w:val="none" w:sz="0" w:space="0" w:color="auto"/>
            <w:right w:val="none" w:sz="0" w:space="0" w:color="auto"/>
          </w:divBdr>
          <w:divsChild>
            <w:div w:id="1413047838">
              <w:marLeft w:val="0"/>
              <w:marRight w:val="0"/>
              <w:marTop w:val="0"/>
              <w:marBottom w:val="0"/>
              <w:divBdr>
                <w:top w:val="none" w:sz="0" w:space="0" w:color="auto"/>
                <w:left w:val="none" w:sz="0" w:space="0" w:color="auto"/>
                <w:bottom w:val="none" w:sz="0" w:space="0" w:color="auto"/>
                <w:right w:val="none" w:sz="0" w:space="0" w:color="auto"/>
              </w:divBdr>
              <w:divsChild>
                <w:div w:id="9028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8649">
      <w:bodyDiv w:val="1"/>
      <w:marLeft w:val="0"/>
      <w:marRight w:val="0"/>
      <w:marTop w:val="0"/>
      <w:marBottom w:val="0"/>
      <w:divBdr>
        <w:top w:val="none" w:sz="0" w:space="0" w:color="auto"/>
        <w:left w:val="none" w:sz="0" w:space="0" w:color="auto"/>
        <w:bottom w:val="none" w:sz="0" w:space="0" w:color="auto"/>
        <w:right w:val="none" w:sz="0" w:space="0" w:color="auto"/>
      </w:divBdr>
      <w:divsChild>
        <w:div w:id="1900894634">
          <w:marLeft w:val="0"/>
          <w:marRight w:val="0"/>
          <w:marTop w:val="0"/>
          <w:marBottom w:val="0"/>
          <w:divBdr>
            <w:top w:val="none" w:sz="0" w:space="0" w:color="auto"/>
            <w:left w:val="none" w:sz="0" w:space="0" w:color="auto"/>
            <w:bottom w:val="none" w:sz="0" w:space="0" w:color="auto"/>
            <w:right w:val="none" w:sz="0" w:space="0" w:color="auto"/>
          </w:divBdr>
          <w:divsChild>
            <w:div w:id="916670769">
              <w:marLeft w:val="0"/>
              <w:marRight w:val="0"/>
              <w:marTop w:val="0"/>
              <w:marBottom w:val="0"/>
              <w:divBdr>
                <w:top w:val="none" w:sz="0" w:space="0" w:color="auto"/>
                <w:left w:val="none" w:sz="0" w:space="0" w:color="auto"/>
                <w:bottom w:val="none" w:sz="0" w:space="0" w:color="auto"/>
                <w:right w:val="none" w:sz="0" w:space="0" w:color="auto"/>
              </w:divBdr>
              <w:divsChild>
                <w:div w:id="392049395">
                  <w:marLeft w:val="0"/>
                  <w:marRight w:val="0"/>
                  <w:marTop w:val="0"/>
                  <w:marBottom w:val="0"/>
                  <w:divBdr>
                    <w:top w:val="none" w:sz="0" w:space="0" w:color="auto"/>
                    <w:left w:val="none" w:sz="0" w:space="0" w:color="auto"/>
                    <w:bottom w:val="none" w:sz="0" w:space="0" w:color="auto"/>
                    <w:right w:val="none" w:sz="0" w:space="0" w:color="auto"/>
                  </w:divBdr>
                  <w:divsChild>
                    <w:div w:id="6140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79873">
      <w:bodyDiv w:val="1"/>
      <w:marLeft w:val="0"/>
      <w:marRight w:val="0"/>
      <w:marTop w:val="0"/>
      <w:marBottom w:val="0"/>
      <w:divBdr>
        <w:top w:val="none" w:sz="0" w:space="0" w:color="auto"/>
        <w:left w:val="none" w:sz="0" w:space="0" w:color="auto"/>
        <w:bottom w:val="none" w:sz="0" w:space="0" w:color="auto"/>
        <w:right w:val="none" w:sz="0" w:space="0" w:color="auto"/>
      </w:divBdr>
      <w:divsChild>
        <w:div w:id="1136487701">
          <w:marLeft w:val="0"/>
          <w:marRight w:val="0"/>
          <w:marTop w:val="0"/>
          <w:marBottom w:val="0"/>
          <w:divBdr>
            <w:top w:val="none" w:sz="0" w:space="0" w:color="auto"/>
            <w:left w:val="none" w:sz="0" w:space="0" w:color="auto"/>
            <w:bottom w:val="none" w:sz="0" w:space="0" w:color="auto"/>
            <w:right w:val="none" w:sz="0" w:space="0" w:color="auto"/>
          </w:divBdr>
          <w:divsChild>
            <w:div w:id="1408915093">
              <w:marLeft w:val="0"/>
              <w:marRight w:val="0"/>
              <w:marTop w:val="0"/>
              <w:marBottom w:val="0"/>
              <w:divBdr>
                <w:top w:val="none" w:sz="0" w:space="0" w:color="auto"/>
                <w:left w:val="none" w:sz="0" w:space="0" w:color="auto"/>
                <w:bottom w:val="none" w:sz="0" w:space="0" w:color="auto"/>
                <w:right w:val="none" w:sz="0" w:space="0" w:color="auto"/>
              </w:divBdr>
              <w:divsChild>
                <w:div w:id="20531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70693">
      <w:bodyDiv w:val="1"/>
      <w:marLeft w:val="0"/>
      <w:marRight w:val="0"/>
      <w:marTop w:val="0"/>
      <w:marBottom w:val="0"/>
      <w:divBdr>
        <w:top w:val="none" w:sz="0" w:space="0" w:color="auto"/>
        <w:left w:val="none" w:sz="0" w:space="0" w:color="auto"/>
        <w:bottom w:val="none" w:sz="0" w:space="0" w:color="auto"/>
        <w:right w:val="none" w:sz="0" w:space="0" w:color="auto"/>
      </w:divBdr>
      <w:divsChild>
        <w:div w:id="39791839">
          <w:marLeft w:val="0"/>
          <w:marRight w:val="0"/>
          <w:marTop w:val="0"/>
          <w:marBottom w:val="0"/>
          <w:divBdr>
            <w:top w:val="none" w:sz="0" w:space="0" w:color="auto"/>
            <w:left w:val="none" w:sz="0" w:space="0" w:color="auto"/>
            <w:bottom w:val="none" w:sz="0" w:space="0" w:color="auto"/>
            <w:right w:val="none" w:sz="0" w:space="0" w:color="auto"/>
          </w:divBdr>
          <w:divsChild>
            <w:div w:id="1258830522">
              <w:marLeft w:val="0"/>
              <w:marRight w:val="0"/>
              <w:marTop w:val="0"/>
              <w:marBottom w:val="0"/>
              <w:divBdr>
                <w:top w:val="none" w:sz="0" w:space="0" w:color="auto"/>
                <w:left w:val="none" w:sz="0" w:space="0" w:color="auto"/>
                <w:bottom w:val="none" w:sz="0" w:space="0" w:color="auto"/>
                <w:right w:val="none" w:sz="0" w:space="0" w:color="auto"/>
              </w:divBdr>
              <w:divsChild>
                <w:div w:id="449513751">
                  <w:marLeft w:val="0"/>
                  <w:marRight w:val="0"/>
                  <w:marTop w:val="0"/>
                  <w:marBottom w:val="0"/>
                  <w:divBdr>
                    <w:top w:val="none" w:sz="0" w:space="0" w:color="auto"/>
                    <w:left w:val="none" w:sz="0" w:space="0" w:color="auto"/>
                    <w:bottom w:val="none" w:sz="0" w:space="0" w:color="auto"/>
                    <w:right w:val="none" w:sz="0" w:space="0" w:color="auto"/>
                  </w:divBdr>
                  <w:divsChild>
                    <w:div w:id="19130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3870">
      <w:bodyDiv w:val="1"/>
      <w:marLeft w:val="0"/>
      <w:marRight w:val="0"/>
      <w:marTop w:val="0"/>
      <w:marBottom w:val="0"/>
      <w:divBdr>
        <w:top w:val="none" w:sz="0" w:space="0" w:color="auto"/>
        <w:left w:val="none" w:sz="0" w:space="0" w:color="auto"/>
        <w:bottom w:val="none" w:sz="0" w:space="0" w:color="auto"/>
        <w:right w:val="none" w:sz="0" w:space="0" w:color="auto"/>
      </w:divBdr>
      <w:divsChild>
        <w:div w:id="2073458019">
          <w:marLeft w:val="0"/>
          <w:marRight w:val="0"/>
          <w:marTop w:val="0"/>
          <w:marBottom w:val="0"/>
          <w:divBdr>
            <w:top w:val="none" w:sz="0" w:space="0" w:color="auto"/>
            <w:left w:val="none" w:sz="0" w:space="0" w:color="auto"/>
            <w:bottom w:val="none" w:sz="0" w:space="0" w:color="auto"/>
            <w:right w:val="none" w:sz="0" w:space="0" w:color="auto"/>
          </w:divBdr>
          <w:divsChild>
            <w:div w:id="1743480459">
              <w:marLeft w:val="0"/>
              <w:marRight w:val="0"/>
              <w:marTop w:val="0"/>
              <w:marBottom w:val="0"/>
              <w:divBdr>
                <w:top w:val="none" w:sz="0" w:space="0" w:color="auto"/>
                <w:left w:val="none" w:sz="0" w:space="0" w:color="auto"/>
                <w:bottom w:val="none" w:sz="0" w:space="0" w:color="auto"/>
                <w:right w:val="none" w:sz="0" w:space="0" w:color="auto"/>
              </w:divBdr>
              <w:divsChild>
                <w:div w:id="1303461678">
                  <w:marLeft w:val="0"/>
                  <w:marRight w:val="0"/>
                  <w:marTop w:val="0"/>
                  <w:marBottom w:val="0"/>
                  <w:divBdr>
                    <w:top w:val="none" w:sz="0" w:space="0" w:color="auto"/>
                    <w:left w:val="none" w:sz="0" w:space="0" w:color="auto"/>
                    <w:bottom w:val="none" w:sz="0" w:space="0" w:color="auto"/>
                    <w:right w:val="none" w:sz="0" w:space="0" w:color="auto"/>
                  </w:divBdr>
                  <w:divsChild>
                    <w:div w:id="17662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63178">
      <w:bodyDiv w:val="1"/>
      <w:marLeft w:val="0"/>
      <w:marRight w:val="0"/>
      <w:marTop w:val="0"/>
      <w:marBottom w:val="0"/>
      <w:divBdr>
        <w:top w:val="none" w:sz="0" w:space="0" w:color="auto"/>
        <w:left w:val="none" w:sz="0" w:space="0" w:color="auto"/>
        <w:bottom w:val="none" w:sz="0" w:space="0" w:color="auto"/>
        <w:right w:val="none" w:sz="0" w:space="0" w:color="auto"/>
      </w:divBdr>
      <w:divsChild>
        <w:div w:id="641738431">
          <w:marLeft w:val="0"/>
          <w:marRight w:val="0"/>
          <w:marTop w:val="0"/>
          <w:marBottom w:val="0"/>
          <w:divBdr>
            <w:top w:val="none" w:sz="0" w:space="0" w:color="auto"/>
            <w:left w:val="none" w:sz="0" w:space="0" w:color="auto"/>
            <w:bottom w:val="none" w:sz="0" w:space="0" w:color="auto"/>
            <w:right w:val="none" w:sz="0" w:space="0" w:color="auto"/>
          </w:divBdr>
          <w:divsChild>
            <w:div w:id="1840458542">
              <w:marLeft w:val="0"/>
              <w:marRight w:val="0"/>
              <w:marTop w:val="0"/>
              <w:marBottom w:val="0"/>
              <w:divBdr>
                <w:top w:val="none" w:sz="0" w:space="0" w:color="auto"/>
                <w:left w:val="none" w:sz="0" w:space="0" w:color="auto"/>
                <w:bottom w:val="none" w:sz="0" w:space="0" w:color="auto"/>
                <w:right w:val="none" w:sz="0" w:space="0" w:color="auto"/>
              </w:divBdr>
              <w:divsChild>
                <w:div w:id="1547908099">
                  <w:marLeft w:val="0"/>
                  <w:marRight w:val="0"/>
                  <w:marTop w:val="0"/>
                  <w:marBottom w:val="0"/>
                  <w:divBdr>
                    <w:top w:val="none" w:sz="0" w:space="0" w:color="auto"/>
                    <w:left w:val="none" w:sz="0" w:space="0" w:color="auto"/>
                    <w:bottom w:val="none" w:sz="0" w:space="0" w:color="auto"/>
                    <w:right w:val="none" w:sz="0" w:space="0" w:color="auto"/>
                  </w:divBdr>
                  <w:divsChild>
                    <w:div w:id="2558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hyperlink" Target="https://www.inec.cr/sites/default/files/documetos-biblioteca-virtual/reenadis2018.pdf" TargetMode="External"/><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www.ilo.org/wcmsp5/groups/public/---dgreports/---comm/documents/briefingnote/wcms_740981.pdf" TargetMode="Externa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hyperlink" Target="https://www.inec.cr/sites/default/files/infografias-pdf/imgdia-internacional-mujer-202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amu.go.cr/documents/10179/401246/INAMU+PIEG+2018-2030+NEW.pdf/f8333d70-df04-417e-bbe9-c48c412a3cfb" TargetMode="External"/><Relationship Id="rId32" Type="http://schemas.openxmlformats.org/officeDocument/2006/relationships/hyperlink" Target="https://www.ministeriodesalud.go.cr/sobre_ministerio/prensa/img_cvd/img_datos_marzo_2020_19.jpeg" TargetMode="External"/><Relationship Id="rId37" Type="http://schemas.openxmlformats.org/officeDocument/2006/relationships/hyperlink" Target="https://www.sugef.fi.cr/informacion_relevante/informe%20brechas%20de%20genero/Informe%20Brechas%20Financieras%20SUGEF%20INAMU%20SBD.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www.dw.com/es/covid-19-qui%C3%A9nes-son-los-m%C3%A1s-afectados-y-por-qu%C3%A9/a-52728619" TargetMode="External"/><Relationship Id="rId28" Type="http://schemas.openxmlformats.org/officeDocument/2006/relationships/hyperlink" Target="https://www.inec.cr/encuestas/encuesta-continua-de-empleo" TargetMode="External"/><Relationship Id="rId36" Type="http://schemas.openxmlformats.org/officeDocument/2006/relationships/hyperlink" Target="https://www.undp.org/content/dam/rblac/docs/Research%20and%20Publications/Repository/CostaRica/UNDP-RBLAC-Visi%C3%B3n2030CR.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micit.go.cr/sites/default/files/pdf.pdf" TargetMode="External"/><Relationship Id="rId44" Type="http://schemas.openxmlformats.org/officeDocument/2006/relationships/customXml" Target="../customXml/item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idbdocs.iadb.org/wsdocs/getdocument.aspx?docnum=EZSHARE-1043693673-53" TargetMode="External"/><Relationship Id="rId27" Type="http://schemas.openxmlformats.org/officeDocument/2006/relationships/hyperlink" Target="https://www.inec.cr/sites/default/files/presentacion-multimedia/imgenaho2019-ppt.pdf" TargetMode="External"/><Relationship Id="rId30" Type="http://schemas.openxmlformats.org/officeDocument/2006/relationships/hyperlink" Target="https://www.youtube.com/watch?v=j2oIW2OWm5c" TargetMode="External"/><Relationship Id="rId35" Type="http://schemas.openxmlformats.org/officeDocument/2006/relationships/hyperlink" Target="https://www.unwomen.org/es/what-we-do/economic-empowerment/facts-and-figures" TargetMode="External"/><Relationship Id="rId43" Type="http://schemas.openxmlformats.org/officeDocument/2006/relationships/customXml" Target="../customXml/item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inec.cr/sites/default/files/documentos/inec_institucional/publicaciones/anpoblaccenso2011-04.pdf.pdf" TargetMode="External"/><Relationship Id="rId33" Type="http://schemas.openxmlformats.org/officeDocument/2006/relationships/hyperlink" Target="https://blogs.iadb.org/igualdad/es/ser-afrodescendiente-durante-el-covid-19/" TargetMode="External"/><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Costa Rica</TermName>
          <TermId xmlns="http://schemas.microsoft.com/office/infopath/2007/PartnerControls">70401352-ba64-401d-af16-55c448a66295</TermId>
        </TermInfo>
      </Terms>
    </ic46d7e087fd4a108fb86518ca413cc6>
    <IDBDocs_x0020_Number xmlns="cdc7663a-08f0-4737-9e8c-148ce897a09c" xsi:nil="true"/>
    <Division_x0020_or_x0020_Unit xmlns="cdc7663a-08f0-4737-9e8c-148ce897a09c">SCL/LMK</Division_x0020_or_x0020_Unit>
    <Fiscal_x0020_Year_x0020_IDB xmlns="cdc7663a-08f0-4737-9e8c-148ce897a09c">2020</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5050/OC-CR;5051/GR-CR;</Approval_x0020_Number>
    <Phase xmlns="cdc7663a-08f0-4737-9e8c-148ce897a09c" xsi:nil="true"/>
    <Document_x0020_Author xmlns="cdc7663a-08f0-4737-9e8c-148ce897a09c">Rosas Shady G. David</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LABOR INTERMEDIATION SYSTEMS</TermName>
          <TermId xmlns="http://schemas.microsoft.com/office/infopath/2007/PartnerControls">72d0edb0-5336-43b6-bb2f-05b457738b24</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GRF</TermName>
          <TermId xmlns="http://schemas.microsoft.com/office/infopath/2007/PartnerControls">91c131c5-8288-4ee4-8c9c-34395b8e8fd9</TermId>
        </TermInfo>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96</Value>
      <Value>27</Value>
      <Value>26</Value>
      <Value>24</Value>
      <Value>172</Value>
      <Value>1</Value>
    </TaxCatchAll>
    <Operation_x0020_Type xmlns="cdc7663a-08f0-4737-9e8c-148ce897a09c" xsi:nil="true"/>
    <Package_x0020_Code xmlns="cdc7663a-08f0-4737-9e8c-148ce897a09c" xsi:nil="true"/>
    <Identifier xmlns="cdc7663a-08f0-4737-9e8c-148ce897a09c" xsi:nil="true"/>
    <Project_x0020_Number xmlns="cdc7663a-08f0-4737-9e8c-148ce897a09c">CR-L1144;</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3f908695-d5b5-49f6-941f-76876b39564f</TermId>
        </TermInfo>
      </Terms>
    </nddeef1749674d76abdbe4b239a70bc6>
    <Record_x0020_Number xmlns="cdc7663a-08f0-4737-9e8c-148ce897a09c" xsi:nil="true"/>
    <_dlc_DocId xmlns="cdc7663a-08f0-4737-9e8c-148ce897a09c">EZSHARE-396861525-9</_dlc_DocId>
    <_dlc_DocIdUrl xmlns="cdc7663a-08f0-4737-9e8c-148ce897a09c">
      <Url>https://idbg.sharepoint.com/teams/EZ-CR-LON/CR-L1144/_layouts/15/DocIdRedir.aspx?ID=EZSHARE-396861525-9</Url>
      <Description>EZSHARE-396861525-9</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Labor and Economics;</Webtopic>
    <Abstract xmlns="cdc7663a-08f0-4737-9e8c-148ce897a09c" xsi:nil="true"/>
    <Publishing_x0020_House xmlns="cdc7663a-08f0-4737-9e8c-148ce897a09c" xsi:nil="true"/>
  </documentManagement>
</p:properties>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INE20</b:Tag>
    <b:SourceType>Report</b:SourceType>
    <b:Guid>{2BEF99A9-F4C0-4606-98A6-495C57C8978B}</b:Guid>
    <b:Title>Encuesta Continua de Empleo IV Trimestre 2019</b:Title>
    <b:Year>2020</b:Year>
    <b:Month>febrero</b:Month>
    <b:Author>
      <b:Author>
        <b:Corporate>INEC</b:Corporate>
      </b:Author>
    </b:Author>
    <b:City>San José</b:City>
    <b:Institution>Instituto Nacional de Estadística y Censos de Costa Rica</b:Institution>
    <b:ThesisType>Estadística</b:ThesisType>
    <b:Comments>Este documento es la estadística registrada sobre: Costa Rica: Compendio del IV trimestre de 2019 sobre las mujeres en edad de trabajar con hijos(as) y mujeres sin hijos(as)a/</b:Comments>
    <b:Medium>Documento</b:Medium>
    <b:YearAccessed>2020</b:YearAccessed>
    <b:MonthAccessed>marzo</b:MonthAccessed>
    <b:DayAccessed>31</b:DayAccessed>
    <b:InternetSiteTitle>Instituto Nacional de Estadísticas y Censos de Costa Rica</b:InternetSiteTitle>
    <b:RefOrder>4</b:RefOrder>
  </b:Source>
  <b:Source>
    <b:Tag>INE201</b:Tag>
    <b:SourceType>DocumentFromInternetSite</b:SourceType>
    <b:Guid>{60685B0F-767A-445D-9756-7C01E69C1E5E}</b:Guid>
    <b:Author>
      <b:Author>
        <b:Corporate>INEC</b:Corporate>
      </b:Author>
    </b:Author>
    <b:Title>Encuesta Continua del Empleo al IV Trimestre del 2019: Resultados Generales</b:Title>
    <b:InternetSiteTitle>Instituto Nacional de Estadísticas y Censos de Costa Rica</b:InternetSiteTitle>
    <b:Year>2020</b:Year>
    <b:Month>febrero</b:Month>
    <b:URL>https://www.inec.cr/sites/default/files/documetos-biblioteca-virtual/reeceivt2019.pdf</b:URL>
    <b:YearAccessed>2020</b:YearAccessed>
    <b:MonthAccessed>marzo</b:MonthAccessed>
    <b:DayAccessed>31</b:DayAccessed>
    <b:ShortTitle>Resultados Generales</b:ShortTitle>
    <b:StandardNumber>ISSN: 2215-3136</b:StandardNumber>
    <b:Medium>Documento de Sitio Web</b:Medium>
    <b:RefOrder>5</b:RefOrder>
  </b:Source>
  <b:Source>
    <b:Tag>INC19</b:Tag>
    <b:SourceType>Report</b:SourceType>
    <b:Guid>{32A2DF72-EE6F-4380-8E0B-1CA5E7961220}</b:Guid>
    <b:Title>Diagnóstico de la Iniciativa de Paridad de Género en Costa Rica</b:Title>
    <b:Year>2019</b:Year>
    <b:Author>
      <b:Author>
        <b:Corporate>ENRED</b:Corporate>
      </b:Author>
    </b:Author>
    <b:City>San José</b:City>
    <b:ThesisType>Diagnóstico</b:ThesisType>
    <b:Medium>Documento</b:Medium>
    <b:YearAccessed>2020</b:YearAccessed>
    <b:MonthAccessed>marzo</b:MonthAccessed>
    <b:DayAccessed>31</b:DayAccessed>
    <b:Publisher>BID</b:Publisher>
    <b:Institution>BID Costa Rica</b:Institution>
    <b:RefOrder>6</b:RefOrder>
  </b:Source>
  <b:Source>
    <b:Tag>INE19</b:Tag>
    <b:SourceType>DocumentFromInternetSite</b:SourceType>
    <b:Guid>{C6FC8210-0738-4997-8154-AA93A1215DDC}</b:Guid>
    <b:Author>
      <b:Author>
        <b:Corporate>INEC</b:Corporate>
      </b:Author>
    </b:Author>
    <b:Title>Resultados Generales sobre ingresos, pobreza y desigualdad</b:Title>
    <b:Year>2019</b:Year>
    <b:City>San José</b:City>
    <b:Institution>Instituto Nacional de Estadísticas y Censo de Costa Rica</b:Institution>
    <b:ThesisType>Encuesta de Nacional de Hogares 2019</b:ThesisType>
    <b:Medium>Documento</b:Medium>
    <b:YearAccessed>2020</b:YearAccessed>
    <b:MonthAccessed>marzo</b:MonthAccessed>
    <b:DayAccessed>31</b:DayAccessed>
    <b:URL>https://www.inec.cr/sites/default/files/presentacion-multimedia/imgenaho2019-ppt.pdf</b:URL>
    <b:InternetSiteTitle>Encuesta Nacional de Hogares 2019</b:InternetSiteTitle>
    <b:Month>Octubre</b:Month>
    <b:Day>17</b:Day>
    <b:RefOrder>7</b:RefOrder>
  </b:Source>
  <b:Source>
    <b:Tag>Jím20</b:Tag>
    <b:SourceType>Interview</b:SourceType>
    <b:Guid>{2099B639-FB8D-49CF-BD37-292326FDFD7B}</b:Guid>
    <b:Title>Conferencia de Prensa 30 de marzo del 2020</b:Title>
    <b:Year>2020</b:Year>
    <b:Month>marzo</b:Month>
    <b:Day>30</b:Day>
    <b:URL>https://www.youtube.com/watch?v=j2oIW2OWm5c</b:URL>
    <b:Publisher>Casa Presidencial de Costa Rica</b:Publisher>
    <b:Author>
      <b:Interviewee>
        <b:NameList>
          <b:Person>
            <b:Last>Jímenez</b:Last>
            <b:First>Gladys</b:First>
          </b:Person>
          <b:Person>
            <b:Last>Mora</b:Last>
            <b:First>Patricia</b:First>
          </b:Person>
        </b:NameList>
      </b:Interviewee>
      <b:Interviewer>
        <b:NameList>
          <b:Person>
            <b:Last>periodistas</b:Last>
            <b:First>Varios</b:First>
          </b:Person>
        </b:NameList>
      </b:Interviewer>
    </b:Author>
    <b:StateProvince>San José</b:StateProvince>
    <b:CountryRegion>Costa Rica</b:CountryRegion>
    <b:Medium>video</b:Medium>
    <b:YearAccessed>2020</b:YearAccessed>
    <b:MonthAccessed>marzo</b:MonthAccessed>
    <b:DayAccessed>01</b:DayAccessed>
    <b:RefOrder>8</b:RefOrder>
  </b:Source>
  <b:Source>
    <b:Tag>INE202</b:Tag>
    <b:SourceType>DocumentFromInternetSite</b:SourceType>
    <b:Guid>{8ABBFFE7-FB63-4361-B3AA-8CD94CC023CD}</b:Guid>
    <b:Title>Por los derechos de las mujeres</b:Title>
    <b:Year>2020</b:Year>
    <b:Author>
      <b:Author>
        <b:Corporate>INEC</b:Corporate>
      </b:Author>
    </b:Author>
    <b:InternetSiteTitle>Instituto Nacional de Estadística y Censos de Costa Rica</b:InternetSiteTitle>
    <b:Month>marzo</b:Month>
    <b:Day>8</b:Day>
    <b:URL>https://www.inec.cr/sites/default/files/infografias-pdf/imgdia-internacional-mujer-2020.pdf</b:URL>
    <b:YearAccessed>2020</b:YearAccessed>
    <b:MonthAccessed>abril</b:MonthAccessed>
    <b:DayAccessed>01</b:DayAccessed>
    <b:ShortTitle>Infografia</b:ShortTitle>
    <b:Medium>Documento sitio web</b:Medium>
    <b:RefOrder>9</b:RefOrder>
  </b:Source>
  <b:Source>
    <b:Tag>INA20</b:Tag>
    <b:SourceType>Report</b:SourceType>
    <b:Guid>{389BC6CE-0275-4979-BF92-73EDAF2E1E22}</b:Guid>
    <b:Title>Consulta  VCMN en la crisis para BID</b:Title>
    <b:Year>2020</b:Year>
    <b:Author>
      <b:Author>
        <b:Corporate>INAMU</b:Corporate>
      </b:Author>
    </b:Author>
    <b:City>San José</b:City>
    <b:Institution>Instituto Nacional de la Mujer</b:Institution>
    <b:YearAccessed>2020</b:YearAccessed>
    <b:MonthAccessed>marzo</b:MonthAccessed>
    <b:DayAccessed>30</b:DayAccessed>
    <b:RefOrder>10</b:RefOrder>
  </b:Source>
  <b:Source>
    <b:Tag>OIT163</b:Tag>
    <b:SourceType>Book</b:SourceType>
    <b:Guid>{AABD622F-549E-46A0-9181-D9917113F8C1}</b:Guid>
    <b:Author>
      <b:Author>
        <b:Corporate>OIT, Gallup</b:Corporate>
      </b:Author>
    </b:Author>
    <b:Title>Towards a better future for women and work: Voices of women and men</b:Title>
    <b:Year>2016</b:Year>
    <b:RefOrder>10</b:RefOrder>
  </b:Source>
  <b:Source>
    <b:Tag>KPM19</b:Tag>
    <b:SourceType>Book</b:SourceType>
    <b:Guid>{46490830-3779-46A7-AF24-025A3E94BCA3}</b:Guid>
    <b:Author>
      <b:Author>
        <b:Corporate>KPMG</b:Corporate>
      </b:Author>
    </b:Author>
    <b:Title>Igualdad de género en las empresas 2019. Avanzando hacia la igualdad de oportunidades</b:Title>
    <b:Year>2019</b:Year>
    <b:Publisher>INAMU, AED, CAM.SAT, Embajada del Reino de los Países Bajos, Cámara de Comercio de Costa Rica</b:Publisher>
    <b:RefOrder>11</b:RefOrder>
  </b:Source>
  <b:Source>
    <b:Tag>Sal12</b:Tag>
    <b:SourceType>Book</b:SourceType>
    <b:Guid>{3279583E-6A7E-4C56-96C8-12E97DDFA320}</b:Guid>
    <b:Author>
      <b:Author>
        <b:NameList>
          <b:Person>
            <b:Last>Salle</b:Last>
            <b:First>M.A.</b:First>
            <b:Middle>et al</b:Middle>
          </b:Person>
        </b:NameList>
      </b:Author>
    </b:Author>
    <b:Title>Formación profesional y Nuevos Yacimientos de Empleo</b:Title>
    <b:Year>2012</b:Year>
    <b:Publisher>Intituto de la Mujer (Ministerio de Sanidad, Servicios Sociales e Igualdad)</b:Publisher>
    <b:RefOrder>40</b:RefOrder>
  </b:Source>
</b:Sourc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26F9998435D3904588D3274A9001C8B5" ma:contentTypeVersion="0" ma:contentTypeDescription="A content type to manage public (operations) IDB documents" ma:contentTypeScope="" ma:versionID="9de36959d58271336f116e7893652475">
  <xsd:schema xmlns:xsd="http://www.w3.org/2001/XMLSchema" xmlns:xs="http://www.w3.org/2001/XMLSchema" xmlns:p="http://schemas.microsoft.com/office/2006/metadata/properties" xmlns:ns2="cdc7663a-08f0-4737-9e8c-148ce897a09c" targetNamespace="http://schemas.microsoft.com/office/2006/metadata/properties" ma:root="true" ma:fieldsID="c5aeea849d9121e8ba21b1f244f2d40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CR-L1144"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Urls xmlns="http://schemas.microsoft.com/sharepoint/v3/contenttype/forms/url">
  <Display>_catalogs/masterpage/ECMForms/OperationsCT/View.aspx</Display>
  <Edit>_catalogs/masterpage/ECMForms/OperationsCT/Edit.aspx</Edit>
</FormUrls>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87099253-F91A-41CC-BE3F-7693AD9D07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0202F6-78B6-4115-9F13-BE0D4B42FA52}"/>
</file>

<file path=customXml/itemProps3.xml><?xml version="1.0" encoding="utf-8"?>
<ds:datastoreItem xmlns:ds="http://schemas.openxmlformats.org/officeDocument/2006/customXml" ds:itemID="{8E69F4FD-FC70-4206-B1FF-2320C85A6B78}">
  <ds:schemaRefs>
    <ds:schemaRef ds:uri="http://schemas.microsoft.com/sharepoint/v3/contenttype/forms"/>
  </ds:schemaRefs>
</ds:datastoreItem>
</file>

<file path=customXml/itemProps4.xml><?xml version="1.0" encoding="utf-8"?>
<ds:datastoreItem xmlns:ds="http://schemas.openxmlformats.org/officeDocument/2006/customXml" ds:itemID="{F4907D3F-BBDA-4308-9986-A54E34F9AE19}">
  <ds:schemaRefs>
    <ds:schemaRef ds:uri="http://schemas.openxmlformats.org/officeDocument/2006/bibliography"/>
  </ds:schemaRefs>
</ds:datastoreItem>
</file>

<file path=customXml/itemProps5.xml><?xml version="1.0" encoding="utf-8"?>
<ds:datastoreItem xmlns:ds="http://schemas.openxmlformats.org/officeDocument/2006/customXml" ds:itemID="{7B7BB42F-271E-448A-B9D0-2F499649CE7E}"/>
</file>

<file path=customXml/itemProps6.xml><?xml version="1.0" encoding="utf-8"?>
<ds:datastoreItem xmlns:ds="http://schemas.openxmlformats.org/officeDocument/2006/customXml" ds:itemID="{ED8016D0-B9FD-4F34-ADFD-F1F51CA75665}"/>
</file>

<file path=customXml/itemProps7.xml><?xml version="1.0" encoding="utf-8"?>
<ds:datastoreItem xmlns:ds="http://schemas.openxmlformats.org/officeDocument/2006/customXml" ds:itemID="{D483C598-0B16-40A0-BEAD-56EEBD20A976}"/>
</file>

<file path=customXml/itemProps8.xml><?xml version="1.0" encoding="utf-8"?>
<ds:datastoreItem xmlns:ds="http://schemas.openxmlformats.org/officeDocument/2006/customXml" ds:itemID="{D636C5C1-E265-4D0A-8545-A25BD483F9BF}"/>
</file>

<file path=docProps/app.xml><?xml version="1.0" encoding="utf-8"?>
<Properties xmlns="http://schemas.openxmlformats.org/officeDocument/2006/extended-properties" xmlns:vt="http://schemas.openxmlformats.org/officeDocument/2006/docPropsVTypes">
  <Template>Normal.dotm</Template>
  <TotalTime>1</TotalTime>
  <Pages>17</Pages>
  <Words>6584</Words>
  <Characters>37531</Characters>
  <Application>Microsoft Office Word</Application>
  <DocSecurity>0</DocSecurity>
  <Lines>312</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Lupica</dc:creator>
  <cp:keywords/>
  <dc:description/>
  <cp:lastModifiedBy>Garcia Valero, Andrea Carolina</cp:lastModifiedBy>
  <cp:revision>3</cp:revision>
  <dcterms:created xsi:type="dcterms:W3CDTF">2020-05-08T05:30:00Z</dcterms:created>
  <dcterms:modified xsi:type="dcterms:W3CDTF">2020-05-08T05:30:00Z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172;#LABOR INTERMEDIATION SYSTEMS|72d0edb0-5336-43b6-bb2f-05b457738b24</vt:lpwstr>
  </property>
  <property fmtid="{D5CDD505-2E9C-101B-9397-08002B2CF9AE}" pid="7" name="Fund IDB">
    <vt:lpwstr>96;#GRF|91c131c5-8288-4ee4-8c9c-34395b8e8fd9;#24;#ORC|c028a4b2-ad8b-4cf4-9cac-a2ae6a778e23</vt:lpwstr>
  </property>
  <property fmtid="{D5CDD505-2E9C-101B-9397-08002B2CF9AE}" pid="8" name="Country">
    <vt:lpwstr>26;#Costa Rica|70401352-ba64-401d-af16-55c448a66295</vt:lpwstr>
  </property>
  <property fmtid="{D5CDD505-2E9C-101B-9397-08002B2CF9AE}" pid="9" name="Sector IDB">
    <vt:lpwstr>27;#SOCIAL INVESTMENT|3f908695-d5b5-49f6-941f-76876b39564f</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6768b15e-8de9-4333-92e3-0a2780f29f76</vt:lpwstr>
  </property>
  <property fmtid="{D5CDD505-2E9C-101B-9397-08002B2CF9AE}" pid="12" name="ContentTypeId">
    <vt:lpwstr>0x0101001A458A224826124E8B45B1D613300CFC0026F9998435D3904588D3274A9001C8B5</vt:lpwstr>
  </property>
</Properties>
</file>