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C1490" w14:textId="77777777" w:rsidR="006D1765" w:rsidRPr="002D1B02" w:rsidRDefault="006D1765" w:rsidP="006D1765">
      <w:pPr>
        <w:pStyle w:val="Title"/>
        <w:keepNext/>
        <w:rPr>
          <w:smallCaps/>
        </w:rPr>
      </w:pPr>
      <w:r w:rsidRPr="002D1B02">
        <w:rPr>
          <w:smallCaps/>
        </w:rPr>
        <w:t>Documento del Banco Interamericano de Desarrollo</w:t>
      </w:r>
    </w:p>
    <w:p w14:paraId="00DDBC32" w14:textId="77777777" w:rsidR="006D1765" w:rsidRPr="002D1B02" w:rsidRDefault="006D1765" w:rsidP="006D1765">
      <w:pPr>
        <w:keepNext/>
        <w:jc w:val="center"/>
        <w:outlineLvl w:val="0"/>
        <w:rPr>
          <w:lang w:val="es-ES"/>
        </w:rPr>
      </w:pPr>
    </w:p>
    <w:p w14:paraId="55898282" w14:textId="77777777" w:rsidR="006D1765" w:rsidRPr="002D1B02" w:rsidRDefault="006D1765" w:rsidP="006D1765">
      <w:pPr>
        <w:keepNext/>
        <w:jc w:val="center"/>
        <w:rPr>
          <w:lang w:val="es-ES"/>
        </w:rPr>
      </w:pPr>
    </w:p>
    <w:p w14:paraId="1760A5D9" w14:textId="77777777" w:rsidR="006D1765" w:rsidRPr="002D1B02" w:rsidRDefault="006D1765" w:rsidP="006D1765">
      <w:pPr>
        <w:keepNext/>
        <w:jc w:val="center"/>
        <w:rPr>
          <w:lang w:val="es-ES"/>
        </w:rPr>
      </w:pPr>
    </w:p>
    <w:p w14:paraId="71C734FE" w14:textId="77777777" w:rsidR="006D1765" w:rsidRPr="002D1B02" w:rsidRDefault="006D1765" w:rsidP="006D1765">
      <w:pPr>
        <w:keepNext/>
        <w:jc w:val="center"/>
        <w:rPr>
          <w:lang w:val="es-ES"/>
        </w:rPr>
      </w:pPr>
    </w:p>
    <w:p w14:paraId="0248F933" w14:textId="77777777" w:rsidR="006D1765" w:rsidRPr="002D1B02" w:rsidRDefault="006D1765" w:rsidP="006D1765">
      <w:pPr>
        <w:keepNext/>
        <w:jc w:val="center"/>
        <w:rPr>
          <w:lang w:val="es-ES"/>
        </w:rPr>
      </w:pPr>
    </w:p>
    <w:p w14:paraId="448CD5FF" w14:textId="77777777" w:rsidR="006D1765" w:rsidRPr="002D1B02" w:rsidRDefault="006D1765" w:rsidP="006D1765">
      <w:pPr>
        <w:keepNext/>
        <w:jc w:val="center"/>
        <w:rPr>
          <w:lang w:val="es-ES"/>
        </w:rPr>
      </w:pPr>
    </w:p>
    <w:p w14:paraId="69FA6184" w14:textId="77777777" w:rsidR="006D1765" w:rsidRPr="002D1B02" w:rsidRDefault="006D1765" w:rsidP="006D1765">
      <w:pPr>
        <w:keepNext/>
        <w:jc w:val="center"/>
        <w:rPr>
          <w:lang w:val="es-ES"/>
        </w:rPr>
      </w:pPr>
    </w:p>
    <w:p w14:paraId="457BF98B" w14:textId="77777777" w:rsidR="006D1765" w:rsidRPr="002D1B02" w:rsidRDefault="006D1765" w:rsidP="006D1765">
      <w:pPr>
        <w:keepNext/>
        <w:jc w:val="center"/>
        <w:rPr>
          <w:sz w:val="28"/>
          <w:szCs w:val="28"/>
          <w:lang w:val="es-ES"/>
        </w:rPr>
      </w:pPr>
    </w:p>
    <w:p w14:paraId="40211540" w14:textId="77777777" w:rsidR="006D1765" w:rsidRPr="002D1B02" w:rsidRDefault="001F19D7" w:rsidP="006D1765">
      <w:pPr>
        <w:keepNext/>
        <w:jc w:val="center"/>
        <w:rPr>
          <w:rFonts w:ascii="Times New Roman Bold" w:hAnsi="Times New Roman Bold"/>
          <w:b/>
          <w:smallCaps/>
          <w:sz w:val="28"/>
          <w:szCs w:val="28"/>
          <w:lang w:val="es-ES"/>
        </w:rPr>
      </w:pPr>
      <w:r w:rsidRPr="002D1B02">
        <w:rPr>
          <w:rFonts w:ascii="Times New Roman Bold" w:hAnsi="Times New Roman Bold"/>
          <w:b/>
          <w:smallCaps/>
          <w:sz w:val="28"/>
          <w:szCs w:val="28"/>
          <w:lang w:val="es-ES"/>
        </w:rPr>
        <w:t>Panamá</w:t>
      </w:r>
    </w:p>
    <w:p w14:paraId="5039043A" w14:textId="77777777" w:rsidR="006D1765" w:rsidRPr="002D1B02" w:rsidRDefault="006D1765" w:rsidP="006D1765">
      <w:pPr>
        <w:keepNext/>
        <w:jc w:val="center"/>
        <w:rPr>
          <w:b/>
          <w:smallCaps/>
          <w:szCs w:val="28"/>
          <w:lang w:val="es-ES"/>
        </w:rPr>
      </w:pPr>
    </w:p>
    <w:p w14:paraId="366405F4" w14:textId="77777777" w:rsidR="006D1765" w:rsidRPr="002D1B02" w:rsidRDefault="006D1765" w:rsidP="006D1765">
      <w:pPr>
        <w:keepNext/>
        <w:jc w:val="center"/>
        <w:rPr>
          <w:b/>
          <w:smallCaps/>
          <w:szCs w:val="28"/>
          <w:lang w:val="es-ES"/>
        </w:rPr>
      </w:pPr>
    </w:p>
    <w:p w14:paraId="36453629" w14:textId="77777777" w:rsidR="006D1765" w:rsidRPr="002D1B02" w:rsidRDefault="006D1765" w:rsidP="006D1765">
      <w:pPr>
        <w:keepNext/>
        <w:jc w:val="center"/>
        <w:rPr>
          <w:b/>
          <w:smallCaps/>
          <w:szCs w:val="28"/>
          <w:lang w:val="es-ES"/>
        </w:rPr>
      </w:pPr>
    </w:p>
    <w:p w14:paraId="183B988A" w14:textId="77777777" w:rsidR="006D1765" w:rsidRPr="002D1B02" w:rsidRDefault="006D1765" w:rsidP="006D1765">
      <w:pPr>
        <w:keepNext/>
        <w:jc w:val="center"/>
        <w:rPr>
          <w:b/>
          <w:smallCaps/>
          <w:szCs w:val="28"/>
          <w:lang w:val="es-ES"/>
        </w:rPr>
      </w:pPr>
    </w:p>
    <w:p w14:paraId="4157B136" w14:textId="77777777" w:rsidR="006D1765" w:rsidRPr="002D1B02" w:rsidRDefault="006D1765" w:rsidP="006D1765">
      <w:pPr>
        <w:keepNext/>
        <w:jc w:val="center"/>
        <w:rPr>
          <w:b/>
          <w:smallCaps/>
          <w:szCs w:val="28"/>
          <w:lang w:val="es-ES"/>
        </w:rPr>
      </w:pPr>
    </w:p>
    <w:p w14:paraId="5C363E9B" w14:textId="77777777" w:rsidR="006D1765" w:rsidRPr="002D1B02" w:rsidRDefault="006D1765" w:rsidP="006D1765">
      <w:pPr>
        <w:keepNext/>
        <w:jc w:val="center"/>
        <w:rPr>
          <w:b/>
          <w:smallCaps/>
          <w:szCs w:val="28"/>
          <w:lang w:val="es-ES"/>
        </w:rPr>
      </w:pPr>
    </w:p>
    <w:p w14:paraId="280C9FEB" w14:textId="77777777" w:rsidR="006D1765" w:rsidRPr="002D1B02" w:rsidRDefault="006D1765" w:rsidP="006D1765">
      <w:pPr>
        <w:keepNext/>
        <w:jc w:val="center"/>
        <w:rPr>
          <w:b/>
          <w:smallCaps/>
          <w:szCs w:val="28"/>
          <w:lang w:val="es-ES"/>
        </w:rPr>
      </w:pPr>
    </w:p>
    <w:p w14:paraId="075FCB86" w14:textId="77777777" w:rsidR="006D1765" w:rsidRPr="002D1B02" w:rsidRDefault="006D1765" w:rsidP="006D1765">
      <w:pPr>
        <w:keepNext/>
        <w:jc w:val="center"/>
        <w:rPr>
          <w:b/>
          <w:smallCaps/>
          <w:szCs w:val="28"/>
          <w:lang w:val="es-ES"/>
        </w:rPr>
      </w:pPr>
    </w:p>
    <w:p w14:paraId="010F7C4C" w14:textId="3A4385DE" w:rsidR="006D1765" w:rsidRDefault="001F19D7" w:rsidP="006D1765">
      <w:pPr>
        <w:keepNext/>
        <w:jc w:val="center"/>
        <w:rPr>
          <w:b/>
          <w:smallCaps/>
          <w:sz w:val="28"/>
          <w:szCs w:val="28"/>
          <w:lang w:val="es-ES"/>
        </w:rPr>
      </w:pPr>
      <w:r w:rsidRPr="002D1B02">
        <w:rPr>
          <w:b/>
          <w:smallCaps/>
          <w:sz w:val="28"/>
          <w:szCs w:val="28"/>
          <w:lang w:val="es-ES"/>
        </w:rPr>
        <w:t>APOYO AL PROGRAMA DE REFORMAS DEL SECTOR TRANSPORTE Y LOGÍSTICA DE PANAMÁ</w:t>
      </w:r>
    </w:p>
    <w:p w14:paraId="4B736CCA" w14:textId="2101FB49" w:rsidR="004C4280" w:rsidRPr="002D1B02" w:rsidRDefault="004C4280" w:rsidP="006D1765">
      <w:pPr>
        <w:keepNext/>
        <w:jc w:val="center"/>
        <w:rPr>
          <w:b/>
          <w:smallCaps/>
          <w:szCs w:val="28"/>
          <w:lang w:val="es-ES"/>
        </w:rPr>
      </w:pPr>
      <w:r>
        <w:rPr>
          <w:b/>
          <w:smallCaps/>
          <w:szCs w:val="28"/>
          <w:lang w:val="es-ES"/>
        </w:rPr>
        <w:t>Tercera Fase</w:t>
      </w:r>
    </w:p>
    <w:p w14:paraId="4A200DF4" w14:textId="77777777" w:rsidR="006D1765" w:rsidRPr="002D1B02" w:rsidRDefault="006D1765" w:rsidP="006D1765">
      <w:pPr>
        <w:keepNext/>
        <w:jc w:val="center"/>
        <w:rPr>
          <w:b/>
          <w:smallCaps/>
          <w:szCs w:val="28"/>
          <w:lang w:val="es-ES"/>
        </w:rPr>
      </w:pPr>
    </w:p>
    <w:p w14:paraId="4AC43922" w14:textId="77777777" w:rsidR="006D1765" w:rsidRPr="002D1B02" w:rsidRDefault="006D1765" w:rsidP="006D1765">
      <w:pPr>
        <w:keepNext/>
        <w:jc w:val="center"/>
        <w:rPr>
          <w:smallCaps/>
          <w:sz w:val="28"/>
          <w:szCs w:val="28"/>
          <w:lang w:val="es-ES"/>
        </w:rPr>
      </w:pPr>
      <w:r w:rsidRPr="002D1B02">
        <w:rPr>
          <w:b/>
          <w:smallCaps/>
          <w:sz w:val="28"/>
          <w:szCs w:val="28"/>
          <w:lang w:val="es-ES"/>
        </w:rPr>
        <w:t>(</w:t>
      </w:r>
      <w:r w:rsidR="001F19D7" w:rsidRPr="002D1B02">
        <w:rPr>
          <w:b/>
          <w:smallCaps/>
          <w:sz w:val="28"/>
          <w:szCs w:val="28"/>
          <w:lang w:val="es-ES"/>
        </w:rPr>
        <w:t>PN-L</w:t>
      </w:r>
      <w:r w:rsidR="00584D54" w:rsidRPr="002D1B02">
        <w:rPr>
          <w:b/>
          <w:smallCaps/>
          <w:sz w:val="28"/>
          <w:szCs w:val="28"/>
          <w:lang w:val="es-ES"/>
        </w:rPr>
        <w:t>11</w:t>
      </w:r>
      <w:r w:rsidR="00F21F7D">
        <w:rPr>
          <w:b/>
          <w:smallCaps/>
          <w:sz w:val="28"/>
          <w:szCs w:val="28"/>
          <w:lang w:val="es-ES"/>
        </w:rPr>
        <w:t>51</w:t>
      </w:r>
      <w:r w:rsidRPr="002D1B02">
        <w:rPr>
          <w:b/>
          <w:smallCaps/>
          <w:sz w:val="28"/>
          <w:szCs w:val="28"/>
          <w:lang w:val="es-ES"/>
        </w:rPr>
        <w:t>)</w:t>
      </w:r>
    </w:p>
    <w:p w14:paraId="64D0BD71" w14:textId="77777777" w:rsidR="006D1765" w:rsidRPr="002D1B02" w:rsidRDefault="006D1765" w:rsidP="006D1765">
      <w:pPr>
        <w:keepNext/>
        <w:jc w:val="center"/>
        <w:rPr>
          <w:smallCaps/>
          <w:szCs w:val="28"/>
          <w:lang w:val="es-ES"/>
        </w:rPr>
      </w:pPr>
    </w:p>
    <w:p w14:paraId="37008E10" w14:textId="77777777" w:rsidR="006D1765" w:rsidRPr="002D1B02" w:rsidRDefault="006D1765" w:rsidP="006D1765">
      <w:pPr>
        <w:keepNext/>
        <w:jc w:val="center"/>
        <w:rPr>
          <w:smallCaps/>
          <w:szCs w:val="28"/>
          <w:lang w:val="es-ES"/>
        </w:rPr>
      </w:pPr>
    </w:p>
    <w:p w14:paraId="2B56D8E0" w14:textId="77777777" w:rsidR="006D1765" w:rsidRPr="002D1B02" w:rsidRDefault="006D1765" w:rsidP="006D1765">
      <w:pPr>
        <w:keepNext/>
        <w:jc w:val="center"/>
        <w:rPr>
          <w:smallCaps/>
          <w:szCs w:val="28"/>
          <w:lang w:val="es-ES"/>
        </w:rPr>
      </w:pPr>
    </w:p>
    <w:p w14:paraId="3DCAD3C7" w14:textId="77777777" w:rsidR="006D1765" w:rsidRPr="002D1B02" w:rsidRDefault="006D1765" w:rsidP="006D1765">
      <w:pPr>
        <w:keepNext/>
        <w:jc w:val="center"/>
        <w:rPr>
          <w:smallCaps/>
          <w:szCs w:val="28"/>
          <w:lang w:val="es-ES"/>
        </w:rPr>
      </w:pPr>
    </w:p>
    <w:p w14:paraId="292B614C" w14:textId="77777777" w:rsidR="006D1765" w:rsidRPr="002D1B02" w:rsidRDefault="006D1765" w:rsidP="006D1765">
      <w:pPr>
        <w:keepNext/>
        <w:jc w:val="center"/>
        <w:rPr>
          <w:smallCaps/>
          <w:szCs w:val="28"/>
          <w:lang w:val="es-ES"/>
        </w:rPr>
      </w:pPr>
    </w:p>
    <w:p w14:paraId="00405896" w14:textId="77777777" w:rsidR="006D1765" w:rsidRPr="002D1B02" w:rsidRDefault="006D1765" w:rsidP="006D1765">
      <w:pPr>
        <w:keepNext/>
        <w:jc w:val="center"/>
        <w:outlineLvl w:val="0"/>
        <w:rPr>
          <w:b/>
          <w:smallCaps/>
          <w:sz w:val="28"/>
          <w:szCs w:val="28"/>
          <w:lang w:val="es-ES"/>
        </w:rPr>
      </w:pPr>
      <w:r w:rsidRPr="002D1B02">
        <w:rPr>
          <w:b/>
          <w:smallCaps/>
          <w:sz w:val="28"/>
          <w:szCs w:val="28"/>
          <w:lang w:val="es-ES"/>
        </w:rPr>
        <w:t xml:space="preserve">Plan de Monitoreo y Evaluación </w:t>
      </w:r>
    </w:p>
    <w:p w14:paraId="3F9319E8" w14:textId="77777777" w:rsidR="006D1765" w:rsidRPr="002D1B02" w:rsidRDefault="006D1765" w:rsidP="006D1765">
      <w:pPr>
        <w:keepNext/>
        <w:jc w:val="center"/>
        <w:rPr>
          <w:lang w:val="es-ES"/>
        </w:rPr>
      </w:pPr>
    </w:p>
    <w:p w14:paraId="0955A198" w14:textId="77777777" w:rsidR="006D1765" w:rsidRPr="002D1B02" w:rsidRDefault="006D1765" w:rsidP="006D1765">
      <w:pPr>
        <w:keepNext/>
        <w:jc w:val="center"/>
        <w:rPr>
          <w:lang w:val="es-ES"/>
        </w:rPr>
      </w:pPr>
    </w:p>
    <w:p w14:paraId="3524EA95" w14:textId="77777777" w:rsidR="006D1765" w:rsidRPr="002D1B02" w:rsidRDefault="006D1765" w:rsidP="006D1765">
      <w:pPr>
        <w:keepNext/>
        <w:jc w:val="center"/>
        <w:rPr>
          <w:lang w:val="es-ES"/>
        </w:rPr>
      </w:pPr>
    </w:p>
    <w:p w14:paraId="64482FF7" w14:textId="77777777" w:rsidR="006D1765" w:rsidRPr="002D1B02" w:rsidRDefault="006D1765" w:rsidP="006D1765">
      <w:pPr>
        <w:keepNext/>
        <w:jc w:val="center"/>
        <w:rPr>
          <w:lang w:val="es-ES"/>
        </w:rPr>
      </w:pPr>
    </w:p>
    <w:p w14:paraId="40650EC4" w14:textId="77777777" w:rsidR="006D1765" w:rsidRPr="002D1B02" w:rsidRDefault="006D1765" w:rsidP="006D1765">
      <w:pPr>
        <w:keepNext/>
        <w:jc w:val="center"/>
        <w:rPr>
          <w:lang w:val="es-ES"/>
        </w:rPr>
      </w:pPr>
    </w:p>
    <w:p w14:paraId="7FF44E97" w14:textId="77777777" w:rsidR="00A90B17" w:rsidRPr="002D1B02" w:rsidRDefault="00A90B17" w:rsidP="006D1765">
      <w:pPr>
        <w:keepNext/>
        <w:jc w:val="center"/>
        <w:rPr>
          <w:lang w:val="es-ES"/>
        </w:rPr>
      </w:pPr>
    </w:p>
    <w:p w14:paraId="49FA7D99" w14:textId="77777777" w:rsidR="009E2E3E" w:rsidRPr="002D1B02" w:rsidRDefault="009E2E3E" w:rsidP="006D1765">
      <w:pPr>
        <w:keepNext/>
        <w:jc w:val="center"/>
        <w:rPr>
          <w:lang w:val="es-ES"/>
        </w:rPr>
      </w:pPr>
    </w:p>
    <w:p w14:paraId="29B13777" w14:textId="77777777" w:rsidR="00A90B17" w:rsidRPr="002D1B02" w:rsidRDefault="00A90B17" w:rsidP="006D1765">
      <w:pPr>
        <w:keepNext/>
        <w:jc w:val="center"/>
        <w:rPr>
          <w:lang w:val="es-ES"/>
        </w:rPr>
      </w:pPr>
    </w:p>
    <w:p w14:paraId="0EA9A4C1" w14:textId="77777777" w:rsidR="00A90B17" w:rsidRPr="002D1B02" w:rsidRDefault="00A90B17" w:rsidP="006D1765">
      <w:pPr>
        <w:keepNext/>
        <w:jc w:val="center"/>
        <w:rPr>
          <w:lang w:val="es-ES"/>
        </w:rPr>
      </w:pPr>
    </w:p>
    <w:p w14:paraId="1D222F65" w14:textId="77777777" w:rsidR="006D1765" w:rsidRPr="002D1B02" w:rsidRDefault="006D1765" w:rsidP="006D1765">
      <w:pPr>
        <w:keepNext/>
        <w:tabs>
          <w:tab w:val="left" w:pos="1440"/>
          <w:tab w:val="left" w:pos="3060"/>
        </w:tabs>
        <w:jc w:val="center"/>
        <w:rPr>
          <w:lang w:val="es-ES"/>
        </w:rPr>
      </w:pPr>
    </w:p>
    <w:p w14:paraId="438100C5" w14:textId="265F33F6" w:rsidR="009E2E3E" w:rsidRPr="002D1B02" w:rsidRDefault="00B6292D" w:rsidP="009E2E3E">
      <w:pPr>
        <w:pStyle w:val="BodyText"/>
        <w:keepNext/>
        <w:pBdr>
          <w:top w:val="single" w:sz="4" w:space="1" w:color="auto"/>
          <w:left w:val="single" w:sz="4" w:space="4" w:color="auto"/>
          <w:bottom w:val="single" w:sz="4" w:space="1" w:color="auto"/>
          <w:right w:val="single" w:sz="4" w:space="4" w:color="auto"/>
        </w:pBdr>
        <w:jc w:val="both"/>
        <w:rPr>
          <w:lang w:val="es-ES"/>
        </w:rPr>
      </w:pPr>
      <w:r w:rsidRPr="002D1B02">
        <w:rPr>
          <w:lang w:val="es-ES"/>
        </w:rPr>
        <w:t xml:space="preserve">Este documento fue preparado por el equipo de proyecto compuesto por: </w:t>
      </w:r>
      <w:r w:rsidR="00F21F7D">
        <w:rPr>
          <w:lang w:val="es-ES"/>
        </w:rPr>
        <w:t xml:space="preserve">Isabel Granada </w:t>
      </w:r>
      <w:r w:rsidRPr="002D1B02">
        <w:rPr>
          <w:lang w:val="es-ES"/>
        </w:rPr>
        <w:t xml:space="preserve">(INE/TSP), Jefe de Equipo; </w:t>
      </w:r>
      <w:r w:rsidR="00F21F7D">
        <w:rPr>
          <w:lang w:val="es-ES"/>
        </w:rPr>
        <w:t>Sergio Deambrosi</w:t>
      </w:r>
      <w:r w:rsidRPr="002D1B02">
        <w:rPr>
          <w:lang w:val="es-ES"/>
        </w:rPr>
        <w:t xml:space="preserve">, Jefe de Equipo Alterno (TSP/CPN); </w:t>
      </w:r>
      <w:r w:rsidR="00F21F7D" w:rsidRPr="002D1B02">
        <w:rPr>
          <w:lang w:val="es-ES"/>
        </w:rPr>
        <w:t>Reinaldo Fioravanti</w:t>
      </w:r>
      <w:r w:rsidR="00F21F7D">
        <w:rPr>
          <w:lang w:val="es-ES"/>
        </w:rPr>
        <w:t xml:space="preserve">, Ana María Pinto y Tania Alonso </w:t>
      </w:r>
      <w:r w:rsidR="00F21F7D" w:rsidRPr="002D1B02">
        <w:rPr>
          <w:lang w:val="es-ES"/>
        </w:rPr>
        <w:t>(INE/TSP)</w:t>
      </w:r>
      <w:r w:rsidRPr="002D1B02">
        <w:rPr>
          <w:lang w:val="es-ES"/>
        </w:rPr>
        <w:t xml:space="preserve">; </w:t>
      </w:r>
      <w:r w:rsidR="00F21F7D">
        <w:rPr>
          <w:lang w:val="es-ES"/>
        </w:rPr>
        <w:t>Alejandra Caldo (TSP/CPN), Margarita Libby</w:t>
      </w:r>
      <w:r w:rsidR="001A3F5B">
        <w:rPr>
          <w:lang w:val="es-ES"/>
        </w:rPr>
        <w:t xml:space="preserve"> </w:t>
      </w:r>
      <w:r w:rsidR="001A3F5B" w:rsidRPr="002919C1">
        <w:rPr>
          <w:rFonts w:ascii="Arial" w:hAnsi="Arial" w:cs="Arial"/>
          <w:sz w:val="20"/>
          <w:lang w:val="es-ES"/>
        </w:rPr>
        <w:t>(INT/TIN); Ignacio Barragán (LEG/SGO)</w:t>
      </w:r>
      <w:r w:rsidRPr="002D1B02">
        <w:rPr>
          <w:lang w:val="es-ES"/>
        </w:rPr>
        <w:t>; Ger</w:t>
      </w:r>
      <w:r w:rsidR="001E577D" w:rsidRPr="002D1B02">
        <w:rPr>
          <w:lang w:val="es-ES"/>
        </w:rPr>
        <w:t xml:space="preserve">ónimo Frigerio, Juan </w:t>
      </w:r>
      <w:proofErr w:type="gramStart"/>
      <w:r w:rsidR="001E577D" w:rsidRPr="002D1B02">
        <w:rPr>
          <w:lang w:val="es-ES"/>
        </w:rPr>
        <w:t xml:space="preserve">Benavides, </w:t>
      </w:r>
      <w:r w:rsidRPr="002D1B02">
        <w:rPr>
          <w:lang w:val="es-ES"/>
        </w:rPr>
        <w:t xml:space="preserve"> </w:t>
      </w:r>
      <w:proofErr w:type="spellStart"/>
      <w:r w:rsidRPr="002D1B02">
        <w:rPr>
          <w:lang w:val="es-ES"/>
        </w:rPr>
        <w:t>Marelia</w:t>
      </w:r>
      <w:proofErr w:type="spellEnd"/>
      <w:proofErr w:type="gramEnd"/>
      <w:r w:rsidRPr="002D1B02">
        <w:rPr>
          <w:lang w:val="es-ES"/>
        </w:rPr>
        <w:t xml:space="preserve"> Martinez</w:t>
      </w:r>
      <w:r w:rsidR="001E577D" w:rsidRPr="002D1B02">
        <w:rPr>
          <w:lang w:val="es-ES"/>
        </w:rPr>
        <w:t xml:space="preserve"> y</w:t>
      </w:r>
      <w:r w:rsidR="001A3F5B">
        <w:rPr>
          <w:lang w:val="es-ES"/>
        </w:rPr>
        <w:t xml:space="preserve"> Marcio </w:t>
      </w:r>
      <w:proofErr w:type="spellStart"/>
      <w:r w:rsidR="001A3F5B">
        <w:rPr>
          <w:lang w:val="es-ES"/>
        </w:rPr>
        <w:t>Cracel</w:t>
      </w:r>
      <w:proofErr w:type="spellEnd"/>
      <w:r w:rsidR="001E577D" w:rsidRPr="002D1B02">
        <w:rPr>
          <w:lang w:val="es-ES"/>
        </w:rPr>
        <w:t xml:space="preserve"> </w:t>
      </w:r>
      <w:r w:rsidRPr="002D1B02">
        <w:rPr>
          <w:lang w:val="es-ES"/>
        </w:rPr>
        <w:t>(consultores).</w:t>
      </w:r>
      <w:r w:rsidR="009E2E3E" w:rsidRPr="002D1B02">
        <w:rPr>
          <w:rFonts w:ascii="Times New Roman Bold" w:hAnsi="Times New Roman Bold"/>
          <w:b/>
          <w:bCs/>
          <w:smallCaps/>
          <w:sz w:val="22"/>
          <w:szCs w:val="22"/>
          <w:lang w:val="es-ES"/>
        </w:rPr>
        <w:br w:type="page"/>
      </w:r>
    </w:p>
    <w:p w14:paraId="47075F8E" w14:textId="77777777" w:rsidR="0047412F" w:rsidRPr="002D1B02" w:rsidRDefault="0047412F" w:rsidP="00965C57">
      <w:pPr>
        <w:pStyle w:val="ListParagraph"/>
        <w:numPr>
          <w:ilvl w:val="0"/>
          <w:numId w:val="10"/>
        </w:numPr>
        <w:spacing w:before="120" w:after="120"/>
        <w:contextualSpacing w:val="0"/>
        <w:rPr>
          <w:b/>
          <w:smallCaps/>
          <w:lang w:val="es-ES"/>
        </w:rPr>
      </w:pPr>
      <w:r w:rsidRPr="002D1B02">
        <w:rPr>
          <w:b/>
          <w:smallCaps/>
          <w:lang w:val="es-ES"/>
        </w:rPr>
        <w:lastRenderedPageBreak/>
        <w:t>I</w:t>
      </w:r>
      <w:r w:rsidR="008874E7">
        <w:rPr>
          <w:b/>
          <w:smallCaps/>
          <w:lang w:val="es-ES"/>
        </w:rPr>
        <w:t>ntroducción</w:t>
      </w:r>
    </w:p>
    <w:p w14:paraId="00E9AA33" w14:textId="259FA5BD" w:rsidR="00A20BD6" w:rsidRPr="002D1B02" w:rsidRDefault="0047412F" w:rsidP="00965C57">
      <w:pPr>
        <w:pStyle w:val="ListParagraph"/>
        <w:numPr>
          <w:ilvl w:val="1"/>
          <w:numId w:val="10"/>
        </w:numPr>
        <w:spacing w:before="120" w:after="120"/>
        <w:ind w:left="450" w:hanging="450"/>
        <w:contextualSpacing w:val="0"/>
        <w:jc w:val="both"/>
        <w:rPr>
          <w:lang w:val="es-ES"/>
        </w:rPr>
      </w:pPr>
      <w:r w:rsidRPr="002D1B02">
        <w:rPr>
          <w:lang w:val="es-ES"/>
        </w:rPr>
        <w:t>E</w:t>
      </w:r>
      <w:r w:rsidR="005A516D" w:rsidRPr="002D1B02">
        <w:rPr>
          <w:lang w:val="es-ES"/>
        </w:rPr>
        <w:t>l presente</w:t>
      </w:r>
      <w:r w:rsidR="009B3935" w:rsidRPr="002D1B02">
        <w:rPr>
          <w:lang w:val="es-ES"/>
        </w:rPr>
        <w:t xml:space="preserve"> </w:t>
      </w:r>
      <w:r w:rsidRPr="002D1B02">
        <w:rPr>
          <w:lang w:val="es-ES"/>
        </w:rPr>
        <w:t xml:space="preserve">documento describe </w:t>
      </w:r>
      <w:r w:rsidR="003B62A4" w:rsidRPr="002D1B02">
        <w:rPr>
          <w:lang w:val="es-ES"/>
        </w:rPr>
        <w:t>las tareas</w:t>
      </w:r>
      <w:r w:rsidRPr="002D1B02">
        <w:rPr>
          <w:lang w:val="es-ES"/>
        </w:rPr>
        <w:t xml:space="preserve"> de monitoreo y evaluación </w:t>
      </w:r>
      <w:r w:rsidR="00280DC2" w:rsidRPr="002D1B02">
        <w:rPr>
          <w:lang w:val="es-ES"/>
        </w:rPr>
        <w:t>necesarias</w:t>
      </w:r>
      <w:r w:rsidR="003B62A4" w:rsidRPr="002D1B02">
        <w:rPr>
          <w:lang w:val="es-ES"/>
        </w:rPr>
        <w:t xml:space="preserve"> respecto a </w:t>
      </w:r>
      <w:r w:rsidRPr="002D1B02">
        <w:rPr>
          <w:lang w:val="es-ES"/>
        </w:rPr>
        <w:t xml:space="preserve">las actividades, compromisos de política y resultados del </w:t>
      </w:r>
      <w:r w:rsidR="004F53DE" w:rsidRPr="002D1B02">
        <w:rPr>
          <w:lang w:val="es-ES"/>
        </w:rPr>
        <w:t xml:space="preserve">Programa de Reformas del Sector Transporte y </w:t>
      </w:r>
      <w:r w:rsidR="00487E74" w:rsidRPr="002D1B02">
        <w:rPr>
          <w:lang w:val="es-ES"/>
        </w:rPr>
        <w:t>Logística</w:t>
      </w:r>
      <w:r w:rsidR="00A2484F">
        <w:rPr>
          <w:lang w:val="es-ES"/>
        </w:rPr>
        <w:t xml:space="preserve">. Cabe señalar </w:t>
      </w:r>
      <w:r w:rsidR="001A7B22">
        <w:rPr>
          <w:lang w:val="es-ES"/>
        </w:rPr>
        <w:t>que,</w:t>
      </w:r>
      <w:r w:rsidR="00A2484F">
        <w:rPr>
          <w:lang w:val="es-ES"/>
        </w:rPr>
        <w:t xml:space="preserve"> por tratarse de una serie programática compuesta por tres fases, las tareas de monitoreo serán realizadas de manera específica para la tercera </w:t>
      </w:r>
      <w:r w:rsidR="006F4562">
        <w:rPr>
          <w:lang w:val="es-ES"/>
        </w:rPr>
        <w:t>fase</w:t>
      </w:r>
      <w:r w:rsidR="00487E74" w:rsidRPr="002D1B02">
        <w:rPr>
          <w:lang w:val="es-ES"/>
        </w:rPr>
        <w:t xml:space="preserve"> (</w:t>
      </w:r>
      <w:r w:rsidR="00A2484F">
        <w:rPr>
          <w:lang w:val="es-ES"/>
        </w:rPr>
        <w:t xml:space="preserve">operación </w:t>
      </w:r>
      <w:r w:rsidR="004F53DE" w:rsidRPr="002D1B02">
        <w:rPr>
          <w:lang w:val="es-ES"/>
        </w:rPr>
        <w:t>PN-L</w:t>
      </w:r>
      <w:r w:rsidR="00584D54" w:rsidRPr="002D1B02">
        <w:rPr>
          <w:lang w:val="es-ES"/>
        </w:rPr>
        <w:t>11</w:t>
      </w:r>
      <w:r w:rsidR="006F4562">
        <w:rPr>
          <w:lang w:val="es-ES"/>
        </w:rPr>
        <w:t>51</w:t>
      </w:r>
      <w:r w:rsidRPr="002D1B02">
        <w:rPr>
          <w:lang w:val="es-ES"/>
        </w:rPr>
        <w:t>)</w:t>
      </w:r>
      <w:r w:rsidR="00A2484F">
        <w:rPr>
          <w:lang w:val="es-ES"/>
        </w:rPr>
        <w:t>, mientras que las tareas de evaluación serán realizadas considerando la totalidad de la seria programática, compuesta por las operaciones PN-L1110, PN-L1119 y PN-L1151</w:t>
      </w:r>
      <w:r w:rsidRPr="002D1B02">
        <w:rPr>
          <w:lang w:val="es-ES"/>
        </w:rPr>
        <w:t>.</w:t>
      </w:r>
    </w:p>
    <w:p w14:paraId="1F331150" w14:textId="77777777" w:rsidR="00CE4A94" w:rsidRPr="002D1B02" w:rsidRDefault="00584D54" w:rsidP="00965C57">
      <w:pPr>
        <w:pStyle w:val="ListParagraph"/>
        <w:numPr>
          <w:ilvl w:val="1"/>
          <w:numId w:val="10"/>
        </w:numPr>
        <w:spacing w:before="120" w:after="120"/>
        <w:ind w:left="450" w:hanging="450"/>
        <w:contextualSpacing w:val="0"/>
        <w:jc w:val="both"/>
        <w:rPr>
          <w:lang w:val="es-ES"/>
        </w:rPr>
      </w:pPr>
      <w:r w:rsidRPr="002D1B02">
        <w:rPr>
          <w:lang w:val="es-ES"/>
        </w:rPr>
        <w:t>El objetivo del programa es contribuir a la mejora del desempeño logístico de Panamá a través de la reducción de restricciones normativas e institucionales que limitan el desempeño del país especialmente en los ámbitos de: (a</w:t>
      </w:r>
      <w:r w:rsidR="00487E74" w:rsidRPr="002D1B02">
        <w:rPr>
          <w:lang w:val="es-ES"/>
        </w:rPr>
        <w:t>) servicios</w:t>
      </w:r>
      <w:r w:rsidRPr="002D1B02">
        <w:rPr>
          <w:lang w:val="es-ES"/>
        </w:rPr>
        <w:t xml:space="preserve"> logísticos de valor agregado, (b) logística de apoyo al sector agrícola, y (c) logística de apoyo al comercio regional. Los objetivos específicos del programa son: (i) fortalecimiento del marco legal y regulatorio; (ii) consolidación del marco institucional de logística y transporte; y (iii) fortalecimiento del sistema de planificación multisectorial y de facilitación comercial.</w:t>
      </w:r>
    </w:p>
    <w:p w14:paraId="052BF90B" w14:textId="10990CB2" w:rsidR="000605EA" w:rsidRPr="002D1B02" w:rsidRDefault="000605EA" w:rsidP="00916118">
      <w:pPr>
        <w:pStyle w:val="ListParagraph"/>
        <w:numPr>
          <w:ilvl w:val="1"/>
          <w:numId w:val="10"/>
        </w:numPr>
        <w:spacing w:before="120" w:after="120"/>
        <w:ind w:left="450" w:hanging="450"/>
        <w:contextualSpacing w:val="0"/>
        <w:jc w:val="both"/>
        <w:rPr>
          <w:lang w:val="es-ES"/>
        </w:rPr>
      </w:pPr>
      <w:bookmarkStart w:id="0" w:name="_Hlk507055126"/>
      <w:r w:rsidRPr="00B93E9C">
        <w:rPr>
          <w:lang w:val="es-ES"/>
        </w:rPr>
        <w:t xml:space="preserve">El método adecuado de evaluación para un préstamo de políticas de tipo programático (PBP) con objetivos y metas </w:t>
      </w:r>
      <w:r w:rsidR="007C4F9A" w:rsidRPr="00B93E9C">
        <w:rPr>
          <w:lang w:val="es-ES"/>
        </w:rPr>
        <w:t>específica</w:t>
      </w:r>
      <w:r w:rsidRPr="00B93E9C">
        <w:rPr>
          <w:lang w:val="es-ES"/>
        </w:rPr>
        <w:t>s es el de evaluación reflexiva</w:t>
      </w:r>
      <w:r w:rsidR="0032120D" w:rsidRPr="00B93E9C">
        <w:rPr>
          <w:lang w:val="es-ES"/>
        </w:rPr>
        <w:t xml:space="preserve"> o </w:t>
      </w:r>
      <w:r w:rsidR="00AC6FF0">
        <w:rPr>
          <w:lang w:val="es-ES"/>
        </w:rPr>
        <w:t xml:space="preserve">comparación </w:t>
      </w:r>
      <w:r w:rsidR="0032120D" w:rsidRPr="00B93E9C">
        <w:rPr>
          <w:lang w:val="es-ES"/>
        </w:rPr>
        <w:t>antes y después</w:t>
      </w:r>
      <w:r w:rsidR="00B93E9C" w:rsidRPr="00B93E9C">
        <w:rPr>
          <w:lang w:val="es-ES"/>
        </w:rPr>
        <w:t xml:space="preserve">, por medio del cual se realiza un seguimiento </w:t>
      </w:r>
      <w:r w:rsidR="0032120D" w:rsidRPr="00B93E9C">
        <w:rPr>
          <w:lang w:val="es-ES"/>
        </w:rPr>
        <w:t>de los cambios en</w:t>
      </w:r>
      <w:r w:rsidR="00B93E9C" w:rsidRPr="00B93E9C">
        <w:rPr>
          <w:lang w:val="es-ES"/>
        </w:rPr>
        <w:t xml:space="preserve"> </w:t>
      </w:r>
      <w:r w:rsidR="0032120D" w:rsidRPr="00B93E9C">
        <w:rPr>
          <w:lang w:val="es-ES"/>
        </w:rPr>
        <w:t>los resultados para los beneficiarios del programa a lo largo del tiempo, utilizando</w:t>
      </w:r>
      <w:r w:rsidR="00B93E9C" w:rsidRPr="00B93E9C">
        <w:rPr>
          <w:lang w:val="es-ES"/>
        </w:rPr>
        <w:t xml:space="preserve"> </w:t>
      </w:r>
      <w:r w:rsidR="0032120D" w:rsidRPr="00B93E9C">
        <w:rPr>
          <w:lang w:val="es-ES"/>
        </w:rPr>
        <w:t>mediciones antes y después de la implementación del programa o la política, sin</w:t>
      </w:r>
      <w:r w:rsidR="00B93E9C" w:rsidRPr="00B93E9C">
        <w:rPr>
          <w:lang w:val="es-ES"/>
        </w:rPr>
        <w:t xml:space="preserve"> </w:t>
      </w:r>
      <w:r w:rsidR="0032120D" w:rsidRPr="00B93E9C">
        <w:rPr>
          <w:lang w:val="es-ES"/>
        </w:rPr>
        <w:t>utilizar un grupo de comparación.</w:t>
      </w:r>
      <w:r w:rsidR="00B93E9C">
        <w:rPr>
          <w:lang w:val="es-ES"/>
        </w:rPr>
        <w:t xml:space="preserve"> En este sentido, el </w:t>
      </w:r>
      <w:r w:rsidRPr="002D1B02">
        <w:rPr>
          <w:lang w:val="es-ES"/>
        </w:rPr>
        <w:t xml:space="preserve">equipo evaluará la consecución de los objetivos del programa tomando como referencia las metas e indicadores establecidos en las matrices de política y de resultados de las operaciones del programa. </w:t>
      </w:r>
    </w:p>
    <w:p w14:paraId="02FDC4D9" w14:textId="1BAD2056" w:rsidR="001641DD" w:rsidRDefault="007C4F9A" w:rsidP="00965C57">
      <w:pPr>
        <w:pStyle w:val="ListParagraph"/>
        <w:numPr>
          <w:ilvl w:val="1"/>
          <w:numId w:val="10"/>
        </w:numPr>
        <w:spacing w:before="120" w:after="120"/>
        <w:ind w:left="450" w:hanging="450"/>
        <w:contextualSpacing w:val="0"/>
        <w:jc w:val="both"/>
        <w:rPr>
          <w:lang w:val="es-ES"/>
        </w:rPr>
      </w:pPr>
      <w:bookmarkStart w:id="1" w:name="_Hlk507055197"/>
      <w:bookmarkEnd w:id="0"/>
      <w:r w:rsidRPr="002D1B02">
        <w:rPr>
          <w:lang w:val="es-ES"/>
        </w:rPr>
        <w:t xml:space="preserve">Adicionalmente, se llevará a cabo una evaluación de impacto ex post utilizando el método de control sintético para evaluar el impacto </w:t>
      </w:r>
      <w:r w:rsidR="00274557" w:rsidRPr="002D1B02">
        <w:rPr>
          <w:lang w:val="es-ES"/>
        </w:rPr>
        <w:t>de la implantación del P</w:t>
      </w:r>
      <w:r w:rsidR="00274557">
        <w:rPr>
          <w:lang w:val="es-ES"/>
        </w:rPr>
        <w:t xml:space="preserve">rograma de Reformas en el </w:t>
      </w:r>
      <w:r w:rsidR="00F21EFD">
        <w:rPr>
          <w:lang w:val="es-ES"/>
        </w:rPr>
        <w:t>Sector</w:t>
      </w:r>
      <w:r w:rsidR="00274557">
        <w:rPr>
          <w:lang w:val="es-ES"/>
        </w:rPr>
        <w:t xml:space="preserve"> Transporte y logística en el Índice de Desempeño Logístico del Banco Mundial</w:t>
      </w:r>
    </w:p>
    <w:bookmarkEnd w:id="1"/>
    <w:p w14:paraId="5C756A3F" w14:textId="77777777" w:rsidR="00FD48BC" w:rsidRDefault="00FD48BC" w:rsidP="008A02B3">
      <w:pPr>
        <w:pStyle w:val="ListParagraph"/>
        <w:spacing w:before="120" w:after="120"/>
        <w:ind w:left="450"/>
        <w:contextualSpacing w:val="0"/>
        <w:jc w:val="both"/>
        <w:rPr>
          <w:lang w:val="es-ES"/>
        </w:rPr>
      </w:pPr>
    </w:p>
    <w:p w14:paraId="1F79D7EF" w14:textId="77777777" w:rsidR="00FD48BC" w:rsidRPr="001E63CD" w:rsidRDefault="00FD48BC" w:rsidP="001E63CD">
      <w:pPr>
        <w:pStyle w:val="ListParagraph"/>
        <w:numPr>
          <w:ilvl w:val="0"/>
          <w:numId w:val="10"/>
        </w:numPr>
        <w:spacing w:before="120" w:after="120"/>
        <w:contextualSpacing w:val="0"/>
        <w:rPr>
          <w:b/>
          <w:smallCaps/>
          <w:lang w:val="es-ES"/>
        </w:rPr>
      </w:pPr>
      <w:r w:rsidRPr="001E63CD">
        <w:rPr>
          <w:b/>
          <w:smallCaps/>
          <w:lang w:val="es-ES"/>
        </w:rPr>
        <w:t>M</w:t>
      </w:r>
      <w:r w:rsidR="008874E7" w:rsidRPr="001E63CD">
        <w:rPr>
          <w:b/>
          <w:smallCaps/>
          <w:lang w:val="es-ES"/>
        </w:rPr>
        <w:t>onitoreo</w:t>
      </w:r>
      <w:r w:rsidR="00AB5FEC" w:rsidRPr="001E63CD">
        <w:rPr>
          <w:b/>
          <w:smallCaps/>
          <w:lang w:val="es-ES"/>
        </w:rPr>
        <w:t>.</w:t>
      </w:r>
    </w:p>
    <w:p w14:paraId="205DA0E0" w14:textId="464323C6" w:rsidR="00501185" w:rsidRDefault="0022066F" w:rsidP="00965C57">
      <w:pPr>
        <w:pStyle w:val="ListParagraph"/>
        <w:numPr>
          <w:ilvl w:val="1"/>
          <w:numId w:val="10"/>
        </w:numPr>
        <w:spacing w:before="120" w:after="120"/>
        <w:ind w:left="450" w:hanging="450"/>
        <w:contextualSpacing w:val="0"/>
        <w:jc w:val="both"/>
        <w:rPr>
          <w:bCs/>
          <w:lang w:val="es-ES"/>
        </w:rPr>
      </w:pPr>
      <w:bookmarkStart w:id="2" w:name="_Hlk507055457"/>
      <w:r w:rsidRPr="0022066F">
        <w:rPr>
          <w:bCs/>
          <w:lang w:val="es-ES"/>
        </w:rPr>
        <w:t xml:space="preserve">El objetivo del monitoreo es verificar el cumplimiento de los compromisos de política del Gobierno de </w:t>
      </w:r>
      <w:r>
        <w:rPr>
          <w:lang w:val="es-ES"/>
        </w:rPr>
        <w:t>Panamá</w:t>
      </w:r>
      <w:r w:rsidRPr="0022066F">
        <w:rPr>
          <w:bCs/>
          <w:lang w:val="es-ES"/>
        </w:rPr>
        <w:t xml:space="preserve"> establecidos en la matriz de políticas (Anexo II del POD)</w:t>
      </w:r>
      <w:r w:rsidR="009D0644">
        <w:rPr>
          <w:bCs/>
          <w:lang w:val="es-ES"/>
        </w:rPr>
        <w:t xml:space="preserve"> y en la Matriz de Medios de Verificación</w:t>
      </w:r>
      <w:r w:rsidR="00A2484F">
        <w:rPr>
          <w:bCs/>
          <w:lang w:val="es-ES"/>
        </w:rPr>
        <w:t>, específicamente de la operación PN-L1151</w:t>
      </w:r>
      <w:r w:rsidRPr="0022066F">
        <w:rPr>
          <w:bCs/>
          <w:lang w:val="es-ES"/>
        </w:rPr>
        <w:t xml:space="preserve">; </w:t>
      </w:r>
      <w:bookmarkEnd w:id="2"/>
    </w:p>
    <w:p w14:paraId="42F17BEE" w14:textId="57457977" w:rsidR="006059A3" w:rsidRDefault="00CD5D91" w:rsidP="00965C57">
      <w:pPr>
        <w:pStyle w:val="ListParagraph"/>
        <w:numPr>
          <w:ilvl w:val="1"/>
          <w:numId w:val="10"/>
        </w:numPr>
        <w:spacing w:before="120" w:after="120"/>
        <w:ind w:left="450" w:hanging="450"/>
        <w:contextualSpacing w:val="0"/>
        <w:jc w:val="both"/>
        <w:rPr>
          <w:bCs/>
          <w:lang w:val="es-ES"/>
        </w:rPr>
      </w:pPr>
      <w:r w:rsidRPr="00CD5D91">
        <w:rPr>
          <w:bCs/>
          <w:lang w:val="es-ES"/>
        </w:rPr>
        <w:t>El monitoreo de las metas incluidas en la matriz de política</w:t>
      </w:r>
      <w:r w:rsidR="00D430CD">
        <w:rPr>
          <w:bCs/>
          <w:lang w:val="es-ES"/>
        </w:rPr>
        <w:t xml:space="preserve"> / Medios de Verificación</w:t>
      </w:r>
      <w:r w:rsidRPr="00CD5D91">
        <w:rPr>
          <w:bCs/>
          <w:lang w:val="es-ES"/>
        </w:rPr>
        <w:t xml:space="preserve"> será realizada por el equipo de proyecto y con los insumos </w:t>
      </w:r>
      <w:bookmarkStart w:id="3" w:name="_Hlk510801387"/>
      <w:r w:rsidRPr="00CD5D91">
        <w:rPr>
          <w:bCs/>
          <w:lang w:val="es-ES"/>
        </w:rPr>
        <w:t xml:space="preserve">provistos por el equipo </w:t>
      </w:r>
      <w:r>
        <w:rPr>
          <w:bCs/>
          <w:lang w:val="es-ES"/>
        </w:rPr>
        <w:t>del Ministerio de Economía y Finanzas</w:t>
      </w:r>
      <w:r w:rsidR="00C66195">
        <w:rPr>
          <w:bCs/>
          <w:lang w:val="es-ES"/>
        </w:rPr>
        <w:t xml:space="preserve"> (MEF)</w:t>
      </w:r>
      <w:r>
        <w:rPr>
          <w:bCs/>
          <w:lang w:val="es-ES"/>
        </w:rPr>
        <w:t>,</w:t>
      </w:r>
      <w:r w:rsidRPr="00CD5D91">
        <w:rPr>
          <w:bCs/>
          <w:lang w:val="es-ES"/>
        </w:rPr>
        <w:t xml:space="preserve"> </w:t>
      </w:r>
      <w:r>
        <w:rPr>
          <w:bCs/>
          <w:lang w:val="es-ES"/>
        </w:rPr>
        <w:t xml:space="preserve">la </w:t>
      </w:r>
      <w:r w:rsidRPr="00CD5D91">
        <w:rPr>
          <w:bCs/>
          <w:lang w:val="es-ES"/>
        </w:rPr>
        <w:t xml:space="preserve">Contraloría </w:t>
      </w:r>
      <w:r w:rsidR="00DB5A5C">
        <w:rPr>
          <w:bCs/>
          <w:lang w:val="es-ES"/>
        </w:rPr>
        <w:t xml:space="preserve">General </w:t>
      </w:r>
      <w:r w:rsidRPr="00CD5D91">
        <w:rPr>
          <w:bCs/>
          <w:lang w:val="es-ES"/>
        </w:rPr>
        <w:t xml:space="preserve"> de la República</w:t>
      </w:r>
      <w:r w:rsidR="00C66195">
        <w:rPr>
          <w:bCs/>
          <w:lang w:val="es-ES"/>
        </w:rPr>
        <w:t xml:space="preserve"> (C</w:t>
      </w:r>
      <w:r w:rsidR="00DB5A5C">
        <w:rPr>
          <w:bCs/>
          <w:lang w:val="es-ES"/>
        </w:rPr>
        <w:t>GR</w:t>
      </w:r>
      <w:r w:rsidR="00C66195">
        <w:rPr>
          <w:bCs/>
          <w:lang w:val="es-ES"/>
        </w:rPr>
        <w:t>)</w:t>
      </w:r>
      <w:r>
        <w:rPr>
          <w:bCs/>
          <w:lang w:val="es-ES"/>
        </w:rPr>
        <w:t xml:space="preserve">, la </w:t>
      </w:r>
      <w:r w:rsidRPr="00CD5D91">
        <w:rPr>
          <w:bCs/>
          <w:lang w:val="es-ES"/>
        </w:rPr>
        <w:t>Secretaria Integración Económica Centro</w:t>
      </w:r>
      <w:r w:rsidR="00C66195">
        <w:rPr>
          <w:bCs/>
          <w:lang w:val="es-ES"/>
        </w:rPr>
        <w:t>a</w:t>
      </w:r>
      <w:r w:rsidRPr="00CD5D91">
        <w:rPr>
          <w:bCs/>
          <w:lang w:val="es-ES"/>
        </w:rPr>
        <w:t>mérica</w:t>
      </w:r>
      <w:r w:rsidR="00C66195">
        <w:rPr>
          <w:bCs/>
          <w:lang w:val="es-ES"/>
        </w:rPr>
        <w:t xml:space="preserve"> (SIECA)</w:t>
      </w:r>
      <w:r>
        <w:rPr>
          <w:bCs/>
          <w:lang w:val="es-ES"/>
        </w:rPr>
        <w:t xml:space="preserve">, </w:t>
      </w:r>
      <w:r w:rsidR="00C66195">
        <w:rPr>
          <w:bCs/>
          <w:lang w:val="es-ES"/>
        </w:rPr>
        <w:t xml:space="preserve">el Gabinete Logístico </w:t>
      </w:r>
      <w:r w:rsidR="009D0644">
        <w:rPr>
          <w:bCs/>
          <w:lang w:val="es-ES"/>
        </w:rPr>
        <w:t xml:space="preserve">(GL), la </w:t>
      </w:r>
      <w:r>
        <w:rPr>
          <w:bCs/>
          <w:lang w:val="es-ES"/>
        </w:rPr>
        <w:t>Coordinación Logística</w:t>
      </w:r>
      <w:r w:rsidR="00C66195">
        <w:rPr>
          <w:bCs/>
          <w:lang w:val="es-ES"/>
        </w:rPr>
        <w:t xml:space="preserve"> (CL)</w:t>
      </w:r>
      <w:r>
        <w:rPr>
          <w:bCs/>
          <w:lang w:val="es-ES"/>
        </w:rPr>
        <w:t>, la Autoridad Nacional de Aduanas</w:t>
      </w:r>
      <w:r w:rsidR="00C66195">
        <w:rPr>
          <w:bCs/>
          <w:lang w:val="es-ES"/>
        </w:rPr>
        <w:t xml:space="preserve"> (ANA)</w:t>
      </w:r>
      <w:r>
        <w:rPr>
          <w:bCs/>
          <w:lang w:val="es-ES"/>
        </w:rPr>
        <w:t xml:space="preserve">, </w:t>
      </w:r>
      <w:r w:rsidR="00E24C6D">
        <w:rPr>
          <w:bCs/>
          <w:lang w:val="es-ES"/>
        </w:rPr>
        <w:t>la Autoridad Marítima de Panamá</w:t>
      </w:r>
      <w:r w:rsidR="00C66195">
        <w:rPr>
          <w:bCs/>
          <w:lang w:val="es-ES"/>
        </w:rPr>
        <w:t xml:space="preserve"> (AMP)</w:t>
      </w:r>
      <w:r w:rsidR="00E24C6D">
        <w:rPr>
          <w:bCs/>
          <w:lang w:val="es-ES"/>
        </w:rPr>
        <w:t xml:space="preserve">, el Ministerio de la </w:t>
      </w:r>
      <w:r w:rsidR="00C66195">
        <w:rPr>
          <w:bCs/>
          <w:lang w:val="es-ES"/>
        </w:rPr>
        <w:t>P</w:t>
      </w:r>
      <w:r w:rsidR="00E24C6D">
        <w:rPr>
          <w:bCs/>
          <w:lang w:val="es-ES"/>
        </w:rPr>
        <w:t>residencia</w:t>
      </w:r>
      <w:r w:rsidR="00C66195">
        <w:rPr>
          <w:bCs/>
          <w:lang w:val="es-ES"/>
        </w:rPr>
        <w:t xml:space="preserve"> (MP)</w:t>
      </w:r>
      <w:r w:rsidR="00E24C6D">
        <w:rPr>
          <w:bCs/>
          <w:lang w:val="es-ES"/>
        </w:rPr>
        <w:t xml:space="preserve">, </w:t>
      </w:r>
      <w:r w:rsidR="009D0644">
        <w:rPr>
          <w:bCs/>
          <w:lang w:val="es-ES"/>
        </w:rPr>
        <w:t xml:space="preserve">la Autoridad del Canal de Panamá (ACP), </w:t>
      </w:r>
      <w:r w:rsidR="00E24C6D">
        <w:rPr>
          <w:bCs/>
          <w:lang w:val="es-ES"/>
        </w:rPr>
        <w:t xml:space="preserve">el </w:t>
      </w:r>
      <w:r w:rsidR="00E24C6D" w:rsidRPr="00E24C6D">
        <w:rPr>
          <w:bCs/>
          <w:lang w:val="es-ES"/>
        </w:rPr>
        <w:t>Ministerio de Vivienda y Ordenamiento Territorial</w:t>
      </w:r>
      <w:r w:rsidR="00C66195">
        <w:rPr>
          <w:bCs/>
          <w:lang w:val="es-ES"/>
        </w:rPr>
        <w:t xml:space="preserve"> (MIVIOT)</w:t>
      </w:r>
      <w:r w:rsidR="00E24C6D">
        <w:rPr>
          <w:bCs/>
          <w:lang w:val="es-ES"/>
        </w:rPr>
        <w:t xml:space="preserve">, y </w:t>
      </w:r>
      <w:r w:rsidR="00E24C6D" w:rsidRPr="00E24C6D">
        <w:rPr>
          <w:bCs/>
          <w:lang w:val="es-ES"/>
        </w:rPr>
        <w:t>el Ministerio de Comercio e Industria</w:t>
      </w:r>
      <w:r w:rsidR="00C66195">
        <w:rPr>
          <w:bCs/>
          <w:lang w:val="es-ES"/>
        </w:rPr>
        <w:t xml:space="preserve"> (MICI)</w:t>
      </w:r>
      <w:r w:rsidR="00262740">
        <w:rPr>
          <w:bCs/>
          <w:lang w:val="es-ES"/>
        </w:rPr>
        <w:t>, la A</w:t>
      </w:r>
      <w:r w:rsidR="009D0644">
        <w:rPr>
          <w:bCs/>
          <w:lang w:val="es-ES"/>
        </w:rPr>
        <w:t>utoridad de Innovación Gubernamental (A</w:t>
      </w:r>
      <w:r w:rsidR="00262740">
        <w:rPr>
          <w:bCs/>
          <w:lang w:val="es-ES"/>
        </w:rPr>
        <w:t>IG</w:t>
      </w:r>
      <w:r w:rsidR="009D0644">
        <w:rPr>
          <w:bCs/>
          <w:lang w:val="es-ES"/>
        </w:rPr>
        <w:t>)</w:t>
      </w:r>
      <w:r w:rsidR="00E24C6D">
        <w:rPr>
          <w:bCs/>
          <w:lang w:val="es-ES"/>
        </w:rPr>
        <w:t xml:space="preserve">. </w:t>
      </w:r>
      <w:r w:rsidRPr="00CD5D91">
        <w:rPr>
          <w:bCs/>
          <w:lang w:val="es-ES"/>
        </w:rPr>
        <w:t xml:space="preserve">Los medios de verificación serán la fuente de información que determinará el cumplimiento de las metas de política. El monitoreo </w:t>
      </w:r>
      <w:r w:rsidR="006059A3">
        <w:rPr>
          <w:bCs/>
          <w:lang w:val="es-ES"/>
        </w:rPr>
        <w:t xml:space="preserve">de las metas de la matriz de </w:t>
      </w:r>
      <w:proofErr w:type="spellStart"/>
      <w:r w:rsidR="006059A3">
        <w:rPr>
          <w:bCs/>
          <w:lang w:val="es-ES"/>
        </w:rPr>
        <w:t>pol</w:t>
      </w:r>
      <w:r w:rsidR="006059A3">
        <w:rPr>
          <w:bCs/>
          <w:lang w:val="es-ES_tradnl"/>
        </w:rPr>
        <w:t>íticas</w:t>
      </w:r>
      <w:proofErr w:type="spellEnd"/>
      <w:r w:rsidR="006059A3">
        <w:rPr>
          <w:bCs/>
          <w:lang w:val="es-ES_tradnl"/>
        </w:rPr>
        <w:t xml:space="preserve"> </w:t>
      </w:r>
      <w:r w:rsidRPr="00CD5D91">
        <w:rPr>
          <w:bCs/>
          <w:lang w:val="es-ES"/>
        </w:rPr>
        <w:t xml:space="preserve">tendrá inicio después de la aprobación </w:t>
      </w:r>
      <w:r w:rsidRPr="00CD5D91">
        <w:rPr>
          <w:bCs/>
          <w:lang w:val="es-ES"/>
        </w:rPr>
        <w:lastRenderedPageBreak/>
        <w:t xml:space="preserve">de la operación en el Directorio del Banco, con el objetivo de elaborar el Memorando de Desembolso. </w:t>
      </w:r>
      <w:bookmarkEnd w:id="3"/>
    </w:p>
    <w:p w14:paraId="4A2F145D" w14:textId="77777777" w:rsidR="00C81905" w:rsidRDefault="00C81905" w:rsidP="00CB609D">
      <w:pPr>
        <w:pStyle w:val="ListParagraph"/>
        <w:spacing w:before="120" w:after="120"/>
        <w:ind w:left="450"/>
        <w:contextualSpacing w:val="0"/>
        <w:jc w:val="both"/>
        <w:rPr>
          <w:bCs/>
          <w:lang w:val="es-ES"/>
        </w:rPr>
      </w:pPr>
    </w:p>
    <w:p w14:paraId="0B2D0250" w14:textId="77777777" w:rsidR="00AB5FEC" w:rsidRPr="001E63CD" w:rsidRDefault="00AB5FEC" w:rsidP="00C81905">
      <w:pPr>
        <w:pStyle w:val="ListParagraph"/>
        <w:numPr>
          <w:ilvl w:val="0"/>
          <w:numId w:val="40"/>
        </w:numPr>
        <w:spacing w:before="120" w:after="120"/>
        <w:contextualSpacing w:val="0"/>
        <w:jc w:val="both"/>
        <w:rPr>
          <w:b/>
          <w:bCs/>
          <w:lang w:val="es-ES"/>
        </w:rPr>
      </w:pPr>
      <w:r w:rsidRPr="001E63CD">
        <w:rPr>
          <w:b/>
          <w:bCs/>
          <w:lang w:val="es-ES"/>
        </w:rPr>
        <w:t>Indicadores de producto.</w:t>
      </w:r>
    </w:p>
    <w:p w14:paraId="58BE7853" w14:textId="77777777" w:rsidR="00B96E22" w:rsidRPr="008A02B3" w:rsidRDefault="00B96E22" w:rsidP="008A02B3">
      <w:pPr>
        <w:spacing w:before="120" w:after="120"/>
        <w:rPr>
          <w:b/>
          <w:bCs/>
          <w:lang w:val="es-ES"/>
        </w:rPr>
      </w:pPr>
    </w:p>
    <w:tbl>
      <w:tblPr>
        <w:tblStyle w:val="TableGrid"/>
        <w:tblW w:w="9877" w:type="dxa"/>
        <w:jc w:val="center"/>
        <w:tblLook w:val="04A0" w:firstRow="1" w:lastRow="0" w:firstColumn="1" w:lastColumn="0" w:noHBand="0" w:noVBand="1"/>
      </w:tblPr>
      <w:tblGrid>
        <w:gridCol w:w="3491"/>
        <w:gridCol w:w="1261"/>
        <w:gridCol w:w="3270"/>
        <w:gridCol w:w="1855"/>
      </w:tblGrid>
      <w:tr w:rsidR="00DE3A7D" w:rsidRPr="00DE3A7D" w14:paraId="0990311C" w14:textId="77777777" w:rsidTr="002B3102">
        <w:trPr>
          <w:tblHeader/>
          <w:jc w:val="center"/>
        </w:trPr>
        <w:tc>
          <w:tcPr>
            <w:tcW w:w="9877" w:type="dxa"/>
            <w:gridSpan w:val="4"/>
            <w:shd w:val="clear" w:color="auto" w:fill="D9D9D9" w:themeFill="background1" w:themeFillShade="D9"/>
          </w:tcPr>
          <w:p w14:paraId="1E1AEA03" w14:textId="77777777" w:rsidR="00DE3A7D" w:rsidRPr="00DE3A7D" w:rsidRDefault="00DE3A7D" w:rsidP="00D430CD">
            <w:pPr>
              <w:pStyle w:val="Default"/>
              <w:ind w:left="90"/>
              <w:contextualSpacing/>
              <w:jc w:val="center"/>
              <w:rPr>
                <w:b/>
                <w:sz w:val="20"/>
                <w:szCs w:val="20"/>
                <w:lang w:val="es-ES"/>
              </w:rPr>
            </w:pPr>
            <w:r w:rsidRPr="00DE3A7D">
              <w:rPr>
                <w:b/>
                <w:sz w:val="20"/>
                <w:szCs w:val="20"/>
                <w:lang w:val="es-ES"/>
              </w:rPr>
              <w:t xml:space="preserve">Tabla 1. </w:t>
            </w:r>
            <w:r w:rsidR="00D430CD">
              <w:rPr>
                <w:b/>
                <w:sz w:val="20"/>
                <w:szCs w:val="20"/>
                <w:lang w:val="es-ES"/>
              </w:rPr>
              <w:t>Monitoreo</w:t>
            </w:r>
          </w:p>
        </w:tc>
      </w:tr>
      <w:tr w:rsidR="00D430CD" w:rsidRPr="00DE3A7D" w14:paraId="24FD1457" w14:textId="77777777" w:rsidTr="002B3102">
        <w:trPr>
          <w:tblHeader/>
          <w:jc w:val="center"/>
        </w:trPr>
        <w:tc>
          <w:tcPr>
            <w:tcW w:w="3491" w:type="dxa"/>
            <w:shd w:val="clear" w:color="auto" w:fill="FFFF99"/>
            <w:vAlign w:val="center"/>
          </w:tcPr>
          <w:p w14:paraId="7BB8C59A" w14:textId="77777777" w:rsidR="00DE3A7D" w:rsidRPr="00DE3A7D" w:rsidRDefault="00DE3A7D" w:rsidP="00D430CD">
            <w:pPr>
              <w:pStyle w:val="Default"/>
              <w:contextualSpacing/>
              <w:jc w:val="center"/>
              <w:rPr>
                <w:b/>
                <w:sz w:val="20"/>
                <w:szCs w:val="20"/>
                <w:lang w:val="es-ES"/>
              </w:rPr>
            </w:pPr>
            <w:r w:rsidRPr="00DE3A7D">
              <w:rPr>
                <w:b/>
                <w:sz w:val="20"/>
                <w:szCs w:val="20"/>
                <w:lang w:val="es-ES"/>
              </w:rPr>
              <w:t>Indicador</w:t>
            </w:r>
          </w:p>
        </w:tc>
        <w:tc>
          <w:tcPr>
            <w:tcW w:w="1261" w:type="dxa"/>
            <w:shd w:val="clear" w:color="auto" w:fill="FFFF99"/>
            <w:vAlign w:val="center"/>
          </w:tcPr>
          <w:p w14:paraId="7A819B41" w14:textId="77777777" w:rsidR="00DE3A7D" w:rsidRPr="00DE3A7D" w:rsidRDefault="00D430CD" w:rsidP="00D430CD">
            <w:pPr>
              <w:pStyle w:val="Default"/>
              <w:contextualSpacing/>
              <w:jc w:val="center"/>
              <w:rPr>
                <w:b/>
                <w:sz w:val="20"/>
                <w:szCs w:val="20"/>
                <w:lang w:val="es-ES"/>
              </w:rPr>
            </w:pPr>
            <w:r>
              <w:rPr>
                <w:b/>
                <w:sz w:val="20"/>
                <w:szCs w:val="20"/>
                <w:lang w:val="es-ES"/>
              </w:rPr>
              <w:t>Colecta de Datos y Verificación</w:t>
            </w:r>
          </w:p>
        </w:tc>
        <w:tc>
          <w:tcPr>
            <w:tcW w:w="3270" w:type="dxa"/>
            <w:shd w:val="clear" w:color="auto" w:fill="FFFF99"/>
            <w:vAlign w:val="center"/>
          </w:tcPr>
          <w:p w14:paraId="592E059F" w14:textId="77777777" w:rsidR="00DE3A7D" w:rsidRPr="00DE3A7D" w:rsidRDefault="00DE3A7D" w:rsidP="00D430CD">
            <w:pPr>
              <w:pStyle w:val="Default"/>
              <w:contextualSpacing/>
              <w:jc w:val="center"/>
              <w:rPr>
                <w:b/>
                <w:sz w:val="20"/>
                <w:szCs w:val="20"/>
                <w:lang w:val="es-ES"/>
              </w:rPr>
            </w:pPr>
            <w:r w:rsidRPr="00DE3A7D">
              <w:rPr>
                <w:b/>
                <w:sz w:val="20"/>
                <w:szCs w:val="20"/>
                <w:lang w:val="es-ES"/>
              </w:rPr>
              <w:t>Medio de Verificación</w:t>
            </w:r>
          </w:p>
        </w:tc>
        <w:tc>
          <w:tcPr>
            <w:tcW w:w="1855" w:type="dxa"/>
            <w:shd w:val="clear" w:color="auto" w:fill="FFFF99"/>
            <w:vAlign w:val="center"/>
          </w:tcPr>
          <w:p w14:paraId="559A8C16" w14:textId="77777777" w:rsidR="00DE3A7D" w:rsidRPr="00DE3A7D" w:rsidRDefault="00D430CD" w:rsidP="00D430CD">
            <w:pPr>
              <w:pStyle w:val="Default"/>
              <w:contextualSpacing/>
              <w:jc w:val="center"/>
              <w:rPr>
                <w:b/>
                <w:sz w:val="20"/>
                <w:szCs w:val="20"/>
                <w:lang w:val="es-ES"/>
              </w:rPr>
            </w:pPr>
            <w:r>
              <w:rPr>
                <w:b/>
                <w:sz w:val="20"/>
                <w:szCs w:val="20"/>
                <w:lang w:val="es-ES"/>
              </w:rPr>
              <w:t>Costo</w:t>
            </w:r>
            <w:r w:rsidR="002B3102">
              <w:rPr>
                <w:b/>
                <w:sz w:val="20"/>
                <w:szCs w:val="20"/>
                <w:lang w:val="es-ES"/>
              </w:rPr>
              <w:t>s y Responsables</w:t>
            </w:r>
          </w:p>
        </w:tc>
      </w:tr>
      <w:tr w:rsidR="00D430CD" w:rsidRPr="000F3F6A" w14:paraId="69E1E6E2" w14:textId="77777777" w:rsidTr="00D430CD">
        <w:trPr>
          <w:trHeight w:hRule="exact" w:val="388"/>
          <w:jc w:val="center"/>
        </w:trPr>
        <w:tc>
          <w:tcPr>
            <w:tcW w:w="8022" w:type="dxa"/>
            <w:gridSpan w:val="3"/>
            <w:vAlign w:val="center"/>
          </w:tcPr>
          <w:p w14:paraId="1C021A1C" w14:textId="77777777" w:rsidR="00D430CD" w:rsidRPr="00DE3A7D" w:rsidRDefault="00D430CD" w:rsidP="003A36D4">
            <w:pPr>
              <w:ind w:hanging="18"/>
              <w:jc w:val="both"/>
              <w:rPr>
                <w:b/>
                <w:sz w:val="20"/>
                <w:szCs w:val="20"/>
                <w:lang w:val="es-ES"/>
              </w:rPr>
            </w:pPr>
            <w:r w:rsidRPr="00DE3A7D">
              <w:rPr>
                <w:b/>
                <w:sz w:val="20"/>
                <w:szCs w:val="20"/>
                <w:lang w:val="es-ES"/>
              </w:rPr>
              <w:t>Componente II. Reforma y consolidación del marco normativo e institucional de logística</w:t>
            </w:r>
          </w:p>
        </w:tc>
        <w:tc>
          <w:tcPr>
            <w:tcW w:w="1855" w:type="dxa"/>
            <w:vMerge w:val="restart"/>
            <w:vAlign w:val="center"/>
          </w:tcPr>
          <w:p w14:paraId="17B0691C" w14:textId="77777777" w:rsidR="00D430CD" w:rsidRDefault="00D430CD" w:rsidP="00D430CD">
            <w:pPr>
              <w:ind w:hanging="18"/>
              <w:jc w:val="center"/>
              <w:rPr>
                <w:b/>
                <w:sz w:val="20"/>
                <w:szCs w:val="20"/>
                <w:lang w:val="es-ES"/>
              </w:rPr>
            </w:pPr>
            <w:r>
              <w:rPr>
                <w:b/>
                <w:sz w:val="20"/>
                <w:szCs w:val="20"/>
                <w:lang w:val="es-ES"/>
              </w:rPr>
              <w:t>US</w:t>
            </w:r>
            <w:r w:rsidR="0045536F">
              <w:rPr>
                <w:b/>
                <w:sz w:val="20"/>
                <w:szCs w:val="20"/>
                <w:lang w:val="es-ES"/>
              </w:rPr>
              <w:t>$ 2</w:t>
            </w:r>
            <w:r>
              <w:rPr>
                <w:b/>
                <w:sz w:val="20"/>
                <w:szCs w:val="20"/>
                <w:lang w:val="es-ES"/>
              </w:rPr>
              <w:t>,000</w:t>
            </w:r>
          </w:p>
          <w:p w14:paraId="65BD0ED7" w14:textId="77777777" w:rsidR="00D430CD" w:rsidRDefault="00D430CD" w:rsidP="00D430CD">
            <w:pPr>
              <w:ind w:hanging="18"/>
              <w:jc w:val="center"/>
              <w:rPr>
                <w:b/>
                <w:sz w:val="20"/>
                <w:szCs w:val="20"/>
                <w:lang w:val="es-ES"/>
              </w:rPr>
            </w:pPr>
            <w:r>
              <w:rPr>
                <w:b/>
                <w:sz w:val="20"/>
                <w:szCs w:val="20"/>
                <w:lang w:val="es-ES"/>
              </w:rPr>
              <w:t>Ministerio de Economía y Finanzas</w:t>
            </w:r>
          </w:p>
          <w:p w14:paraId="20EF4CBD" w14:textId="77777777" w:rsidR="0045536F" w:rsidRDefault="0045536F" w:rsidP="00D430CD">
            <w:pPr>
              <w:ind w:hanging="18"/>
              <w:jc w:val="center"/>
              <w:rPr>
                <w:b/>
                <w:sz w:val="20"/>
                <w:szCs w:val="20"/>
                <w:lang w:val="es-ES"/>
              </w:rPr>
            </w:pPr>
          </w:p>
          <w:p w14:paraId="175FA117" w14:textId="77777777" w:rsidR="0045536F" w:rsidRDefault="0045536F" w:rsidP="00D430CD">
            <w:pPr>
              <w:ind w:hanging="18"/>
              <w:jc w:val="center"/>
              <w:rPr>
                <w:b/>
                <w:sz w:val="20"/>
                <w:szCs w:val="20"/>
                <w:lang w:val="es-ES"/>
              </w:rPr>
            </w:pPr>
            <w:r>
              <w:rPr>
                <w:b/>
                <w:sz w:val="20"/>
                <w:szCs w:val="20"/>
                <w:lang w:val="es-ES"/>
              </w:rPr>
              <w:t>US$ 6,000</w:t>
            </w:r>
          </w:p>
          <w:p w14:paraId="4AB3AC32" w14:textId="77777777" w:rsidR="0045536F" w:rsidRPr="00DE3A7D" w:rsidRDefault="0045536F" w:rsidP="00D430CD">
            <w:pPr>
              <w:ind w:hanging="18"/>
              <w:jc w:val="center"/>
              <w:rPr>
                <w:b/>
                <w:sz w:val="20"/>
                <w:szCs w:val="20"/>
                <w:lang w:val="es-ES"/>
              </w:rPr>
            </w:pPr>
            <w:r>
              <w:rPr>
                <w:b/>
                <w:sz w:val="20"/>
                <w:szCs w:val="20"/>
                <w:lang w:val="es-ES"/>
              </w:rPr>
              <w:t>BID – Costos del Proyecto</w:t>
            </w:r>
          </w:p>
        </w:tc>
      </w:tr>
      <w:tr w:rsidR="003852E9" w:rsidRPr="000F3F6A" w14:paraId="5975D25A" w14:textId="77777777" w:rsidTr="00A147A9">
        <w:trPr>
          <w:trHeight w:hRule="exact" w:val="1288"/>
          <w:jc w:val="center"/>
        </w:trPr>
        <w:tc>
          <w:tcPr>
            <w:tcW w:w="3491" w:type="dxa"/>
            <w:vAlign w:val="center"/>
          </w:tcPr>
          <w:p w14:paraId="1A635B73" w14:textId="6429F281" w:rsidR="003852E9" w:rsidRPr="00DE3A7D" w:rsidRDefault="003852E9" w:rsidP="003852E9">
            <w:pPr>
              <w:tabs>
                <w:tab w:val="left" w:pos="267"/>
              </w:tabs>
              <w:ind w:left="125" w:hanging="142"/>
              <w:jc w:val="both"/>
              <w:rPr>
                <w:sz w:val="20"/>
                <w:szCs w:val="20"/>
                <w:lang w:val="es-ES"/>
              </w:rPr>
            </w:pPr>
            <w:r w:rsidRPr="006E2244">
              <w:rPr>
                <w:rFonts w:ascii="Arial" w:hAnsi="Arial" w:cs="Arial"/>
                <w:spacing w:val="-2"/>
                <w:sz w:val="18"/>
                <w:szCs w:val="18"/>
                <w:lang w:val="es-ES_tradnl"/>
              </w:rPr>
              <w:t xml:space="preserve">2.1 </w:t>
            </w:r>
            <w:r w:rsidR="000F3F6A">
              <w:rPr>
                <w:rFonts w:ascii="Arial" w:hAnsi="Arial" w:cs="Arial"/>
                <w:spacing w:val="-2"/>
                <w:sz w:val="18"/>
                <w:szCs w:val="18"/>
                <w:lang w:val="es-ES_tradnl"/>
              </w:rPr>
              <w:t xml:space="preserve">Marco estratégico de logística </w:t>
            </w:r>
            <w:proofErr w:type="gramStart"/>
            <w:r w:rsidR="000F3F6A">
              <w:rPr>
                <w:rFonts w:ascii="Arial" w:hAnsi="Arial" w:cs="Arial"/>
                <w:spacing w:val="-2"/>
                <w:sz w:val="18"/>
                <w:szCs w:val="18"/>
                <w:lang w:val="es-ES"/>
              </w:rPr>
              <w:t xml:space="preserve">que </w:t>
            </w:r>
            <w:r w:rsidR="000F3F6A" w:rsidRPr="7FBDDA1D">
              <w:rPr>
                <w:rFonts w:ascii="Arial" w:hAnsi="Arial" w:cs="Arial"/>
                <w:spacing w:val="-2"/>
                <w:sz w:val="18"/>
                <w:szCs w:val="18"/>
                <w:lang w:val="es-ES"/>
              </w:rPr>
              <w:t xml:space="preserve"> incluy</w:t>
            </w:r>
            <w:r w:rsidR="000F3F6A">
              <w:rPr>
                <w:rFonts w:ascii="Arial" w:hAnsi="Arial" w:cs="Arial"/>
                <w:spacing w:val="-2"/>
                <w:sz w:val="18"/>
                <w:szCs w:val="18"/>
                <w:lang w:val="es-ES"/>
              </w:rPr>
              <w:t>a</w:t>
            </w:r>
            <w:proofErr w:type="gramEnd"/>
            <w:r w:rsidR="000F3F6A">
              <w:rPr>
                <w:rFonts w:ascii="Arial" w:hAnsi="Arial" w:cs="Arial"/>
                <w:spacing w:val="-2"/>
                <w:sz w:val="18"/>
                <w:szCs w:val="18"/>
                <w:lang w:val="es-ES"/>
              </w:rPr>
              <w:t xml:space="preserve"> – en su texto ordenado- </w:t>
            </w:r>
            <w:r w:rsidR="000F3F6A" w:rsidRPr="7FBDDA1D">
              <w:rPr>
                <w:rFonts w:ascii="Arial" w:hAnsi="Arial" w:cs="Arial"/>
                <w:spacing w:val="-2"/>
                <w:sz w:val="18"/>
                <w:szCs w:val="18"/>
                <w:lang w:val="es-ES"/>
              </w:rPr>
              <w:t xml:space="preserve"> los lineamientos de políticas, elementos fundamentales del sector y competencias institucionales</w:t>
            </w:r>
            <w:r w:rsidR="000F3F6A">
              <w:rPr>
                <w:rFonts w:ascii="Arial" w:hAnsi="Arial" w:cs="Arial"/>
                <w:spacing w:val="-2"/>
                <w:sz w:val="18"/>
                <w:szCs w:val="18"/>
                <w:lang w:val="es-ES"/>
              </w:rPr>
              <w:t>,</w:t>
            </w:r>
            <w:r w:rsidR="000F3F6A">
              <w:rPr>
                <w:rFonts w:ascii="Arial" w:hAnsi="Arial" w:cs="Arial"/>
                <w:spacing w:val="-2"/>
                <w:sz w:val="18"/>
                <w:szCs w:val="18"/>
                <w:lang w:val="es-ES_tradnl"/>
              </w:rPr>
              <w:t xml:space="preserve"> aprobado por Decreto del Poder Ejecutivo.</w:t>
            </w:r>
          </w:p>
        </w:tc>
        <w:tc>
          <w:tcPr>
            <w:tcW w:w="1261" w:type="dxa"/>
            <w:vAlign w:val="center"/>
          </w:tcPr>
          <w:p w14:paraId="70B7FB1A" w14:textId="4B404A4C" w:rsidR="003852E9" w:rsidRPr="00DE3A7D" w:rsidRDefault="003852E9" w:rsidP="003852E9">
            <w:pPr>
              <w:pStyle w:val="Default"/>
              <w:contextualSpacing/>
              <w:jc w:val="center"/>
              <w:rPr>
                <w:sz w:val="20"/>
                <w:szCs w:val="20"/>
                <w:lang w:val="es-ES"/>
              </w:rPr>
            </w:pPr>
            <w:r>
              <w:rPr>
                <w:rFonts w:ascii="Arial" w:hAnsi="Arial" w:cs="Arial"/>
                <w:sz w:val="20"/>
                <w:szCs w:val="20"/>
                <w:lang w:val="es-ES_tradnl"/>
              </w:rPr>
              <w:t>2018</w:t>
            </w:r>
          </w:p>
        </w:tc>
        <w:tc>
          <w:tcPr>
            <w:tcW w:w="3270" w:type="dxa"/>
            <w:vAlign w:val="center"/>
          </w:tcPr>
          <w:p w14:paraId="5D291AB7" w14:textId="68FA6F67" w:rsidR="003852E9" w:rsidRPr="001F01A7" w:rsidRDefault="000F3F6A" w:rsidP="003852E9">
            <w:pPr>
              <w:tabs>
                <w:tab w:val="left" w:pos="79"/>
              </w:tabs>
              <w:ind w:left="79"/>
              <w:contextualSpacing/>
              <w:jc w:val="both"/>
              <w:rPr>
                <w:sz w:val="20"/>
                <w:szCs w:val="20"/>
                <w:lang w:val="es-ES"/>
              </w:rPr>
            </w:pPr>
            <w:r w:rsidRPr="7FBDDA1D">
              <w:rPr>
                <w:rFonts w:ascii="Arial" w:hAnsi="Arial" w:cs="Arial"/>
                <w:color w:val="000000" w:themeColor="text1"/>
                <w:sz w:val="18"/>
                <w:szCs w:val="18"/>
                <w:lang w:val="es-ES"/>
              </w:rPr>
              <w:t>Decreto del Poder Ejecutivo Nacional aprobando</w:t>
            </w:r>
            <w:r>
              <w:rPr>
                <w:rFonts w:ascii="Arial" w:hAnsi="Arial" w:cs="Arial"/>
                <w:color w:val="000000" w:themeColor="text1"/>
                <w:sz w:val="18"/>
                <w:szCs w:val="18"/>
                <w:lang w:val="es-ES"/>
              </w:rPr>
              <w:t xml:space="preserve"> </w:t>
            </w:r>
            <w:r>
              <w:rPr>
                <w:rFonts w:ascii="Arial" w:hAnsi="Arial" w:cs="Arial"/>
                <w:spacing w:val="-2"/>
                <w:sz w:val="18"/>
                <w:szCs w:val="18"/>
                <w:lang w:val="es-ES"/>
              </w:rPr>
              <w:t xml:space="preserve">marco estratégico de logística </w:t>
            </w:r>
            <w:proofErr w:type="gramStart"/>
            <w:r>
              <w:rPr>
                <w:rFonts w:ascii="Arial" w:hAnsi="Arial" w:cs="Arial"/>
                <w:spacing w:val="-2"/>
                <w:sz w:val="18"/>
                <w:szCs w:val="18"/>
                <w:lang w:val="es-ES"/>
              </w:rPr>
              <w:t xml:space="preserve">que </w:t>
            </w:r>
            <w:r w:rsidRPr="7FBDDA1D">
              <w:rPr>
                <w:rFonts w:ascii="Arial" w:hAnsi="Arial" w:cs="Arial"/>
                <w:spacing w:val="-2"/>
                <w:sz w:val="18"/>
                <w:szCs w:val="18"/>
                <w:lang w:val="es-ES"/>
              </w:rPr>
              <w:t xml:space="preserve"> incluy</w:t>
            </w:r>
            <w:r>
              <w:rPr>
                <w:rFonts w:ascii="Arial" w:hAnsi="Arial" w:cs="Arial"/>
                <w:spacing w:val="-2"/>
                <w:sz w:val="18"/>
                <w:szCs w:val="18"/>
                <w:lang w:val="es-ES"/>
              </w:rPr>
              <w:t>a</w:t>
            </w:r>
            <w:proofErr w:type="gramEnd"/>
            <w:r>
              <w:rPr>
                <w:rFonts w:ascii="Arial" w:hAnsi="Arial" w:cs="Arial"/>
                <w:spacing w:val="-2"/>
                <w:sz w:val="18"/>
                <w:szCs w:val="18"/>
                <w:lang w:val="es-ES"/>
              </w:rPr>
              <w:t xml:space="preserve"> – en su texto ordenado- </w:t>
            </w:r>
            <w:r w:rsidRPr="7FBDDA1D">
              <w:rPr>
                <w:rFonts w:ascii="Arial" w:hAnsi="Arial" w:cs="Arial"/>
                <w:spacing w:val="-2"/>
                <w:sz w:val="18"/>
                <w:szCs w:val="18"/>
                <w:lang w:val="es-ES"/>
              </w:rPr>
              <w:t xml:space="preserve"> los lineamientos de políticas, elementos fundamentales del sector y competencias institucionales.</w:t>
            </w:r>
            <w:r w:rsidR="003852E9" w:rsidRPr="00882071">
              <w:rPr>
                <w:rFonts w:ascii="Arial" w:hAnsi="Arial" w:cs="Arial"/>
                <w:sz w:val="18"/>
                <w:szCs w:val="18"/>
                <w:lang w:val="es-ES_tradnl"/>
              </w:rPr>
              <w:t xml:space="preserve">. </w:t>
            </w:r>
            <w:r w:rsidR="003852E9" w:rsidRPr="00AB6D09">
              <w:rPr>
                <w:rFonts w:ascii="Arial" w:hAnsi="Arial" w:cs="Arial"/>
                <w:sz w:val="18"/>
                <w:szCs w:val="18"/>
                <w:lang w:val="es-ES_tradnl"/>
              </w:rPr>
              <w:t xml:space="preserve"> </w:t>
            </w:r>
          </w:p>
        </w:tc>
        <w:tc>
          <w:tcPr>
            <w:tcW w:w="1855" w:type="dxa"/>
            <w:vMerge/>
          </w:tcPr>
          <w:p w14:paraId="0CF2CB81" w14:textId="77777777" w:rsidR="003852E9" w:rsidRPr="00DE3A7D" w:rsidRDefault="003852E9" w:rsidP="003852E9">
            <w:pPr>
              <w:ind w:hanging="18"/>
              <w:jc w:val="both"/>
              <w:rPr>
                <w:sz w:val="20"/>
                <w:szCs w:val="20"/>
                <w:lang w:val="es-ES"/>
              </w:rPr>
            </w:pPr>
          </w:p>
        </w:tc>
      </w:tr>
      <w:tr w:rsidR="003852E9" w:rsidRPr="000F3F6A" w14:paraId="54A3CFCB" w14:textId="77777777" w:rsidTr="00E53316">
        <w:trPr>
          <w:trHeight w:hRule="exact" w:val="1612"/>
          <w:jc w:val="center"/>
        </w:trPr>
        <w:tc>
          <w:tcPr>
            <w:tcW w:w="3491" w:type="dxa"/>
            <w:vAlign w:val="center"/>
          </w:tcPr>
          <w:p w14:paraId="1813B345" w14:textId="4E416E82" w:rsidR="003852E9" w:rsidRPr="00DE3A7D"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t>2.2 Re</w:t>
            </w:r>
            <w:r w:rsidRPr="006E2244">
              <w:rPr>
                <w:rFonts w:ascii="Arial" w:hAnsi="Arial" w:cs="Arial"/>
                <w:spacing w:val="-2"/>
                <w:sz w:val="18"/>
                <w:szCs w:val="18"/>
                <w:lang w:val="es-ES_tradnl"/>
              </w:rPr>
              <w:t>glamentación del nuevo marco legal aduanero</w:t>
            </w:r>
            <w:r>
              <w:rPr>
                <w:rFonts w:ascii="Arial" w:hAnsi="Arial" w:cs="Arial"/>
                <w:spacing w:val="-2"/>
                <w:sz w:val="18"/>
                <w:szCs w:val="18"/>
                <w:lang w:val="es-ES_tradnl"/>
              </w:rPr>
              <w:t xml:space="preserve"> </w:t>
            </w:r>
            <w:r w:rsidRPr="009061BE">
              <w:rPr>
                <w:rFonts w:ascii="Arial" w:hAnsi="Arial" w:cs="Arial"/>
                <w:color w:val="000000"/>
                <w:sz w:val="18"/>
                <w:szCs w:val="18"/>
                <w:lang w:val="es-ES_tradnl"/>
              </w:rPr>
              <w:t>para la armonización con el código aduanero regional de Centroamérica</w:t>
            </w:r>
            <w:r w:rsidRPr="006E2244">
              <w:rPr>
                <w:rFonts w:ascii="Arial" w:hAnsi="Arial" w:cs="Arial"/>
                <w:spacing w:val="-2"/>
                <w:sz w:val="18"/>
                <w:szCs w:val="18"/>
                <w:lang w:val="es-ES_tradnl"/>
              </w:rPr>
              <w:t xml:space="preserve"> </w:t>
            </w:r>
            <w:r>
              <w:rPr>
                <w:rFonts w:ascii="Arial" w:hAnsi="Arial" w:cs="Arial"/>
                <w:spacing w:val="-2"/>
                <w:sz w:val="18"/>
                <w:szCs w:val="18"/>
                <w:lang w:val="es-ES_tradnl"/>
              </w:rPr>
              <w:t xml:space="preserve">implementada </w:t>
            </w:r>
          </w:p>
        </w:tc>
        <w:tc>
          <w:tcPr>
            <w:tcW w:w="1261" w:type="dxa"/>
          </w:tcPr>
          <w:p w14:paraId="46D1191C" w14:textId="3F39599A" w:rsidR="003852E9" w:rsidRDefault="003852E9" w:rsidP="003852E9">
            <w:pPr>
              <w:pStyle w:val="Default"/>
              <w:contextualSpacing/>
              <w:jc w:val="center"/>
            </w:pPr>
            <w:r w:rsidRPr="000341A5">
              <w:rPr>
                <w:rFonts w:ascii="Arial" w:hAnsi="Arial" w:cs="Arial"/>
                <w:sz w:val="20"/>
                <w:szCs w:val="20"/>
                <w:lang w:val="es-ES_tradnl"/>
              </w:rPr>
              <w:t>2018</w:t>
            </w:r>
          </w:p>
        </w:tc>
        <w:tc>
          <w:tcPr>
            <w:tcW w:w="3270" w:type="dxa"/>
            <w:shd w:val="clear" w:color="auto" w:fill="auto"/>
            <w:vAlign w:val="center"/>
          </w:tcPr>
          <w:p w14:paraId="5EBD261B" w14:textId="2E474903" w:rsidR="003852E9" w:rsidRPr="001F01A7" w:rsidRDefault="003852E9" w:rsidP="003852E9">
            <w:pPr>
              <w:tabs>
                <w:tab w:val="left" w:pos="79"/>
              </w:tabs>
              <w:ind w:left="79"/>
              <w:contextualSpacing/>
              <w:jc w:val="both"/>
              <w:rPr>
                <w:sz w:val="20"/>
                <w:szCs w:val="20"/>
                <w:lang w:val="es-ES_tradnl"/>
              </w:rPr>
            </w:pPr>
            <w:r w:rsidRPr="00E53316">
              <w:rPr>
                <w:rFonts w:ascii="Arial" w:hAnsi="Arial" w:cs="Arial"/>
                <w:color w:val="000000"/>
                <w:sz w:val="18"/>
                <w:szCs w:val="18"/>
                <w:lang w:val="es-ES_tradnl"/>
              </w:rPr>
              <w:t xml:space="preserve">Resolución de Aduana certificando que la reglamentación del nuevo marco legal aduanero para la armonización con el código aduanero regional de Centroamérica ha sido debidamente implementada, enumerando las principales medidas de reforma.  </w:t>
            </w:r>
          </w:p>
        </w:tc>
        <w:tc>
          <w:tcPr>
            <w:tcW w:w="1855" w:type="dxa"/>
            <w:vMerge/>
          </w:tcPr>
          <w:p w14:paraId="196BB8F8" w14:textId="77777777" w:rsidR="003852E9" w:rsidRPr="00DE3A7D" w:rsidRDefault="003852E9" w:rsidP="003852E9">
            <w:pPr>
              <w:ind w:hanging="18"/>
              <w:jc w:val="both"/>
              <w:rPr>
                <w:sz w:val="20"/>
                <w:szCs w:val="20"/>
                <w:lang w:val="es-ES"/>
              </w:rPr>
            </w:pPr>
          </w:p>
        </w:tc>
      </w:tr>
      <w:tr w:rsidR="003852E9" w:rsidRPr="000F3F6A" w14:paraId="694DBE6C" w14:textId="77777777" w:rsidTr="00916118">
        <w:trPr>
          <w:trHeight w:hRule="exact" w:val="1261"/>
          <w:jc w:val="center"/>
        </w:trPr>
        <w:tc>
          <w:tcPr>
            <w:tcW w:w="3491" w:type="dxa"/>
            <w:vAlign w:val="center"/>
          </w:tcPr>
          <w:p w14:paraId="2B678673" w14:textId="497509C6" w:rsidR="003852E9" w:rsidRPr="00DE3A7D"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t xml:space="preserve">2.3 Anteproyecto de Ley aduanera remitido al Consejo de Gabinete de Ministros </w:t>
            </w:r>
          </w:p>
        </w:tc>
        <w:tc>
          <w:tcPr>
            <w:tcW w:w="1261" w:type="dxa"/>
          </w:tcPr>
          <w:p w14:paraId="3D9DAC3D" w14:textId="2A04C719" w:rsidR="003852E9" w:rsidRPr="00A147A9" w:rsidRDefault="003852E9" w:rsidP="003852E9">
            <w:pPr>
              <w:tabs>
                <w:tab w:val="left" w:pos="79"/>
              </w:tabs>
              <w:ind w:left="79"/>
              <w:contextualSpacing/>
              <w:jc w:val="center"/>
              <w:rPr>
                <w:sz w:val="20"/>
                <w:szCs w:val="20"/>
                <w:lang w:val="es-ES_tradnl"/>
              </w:rPr>
            </w:pPr>
            <w:r w:rsidRPr="000341A5">
              <w:rPr>
                <w:rFonts w:ascii="Arial" w:hAnsi="Arial" w:cs="Arial"/>
                <w:sz w:val="20"/>
                <w:szCs w:val="20"/>
                <w:lang w:val="es-ES_tradnl"/>
              </w:rPr>
              <w:t>2018</w:t>
            </w:r>
          </w:p>
        </w:tc>
        <w:tc>
          <w:tcPr>
            <w:tcW w:w="3270" w:type="dxa"/>
            <w:vAlign w:val="center"/>
          </w:tcPr>
          <w:p w14:paraId="64E57E6B" w14:textId="1456DF94" w:rsidR="003852E9" w:rsidRPr="001F01A7" w:rsidRDefault="003852E9" w:rsidP="003852E9">
            <w:pPr>
              <w:tabs>
                <w:tab w:val="left" w:pos="79"/>
                <w:tab w:val="left" w:pos="267"/>
              </w:tabs>
              <w:ind w:left="79"/>
              <w:contextualSpacing/>
              <w:jc w:val="both"/>
              <w:rPr>
                <w:sz w:val="20"/>
                <w:szCs w:val="20"/>
                <w:lang w:val="es-ES_tradnl"/>
              </w:rPr>
            </w:pPr>
            <w:r w:rsidRPr="00882071">
              <w:rPr>
                <w:rFonts w:ascii="Arial" w:hAnsi="Arial" w:cs="Arial"/>
                <w:color w:val="000000"/>
                <w:spacing w:val="-2"/>
                <w:sz w:val="18"/>
                <w:szCs w:val="18"/>
                <w:lang w:val="es-ES_tradnl"/>
              </w:rPr>
              <w:t>Remisión del MEF al Consejo de Gabinete de Ministros del Anteproyecto de Ley de Aduanas</w:t>
            </w:r>
            <w:r w:rsidRPr="00AB6D09">
              <w:rPr>
                <w:rFonts w:ascii="Arial" w:hAnsi="Arial" w:cs="Arial"/>
                <w:sz w:val="20"/>
                <w:szCs w:val="20"/>
                <w:lang w:val="es-ES_tradnl"/>
              </w:rPr>
              <w:t xml:space="preserve">.  </w:t>
            </w:r>
          </w:p>
        </w:tc>
        <w:tc>
          <w:tcPr>
            <w:tcW w:w="1855" w:type="dxa"/>
            <w:vMerge/>
          </w:tcPr>
          <w:p w14:paraId="532FBC0A" w14:textId="77777777" w:rsidR="003852E9" w:rsidRPr="00DE3A7D" w:rsidRDefault="003852E9" w:rsidP="003852E9">
            <w:pPr>
              <w:ind w:hanging="18"/>
              <w:jc w:val="both"/>
              <w:rPr>
                <w:sz w:val="20"/>
                <w:szCs w:val="20"/>
                <w:lang w:val="es-ES"/>
              </w:rPr>
            </w:pPr>
          </w:p>
        </w:tc>
      </w:tr>
      <w:tr w:rsidR="003852E9" w:rsidRPr="000F3F6A" w14:paraId="344306BA" w14:textId="77777777" w:rsidTr="00916118">
        <w:trPr>
          <w:trHeight w:hRule="exact" w:val="2791"/>
          <w:jc w:val="center"/>
        </w:trPr>
        <w:tc>
          <w:tcPr>
            <w:tcW w:w="3491" w:type="dxa"/>
            <w:vAlign w:val="center"/>
          </w:tcPr>
          <w:p w14:paraId="668F1990" w14:textId="2172BF84" w:rsidR="003852E9" w:rsidRPr="00A147A9" w:rsidRDefault="003852E9" w:rsidP="003852E9">
            <w:pPr>
              <w:tabs>
                <w:tab w:val="left" w:pos="267"/>
              </w:tabs>
              <w:ind w:left="125" w:hanging="142"/>
              <w:jc w:val="both"/>
              <w:rPr>
                <w:sz w:val="20"/>
                <w:szCs w:val="20"/>
                <w:lang w:val="es-ES_tradnl"/>
              </w:rPr>
            </w:pPr>
            <w:r>
              <w:rPr>
                <w:rFonts w:ascii="Arial" w:hAnsi="Arial" w:cs="Arial"/>
                <w:spacing w:val="-2"/>
                <w:sz w:val="18"/>
                <w:szCs w:val="18"/>
                <w:lang w:val="es-ES_tradnl"/>
              </w:rPr>
              <w:t>2.4</w:t>
            </w:r>
            <w:r w:rsidRPr="006E2244">
              <w:rPr>
                <w:rFonts w:ascii="Arial" w:hAnsi="Arial" w:cs="Arial"/>
                <w:spacing w:val="-2"/>
                <w:sz w:val="18"/>
                <w:szCs w:val="18"/>
                <w:lang w:val="es-ES_tradnl"/>
              </w:rPr>
              <w:t xml:space="preserve"> </w:t>
            </w:r>
            <w:r>
              <w:rPr>
                <w:rFonts w:ascii="Arial" w:hAnsi="Arial" w:cs="Arial"/>
                <w:spacing w:val="-2"/>
                <w:sz w:val="18"/>
                <w:szCs w:val="18"/>
                <w:lang w:val="es-ES_tradnl"/>
              </w:rPr>
              <w:t>Nota Técnica sobre las ac</w:t>
            </w:r>
            <w:r w:rsidRPr="006E2244">
              <w:rPr>
                <w:rFonts w:ascii="Arial" w:hAnsi="Arial" w:cs="Arial"/>
                <w:spacing w:val="-2"/>
                <w:sz w:val="18"/>
                <w:szCs w:val="18"/>
                <w:lang w:val="es-ES_tradnl"/>
              </w:rPr>
              <w:t>ciones y resultados del Plan de Desarrollo de IED en servicios marítimos auxiliares</w:t>
            </w:r>
            <w:r>
              <w:rPr>
                <w:rFonts w:ascii="Arial" w:hAnsi="Arial" w:cs="Arial"/>
                <w:spacing w:val="-2"/>
                <w:sz w:val="18"/>
                <w:szCs w:val="18"/>
                <w:lang w:val="es-ES_tradnl"/>
              </w:rPr>
              <w:t xml:space="preserve"> finalizada</w:t>
            </w:r>
          </w:p>
        </w:tc>
        <w:tc>
          <w:tcPr>
            <w:tcW w:w="1261" w:type="dxa"/>
          </w:tcPr>
          <w:p w14:paraId="1AD48B79" w14:textId="4A29E373" w:rsidR="003852E9" w:rsidRPr="00A147A9" w:rsidRDefault="003852E9" w:rsidP="003852E9">
            <w:pPr>
              <w:jc w:val="center"/>
              <w:rPr>
                <w:lang w:val="es-ES_tradnl"/>
              </w:rPr>
            </w:pPr>
            <w:r w:rsidRPr="000341A5">
              <w:rPr>
                <w:rFonts w:ascii="Arial" w:hAnsi="Arial" w:cs="Arial"/>
                <w:sz w:val="20"/>
                <w:szCs w:val="20"/>
                <w:lang w:val="es-ES_tradnl"/>
              </w:rPr>
              <w:t>2018</w:t>
            </w:r>
          </w:p>
        </w:tc>
        <w:tc>
          <w:tcPr>
            <w:tcW w:w="3270" w:type="dxa"/>
            <w:vAlign w:val="center"/>
          </w:tcPr>
          <w:p w14:paraId="3E0609DF" w14:textId="15D9864E" w:rsidR="003852E9" w:rsidRPr="001F01A7" w:rsidRDefault="003852E9" w:rsidP="003852E9">
            <w:pPr>
              <w:pStyle w:val="ListParagraph"/>
              <w:numPr>
                <w:ilvl w:val="0"/>
                <w:numId w:val="39"/>
              </w:numPr>
              <w:spacing w:before="60" w:after="60"/>
              <w:ind w:left="175" w:hanging="175"/>
              <w:contextualSpacing w:val="0"/>
              <w:jc w:val="both"/>
              <w:rPr>
                <w:sz w:val="20"/>
                <w:szCs w:val="20"/>
                <w:lang w:val="es-ES_tradnl"/>
              </w:rPr>
            </w:pPr>
            <w:r w:rsidRPr="00882071">
              <w:rPr>
                <w:rFonts w:ascii="Arial" w:hAnsi="Arial" w:cs="Arial"/>
                <w:color w:val="000000"/>
                <w:spacing w:val="-2"/>
                <w:sz w:val="18"/>
                <w:szCs w:val="18"/>
                <w:lang w:val="es-ES_tradnl"/>
              </w:rPr>
              <w:t>Nota Técnica de la AMP reportando las acciones del Plan de Desarrollo de IED en servicios marítimos auxiliares, con foco en la ley de Financiamiento Naval</w:t>
            </w:r>
          </w:p>
        </w:tc>
        <w:tc>
          <w:tcPr>
            <w:tcW w:w="1855" w:type="dxa"/>
            <w:vMerge/>
          </w:tcPr>
          <w:p w14:paraId="08B57480" w14:textId="77777777" w:rsidR="003852E9" w:rsidRPr="00DE3A7D" w:rsidRDefault="003852E9" w:rsidP="003852E9">
            <w:pPr>
              <w:contextualSpacing/>
              <w:jc w:val="both"/>
              <w:rPr>
                <w:sz w:val="20"/>
                <w:szCs w:val="20"/>
                <w:lang w:val="es-ES"/>
              </w:rPr>
            </w:pPr>
          </w:p>
        </w:tc>
      </w:tr>
      <w:tr w:rsidR="003852E9" w:rsidRPr="000F3F6A" w14:paraId="55B6C0F9" w14:textId="77777777" w:rsidTr="003852E9">
        <w:trPr>
          <w:trHeight w:hRule="exact" w:val="2782"/>
          <w:jc w:val="center"/>
        </w:trPr>
        <w:tc>
          <w:tcPr>
            <w:tcW w:w="3491" w:type="dxa"/>
            <w:vAlign w:val="center"/>
          </w:tcPr>
          <w:p w14:paraId="0A65D834" w14:textId="6CB7A4AA" w:rsidR="003852E9" w:rsidRPr="00DE3A7D"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t xml:space="preserve">2.5 Sistema </w:t>
            </w:r>
            <w:r w:rsidR="00BA7808">
              <w:rPr>
                <w:rFonts w:ascii="Arial" w:hAnsi="Arial" w:cs="Arial"/>
                <w:spacing w:val="-2"/>
                <w:sz w:val="18"/>
                <w:szCs w:val="18"/>
                <w:lang w:val="es-ES_tradnl"/>
              </w:rPr>
              <w:t xml:space="preserve">de </w:t>
            </w:r>
            <w:r w:rsidR="00BA7808" w:rsidRPr="006E2244">
              <w:rPr>
                <w:rFonts w:ascii="Arial" w:hAnsi="Arial" w:cs="Arial"/>
                <w:spacing w:val="-2"/>
                <w:sz w:val="18"/>
                <w:szCs w:val="18"/>
                <w:lang w:val="es-ES_tradnl"/>
              </w:rPr>
              <w:t>indicadores</w:t>
            </w:r>
            <w:r w:rsidRPr="006E2244">
              <w:rPr>
                <w:rFonts w:ascii="Arial" w:hAnsi="Arial" w:cs="Arial"/>
                <w:spacing w:val="-2"/>
                <w:sz w:val="18"/>
                <w:szCs w:val="18"/>
                <w:lang w:val="es-ES_tradnl"/>
              </w:rPr>
              <w:t xml:space="preserve"> de seguimiento</w:t>
            </w:r>
            <w:r>
              <w:rPr>
                <w:rFonts w:ascii="Arial" w:hAnsi="Arial" w:cs="Arial"/>
                <w:spacing w:val="-2"/>
                <w:sz w:val="18"/>
                <w:szCs w:val="18"/>
                <w:lang w:val="es-ES_tradnl"/>
              </w:rPr>
              <w:t>,</w:t>
            </w:r>
            <w:r w:rsidRPr="006E2244">
              <w:rPr>
                <w:rFonts w:ascii="Arial" w:hAnsi="Arial" w:cs="Arial"/>
                <w:spacing w:val="-2"/>
                <w:sz w:val="18"/>
                <w:szCs w:val="18"/>
                <w:lang w:val="es-ES_tradnl"/>
              </w:rPr>
              <w:t xml:space="preserve"> y esquema de monitoreo y evaluación</w:t>
            </w:r>
            <w:r>
              <w:rPr>
                <w:rFonts w:ascii="Arial" w:hAnsi="Arial" w:cs="Arial"/>
                <w:spacing w:val="-2"/>
                <w:sz w:val="18"/>
                <w:szCs w:val="18"/>
                <w:lang w:val="es-ES_tradnl"/>
              </w:rPr>
              <w:t xml:space="preserve"> de las acciones y resultados de la gestión de la CL, imple</w:t>
            </w:r>
            <w:bookmarkStart w:id="4" w:name="_GoBack"/>
            <w:bookmarkEnd w:id="4"/>
            <w:r>
              <w:rPr>
                <w:rFonts w:ascii="Arial" w:hAnsi="Arial" w:cs="Arial"/>
                <w:spacing w:val="-2"/>
                <w:sz w:val="18"/>
                <w:szCs w:val="18"/>
                <w:lang w:val="es-ES_tradnl"/>
              </w:rPr>
              <w:t xml:space="preserve">mentado </w:t>
            </w:r>
          </w:p>
        </w:tc>
        <w:tc>
          <w:tcPr>
            <w:tcW w:w="1261" w:type="dxa"/>
          </w:tcPr>
          <w:p w14:paraId="0023F313" w14:textId="55020B71" w:rsidR="003852E9" w:rsidRDefault="003852E9" w:rsidP="003852E9">
            <w:pPr>
              <w:jc w:val="center"/>
            </w:pPr>
            <w:r w:rsidRPr="000341A5">
              <w:rPr>
                <w:rFonts w:ascii="Arial" w:hAnsi="Arial" w:cs="Arial"/>
                <w:sz w:val="20"/>
                <w:szCs w:val="20"/>
                <w:lang w:val="es-ES_tradnl"/>
              </w:rPr>
              <w:t>2018</w:t>
            </w:r>
          </w:p>
        </w:tc>
        <w:tc>
          <w:tcPr>
            <w:tcW w:w="3270" w:type="dxa"/>
            <w:vAlign w:val="center"/>
          </w:tcPr>
          <w:p w14:paraId="7E30CB82" w14:textId="4AC80725" w:rsidR="003852E9" w:rsidRPr="001F01A7" w:rsidRDefault="003852E9" w:rsidP="003852E9">
            <w:pPr>
              <w:spacing w:before="60" w:after="60"/>
              <w:jc w:val="both"/>
              <w:rPr>
                <w:sz w:val="20"/>
                <w:szCs w:val="20"/>
                <w:lang w:val="es-ES"/>
              </w:rPr>
            </w:pPr>
            <w:r w:rsidRPr="00882071">
              <w:rPr>
                <w:rFonts w:ascii="Arial" w:hAnsi="Arial" w:cs="Arial"/>
                <w:spacing w:val="-2"/>
                <w:sz w:val="18"/>
                <w:szCs w:val="18"/>
                <w:lang w:val="es-ES_tradnl"/>
              </w:rPr>
              <w:t xml:space="preserve">Nota de la CL al ministro de la Presidencia validando el informe de Georgia </w:t>
            </w:r>
            <w:proofErr w:type="spellStart"/>
            <w:r w:rsidRPr="00882071">
              <w:rPr>
                <w:rFonts w:ascii="Arial" w:hAnsi="Arial" w:cs="Arial"/>
                <w:spacing w:val="-2"/>
                <w:sz w:val="18"/>
                <w:szCs w:val="18"/>
                <w:lang w:val="es-ES_tradnl"/>
              </w:rPr>
              <w:t>Tech</w:t>
            </w:r>
            <w:proofErr w:type="spellEnd"/>
            <w:r w:rsidRPr="00882071">
              <w:rPr>
                <w:rFonts w:ascii="Arial" w:hAnsi="Arial" w:cs="Arial"/>
                <w:spacing w:val="-2"/>
                <w:sz w:val="18"/>
                <w:szCs w:val="18"/>
                <w:lang w:val="es-ES_tradnl"/>
              </w:rPr>
              <w:t xml:space="preserve"> que certifica la implementación del sistema de monitoreo y evaluación</w:t>
            </w:r>
            <w:r w:rsidRPr="00AB6D09">
              <w:rPr>
                <w:rFonts w:ascii="Arial" w:hAnsi="Arial" w:cs="Arial"/>
                <w:spacing w:val="-2"/>
                <w:sz w:val="18"/>
                <w:szCs w:val="18"/>
                <w:lang w:val="es-ES_tradnl"/>
              </w:rPr>
              <w:t xml:space="preserve"> </w:t>
            </w:r>
          </w:p>
        </w:tc>
        <w:tc>
          <w:tcPr>
            <w:tcW w:w="1855" w:type="dxa"/>
            <w:vMerge/>
          </w:tcPr>
          <w:p w14:paraId="30FC2F7E" w14:textId="77777777" w:rsidR="003852E9" w:rsidRPr="00DE3A7D" w:rsidRDefault="003852E9" w:rsidP="003852E9">
            <w:pPr>
              <w:contextualSpacing/>
              <w:jc w:val="both"/>
              <w:rPr>
                <w:sz w:val="20"/>
                <w:szCs w:val="20"/>
                <w:lang w:val="es-ES"/>
              </w:rPr>
            </w:pPr>
          </w:p>
        </w:tc>
      </w:tr>
      <w:tr w:rsidR="003852E9" w:rsidRPr="000F3F6A" w14:paraId="4A5CB71F" w14:textId="77777777" w:rsidTr="00916118">
        <w:trPr>
          <w:trHeight w:hRule="exact" w:val="1090"/>
          <w:jc w:val="center"/>
        </w:trPr>
        <w:tc>
          <w:tcPr>
            <w:tcW w:w="3491" w:type="dxa"/>
            <w:vAlign w:val="center"/>
          </w:tcPr>
          <w:p w14:paraId="5F16063E" w14:textId="76C6FBAB" w:rsidR="003852E9" w:rsidRPr="00117928" w:rsidRDefault="003852E9" w:rsidP="003852E9">
            <w:pPr>
              <w:tabs>
                <w:tab w:val="left" w:pos="267"/>
              </w:tabs>
              <w:ind w:left="125" w:hanging="142"/>
              <w:jc w:val="both"/>
              <w:rPr>
                <w:sz w:val="20"/>
                <w:szCs w:val="20"/>
                <w:lang w:val="es-ES"/>
              </w:rPr>
            </w:pPr>
            <w:proofErr w:type="gramStart"/>
            <w:r>
              <w:rPr>
                <w:rFonts w:ascii="Arial" w:hAnsi="Arial" w:cs="Arial"/>
                <w:spacing w:val="-2"/>
                <w:sz w:val="18"/>
                <w:szCs w:val="18"/>
                <w:lang w:val="es-ES_tradnl"/>
              </w:rPr>
              <w:lastRenderedPageBreak/>
              <w:t>2.6  S</w:t>
            </w:r>
            <w:r w:rsidRPr="00380567">
              <w:rPr>
                <w:rFonts w:ascii="Arial" w:hAnsi="Arial" w:cs="Arial"/>
                <w:spacing w:val="-2"/>
                <w:sz w:val="18"/>
                <w:szCs w:val="18"/>
                <w:lang w:val="es-ES_tradnl"/>
              </w:rPr>
              <w:t>istema</w:t>
            </w:r>
            <w:proofErr w:type="gramEnd"/>
            <w:r w:rsidRPr="00380567">
              <w:rPr>
                <w:rFonts w:ascii="Arial" w:hAnsi="Arial" w:cs="Arial"/>
                <w:spacing w:val="-2"/>
                <w:sz w:val="18"/>
                <w:szCs w:val="18"/>
                <w:lang w:val="es-ES_tradnl"/>
              </w:rPr>
              <w:t xml:space="preserve"> de monitoreo y evaluación </w:t>
            </w:r>
            <w:r>
              <w:rPr>
                <w:rFonts w:ascii="Arial" w:hAnsi="Arial" w:cs="Arial"/>
                <w:spacing w:val="-2"/>
                <w:sz w:val="18"/>
                <w:szCs w:val="18"/>
                <w:lang w:val="es-ES_tradnl"/>
              </w:rPr>
              <w:t>presentado al GL</w:t>
            </w:r>
          </w:p>
        </w:tc>
        <w:tc>
          <w:tcPr>
            <w:tcW w:w="1261" w:type="dxa"/>
          </w:tcPr>
          <w:p w14:paraId="6AFA670A" w14:textId="119581D6" w:rsidR="003852E9" w:rsidRPr="007D25C3" w:rsidRDefault="003852E9" w:rsidP="003852E9">
            <w:pPr>
              <w:jc w:val="center"/>
              <w:rPr>
                <w:sz w:val="20"/>
                <w:szCs w:val="20"/>
                <w:lang w:val="es-ES"/>
              </w:rPr>
            </w:pPr>
            <w:r w:rsidRPr="000341A5">
              <w:rPr>
                <w:rFonts w:ascii="Arial" w:hAnsi="Arial" w:cs="Arial"/>
                <w:sz w:val="20"/>
                <w:szCs w:val="20"/>
                <w:lang w:val="es-ES_tradnl"/>
              </w:rPr>
              <w:t>2018</w:t>
            </w:r>
          </w:p>
        </w:tc>
        <w:tc>
          <w:tcPr>
            <w:tcW w:w="3270" w:type="dxa"/>
            <w:vAlign w:val="center"/>
          </w:tcPr>
          <w:p w14:paraId="234FE7C4" w14:textId="4AB1B82C" w:rsidR="003852E9" w:rsidRPr="001F01A7" w:rsidRDefault="003852E9" w:rsidP="003852E9">
            <w:pPr>
              <w:spacing w:before="60" w:after="60"/>
              <w:jc w:val="both"/>
              <w:rPr>
                <w:sz w:val="20"/>
                <w:szCs w:val="20"/>
                <w:lang w:val="es-ES_tradnl"/>
              </w:rPr>
            </w:pPr>
            <w:r w:rsidRPr="00916118">
              <w:rPr>
                <w:rFonts w:ascii="Arial" w:hAnsi="Arial" w:cs="Arial"/>
                <w:spacing w:val="-2"/>
                <w:sz w:val="18"/>
                <w:szCs w:val="18"/>
                <w:lang w:val="es-ES_tradnl"/>
              </w:rPr>
              <w:t>Minuta oficial de la CL presentando el sistema de monitoreo y evaluación al Gabinete Logístico</w:t>
            </w:r>
          </w:p>
        </w:tc>
        <w:tc>
          <w:tcPr>
            <w:tcW w:w="1855" w:type="dxa"/>
            <w:vMerge/>
          </w:tcPr>
          <w:p w14:paraId="4B7B0ADE" w14:textId="77777777" w:rsidR="003852E9" w:rsidRPr="00DE3A7D" w:rsidRDefault="003852E9" w:rsidP="003852E9">
            <w:pPr>
              <w:contextualSpacing/>
              <w:jc w:val="both"/>
              <w:rPr>
                <w:sz w:val="20"/>
                <w:szCs w:val="20"/>
                <w:lang w:val="es-ES"/>
              </w:rPr>
            </w:pPr>
          </w:p>
        </w:tc>
      </w:tr>
      <w:tr w:rsidR="003852E9" w:rsidRPr="000F3F6A" w14:paraId="0A9D496D" w14:textId="77777777" w:rsidTr="00916118">
        <w:trPr>
          <w:trHeight w:hRule="exact" w:val="2665"/>
          <w:jc w:val="center"/>
        </w:trPr>
        <w:tc>
          <w:tcPr>
            <w:tcW w:w="3491" w:type="dxa"/>
            <w:vAlign w:val="center"/>
          </w:tcPr>
          <w:p w14:paraId="61E9FD3F" w14:textId="083DA1ED" w:rsidR="003852E9" w:rsidRPr="00DE3A7D"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t>2.7 Proyecto de cuenta satélite de logística ingresado en el Sistema Nacional de Inversiones Públicas (SINIP) y certificado por el MEF.</w:t>
            </w:r>
          </w:p>
        </w:tc>
        <w:tc>
          <w:tcPr>
            <w:tcW w:w="1261" w:type="dxa"/>
          </w:tcPr>
          <w:p w14:paraId="68A543AF" w14:textId="3F79A55D" w:rsidR="003852E9" w:rsidRDefault="003852E9" w:rsidP="003852E9">
            <w:pPr>
              <w:jc w:val="center"/>
            </w:pPr>
            <w:r w:rsidRPr="000341A5">
              <w:rPr>
                <w:rFonts w:ascii="Arial" w:hAnsi="Arial" w:cs="Arial"/>
                <w:sz w:val="20"/>
                <w:szCs w:val="20"/>
                <w:lang w:val="es-ES_tradnl"/>
              </w:rPr>
              <w:t>2018</w:t>
            </w:r>
          </w:p>
        </w:tc>
        <w:tc>
          <w:tcPr>
            <w:tcW w:w="3270" w:type="dxa"/>
            <w:vAlign w:val="center"/>
          </w:tcPr>
          <w:p w14:paraId="27227CB3" w14:textId="4446014F" w:rsidR="003852E9" w:rsidRPr="001F01A7" w:rsidRDefault="003852E9" w:rsidP="003852E9">
            <w:pPr>
              <w:spacing w:before="60" w:after="60"/>
              <w:jc w:val="both"/>
              <w:rPr>
                <w:sz w:val="20"/>
                <w:szCs w:val="20"/>
                <w:lang w:val="es-ES"/>
              </w:rPr>
            </w:pPr>
            <w:r w:rsidRPr="00882071">
              <w:rPr>
                <w:rFonts w:ascii="Arial" w:hAnsi="Arial" w:cs="Arial"/>
                <w:spacing w:val="-2"/>
                <w:sz w:val="18"/>
                <w:szCs w:val="18"/>
                <w:lang w:val="es-ES_tradnl"/>
              </w:rPr>
              <w:t>Certificación del MEF, a través de la Dirección de Programación de Inversiones dirigida al Instituto Nacional de Estadísticas y Censos a efectos evidenciar la elegibilidad del proyecto de la cuenta satélite de logística en el Sistema Nacional de Inversiones Públicas</w:t>
            </w:r>
          </w:p>
        </w:tc>
        <w:tc>
          <w:tcPr>
            <w:tcW w:w="1855" w:type="dxa"/>
            <w:vMerge/>
          </w:tcPr>
          <w:p w14:paraId="7116969F" w14:textId="77777777" w:rsidR="003852E9" w:rsidRPr="00DE3A7D" w:rsidRDefault="003852E9" w:rsidP="003852E9">
            <w:pPr>
              <w:contextualSpacing/>
              <w:jc w:val="both"/>
              <w:rPr>
                <w:sz w:val="20"/>
                <w:szCs w:val="20"/>
                <w:lang w:val="es-ES"/>
              </w:rPr>
            </w:pPr>
          </w:p>
        </w:tc>
      </w:tr>
      <w:tr w:rsidR="003852E9" w:rsidRPr="000F3F6A" w14:paraId="02EBAB28" w14:textId="77777777" w:rsidTr="00916118">
        <w:trPr>
          <w:trHeight w:hRule="exact" w:val="2665"/>
          <w:jc w:val="center"/>
        </w:trPr>
        <w:tc>
          <w:tcPr>
            <w:tcW w:w="3491" w:type="dxa"/>
            <w:vAlign w:val="center"/>
          </w:tcPr>
          <w:p w14:paraId="044F5C90" w14:textId="49F7A96B" w:rsidR="003852E9" w:rsidRPr="00117928" w:rsidRDefault="003852E9" w:rsidP="003852E9">
            <w:pPr>
              <w:tabs>
                <w:tab w:val="left" w:pos="267"/>
              </w:tabs>
              <w:ind w:left="125" w:hanging="142"/>
              <w:jc w:val="both"/>
              <w:rPr>
                <w:sz w:val="20"/>
                <w:szCs w:val="20"/>
                <w:lang w:val="es-ES"/>
              </w:rPr>
            </w:pPr>
            <w:r>
              <w:rPr>
                <w:rFonts w:ascii="Arial" w:hAnsi="Arial" w:cs="Arial"/>
                <w:color w:val="000000"/>
                <w:sz w:val="18"/>
                <w:szCs w:val="18"/>
                <w:lang w:val="es-ES_tradnl"/>
              </w:rPr>
              <w:t xml:space="preserve">2.8 Estructura institucional de la </w:t>
            </w:r>
            <w:r w:rsidRPr="006E2244">
              <w:rPr>
                <w:rFonts w:ascii="Arial" w:hAnsi="Arial" w:cs="Arial"/>
                <w:color w:val="000000"/>
                <w:sz w:val="18"/>
                <w:szCs w:val="18"/>
                <w:lang w:val="es-ES_tradnl"/>
              </w:rPr>
              <w:t xml:space="preserve">CL </w:t>
            </w:r>
            <w:r>
              <w:rPr>
                <w:rFonts w:ascii="Arial" w:hAnsi="Arial" w:cs="Arial"/>
                <w:color w:val="000000"/>
                <w:sz w:val="18"/>
                <w:szCs w:val="18"/>
                <w:lang w:val="es-ES_tradnl"/>
              </w:rPr>
              <w:t xml:space="preserve">consolidada </w:t>
            </w:r>
            <w:r w:rsidRPr="006E2244">
              <w:rPr>
                <w:rFonts w:ascii="Arial" w:hAnsi="Arial" w:cs="Arial"/>
                <w:color w:val="000000"/>
                <w:sz w:val="18"/>
                <w:szCs w:val="18"/>
                <w:lang w:val="es-ES_tradnl"/>
              </w:rPr>
              <w:t xml:space="preserve">bajo la Secretaria </w:t>
            </w:r>
            <w:r>
              <w:rPr>
                <w:rFonts w:ascii="Arial" w:hAnsi="Arial" w:cs="Arial"/>
                <w:color w:val="000000"/>
                <w:sz w:val="18"/>
                <w:szCs w:val="18"/>
                <w:lang w:val="es-ES_tradnl"/>
              </w:rPr>
              <w:t xml:space="preserve">     </w:t>
            </w:r>
            <w:r w:rsidRPr="006E2244">
              <w:rPr>
                <w:rFonts w:ascii="Arial" w:hAnsi="Arial" w:cs="Arial"/>
                <w:color w:val="000000"/>
                <w:sz w:val="18"/>
                <w:szCs w:val="18"/>
                <w:lang w:val="es-ES_tradnl"/>
              </w:rPr>
              <w:t>de Competitividad y Logística</w:t>
            </w:r>
          </w:p>
        </w:tc>
        <w:tc>
          <w:tcPr>
            <w:tcW w:w="1261" w:type="dxa"/>
          </w:tcPr>
          <w:p w14:paraId="739EACAB" w14:textId="3D2B5499" w:rsidR="003852E9" w:rsidRPr="007D25C3" w:rsidRDefault="003852E9" w:rsidP="003852E9">
            <w:pPr>
              <w:jc w:val="center"/>
              <w:rPr>
                <w:sz w:val="20"/>
                <w:szCs w:val="20"/>
                <w:lang w:val="es-ES"/>
              </w:rPr>
            </w:pPr>
            <w:r w:rsidRPr="000341A5">
              <w:rPr>
                <w:rFonts w:ascii="Arial" w:hAnsi="Arial" w:cs="Arial"/>
                <w:sz w:val="20"/>
                <w:szCs w:val="20"/>
                <w:lang w:val="es-ES_tradnl"/>
              </w:rPr>
              <w:t>2018</w:t>
            </w:r>
          </w:p>
        </w:tc>
        <w:tc>
          <w:tcPr>
            <w:tcW w:w="3270" w:type="dxa"/>
            <w:vAlign w:val="center"/>
          </w:tcPr>
          <w:p w14:paraId="29530A58" w14:textId="42594C8C" w:rsidR="003852E9" w:rsidRPr="001F01A7" w:rsidRDefault="003852E9" w:rsidP="003852E9">
            <w:pPr>
              <w:spacing w:before="60" w:after="60"/>
              <w:jc w:val="both"/>
              <w:rPr>
                <w:sz w:val="20"/>
                <w:szCs w:val="20"/>
                <w:lang w:val="es-ES_tradnl"/>
              </w:rPr>
            </w:pPr>
            <w:r w:rsidRPr="00882071">
              <w:rPr>
                <w:rFonts w:ascii="Arial" w:hAnsi="Arial" w:cs="Arial"/>
                <w:spacing w:val="-2"/>
                <w:sz w:val="18"/>
                <w:szCs w:val="18"/>
                <w:lang w:val="es-ES_tradnl"/>
              </w:rPr>
              <w:t xml:space="preserve">Nota </w:t>
            </w:r>
            <w:r w:rsidRPr="00882071">
              <w:rPr>
                <w:rFonts w:ascii="Arial" w:hAnsi="Arial" w:cs="Arial"/>
                <w:spacing w:val="-2"/>
                <w:sz w:val="18"/>
                <w:szCs w:val="18"/>
                <w:lang w:val="es-AR"/>
              </w:rPr>
              <w:t>del Ministerio de la Presidencia reportando las acciones de consolidación de la estructura de la CL bajo la Secretaría de Competitividad y Logística de conformidad con lo dispuesto en la Estrategia Logística Nacional 2030</w:t>
            </w:r>
          </w:p>
        </w:tc>
        <w:tc>
          <w:tcPr>
            <w:tcW w:w="1855" w:type="dxa"/>
            <w:vMerge/>
          </w:tcPr>
          <w:p w14:paraId="71C08CEF" w14:textId="77777777" w:rsidR="003852E9" w:rsidRPr="00DE3A7D" w:rsidRDefault="003852E9" w:rsidP="003852E9">
            <w:pPr>
              <w:contextualSpacing/>
              <w:jc w:val="both"/>
              <w:rPr>
                <w:sz w:val="20"/>
                <w:szCs w:val="20"/>
                <w:lang w:val="es-ES"/>
              </w:rPr>
            </w:pPr>
          </w:p>
        </w:tc>
      </w:tr>
      <w:tr w:rsidR="003852E9" w:rsidRPr="000F3F6A" w14:paraId="1E411398" w14:textId="77777777" w:rsidTr="00916118">
        <w:trPr>
          <w:trHeight w:hRule="exact" w:val="2665"/>
          <w:jc w:val="center"/>
        </w:trPr>
        <w:tc>
          <w:tcPr>
            <w:tcW w:w="3491" w:type="dxa"/>
            <w:vAlign w:val="center"/>
          </w:tcPr>
          <w:p w14:paraId="40146B12" w14:textId="76DA5DF7" w:rsidR="003852E9" w:rsidRPr="00117928"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t>2.9</w:t>
            </w:r>
            <w:r w:rsidRPr="006E2244">
              <w:rPr>
                <w:rFonts w:ascii="Arial" w:hAnsi="Arial" w:cs="Arial"/>
                <w:spacing w:val="-2"/>
                <w:sz w:val="18"/>
                <w:szCs w:val="18"/>
                <w:lang w:val="es-ES_tradnl"/>
              </w:rPr>
              <w:t xml:space="preserve"> Informe de Gestión de la CL con los productos y resultados vinculados al plan de trabajo del año precedente, así como directrices estratégicas para el próximo año</w:t>
            </w:r>
            <w:r>
              <w:rPr>
                <w:rFonts w:ascii="Arial" w:hAnsi="Arial" w:cs="Arial"/>
                <w:spacing w:val="-2"/>
                <w:sz w:val="18"/>
                <w:szCs w:val="18"/>
                <w:lang w:val="es-ES_tradnl"/>
              </w:rPr>
              <w:t xml:space="preserve">, aprobado por el </w:t>
            </w:r>
            <w:r w:rsidRPr="009061BE">
              <w:rPr>
                <w:rFonts w:ascii="Arial" w:hAnsi="Arial" w:cs="Arial"/>
                <w:spacing w:val="-2"/>
                <w:sz w:val="18"/>
                <w:szCs w:val="18"/>
                <w:lang w:val="es-ES_tradnl"/>
              </w:rPr>
              <w:t>GL</w:t>
            </w:r>
          </w:p>
        </w:tc>
        <w:tc>
          <w:tcPr>
            <w:tcW w:w="1261" w:type="dxa"/>
          </w:tcPr>
          <w:p w14:paraId="6A5C6E00" w14:textId="3253B508" w:rsidR="003852E9" w:rsidRPr="007D25C3" w:rsidRDefault="003852E9" w:rsidP="003852E9">
            <w:pPr>
              <w:jc w:val="center"/>
              <w:rPr>
                <w:sz w:val="20"/>
                <w:szCs w:val="20"/>
                <w:lang w:val="es-ES"/>
              </w:rPr>
            </w:pPr>
            <w:r w:rsidRPr="000341A5">
              <w:rPr>
                <w:rFonts w:ascii="Arial" w:hAnsi="Arial" w:cs="Arial"/>
                <w:sz w:val="20"/>
                <w:szCs w:val="20"/>
                <w:lang w:val="es-ES_tradnl"/>
              </w:rPr>
              <w:t>2018</w:t>
            </w:r>
          </w:p>
        </w:tc>
        <w:tc>
          <w:tcPr>
            <w:tcW w:w="3270" w:type="dxa"/>
            <w:vAlign w:val="center"/>
          </w:tcPr>
          <w:p w14:paraId="76F4D561" w14:textId="5054C7C0" w:rsidR="003852E9" w:rsidRPr="001F01A7" w:rsidRDefault="003852E9" w:rsidP="003852E9">
            <w:pPr>
              <w:spacing w:before="60" w:after="60"/>
              <w:jc w:val="both"/>
              <w:rPr>
                <w:sz w:val="20"/>
                <w:szCs w:val="20"/>
                <w:lang w:val="es-ES_tradnl"/>
              </w:rPr>
            </w:pPr>
            <w:r w:rsidRPr="00882071">
              <w:rPr>
                <w:rFonts w:ascii="Arial" w:hAnsi="Arial" w:cs="Arial"/>
                <w:spacing w:val="-2"/>
                <w:sz w:val="18"/>
                <w:szCs w:val="18"/>
                <w:lang w:val="es-ES_tradnl"/>
              </w:rPr>
              <w:t>Nota del Ministro de Presidencia aprobando el Informe de Gestión de la CL, el cual debe incluir productos y resultados vinculados al Plan de Trabajo correspondiente y directrices estratégicas.</w:t>
            </w:r>
          </w:p>
        </w:tc>
        <w:tc>
          <w:tcPr>
            <w:tcW w:w="1855" w:type="dxa"/>
            <w:vMerge/>
          </w:tcPr>
          <w:p w14:paraId="29AAF335" w14:textId="77777777" w:rsidR="003852E9" w:rsidRPr="00DE3A7D" w:rsidRDefault="003852E9" w:rsidP="003852E9">
            <w:pPr>
              <w:contextualSpacing/>
              <w:jc w:val="both"/>
              <w:rPr>
                <w:sz w:val="20"/>
                <w:szCs w:val="20"/>
                <w:lang w:val="es-ES"/>
              </w:rPr>
            </w:pPr>
          </w:p>
        </w:tc>
      </w:tr>
      <w:tr w:rsidR="00D430CD" w:rsidRPr="000F3F6A" w14:paraId="0C288034" w14:textId="77777777" w:rsidTr="00A147A9">
        <w:trPr>
          <w:trHeight w:hRule="exact" w:val="721"/>
          <w:jc w:val="center"/>
        </w:trPr>
        <w:tc>
          <w:tcPr>
            <w:tcW w:w="8022" w:type="dxa"/>
            <w:gridSpan w:val="3"/>
            <w:vAlign w:val="center"/>
          </w:tcPr>
          <w:p w14:paraId="4F169138" w14:textId="77777777" w:rsidR="00D430CD" w:rsidRPr="001F01A7" w:rsidRDefault="00D430CD">
            <w:pPr>
              <w:spacing w:before="60" w:after="60"/>
              <w:jc w:val="both"/>
              <w:rPr>
                <w:b/>
                <w:sz w:val="20"/>
                <w:szCs w:val="20"/>
                <w:lang w:val="es-ES"/>
              </w:rPr>
            </w:pPr>
            <w:r w:rsidRPr="001F01A7">
              <w:rPr>
                <w:b/>
                <w:sz w:val="20"/>
                <w:szCs w:val="20"/>
                <w:lang w:val="es-ES"/>
              </w:rPr>
              <w:t>Componente III. Establecimiento y modernización de procesos de planificación integral y facilitación comercial</w:t>
            </w:r>
          </w:p>
        </w:tc>
        <w:tc>
          <w:tcPr>
            <w:tcW w:w="1855" w:type="dxa"/>
            <w:vMerge/>
          </w:tcPr>
          <w:p w14:paraId="2FCDFB25" w14:textId="77777777" w:rsidR="00D430CD" w:rsidRPr="00DE3A7D" w:rsidRDefault="00D430CD" w:rsidP="00AA27A8">
            <w:pPr>
              <w:spacing w:before="60" w:after="60"/>
              <w:jc w:val="both"/>
              <w:rPr>
                <w:b/>
                <w:sz w:val="20"/>
                <w:szCs w:val="20"/>
                <w:lang w:val="es-ES"/>
              </w:rPr>
            </w:pPr>
          </w:p>
        </w:tc>
      </w:tr>
      <w:tr w:rsidR="003852E9" w:rsidRPr="000F3F6A" w14:paraId="31B410BC" w14:textId="77777777" w:rsidTr="00916118">
        <w:trPr>
          <w:trHeight w:hRule="exact" w:val="1891"/>
          <w:jc w:val="center"/>
        </w:trPr>
        <w:tc>
          <w:tcPr>
            <w:tcW w:w="3491" w:type="dxa"/>
            <w:vAlign w:val="center"/>
          </w:tcPr>
          <w:p w14:paraId="08CB027E" w14:textId="4C6223EA" w:rsidR="003852E9" w:rsidRPr="00DE3A7D"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t>3.1</w:t>
            </w:r>
            <w:r w:rsidRPr="006E2244">
              <w:rPr>
                <w:rFonts w:ascii="Arial" w:hAnsi="Arial" w:cs="Arial"/>
                <w:spacing w:val="-2"/>
                <w:sz w:val="18"/>
                <w:szCs w:val="18"/>
                <w:lang w:val="es-ES_tradnl"/>
              </w:rPr>
              <w:t xml:space="preserve"> PTLZI</w:t>
            </w:r>
            <w:r>
              <w:rPr>
                <w:rFonts w:ascii="Arial" w:hAnsi="Arial" w:cs="Arial"/>
                <w:spacing w:val="-2"/>
                <w:sz w:val="18"/>
                <w:szCs w:val="18"/>
                <w:lang w:val="es-ES_tradnl"/>
              </w:rPr>
              <w:t xml:space="preserve"> aprobado por el </w:t>
            </w:r>
            <w:r w:rsidRPr="009061BE">
              <w:rPr>
                <w:rFonts w:ascii="Arial" w:hAnsi="Arial" w:cs="Arial"/>
                <w:spacing w:val="-2"/>
                <w:sz w:val="18"/>
                <w:szCs w:val="18"/>
                <w:lang w:val="es-ES_tradnl"/>
              </w:rPr>
              <w:t xml:space="preserve">GL </w:t>
            </w:r>
          </w:p>
        </w:tc>
        <w:tc>
          <w:tcPr>
            <w:tcW w:w="1261" w:type="dxa"/>
          </w:tcPr>
          <w:p w14:paraId="6F2B46B4" w14:textId="6C08A3F1" w:rsidR="003852E9" w:rsidRPr="00A147A9" w:rsidRDefault="003852E9" w:rsidP="003852E9">
            <w:pPr>
              <w:jc w:val="center"/>
              <w:rPr>
                <w:lang w:val="es-ES_tradnl"/>
              </w:rPr>
            </w:pPr>
            <w:r w:rsidRPr="000341A5">
              <w:rPr>
                <w:rFonts w:ascii="Arial" w:hAnsi="Arial" w:cs="Arial"/>
                <w:sz w:val="20"/>
                <w:szCs w:val="20"/>
                <w:lang w:val="es-ES_tradnl"/>
              </w:rPr>
              <w:t>2018</w:t>
            </w:r>
          </w:p>
        </w:tc>
        <w:tc>
          <w:tcPr>
            <w:tcW w:w="3270" w:type="dxa"/>
            <w:vAlign w:val="center"/>
          </w:tcPr>
          <w:p w14:paraId="505F5292" w14:textId="77777777" w:rsidR="003852E9" w:rsidRPr="00916118" w:rsidRDefault="003852E9" w:rsidP="003852E9">
            <w:pPr>
              <w:pStyle w:val="ListParagraph"/>
              <w:suppressAutoHyphens/>
              <w:spacing w:before="60" w:after="60"/>
              <w:ind w:left="79"/>
              <w:jc w:val="both"/>
              <w:rPr>
                <w:rFonts w:ascii="Arial" w:hAnsi="Arial" w:cs="Arial"/>
                <w:spacing w:val="-2"/>
                <w:sz w:val="18"/>
                <w:szCs w:val="18"/>
                <w:lang w:val="es-ES_tradnl"/>
              </w:rPr>
            </w:pPr>
            <w:r w:rsidRPr="00916118">
              <w:rPr>
                <w:rFonts w:ascii="Arial" w:hAnsi="Arial" w:cs="Arial"/>
                <w:spacing w:val="-2"/>
                <w:sz w:val="18"/>
                <w:szCs w:val="18"/>
                <w:lang w:val="es-ES_tradnl"/>
              </w:rPr>
              <w:t>Minuta del GL aprobando el Plan de Transporte y Logística de la Zona Interoceánica (PTLZI).</w:t>
            </w:r>
          </w:p>
          <w:p w14:paraId="6A446AAA" w14:textId="15B36A58" w:rsidR="003852E9" w:rsidRPr="001F01A7" w:rsidRDefault="003852E9" w:rsidP="003852E9">
            <w:pPr>
              <w:spacing w:before="60" w:after="60"/>
              <w:jc w:val="both"/>
              <w:rPr>
                <w:sz w:val="20"/>
                <w:szCs w:val="20"/>
                <w:lang w:val="es-ES_tradnl"/>
              </w:rPr>
            </w:pPr>
          </w:p>
        </w:tc>
        <w:tc>
          <w:tcPr>
            <w:tcW w:w="1855" w:type="dxa"/>
            <w:vMerge/>
          </w:tcPr>
          <w:p w14:paraId="5DBCDE96" w14:textId="77777777" w:rsidR="003852E9" w:rsidRPr="00DE3A7D" w:rsidRDefault="003852E9" w:rsidP="003852E9">
            <w:pPr>
              <w:ind w:hanging="18"/>
              <w:jc w:val="both"/>
              <w:rPr>
                <w:sz w:val="20"/>
                <w:szCs w:val="20"/>
                <w:lang w:val="es-ES"/>
              </w:rPr>
            </w:pPr>
          </w:p>
        </w:tc>
      </w:tr>
      <w:tr w:rsidR="003852E9" w:rsidRPr="000F3F6A" w14:paraId="6E0F3996" w14:textId="77777777" w:rsidTr="00916118">
        <w:trPr>
          <w:trHeight w:hRule="exact" w:val="2971"/>
          <w:jc w:val="center"/>
        </w:trPr>
        <w:tc>
          <w:tcPr>
            <w:tcW w:w="3491" w:type="dxa"/>
            <w:vAlign w:val="center"/>
          </w:tcPr>
          <w:p w14:paraId="63F2D9E1" w14:textId="1F037242" w:rsidR="003852E9" w:rsidRPr="00107D44" w:rsidRDefault="003852E9" w:rsidP="003852E9">
            <w:pPr>
              <w:pStyle w:val="Header"/>
              <w:tabs>
                <w:tab w:val="left" w:pos="267"/>
                <w:tab w:val="left" w:pos="3870"/>
              </w:tabs>
              <w:ind w:left="125" w:hanging="142"/>
              <w:jc w:val="both"/>
              <w:rPr>
                <w:sz w:val="20"/>
                <w:szCs w:val="20"/>
                <w:lang w:val="es-ES"/>
              </w:rPr>
            </w:pPr>
            <w:r>
              <w:rPr>
                <w:rFonts w:ascii="Arial" w:hAnsi="Arial" w:cs="Arial"/>
                <w:spacing w:val="-2"/>
                <w:sz w:val="18"/>
                <w:szCs w:val="18"/>
                <w:lang w:val="es-ES_tradnl"/>
              </w:rPr>
              <w:lastRenderedPageBreak/>
              <w:t xml:space="preserve">3.2 Reglamento </w:t>
            </w:r>
            <w:r w:rsidRPr="006E2244">
              <w:rPr>
                <w:rFonts w:ascii="Arial" w:hAnsi="Arial" w:cs="Arial"/>
                <w:spacing w:val="-2"/>
                <w:sz w:val="18"/>
                <w:szCs w:val="18"/>
                <w:lang w:val="es-ES_tradnl"/>
              </w:rPr>
              <w:t xml:space="preserve">de evaluación estratégica Ambiental para los </w:t>
            </w:r>
            <w:r>
              <w:rPr>
                <w:rFonts w:ascii="Arial" w:hAnsi="Arial" w:cs="Arial"/>
                <w:spacing w:val="-2"/>
                <w:sz w:val="18"/>
                <w:szCs w:val="18"/>
                <w:lang w:val="es-ES_tradnl"/>
              </w:rPr>
              <w:t>p</w:t>
            </w:r>
            <w:r w:rsidRPr="006E2244">
              <w:rPr>
                <w:rFonts w:ascii="Arial" w:hAnsi="Arial" w:cs="Arial"/>
                <w:spacing w:val="-2"/>
                <w:sz w:val="18"/>
                <w:szCs w:val="18"/>
                <w:lang w:val="es-ES_tradnl"/>
              </w:rPr>
              <w:t>lanes de Infraestructura (PTLZI, PMTL, entre otros)</w:t>
            </w:r>
            <w:r>
              <w:rPr>
                <w:rFonts w:ascii="Arial" w:hAnsi="Arial" w:cs="Arial"/>
                <w:spacing w:val="-2"/>
                <w:sz w:val="18"/>
                <w:szCs w:val="18"/>
                <w:lang w:val="es-ES_tradnl"/>
              </w:rPr>
              <w:t xml:space="preserve"> aprobado</w:t>
            </w:r>
          </w:p>
        </w:tc>
        <w:tc>
          <w:tcPr>
            <w:tcW w:w="1261" w:type="dxa"/>
          </w:tcPr>
          <w:p w14:paraId="769D87EB" w14:textId="624321F8" w:rsidR="003852E9" w:rsidRDefault="003852E9" w:rsidP="003852E9">
            <w:pPr>
              <w:jc w:val="center"/>
            </w:pPr>
            <w:r w:rsidRPr="000341A5">
              <w:rPr>
                <w:rFonts w:ascii="Arial" w:hAnsi="Arial" w:cs="Arial"/>
                <w:sz w:val="20"/>
                <w:szCs w:val="20"/>
                <w:lang w:val="es-ES_tradnl"/>
              </w:rPr>
              <w:t>2018</w:t>
            </w:r>
          </w:p>
        </w:tc>
        <w:tc>
          <w:tcPr>
            <w:tcW w:w="3270" w:type="dxa"/>
            <w:vAlign w:val="center"/>
          </w:tcPr>
          <w:p w14:paraId="570A2697" w14:textId="53CB488B" w:rsidR="003852E9" w:rsidRPr="001F01A7" w:rsidRDefault="003852E9" w:rsidP="003852E9">
            <w:pPr>
              <w:spacing w:before="60" w:after="60"/>
              <w:jc w:val="both"/>
              <w:rPr>
                <w:sz w:val="20"/>
                <w:szCs w:val="20"/>
                <w:lang w:val="es-ES"/>
              </w:rPr>
            </w:pPr>
            <w:r w:rsidRPr="00882071">
              <w:rPr>
                <w:rFonts w:ascii="Arial" w:hAnsi="Arial" w:cs="Arial"/>
                <w:spacing w:val="-2"/>
                <w:sz w:val="18"/>
                <w:szCs w:val="18"/>
                <w:lang w:val="es-ES_tradnl"/>
              </w:rPr>
              <w:t>Resolución del Ministerio de Ambiente aprobando el Reglamento que define los Lineamientos Estratégicos para la evaluación ambiental de los Planes de Infraestructura</w:t>
            </w:r>
            <w:r w:rsidRPr="00AB6D09">
              <w:rPr>
                <w:rFonts w:ascii="Arial" w:hAnsi="Arial" w:cs="Arial"/>
                <w:spacing w:val="-2"/>
                <w:sz w:val="18"/>
                <w:szCs w:val="18"/>
                <w:lang w:val="es-ES_tradnl"/>
              </w:rPr>
              <w:t xml:space="preserve">. </w:t>
            </w:r>
          </w:p>
        </w:tc>
        <w:tc>
          <w:tcPr>
            <w:tcW w:w="1855" w:type="dxa"/>
            <w:vMerge/>
          </w:tcPr>
          <w:p w14:paraId="3B77629F" w14:textId="77777777" w:rsidR="003852E9" w:rsidRPr="00DE3A7D" w:rsidRDefault="003852E9" w:rsidP="003852E9">
            <w:pPr>
              <w:contextualSpacing/>
              <w:jc w:val="both"/>
              <w:rPr>
                <w:sz w:val="20"/>
                <w:szCs w:val="20"/>
                <w:lang w:val="es-ES"/>
              </w:rPr>
            </w:pPr>
          </w:p>
        </w:tc>
      </w:tr>
      <w:tr w:rsidR="003852E9" w:rsidRPr="00D00554" w14:paraId="5F5BC746" w14:textId="77777777" w:rsidTr="00916118">
        <w:trPr>
          <w:trHeight w:hRule="exact" w:val="1441"/>
          <w:jc w:val="center"/>
        </w:trPr>
        <w:tc>
          <w:tcPr>
            <w:tcW w:w="3491" w:type="dxa"/>
            <w:vAlign w:val="center"/>
          </w:tcPr>
          <w:p w14:paraId="1AEAECE2" w14:textId="6A90B595" w:rsidR="003852E9" w:rsidRPr="009B393E" w:rsidRDefault="003852E9" w:rsidP="003852E9">
            <w:pPr>
              <w:keepNext/>
              <w:keepLines/>
              <w:spacing w:before="60" w:after="60"/>
              <w:jc w:val="both"/>
              <w:rPr>
                <w:rFonts w:ascii="Arial" w:hAnsi="Arial" w:cs="Arial"/>
                <w:smallCaps/>
                <w:spacing w:val="-2"/>
                <w:sz w:val="18"/>
                <w:szCs w:val="18"/>
                <w:lang w:val="es-ES_tradnl"/>
              </w:rPr>
            </w:pPr>
            <w:r w:rsidRPr="00E53316">
              <w:rPr>
                <w:rFonts w:ascii="Arial" w:hAnsi="Arial" w:cs="Arial"/>
                <w:spacing w:val="-2"/>
                <w:sz w:val="18"/>
                <w:szCs w:val="18"/>
                <w:lang w:val="es-ES_tradnl"/>
              </w:rPr>
              <w:t xml:space="preserve">3.3 </w:t>
            </w:r>
            <w:proofErr w:type="spellStart"/>
            <w:r w:rsidRPr="00E53316">
              <w:rPr>
                <w:rFonts w:ascii="Arial" w:hAnsi="Arial" w:cs="Arial"/>
                <w:spacing w:val="-2"/>
                <w:sz w:val="18"/>
                <w:szCs w:val="18"/>
                <w:lang w:val="es-ES_tradnl"/>
              </w:rPr>
              <w:t>PMTLaprobado</w:t>
            </w:r>
            <w:proofErr w:type="spellEnd"/>
            <w:r w:rsidRPr="00E53316">
              <w:rPr>
                <w:rFonts w:ascii="Arial" w:hAnsi="Arial" w:cs="Arial"/>
                <w:spacing w:val="-2"/>
                <w:sz w:val="18"/>
                <w:szCs w:val="18"/>
                <w:lang w:val="es-ES_tradnl"/>
              </w:rPr>
              <w:t xml:space="preserve"> por el GL</w:t>
            </w:r>
            <w:r w:rsidRPr="009B393E">
              <w:rPr>
                <w:rFonts w:ascii="Arial" w:hAnsi="Arial" w:cs="Arial"/>
                <w:spacing w:val="-2"/>
                <w:sz w:val="18"/>
                <w:szCs w:val="18"/>
                <w:lang w:val="es-ES_tradnl"/>
              </w:rPr>
              <w:t xml:space="preserve"> </w:t>
            </w:r>
          </w:p>
          <w:p w14:paraId="592128CD" w14:textId="1E3A22A3" w:rsidR="003852E9" w:rsidRPr="009B393E" w:rsidRDefault="003852E9" w:rsidP="003852E9">
            <w:pPr>
              <w:pStyle w:val="Header"/>
              <w:tabs>
                <w:tab w:val="left" w:pos="267"/>
                <w:tab w:val="left" w:pos="3870"/>
              </w:tabs>
              <w:ind w:left="125" w:hanging="142"/>
              <w:jc w:val="both"/>
              <w:rPr>
                <w:sz w:val="20"/>
                <w:szCs w:val="20"/>
                <w:lang w:val="es-ES"/>
              </w:rPr>
            </w:pPr>
          </w:p>
        </w:tc>
        <w:tc>
          <w:tcPr>
            <w:tcW w:w="1261" w:type="dxa"/>
          </w:tcPr>
          <w:p w14:paraId="68271D4F" w14:textId="374F90A5" w:rsidR="003852E9" w:rsidRPr="00783DC3" w:rsidRDefault="003852E9" w:rsidP="003852E9">
            <w:pPr>
              <w:jc w:val="center"/>
              <w:rPr>
                <w:sz w:val="20"/>
                <w:szCs w:val="20"/>
                <w:lang w:val="es-ES"/>
              </w:rPr>
            </w:pPr>
            <w:r w:rsidRPr="000341A5">
              <w:rPr>
                <w:rFonts w:ascii="Arial" w:hAnsi="Arial" w:cs="Arial"/>
                <w:sz w:val="20"/>
                <w:szCs w:val="20"/>
                <w:lang w:val="es-ES_tradnl"/>
              </w:rPr>
              <w:t>2018</w:t>
            </w:r>
          </w:p>
        </w:tc>
        <w:tc>
          <w:tcPr>
            <w:tcW w:w="3270" w:type="dxa"/>
            <w:vAlign w:val="center"/>
          </w:tcPr>
          <w:p w14:paraId="0113BBEF" w14:textId="77777777" w:rsidR="003852E9" w:rsidRPr="00AB6D09" w:rsidRDefault="003852E9" w:rsidP="003852E9">
            <w:pPr>
              <w:keepNext/>
              <w:keepLines/>
              <w:spacing w:before="60" w:after="60"/>
              <w:ind w:left="1" w:hanging="1"/>
              <w:rPr>
                <w:rFonts w:ascii="Arial" w:hAnsi="Arial" w:cs="Arial"/>
                <w:color w:val="000000"/>
                <w:sz w:val="18"/>
                <w:szCs w:val="18"/>
                <w:lang w:val="es-ES_tradnl"/>
              </w:rPr>
            </w:pPr>
            <w:r w:rsidRPr="00882071">
              <w:rPr>
                <w:rFonts w:ascii="Arial" w:hAnsi="Arial" w:cs="Arial"/>
                <w:color w:val="000000"/>
                <w:sz w:val="18"/>
                <w:szCs w:val="18"/>
                <w:lang w:val="es-ES_tradnl"/>
              </w:rPr>
              <w:t xml:space="preserve">Nota de la CL al </w:t>
            </w:r>
            <w:proofErr w:type="gramStart"/>
            <w:r w:rsidRPr="00882071">
              <w:rPr>
                <w:rFonts w:ascii="Arial" w:hAnsi="Arial" w:cs="Arial"/>
                <w:color w:val="000000"/>
                <w:sz w:val="18"/>
                <w:szCs w:val="18"/>
                <w:lang w:val="es-ES_tradnl"/>
              </w:rPr>
              <w:t>Ministro</w:t>
            </w:r>
            <w:proofErr w:type="gramEnd"/>
            <w:r w:rsidRPr="00882071">
              <w:rPr>
                <w:rFonts w:ascii="Arial" w:hAnsi="Arial" w:cs="Arial"/>
                <w:color w:val="000000"/>
                <w:sz w:val="18"/>
                <w:szCs w:val="18"/>
                <w:lang w:val="es-ES_tradnl"/>
              </w:rPr>
              <w:t xml:space="preserve"> de la Presidencia ratificando que los planes individuales del sector logístico y de transporte forman parte de una estrategia integral del sistema multimodal de planificación.</w:t>
            </w:r>
            <w:r w:rsidRPr="00AB6D09">
              <w:rPr>
                <w:rFonts w:ascii="Arial" w:hAnsi="Arial" w:cs="Arial"/>
                <w:color w:val="000000"/>
                <w:sz w:val="18"/>
                <w:szCs w:val="18"/>
                <w:lang w:val="es-ES_tradnl"/>
              </w:rPr>
              <w:t xml:space="preserve">  </w:t>
            </w:r>
          </w:p>
          <w:p w14:paraId="3F9C3B90" w14:textId="026CE416" w:rsidR="003852E9" w:rsidRPr="001F01A7" w:rsidRDefault="003852E9" w:rsidP="003852E9">
            <w:pPr>
              <w:spacing w:before="60" w:after="60"/>
              <w:jc w:val="both"/>
              <w:rPr>
                <w:sz w:val="20"/>
                <w:szCs w:val="20"/>
                <w:lang w:val="es-ES_tradnl"/>
              </w:rPr>
            </w:pPr>
          </w:p>
        </w:tc>
        <w:tc>
          <w:tcPr>
            <w:tcW w:w="1855" w:type="dxa"/>
            <w:vMerge/>
          </w:tcPr>
          <w:p w14:paraId="67A5D150" w14:textId="77777777" w:rsidR="003852E9" w:rsidRPr="00DE3A7D" w:rsidRDefault="003852E9" w:rsidP="003852E9">
            <w:pPr>
              <w:contextualSpacing/>
              <w:jc w:val="both"/>
              <w:rPr>
                <w:sz w:val="20"/>
                <w:szCs w:val="20"/>
                <w:lang w:val="es-ES"/>
              </w:rPr>
            </w:pPr>
          </w:p>
        </w:tc>
      </w:tr>
      <w:tr w:rsidR="003852E9" w:rsidRPr="000F3F6A" w14:paraId="1129CFA8" w14:textId="77777777" w:rsidTr="00916118">
        <w:trPr>
          <w:trHeight w:hRule="exact" w:val="1441"/>
          <w:jc w:val="center"/>
        </w:trPr>
        <w:tc>
          <w:tcPr>
            <w:tcW w:w="3491" w:type="dxa"/>
            <w:vAlign w:val="center"/>
          </w:tcPr>
          <w:p w14:paraId="5EF8A0C5" w14:textId="24927633" w:rsidR="003852E9" w:rsidRPr="009B393E" w:rsidRDefault="003852E9" w:rsidP="003852E9">
            <w:pPr>
              <w:pStyle w:val="Header"/>
              <w:tabs>
                <w:tab w:val="left" w:pos="267"/>
                <w:tab w:val="left" w:pos="3870"/>
              </w:tabs>
              <w:ind w:left="125" w:hanging="142"/>
              <w:jc w:val="both"/>
              <w:rPr>
                <w:sz w:val="20"/>
                <w:szCs w:val="20"/>
                <w:lang w:val="es-ES"/>
              </w:rPr>
            </w:pPr>
            <w:r w:rsidRPr="00E53316">
              <w:rPr>
                <w:rFonts w:ascii="Arial" w:hAnsi="Arial" w:cs="Arial"/>
                <w:spacing w:val="-2"/>
                <w:sz w:val="18"/>
                <w:szCs w:val="18"/>
                <w:lang w:val="es-ES_tradnl"/>
              </w:rPr>
              <w:t xml:space="preserve">3.4 Estrategia </w:t>
            </w:r>
            <w:proofErr w:type="spellStart"/>
            <w:r w:rsidRPr="00E53316">
              <w:rPr>
                <w:rFonts w:ascii="Arial" w:hAnsi="Arial" w:cs="Arial"/>
                <w:spacing w:val="-2"/>
                <w:sz w:val="18"/>
                <w:szCs w:val="18"/>
                <w:lang w:val="es-ES_tradnl"/>
              </w:rPr>
              <w:t>Logístina</w:t>
            </w:r>
            <w:proofErr w:type="spellEnd"/>
            <w:r w:rsidRPr="00E53316">
              <w:rPr>
                <w:rFonts w:ascii="Arial" w:hAnsi="Arial" w:cs="Arial"/>
                <w:spacing w:val="-2"/>
                <w:sz w:val="18"/>
                <w:szCs w:val="18"/>
                <w:lang w:val="es-ES_tradnl"/>
              </w:rPr>
              <w:t xml:space="preserve"> Nacional 2030</w:t>
            </w:r>
            <w:r w:rsidR="004D2F87">
              <w:rPr>
                <w:rFonts w:ascii="Arial" w:hAnsi="Arial" w:cs="Arial"/>
                <w:spacing w:val="-2"/>
                <w:sz w:val="18"/>
                <w:szCs w:val="18"/>
                <w:lang w:val="es-ES_tradnl"/>
              </w:rPr>
              <w:t xml:space="preserve">, </w:t>
            </w:r>
            <w:r w:rsidR="004D2F87">
              <w:rPr>
                <w:rFonts w:ascii="Arial" w:hAnsi="Arial" w:cs="Arial"/>
                <w:color w:val="000000" w:themeColor="text1"/>
                <w:sz w:val="18"/>
                <w:szCs w:val="18"/>
                <w:lang w:val="es-ES"/>
              </w:rPr>
              <w:t>que integre los principios del PMTL propuestos en el Sistema de Planificación de Transporte y Logística,</w:t>
            </w:r>
            <w:r w:rsidRPr="00E53316">
              <w:rPr>
                <w:rFonts w:ascii="Arial" w:hAnsi="Arial" w:cs="Arial"/>
                <w:spacing w:val="-2"/>
                <w:sz w:val="18"/>
                <w:szCs w:val="18"/>
                <w:lang w:val="es-ES_tradnl"/>
              </w:rPr>
              <w:t xml:space="preserve"> aprobada mediante Decreto del Poder Ejecutivo Nacional</w:t>
            </w:r>
          </w:p>
        </w:tc>
        <w:tc>
          <w:tcPr>
            <w:tcW w:w="1261" w:type="dxa"/>
          </w:tcPr>
          <w:p w14:paraId="033C8554" w14:textId="1F4B4653" w:rsidR="003852E9" w:rsidRDefault="003852E9" w:rsidP="003852E9">
            <w:pPr>
              <w:jc w:val="center"/>
              <w:rPr>
                <w:sz w:val="20"/>
                <w:szCs w:val="20"/>
                <w:lang w:val="es-ES"/>
              </w:rPr>
            </w:pPr>
            <w:r w:rsidRPr="000341A5">
              <w:rPr>
                <w:rFonts w:ascii="Arial" w:hAnsi="Arial" w:cs="Arial"/>
                <w:sz w:val="20"/>
                <w:szCs w:val="20"/>
                <w:lang w:val="es-ES_tradnl"/>
              </w:rPr>
              <w:t>2018</w:t>
            </w:r>
          </w:p>
        </w:tc>
        <w:tc>
          <w:tcPr>
            <w:tcW w:w="3270" w:type="dxa"/>
            <w:vAlign w:val="center"/>
          </w:tcPr>
          <w:p w14:paraId="43D3A03D" w14:textId="4C92F5F0" w:rsidR="003852E9" w:rsidRPr="001F01A7" w:rsidRDefault="004D2F87" w:rsidP="003852E9">
            <w:pPr>
              <w:spacing w:before="60" w:after="60"/>
              <w:jc w:val="both"/>
              <w:rPr>
                <w:sz w:val="20"/>
                <w:szCs w:val="20"/>
                <w:lang w:val="es-ES_tradnl"/>
              </w:rPr>
            </w:pPr>
            <w:r w:rsidRPr="7FBDDA1D">
              <w:rPr>
                <w:rFonts w:ascii="Arial" w:hAnsi="Arial" w:cs="Arial"/>
                <w:color w:val="000000" w:themeColor="text1"/>
                <w:sz w:val="18"/>
                <w:szCs w:val="18"/>
                <w:lang w:val="es-ES"/>
              </w:rPr>
              <w:t>Decreto del Poder Ejecutivo Nacional aprobando la EN</w:t>
            </w:r>
            <w:r>
              <w:rPr>
                <w:rFonts w:ascii="Arial" w:hAnsi="Arial" w:cs="Arial"/>
                <w:color w:val="000000" w:themeColor="text1"/>
                <w:sz w:val="18"/>
                <w:szCs w:val="18"/>
                <w:lang w:val="es-ES"/>
              </w:rPr>
              <w:t>L que integre los principios del PMTL propuestos en el Sistema de Planificación de Transporte y Logística, conforme fueran definidos en el segundo programa de reformas.</w:t>
            </w:r>
          </w:p>
        </w:tc>
        <w:tc>
          <w:tcPr>
            <w:tcW w:w="1855" w:type="dxa"/>
            <w:vMerge/>
          </w:tcPr>
          <w:p w14:paraId="28B70AE6" w14:textId="77777777" w:rsidR="003852E9" w:rsidRPr="00DE3A7D" w:rsidRDefault="003852E9" w:rsidP="003852E9">
            <w:pPr>
              <w:contextualSpacing/>
              <w:jc w:val="both"/>
              <w:rPr>
                <w:sz w:val="20"/>
                <w:szCs w:val="20"/>
                <w:lang w:val="es-ES"/>
              </w:rPr>
            </w:pPr>
          </w:p>
        </w:tc>
      </w:tr>
      <w:tr w:rsidR="003852E9" w:rsidRPr="000F3F6A" w14:paraId="3D0BCB23" w14:textId="77777777" w:rsidTr="00916118">
        <w:trPr>
          <w:trHeight w:hRule="exact" w:val="1441"/>
          <w:jc w:val="center"/>
        </w:trPr>
        <w:tc>
          <w:tcPr>
            <w:tcW w:w="3491" w:type="dxa"/>
            <w:vAlign w:val="center"/>
          </w:tcPr>
          <w:p w14:paraId="0C10190E" w14:textId="324A8ECA" w:rsidR="003852E9" w:rsidRPr="009B393E" w:rsidRDefault="003852E9" w:rsidP="003852E9">
            <w:pPr>
              <w:pStyle w:val="Header"/>
              <w:tabs>
                <w:tab w:val="left" w:pos="267"/>
                <w:tab w:val="left" w:pos="3870"/>
              </w:tabs>
              <w:ind w:left="125" w:hanging="142"/>
              <w:jc w:val="both"/>
              <w:rPr>
                <w:sz w:val="20"/>
                <w:szCs w:val="20"/>
                <w:lang w:val="es-ES"/>
              </w:rPr>
            </w:pPr>
            <w:r w:rsidRPr="009B393E">
              <w:rPr>
                <w:rFonts w:ascii="Arial" w:hAnsi="Arial" w:cs="Arial"/>
                <w:spacing w:val="-2"/>
                <w:sz w:val="18"/>
                <w:szCs w:val="18"/>
                <w:lang w:val="es-ES_tradnl"/>
              </w:rPr>
              <w:t xml:space="preserve">3.5 </w:t>
            </w:r>
            <w:r w:rsidRPr="00E53316">
              <w:rPr>
                <w:rFonts w:ascii="Arial" w:hAnsi="Arial" w:cs="Arial"/>
                <w:spacing w:val="-2"/>
                <w:sz w:val="18"/>
                <w:szCs w:val="18"/>
                <w:lang w:val="es-ES_tradnl"/>
              </w:rPr>
              <w:t xml:space="preserve">Nota técnica del MIVIOT con la descripción del proceso para </w:t>
            </w:r>
            <w:r w:rsidRPr="00E53316">
              <w:rPr>
                <w:rFonts w:ascii="Arial" w:hAnsi="Arial" w:cs="Arial"/>
                <w:color w:val="000000"/>
                <w:spacing w:val="-4"/>
                <w:sz w:val="18"/>
                <w:szCs w:val="18"/>
                <w:lang w:val="es-ES_tradnl"/>
              </w:rPr>
              <w:t>alcanzar consensos en materia de Integración, Ordenamiento y Desarrollo Territorial elaborad</w:t>
            </w:r>
            <w:r w:rsidRPr="009B393E">
              <w:rPr>
                <w:rFonts w:ascii="Arial" w:hAnsi="Arial" w:cs="Arial"/>
                <w:color w:val="000000"/>
                <w:spacing w:val="-4"/>
                <w:sz w:val="18"/>
                <w:szCs w:val="18"/>
                <w:lang w:val="es-ES_tradnl"/>
              </w:rPr>
              <w:t>a</w:t>
            </w:r>
          </w:p>
        </w:tc>
        <w:tc>
          <w:tcPr>
            <w:tcW w:w="1261" w:type="dxa"/>
          </w:tcPr>
          <w:p w14:paraId="609DEA54" w14:textId="715498BF" w:rsidR="003852E9" w:rsidRDefault="003852E9" w:rsidP="003852E9">
            <w:pPr>
              <w:jc w:val="center"/>
              <w:rPr>
                <w:sz w:val="20"/>
                <w:szCs w:val="20"/>
                <w:lang w:val="es-ES"/>
              </w:rPr>
            </w:pPr>
            <w:r w:rsidRPr="000341A5">
              <w:rPr>
                <w:rFonts w:ascii="Arial" w:hAnsi="Arial" w:cs="Arial"/>
                <w:sz w:val="20"/>
                <w:szCs w:val="20"/>
                <w:lang w:val="es-ES_tradnl"/>
              </w:rPr>
              <w:t>2018</w:t>
            </w:r>
          </w:p>
        </w:tc>
        <w:tc>
          <w:tcPr>
            <w:tcW w:w="3270" w:type="dxa"/>
            <w:vAlign w:val="center"/>
          </w:tcPr>
          <w:p w14:paraId="253373DB" w14:textId="5574CE86" w:rsidR="003852E9" w:rsidRPr="001F01A7" w:rsidRDefault="003852E9" w:rsidP="003852E9">
            <w:pPr>
              <w:spacing w:before="60" w:after="60"/>
              <w:jc w:val="both"/>
              <w:rPr>
                <w:sz w:val="20"/>
                <w:szCs w:val="20"/>
                <w:lang w:val="es-ES_tradnl"/>
              </w:rPr>
            </w:pPr>
            <w:r w:rsidRPr="00882071">
              <w:rPr>
                <w:rFonts w:ascii="Arial" w:hAnsi="Arial" w:cs="Arial"/>
                <w:color w:val="000000"/>
                <w:spacing w:val="-4"/>
                <w:sz w:val="18"/>
                <w:szCs w:val="18"/>
                <w:lang w:val="es-ES_tradnl"/>
              </w:rPr>
              <w:t>Nota Técnica del MIVIOT describiendo el proceso implementado a nivel nacional para alcanzar consensos en materia de Integración, Ordenamiento y Desarrollo Territorial</w:t>
            </w:r>
          </w:p>
        </w:tc>
        <w:tc>
          <w:tcPr>
            <w:tcW w:w="1855" w:type="dxa"/>
            <w:vMerge/>
          </w:tcPr>
          <w:p w14:paraId="41F05C25" w14:textId="77777777" w:rsidR="003852E9" w:rsidRPr="00DE3A7D" w:rsidRDefault="003852E9" w:rsidP="003852E9">
            <w:pPr>
              <w:contextualSpacing/>
              <w:jc w:val="both"/>
              <w:rPr>
                <w:sz w:val="20"/>
                <w:szCs w:val="20"/>
                <w:lang w:val="es-ES"/>
              </w:rPr>
            </w:pPr>
          </w:p>
        </w:tc>
      </w:tr>
      <w:tr w:rsidR="003852E9" w:rsidRPr="000F3F6A" w14:paraId="652C2655" w14:textId="77777777" w:rsidTr="00916118">
        <w:trPr>
          <w:trHeight w:hRule="exact" w:val="2035"/>
          <w:jc w:val="center"/>
        </w:trPr>
        <w:tc>
          <w:tcPr>
            <w:tcW w:w="3491" w:type="dxa"/>
            <w:vAlign w:val="center"/>
          </w:tcPr>
          <w:p w14:paraId="765C0E1F" w14:textId="77777777" w:rsidR="003852E9" w:rsidRPr="006E2244" w:rsidRDefault="003852E9" w:rsidP="003852E9">
            <w:pPr>
              <w:keepNext/>
              <w:keepLines/>
              <w:spacing w:before="60" w:after="60"/>
              <w:ind w:left="342" w:hanging="352"/>
              <w:jc w:val="both"/>
              <w:rPr>
                <w:rFonts w:ascii="Arial" w:hAnsi="Arial" w:cs="Arial"/>
                <w:spacing w:val="-4"/>
                <w:sz w:val="18"/>
                <w:szCs w:val="18"/>
                <w:lang w:val="es-ES_tradnl"/>
              </w:rPr>
            </w:pPr>
            <w:r>
              <w:rPr>
                <w:rFonts w:ascii="Arial" w:hAnsi="Arial" w:cs="Arial"/>
                <w:spacing w:val="-4"/>
                <w:sz w:val="18"/>
                <w:szCs w:val="18"/>
                <w:lang w:val="es-ES_tradnl"/>
              </w:rPr>
              <w:t xml:space="preserve">3.6 </w:t>
            </w:r>
            <w:r w:rsidRPr="006E2244">
              <w:rPr>
                <w:rFonts w:ascii="Arial" w:hAnsi="Arial" w:cs="Arial"/>
                <w:spacing w:val="-4"/>
                <w:sz w:val="18"/>
                <w:szCs w:val="18"/>
                <w:lang w:val="es-ES_tradnl"/>
              </w:rPr>
              <w:t xml:space="preserve">Plan de Desarrollo Urbano de las áreas metropolitanas del Pacífico y el Atlántico </w:t>
            </w:r>
            <w:r>
              <w:rPr>
                <w:rFonts w:ascii="Arial" w:hAnsi="Arial" w:cs="Arial"/>
                <w:spacing w:val="-4"/>
                <w:sz w:val="18"/>
                <w:szCs w:val="18"/>
                <w:lang w:val="es-ES_tradnl"/>
              </w:rPr>
              <w:t>aprobado</w:t>
            </w:r>
          </w:p>
          <w:p w14:paraId="087CD370" w14:textId="326EA67A" w:rsidR="003852E9" w:rsidRPr="00DE3A7D" w:rsidRDefault="003852E9" w:rsidP="003852E9">
            <w:pPr>
              <w:tabs>
                <w:tab w:val="left" w:pos="267"/>
              </w:tabs>
              <w:ind w:left="125" w:hanging="142"/>
              <w:jc w:val="both"/>
              <w:rPr>
                <w:sz w:val="20"/>
                <w:szCs w:val="20"/>
                <w:lang w:val="es-ES"/>
              </w:rPr>
            </w:pPr>
          </w:p>
        </w:tc>
        <w:tc>
          <w:tcPr>
            <w:tcW w:w="1261" w:type="dxa"/>
          </w:tcPr>
          <w:p w14:paraId="37C81B5F" w14:textId="59F552A3" w:rsidR="003852E9" w:rsidRPr="00A147A9" w:rsidRDefault="003852E9" w:rsidP="003852E9">
            <w:pPr>
              <w:jc w:val="center"/>
              <w:rPr>
                <w:lang w:val="es-ES_tradnl"/>
              </w:rPr>
            </w:pPr>
            <w:r w:rsidRPr="000341A5">
              <w:rPr>
                <w:rFonts w:ascii="Arial" w:hAnsi="Arial" w:cs="Arial"/>
                <w:sz w:val="20"/>
                <w:szCs w:val="20"/>
                <w:lang w:val="es-ES_tradnl"/>
              </w:rPr>
              <w:t>2018</w:t>
            </w:r>
          </w:p>
        </w:tc>
        <w:tc>
          <w:tcPr>
            <w:tcW w:w="3270" w:type="dxa"/>
            <w:vAlign w:val="center"/>
          </w:tcPr>
          <w:p w14:paraId="12CEE162" w14:textId="21F00483" w:rsidR="003852E9" w:rsidRPr="001F01A7" w:rsidRDefault="003852E9" w:rsidP="003852E9">
            <w:pPr>
              <w:spacing w:before="60" w:after="60"/>
              <w:jc w:val="both"/>
              <w:rPr>
                <w:sz w:val="20"/>
                <w:szCs w:val="20"/>
                <w:lang w:val="es-ES"/>
              </w:rPr>
            </w:pPr>
            <w:r w:rsidRPr="00882071">
              <w:rPr>
                <w:rFonts w:ascii="Arial" w:hAnsi="Arial" w:cs="Arial"/>
                <w:color w:val="000000"/>
                <w:spacing w:val="-4"/>
                <w:sz w:val="18"/>
                <w:szCs w:val="18"/>
                <w:lang w:val="es-ES_tradnl"/>
              </w:rPr>
              <w:t>Decreto del Poder Ejecutivo ratificando el Plan de Desarrollo Urbano de las Áreas Metropolitanas del Pacífico y del Atlántico.</w:t>
            </w:r>
          </w:p>
        </w:tc>
        <w:tc>
          <w:tcPr>
            <w:tcW w:w="1855" w:type="dxa"/>
            <w:vMerge/>
          </w:tcPr>
          <w:p w14:paraId="25A92639" w14:textId="77777777" w:rsidR="003852E9" w:rsidRPr="00DE3A7D" w:rsidRDefault="003852E9" w:rsidP="003852E9">
            <w:pPr>
              <w:contextualSpacing/>
              <w:jc w:val="both"/>
              <w:rPr>
                <w:sz w:val="20"/>
                <w:szCs w:val="20"/>
                <w:lang w:val="es-ES"/>
              </w:rPr>
            </w:pPr>
          </w:p>
        </w:tc>
      </w:tr>
      <w:tr w:rsidR="003852E9" w:rsidRPr="000F3F6A" w14:paraId="4A70F6DD" w14:textId="77777777" w:rsidTr="00916118">
        <w:trPr>
          <w:trHeight w:hRule="exact" w:val="1621"/>
          <w:jc w:val="center"/>
        </w:trPr>
        <w:tc>
          <w:tcPr>
            <w:tcW w:w="3491" w:type="dxa"/>
            <w:vAlign w:val="center"/>
          </w:tcPr>
          <w:p w14:paraId="69C76B9C" w14:textId="47954332" w:rsidR="003852E9" w:rsidRPr="00DE3A7D"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t xml:space="preserve">3.7 Convenio de colaboración entre </w:t>
            </w:r>
            <w:r w:rsidRPr="0058713C">
              <w:rPr>
                <w:rFonts w:ascii="Arial" w:hAnsi="Arial" w:cs="Arial"/>
                <w:spacing w:val="-2"/>
                <w:sz w:val="18"/>
                <w:szCs w:val="18"/>
                <w:lang w:val="es-ES_tradnl"/>
              </w:rPr>
              <w:t>ACP y AMP</w:t>
            </w:r>
            <w:r>
              <w:rPr>
                <w:rFonts w:ascii="Arial" w:hAnsi="Arial" w:cs="Arial"/>
                <w:spacing w:val="-2"/>
                <w:sz w:val="18"/>
                <w:szCs w:val="18"/>
                <w:lang w:val="es-ES_tradnl"/>
              </w:rPr>
              <w:t>, para la in</w:t>
            </w:r>
            <w:r w:rsidRPr="006E2244">
              <w:rPr>
                <w:rFonts w:ascii="Arial" w:hAnsi="Arial" w:cs="Arial"/>
                <w:spacing w:val="-2"/>
                <w:sz w:val="18"/>
                <w:szCs w:val="18"/>
                <w:lang w:val="es-ES_tradnl"/>
              </w:rPr>
              <w:t xml:space="preserve">tegración de </w:t>
            </w:r>
            <w:r>
              <w:rPr>
                <w:rFonts w:ascii="Arial" w:hAnsi="Arial" w:cs="Arial"/>
                <w:spacing w:val="-2"/>
                <w:sz w:val="18"/>
                <w:szCs w:val="18"/>
                <w:lang w:val="es-ES_tradnl"/>
              </w:rPr>
              <w:t xml:space="preserve">sus </w:t>
            </w:r>
            <w:r w:rsidRPr="006E2244">
              <w:rPr>
                <w:rFonts w:ascii="Arial" w:hAnsi="Arial" w:cs="Arial"/>
                <w:spacing w:val="-2"/>
                <w:sz w:val="18"/>
                <w:szCs w:val="18"/>
                <w:lang w:val="es-ES_tradnl"/>
              </w:rPr>
              <w:t>sistemas</w:t>
            </w:r>
            <w:r>
              <w:rPr>
                <w:rFonts w:ascii="Arial" w:hAnsi="Arial" w:cs="Arial"/>
                <w:spacing w:val="-2"/>
                <w:sz w:val="18"/>
                <w:szCs w:val="18"/>
                <w:lang w:val="es-ES_tradnl"/>
              </w:rPr>
              <w:t>, suscripto</w:t>
            </w:r>
          </w:p>
        </w:tc>
        <w:tc>
          <w:tcPr>
            <w:tcW w:w="1261" w:type="dxa"/>
          </w:tcPr>
          <w:p w14:paraId="22782C9F" w14:textId="443FBA8B" w:rsidR="003852E9" w:rsidRPr="00A147A9" w:rsidRDefault="003852E9" w:rsidP="003852E9">
            <w:pPr>
              <w:jc w:val="center"/>
              <w:rPr>
                <w:lang w:val="es-ES_tradnl"/>
              </w:rPr>
            </w:pPr>
            <w:r w:rsidRPr="000341A5">
              <w:rPr>
                <w:rFonts w:ascii="Arial" w:hAnsi="Arial" w:cs="Arial"/>
                <w:sz w:val="20"/>
                <w:szCs w:val="20"/>
                <w:lang w:val="es-ES_tradnl"/>
              </w:rPr>
              <w:t>2018</w:t>
            </w:r>
          </w:p>
        </w:tc>
        <w:tc>
          <w:tcPr>
            <w:tcW w:w="3270" w:type="dxa"/>
            <w:vAlign w:val="center"/>
          </w:tcPr>
          <w:p w14:paraId="77548748" w14:textId="5D2364D2" w:rsidR="003852E9" w:rsidRPr="001F01A7" w:rsidRDefault="003852E9" w:rsidP="003852E9">
            <w:pPr>
              <w:spacing w:before="60" w:after="60"/>
              <w:jc w:val="both"/>
              <w:rPr>
                <w:sz w:val="20"/>
                <w:szCs w:val="20"/>
                <w:lang w:val="es-ES"/>
              </w:rPr>
            </w:pPr>
            <w:r w:rsidRPr="00882071">
              <w:rPr>
                <w:rFonts w:ascii="Arial" w:hAnsi="Arial" w:cs="Arial"/>
                <w:spacing w:val="-2"/>
                <w:sz w:val="18"/>
                <w:szCs w:val="18"/>
                <w:lang w:val="es-ES_tradnl"/>
              </w:rPr>
              <w:t>Suscripción de Convenio de Colaboración entre ACP y AMP evidenciando la integración de los sistemas y formalizando el lanzamiento de la VUMPA</w:t>
            </w:r>
            <w:r w:rsidRPr="00AB6D09">
              <w:rPr>
                <w:rFonts w:ascii="Arial" w:hAnsi="Arial" w:cs="Arial"/>
                <w:sz w:val="20"/>
                <w:szCs w:val="20"/>
                <w:lang w:val="es-ES_tradnl"/>
              </w:rPr>
              <w:t xml:space="preserve"> </w:t>
            </w:r>
          </w:p>
        </w:tc>
        <w:tc>
          <w:tcPr>
            <w:tcW w:w="1855" w:type="dxa"/>
            <w:vMerge/>
          </w:tcPr>
          <w:p w14:paraId="00D6C5DA" w14:textId="77777777" w:rsidR="003852E9" w:rsidRPr="00DE3A7D" w:rsidRDefault="003852E9" w:rsidP="003852E9">
            <w:pPr>
              <w:contextualSpacing/>
              <w:jc w:val="both"/>
              <w:rPr>
                <w:sz w:val="20"/>
                <w:szCs w:val="20"/>
                <w:lang w:val="es-ES"/>
              </w:rPr>
            </w:pPr>
          </w:p>
        </w:tc>
      </w:tr>
      <w:tr w:rsidR="003852E9" w:rsidRPr="000F3F6A" w14:paraId="69C92D47" w14:textId="77777777" w:rsidTr="00583C33">
        <w:trPr>
          <w:trHeight w:hRule="exact" w:val="1621"/>
          <w:jc w:val="center"/>
        </w:trPr>
        <w:tc>
          <w:tcPr>
            <w:tcW w:w="3491" w:type="dxa"/>
            <w:vAlign w:val="center"/>
          </w:tcPr>
          <w:p w14:paraId="6ABB5EBD" w14:textId="6B18DDA5" w:rsidR="003852E9" w:rsidRPr="00DE3A7D"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lastRenderedPageBreak/>
              <w:t>3.8</w:t>
            </w:r>
            <w:r w:rsidRPr="006E2244">
              <w:rPr>
                <w:rFonts w:ascii="Arial" w:hAnsi="Arial" w:cs="Arial"/>
                <w:spacing w:val="-2"/>
                <w:sz w:val="18"/>
                <w:szCs w:val="18"/>
                <w:lang w:val="es-ES_tradnl"/>
              </w:rPr>
              <w:t xml:space="preserve"> </w:t>
            </w:r>
            <w:r>
              <w:rPr>
                <w:rFonts w:ascii="Arial" w:hAnsi="Arial" w:cs="Arial"/>
                <w:spacing w:val="-2"/>
                <w:sz w:val="18"/>
                <w:szCs w:val="18"/>
                <w:lang w:val="es-ES_tradnl"/>
              </w:rPr>
              <w:t xml:space="preserve">Normativa que ratifica los compromisos del convenio </w:t>
            </w:r>
            <w:r>
              <w:rPr>
                <w:rFonts w:ascii="Arial" w:hAnsi="Arial" w:cs="Arial"/>
                <w:color w:val="000000"/>
                <w:sz w:val="18"/>
                <w:szCs w:val="18"/>
                <w:lang w:val="es-PA"/>
              </w:rPr>
              <w:t>FAL 65 de facilitación del tráfico marítimo de mercancías aprobada</w:t>
            </w:r>
          </w:p>
        </w:tc>
        <w:tc>
          <w:tcPr>
            <w:tcW w:w="1261" w:type="dxa"/>
          </w:tcPr>
          <w:p w14:paraId="312E77E4" w14:textId="33FBE8EB" w:rsidR="003852E9" w:rsidRDefault="003852E9" w:rsidP="003852E9">
            <w:pPr>
              <w:jc w:val="center"/>
            </w:pPr>
            <w:r w:rsidRPr="000341A5">
              <w:rPr>
                <w:rFonts w:ascii="Arial" w:hAnsi="Arial" w:cs="Arial"/>
                <w:sz w:val="20"/>
                <w:szCs w:val="20"/>
                <w:lang w:val="es-ES_tradnl"/>
              </w:rPr>
              <w:t>2018</w:t>
            </w:r>
          </w:p>
        </w:tc>
        <w:tc>
          <w:tcPr>
            <w:tcW w:w="3270" w:type="dxa"/>
            <w:vAlign w:val="center"/>
          </w:tcPr>
          <w:p w14:paraId="5EBA29A3" w14:textId="025E7011" w:rsidR="003852E9" w:rsidRPr="001F01A7" w:rsidRDefault="003852E9" w:rsidP="003852E9">
            <w:pPr>
              <w:contextualSpacing/>
              <w:jc w:val="both"/>
              <w:rPr>
                <w:sz w:val="20"/>
                <w:szCs w:val="20"/>
                <w:lang w:val="es-ES"/>
              </w:rPr>
            </w:pPr>
            <w:r w:rsidRPr="00882071">
              <w:rPr>
                <w:rFonts w:ascii="Arial" w:hAnsi="Arial" w:cs="Arial"/>
                <w:color w:val="000000"/>
                <w:sz w:val="18"/>
                <w:szCs w:val="18"/>
                <w:lang w:val="es-PA"/>
              </w:rPr>
              <w:t>Decreto del Poder Ejecutivo estableciendo disposiciones para dar cumplimiento al convenio FAL 65.</w:t>
            </w:r>
            <w:r>
              <w:rPr>
                <w:rFonts w:ascii="Arial" w:hAnsi="Arial" w:cs="Arial"/>
                <w:sz w:val="20"/>
                <w:szCs w:val="20"/>
                <w:lang w:val="es-ES_tradnl"/>
              </w:rPr>
              <w:t xml:space="preserve"> </w:t>
            </w:r>
          </w:p>
        </w:tc>
        <w:tc>
          <w:tcPr>
            <w:tcW w:w="1855" w:type="dxa"/>
            <w:vMerge/>
          </w:tcPr>
          <w:p w14:paraId="26DC3AD1" w14:textId="77777777" w:rsidR="003852E9" w:rsidRPr="00DE3A7D" w:rsidRDefault="003852E9" w:rsidP="003852E9">
            <w:pPr>
              <w:contextualSpacing/>
              <w:jc w:val="both"/>
              <w:rPr>
                <w:sz w:val="20"/>
                <w:szCs w:val="20"/>
                <w:lang w:val="es-ES"/>
              </w:rPr>
            </w:pPr>
          </w:p>
        </w:tc>
      </w:tr>
      <w:tr w:rsidR="003852E9" w:rsidRPr="000F3F6A" w14:paraId="1D5C940B" w14:textId="77777777" w:rsidTr="00916118">
        <w:trPr>
          <w:trHeight w:hRule="exact" w:val="1792"/>
          <w:jc w:val="center"/>
        </w:trPr>
        <w:tc>
          <w:tcPr>
            <w:tcW w:w="3491" w:type="dxa"/>
            <w:vAlign w:val="center"/>
          </w:tcPr>
          <w:p w14:paraId="65DAF653" w14:textId="5C3FD838" w:rsidR="003852E9" w:rsidRPr="00DE3A7D" w:rsidRDefault="003852E9" w:rsidP="003852E9">
            <w:pPr>
              <w:tabs>
                <w:tab w:val="left" w:pos="267"/>
              </w:tabs>
              <w:ind w:left="125" w:hanging="142"/>
              <w:jc w:val="both"/>
              <w:rPr>
                <w:sz w:val="20"/>
                <w:szCs w:val="20"/>
                <w:lang w:val="es-ES"/>
              </w:rPr>
            </w:pPr>
            <w:bookmarkStart w:id="5" w:name="_Hlk504468200"/>
            <w:r>
              <w:rPr>
                <w:rFonts w:ascii="Arial" w:hAnsi="Arial" w:cs="Arial"/>
                <w:spacing w:val="-2"/>
                <w:sz w:val="18"/>
                <w:szCs w:val="18"/>
                <w:lang w:val="es-ES_tradnl"/>
              </w:rPr>
              <w:t>3.9 Tres m</w:t>
            </w:r>
            <w:r w:rsidRPr="006E2244">
              <w:rPr>
                <w:rFonts w:ascii="Arial" w:hAnsi="Arial" w:cs="Arial"/>
                <w:spacing w:val="-2"/>
                <w:sz w:val="18"/>
                <w:szCs w:val="18"/>
                <w:lang w:val="es-ES_tradnl"/>
              </w:rPr>
              <w:t xml:space="preserve">edidas de corto plazo acordadas </w:t>
            </w:r>
            <w:r>
              <w:rPr>
                <w:rFonts w:ascii="Arial" w:hAnsi="Arial" w:cs="Arial"/>
                <w:spacing w:val="-2"/>
                <w:sz w:val="18"/>
                <w:szCs w:val="18"/>
                <w:lang w:val="es-AR"/>
              </w:rPr>
              <w:t>por el COMIECO</w:t>
            </w:r>
            <w:bookmarkEnd w:id="5"/>
            <w:r>
              <w:rPr>
                <w:rFonts w:ascii="Arial" w:hAnsi="Arial" w:cs="Arial"/>
                <w:spacing w:val="-2"/>
                <w:sz w:val="18"/>
                <w:szCs w:val="18"/>
                <w:lang w:val="es-AR"/>
              </w:rPr>
              <w:t xml:space="preserve"> implementadas.</w:t>
            </w:r>
          </w:p>
        </w:tc>
        <w:tc>
          <w:tcPr>
            <w:tcW w:w="1261" w:type="dxa"/>
          </w:tcPr>
          <w:p w14:paraId="1C28BFD2" w14:textId="1856BEBA" w:rsidR="003852E9" w:rsidRPr="00A147A9" w:rsidRDefault="003852E9" w:rsidP="003852E9">
            <w:pPr>
              <w:jc w:val="center"/>
              <w:rPr>
                <w:lang w:val="es-ES_tradnl"/>
              </w:rPr>
            </w:pPr>
            <w:r w:rsidRPr="000341A5">
              <w:rPr>
                <w:rFonts w:ascii="Arial" w:hAnsi="Arial" w:cs="Arial"/>
                <w:sz w:val="20"/>
                <w:szCs w:val="20"/>
                <w:lang w:val="es-ES_tradnl"/>
              </w:rPr>
              <w:t>2018</w:t>
            </w:r>
          </w:p>
        </w:tc>
        <w:tc>
          <w:tcPr>
            <w:tcW w:w="3270" w:type="dxa"/>
            <w:vAlign w:val="center"/>
          </w:tcPr>
          <w:p w14:paraId="6253A3D1" w14:textId="779D366A" w:rsidR="003852E9" w:rsidRPr="001F01A7" w:rsidRDefault="003852E9" w:rsidP="003852E9">
            <w:pPr>
              <w:contextualSpacing/>
              <w:jc w:val="both"/>
              <w:rPr>
                <w:sz w:val="20"/>
                <w:szCs w:val="20"/>
                <w:lang w:val="es-ES"/>
              </w:rPr>
            </w:pPr>
            <w:r w:rsidRPr="00882071">
              <w:rPr>
                <w:rFonts w:ascii="Arial" w:hAnsi="Arial" w:cs="Arial"/>
                <w:sz w:val="18"/>
                <w:szCs w:val="18"/>
                <w:lang w:val="es-ES_tradnl"/>
              </w:rPr>
              <w:t>Resolución</w:t>
            </w:r>
            <w:r w:rsidRPr="00882071">
              <w:rPr>
                <w:rFonts w:ascii="Arial" w:hAnsi="Arial" w:cs="Arial"/>
                <w:sz w:val="18"/>
                <w:szCs w:val="18"/>
                <w:lang w:val="es-AR"/>
              </w:rPr>
              <w:t xml:space="preserve"> de la</w:t>
            </w:r>
            <w:r w:rsidRPr="00882071">
              <w:rPr>
                <w:rFonts w:ascii="Arial" w:hAnsi="Arial" w:cs="Arial"/>
                <w:sz w:val="18"/>
                <w:szCs w:val="18"/>
                <w:lang w:val="es-ES_tradnl"/>
              </w:rPr>
              <w:t xml:space="preserve"> ANA certificando la implementación de al menos 3 medidas acordadas por el COMIECO</w:t>
            </w:r>
            <w:r w:rsidR="004D2F87">
              <w:rPr>
                <w:rFonts w:ascii="Arial" w:hAnsi="Arial" w:cs="Arial"/>
                <w:sz w:val="18"/>
                <w:szCs w:val="18"/>
                <w:lang w:val="es-ES_tradnl"/>
              </w:rPr>
              <w:t xml:space="preserve">: </w:t>
            </w:r>
            <w:r w:rsidR="004D2F87" w:rsidRPr="006327CD">
              <w:rPr>
                <w:rFonts w:ascii="Arial" w:hAnsi="Arial" w:cs="Arial"/>
                <w:sz w:val="18"/>
                <w:szCs w:val="18"/>
                <w:lang w:val="es-AR"/>
              </w:rPr>
              <w:t>la instalación de la tecnología de radio frecuencia; el uso de la Declaración Única Centroamericana (DUCA) y recepción e implementación de cámaras de video en los puntos fronterizos</w:t>
            </w:r>
            <w:r w:rsidRPr="00882071">
              <w:rPr>
                <w:rFonts w:ascii="Arial" w:hAnsi="Arial" w:cs="Arial"/>
                <w:sz w:val="18"/>
                <w:szCs w:val="18"/>
                <w:lang w:val="es-ES_tradnl"/>
              </w:rPr>
              <w:t>.</w:t>
            </w:r>
          </w:p>
        </w:tc>
        <w:tc>
          <w:tcPr>
            <w:tcW w:w="1855" w:type="dxa"/>
            <w:vMerge/>
          </w:tcPr>
          <w:p w14:paraId="3DC08289" w14:textId="77777777" w:rsidR="003852E9" w:rsidRPr="00DE3A7D" w:rsidRDefault="003852E9" w:rsidP="003852E9">
            <w:pPr>
              <w:contextualSpacing/>
              <w:jc w:val="both"/>
              <w:rPr>
                <w:sz w:val="20"/>
                <w:szCs w:val="20"/>
                <w:lang w:val="es-ES"/>
              </w:rPr>
            </w:pPr>
          </w:p>
        </w:tc>
      </w:tr>
      <w:tr w:rsidR="003852E9" w:rsidRPr="000F3F6A" w14:paraId="035EDBF9" w14:textId="77777777" w:rsidTr="00916118">
        <w:trPr>
          <w:trHeight w:hRule="exact" w:val="3061"/>
          <w:jc w:val="center"/>
        </w:trPr>
        <w:tc>
          <w:tcPr>
            <w:tcW w:w="3491" w:type="dxa"/>
            <w:vAlign w:val="center"/>
          </w:tcPr>
          <w:p w14:paraId="03A82E69" w14:textId="72C73FD2" w:rsidR="003852E9" w:rsidRPr="00DE3A7D"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t>3.10</w:t>
            </w:r>
            <w:r w:rsidRPr="006E2244">
              <w:rPr>
                <w:rFonts w:ascii="Arial" w:hAnsi="Arial" w:cs="Arial"/>
                <w:spacing w:val="-2"/>
                <w:sz w:val="18"/>
                <w:szCs w:val="18"/>
                <w:lang w:val="es-ES_tradnl"/>
              </w:rPr>
              <w:t xml:space="preserve"> Auditoría funcional </w:t>
            </w:r>
            <w:r>
              <w:rPr>
                <w:rFonts w:ascii="Arial" w:hAnsi="Arial" w:cs="Arial"/>
                <w:spacing w:val="-2"/>
                <w:sz w:val="18"/>
                <w:szCs w:val="18"/>
                <w:lang w:val="es-ES_tradnl"/>
              </w:rPr>
              <w:t>de</w:t>
            </w:r>
            <w:r w:rsidRPr="006E2244">
              <w:rPr>
                <w:rFonts w:ascii="Arial" w:hAnsi="Arial" w:cs="Arial"/>
                <w:spacing w:val="-2"/>
                <w:sz w:val="18"/>
                <w:szCs w:val="18"/>
                <w:lang w:val="es-ES_tradnl"/>
              </w:rPr>
              <w:t xml:space="preserve"> la plataforma SIGA y VUCE que evalúa la alineación con los procesos estipulados en el marco de integración regional centroamericano (CAUCA, RECAUCA) </w:t>
            </w:r>
            <w:r>
              <w:rPr>
                <w:rFonts w:ascii="Arial" w:hAnsi="Arial" w:cs="Arial"/>
                <w:spacing w:val="-2"/>
                <w:sz w:val="18"/>
                <w:szCs w:val="18"/>
                <w:lang w:val="es-ES_tradnl"/>
              </w:rPr>
              <w:t>realizada</w:t>
            </w:r>
          </w:p>
        </w:tc>
        <w:tc>
          <w:tcPr>
            <w:tcW w:w="1261" w:type="dxa"/>
          </w:tcPr>
          <w:p w14:paraId="66091F66" w14:textId="60E843D0" w:rsidR="003852E9" w:rsidRPr="00A147A9" w:rsidRDefault="003852E9" w:rsidP="003852E9">
            <w:pPr>
              <w:jc w:val="center"/>
              <w:rPr>
                <w:lang w:val="es-ES_tradnl"/>
              </w:rPr>
            </w:pPr>
            <w:r w:rsidRPr="000341A5">
              <w:rPr>
                <w:rFonts w:ascii="Arial" w:hAnsi="Arial" w:cs="Arial"/>
                <w:sz w:val="20"/>
                <w:szCs w:val="20"/>
                <w:lang w:val="es-ES_tradnl"/>
              </w:rPr>
              <w:t>2018</w:t>
            </w:r>
          </w:p>
        </w:tc>
        <w:tc>
          <w:tcPr>
            <w:tcW w:w="3270" w:type="dxa"/>
            <w:vAlign w:val="center"/>
          </w:tcPr>
          <w:p w14:paraId="5E0E2EE0" w14:textId="0E592A2B" w:rsidR="003852E9" w:rsidRPr="001F01A7" w:rsidRDefault="003852E9" w:rsidP="003852E9">
            <w:pPr>
              <w:contextualSpacing/>
              <w:jc w:val="both"/>
              <w:rPr>
                <w:sz w:val="20"/>
                <w:szCs w:val="20"/>
                <w:lang w:val="es-ES"/>
              </w:rPr>
            </w:pPr>
            <w:r w:rsidRPr="00882071">
              <w:rPr>
                <w:rFonts w:ascii="Arial" w:hAnsi="Arial" w:cs="Arial"/>
                <w:spacing w:val="-2"/>
                <w:sz w:val="18"/>
                <w:szCs w:val="18"/>
                <w:lang w:val="es-ES_tradnl"/>
              </w:rPr>
              <w:t>Auditoría AIG a la plataforma SIGA y VUCE evaluando la alineación con los procesos CAUCA Y RECAUCA</w:t>
            </w:r>
          </w:p>
        </w:tc>
        <w:tc>
          <w:tcPr>
            <w:tcW w:w="1855" w:type="dxa"/>
            <w:vMerge/>
          </w:tcPr>
          <w:p w14:paraId="61292AE1" w14:textId="77777777" w:rsidR="003852E9" w:rsidRPr="00DE3A7D" w:rsidRDefault="003852E9" w:rsidP="003852E9">
            <w:pPr>
              <w:contextualSpacing/>
              <w:jc w:val="both"/>
              <w:rPr>
                <w:sz w:val="20"/>
                <w:szCs w:val="20"/>
                <w:lang w:val="es-ES"/>
              </w:rPr>
            </w:pPr>
          </w:p>
        </w:tc>
      </w:tr>
      <w:tr w:rsidR="003852E9" w:rsidRPr="000F3F6A" w14:paraId="38DDDBEF" w14:textId="77777777" w:rsidTr="00916118">
        <w:trPr>
          <w:trHeight w:hRule="exact" w:val="2233"/>
          <w:jc w:val="center"/>
        </w:trPr>
        <w:tc>
          <w:tcPr>
            <w:tcW w:w="3491" w:type="dxa"/>
            <w:vAlign w:val="center"/>
          </w:tcPr>
          <w:p w14:paraId="692997F3" w14:textId="3690A37A" w:rsidR="003852E9" w:rsidRPr="00DE3A7D" w:rsidRDefault="003852E9" w:rsidP="003852E9">
            <w:pPr>
              <w:tabs>
                <w:tab w:val="left" w:pos="267"/>
              </w:tabs>
              <w:ind w:left="125" w:hanging="142"/>
              <w:jc w:val="both"/>
              <w:rPr>
                <w:sz w:val="20"/>
                <w:szCs w:val="20"/>
                <w:lang w:val="es-ES"/>
              </w:rPr>
            </w:pPr>
            <w:r>
              <w:rPr>
                <w:rFonts w:ascii="Arial" w:hAnsi="Arial" w:cs="Arial"/>
                <w:sz w:val="18"/>
                <w:szCs w:val="18"/>
                <w:lang w:val="es-ES_tradnl"/>
              </w:rPr>
              <w:t xml:space="preserve">3.11 Módulo de transbordo incorporado a la plataforma SIGA </w:t>
            </w:r>
          </w:p>
        </w:tc>
        <w:tc>
          <w:tcPr>
            <w:tcW w:w="1261" w:type="dxa"/>
          </w:tcPr>
          <w:p w14:paraId="7BB743D4" w14:textId="65DC50C4" w:rsidR="003852E9" w:rsidRPr="005E4065" w:rsidRDefault="003852E9" w:rsidP="003852E9">
            <w:pPr>
              <w:jc w:val="center"/>
              <w:rPr>
                <w:lang w:val="es-ES_tradnl"/>
              </w:rPr>
            </w:pPr>
            <w:r w:rsidRPr="000341A5">
              <w:rPr>
                <w:rFonts w:ascii="Arial" w:hAnsi="Arial" w:cs="Arial"/>
                <w:sz w:val="20"/>
                <w:szCs w:val="20"/>
                <w:lang w:val="es-ES_tradnl"/>
              </w:rPr>
              <w:t>2018</w:t>
            </w:r>
          </w:p>
        </w:tc>
        <w:tc>
          <w:tcPr>
            <w:tcW w:w="3270" w:type="dxa"/>
            <w:vAlign w:val="center"/>
          </w:tcPr>
          <w:p w14:paraId="2EDBCA8B" w14:textId="51F55684" w:rsidR="003852E9" w:rsidRPr="001F01A7" w:rsidRDefault="003852E9" w:rsidP="003852E9">
            <w:pPr>
              <w:contextualSpacing/>
              <w:jc w:val="both"/>
              <w:rPr>
                <w:sz w:val="20"/>
                <w:szCs w:val="20"/>
                <w:lang w:val="es-ES"/>
              </w:rPr>
            </w:pPr>
            <w:r w:rsidRPr="00882071">
              <w:rPr>
                <w:rFonts w:ascii="Arial" w:hAnsi="Arial" w:cs="Arial"/>
                <w:sz w:val="18"/>
                <w:szCs w:val="18"/>
                <w:lang w:val="es-ES_tradnl"/>
              </w:rPr>
              <w:t>Nota Técnica de Aduana que describe los cambios incorporados al sistema a fin de incorporarse a la plataforma SIGA en los temas relacionados con transbordo.</w:t>
            </w:r>
          </w:p>
        </w:tc>
        <w:tc>
          <w:tcPr>
            <w:tcW w:w="1855" w:type="dxa"/>
            <w:vMerge/>
          </w:tcPr>
          <w:p w14:paraId="40F60300" w14:textId="77777777" w:rsidR="003852E9" w:rsidRPr="00DE3A7D" w:rsidRDefault="003852E9" w:rsidP="003852E9">
            <w:pPr>
              <w:contextualSpacing/>
              <w:jc w:val="both"/>
              <w:rPr>
                <w:sz w:val="20"/>
                <w:szCs w:val="20"/>
                <w:lang w:val="es-ES"/>
              </w:rPr>
            </w:pPr>
          </w:p>
        </w:tc>
      </w:tr>
      <w:tr w:rsidR="003852E9" w:rsidRPr="00D00554" w14:paraId="6160E526" w14:textId="77777777" w:rsidTr="00916118">
        <w:trPr>
          <w:trHeight w:hRule="exact" w:val="2305"/>
          <w:jc w:val="center"/>
        </w:trPr>
        <w:tc>
          <w:tcPr>
            <w:tcW w:w="3491" w:type="dxa"/>
            <w:vAlign w:val="center"/>
          </w:tcPr>
          <w:p w14:paraId="324B3DDC" w14:textId="7171E745" w:rsidR="003852E9" w:rsidRPr="00DE3A7D"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t>3.12 Contrato para la implementación de la Plataforma Tecnológica para la integración de los Sistemas de Logística y Comercio Exterior</w:t>
            </w:r>
            <w:r w:rsidRPr="006E2244">
              <w:rPr>
                <w:rFonts w:ascii="Arial" w:hAnsi="Arial" w:cs="Arial"/>
                <w:spacing w:val="-2"/>
                <w:sz w:val="18"/>
                <w:szCs w:val="18"/>
                <w:lang w:val="es-ES_tradnl"/>
              </w:rPr>
              <w:t xml:space="preserve"> </w:t>
            </w:r>
            <w:r>
              <w:rPr>
                <w:rFonts w:ascii="Arial" w:hAnsi="Arial" w:cs="Arial"/>
                <w:spacing w:val="-2"/>
                <w:sz w:val="18"/>
                <w:szCs w:val="18"/>
                <w:lang w:val="es-ES_tradnl"/>
              </w:rPr>
              <w:t>refrendado por la Contraloría</w:t>
            </w:r>
          </w:p>
        </w:tc>
        <w:tc>
          <w:tcPr>
            <w:tcW w:w="1261" w:type="dxa"/>
          </w:tcPr>
          <w:p w14:paraId="0B90F931" w14:textId="39C2360E" w:rsidR="003852E9" w:rsidRDefault="003852E9" w:rsidP="003852E9">
            <w:pPr>
              <w:jc w:val="center"/>
            </w:pPr>
            <w:r w:rsidRPr="000341A5">
              <w:rPr>
                <w:rFonts w:ascii="Arial" w:hAnsi="Arial" w:cs="Arial"/>
                <w:sz w:val="20"/>
                <w:szCs w:val="20"/>
                <w:lang w:val="es-ES_tradnl"/>
              </w:rPr>
              <w:t>2018</w:t>
            </w:r>
          </w:p>
        </w:tc>
        <w:tc>
          <w:tcPr>
            <w:tcW w:w="3270" w:type="dxa"/>
            <w:vAlign w:val="center"/>
          </w:tcPr>
          <w:p w14:paraId="61CD2BAF" w14:textId="3CF1C5BD" w:rsidR="003852E9" w:rsidRPr="00916118" w:rsidRDefault="003852E9" w:rsidP="003852E9">
            <w:pPr>
              <w:pStyle w:val="ListParagraph"/>
              <w:suppressAutoHyphens/>
              <w:spacing w:before="60" w:after="60"/>
              <w:ind w:left="162"/>
              <w:rPr>
                <w:rFonts w:ascii="Arial" w:hAnsi="Arial" w:cs="Arial"/>
                <w:sz w:val="18"/>
                <w:szCs w:val="18"/>
                <w:lang w:val="es-ES_tradnl"/>
              </w:rPr>
            </w:pPr>
            <w:r w:rsidRPr="00916118">
              <w:rPr>
                <w:rFonts w:ascii="Arial" w:hAnsi="Arial" w:cs="Arial"/>
                <w:sz w:val="18"/>
                <w:szCs w:val="18"/>
                <w:lang w:val="es-ES_tradnl"/>
              </w:rPr>
              <w:t xml:space="preserve">Refrendo de Contraloría al Contrato de Servicios de Plataforma </w:t>
            </w:r>
            <w:r w:rsidR="009B393E" w:rsidRPr="00916118">
              <w:rPr>
                <w:rFonts w:ascii="Arial" w:hAnsi="Arial" w:cs="Arial"/>
                <w:sz w:val="18"/>
                <w:szCs w:val="18"/>
                <w:lang w:val="es-ES_tradnl"/>
              </w:rPr>
              <w:t>Tecnológica</w:t>
            </w:r>
            <w:r w:rsidRPr="00916118">
              <w:rPr>
                <w:rFonts w:ascii="Arial" w:hAnsi="Arial" w:cs="Arial"/>
                <w:sz w:val="18"/>
                <w:szCs w:val="18"/>
                <w:lang w:val="es-ES_tradnl"/>
              </w:rPr>
              <w:t xml:space="preserve"> para la Integración de los Sistemas de Logística y de Comercio </w:t>
            </w:r>
            <w:proofErr w:type="gramStart"/>
            <w:r w:rsidRPr="00916118">
              <w:rPr>
                <w:rFonts w:ascii="Arial" w:hAnsi="Arial" w:cs="Arial"/>
                <w:sz w:val="18"/>
                <w:szCs w:val="18"/>
                <w:lang w:val="es-ES_tradnl"/>
              </w:rPr>
              <w:t>Exterior .</w:t>
            </w:r>
            <w:proofErr w:type="gramEnd"/>
          </w:p>
          <w:p w14:paraId="53B47F3A" w14:textId="2DED19DF" w:rsidR="003852E9" w:rsidRPr="001F01A7" w:rsidRDefault="003852E9" w:rsidP="003852E9">
            <w:pPr>
              <w:contextualSpacing/>
              <w:jc w:val="both"/>
              <w:rPr>
                <w:sz w:val="20"/>
                <w:szCs w:val="20"/>
                <w:lang w:val="es-ES"/>
              </w:rPr>
            </w:pPr>
          </w:p>
        </w:tc>
        <w:tc>
          <w:tcPr>
            <w:tcW w:w="1855" w:type="dxa"/>
            <w:vMerge/>
          </w:tcPr>
          <w:p w14:paraId="4E81B746" w14:textId="77777777" w:rsidR="003852E9" w:rsidRPr="00DE3A7D" w:rsidRDefault="003852E9" w:rsidP="003852E9">
            <w:pPr>
              <w:contextualSpacing/>
              <w:jc w:val="both"/>
              <w:rPr>
                <w:sz w:val="20"/>
                <w:szCs w:val="20"/>
                <w:lang w:val="es-ES"/>
              </w:rPr>
            </w:pPr>
          </w:p>
        </w:tc>
      </w:tr>
      <w:tr w:rsidR="003852E9" w:rsidRPr="000F3F6A" w14:paraId="52F9274E" w14:textId="77777777" w:rsidTr="00916118">
        <w:trPr>
          <w:trHeight w:hRule="exact" w:val="901"/>
          <w:jc w:val="center"/>
        </w:trPr>
        <w:tc>
          <w:tcPr>
            <w:tcW w:w="3491" w:type="dxa"/>
            <w:vAlign w:val="center"/>
          </w:tcPr>
          <w:p w14:paraId="5D43D226" w14:textId="1B4D0AE3" w:rsidR="003852E9" w:rsidRPr="00DE3A7D"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t>3.13 Informe de e</w:t>
            </w:r>
            <w:r w:rsidRPr="006E2244">
              <w:rPr>
                <w:rFonts w:ascii="Arial" w:hAnsi="Arial" w:cs="Arial"/>
                <w:spacing w:val="-2"/>
                <w:sz w:val="18"/>
                <w:szCs w:val="18"/>
                <w:lang w:val="es-ES_tradnl"/>
              </w:rPr>
              <w:t xml:space="preserve">valuación de acciones y resultados del esquema de intercambio de información estadística entre la AMP y la ANA </w:t>
            </w:r>
            <w:r>
              <w:rPr>
                <w:rFonts w:ascii="Arial" w:hAnsi="Arial" w:cs="Arial"/>
                <w:spacing w:val="-2"/>
                <w:sz w:val="18"/>
                <w:szCs w:val="18"/>
                <w:lang w:val="es-ES_tradnl"/>
              </w:rPr>
              <w:t>aprobado</w:t>
            </w:r>
          </w:p>
        </w:tc>
        <w:tc>
          <w:tcPr>
            <w:tcW w:w="1261" w:type="dxa"/>
          </w:tcPr>
          <w:p w14:paraId="0DE1D280" w14:textId="75A76121" w:rsidR="003852E9" w:rsidRDefault="003852E9" w:rsidP="003852E9">
            <w:pPr>
              <w:jc w:val="center"/>
            </w:pPr>
            <w:r w:rsidRPr="000341A5">
              <w:rPr>
                <w:rFonts w:ascii="Arial" w:hAnsi="Arial" w:cs="Arial"/>
                <w:sz w:val="20"/>
                <w:szCs w:val="20"/>
                <w:lang w:val="es-ES_tradnl"/>
              </w:rPr>
              <w:t>2018</w:t>
            </w:r>
          </w:p>
        </w:tc>
        <w:tc>
          <w:tcPr>
            <w:tcW w:w="3270" w:type="dxa"/>
            <w:vAlign w:val="center"/>
          </w:tcPr>
          <w:p w14:paraId="2B55320C" w14:textId="314637CF" w:rsidR="003852E9" w:rsidRPr="001F01A7" w:rsidRDefault="003852E9" w:rsidP="003852E9">
            <w:pPr>
              <w:suppressAutoHyphens/>
              <w:spacing w:before="60" w:after="60"/>
              <w:ind w:left="-18" w:firstLine="8"/>
              <w:jc w:val="both"/>
              <w:rPr>
                <w:sz w:val="20"/>
                <w:szCs w:val="20"/>
                <w:lang w:val="es-ES"/>
              </w:rPr>
            </w:pPr>
            <w:r w:rsidRPr="00882071">
              <w:rPr>
                <w:rFonts w:ascii="Arial" w:hAnsi="Arial" w:cs="Arial"/>
                <w:sz w:val="18"/>
                <w:szCs w:val="18"/>
                <w:lang w:val="es-ES_tradnl"/>
              </w:rPr>
              <w:t>Nota de AMP aprobando el Informe de Evaluación de acciones que releve el intercambio de información estadística con la ANA.</w:t>
            </w:r>
          </w:p>
        </w:tc>
        <w:tc>
          <w:tcPr>
            <w:tcW w:w="1855" w:type="dxa"/>
            <w:vMerge/>
          </w:tcPr>
          <w:p w14:paraId="7E6DBD03" w14:textId="77777777" w:rsidR="003852E9" w:rsidRPr="00DE3A7D" w:rsidRDefault="003852E9" w:rsidP="003852E9">
            <w:pPr>
              <w:contextualSpacing/>
              <w:jc w:val="both"/>
              <w:rPr>
                <w:sz w:val="20"/>
                <w:szCs w:val="20"/>
                <w:lang w:val="es-ES"/>
              </w:rPr>
            </w:pPr>
          </w:p>
        </w:tc>
      </w:tr>
      <w:tr w:rsidR="003852E9" w:rsidRPr="000F3F6A" w14:paraId="3A754CE8" w14:textId="77777777" w:rsidTr="00916118">
        <w:trPr>
          <w:trHeight w:hRule="exact" w:val="901"/>
          <w:jc w:val="center"/>
        </w:trPr>
        <w:tc>
          <w:tcPr>
            <w:tcW w:w="3491" w:type="dxa"/>
            <w:vAlign w:val="center"/>
          </w:tcPr>
          <w:p w14:paraId="39D3CA50" w14:textId="4160ECBF" w:rsidR="003852E9" w:rsidRDefault="003852E9" w:rsidP="003852E9">
            <w:pPr>
              <w:tabs>
                <w:tab w:val="left" w:pos="267"/>
              </w:tabs>
              <w:ind w:left="125" w:hanging="142"/>
              <w:jc w:val="both"/>
              <w:rPr>
                <w:sz w:val="20"/>
                <w:szCs w:val="20"/>
                <w:lang w:val="es-ES"/>
              </w:rPr>
            </w:pPr>
            <w:r>
              <w:rPr>
                <w:rFonts w:ascii="Arial" w:hAnsi="Arial" w:cs="Arial"/>
                <w:spacing w:val="-2"/>
                <w:sz w:val="18"/>
                <w:szCs w:val="18"/>
                <w:lang w:val="es-ES_tradnl"/>
              </w:rPr>
              <w:lastRenderedPageBreak/>
              <w:t xml:space="preserve">3.14 Plan piloto de capacitación </w:t>
            </w:r>
            <w:r w:rsidRPr="00AB6D09">
              <w:rPr>
                <w:rFonts w:ascii="Arial" w:hAnsi="Arial" w:cs="Arial"/>
                <w:spacing w:val="-2"/>
                <w:sz w:val="18"/>
                <w:szCs w:val="18"/>
                <w:lang w:val="es-ES_tradnl"/>
              </w:rPr>
              <w:t xml:space="preserve">en logística </w:t>
            </w:r>
            <w:r>
              <w:rPr>
                <w:rFonts w:ascii="Arial" w:hAnsi="Arial" w:cs="Arial"/>
                <w:spacing w:val="-2"/>
                <w:sz w:val="18"/>
                <w:szCs w:val="18"/>
                <w:lang w:val="es-ES_tradnl"/>
              </w:rPr>
              <w:t>incorporado a las mesas de trabajo e implementado.</w:t>
            </w:r>
          </w:p>
        </w:tc>
        <w:tc>
          <w:tcPr>
            <w:tcW w:w="1261" w:type="dxa"/>
          </w:tcPr>
          <w:p w14:paraId="0D05438B" w14:textId="3E673A52" w:rsidR="003852E9" w:rsidRPr="000F0476" w:rsidRDefault="003852E9" w:rsidP="003852E9">
            <w:pPr>
              <w:jc w:val="center"/>
              <w:rPr>
                <w:sz w:val="20"/>
                <w:szCs w:val="20"/>
                <w:lang w:val="es-ES"/>
              </w:rPr>
            </w:pPr>
            <w:r w:rsidRPr="000341A5">
              <w:rPr>
                <w:rFonts w:ascii="Arial" w:hAnsi="Arial" w:cs="Arial"/>
                <w:sz w:val="20"/>
                <w:szCs w:val="20"/>
                <w:lang w:val="es-ES_tradnl"/>
              </w:rPr>
              <w:t>2018</w:t>
            </w:r>
          </w:p>
        </w:tc>
        <w:tc>
          <w:tcPr>
            <w:tcW w:w="3270" w:type="dxa"/>
            <w:vAlign w:val="center"/>
          </w:tcPr>
          <w:p w14:paraId="19353AF3" w14:textId="77777777" w:rsidR="003852E9" w:rsidRPr="00916118" w:rsidRDefault="003852E9" w:rsidP="003852E9">
            <w:pPr>
              <w:pStyle w:val="ListParagraph"/>
              <w:suppressAutoHyphens/>
              <w:spacing w:before="60" w:after="60"/>
              <w:ind w:left="0"/>
              <w:jc w:val="both"/>
              <w:rPr>
                <w:rFonts w:ascii="Arial" w:hAnsi="Arial" w:cs="Arial"/>
                <w:sz w:val="18"/>
                <w:szCs w:val="18"/>
                <w:lang w:val="es-ES_tradnl"/>
              </w:rPr>
            </w:pPr>
            <w:r w:rsidRPr="00916118">
              <w:rPr>
                <w:rFonts w:ascii="Arial" w:hAnsi="Arial" w:cs="Arial"/>
                <w:sz w:val="18"/>
                <w:szCs w:val="18"/>
                <w:lang w:val="es-ES_tradnl"/>
              </w:rPr>
              <w:t xml:space="preserve">Aprobación de la Ley de creación del Instituto Técnico Superior Especializado a fin de impartir educación superior técnica orientada a la innovación y mejoramiento continuo.  </w:t>
            </w:r>
          </w:p>
          <w:p w14:paraId="1DFCF53A" w14:textId="2A2349FB" w:rsidR="003852E9" w:rsidRPr="001F01A7" w:rsidRDefault="003852E9" w:rsidP="003852E9">
            <w:pPr>
              <w:suppressAutoHyphens/>
              <w:spacing w:before="60" w:after="60"/>
              <w:ind w:left="-18" w:firstLine="8"/>
              <w:jc w:val="both"/>
              <w:rPr>
                <w:sz w:val="20"/>
                <w:szCs w:val="20"/>
                <w:lang w:val="es-ES_tradnl"/>
              </w:rPr>
            </w:pPr>
            <w:r w:rsidRPr="00916118">
              <w:rPr>
                <w:rFonts w:ascii="Arial" w:hAnsi="Arial" w:cs="Arial"/>
                <w:sz w:val="18"/>
                <w:szCs w:val="18"/>
                <w:lang w:val="es-ES_tradnl"/>
              </w:rPr>
              <w:t xml:space="preserve">Acta de la Mesa Sectorial Logística del ITSE implementando un plan de capacitación especializado en el sector. </w:t>
            </w:r>
            <w:r w:rsidRPr="00AB6D09">
              <w:rPr>
                <w:rFonts w:ascii="Arial" w:hAnsi="Arial" w:cs="Arial"/>
                <w:sz w:val="18"/>
                <w:szCs w:val="18"/>
                <w:lang w:val="es-ES_tradnl"/>
              </w:rPr>
              <w:t>.</w:t>
            </w:r>
          </w:p>
        </w:tc>
        <w:tc>
          <w:tcPr>
            <w:tcW w:w="1855" w:type="dxa"/>
          </w:tcPr>
          <w:p w14:paraId="0C5881B9" w14:textId="77777777" w:rsidR="003852E9" w:rsidRPr="00DE3A7D" w:rsidRDefault="003852E9" w:rsidP="003852E9">
            <w:pPr>
              <w:contextualSpacing/>
              <w:jc w:val="both"/>
              <w:rPr>
                <w:sz w:val="20"/>
                <w:szCs w:val="20"/>
                <w:lang w:val="es-ES"/>
              </w:rPr>
            </w:pPr>
          </w:p>
        </w:tc>
      </w:tr>
    </w:tbl>
    <w:p w14:paraId="3B65C80F" w14:textId="77777777" w:rsidR="00480F0A" w:rsidRPr="002D1B02" w:rsidRDefault="00480F0A" w:rsidP="001468FE">
      <w:pPr>
        <w:pStyle w:val="Title"/>
        <w:tabs>
          <w:tab w:val="clear" w:pos="1440"/>
          <w:tab w:val="clear" w:pos="3060"/>
        </w:tabs>
        <w:spacing w:before="120" w:after="120"/>
        <w:ind w:left="720"/>
        <w:jc w:val="both"/>
        <w:outlineLvl w:val="9"/>
      </w:pPr>
    </w:p>
    <w:p w14:paraId="4AB8B06E" w14:textId="77777777" w:rsidR="0047412F" w:rsidRDefault="002E2C7A" w:rsidP="00965C57">
      <w:pPr>
        <w:pStyle w:val="FirstHeading"/>
        <w:keepNext w:val="0"/>
        <w:widowControl w:val="0"/>
        <w:numPr>
          <w:ilvl w:val="0"/>
          <w:numId w:val="10"/>
        </w:numPr>
        <w:rPr>
          <w:szCs w:val="24"/>
        </w:rPr>
      </w:pPr>
      <w:r w:rsidRPr="002D1B02">
        <w:rPr>
          <w:szCs w:val="24"/>
        </w:rPr>
        <w:t>E</w:t>
      </w:r>
      <w:r w:rsidR="008874E7">
        <w:rPr>
          <w:szCs w:val="24"/>
        </w:rPr>
        <w:t>valuación</w:t>
      </w:r>
    </w:p>
    <w:p w14:paraId="2A5542A8" w14:textId="77777777" w:rsidR="00C66195" w:rsidRDefault="00C66195" w:rsidP="00C66195">
      <w:pPr>
        <w:pStyle w:val="ListParagraph"/>
        <w:numPr>
          <w:ilvl w:val="1"/>
          <w:numId w:val="10"/>
        </w:numPr>
        <w:spacing w:before="120" w:after="120"/>
        <w:ind w:left="450" w:hanging="450"/>
        <w:contextualSpacing w:val="0"/>
        <w:jc w:val="both"/>
        <w:rPr>
          <w:bCs/>
          <w:lang w:val="es-ES"/>
        </w:rPr>
      </w:pPr>
      <w:r w:rsidRPr="00B96E22">
        <w:rPr>
          <w:bCs/>
          <w:lang w:val="es-ES"/>
        </w:rPr>
        <w:t xml:space="preserve">El objetivo de la evaluación </w:t>
      </w:r>
      <w:r>
        <w:rPr>
          <w:bCs/>
          <w:lang w:val="es-ES"/>
        </w:rPr>
        <w:t xml:space="preserve">es verificar que: </w:t>
      </w:r>
    </w:p>
    <w:p w14:paraId="23EAE094" w14:textId="77777777" w:rsidR="00C66195" w:rsidRDefault="00C66195" w:rsidP="00C66195">
      <w:pPr>
        <w:pStyle w:val="ListParagraph"/>
        <w:numPr>
          <w:ilvl w:val="0"/>
          <w:numId w:val="11"/>
        </w:numPr>
        <w:spacing w:before="120" w:after="120"/>
        <w:contextualSpacing w:val="0"/>
        <w:jc w:val="both"/>
        <w:rPr>
          <w:bCs/>
          <w:lang w:val="es-ES"/>
        </w:rPr>
      </w:pPr>
      <w:bookmarkStart w:id="6" w:name="_Hlk510803057"/>
      <w:r>
        <w:rPr>
          <w:bCs/>
          <w:lang w:val="es-ES"/>
        </w:rPr>
        <w:t>los impactos y resultados del proyecto fueron alcanzado, a través de una evaluación reflexiva con base en la matriz de resultados;</w:t>
      </w:r>
    </w:p>
    <w:p w14:paraId="264A1B49" w14:textId="7A0A3220" w:rsidR="000F1D27" w:rsidRDefault="00C66195" w:rsidP="00C66195">
      <w:pPr>
        <w:pStyle w:val="ListParagraph"/>
        <w:numPr>
          <w:ilvl w:val="0"/>
          <w:numId w:val="11"/>
        </w:numPr>
        <w:spacing w:before="120" w:after="120"/>
        <w:contextualSpacing w:val="0"/>
        <w:jc w:val="both"/>
        <w:rPr>
          <w:bCs/>
          <w:lang w:val="es-ES"/>
        </w:rPr>
      </w:pPr>
      <w:r>
        <w:rPr>
          <w:bCs/>
          <w:lang w:val="es-ES"/>
        </w:rPr>
        <w:t xml:space="preserve">el proyecto generó un impacto en el </w:t>
      </w:r>
      <w:r w:rsidR="00274557">
        <w:rPr>
          <w:bCs/>
          <w:lang w:val="es-ES"/>
        </w:rPr>
        <w:t>Índice de Desempeño Logístico del Banco Mundial</w:t>
      </w:r>
      <w:r>
        <w:rPr>
          <w:bCs/>
          <w:lang w:val="es-ES"/>
        </w:rPr>
        <w:t>, a través de una evaluación de impacto utilizando el método de control sintético</w:t>
      </w:r>
      <w:bookmarkEnd w:id="6"/>
      <w:r>
        <w:rPr>
          <w:bCs/>
          <w:lang w:val="es-ES"/>
        </w:rPr>
        <w:t xml:space="preserve">. </w:t>
      </w:r>
    </w:p>
    <w:p w14:paraId="66B4F7A0" w14:textId="30F83416" w:rsidR="00C57F89" w:rsidRDefault="00C57F89">
      <w:pPr>
        <w:pStyle w:val="ListParagraph"/>
        <w:numPr>
          <w:ilvl w:val="1"/>
          <w:numId w:val="10"/>
        </w:numPr>
        <w:spacing w:before="120" w:after="120"/>
        <w:ind w:left="450" w:hanging="450"/>
        <w:contextualSpacing w:val="0"/>
        <w:jc w:val="both"/>
        <w:rPr>
          <w:bCs/>
          <w:lang w:val="es-ES"/>
        </w:rPr>
      </w:pPr>
      <w:r>
        <w:rPr>
          <w:bCs/>
          <w:lang w:val="es-ES"/>
        </w:rPr>
        <w:t xml:space="preserve">Como se mencionó </w:t>
      </w:r>
      <w:r w:rsidR="00274557">
        <w:rPr>
          <w:bCs/>
          <w:lang w:val="es-ES"/>
        </w:rPr>
        <w:t>anteriormente</w:t>
      </w:r>
      <w:r>
        <w:rPr>
          <w:bCs/>
          <w:lang w:val="es-ES"/>
        </w:rPr>
        <w:t xml:space="preserve">, las evaluaciones previstas serán realizadas considerando los resultados e impactos del periodo total de la serie programática. </w:t>
      </w:r>
    </w:p>
    <w:p w14:paraId="61D19816" w14:textId="19ABCA6B" w:rsidR="00C66195" w:rsidRDefault="00C66195">
      <w:pPr>
        <w:pStyle w:val="ListParagraph"/>
        <w:numPr>
          <w:ilvl w:val="1"/>
          <w:numId w:val="10"/>
        </w:numPr>
        <w:spacing w:before="120" w:after="120"/>
        <w:ind w:left="450" w:hanging="450"/>
        <w:contextualSpacing w:val="0"/>
        <w:jc w:val="both"/>
        <w:rPr>
          <w:bCs/>
          <w:lang w:val="es-ES"/>
        </w:rPr>
      </w:pPr>
      <w:r>
        <w:rPr>
          <w:bCs/>
          <w:lang w:val="es-ES"/>
        </w:rPr>
        <w:t xml:space="preserve">La evaluación reflexiva será realizada por el Ministerio de Economía y Finanzas con el apoyo del BID, y para la </w:t>
      </w:r>
      <w:r w:rsidRPr="00916118">
        <w:rPr>
          <w:bCs/>
          <w:highlight w:val="yellow"/>
          <w:lang w:val="es-ES"/>
        </w:rPr>
        <w:t>evaluaci</w:t>
      </w:r>
      <w:r w:rsidR="004445F5">
        <w:rPr>
          <w:bCs/>
          <w:highlight w:val="yellow"/>
          <w:lang w:val="es-ES"/>
        </w:rPr>
        <w:t xml:space="preserve">ón de </w:t>
      </w:r>
      <w:proofErr w:type="gramStart"/>
      <w:r w:rsidR="004445F5">
        <w:rPr>
          <w:bCs/>
          <w:highlight w:val="yellow"/>
          <w:lang w:val="es-ES"/>
        </w:rPr>
        <w:t xml:space="preserve">impacto </w:t>
      </w:r>
      <w:r w:rsidR="004445F5">
        <w:rPr>
          <w:bCs/>
          <w:lang w:val="es-ES"/>
        </w:rPr>
        <w:t xml:space="preserve"> se</w:t>
      </w:r>
      <w:proofErr w:type="gramEnd"/>
      <w:r w:rsidR="004445F5">
        <w:rPr>
          <w:bCs/>
          <w:lang w:val="es-ES"/>
        </w:rPr>
        <w:t xml:space="preserve"> contratará una </w:t>
      </w:r>
      <w:r>
        <w:rPr>
          <w:bCs/>
          <w:lang w:val="es-ES"/>
        </w:rPr>
        <w:t xml:space="preserve"> consultoría específica. </w:t>
      </w:r>
    </w:p>
    <w:p w14:paraId="703D47DD" w14:textId="77777777" w:rsidR="000F1D27" w:rsidRPr="00B96E22" w:rsidRDefault="000F1D27" w:rsidP="00916118">
      <w:pPr>
        <w:pStyle w:val="ListParagraph"/>
        <w:spacing w:before="120" w:after="120"/>
        <w:ind w:left="810"/>
        <w:contextualSpacing w:val="0"/>
        <w:jc w:val="both"/>
        <w:rPr>
          <w:bCs/>
          <w:lang w:val="es-ES"/>
        </w:rPr>
      </w:pPr>
    </w:p>
    <w:p w14:paraId="40C47090" w14:textId="77777777" w:rsidR="00FB22C0" w:rsidRPr="002D1B02" w:rsidRDefault="00AB5FEC" w:rsidP="008A02B3">
      <w:pPr>
        <w:pStyle w:val="Paragraph"/>
        <w:widowControl w:val="0"/>
        <w:numPr>
          <w:ilvl w:val="0"/>
          <w:numId w:val="8"/>
        </w:numPr>
        <w:rPr>
          <w:b/>
          <w:spacing w:val="-3"/>
          <w:szCs w:val="24"/>
          <w:lang w:val="es-ES"/>
        </w:rPr>
      </w:pPr>
      <w:bookmarkStart w:id="7" w:name="_Hlk507056507"/>
      <w:r>
        <w:rPr>
          <w:b/>
          <w:spacing w:val="-3"/>
          <w:szCs w:val="24"/>
          <w:lang w:val="es-ES"/>
        </w:rPr>
        <w:t>Principales preguntas de evaluación.</w:t>
      </w:r>
    </w:p>
    <w:p w14:paraId="4B1F25B8" w14:textId="77777777" w:rsidR="0011167D" w:rsidRPr="002D1B02" w:rsidRDefault="00461414" w:rsidP="00965C57">
      <w:pPr>
        <w:pStyle w:val="Paragraph"/>
        <w:numPr>
          <w:ilvl w:val="1"/>
          <w:numId w:val="10"/>
        </w:numPr>
        <w:spacing w:before="100" w:after="100"/>
        <w:ind w:left="450" w:hanging="450"/>
        <w:rPr>
          <w:lang w:val="es-ES"/>
        </w:rPr>
      </w:pPr>
      <w:r w:rsidRPr="002D1B02">
        <w:rPr>
          <w:lang w:val="es-ES"/>
        </w:rPr>
        <w:t xml:space="preserve">Las siguientes </w:t>
      </w:r>
      <w:r w:rsidR="00C81905">
        <w:rPr>
          <w:lang w:val="es-ES"/>
        </w:rPr>
        <w:t xml:space="preserve">preguntas </w:t>
      </w:r>
      <w:r w:rsidRPr="002D1B02">
        <w:rPr>
          <w:lang w:val="es-ES"/>
        </w:rPr>
        <w:t>serán empleadas para guiar el proceso de evaluación de las actividades apoyadas por el programa</w:t>
      </w:r>
      <w:r w:rsidR="002A056E" w:rsidRPr="002D1B02">
        <w:rPr>
          <w:lang w:val="es-ES"/>
        </w:rPr>
        <w:t>:</w:t>
      </w:r>
    </w:p>
    <w:p w14:paraId="04F6E2C8" w14:textId="77777777" w:rsidR="00A94144" w:rsidRPr="001E63CD" w:rsidRDefault="00A94144" w:rsidP="003026EE">
      <w:pPr>
        <w:pStyle w:val="ListParagraph"/>
        <w:numPr>
          <w:ilvl w:val="0"/>
          <w:numId w:val="43"/>
        </w:numPr>
        <w:spacing w:before="120" w:after="120"/>
        <w:contextualSpacing w:val="0"/>
        <w:jc w:val="both"/>
        <w:rPr>
          <w:lang w:val="es-ES_tradnl"/>
        </w:rPr>
      </w:pPr>
      <w:r w:rsidRPr="001E63CD">
        <w:rPr>
          <w:lang w:val="es-ES_tradnl"/>
        </w:rPr>
        <w:t>¿Se ha mejorado el desempeño logístico de Panamá?</w:t>
      </w:r>
    </w:p>
    <w:p w14:paraId="0E66CB75" w14:textId="77777777" w:rsidR="00CD62B5" w:rsidRPr="001E63CD" w:rsidRDefault="00CD62B5" w:rsidP="003026EE">
      <w:pPr>
        <w:pStyle w:val="ListParagraph"/>
        <w:numPr>
          <w:ilvl w:val="0"/>
          <w:numId w:val="43"/>
        </w:numPr>
        <w:spacing w:before="120" w:after="120"/>
        <w:contextualSpacing w:val="0"/>
        <w:jc w:val="both"/>
        <w:rPr>
          <w:lang w:val="es-ES_tradnl"/>
        </w:rPr>
      </w:pPr>
      <w:r w:rsidRPr="001E63CD">
        <w:rPr>
          <w:lang w:val="es-ES_tradnl"/>
        </w:rPr>
        <w:t>¿Se ha logrado incrementar el valor agregado del sector logístico en el país?</w:t>
      </w:r>
    </w:p>
    <w:p w14:paraId="1897EED8" w14:textId="3977E89D" w:rsidR="00674C06" w:rsidRPr="001E63CD" w:rsidRDefault="002E2C7A" w:rsidP="003026EE">
      <w:pPr>
        <w:pStyle w:val="ListParagraph"/>
        <w:numPr>
          <w:ilvl w:val="0"/>
          <w:numId w:val="43"/>
        </w:numPr>
        <w:spacing w:before="120" w:after="120"/>
        <w:contextualSpacing w:val="0"/>
        <w:jc w:val="both"/>
        <w:rPr>
          <w:lang w:val="es-ES_tradnl"/>
        </w:rPr>
      </w:pPr>
      <w:r w:rsidRPr="001E63CD">
        <w:rPr>
          <w:lang w:val="es-ES_tradnl"/>
        </w:rPr>
        <w:t>¿</w:t>
      </w:r>
      <w:r w:rsidR="00AA1205">
        <w:rPr>
          <w:lang w:val="es-ES_tradnl"/>
        </w:rPr>
        <w:t>Ha aumentado la inversión pública ejecutada en el sector transporte y logística</w:t>
      </w:r>
      <w:r w:rsidRPr="001E63CD">
        <w:rPr>
          <w:lang w:val="es-ES_tradnl"/>
        </w:rPr>
        <w:t>?</w:t>
      </w:r>
    </w:p>
    <w:p w14:paraId="17B295CF" w14:textId="77777777" w:rsidR="0014161E" w:rsidRPr="00E53316" w:rsidRDefault="000C3BE1" w:rsidP="003026EE">
      <w:pPr>
        <w:pStyle w:val="ListParagraph"/>
        <w:numPr>
          <w:ilvl w:val="0"/>
          <w:numId w:val="43"/>
        </w:numPr>
        <w:spacing w:before="120" w:after="120"/>
        <w:contextualSpacing w:val="0"/>
        <w:jc w:val="both"/>
        <w:rPr>
          <w:lang w:val="es-ES_tradnl"/>
        </w:rPr>
      </w:pPr>
      <w:r w:rsidRPr="00E53316">
        <w:rPr>
          <w:lang w:val="es-ES_tradnl"/>
        </w:rPr>
        <w:t>¿</w:t>
      </w:r>
      <w:r w:rsidR="00674C06" w:rsidRPr="00E53316">
        <w:rPr>
          <w:lang w:val="es-ES_tradnl"/>
        </w:rPr>
        <w:t>Se ha facilitado el comercio exterior del país y la inclusión de los productores nacionales en las cadenas logísticas internacionales</w:t>
      </w:r>
      <w:r w:rsidR="002E2C7A" w:rsidRPr="00E53316">
        <w:rPr>
          <w:lang w:val="es-ES_tradnl"/>
        </w:rPr>
        <w:t>?</w:t>
      </w:r>
    </w:p>
    <w:p w14:paraId="3929E8A9" w14:textId="653D7A90" w:rsidR="002E2C7A" w:rsidRDefault="00953CE5" w:rsidP="003026EE">
      <w:pPr>
        <w:pStyle w:val="ListParagraph"/>
        <w:numPr>
          <w:ilvl w:val="0"/>
          <w:numId w:val="43"/>
        </w:numPr>
        <w:spacing w:before="120" w:after="120"/>
        <w:contextualSpacing w:val="0"/>
        <w:jc w:val="both"/>
        <w:rPr>
          <w:lang w:val="es-ES_tradnl"/>
        </w:rPr>
      </w:pPr>
      <w:r w:rsidRPr="001E63CD">
        <w:rPr>
          <w:lang w:val="es-ES_tradnl"/>
        </w:rPr>
        <w:t>¿</w:t>
      </w:r>
      <w:r w:rsidR="002E2C7A" w:rsidRPr="001E63CD">
        <w:rPr>
          <w:lang w:val="es-ES_tradnl"/>
        </w:rPr>
        <w:t>Se ha logrado fortalecer la capacitación de personal cualificado en materia de logística en el país</w:t>
      </w:r>
      <w:r w:rsidRPr="001E63CD">
        <w:rPr>
          <w:lang w:val="es-ES_tradnl"/>
        </w:rPr>
        <w:t>?</w:t>
      </w:r>
    </w:p>
    <w:p w14:paraId="0293E279" w14:textId="1C69D8BA" w:rsidR="004D2F87" w:rsidRPr="001E63CD" w:rsidRDefault="004D2F87" w:rsidP="003026EE">
      <w:pPr>
        <w:pStyle w:val="ListParagraph"/>
        <w:numPr>
          <w:ilvl w:val="0"/>
          <w:numId w:val="43"/>
        </w:numPr>
        <w:spacing w:before="120" w:after="120"/>
        <w:contextualSpacing w:val="0"/>
        <w:jc w:val="both"/>
        <w:rPr>
          <w:lang w:val="es-ES_tradnl"/>
        </w:rPr>
      </w:pPr>
      <w:r>
        <w:rPr>
          <w:lang w:val="es-ES_tradnl"/>
        </w:rPr>
        <w:t xml:space="preserve">¿Ha disminuido el tiempo promedio de despacho de carga de Aduanas en Paso Canoas? </w:t>
      </w:r>
    </w:p>
    <w:bookmarkEnd w:id="7"/>
    <w:p w14:paraId="5B3E72A8" w14:textId="6B1D6A50" w:rsidR="003852E9" w:rsidRPr="00A2484F" w:rsidRDefault="008874E7" w:rsidP="00A2484F">
      <w:pPr>
        <w:pStyle w:val="Paragraph"/>
        <w:widowControl w:val="0"/>
        <w:numPr>
          <w:ilvl w:val="0"/>
          <w:numId w:val="8"/>
        </w:numPr>
        <w:rPr>
          <w:lang w:val="es-BO"/>
        </w:rPr>
      </w:pPr>
      <w:r w:rsidRPr="00586BDE">
        <w:rPr>
          <w:b/>
          <w:szCs w:val="24"/>
          <w:lang w:val="es-BO"/>
        </w:rPr>
        <w:t>Conocimiento existente.</w:t>
      </w:r>
      <w:r w:rsidRPr="00586BDE">
        <w:rPr>
          <w:szCs w:val="24"/>
          <w:lang w:val="es-BO"/>
        </w:rPr>
        <w:t xml:space="preserve"> </w:t>
      </w:r>
      <w:r w:rsidR="003852E9" w:rsidRPr="003852E9">
        <w:rPr>
          <w:szCs w:val="24"/>
          <w:lang w:val="es-BO"/>
        </w:rPr>
        <w:t xml:space="preserve">En la última década, la economía de Panamá ha mostrado un sostenido y fuerte crecimiento que ha posicionado al país como uno de los más estables en América Latina y el Caribe. </w:t>
      </w:r>
      <w:r w:rsidR="003852E9">
        <w:rPr>
          <w:szCs w:val="24"/>
          <w:lang w:val="es-BO"/>
        </w:rPr>
        <w:t>E</w:t>
      </w:r>
      <w:r w:rsidR="003852E9" w:rsidRPr="003852E9">
        <w:rPr>
          <w:szCs w:val="24"/>
          <w:lang w:val="es-BO"/>
        </w:rPr>
        <w:t xml:space="preserve">n 2017 la economía </w:t>
      </w:r>
      <w:r w:rsidR="003852E9">
        <w:rPr>
          <w:szCs w:val="24"/>
          <w:lang w:val="es-BO"/>
        </w:rPr>
        <w:t xml:space="preserve">panameña </w:t>
      </w:r>
      <w:r w:rsidR="003852E9" w:rsidRPr="003852E9">
        <w:rPr>
          <w:szCs w:val="24"/>
          <w:lang w:val="es-BO"/>
        </w:rPr>
        <w:t>creció un 5,4% (superior al crecimiento del 5% del 2016</w:t>
      </w:r>
      <w:r w:rsidR="003852E9">
        <w:rPr>
          <w:szCs w:val="24"/>
          <w:lang w:val="es-BO"/>
        </w:rPr>
        <w:t>)</w:t>
      </w:r>
      <w:r w:rsidR="003852E9" w:rsidRPr="003852E9">
        <w:rPr>
          <w:szCs w:val="24"/>
          <w:lang w:val="es-BO"/>
        </w:rPr>
        <w:t xml:space="preserve">. El sector de logística y de transporte de Panamá constituye uno de los pilares más importantes de la economía así mismo es un vector de crecimiento económico representando aproximadamente 20% del PIB. El Canal es el activo más importante, el cual sirve como punto de convergencia para las principales rutas comerciales internacionales. El 2017 reflejó </w:t>
      </w:r>
      <w:r w:rsidR="003852E9" w:rsidRPr="003852E9">
        <w:rPr>
          <w:szCs w:val="24"/>
          <w:lang w:val="es-BO"/>
        </w:rPr>
        <w:lastRenderedPageBreak/>
        <w:t>los beneficios de su ampliación, presentando aumentos frente al 2016 del 22.2% en el tonelaje y del 15.3% en los ingresos que alcanzaron los US$ 2.238 millones.</w:t>
      </w:r>
      <w:r w:rsidR="003D4DB5">
        <w:rPr>
          <w:szCs w:val="24"/>
          <w:lang w:val="es-BO"/>
        </w:rPr>
        <w:t xml:space="preserve"> </w:t>
      </w:r>
      <w:r w:rsidR="003D4DB5" w:rsidRPr="003D4DB5">
        <w:rPr>
          <w:szCs w:val="24"/>
          <w:lang w:val="es-BO"/>
        </w:rPr>
        <w:t>Por otro lado, la Z</w:t>
      </w:r>
      <w:r w:rsidR="003D4DB5">
        <w:rPr>
          <w:szCs w:val="24"/>
          <w:lang w:val="es-BO"/>
        </w:rPr>
        <w:t>ona Libre de Colon (</w:t>
      </w:r>
      <w:r w:rsidR="003D4DB5" w:rsidRPr="003D4DB5">
        <w:rPr>
          <w:szCs w:val="24"/>
          <w:lang w:val="es-BO"/>
        </w:rPr>
        <w:t>ZLC</w:t>
      </w:r>
      <w:r w:rsidR="003D4DB5">
        <w:rPr>
          <w:szCs w:val="24"/>
          <w:lang w:val="es-BO"/>
        </w:rPr>
        <w:t xml:space="preserve">) </w:t>
      </w:r>
      <w:r w:rsidR="003D4DB5" w:rsidRPr="003D4DB5">
        <w:rPr>
          <w:szCs w:val="24"/>
          <w:lang w:val="es-BO"/>
        </w:rPr>
        <w:t>registró un crecimiento del 0.3% frente al 2016 por transacciones, acumulando US$ 19.713 millones</w:t>
      </w:r>
      <w:r w:rsidR="003D4DB5">
        <w:rPr>
          <w:szCs w:val="24"/>
          <w:lang w:val="es-BO"/>
        </w:rPr>
        <w:t>.</w:t>
      </w:r>
      <w:r w:rsidR="005E40D0">
        <w:rPr>
          <w:szCs w:val="24"/>
          <w:lang w:val="es-BO"/>
        </w:rPr>
        <w:t xml:space="preserve"> No obstante, a pesar de los altos niveles de inversión en infraestructura de los últimos años, </w:t>
      </w:r>
      <w:r w:rsidR="003D4DB5" w:rsidRPr="003D4DB5">
        <w:rPr>
          <w:szCs w:val="24"/>
          <w:lang w:val="es-BO"/>
        </w:rPr>
        <w:t>el 93,6% de la carga que entra o sale de los puertos panameños hace apenas transbordo, con baja penetración en las cadenas globales y baja agregación de valor lo que se refleja en una balanza comercial deficitaria</w:t>
      </w:r>
      <w:r w:rsidR="005E40D0">
        <w:rPr>
          <w:rStyle w:val="FootnoteReference"/>
          <w:szCs w:val="24"/>
          <w:lang w:val="es-BO"/>
        </w:rPr>
        <w:footnoteReference w:id="1"/>
      </w:r>
      <w:r w:rsidR="005E40D0">
        <w:rPr>
          <w:szCs w:val="24"/>
          <w:lang w:val="es-BO"/>
        </w:rPr>
        <w:t xml:space="preserve">. </w:t>
      </w:r>
      <w:r w:rsidR="005E40D0" w:rsidRPr="005E40D0">
        <w:rPr>
          <w:szCs w:val="24"/>
          <w:lang w:val="es-BO"/>
        </w:rPr>
        <w:t>Además, Panamá necesita potencializar su integración con Centroamérica, que es un importante socio comercial</w:t>
      </w:r>
      <w:r w:rsidR="003D4DB5">
        <w:rPr>
          <w:szCs w:val="24"/>
          <w:lang w:val="es-BO"/>
        </w:rPr>
        <w:t xml:space="preserve">. </w:t>
      </w:r>
      <w:r w:rsidR="005E40D0" w:rsidRPr="005E40D0">
        <w:rPr>
          <w:szCs w:val="24"/>
          <w:lang w:val="es-BO"/>
        </w:rPr>
        <w:t>Dich</w:t>
      </w:r>
      <w:r w:rsidR="005E40D0">
        <w:rPr>
          <w:szCs w:val="24"/>
          <w:lang w:val="es-BO"/>
        </w:rPr>
        <w:t>a</w:t>
      </w:r>
      <w:r w:rsidR="005E40D0" w:rsidRPr="005E40D0">
        <w:rPr>
          <w:szCs w:val="24"/>
          <w:lang w:val="es-BO"/>
        </w:rPr>
        <w:t xml:space="preserve">s </w:t>
      </w:r>
      <w:r w:rsidR="005E40D0">
        <w:rPr>
          <w:szCs w:val="24"/>
          <w:lang w:val="es-BO"/>
        </w:rPr>
        <w:t>limitaciones</w:t>
      </w:r>
      <w:r w:rsidR="005E40D0" w:rsidRPr="005E40D0">
        <w:rPr>
          <w:szCs w:val="24"/>
          <w:lang w:val="es-BO"/>
        </w:rPr>
        <w:t xml:space="preserve"> están directamente relacionad</w:t>
      </w:r>
      <w:r w:rsidR="005E40D0">
        <w:rPr>
          <w:szCs w:val="24"/>
          <w:lang w:val="es-BO"/>
        </w:rPr>
        <w:t>a</w:t>
      </w:r>
      <w:r w:rsidR="005E40D0" w:rsidRPr="005E40D0">
        <w:rPr>
          <w:szCs w:val="24"/>
          <w:lang w:val="es-BO"/>
        </w:rPr>
        <w:t>s con una insuficiente disponibilidad de infraestructura y servicios logísticos orientados a integrar los mercados internos y regionales, agravados por la necesidad de mejorar y modernizar los instrumentos legales, regulatorios e institucionales.</w:t>
      </w:r>
      <w:r w:rsidR="005E40D0">
        <w:rPr>
          <w:szCs w:val="24"/>
          <w:lang w:val="es-BO"/>
        </w:rPr>
        <w:t xml:space="preserve"> </w:t>
      </w:r>
      <w:r w:rsidR="005E40D0" w:rsidRPr="005E40D0">
        <w:rPr>
          <w:szCs w:val="24"/>
          <w:lang w:val="es-BO"/>
        </w:rPr>
        <w:t>En ese contexto</w:t>
      </w:r>
      <w:r w:rsidR="005E40D0">
        <w:rPr>
          <w:szCs w:val="24"/>
          <w:lang w:val="es-BO"/>
        </w:rPr>
        <w:t>,</w:t>
      </w:r>
      <w:r w:rsidR="005E40D0" w:rsidRPr="005E40D0">
        <w:rPr>
          <w:szCs w:val="24"/>
          <w:lang w:val="es-BO"/>
        </w:rPr>
        <w:t xml:space="preserve"> el Banco </w:t>
      </w:r>
      <w:r w:rsidR="005E40D0">
        <w:rPr>
          <w:szCs w:val="24"/>
          <w:lang w:val="es-BO"/>
        </w:rPr>
        <w:t>impulsó en 2015 el Programa de Reformas del Sector Transporte y Logística de Panamá, el cual se estructura en tres fases, habiendo hasta el momento aprobado dos de ellas (la primera en 2015 y la segunda en 2016), y siendo la tercera la qu</w:t>
      </w:r>
      <w:r w:rsidR="00A2484F">
        <w:rPr>
          <w:szCs w:val="24"/>
          <w:lang w:val="es-BO"/>
        </w:rPr>
        <w:t xml:space="preserve">e se aprobará con la presente operación. </w:t>
      </w:r>
      <w:r w:rsidR="00A2484F" w:rsidRPr="00A2484F">
        <w:rPr>
          <w:szCs w:val="24"/>
          <w:lang w:val="es-BO"/>
        </w:rPr>
        <w:t>El objetivo del programa es contribuir a la mejora del desempeño logístico de Panamá, a través de la reducción de restricciones normativas e institucionales que limitan el desempeño del país especialmente en los ámbitos de: (i) SLVA; (ii) logística de apoyo al sector agrícola; y (iii) logística de apoyo al comercio regional. Los objetivos específicos del programa son: (i) fortalecimiento del marco legal y regulatorio; (ii) consolidación del marco institucional de logística y transporte; y (iii) fortalecimiento del sistema de planificación multisectorial y de facilitación comercial, que contribuirán a una mejor planificación de la inversión en el sector de logística y transporte, la ampliación del área logística utilizada, a la reducción del tiempo del despacho de mercancías y a la provisión de recursos humanos en el área de logística</w:t>
      </w:r>
    </w:p>
    <w:p w14:paraId="0D7AE8D8" w14:textId="77777777" w:rsidR="00465EA8" w:rsidRPr="00A2484F" w:rsidRDefault="001B4FED" w:rsidP="00A2484F">
      <w:pPr>
        <w:pStyle w:val="Paragraph"/>
        <w:widowControl w:val="0"/>
        <w:numPr>
          <w:ilvl w:val="0"/>
          <w:numId w:val="8"/>
        </w:numPr>
        <w:rPr>
          <w:lang w:val="es-BO"/>
        </w:rPr>
      </w:pPr>
      <w:r w:rsidRPr="00A2484F">
        <w:rPr>
          <w:b/>
          <w:spacing w:val="-3"/>
          <w:szCs w:val="24"/>
          <w:lang w:val="es-ES"/>
        </w:rPr>
        <w:t>Indicadores</w:t>
      </w:r>
      <w:r w:rsidRPr="00A2484F">
        <w:rPr>
          <w:b/>
          <w:lang w:val="es-BO"/>
        </w:rPr>
        <w:t xml:space="preserve"> </w:t>
      </w:r>
      <w:r w:rsidR="008874E7" w:rsidRPr="00A2484F">
        <w:rPr>
          <w:b/>
          <w:lang w:val="es-BO"/>
        </w:rPr>
        <w:t xml:space="preserve">principales </w:t>
      </w:r>
      <w:r w:rsidRPr="00A2484F">
        <w:rPr>
          <w:b/>
          <w:lang w:val="es-BO"/>
        </w:rPr>
        <w:t>para la evaluación.</w:t>
      </w:r>
      <w:r w:rsidRPr="00A2484F">
        <w:rPr>
          <w:lang w:val="es-BO"/>
        </w:rPr>
        <w:t xml:space="preserve"> </w:t>
      </w:r>
      <w:r w:rsidR="00465EA8" w:rsidRPr="00A2484F">
        <w:rPr>
          <w:lang w:val="es-BO"/>
        </w:rPr>
        <w:t xml:space="preserve">Los indicadores </w:t>
      </w:r>
      <w:r w:rsidR="00B558D6" w:rsidRPr="00A2484F">
        <w:rPr>
          <w:lang w:val="es-BO"/>
        </w:rPr>
        <w:t xml:space="preserve">principales </w:t>
      </w:r>
      <w:r w:rsidR="00465EA8" w:rsidRPr="00A2484F">
        <w:rPr>
          <w:lang w:val="es-BO"/>
        </w:rPr>
        <w:t xml:space="preserve">considerados </w:t>
      </w:r>
      <w:r w:rsidR="00B558D6" w:rsidRPr="00A2484F">
        <w:rPr>
          <w:lang w:val="es-BO"/>
        </w:rPr>
        <w:t xml:space="preserve">para la evaluación del </w:t>
      </w:r>
      <w:r w:rsidR="00465EA8" w:rsidRPr="00A2484F">
        <w:rPr>
          <w:lang w:val="es-BO"/>
        </w:rPr>
        <w:t xml:space="preserve">programa </w:t>
      </w:r>
      <w:r w:rsidR="00B558D6" w:rsidRPr="00A2484F">
        <w:rPr>
          <w:lang w:val="es-BO"/>
        </w:rPr>
        <w:t>son:</w:t>
      </w:r>
      <w:r w:rsidR="00465EA8" w:rsidRPr="00A2484F">
        <w:rPr>
          <w:lang w:val="es-BO"/>
        </w:rPr>
        <w:t xml:space="preserve"> </w:t>
      </w:r>
    </w:p>
    <w:tbl>
      <w:tblPr>
        <w:tblStyle w:val="TableGrid"/>
        <w:tblW w:w="10144" w:type="dxa"/>
        <w:jc w:val="center"/>
        <w:tblLook w:val="04A0" w:firstRow="1" w:lastRow="0" w:firstColumn="1" w:lastColumn="0" w:noHBand="0" w:noVBand="1"/>
      </w:tblPr>
      <w:tblGrid>
        <w:gridCol w:w="955"/>
        <w:gridCol w:w="2258"/>
        <w:gridCol w:w="956"/>
        <w:gridCol w:w="956"/>
        <w:gridCol w:w="956"/>
        <w:gridCol w:w="2610"/>
        <w:gridCol w:w="1453"/>
      </w:tblGrid>
      <w:tr w:rsidR="00C57F89" w:rsidRPr="002D1B02" w14:paraId="13DBE1BD" w14:textId="77777777" w:rsidTr="00916118">
        <w:trPr>
          <w:jc w:val="center"/>
        </w:trPr>
        <w:tc>
          <w:tcPr>
            <w:tcW w:w="955" w:type="dxa"/>
            <w:shd w:val="clear" w:color="auto" w:fill="D9D9D9" w:themeFill="background1" w:themeFillShade="D9"/>
          </w:tcPr>
          <w:p w14:paraId="7A1DD8E3" w14:textId="77777777" w:rsidR="00C57F89" w:rsidRDefault="00C57F89" w:rsidP="00B10D6F">
            <w:pPr>
              <w:pStyle w:val="Default"/>
              <w:ind w:left="90"/>
              <w:contextualSpacing/>
              <w:jc w:val="center"/>
              <w:rPr>
                <w:b/>
                <w:lang w:val="es-ES"/>
              </w:rPr>
            </w:pPr>
          </w:p>
        </w:tc>
        <w:tc>
          <w:tcPr>
            <w:tcW w:w="9189" w:type="dxa"/>
            <w:gridSpan w:val="6"/>
            <w:shd w:val="clear" w:color="auto" w:fill="D9D9D9" w:themeFill="background1" w:themeFillShade="D9"/>
          </w:tcPr>
          <w:p w14:paraId="3F434C88" w14:textId="7F1C4206" w:rsidR="00C57F89" w:rsidRDefault="00C57F89" w:rsidP="00B10D6F">
            <w:pPr>
              <w:pStyle w:val="Default"/>
              <w:ind w:left="90"/>
              <w:contextualSpacing/>
              <w:jc w:val="center"/>
              <w:rPr>
                <w:b/>
                <w:lang w:val="es-ES"/>
              </w:rPr>
            </w:pPr>
            <w:r>
              <w:rPr>
                <w:b/>
                <w:lang w:val="es-ES"/>
              </w:rPr>
              <w:t>Tabla 2</w:t>
            </w:r>
            <w:r w:rsidRPr="002D1B02">
              <w:rPr>
                <w:b/>
                <w:lang w:val="es-ES"/>
              </w:rPr>
              <w:t xml:space="preserve">. </w:t>
            </w:r>
            <w:r>
              <w:rPr>
                <w:b/>
                <w:lang w:val="es-ES"/>
              </w:rPr>
              <w:t>Evaluación Reflexiva</w:t>
            </w:r>
          </w:p>
        </w:tc>
      </w:tr>
      <w:tr w:rsidR="00C57F89" w:rsidRPr="002D1B02" w14:paraId="1C18AF2E" w14:textId="77777777" w:rsidTr="00916118">
        <w:trPr>
          <w:trHeight w:val="50"/>
          <w:jc w:val="center"/>
        </w:trPr>
        <w:tc>
          <w:tcPr>
            <w:tcW w:w="3213" w:type="dxa"/>
            <w:gridSpan w:val="2"/>
            <w:vMerge w:val="restart"/>
            <w:shd w:val="clear" w:color="auto" w:fill="FFFF99"/>
            <w:vAlign w:val="center"/>
          </w:tcPr>
          <w:p w14:paraId="756FCB73" w14:textId="77777777" w:rsidR="00C57F89" w:rsidRPr="002D1B02" w:rsidRDefault="00C57F89" w:rsidP="00B10D6F">
            <w:pPr>
              <w:pStyle w:val="Default"/>
              <w:contextualSpacing/>
              <w:jc w:val="center"/>
              <w:rPr>
                <w:b/>
                <w:sz w:val="20"/>
                <w:szCs w:val="20"/>
                <w:lang w:val="es-ES"/>
              </w:rPr>
            </w:pPr>
            <w:r w:rsidRPr="002D1B02">
              <w:rPr>
                <w:b/>
                <w:sz w:val="20"/>
                <w:szCs w:val="20"/>
                <w:lang w:val="es-ES"/>
              </w:rPr>
              <w:t>Indicador</w:t>
            </w:r>
          </w:p>
        </w:tc>
        <w:tc>
          <w:tcPr>
            <w:tcW w:w="956" w:type="dxa"/>
            <w:shd w:val="clear" w:color="auto" w:fill="FFFF99"/>
          </w:tcPr>
          <w:p w14:paraId="059196B4" w14:textId="77777777" w:rsidR="00C57F89" w:rsidRDefault="00C57F89" w:rsidP="00B10D6F">
            <w:pPr>
              <w:pStyle w:val="Default"/>
              <w:contextualSpacing/>
              <w:jc w:val="center"/>
              <w:rPr>
                <w:b/>
                <w:sz w:val="20"/>
                <w:szCs w:val="20"/>
                <w:lang w:val="es-ES"/>
              </w:rPr>
            </w:pPr>
          </w:p>
        </w:tc>
        <w:tc>
          <w:tcPr>
            <w:tcW w:w="1912" w:type="dxa"/>
            <w:gridSpan w:val="2"/>
            <w:shd w:val="clear" w:color="auto" w:fill="FFFF99"/>
            <w:vAlign w:val="center"/>
          </w:tcPr>
          <w:p w14:paraId="5CDCF908" w14:textId="66166E47" w:rsidR="00C57F89" w:rsidRDefault="00C57F89" w:rsidP="00B10D6F">
            <w:pPr>
              <w:pStyle w:val="Default"/>
              <w:contextualSpacing/>
              <w:jc w:val="center"/>
              <w:rPr>
                <w:b/>
                <w:sz w:val="20"/>
                <w:szCs w:val="20"/>
                <w:lang w:val="es-ES"/>
              </w:rPr>
            </w:pPr>
            <w:r>
              <w:rPr>
                <w:b/>
                <w:sz w:val="20"/>
                <w:szCs w:val="20"/>
                <w:lang w:val="es-ES"/>
              </w:rPr>
              <w:t>Colecta de Datos y Verificación das</w:t>
            </w:r>
          </w:p>
          <w:p w14:paraId="244A844B" w14:textId="77777777" w:rsidR="00C57F89" w:rsidRDefault="00C57F89" w:rsidP="00B10D6F">
            <w:pPr>
              <w:pStyle w:val="Default"/>
              <w:contextualSpacing/>
              <w:jc w:val="center"/>
              <w:rPr>
                <w:b/>
                <w:sz w:val="20"/>
                <w:szCs w:val="20"/>
                <w:lang w:val="es-ES"/>
              </w:rPr>
            </w:pPr>
            <w:r>
              <w:rPr>
                <w:b/>
                <w:sz w:val="20"/>
                <w:szCs w:val="20"/>
                <w:lang w:val="es-ES"/>
              </w:rPr>
              <w:t>Metas</w:t>
            </w:r>
          </w:p>
          <w:p w14:paraId="59C209A9" w14:textId="77777777" w:rsidR="00C57F89" w:rsidRPr="002D1B02" w:rsidRDefault="00C57F89" w:rsidP="00B10D6F">
            <w:pPr>
              <w:pStyle w:val="Default"/>
              <w:contextualSpacing/>
              <w:jc w:val="center"/>
              <w:rPr>
                <w:b/>
                <w:sz w:val="20"/>
                <w:szCs w:val="20"/>
                <w:lang w:val="es-ES"/>
              </w:rPr>
            </w:pPr>
          </w:p>
        </w:tc>
        <w:tc>
          <w:tcPr>
            <w:tcW w:w="2610" w:type="dxa"/>
            <w:vMerge w:val="restart"/>
            <w:shd w:val="clear" w:color="auto" w:fill="FFFF99"/>
            <w:vAlign w:val="center"/>
          </w:tcPr>
          <w:p w14:paraId="03F97F20" w14:textId="77777777" w:rsidR="00C57F89" w:rsidRPr="002D1B02" w:rsidRDefault="00C57F89" w:rsidP="00B10D6F">
            <w:pPr>
              <w:pStyle w:val="Default"/>
              <w:contextualSpacing/>
              <w:jc w:val="center"/>
              <w:rPr>
                <w:b/>
                <w:sz w:val="20"/>
                <w:szCs w:val="20"/>
                <w:lang w:val="es-ES"/>
              </w:rPr>
            </w:pPr>
            <w:r w:rsidRPr="002D1B02">
              <w:rPr>
                <w:b/>
                <w:sz w:val="20"/>
                <w:szCs w:val="20"/>
                <w:lang w:val="es-ES"/>
              </w:rPr>
              <w:t>Medio de Verificación</w:t>
            </w:r>
          </w:p>
        </w:tc>
        <w:tc>
          <w:tcPr>
            <w:tcW w:w="1453" w:type="dxa"/>
            <w:vMerge w:val="restart"/>
            <w:shd w:val="clear" w:color="auto" w:fill="FFFF99"/>
            <w:vAlign w:val="center"/>
          </w:tcPr>
          <w:p w14:paraId="158EA33A" w14:textId="77777777" w:rsidR="00C57F89" w:rsidRPr="002D1B02" w:rsidRDefault="00C57F89" w:rsidP="00B10D6F">
            <w:pPr>
              <w:pStyle w:val="Default"/>
              <w:contextualSpacing/>
              <w:jc w:val="center"/>
              <w:rPr>
                <w:b/>
                <w:sz w:val="20"/>
                <w:szCs w:val="20"/>
                <w:lang w:val="es-ES"/>
              </w:rPr>
            </w:pPr>
            <w:r>
              <w:rPr>
                <w:b/>
                <w:sz w:val="20"/>
                <w:szCs w:val="20"/>
                <w:lang w:val="es-ES"/>
              </w:rPr>
              <w:t>Costos y Responsables</w:t>
            </w:r>
          </w:p>
        </w:tc>
      </w:tr>
      <w:tr w:rsidR="00C57F89" w:rsidRPr="002D1B02" w14:paraId="42E0F197" w14:textId="77777777" w:rsidTr="00916118">
        <w:trPr>
          <w:jc w:val="center"/>
        </w:trPr>
        <w:tc>
          <w:tcPr>
            <w:tcW w:w="3213" w:type="dxa"/>
            <w:gridSpan w:val="2"/>
            <w:vMerge/>
            <w:shd w:val="clear" w:color="auto" w:fill="FFFF99"/>
            <w:vAlign w:val="center"/>
          </w:tcPr>
          <w:p w14:paraId="7A0539A5" w14:textId="77777777" w:rsidR="00C57F89" w:rsidRPr="002D1B02" w:rsidRDefault="00C57F89" w:rsidP="00B10D6F">
            <w:pPr>
              <w:pStyle w:val="Default"/>
              <w:contextualSpacing/>
              <w:jc w:val="center"/>
              <w:rPr>
                <w:b/>
                <w:sz w:val="20"/>
                <w:szCs w:val="20"/>
                <w:lang w:val="es-ES"/>
              </w:rPr>
            </w:pPr>
          </w:p>
        </w:tc>
        <w:tc>
          <w:tcPr>
            <w:tcW w:w="956" w:type="dxa"/>
            <w:shd w:val="clear" w:color="auto" w:fill="FFFF99"/>
            <w:vAlign w:val="center"/>
          </w:tcPr>
          <w:p w14:paraId="35816927" w14:textId="5CD6D156" w:rsidR="00C57F89" w:rsidRDefault="00C57F89" w:rsidP="00B10D6F">
            <w:pPr>
              <w:pStyle w:val="Default"/>
              <w:contextualSpacing/>
              <w:jc w:val="center"/>
              <w:rPr>
                <w:b/>
                <w:sz w:val="20"/>
                <w:szCs w:val="20"/>
                <w:lang w:val="es-ES"/>
              </w:rPr>
            </w:pPr>
            <w:r>
              <w:rPr>
                <w:b/>
                <w:sz w:val="20"/>
                <w:szCs w:val="20"/>
                <w:lang w:val="es-ES"/>
              </w:rPr>
              <w:t>2014</w:t>
            </w:r>
          </w:p>
        </w:tc>
        <w:tc>
          <w:tcPr>
            <w:tcW w:w="956" w:type="dxa"/>
            <w:shd w:val="clear" w:color="auto" w:fill="FFFF99"/>
          </w:tcPr>
          <w:p w14:paraId="1FFE85E7" w14:textId="064CED94" w:rsidR="00C57F89" w:rsidRDefault="00C57F89" w:rsidP="00B10D6F">
            <w:pPr>
              <w:pStyle w:val="Default"/>
              <w:contextualSpacing/>
              <w:jc w:val="center"/>
              <w:rPr>
                <w:b/>
                <w:sz w:val="20"/>
                <w:szCs w:val="20"/>
                <w:lang w:val="es-ES"/>
              </w:rPr>
            </w:pPr>
            <w:r>
              <w:rPr>
                <w:b/>
                <w:sz w:val="20"/>
                <w:szCs w:val="20"/>
                <w:lang w:val="es-ES"/>
              </w:rPr>
              <w:t>2018</w:t>
            </w:r>
          </w:p>
        </w:tc>
        <w:tc>
          <w:tcPr>
            <w:tcW w:w="956" w:type="dxa"/>
            <w:shd w:val="clear" w:color="auto" w:fill="FFFF99"/>
            <w:vAlign w:val="center"/>
          </w:tcPr>
          <w:p w14:paraId="40ABBA89" w14:textId="3D4F2300" w:rsidR="00C57F89" w:rsidRDefault="00C57F89" w:rsidP="00B10D6F">
            <w:pPr>
              <w:pStyle w:val="Default"/>
              <w:contextualSpacing/>
              <w:jc w:val="center"/>
              <w:rPr>
                <w:b/>
                <w:sz w:val="20"/>
                <w:szCs w:val="20"/>
                <w:lang w:val="es-ES"/>
              </w:rPr>
            </w:pPr>
            <w:r>
              <w:rPr>
                <w:b/>
                <w:sz w:val="20"/>
                <w:szCs w:val="20"/>
                <w:lang w:val="es-ES"/>
              </w:rPr>
              <w:t>2020</w:t>
            </w:r>
          </w:p>
        </w:tc>
        <w:tc>
          <w:tcPr>
            <w:tcW w:w="2610" w:type="dxa"/>
            <w:vMerge/>
            <w:shd w:val="clear" w:color="auto" w:fill="FFFF99"/>
            <w:vAlign w:val="center"/>
          </w:tcPr>
          <w:p w14:paraId="171FEA8C" w14:textId="77777777" w:rsidR="00C57F89" w:rsidRPr="002D1B02" w:rsidRDefault="00C57F89" w:rsidP="00B10D6F">
            <w:pPr>
              <w:pStyle w:val="Default"/>
              <w:contextualSpacing/>
              <w:jc w:val="center"/>
              <w:rPr>
                <w:b/>
                <w:sz w:val="20"/>
                <w:szCs w:val="20"/>
                <w:lang w:val="es-ES"/>
              </w:rPr>
            </w:pPr>
          </w:p>
        </w:tc>
        <w:tc>
          <w:tcPr>
            <w:tcW w:w="1453" w:type="dxa"/>
            <w:vMerge/>
            <w:shd w:val="clear" w:color="auto" w:fill="FFFF99"/>
            <w:vAlign w:val="center"/>
          </w:tcPr>
          <w:p w14:paraId="3E75A8FE" w14:textId="77777777" w:rsidR="00C57F89" w:rsidRDefault="00C57F89" w:rsidP="00B10D6F">
            <w:pPr>
              <w:pStyle w:val="Default"/>
              <w:contextualSpacing/>
              <w:jc w:val="center"/>
              <w:rPr>
                <w:b/>
                <w:sz w:val="20"/>
                <w:szCs w:val="20"/>
                <w:lang w:val="es-ES"/>
              </w:rPr>
            </w:pPr>
          </w:p>
        </w:tc>
      </w:tr>
      <w:tr w:rsidR="00C57F89" w:rsidRPr="000F3F6A" w14:paraId="4E5BF7D2" w14:textId="77777777" w:rsidTr="00916118">
        <w:trPr>
          <w:trHeight w:hRule="exact" w:val="361"/>
          <w:jc w:val="center"/>
        </w:trPr>
        <w:tc>
          <w:tcPr>
            <w:tcW w:w="955" w:type="dxa"/>
            <w:shd w:val="clear" w:color="auto" w:fill="C6D9F1" w:themeFill="text2" w:themeFillTint="33"/>
          </w:tcPr>
          <w:p w14:paraId="44E39CA5" w14:textId="77777777" w:rsidR="00C57F89" w:rsidRPr="002D1B02" w:rsidRDefault="00C57F89" w:rsidP="007745D7">
            <w:pPr>
              <w:contextualSpacing/>
              <w:rPr>
                <w:b/>
                <w:sz w:val="20"/>
                <w:szCs w:val="20"/>
                <w:lang w:val="es-ES"/>
              </w:rPr>
            </w:pPr>
          </w:p>
        </w:tc>
        <w:tc>
          <w:tcPr>
            <w:tcW w:w="7736" w:type="dxa"/>
            <w:gridSpan w:val="5"/>
            <w:shd w:val="clear" w:color="auto" w:fill="C6D9F1" w:themeFill="text2" w:themeFillTint="33"/>
            <w:vAlign w:val="center"/>
          </w:tcPr>
          <w:p w14:paraId="4AA0F51D" w14:textId="0263ACAA" w:rsidR="00C57F89" w:rsidRPr="002D1B02" w:rsidRDefault="00C57F89" w:rsidP="007745D7">
            <w:pPr>
              <w:contextualSpacing/>
              <w:rPr>
                <w:b/>
                <w:sz w:val="20"/>
                <w:szCs w:val="20"/>
                <w:lang w:val="es-ES"/>
              </w:rPr>
            </w:pPr>
            <w:r w:rsidRPr="002D1B02">
              <w:rPr>
                <w:b/>
                <w:sz w:val="20"/>
                <w:szCs w:val="20"/>
                <w:lang w:val="es-ES"/>
              </w:rPr>
              <w:t>IMPACTOS</w:t>
            </w:r>
          </w:p>
        </w:tc>
        <w:tc>
          <w:tcPr>
            <w:tcW w:w="1453" w:type="dxa"/>
            <w:vMerge w:val="restart"/>
            <w:shd w:val="clear" w:color="auto" w:fill="auto"/>
            <w:vAlign w:val="center"/>
          </w:tcPr>
          <w:p w14:paraId="1BE82969" w14:textId="77777777" w:rsidR="00C57F89" w:rsidRPr="00B10D6F" w:rsidRDefault="00C57F89" w:rsidP="008D21A6">
            <w:pPr>
              <w:tabs>
                <w:tab w:val="left" w:pos="3184"/>
              </w:tabs>
              <w:ind w:left="87"/>
              <w:contextualSpacing/>
              <w:rPr>
                <w:b/>
                <w:color w:val="000000"/>
                <w:sz w:val="20"/>
                <w:szCs w:val="20"/>
                <w:lang w:val="es-ES"/>
              </w:rPr>
            </w:pPr>
          </w:p>
          <w:p w14:paraId="34896CC0" w14:textId="77777777" w:rsidR="00C57F89" w:rsidRPr="00487E74" w:rsidRDefault="00C57F89" w:rsidP="00B10D6F">
            <w:pPr>
              <w:tabs>
                <w:tab w:val="left" w:pos="3184"/>
              </w:tabs>
              <w:ind w:left="87"/>
              <w:contextualSpacing/>
              <w:jc w:val="center"/>
              <w:rPr>
                <w:b/>
                <w:color w:val="000000"/>
                <w:sz w:val="20"/>
                <w:szCs w:val="20"/>
                <w:lang w:val="es-ES"/>
              </w:rPr>
            </w:pPr>
            <w:r w:rsidRPr="00487E74">
              <w:rPr>
                <w:b/>
                <w:color w:val="000000"/>
                <w:sz w:val="20"/>
                <w:szCs w:val="20"/>
                <w:lang w:val="es-ES"/>
              </w:rPr>
              <w:t>IDB</w:t>
            </w:r>
          </w:p>
          <w:p w14:paraId="171DBFCB" w14:textId="77777777" w:rsidR="00C57F89" w:rsidRPr="00487E74" w:rsidRDefault="00C57F89" w:rsidP="00B10D6F">
            <w:pPr>
              <w:tabs>
                <w:tab w:val="left" w:pos="3184"/>
              </w:tabs>
              <w:ind w:left="87"/>
              <w:contextualSpacing/>
              <w:jc w:val="center"/>
              <w:rPr>
                <w:b/>
                <w:color w:val="000000"/>
                <w:sz w:val="20"/>
                <w:szCs w:val="20"/>
                <w:lang w:val="es-ES"/>
              </w:rPr>
            </w:pPr>
            <w:r w:rsidRPr="00487E74">
              <w:rPr>
                <w:b/>
                <w:color w:val="000000"/>
                <w:sz w:val="20"/>
                <w:szCs w:val="20"/>
                <w:lang w:val="es-ES"/>
              </w:rPr>
              <w:t>US$ 10,000</w:t>
            </w:r>
          </w:p>
          <w:p w14:paraId="6B539181" w14:textId="77777777" w:rsidR="00C57F89" w:rsidRPr="00487E74" w:rsidRDefault="00C57F89" w:rsidP="00B10D6F">
            <w:pPr>
              <w:tabs>
                <w:tab w:val="left" w:pos="3184"/>
              </w:tabs>
              <w:ind w:left="87"/>
              <w:contextualSpacing/>
              <w:jc w:val="center"/>
              <w:rPr>
                <w:b/>
                <w:color w:val="000000"/>
                <w:sz w:val="20"/>
                <w:szCs w:val="20"/>
                <w:lang w:val="es-ES"/>
              </w:rPr>
            </w:pPr>
            <w:r w:rsidRPr="00487E74">
              <w:rPr>
                <w:b/>
                <w:color w:val="000000"/>
                <w:sz w:val="20"/>
                <w:szCs w:val="20"/>
                <w:lang w:val="es-ES"/>
              </w:rPr>
              <w:t>Costos del proyecto</w:t>
            </w:r>
          </w:p>
          <w:p w14:paraId="0001FC00" w14:textId="77777777" w:rsidR="00C57F89" w:rsidRPr="002736CF" w:rsidRDefault="00C57F89" w:rsidP="00B10D6F">
            <w:pPr>
              <w:tabs>
                <w:tab w:val="left" w:pos="3184"/>
              </w:tabs>
              <w:ind w:left="87"/>
              <w:contextualSpacing/>
              <w:jc w:val="center"/>
              <w:rPr>
                <w:color w:val="000000"/>
                <w:sz w:val="20"/>
                <w:szCs w:val="20"/>
                <w:lang w:val="es-ES"/>
              </w:rPr>
            </w:pPr>
            <w:r w:rsidRPr="00487E74">
              <w:rPr>
                <w:b/>
                <w:color w:val="000000"/>
                <w:sz w:val="20"/>
                <w:szCs w:val="20"/>
                <w:lang w:val="es-ES"/>
              </w:rPr>
              <w:t>(</w:t>
            </w:r>
            <w:r w:rsidRPr="00487E74">
              <w:rPr>
                <w:color w:val="000000"/>
                <w:sz w:val="20"/>
                <w:szCs w:val="20"/>
                <w:lang w:val="es-ES"/>
              </w:rPr>
              <w:t>Informe Intermedio y</w:t>
            </w:r>
            <w:r>
              <w:rPr>
                <w:color w:val="000000"/>
                <w:sz w:val="20"/>
                <w:szCs w:val="20"/>
                <w:lang w:val="es-ES"/>
              </w:rPr>
              <w:t xml:space="preserve"> final)</w:t>
            </w:r>
          </w:p>
          <w:p w14:paraId="672D4279" w14:textId="77777777" w:rsidR="00C57F89" w:rsidRPr="002D1B02" w:rsidRDefault="00C57F89" w:rsidP="00B10D6F">
            <w:pPr>
              <w:tabs>
                <w:tab w:val="left" w:pos="3184"/>
              </w:tabs>
              <w:ind w:left="87"/>
              <w:contextualSpacing/>
              <w:jc w:val="center"/>
              <w:rPr>
                <w:b/>
                <w:sz w:val="20"/>
                <w:szCs w:val="20"/>
                <w:lang w:val="es-ES"/>
              </w:rPr>
            </w:pPr>
          </w:p>
        </w:tc>
      </w:tr>
      <w:tr w:rsidR="00274557" w:rsidRPr="002D1B02" w14:paraId="1A96672F" w14:textId="77777777" w:rsidTr="00274557">
        <w:trPr>
          <w:trHeight w:val="1350"/>
          <w:jc w:val="center"/>
        </w:trPr>
        <w:tc>
          <w:tcPr>
            <w:tcW w:w="3213" w:type="dxa"/>
            <w:gridSpan w:val="2"/>
            <w:vAlign w:val="center"/>
          </w:tcPr>
          <w:p w14:paraId="393F0F27" w14:textId="418F77A2" w:rsidR="00274557" w:rsidRPr="002D1B02" w:rsidRDefault="00274557" w:rsidP="00C376C5">
            <w:pPr>
              <w:pStyle w:val="Default"/>
              <w:tabs>
                <w:tab w:val="left" w:pos="3184"/>
              </w:tabs>
              <w:contextualSpacing/>
              <w:jc w:val="both"/>
              <w:rPr>
                <w:sz w:val="20"/>
                <w:szCs w:val="20"/>
                <w:lang w:val="es-ES"/>
              </w:rPr>
            </w:pPr>
            <w:r w:rsidRPr="002D1B02">
              <w:rPr>
                <w:sz w:val="20"/>
                <w:szCs w:val="20"/>
                <w:lang w:val="es-ES"/>
              </w:rPr>
              <w:t>1.Índice de Desempeño en Logística de Panamá (LPI)</w:t>
            </w:r>
          </w:p>
        </w:tc>
        <w:tc>
          <w:tcPr>
            <w:tcW w:w="956" w:type="dxa"/>
            <w:vAlign w:val="center"/>
          </w:tcPr>
          <w:p w14:paraId="4335192B" w14:textId="73A4B587" w:rsidR="00274557" w:rsidRPr="002D1B02" w:rsidRDefault="00274557" w:rsidP="00916118">
            <w:pPr>
              <w:pStyle w:val="Default"/>
              <w:tabs>
                <w:tab w:val="left" w:pos="3184"/>
              </w:tabs>
              <w:contextualSpacing/>
              <w:jc w:val="center"/>
              <w:rPr>
                <w:sz w:val="20"/>
                <w:szCs w:val="20"/>
                <w:lang w:val="es-ES"/>
              </w:rPr>
            </w:pPr>
            <w:r>
              <w:rPr>
                <w:sz w:val="20"/>
                <w:szCs w:val="20"/>
                <w:lang w:val="es-ES"/>
              </w:rPr>
              <w:t>3.19</w:t>
            </w:r>
          </w:p>
        </w:tc>
        <w:tc>
          <w:tcPr>
            <w:tcW w:w="956" w:type="dxa"/>
            <w:vAlign w:val="center"/>
          </w:tcPr>
          <w:p w14:paraId="1214525C" w14:textId="10292B4D" w:rsidR="00274557" w:rsidRDefault="00274557">
            <w:pPr>
              <w:pStyle w:val="Default"/>
              <w:tabs>
                <w:tab w:val="left" w:pos="3184"/>
              </w:tabs>
              <w:contextualSpacing/>
              <w:jc w:val="center"/>
              <w:rPr>
                <w:sz w:val="20"/>
                <w:szCs w:val="20"/>
                <w:lang w:val="es-ES"/>
              </w:rPr>
            </w:pPr>
            <w:r>
              <w:rPr>
                <w:sz w:val="20"/>
                <w:szCs w:val="20"/>
                <w:lang w:val="es-ES"/>
              </w:rPr>
              <w:t>3.34</w:t>
            </w:r>
          </w:p>
        </w:tc>
        <w:tc>
          <w:tcPr>
            <w:tcW w:w="956" w:type="dxa"/>
            <w:vAlign w:val="center"/>
          </w:tcPr>
          <w:p w14:paraId="671363D4" w14:textId="56F4A203" w:rsidR="00274557" w:rsidRPr="002D1B02" w:rsidRDefault="00274557" w:rsidP="00C376C5">
            <w:pPr>
              <w:pStyle w:val="Default"/>
              <w:tabs>
                <w:tab w:val="left" w:pos="3184"/>
              </w:tabs>
              <w:contextualSpacing/>
              <w:jc w:val="center"/>
              <w:rPr>
                <w:sz w:val="20"/>
                <w:szCs w:val="20"/>
                <w:lang w:val="es-ES"/>
              </w:rPr>
            </w:pPr>
            <w:r>
              <w:rPr>
                <w:sz w:val="20"/>
                <w:szCs w:val="20"/>
                <w:lang w:val="es-ES"/>
              </w:rPr>
              <w:t>3,46</w:t>
            </w:r>
          </w:p>
        </w:tc>
        <w:tc>
          <w:tcPr>
            <w:tcW w:w="2610" w:type="dxa"/>
            <w:vAlign w:val="center"/>
          </w:tcPr>
          <w:p w14:paraId="6DE9BAB8" w14:textId="2B3EC480" w:rsidR="00274557" w:rsidRPr="002D1B02" w:rsidRDefault="00274557" w:rsidP="00916118">
            <w:pPr>
              <w:tabs>
                <w:tab w:val="left" w:pos="3184"/>
              </w:tabs>
              <w:ind w:left="87"/>
              <w:contextualSpacing/>
              <w:jc w:val="both"/>
              <w:rPr>
                <w:color w:val="000000"/>
                <w:sz w:val="20"/>
                <w:szCs w:val="20"/>
                <w:lang w:val="es-ES"/>
              </w:rPr>
            </w:pPr>
            <w:proofErr w:type="spellStart"/>
            <w:r w:rsidRPr="002D1B02">
              <w:rPr>
                <w:i/>
                <w:color w:val="000000"/>
                <w:sz w:val="20"/>
                <w:szCs w:val="20"/>
                <w:lang w:val="es-ES"/>
              </w:rPr>
              <w:t>Logistics</w:t>
            </w:r>
            <w:proofErr w:type="spellEnd"/>
            <w:r w:rsidRPr="002D1B02">
              <w:rPr>
                <w:i/>
                <w:color w:val="000000"/>
                <w:sz w:val="20"/>
                <w:szCs w:val="20"/>
                <w:lang w:val="es-ES"/>
              </w:rPr>
              <w:t xml:space="preserve"> Performance </w:t>
            </w:r>
            <w:proofErr w:type="spellStart"/>
            <w:r w:rsidRPr="002D1B02">
              <w:rPr>
                <w:i/>
                <w:color w:val="000000"/>
                <w:sz w:val="20"/>
                <w:szCs w:val="20"/>
                <w:lang w:val="es-ES"/>
              </w:rPr>
              <w:t>Index</w:t>
            </w:r>
            <w:proofErr w:type="spellEnd"/>
            <w:r w:rsidRPr="002D1B02">
              <w:rPr>
                <w:i/>
                <w:color w:val="000000"/>
                <w:sz w:val="20"/>
                <w:szCs w:val="20"/>
                <w:lang w:val="es-ES"/>
              </w:rPr>
              <w:t xml:space="preserve"> </w:t>
            </w:r>
            <w:proofErr w:type="spellStart"/>
            <w:r w:rsidRPr="002D1B02">
              <w:rPr>
                <w:i/>
                <w:color w:val="000000"/>
                <w:sz w:val="20"/>
                <w:szCs w:val="20"/>
                <w:lang w:val="es-ES"/>
              </w:rPr>
              <w:t>Report</w:t>
            </w:r>
            <w:proofErr w:type="spellEnd"/>
            <w:r w:rsidRPr="002D1B02">
              <w:rPr>
                <w:color w:val="000000"/>
                <w:sz w:val="20"/>
                <w:szCs w:val="20"/>
                <w:lang w:val="es-ES"/>
              </w:rPr>
              <w:t xml:space="preserve"> LPI– Banco Mundial</w:t>
            </w:r>
          </w:p>
        </w:tc>
        <w:tc>
          <w:tcPr>
            <w:tcW w:w="1453" w:type="dxa"/>
            <w:vMerge/>
            <w:shd w:val="clear" w:color="auto" w:fill="auto"/>
            <w:vAlign w:val="center"/>
          </w:tcPr>
          <w:p w14:paraId="3AAD049A" w14:textId="77777777" w:rsidR="00274557" w:rsidRPr="00B10D6F" w:rsidRDefault="00274557" w:rsidP="00B10D6F">
            <w:pPr>
              <w:tabs>
                <w:tab w:val="left" w:pos="3184"/>
              </w:tabs>
              <w:ind w:left="87"/>
              <w:contextualSpacing/>
              <w:jc w:val="center"/>
              <w:rPr>
                <w:color w:val="000000"/>
                <w:sz w:val="20"/>
                <w:szCs w:val="20"/>
                <w:lang w:val="es-ES"/>
              </w:rPr>
            </w:pPr>
          </w:p>
        </w:tc>
      </w:tr>
      <w:tr w:rsidR="00C57F89" w:rsidRPr="002D1B02" w14:paraId="54CFEE0D" w14:textId="77777777" w:rsidTr="00916118">
        <w:trPr>
          <w:trHeight w:hRule="exact" w:val="397"/>
          <w:jc w:val="center"/>
        </w:trPr>
        <w:tc>
          <w:tcPr>
            <w:tcW w:w="955" w:type="dxa"/>
            <w:shd w:val="clear" w:color="auto" w:fill="C6D9F1" w:themeFill="text2" w:themeFillTint="33"/>
          </w:tcPr>
          <w:p w14:paraId="48FF7B70" w14:textId="77777777" w:rsidR="00C57F89" w:rsidRPr="006505D5" w:rsidRDefault="00C57F89" w:rsidP="008A02B3">
            <w:pPr>
              <w:pStyle w:val="Paragraph"/>
              <w:tabs>
                <w:tab w:val="clear" w:pos="1440"/>
              </w:tabs>
              <w:spacing w:before="100" w:after="100"/>
              <w:ind w:left="0" w:firstLine="0"/>
              <w:rPr>
                <w:b/>
                <w:sz w:val="20"/>
                <w:lang w:val="es-ES"/>
              </w:rPr>
            </w:pPr>
          </w:p>
        </w:tc>
        <w:tc>
          <w:tcPr>
            <w:tcW w:w="7736" w:type="dxa"/>
            <w:gridSpan w:val="5"/>
            <w:shd w:val="clear" w:color="auto" w:fill="C6D9F1" w:themeFill="text2" w:themeFillTint="33"/>
            <w:vAlign w:val="center"/>
          </w:tcPr>
          <w:p w14:paraId="225BDC5C" w14:textId="0897F786" w:rsidR="00C57F89" w:rsidRPr="006505D5" w:rsidRDefault="00C57F89" w:rsidP="008A02B3">
            <w:pPr>
              <w:pStyle w:val="Paragraph"/>
              <w:tabs>
                <w:tab w:val="clear" w:pos="1440"/>
              </w:tabs>
              <w:spacing w:before="100" w:after="100"/>
              <w:ind w:left="0" w:firstLine="0"/>
              <w:rPr>
                <w:b/>
                <w:sz w:val="20"/>
                <w:lang w:val="es-ES"/>
              </w:rPr>
            </w:pPr>
            <w:r w:rsidRPr="006505D5">
              <w:rPr>
                <w:b/>
                <w:sz w:val="20"/>
                <w:lang w:val="es-ES"/>
              </w:rPr>
              <w:t>RESULTADOS</w:t>
            </w:r>
          </w:p>
        </w:tc>
        <w:tc>
          <w:tcPr>
            <w:tcW w:w="1453" w:type="dxa"/>
            <w:vMerge/>
            <w:shd w:val="clear" w:color="auto" w:fill="auto"/>
            <w:vAlign w:val="center"/>
          </w:tcPr>
          <w:p w14:paraId="39217D47" w14:textId="77777777" w:rsidR="00C57F89" w:rsidRPr="002D1B02" w:rsidRDefault="00C57F89" w:rsidP="00B10D6F">
            <w:pPr>
              <w:contextualSpacing/>
              <w:jc w:val="center"/>
              <w:rPr>
                <w:b/>
                <w:sz w:val="20"/>
                <w:szCs w:val="20"/>
                <w:lang w:val="es-ES"/>
              </w:rPr>
            </w:pPr>
          </w:p>
        </w:tc>
      </w:tr>
      <w:tr w:rsidR="00C57F89" w:rsidRPr="000F3F6A" w14:paraId="62B47D5B" w14:textId="77777777" w:rsidTr="00916118">
        <w:trPr>
          <w:trHeight w:hRule="exact" w:val="937"/>
          <w:jc w:val="center"/>
        </w:trPr>
        <w:tc>
          <w:tcPr>
            <w:tcW w:w="3213" w:type="dxa"/>
            <w:gridSpan w:val="2"/>
            <w:vAlign w:val="center"/>
          </w:tcPr>
          <w:p w14:paraId="47EC39B8" w14:textId="77777777" w:rsidR="00C57F89" w:rsidRPr="002D1B02" w:rsidRDefault="00C57F89" w:rsidP="00B558D6">
            <w:pPr>
              <w:pStyle w:val="Default"/>
              <w:tabs>
                <w:tab w:val="left" w:pos="3184"/>
              </w:tabs>
              <w:ind w:left="-17"/>
              <w:contextualSpacing/>
              <w:rPr>
                <w:sz w:val="20"/>
                <w:szCs w:val="20"/>
                <w:lang w:val="es-ES"/>
              </w:rPr>
            </w:pPr>
            <w:r w:rsidRPr="002D1B02">
              <w:rPr>
                <w:sz w:val="20"/>
                <w:szCs w:val="20"/>
                <w:lang w:val="es-ES"/>
              </w:rPr>
              <w:lastRenderedPageBreak/>
              <w:t xml:space="preserve">1. </w:t>
            </w:r>
            <w:r w:rsidRPr="006B5C00">
              <w:rPr>
                <w:sz w:val="20"/>
                <w:szCs w:val="20"/>
                <w:lang w:val="es-ES"/>
              </w:rPr>
              <w:t>Porcentaje de la inversión pública ejecutada en el sector de transporte y logística sobre la inversión total ejecutada en el período 2015- 2020.</w:t>
            </w:r>
          </w:p>
        </w:tc>
        <w:tc>
          <w:tcPr>
            <w:tcW w:w="956" w:type="dxa"/>
            <w:vAlign w:val="center"/>
          </w:tcPr>
          <w:p w14:paraId="4C6F2F3F" w14:textId="77777777" w:rsidR="00C57F89" w:rsidRPr="00A147A9" w:rsidRDefault="00C57F89" w:rsidP="006B5C00">
            <w:pPr>
              <w:jc w:val="center"/>
              <w:rPr>
                <w:sz w:val="20"/>
                <w:szCs w:val="20"/>
                <w:lang w:val="es-ES"/>
              </w:rPr>
            </w:pPr>
            <w:r w:rsidRPr="00A147A9">
              <w:rPr>
                <w:sz w:val="20"/>
                <w:szCs w:val="20"/>
                <w:lang w:val="es-ES"/>
              </w:rPr>
              <w:t>5.9%</w:t>
            </w:r>
          </w:p>
        </w:tc>
        <w:tc>
          <w:tcPr>
            <w:tcW w:w="956" w:type="dxa"/>
            <w:vAlign w:val="center"/>
          </w:tcPr>
          <w:p w14:paraId="0ECA748C" w14:textId="305B8E79" w:rsidR="00C57F89" w:rsidRPr="00A147A9" w:rsidRDefault="006F7130">
            <w:pPr>
              <w:jc w:val="center"/>
              <w:rPr>
                <w:sz w:val="20"/>
                <w:szCs w:val="20"/>
                <w:lang w:val="es-ES"/>
              </w:rPr>
            </w:pPr>
            <w:r>
              <w:rPr>
                <w:sz w:val="20"/>
                <w:szCs w:val="20"/>
                <w:lang w:val="es-ES"/>
              </w:rPr>
              <w:t>6,50</w:t>
            </w:r>
            <w:r w:rsidR="00FC7E2F">
              <w:rPr>
                <w:sz w:val="20"/>
                <w:szCs w:val="20"/>
                <w:lang w:val="es-ES"/>
              </w:rPr>
              <w:t>%</w:t>
            </w:r>
          </w:p>
        </w:tc>
        <w:tc>
          <w:tcPr>
            <w:tcW w:w="956" w:type="dxa"/>
            <w:vAlign w:val="center"/>
          </w:tcPr>
          <w:p w14:paraId="607450D6" w14:textId="0C2F5487" w:rsidR="00C57F89" w:rsidRPr="00A147A9" w:rsidRDefault="00C57F89">
            <w:pPr>
              <w:jc w:val="center"/>
              <w:rPr>
                <w:sz w:val="20"/>
                <w:szCs w:val="20"/>
                <w:lang w:val="es-ES"/>
              </w:rPr>
            </w:pPr>
            <w:r w:rsidRPr="00A147A9">
              <w:rPr>
                <w:sz w:val="20"/>
                <w:szCs w:val="20"/>
                <w:lang w:val="es-ES"/>
              </w:rPr>
              <w:t>7.55</w:t>
            </w:r>
          </w:p>
        </w:tc>
        <w:tc>
          <w:tcPr>
            <w:tcW w:w="2610" w:type="dxa"/>
            <w:vAlign w:val="center"/>
          </w:tcPr>
          <w:p w14:paraId="694E107C" w14:textId="77777777" w:rsidR="00C57F89" w:rsidRPr="002D1B02" w:rsidRDefault="00C57F89" w:rsidP="008A02B3">
            <w:pPr>
              <w:contextualSpacing/>
              <w:jc w:val="both"/>
              <w:rPr>
                <w:sz w:val="20"/>
                <w:szCs w:val="20"/>
                <w:lang w:val="es-ES"/>
              </w:rPr>
            </w:pPr>
            <w:r w:rsidRPr="006B5C00">
              <w:rPr>
                <w:sz w:val="20"/>
                <w:szCs w:val="20"/>
                <w:lang w:val="es-ES"/>
              </w:rPr>
              <w:t>Informes Anuales de la Coordinación Logística con base en el presupuesto Nacional y en el Plan Estratégico de Gobierno</w:t>
            </w:r>
          </w:p>
        </w:tc>
        <w:tc>
          <w:tcPr>
            <w:tcW w:w="1453" w:type="dxa"/>
            <w:vMerge/>
            <w:shd w:val="clear" w:color="auto" w:fill="auto"/>
          </w:tcPr>
          <w:p w14:paraId="72DB50B7" w14:textId="77777777" w:rsidR="00C57F89" w:rsidRPr="002D1B02" w:rsidRDefault="00C57F89" w:rsidP="00833622">
            <w:pPr>
              <w:contextualSpacing/>
              <w:rPr>
                <w:sz w:val="20"/>
                <w:szCs w:val="20"/>
                <w:lang w:val="es-ES"/>
              </w:rPr>
            </w:pPr>
          </w:p>
        </w:tc>
      </w:tr>
      <w:tr w:rsidR="00C57F89" w:rsidRPr="00D00554" w14:paraId="036726BB" w14:textId="77777777" w:rsidTr="00916118">
        <w:trPr>
          <w:trHeight w:hRule="exact" w:val="730"/>
          <w:jc w:val="center"/>
        </w:trPr>
        <w:tc>
          <w:tcPr>
            <w:tcW w:w="3213" w:type="dxa"/>
            <w:gridSpan w:val="2"/>
            <w:vAlign w:val="center"/>
          </w:tcPr>
          <w:p w14:paraId="4139F615" w14:textId="77777777" w:rsidR="00C57F89" w:rsidRPr="002D1B02" w:rsidRDefault="00C57F89" w:rsidP="00B558D6">
            <w:pPr>
              <w:pStyle w:val="Default"/>
              <w:tabs>
                <w:tab w:val="left" w:pos="3184"/>
              </w:tabs>
              <w:ind w:left="-17"/>
              <w:contextualSpacing/>
              <w:rPr>
                <w:sz w:val="20"/>
                <w:szCs w:val="20"/>
                <w:lang w:val="es-ES"/>
              </w:rPr>
            </w:pPr>
            <w:r w:rsidRPr="002D1B02">
              <w:rPr>
                <w:sz w:val="20"/>
                <w:szCs w:val="20"/>
                <w:lang w:val="es-ES"/>
              </w:rPr>
              <w:t xml:space="preserve">2. </w:t>
            </w:r>
            <w:r w:rsidRPr="006B5C00">
              <w:rPr>
                <w:sz w:val="20"/>
                <w:szCs w:val="20"/>
                <w:lang w:val="es-ES"/>
              </w:rPr>
              <w:t>Tiempo de despacho de aduanas promedio para carga en Paso Canoas</w:t>
            </w:r>
          </w:p>
        </w:tc>
        <w:tc>
          <w:tcPr>
            <w:tcW w:w="956" w:type="dxa"/>
            <w:vAlign w:val="center"/>
          </w:tcPr>
          <w:p w14:paraId="67A25E4A" w14:textId="77777777" w:rsidR="00C57F89" w:rsidRPr="00A147A9" w:rsidRDefault="00C57F89" w:rsidP="006B5C00">
            <w:pPr>
              <w:jc w:val="center"/>
              <w:rPr>
                <w:sz w:val="20"/>
                <w:szCs w:val="20"/>
                <w:lang w:val="es-ES"/>
              </w:rPr>
            </w:pPr>
            <w:r w:rsidRPr="00A147A9">
              <w:rPr>
                <w:sz w:val="20"/>
                <w:szCs w:val="20"/>
                <w:lang w:val="es-ES"/>
              </w:rPr>
              <w:t>15h</w:t>
            </w:r>
          </w:p>
        </w:tc>
        <w:tc>
          <w:tcPr>
            <w:tcW w:w="956" w:type="dxa"/>
            <w:vAlign w:val="center"/>
          </w:tcPr>
          <w:p w14:paraId="14FCD35A" w14:textId="0B72AF4C" w:rsidR="00C57F89" w:rsidRPr="00A147A9" w:rsidRDefault="00FC7E2F">
            <w:pPr>
              <w:jc w:val="center"/>
              <w:rPr>
                <w:sz w:val="20"/>
                <w:szCs w:val="20"/>
                <w:lang w:val="es-ES"/>
              </w:rPr>
            </w:pPr>
            <w:r>
              <w:rPr>
                <w:sz w:val="20"/>
                <w:szCs w:val="20"/>
                <w:lang w:val="es-ES"/>
              </w:rPr>
              <w:t>15h</w:t>
            </w:r>
          </w:p>
        </w:tc>
        <w:tc>
          <w:tcPr>
            <w:tcW w:w="956" w:type="dxa"/>
            <w:vAlign w:val="center"/>
          </w:tcPr>
          <w:p w14:paraId="5B0834D7" w14:textId="07E5C680" w:rsidR="00C57F89" w:rsidRPr="00A147A9" w:rsidRDefault="00C57F89">
            <w:pPr>
              <w:jc w:val="center"/>
              <w:rPr>
                <w:sz w:val="20"/>
                <w:szCs w:val="20"/>
                <w:lang w:val="es-ES"/>
              </w:rPr>
            </w:pPr>
            <w:r w:rsidRPr="00A147A9">
              <w:rPr>
                <w:sz w:val="20"/>
                <w:szCs w:val="20"/>
                <w:lang w:val="es-ES"/>
              </w:rPr>
              <w:t>8:45h</w:t>
            </w:r>
          </w:p>
        </w:tc>
        <w:tc>
          <w:tcPr>
            <w:tcW w:w="2610" w:type="dxa"/>
            <w:vAlign w:val="center"/>
          </w:tcPr>
          <w:p w14:paraId="64E014E3" w14:textId="77777777" w:rsidR="00C57F89" w:rsidRPr="002D1B02" w:rsidRDefault="00C57F89" w:rsidP="008A02B3">
            <w:pPr>
              <w:contextualSpacing/>
              <w:jc w:val="both"/>
              <w:rPr>
                <w:sz w:val="20"/>
                <w:szCs w:val="20"/>
                <w:lang w:val="es-ES"/>
              </w:rPr>
            </w:pPr>
            <w:r w:rsidRPr="006B5C00">
              <w:rPr>
                <w:sz w:val="20"/>
                <w:szCs w:val="20"/>
                <w:lang w:val="es-ES"/>
              </w:rPr>
              <w:t xml:space="preserve">Informe de Gestión de la Autoridad Nacional </w:t>
            </w:r>
            <w:proofErr w:type="gramStart"/>
            <w:r w:rsidRPr="006B5C00">
              <w:rPr>
                <w:sz w:val="20"/>
                <w:szCs w:val="20"/>
                <w:lang w:val="es-ES"/>
              </w:rPr>
              <w:t>de  Aduanas</w:t>
            </w:r>
            <w:proofErr w:type="gramEnd"/>
            <w:r w:rsidRPr="006B5C00">
              <w:rPr>
                <w:sz w:val="20"/>
                <w:szCs w:val="20"/>
                <w:lang w:val="es-ES"/>
              </w:rPr>
              <w:t xml:space="preserve"> (ANA)</w:t>
            </w:r>
          </w:p>
        </w:tc>
        <w:tc>
          <w:tcPr>
            <w:tcW w:w="1453" w:type="dxa"/>
            <w:vMerge/>
            <w:shd w:val="clear" w:color="auto" w:fill="auto"/>
          </w:tcPr>
          <w:p w14:paraId="038E412E" w14:textId="77777777" w:rsidR="00C57F89" w:rsidRPr="002D1B02" w:rsidRDefault="00C57F89" w:rsidP="00833622">
            <w:pPr>
              <w:contextualSpacing/>
              <w:rPr>
                <w:sz w:val="20"/>
                <w:szCs w:val="20"/>
                <w:lang w:val="es-ES"/>
              </w:rPr>
            </w:pPr>
          </w:p>
        </w:tc>
      </w:tr>
      <w:tr w:rsidR="00C57F89" w:rsidRPr="000F3F6A" w14:paraId="73695C1F" w14:textId="77777777" w:rsidTr="00916118">
        <w:trPr>
          <w:trHeight w:hRule="exact" w:val="991"/>
          <w:jc w:val="center"/>
        </w:trPr>
        <w:tc>
          <w:tcPr>
            <w:tcW w:w="3213" w:type="dxa"/>
            <w:gridSpan w:val="2"/>
            <w:vAlign w:val="center"/>
          </w:tcPr>
          <w:p w14:paraId="27457D12" w14:textId="77777777" w:rsidR="00C57F89" w:rsidRPr="002D1B02" w:rsidRDefault="00C57F89" w:rsidP="00B558D6">
            <w:pPr>
              <w:pStyle w:val="Default"/>
              <w:tabs>
                <w:tab w:val="left" w:pos="3184"/>
              </w:tabs>
              <w:ind w:left="-17"/>
              <w:contextualSpacing/>
              <w:rPr>
                <w:sz w:val="20"/>
                <w:szCs w:val="20"/>
                <w:lang w:val="es-ES"/>
              </w:rPr>
            </w:pPr>
            <w:r>
              <w:rPr>
                <w:sz w:val="20"/>
                <w:szCs w:val="20"/>
                <w:lang w:val="es-ES"/>
              </w:rPr>
              <w:t>3</w:t>
            </w:r>
            <w:r w:rsidRPr="002D1B02">
              <w:rPr>
                <w:sz w:val="20"/>
                <w:szCs w:val="20"/>
                <w:lang w:val="es-ES"/>
              </w:rPr>
              <w:t xml:space="preserve">. </w:t>
            </w:r>
            <w:r w:rsidRPr="006B5C00">
              <w:rPr>
                <w:sz w:val="20"/>
                <w:szCs w:val="20"/>
                <w:lang w:val="es-ES"/>
              </w:rPr>
              <w:t>Porcentaje del total de puertos habilitados para la exportación de productos agrícolas nacionales sobre el total de puertos a nivel nacional.</w:t>
            </w:r>
          </w:p>
        </w:tc>
        <w:tc>
          <w:tcPr>
            <w:tcW w:w="956" w:type="dxa"/>
            <w:vAlign w:val="center"/>
          </w:tcPr>
          <w:p w14:paraId="2FDBEAAA" w14:textId="77777777" w:rsidR="00C57F89" w:rsidRPr="00A147A9" w:rsidRDefault="00C57F89" w:rsidP="006B5C00">
            <w:pPr>
              <w:jc w:val="center"/>
              <w:rPr>
                <w:sz w:val="20"/>
                <w:szCs w:val="20"/>
                <w:lang w:val="es-ES"/>
              </w:rPr>
            </w:pPr>
            <w:r w:rsidRPr="00A147A9">
              <w:rPr>
                <w:sz w:val="20"/>
                <w:szCs w:val="20"/>
                <w:lang w:val="es-ES"/>
              </w:rPr>
              <w:t>18%</w:t>
            </w:r>
          </w:p>
        </w:tc>
        <w:tc>
          <w:tcPr>
            <w:tcW w:w="956" w:type="dxa"/>
            <w:vAlign w:val="center"/>
          </w:tcPr>
          <w:p w14:paraId="65C6073E" w14:textId="6415AFC1" w:rsidR="00C57F89" w:rsidRPr="00A147A9" w:rsidRDefault="00FC7E2F">
            <w:pPr>
              <w:jc w:val="center"/>
              <w:rPr>
                <w:sz w:val="20"/>
                <w:szCs w:val="20"/>
                <w:lang w:val="es-ES"/>
              </w:rPr>
            </w:pPr>
            <w:r>
              <w:rPr>
                <w:sz w:val="20"/>
                <w:szCs w:val="20"/>
                <w:lang w:val="es-ES"/>
              </w:rPr>
              <w:t>21%</w:t>
            </w:r>
          </w:p>
        </w:tc>
        <w:tc>
          <w:tcPr>
            <w:tcW w:w="956" w:type="dxa"/>
            <w:vAlign w:val="center"/>
          </w:tcPr>
          <w:p w14:paraId="22C64E68" w14:textId="4244D5AC" w:rsidR="00C57F89" w:rsidRPr="00A147A9" w:rsidRDefault="00C57F89">
            <w:pPr>
              <w:jc w:val="center"/>
              <w:rPr>
                <w:sz w:val="20"/>
                <w:szCs w:val="20"/>
                <w:lang w:val="es-ES"/>
              </w:rPr>
            </w:pPr>
            <w:r w:rsidRPr="00A147A9">
              <w:rPr>
                <w:sz w:val="20"/>
                <w:szCs w:val="20"/>
                <w:lang w:val="es-ES"/>
              </w:rPr>
              <w:t>25%</w:t>
            </w:r>
          </w:p>
        </w:tc>
        <w:tc>
          <w:tcPr>
            <w:tcW w:w="2610" w:type="dxa"/>
            <w:vAlign w:val="center"/>
          </w:tcPr>
          <w:p w14:paraId="2CBAACAC" w14:textId="77777777" w:rsidR="00C57F89" w:rsidRPr="002D1B02" w:rsidRDefault="00C57F89" w:rsidP="008A02B3">
            <w:pPr>
              <w:contextualSpacing/>
              <w:jc w:val="both"/>
              <w:rPr>
                <w:sz w:val="20"/>
                <w:szCs w:val="20"/>
                <w:lang w:val="es-ES"/>
              </w:rPr>
            </w:pPr>
            <w:r w:rsidRPr="002D1B02">
              <w:rPr>
                <w:sz w:val="20"/>
                <w:szCs w:val="20"/>
                <w:lang w:val="es-ES"/>
              </w:rPr>
              <w:t xml:space="preserve">Boletín Estadístico </w:t>
            </w:r>
            <w:r w:rsidRPr="00117928">
              <w:rPr>
                <w:sz w:val="20"/>
                <w:szCs w:val="20"/>
                <w:lang w:val="es-ES"/>
              </w:rPr>
              <w:t>Autoridad Marítima de Panamá (AMP)</w:t>
            </w:r>
          </w:p>
        </w:tc>
        <w:tc>
          <w:tcPr>
            <w:tcW w:w="1453" w:type="dxa"/>
            <w:vMerge/>
            <w:shd w:val="clear" w:color="auto" w:fill="auto"/>
          </w:tcPr>
          <w:p w14:paraId="107F0181" w14:textId="77777777" w:rsidR="00C57F89" w:rsidRPr="002D1B02" w:rsidRDefault="00C57F89" w:rsidP="00833622">
            <w:pPr>
              <w:contextualSpacing/>
              <w:rPr>
                <w:sz w:val="20"/>
                <w:szCs w:val="20"/>
                <w:lang w:val="es-ES"/>
              </w:rPr>
            </w:pPr>
          </w:p>
        </w:tc>
      </w:tr>
      <w:tr w:rsidR="00C57F89" w:rsidRPr="002D1B02" w14:paraId="7153020E" w14:textId="77777777" w:rsidTr="00916118">
        <w:trPr>
          <w:trHeight w:val="908"/>
          <w:jc w:val="center"/>
        </w:trPr>
        <w:tc>
          <w:tcPr>
            <w:tcW w:w="3213" w:type="dxa"/>
            <w:gridSpan w:val="2"/>
            <w:vAlign w:val="center"/>
          </w:tcPr>
          <w:p w14:paraId="2BFFFC30" w14:textId="77777777" w:rsidR="00C57F89" w:rsidRPr="002D1B02" w:rsidRDefault="00C57F89" w:rsidP="00B558D6">
            <w:pPr>
              <w:ind w:hanging="18"/>
              <w:rPr>
                <w:sz w:val="20"/>
                <w:szCs w:val="20"/>
                <w:lang w:val="es-ES"/>
              </w:rPr>
            </w:pPr>
            <w:r w:rsidRPr="001933FE">
              <w:rPr>
                <w:sz w:val="20"/>
                <w:szCs w:val="20"/>
                <w:lang w:val="es-ES"/>
              </w:rPr>
              <w:t>4</w:t>
            </w:r>
            <w:r w:rsidRPr="002D1B02">
              <w:rPr>
                <w:sz w:val="20"/>
                <w:szCs w:val="20"/>
                <w:lang w:val="es-ES"/>
              </w:rPr>
              <w:t xml:space="preserve"> </w:t>
            </w:r>
            <w:proofErr w:type="gramStart"/>
            <w:r w:rsidRPr="006B5C00">
              <w:rPr>
                <w:sz w:val="20"/>
                <w:szCs w:val="20"/>
                <w:lang w:val="es-ES"/>
              </w:rPr>
              <w:t>Porcentaje</w:t>
            </w:r>
            <w:proofErr w:type="gramEnd"/>
            <w:r w:rsidRPr="006B5C00">
              <w:rPr>
                <w:sz w:val="20"/>
                <w:szCs w:val="20"/>
                <w:lang w:val="es-ES"/>
              </w:rPr>
              <w:t xml:space="preserve"> de la superficie de logística con actividad real sobre la superficie de logística total disponible en el país.</w:t>
            </w:r>
          </w:p>
        </w:tc>
        <w:tc>
          <w:tcPr>
            <w:tcW w:w="956" w:type="dxa"/>
            <w:vAlign w:val="center"/>
          </w:tcPr>
          <w:p w14:paraId="167A78B5" w14:textId="77777777" w:rsidR="00C57F89" w:rsidRPr="00A147A9" w:rsidRDefault="00C57F89" w:rsidP="006B5C00">
            <w:pPr>
              <w:jc w:val="center"/>
              <w:rPr>
                <w:sz w:val="20"/>
                <w:szCs w:val="20"/>
                <w:lang w:val="es-ES"/>
              </w:rPr>
            </w:pPr>
            <w:r w:rsidRPr="00A147A9">
              <w:rPr>
                <w:sz w:val="20"/>
                <w:szCs w:val="20"/>
                <w:lang w:val="es-ES"/>
              </w:rPr>
              <w:t>39%</w:t>
            </w:r>
          </w:p>
        </w:tc>
        <w:tc>
          <w:tcPr>
            <w:tcW w:w="956" w:type="dxa"/>
            <w:vAlign w:val="center"/>
          </w:tcPr>
          <w:p w14:paraId="10ED8B68" w14:textId="4CC5F375" w:rsidR="00C57F89" w:rsidRPr="00A147A9" w:rsidRDefault="00FC7E2F">
            <w:pPr>
              <w:jc w:val="center"/>
              <w:rPr>
                <w:sz w:val="20"/>
                <w:szCs w:val="20"/>
                <w:lang w:val="es-ES"/>
              </w:rPr>
            </w:pPr>
            <w:r>
              <w:rPr>
                <w:sz w:val="20"/>
                <w:szCs w:val="20"/>
                <w:lang w:val="es-ES"/>
              </w:rPr>
              <w:t>60%</w:t>
            </w:r>
          </w:p>
        </w:tc>
        <w:tc>
          <w:tcPr>
            <w:tcW w:w="956" w:type="dxa"/>
            <w:vAlign w:val="center"/>
          </w:tcPr>
          <w:p w14:paraId="7375853A" w14:textId="7910B49B" w:rsidR="00C57F89" w:rsidRPr="00A147A9" w:rsidRDefault="00C57F89">
            <w:pPr>
              <w:jc w:val="center"/>
              <w:rPr>
                <w:sz w:val="20"/>
                <w:szCs w:val="20"/>
                <w:lang w:val="es-ES"/>
              </w:rPr>
            </w:pPr>
            <w:r w:rsidRPr="00A147A9">
              <w:rPr>
                <w:sz w:val="20"/>
                <w:szCs w:val="20"/>
                <w:lang w:val="es-ES"/>
              </w:rPr>
              <w:t>80%</w:t>
            </w:r>
          </w:p>
        </w:tc>
        <w:tc>
          <w:tcPr>
            <w:tcW w:w="2610" w:type="dxa"/>
            <w:vAlign w:val="center"/>
          </w:tcPr>
          <w:p w14:paraId="7E84FB3A" w14:textId="77777777" w:rsidR="00C57F89" w:rsidRPr="002D1B02" w:rsidRDefault="00C57F89" w:rsidP="008A02B3">
            <w:pPr>
              <w:contextualSpacing/>
              <w:jc w:val="both"/>
              <w:rPr>
                <w:color w:val="000000"/>
                <w:sz w:val="20"/>
                <w:szCs w:val="20"/>
                <w:lang w:val="es-ES"/>
              </w:rPr>
            </w:pPr>
            <w:r w:rsidRPr="006B5C00">
              <w:rPr>
                <w:color w:val="000000"/>
                <w:sz w:val="20"/>
                <w:szCs w:val="20"/>
                <w:lang w:val="es-ES"/>
              </w:rPr>
              <w:t>Informes Anuales del Ministerio de Comercio e Industria (MICI).</w:t>
            </w:r>
          </w:p>
        </w:tc>
        <w:tc>
          <w:tcPr>
            <w:tcW w:w="1453" w:type="dxa"/>
            <w:vMerge/>
            <w:shd w:val="clear" w:color="auto" w:fill="auto"/>
          </w:tcPr>
          <w:p w14:paraId="4EA6D555" w14:textId="77777777" w:rsidR="00C57F89" w:rsidRPr="002D1B02" w:rsidRDefault="00C57F89" w:rsidP="00833622">
            <w:pPr>
              <w:contextualSpacing/>
              <w:rPr>
                <w:color w:val="000000"/>
                <w:sz w:val="20"/>
                <w:szCs w:val="20"/>
                <w:lang w:val="es-ES"/>
              </w:rPr>
            </w:pPr>
          </w:p>
        </w:tc>
      </w:tr>
      <w:tr w:rsidR="00C57F89" w:rsidRPr="002D1B02" w14:paraId="4DD5AE2F" w14:textId="77777777" w:rsidTr="00916118">
        <w:trPr>
          <w:trHeight w:hRule="exact" w:val="982"/>
          <w:jc w:val="center"/>
        </w:trPr>
        <w:tc>
          <w:tcPr>
            <w:tcW w:w="3213" w:type="dxa"/>
            <w:gridSpan w:val="2"/>
            <w:vAlign w:val="center"/>
          </w:tcPr>
          <w:p w14:paraId="1882CDAC" w14:textId="77777777" w:rsidR="00C57F89" w:rsidRPr="002D1B02" w:rsidRDefault="00C57F89" w:rsidP="00B558D6">
            <w:pPr>
              <w:ind w:hanging="18"/>
              <w:rPr>
                <w:sz w:val="20"/>
                <w:szCs w:val="20"/>
                <w:lang w:val="es-ES"/>
              </w:rPr>
            </w:pPr>
            <w:r>
              <w:rPr>
                <w:color w:val="000000"/>
                <w:sz w:val="20"/>
                <w:szCs w:val="20"/>
                <w:lang w:val="es-ES"/>
              </w:rPr>
              <w:t>5</w:t>
            </w:r>
            <w:r w:rsidRPr="002D1B02">
              <w:rPr>
                <w:color w:val="000000"/>
                <w:sz w:val="20"/>
                <w:szCs w:val="20"/>
                <w:lang w:val="es-ES"/>
              </w:rPr>
              <w:t xml:space="preserve">. </w:t>
            </w:r>
            <w:r w:rsidRPr="006B5C00">
              <w:rPr>
                <w:color w:val="000000"/>
                <w:sz w:val="20"/>
                <w:szCs w:val="20"/>
                <w:lang w:val="es-ES"/>
              </w:rPr>
              <w:t xml:space="preserve">Perfiles ocupacionales en disciplinas de </w:t>
            </w:r>
            <w:proofErr w:type="gramStart"/>
            <w:r w:rsidRPr="006B5C00">
              <w:rPr>
                <w:color w:val="000000"/>
                <w:sz w:val="20"/>
                <w:szCs w:val="20"/>
                <w:lang w:val="es-ES"/>
              </w:rPr>
              <w:t>logística  que</w:t>
            </w:r>
            <w:proofErr w:type="gramEnd"/>
            <w:r w:rsidRPr="006B5C00">
              <w:rPr>
                <w:color w:val="000000"/>
                <w:sz w:val="20"/>
                <w:szCs w:val="20"/>
                <w:lang w:val="es-ES"/>
              </w:rPr>
              <w:t xml:space="preserve"> cuentan con oferta de cursos o certificaciones (universitarias, vocacionales o cursos cortos)</w:t>
            </w:r>
          </w:p>
          <w:p w14:paraId="6D18F940" w14:textId="77777777" w:rsidR="00C57F89" w:rsidRPr="002D1B02" w:rsidRDefault="00C57F89" w:rsidP="00B558D6">
            <w:pPr>
              <w:spacing w:before="60" w:after="60"/>
              <w:rPr>
                <w:lang w:val="es-ES"/>
              </w:rPr>
            </w:pPr>
          </w:p>
        </w:tc>
        <w:tc>
          <w:tcPr>
            <w:tcW w:w="956" w:type="dxa"/>
            <w:vAlign w:val="center"/>
          </w:tcPr>
          <w:p w14:paraId="721F0E2C" w14:textId="77777777" w:rsidR="00C57F89" w:rsidRPr="00A147A9" w:rsidRDefault="00C57F89" w:rsidP="006B5C00">
            <w:pPr>
              <w:jc w:val="center"/>
              <w:rPr>
                <w:sz w:val="20"/>
                <w:szCs w:val="20"/>
                <w:lang w:val="es-ES"/>
              </w:rPr>
            </w:pPr>
            <w:r w:rsidRPr="00A147A9">
              <w:rPr>
                <w:sz w:val="20"/>
                <w:szCs w:val="20"/>
                <w:lang w:val="es-ES"/>
              </w:rPr>
              <w:t>29</w:t>
            </w:r>
            <w:r w:rsidRPr="00A147A9">
              <w:rPr>
                <w:sz w:val="20"/>
                <w:szCs w:val="20"/>
                <w:vertAlign w:val="superscript"/>
                <w:lang w:val="es-ES"/>
              </w:rPr>
              <w:footnoteReference w:id="2"/>
            </w:r>
          </w:p>
        </w:tc>
        <w:tc>
          <w:tcPr>
            <w:tcW w:w="956" w:type="dxa"/>
            <w:vAlign w:val="center"/>
          </w:tcPr>
          <w:p w14:paraId="09063E9D" w14:textId="33CCA0C0" w:rsidR="00C57F89" w:rsidRPr="00A147A9" w:rsidRDefault="00FC7E2F">
            <w:pPr>
              <w:jc w:val="center"/>
              <w:rPr>
                <w:sz w:val="20"/>
                <w:szCs w:val="20"/>
                <w:lang w:val="es-ES"/>
              </w:rPr>
            </w:pPr>
            <w:r>
              <w:rPr>
                <w:sz w:val="20"/>
                <w:szCs w:val="20"/>
                <w:lang w:val="es-ES"/>
              </w:rPr>
              <w:t>36</w:t>
            </w:r>
          </w:p>
        </w:tc>
        <w:tc>
          <w:tcPr>
            <w:tcW w:w="956" w:type="dxa"/>
            <w:vAlign w:val="center"/>
          </w:tcPr>
          <w:p w14:paraId="2C6FACFD" w14:textId="0409DA3E" w:rsidR="00C57F89" w:rsidRPr="00A147A9" w:rsidRDefault="00C57F89">
            <w:pPr>
              <w:jc w:val="center"/>
              <w:rPr>
                <w:sz w:val="20"/>
                <w:szCs w:val="20"/>
                <w:lang w:val="es-ES"/>
              </w:rPr>
            </w:pPr>
            <w:r w:rsidRPr="00A147A9">
              <w:rPr>
                <w:sz w:val="20"/>
                <w:szCs w:val="20"/>
                <w:lang w:val="es-ES"/>
              </w:rPr>
              <w:t>42</w:t>
            </w:r>
          </w:p>
        </w:tc>
        <w:tc>
          <w:tcPr>
            <w:tcW w:w="2610" w:type="dxa"/>
            <w:vAlign w:val="center"/>
          </w:tcPr>
          <w:p w14:paraId="2E8A022F" w14:textId="220531EE" w:rsidR="00C57F89" w:rsidRPr="002D1B02" w:rsidRDefault="00C57F89" w:rsidP="00916118">
            <w:pPr>
              <w:spacing w:before="60" w:after="60"/>
              <w:jc w:val="both"/>
              <w:rPr>
                <w:color w:val="000000"/>
                <w:sz w:val="20"/>
                <w:szCs w:val="20"/>
                <w:lang w:val="es-ES"/>
              </w:rPr>
            </w:pPr>
            <w:r w:rsidRPr="002D1B02">
              <w:rPr>
                <w:color w:val="000000"/>
                <w:sz w:val="20"/>
                <w:szCs w:val="20"/>
                <w:lang w:val="es-ES"/>
              </w:rPr>
              <w:t>Informe del observatorio regional de logística Mesoamérica</w:t>
            </w:r>
          </w:p>
        </w:tc>
        <w:tc>
          <w:tcPr>
            <w:tcW w:w="1453" w:type="dxa"/>
            <w:vMerge/>
            <w:shd w:val="clear" w:color="auto" w:fill="auto"/>
          </w:tcPr>
          <w:p w14:paraId="7F82892E" w14:textId="77777777" w:rsidR="00C57F89" w:rsidRPr="002D1B02" w:rsidRDefault="00C57F89" w:rsidP="00833622">
            <w:pPr>
              <w:spacing w:before="60" w:after="60"/>
              <w:jc w:val="both"/>
              <w:rPr>
                <w:color w:val="000000"/>
                <w:sz w:val="20"/>
                <w:szCs w:val="20"/>
                <w:lang w:val="es-ES"/>
              </w:rPr>
            </w:pPr>
          </w:p>
        </w:tc>
      </w:tr>
    </w:tbl>
    <w:p w14:paraId="19882050" w14:textId="612A7837" w:rsidR="00406EA6" w:rsidRPr="00C376C5" w:rsidRDefault="00B558D6" w:rsidP="009F6685">
      <w:pPr>
        <w:pStyle w:val="Paragraph"/>
        <w:widowControl w:val="0"/>
        <w:numPr>
          <w:ilvl w:val="0"/>
          <w:numId w:val="8"/>
        </w:numPr>
        <w:ind w:left="0" w:firstLine="0"/>
        <w:rPr>
          <w:szCs w:val="24"/>
          <w:lang w:val="es-ES"/>
        </w:rPr>
      </w:pPr>
      <w:r w:rsidRPr="00C376C5">
        <w:rPr>
          <w:b/>
          <w:szCs w:val="24"/>
          <w:lang w:val="es-ES"/>
        </w:rPr>
        <w:t xml:space="preserve">Metodología de Evaluación. </w:t>
      </w:r>
      <w:bookmarkStart w:id="8" w:name="_Hlk510803325"/>
      <w:r w:rsidRPr="00C376C5">
        <w:rPr>
          <w:szCs w:val="24"/>
          <w:lang w:val="es-ES"/>
        </w:rPr>
        <w:t>La</w:t>
      </w:r>
      <w:r w:rsidR="00466834" w:rsidRPr="00C376C5">
        <w:rPr>
          <w:szCs w:val="24"/>
          <w:lang w:val="es-ES"/>
        </w:rPr>
        <w:t>s</w:t>
      </w:r>
      <w:r w:rsidRPr="00C376C5">
        <w:rPr>
          <w:szCs w:val="24"/>
          <w:lang w:val="es-ES"/>
        </w:rPr>
        <w:t xml:space="preserve"> metodología</w:t>
      </w:r>
      <w:r w:rsidR="00466834" w:rsidRPr="00C376C5">
        <w:rPr>
          <w:szCs w:val="24"/>
          <w:lang w:val="es-ES"/>
        </w:rPr>
        <w:t>s</w:t>
      </w:r>
      <w:r w:rsidRPr="00C376C5">
        <w:rPr>
          <w:szCs w:val="24"/>
          <w:lang w:val="es-ES"/>
        </w:rPr>
        <w:t xml:space="preserve"> propuesta</w:t>
      </w:r>
      <w:r w:rsidR="00466834" w:rsidRPr="00C376C5">
        <w:rPr>
          <w:szCs w:val="24"/>
          <w:lang w:val="es-ES"/>
        </w:rPr>
        <w:t>s</w:t>
      </w:r>
      <w:r w:rsidRPr="00C376C5">
        <w:rPr>
          <w:szCs w:val="24"/>
          <w:lang w:val="es-ES"/>
        </w:rPr>
        <w:t xml:space="preserve"> consiste</w:t>
      </w:r>
      <w:r w:rsidR="00466834" w:rsidRPr="00C376C5">
        <w:rPr>
          <w:szCs w:val="24"/>
          <w:lang w:val="es-ES"/>
        </w:rPr>
        <w:t>n</w:t>
      </w:r>
      <w:r w:rsidRPr="00C376C5">
        <w:rPr>
          <w:szCs w:val="24"/>
          <w:lang w:val="es-ES"/>
        </w:rPr>
        <w:t xml:space="preserve"> en</w:t>
      </w:r>
      <w:r w:rsidR="00466834" w:rsidRPr="00C376C5">
        <w:rPr>
          <w:szCs w:val="24"/>
          <w:lang w:val="es-ES"/>
        </w:rPr>
        <w:t>: i)</w:t>
      </w:r>
      <w:r w:rsidR="00CB45B5" w:rsidRPr="00487224">
        <w:rPr>
          <w:szCs w:val="24"/>
          <w:lang w:val="es-ES"/>
        </w:rPr>
        <w:t xml:space="preserve"> </w:t>
      </w:r>
      <w:r w:rsidR="009E4D93" w:rsidRPr="00C376C5">
        <w:rPr>
          <w:szCs w:val="24"/>
          <w:lang w:val="es-ES"/>
        </w:rPr>
        <w:t>Una Evaluación de Impacto semi-experimental, de la forma de control sintético</w:t>
      </w:r>
      <w:r w:rsidR="009E4D93">
        <w:rPr>
          <w:szCs w:val="24"/>
          <w:lang w:val="es-ES"/>
        </w:rPr>
        <w:t>;</w:t>
      </w:r>
      <w:r w:rsidR="00151BE1">
        <w:rPr>
          <w:szCs w:val="24"/>
          <w:lang w:val="es-ES"/>
        </w:rPr>
        <w:t xml:space="preserve"> y</w:t>
      </w:r>
      <w:r w:rsidR="009E4D93">
        <w:rPr>
          <w:szCs w:val="24"/>
          <w:lang w:val="es-ES"/>
        </w:rPr>
        <w:t xml:space="preserve"> ii) </w:t>
      </w:r>
      <w:r w:rsidR="00466834" w:rsidRPr="00487224">
        <w:rPr>
          <w:szCs w:val="24"/>
          <w:lang w:val="es-ES"/>
        </w:rPr>
        <w:t>U</w:t>
      </w:r>
      <w:r w:rsidRPr="00487224">
        <w:rPr>
          <w:szCs w:val="24"/>
          <w:lang w:val="es-ES"/>
        </w:rPr>
        <w:t>n</w:t>
      </w:r>
      <w:r w:rsidR="00FC0150" w:rsidRPr="00487224">
        <w:rPr>
          <w:szCs w:val="24"/>
          <w:lang w:val="es-ES"/>
        </w:rPr>
        <w:t xml:space="preserve">a evaluación </w:t>
      </w:r>
      <w:r w:rsidRPr="00487224">
        <w:rPr>
          <w:szCs w:val="24"/>
          <w:lang w:val="es-ES"/>
        </w:rPr>
        <w:t>antes – después para medir el alcance de los resultados</w:t>
      </w:r>
      <w:r w:rsidR="00FC0150" w:rsidRPr="00487224">
        <w:rPr>
          <w:szCs w:val="24"/>
          <w:lang w:val="es-ES"/>
        </w:rPr>
        <w:t xml:space="preserve"> e impactos, utilizando el método de evaluación </w:t>
      </w:r>
      <w:r w:rsidR="0030497B" w:rsidRPr="00487224">
        <w:rPr>
          <w:szCs w:val="24"/>
          <w:lang w:val="es-ES"/>
        </w:rPr>
        <w:t>reflexiva</w:t>
      </w:r>
      <w:r w:rsidR="00FC0150" w:rsidRPr="00487224">
        <w:rPr>
          <w:szCs w:val="24"/>
          <w:lang w:val="es-ES"/>
        </w:rPr>
        <w:t xml:space="preserve">; </w:t>
      </w:r>
    </w:p>
    <w:p w14:paraId="164C4B5F" w14:textId="0E058E68" w:rsidR="00EC58FE" w:rsidRPr="00BD3C56" w:rsidRDefault="001417F1" w:rsidP="00FC0150">
      <w:pPr>
        <w:pStyle w:val="Paragraph"/>
        <w:numPr>
          <w:ilvl w:val="1"/>
          <w:numId w:val="10"/>
        </w:numPr>
        <w:spacing w:before="100" w:after="100"/>
        <w:ind w:left="450" w:hanging="450"/>
        <w:rPr>
          <w:lang w:val="es-ES"/>
        </w:rPr>
      </w:pPr>
      <w:bookmarkStart w:id="9" w:name="_Hlk510803817"/>
      <w:bookmarkEnd w:id="8"/>
      <w:r w:rsidRPr="00FC0150">
        <w:rPr>
          <w:b/>
          <w:color w:val="000000"/>
          <w:lang w:val="es-ES"/>
        </w:rPr>
        <w:t>Evaluación de Impacto.</w:t>
      </w:r>
      <w:r w:rsidR="00EC58FE" w:rsidRPr="00FC0150">
        <w:rPr>
          <w:b/>
          <w:color w:val="000000"/>
          <w:lang w:val="es-ES"/>
        </w:rPr>
        <w:t xml:space="preserve"> </w:t>
      </w:r>
      <w:r w:rsidR="00EC58FE" w:rsidRPr="00FC0150">
        <w:rPr>
          <w:color w:val="000000"/>
          <w:lang w:val="es-ES"/>
        </w:rPr>
        <w:t xml:space="preserve">Se propone un análisis de impacto con el método de control sintético, que tiene como objetivo el </w:t>
      </w:r>
      <w:bookmarkStart w:id="10" w:name="_Hlk507056898"/>
      <w:r w:rsidR="00EC58FE" w:rsidRPr="00FC0150">
        <w:rPr>
          <w:color w:val="000000"/>
          <w:lang w:val="es-ES"/>
        </w:rPr>
        <w:t>verificar el impacto de las acciones de política implementadas por el G</w:t>
      </w:r>
      <w:r w:rsidR="00EC58FE" w:rsidRPr="00BD3C56">
        <w:rPr>
          <w:color w:val="000000"/>
          <w:lang w:val="es-ES"/>
        </w:rPr>
        <w:t xml:space="preserve">obierno de Panamá </w:t>
      </w:r>
      <w:r w:rsidR="00487224">
        <w:rPr>
          <w:color w:val="000000"/>
          <w:lang w:val="es-ES"/>
        </w:rPr>
        <w:t>dos</w:t>
      </w:r>
      <w:r w:rsidR="00487224" w:rsidRPr="00BD3C56">
        <w:rPr>
          <w:color w:val="000000"/>
          <w:lang w:val="es-ES"/>
        </w:rPr>
        <w:t xml:space="preserve"> </w:t>
      </w:r>
      <w:r w:rsidR="00EC58FE" w:rsidRPr="00BD3C56">
        <w:rPr>
          <w:color w:val="000000"/>
          <w:lang w:val="es-ES"/>
        </w:rPr>
        <w:t>años después de la implementación de</w:t>
      </w:r>
      <w:r w:rsidRPr="00BD3C56">
        <w:rPr>
          <w:color w:val="000000"/>
          <w:lang w:val="es-ES"/>
        </w:rPr>
        <w:t xml:space="preserve"> </w:t>
      </w:r>
      <w:r w:rsidR="00EC58FE" w:rsidRPr="00BD3C56">
        <w:rPr>
          <w:color w:val="000000"/>
          <w:lang w:val="es-ES"/>
        </w:rPr>
        <w:t>l</w:t>
      </w:r>
      <w:r w:rsidRPr="00BD3C56">
        <w:rPr>
          <w:color w:val="000000"/>
          <w:lang w:val="es-ES"/>
        </w:rPr>
        <w:t xml:space="preserve">a tercera fase </w:t>
      </w:r>
      <w:r w:rsidR="009F7F76" w:rsidRPr="00BD3C56">
        <w:rPr>
          <w:color w:val="000000"/>
          <w:lang w:val="es-ES"/>
        </w:rPr>
        <w:t>del Programático</w:t>
      </w:r>
      <w:r w:rsidR="00EC58FE" w:rsidRPr="00BD3C56">
        <w:rPr>
          <w:color w:val="000000"/>
          <w:lang w:val="es-ES"/>
        </w:rPr>
        <w:t xml:space="preserve">, el cual está orientado al fortalecimiento del sector de logística (para ver </w:t>
      </w:r>
      <w:r w:rsidR="00EC58FE" w:rsidRPr="00FC0150">
        <w:rPr>
          <w:color w:val="000000"/>
          <w:lang w:val="es-ES"/>
        </w:rPr>
        <w:t>mayor detalle de la metodología y el cálculo</w:t>
      </w:r>
      <w:r w:rsidR="00EC58FE" w:rsidRPr="00BD3C56">
        <w:rPr>
          <w:color w:val="000000"/>
          <w:lang w:val="es-ES"/>
        </w:rPr>
        <w:t xml:space="preserve"> </w:t>
      </w:r>
      <w:proofErr w:type="gramStart"/>
      <w:r w:rsidR="00487224" w:rsidRPr="00916118">
        <w:rPr>
          <w:color w:val="000000"/>
          <w:highlight w:val="yellow"/>
          <w:lang w:val="es-ES"/>
        </w:rPr>
        <w:t>EEO</w:t>
      </w:r>
      <w:r w:rsidR="00487224">
        <w:rPr>
          <w:color w:val="000000"/>
          <w:lang w:val="es-ES"/>
        </w:rPr>
        <w:t xml:space="preserve"> </w:t>
      </w:r>
      <w:r w:rsidR="00EC58FE" w:rsidRPr="00FC0150">
        <w:rPr>
          <w:color w:val="000000"/>
          <w:lang w:val="es-ES"/>
        </w:rPr>
        <w:t>)</w:t>
      </w:r>
      <w:proofErr w:type="gramEnd"/>
      <w:r w:rsidR="00EC58FE" w:rsidRPr="00FC0150">
        <w:rPr>
          <w:color w:val="000000"/>
          <w:lang w:val="es-ES"/>
        </w:rPr>
        <w:t>.</w:t>
      </w:r>
      <w:bookmarkEnd w:id="10"/>
    </w:p>
    <w:p w14:paraId="07F438BB" w14:textId="3552AD6C" w:rsidR="00F25C3F" w:rsidRPr="00E53316" w:rsidRDefault="00466834" w:rsidP="00916118">
      <w:pPr>
        <w:pStyle w:val="Paragraph"/>
        <w:numPr>
          <w:ilvl w:val="1"/>
          <w:numId w:val="10"/>
        </w:numPr>
        <w:spacing w:before="100" w:after="100"/>
        <w:ind w:left="450" w:hanging="450"/>
        <w:rPr>
          <w:color w:val="000000"/>
          <w:lang w:val="es-ES"/>
        </w:rPr>
      </w:pPr>
      <w:r w:rsidRPr="00E53316">
        <w:rPr>
          <w:color w:val="000000"/>
          <w:lang w:val="es-ES"/>
        </w:rPr>
        <w:t xml:space="preserve">El análisis de </w:t>
      </w:r>
      <w:r w:rsidR="00EC58FE" w:rsidRPr="00E53316">
        <w:rPr>
          <w:color w:val="000000"/>
          <w:lang w:val="es-ES"/>
        </w:rPr>
        <w:t>atribuciones</w:t>
      </w:r>
      <w:r w:rsidR="00EC58FE" w:rsidRPr="00E53316">
        <w:rPr>
          <w:rStyle w:val="FootnoteReference"/>
          <w:b/>
          <w:color w:val="000000"/>
          <w:lang w:val="es-ES"/>
        </w:rPr>
        <w:footnoteReference w:id="3"/>
      </w:r>
      <w:r w:rsidR="009F7F76" w:rsidRPr="00E53316">
        <w:rPr>
          <w:b/>
          <w:color w:val="000000"/>
          <w:lang w:val="es-ES"/>
        </w:rPr>
        <w:t>.</w:t>
      </w:r>
      <w:r w:rsidR="009F7F76" w:rsidRPr="00E53316">
        <w:rPr>
          <w:color w:val="000000"/>
          <w:lang w:val="es-ES"/>
        </w:rPr>
        <w:t xml:space="preserve"> </w:t>
      </w:r>
      <w:bookmarkStart w:id="11" w:name="_Hlk507057045"/>
      <w:r w:rsidR="009F7F76" w:rsidRPr="00E53316">
        <w:rPr>
          <w:color w:val="000000"/>
          <w:lang w:val="es-ES"/>
        </w:rPr>
        <w:t>D</w:t>
      </w:r>
      <w:r w:rsidR="00EC58FE" w:rsidRPr="00E53316">
        <w:rPr>
          <w:color w:val="000000"/>
          <w:lang w:val="es-ES"/>
        </w:rPr>
        <w:t xml:space="preserve">espués de concluida la evaluación ex–post, </w:t>
      </w:r>
      <w:r w:rsidRPr="00E53316">
        <w:rPr>
          <w:color w:val="000000"/>
          <w:lang w:val="es-ES"/>
        </w:rPr>
        <w:t xml:space="preserve">se propone conducir a través de la </w:t>
      </w:r>
      <w:r w:rsidR="00EC58FE" w:rsidRPr="00E53316">
        <w:rPr>
          <w:color w:val="000000"/>
          <w:lang w:val="es-ES"/>
        </w:rPr>
        <w:t>comparación de la performance de: (i) los indicadores de control; y (ii) de los indicadores de la matriz de resultados con la variable de interés de la evaluación, con la finalidad de identificar con mejor precisión los efectos de las intervenciones del programa en los indicadores utilizados, posibles causalidades, así como sus inter-relaciones</w:t>
      </w:r>
      <w:r w:rsidR="009F7F76" w:rsidRPr="00E53316">
        <w:rPr>
          <w:color w:val="000000"/>
          <w:lang w:val="es-ES"/>
        </w:rPr>
        <w:t xml:space="preserve">, a través de la </w:t>
      </w:r>
      <w:r w:rsidR="00F25C3F" w:rsidRPr="00E53316">
        <w:rPr>
          <w:color w:val="000000"/>
          <w:lang w:val="es-ES"/>
        </w:rPr>
        <w:t>c</w:t>
      </w:r>
      <w:r w:rsidR="00EC58FE" w:rsidRPr="00E53316">
        <w:rPr>
          <w:color w:val="000000"/>
          <w:lang w:val="es-ES"/>
        </w:rPr>
        <w:t xml:space="preserve">omparación de la performance de los indicadores del programa con la variable de interés. </w:t>
      </w:r>
    </w:p>
    <w:bookmarkEnd w:id="11"/>
    <w:p w14:paraId="55714CDB" w14:textId="33E1CA88" w:rsidR="00487224" w:rsidRPr="009E4D93" w:rsidRDefault="00487224">
      <w:pPr>
        <w:pStyle w:val="Paragraph"/>
        <w:numPr>
          <w:ilvl w:val="1"/>
          <w:numId w:val="10"/>
        </w:numPr>
        <w:spacing w:before="100" w:after="100"/>
        <w:ind w:left="450" w:hanging="450"/>
        <w:rPr>
          <w:color w:val="000000"/>
          <w:highlight w:val="yellow"/>
          <w:lang w:val="es-ES"/>
        </w:rPr>
      </w:pPr>
      <w:r w:rsidRPr="00E53316">
        <w:rPr>
          <w:color w:val="000000"/>
          <w:lang w:val="es-ES"/>
        </w:rPr>
        <w:t>Para tales fines, s</w:t>
      </w:r>
      <w:r w:rsidR="00EC58FE" w:rsidRPr="00E53316">
        <w:rPr>
          <w:color w:val="000000"/>
          <w:lang w:val="es-ES"/>
        </w:rPr>
        <w:t xml:space="preserve">e recomienda preparar una </w:t>
      </w:r>
      <w:bookmarkStart w:id="12" w:name="_Hlk507057119"/>
      <w:r w:rsidR="00EC58FE" w:rsidRPr="00E53316">
        <w:rPr>
          <w:color w:val="000000"/>
          <w:lang w:val="es-ES"/>
        </w:rPr>
        <w:t>tabla con los 17 indicadores de control utilizados en la evaluación de impacto, además de los indicadores contemplados en la matriz de resultados, incluyendo sus líneas de base (2014) y sus valores en la ocasión de la medición</w:t>
      </w:r>
      <w:bookmarkStart w:id="13" w:name="_Hlk507060546"/>
      <w:bookmarkEnd w:id="12"/>
      <w:r w:rsidR="00EC58FE" w:rsidRPr="00E53316">
        <w:rPr>
          <w:color w:val="000000"/>
          <w:lang w:val="es-ES"/>
        </w:rPr>
        <w:t>. Calcular los porcentajes de evolución (aumento/disminución) de estos indicadores y compararlos con el porcentaje de evolución presentado por la variable de interés</w:t>
      </w:r>
      <w:bookmarkEnd w:id="13"/>
      <w:r w:rsidR="00EC58FE" w:rsidRPr="00E53316">
        <w:rPr>
          <w:color w:val="000000"/>
          <w:lang w:val="es-ES"/>
        </w:rPr>
        <w:t xml:space="preserve">. En caso se encuentre grandes discrepancias en la relación de la performance de estos indicadores con la variable de interés, se deberá proceder a un análisis detallado de lo ocurrido, verificando caso a caso los indicadores con performance diferenciadas. Las conclusiones de este análisis servirán de importante insumo para la toma de decisiones en el sector logístico, a partir del conocimiento con más seguridad de la </w:t>
      </w:r>
      <w:proofErr w:type="gramStart"/>
      <w:r w:rsidR="00EC58FE" w:rsidRPr="00E53316">
        <w:rPr>
          <w:color w:val="000000"/>
          <w:lang w:val="es-ES"/>
        </w:rPr>
        <w:t>inter-relación</w:t>
      </w:r>
      <w:proofErr w:type="gramEnd"/>
      <w:r w:rsidR="00EC58FE" w:rsidRPr="00E53316">
        <w:rPr>
          <w:color w:val="000000"/>
          <w:lang w:val="es-ES"/>
        </w:rPr>
        <w:t xml:space="preserve"> entre indicadores, las causalidades que puedan tener ocurrido, así </w:t>
      </w:r>
      <w:r w:rsidR="00EC58FE" w:rsidRPr="00E53316">
        <w:rPr>
          <w:color w:val="000000"/>
          <w:lang w:val="es-ES"/>
        </w:rPr>
        <w:lastRenderedPageBreak/>
        <w:t xml:space="preserve">como ayudará a mejorar los insumos para futuras evaluaciones en el sector. Conclusiones como conocer mejor el peso de una variable </w:t>
      </w:r>
      <w:proofErr w:type="gramStart"/>
      <w:r w:rsidR="00EC58FE" w:rsidRPr="00E53316">
        <w:rPr>
          <w:color w:val="000000"/>
          <w:lang w:val="es-ES"/>
        </w:rPr>
        <w:t>en relación a</w:t>
      </w:r>
      <w:proofErr w:type="gramEnd"/>
      <w:r w:rsidR="00EC58FE" w:rsidRPr="00E53316">
        <w:rPr>
          <w:color w:val="000000"/>
          <w:lang w:val="es-ES"/>
        </w:rPr>
        <w:t xml:space="preserve"> un impacto</w:t>
      </w:r>
      <w:bookmarkEnd w:id="9"/>
      <w:r w:rsidR="00EC58FE" w:rsidRPr="00E53316">
        <w:rPr>
          <w:color w:val="000000"/>
          <w:lang w:val="es-ES"/>
        </w:rPr>
        <w:t>, son de extrema importancia en una evaluación</w:t>
      </w:r>
      <w:r w:rsidR="005F7B4F">
        <w:rPr>
          <w:color w:val="000000"/>
          <w:lang w:val="es-ES"/>
        </w:rPr>
        <w:t>.</w:t>
      </w:r>
    </w:p>
    <w:p w14:paraId="5AC3004E" w14:textId="2163459F" w:rsidR="007745D7" w:rsidRPr="00916118" w:rsidRDefault="001417F1" w:rsidP="00CB45B5">
      <w:pPr>
        <w:pStyle w:val="Paragraph"/>
        <w:numPr>
          <w:ilvl w:val="1"/>
          <w:numId w:val="10"/>
        </w:numPr>
        <w:spacing w:before="100" w:after="100"/>
        <w:ind w:left="450" w:hanging="450"/>
        <w:rPr>
          <w:szCs w:val="24"/>
          <w:lang w:val="es-ES"/>
        </w:rPr>
      </w:pPr>
      <w:bookmarkStart w:id="14" w:name="_Hlk507057216"/>
      <w:r w:rsidRPr="00CB45B5">
        <w:rPr>
          <w:b/>
          <w:szCs w:val="24"/>
          <w:lang w:val="es-ES"/>
        </w:rPr>
        <w:t xml:space="preserve">Método antes – </w:t>
      </w:r>
      <w:r w:rsidR="00CB609D" w:rsidRPr="00CB45B5">
        <w:rPr>
          <w:b/>
          <w:szCs w:val="24"/>
          <w:lang w:val="es-ES"/>
        </w:rPr>
        <w:t>después</w:t>
      </w:r>
      <w:bookmarkEnd w:id="14"/>
      <w:r w:rsidR="00BD3C56" w:rsidRPr="00CB45B5">
        <w:rPr>
          <w:b/>
          <w:szCs w:val="24"/>
          <w:lang w:val="es-ES"/>
        </w:rPr>
        <w:t xml:space="preserve"> a través de la </w:t>
      </w:r>
      <w:r w:rsidR="0030497B" w:rsidRPr="00CB45B5">
        <w:rPr>
          <w:b/>
          <w:szCs w:val="24"/>
          <w:lang w:val="es-ES"/>
        </w:rPr>
        <w:t>evaluación reflexiva</w:t>
      </w:r>
      <w:r w:rsidRPr="00CB45B5">
        <w:rPr>
          <w:b/>
          <w:szCs w:val="24"/>
          <w:lang w:val="es-ES"/>
        </w:rPr>
        <w:t xml:space="preserve">. </w:t>
      </w:r>
      <w:r w:rsidRPr="00CB45B5">
        <w:rPr>
          <w:szCs w:val="24"/>
          <w:lang w:val="es-ES"/>
        </w:rPr>
        <w:t>Para definir si los resultados</w:t>
      </w:r>
      <w:r w:rsidR="00BD3C56" w:rsidRPr="00CB45B5">
        <w:rPr>
          <w:szCs w:val="24"/>
          <w:lang w:val="es-ES"/>
        </w:rPr>
        <w:t xml:space="preserve"> </w:t>
      </w:r>
      <w:r w:rsidRPr="00CB45B5">
        <w:rPr>
          <w:szCs w:val="24"/>
          <w:lang w:val="es-ES"/>
        </w:rPr>
        <w:t xml:space="preserve">se han alcanzado, se </w:t>
      </w:r>
      <w:r w:rsidR="00BD3C56" w:rsidRPr="00CB45B5">
        <w:rPr>
          <w:szCs w:val="24"/>
          <w:lang w:val="es-ES"/>
        </w:rPr>
        <w:t>realizará</w:t>
      </w:r>
      <w:r w:rsidRPr="00CB45B5">
        <w:rPr>
          <w:szCs w:val="24"/>
          <w:lang w:val="es-ES"/>
        </w:rPr>
        <w:t xml:space="preserve"> una medición antes – </w:t>
      </w:r>
      <w:r w:rsidR="00CB609D" w:rsidRPr="00CB45B5">
        <w:rPr>
          <w:szCs w:val="24"/>
          <w:lang w:val="es-ES"/>
        </w:rPr>
        <w:t>después</w:t>
      </w:r>
      <w:r w:rsidR="00BD3C56" w:rsidRPr="00CB45B5">
        <w:rPr>
          <w:szCs w:val="24"/>
          <w:lang w:val="es-ES"/>
        </w:rPr>
        <w:t xml:space="preserve"> de</w:t>
      </w:r>
      <w:bookmarkStart w:id="15" w:name="_Hlk507057236"/>
      <w:r w:rsidR="00BD3C56" w:rsidRPr="00CB45B5">
        <w:rPr>
          <w:szCs w:val="24"/>
          <w:lang w:val="es-ES"/>
        </w:rPr>
        <w:t xml:space="preserve"> </w:t>
      </w:r>
      <w:r w:rsidRPr="00CB45B5">
        <w:rPr>
          <w:szCs w:val="24"/>
          <w:lang w:val="es-ES"/>
        </w:rPr>
        <w:t>los indicadores de impacto y resultado establecidos en la matriz</w:t>
      </w:r>
      <w:bookmarkEnd w:id="15"/>
      <w:r w:rsidR="00BD3C56" w:rsidRPr="00CB45B5">
        <w:rPr>
          <w:szCs w:val="24"/>
          <w:lang w:val="es-ES"/>
        </w:rPr>
        <w:t xml:space="preserve"> de resultados</w:t>
      </w:r>
      <w:r w:rsidRPr="00CB45B5">
        <w:rPr>
          <w:b/>
          <w:szCs w:val="24"/>
          <w:lang w:val="es-ES"/>
        </w:rPr>
        <w:t xml:space="preserve">, </w:t>
      </w:r>
      <w:r w:rsidR="00BD3C56" w:rsidRPr="00916118">
        <w:rPr>
          <w:szCs w:val="24"/>
          <w:lang w:val="es-ES"/>
        </w:rPr>
        <w:t>los cuales se</w:t>
      </w:r>
      <w:r w:rsidRPr="00CB45B5">
        <w:rPr>
          <w:szCs w:val="24"/>
          <w:lang w:val="es-ES"/>
        </w:rPr>
        <w:t xml:space="preserve"> detallan a continuación</w:t>
      </w:r>
      <w:r w:rsidR="00BD3C56" w:rsidRPr="00CB45B5">
        <w:rPr>
          <w:szCs w:val="24"/>
          <w:lang w:val="es-ES"/>
        </w:rPr>
        <w:t xml:space="preserve">: </w:t>
      </w:r>
    </w:p>
    <w:tbl>
      <w:tblPr>
        <w:tblStyle w:val="TableGrid"/>
        <w:tblW w:w="9180" w:type="dxa"/>
        <w:tblInd w:w="-162" w:type="dxa"/>
        <w:tblLook w:val="04A0" w:firstRow="1" w:lastRow="0" w:firstColumn="1" w:lastColumn="0" w:noHBand="0" w:noVBand="1"/>
      </w:tblPr>
      <w:tblGrid>
        <w:gridCol w:w="1700"/>
        <w:gridCol w:w="7480"/>
      </w:tblGrid>
      <w:tr w:rsidR="009F6685" w:rsidRPr="000F3F6A" w14:paraId="5163D438" w14:textId="77777777" w:rsidTr="009F6685">
        <w:trPr>
          <w:trHeight w:val="368"/>
        </w:trPr>
        <w:tc>
          <w:tcPr>
            <w:tcW w:w="9180" w:type="dxa"/>
            <w:gridSpan w:val="2"/>
            <w:shd w:val="clear" w:color="auto" w:fill="BFBFBF" w:themeFill="background1" w:themeFillShade="BF"/>
          </w:tcPr>
          <w:p w14:paraId="05EF88E8" w14:textId="77777777" w:rsidR="009F6685" w:rsidRPr="00C92DE3" w:rsidRDefault="00B558D6" w:rsidP="009F6685">
            <w:pPr>
              <w:pStyle w:val="Paragraph"/>
              <w:widowControl w:val="0"/>
              <w:tabs>
                <w:tab w:val="clear" w:pos="1440"/>
              </w:tabs>
              <w:ind w:left="0" w:firstLine="0"/>
              <w:jc w:val="center"/>
              <w:rPr>
                <w:b/>
                <w:sz w:val="20"/>
                <w:lang w:val="es-ES"/>
              </w:rPr>
            </w:pPr>
            <w:r>
              <w:rPr>
                <w:b/>
                <w:sz w:val="20"/>
                <w:lang w:val="es-ES"/>
              </w:rPr>
              <w:t xml:space="preserve">Tabla 3. </w:t>
            </w:r>
            <w:r w:rsidR="009F6685" w:rsidRPr="00C92DE3">
              <w:rPr>
                <w:b/>
                <w:sz w:val="20"/>
                <w:lang w:val="es-ES"/>
              </w:rPr>
              <w:t>Descripción / Cálculo / Línea de base / Monitoreo de los Impactos y Resultados</w:t>
            </w:r>
          </w:p>
        </w:tc>
      </w:tr>
      <w:tr w:rsidR="009F6685" w:rsidRPr="000F3F6A" w14:paraId="00AA6BA4" w14:textId="77777777" w:rsidTr="00B558D6">
        <w:trPr>
          <w:trHeight w:val="1790"/>
        </w:trPr>
        <w:tc>
          <w:tcPr>
            <w:tcW w:w="1700" w:type="dxa"/>
            <w:vMerge w:val="restart"/>
          </w:tcPr>
          <w:p w14:paraId="7DD13B10" w14:textId="77777777" w:rsidR="009F6685" w:rsidRPr="009F6685" w:rsidRDefault="009F6685" w:rsidP="007745D7">
            <w:pPr>
              <w:pStyle w:val="Paragraph"/>
              <w:widowControl w:val="0"/>
              <w:tabs>
                <w:tab w:val="clear" w:pos="1440"/>
              </w:tabs>
              <w:ind w:left="0" w:firstLine="0"/>
              <w:jc w:val="left"/>
              <w:rPr>
                <w:sz w:val="20"/>
                <w:lang w:val="es-ES"/>
              </w:rPr>
            </w:pPr>
            <w:r w:rsidRPr="00A147A9">
              <w:rPr>
                <w:b/>
                <w:spacing w:val="-3"/>
                <w:sz w:val="20"/>
                <w:lang w:val="es-ES"/>
              </w:rPr>
              <w:t>Impacto 1</w:t>
            </w:r>
            <w:r w:rsidRPr="009F6685">
              <w:rPr>
                <w:spacing w:val="-3"/>
                <w:sz w:val="20"/>
                <w:lang w:val="es-ES"/>
              </w:rPr>
              <w:t xml:space="preserve">: </w:t>
            </w:r>
            <w:r w:rsidRPr="009F6685">
              <w:rPr>
                <w:sz w:val="20"/>
                <w:lang w:val="es-ES"/>
              </w:rPr>
              <w:t>Índice de Desempeño en Logística de Panamá (LPI)</w:t>
            </w:r>
          </w:p>
        </w:tc>
        <w:tc>
          <w:tcPr>
            <w:tcW w:w="7480" w:type="dxa"/>
          </w:tcPr>
          <w:p w14:paraId="5ED3C308" w14:textId="77777777" w:rsidR="009F6685" w:rsidRPr="009F6685" w:rsidRDefault="009F6685" w:rsidP="009F6685">
            <w:pPr>
              <w:pStyle w:val="Paragraph"/>
              <w:widowControl w:val="0"/>
              <w:tabs>
                <w:tab w:val="clear" w:pos="1440"/>
              </w:tabs>
              <w:ind w:left="0" w:firstLine="0"/>
              <w:rPr>
                <w:sz w:val="20"/>
                <w:lang w:val="es-ES"/>
              </w:rPr>
            </w:pPr>
            <w:r w:rsidRPr="009F6685">
              <w:rPr>
                <w:b/>
                <w:sz w:val="20"/>
                <w:lang w:val="es-ES"/>
              </w:rPr>
              <w:t>Descripción:</w:t>
            </w:r>
            <w:r w:rsidRPr="009F6685">
              <w:rPr>
                <w:sz w:val="20"/>
                <w:lang w:val="es-ES"/>
              </w:rPr>
              <w:t xml:space="preserve"> El Índice de Desempeño en Logística es una herramienta de benchmarking creada por el Banco Mundial que permite identificar los retos y oportunidades en el sector de logística en los países. El indicador consiste en medidas cualitativas y cuantitativas de desempeño de 160 países en las cadenas de valor en el sector de logística en los países. </w:t>
            </w:r>
          </w:p>
          <w:p w14:paraId="7CEDEB3C" w14:textId="77777777" w:rsidR="009F6685" w:rsidRPr="009F6685" w:rsidRDefault="009F6685" w:rsidP="009F6685">
            <w:pPr>
              <w:pStyle w:val="Paragraph"/>
              <w:widowControl w:val="0"/>
              <w:tabs>
                <w:tab w:val="clear" w:pos="1440"/>
              </w:tabs>
              <w:ind w:left="0" w:firstLine="0"/>
              <w:rPr>
                <w:sz w:val="20"/>
                <w:lang w:val="es-ES"/>
              </w:rPr>
            </w:pPr>
            <w:r w:rsidRPr="009F6685">
              <w:rPr>
                <w:sz w:val="20"/>
                <w:lang w:val="es-ES"/>
              </w:rPr>
              <w:t>El índice de Desempeño Logístico Internacional cualifica 160 países en seis dimensiones de comercio:</w:t>
            </w:r>
          </w:p>
          <w:p w14:paraId="4E665B20" w14:textId="77777777" w:rsidR="009F6685" w:rsidRPr="009F6685" w:rsidRDefault="009F6685" w:rsidP="009F6685">
            <w:pPr>
              <w:pStyle w:val="Paragraph"/>
              <w:widowControl w:val="0"/>
              <w:tabs>
                <w:tab w:val="clear" w:pos="1440"/>
              </w:tabs>
              <w:ind w:left="0" w:firstLine="0"/>
              <w:rPr>
                <w:sz w:val="20"/>
                <w:lang w:val="es-ES"/>
              </w:rPr>
            </w:pPr>
            <w:r w:rsidRPr="009F6685">
              <w:rPr>
                <w:sz w:val="20"/>
                <w:lang w:val="es-ES"/>
              </w:rPr>
              <w:t>•</w:t>
            </w:r>
            <w:r w:rsidRPr="009F6685">
              <w:rPr>
                <w:sz w:val="20"/>
                <w:lang w:val="es-ES"/>
              </w:rPr>
              <w:tab/>
              <w:t xml:space="preserve">Aduanas: Eficiencia de las aduanas y gestión de despacho aduanero en las fronteras </w:t>
            </w:r>
          </w:p>
          <w:p w14:paraId="47C2BE0E" w14:textId="77777777" w:rsidR="009F6685" w:rsidRPr="009F6685" w:rsidRDefault="009F6685" w:rsidP="009F6685">
            <w:pPr>
              <w:pStyle w:val="Paragraph"/>
              <w:widowControl w:val="0"/>
              <w:tabs>
                <w:tab w:val="clear" w:pos="1440"/>
              </w:tabs>
              <w:ind w:left="0" w:firstLine="0"/>
              <w:rPr>
                <w:sz w:val="20"/>
                <w:lang w:val="es-ES"/>
              </w:rPr>
            </w:pPr>
            <w:r w:rsidRPr="009F6685">
              <w:rPr>
                <w:sz w:val="20"/>
                <w:lang w:val="es-ES"/>
              </w:rPr>
              <w:t>•</w:t>
            </w:r>
            <w:r w:rsidRPr="009F6685">
              <w:rPr>
                <w:sz w:val="20"/>
                <w:lang w:val="es-ES"/>
              </w:rPr>
              <w:tab/>
              <w:t>Infraestructura: Calidad en infraestructura de comercio y transporte</w:t>
            </w:r>
          </w:p>
          <w:p w14:paraId="1501FA5A" w14:textId="77777777" w:rsidR="009F6685" w:rsidRPr="009F6685" w:rsidRDefault="009F6685" w:rsidP="009F6685">
            <w:pPr>
              <w:pStyle w:val="Paragraph"/>
              <w:widowControl w:val="0"/>
              <w:tabs>
                <w:tab w:val="clear" w:pos="1440"/>
              </w:tabs>
              <w:ind w:left="0" w:firstLine="0"/>
              <w:rPr>
                <w:sz w:val="20"/>
                <w:lang w:val="es-ES"/>
              </w:rPr>
            </w:pPr>
            <w:r w:rsidRPr="009F6685">
              <w:rPr>
                <w:sz w:val="20"/>
                <w:lang w:val="es-ES"/>
              </w:rPr>
              <w:t>•</w:t>
            </w:r>
            <w:r w:rsidRPr="009F6685">
              <w:rPr>
                <w:sz w:val="20"/>
                <w:lang w:val="es-ES"/>
              </w:rPr>
              <w:tab/>
              <w:t xml:space="preserve"> Facilidad en envío de mercancías a precios competitivos </w:t>
            </w:r>
          </w:p>
          <w:p w14:paraId="07EE0B51" w14:textId="77777777" w:rsidR="009F6685" w:rsidRPr="009F6685" w:rsidRDefault="009F6685" w:rsidP="009F6685">
            <w:pPr>
              <w:pStyle w:val="Paragraph"/>
              <w:widowControl w:val="0"/>
              <w:tabs>
                <w:tab w:val="clear" w:pos="1440"/>
              </w:tabs>
              <w:ind w:left="0" w:firstLine="0"/>
              <w:rPr>
                <w:sz w:val="20"/>
                <w:lang w:val="es-ES"/>
              </w:rPr>
            </w:pPr>
            <w:r w:rsidRPr="009F6685">
              <w:rPr>
                <w:sz w:val="20"/>
                <w:lang w:val="es-ES"/>
              </w:rPr>
              <w:t>•</w:t>
            </w:r>
            <w:r w:rsidRPr="009F6685">
              <w:rPr>
                <w:sz w:val="20"/>
                <w:lang w:val="es-ES"/>
              </w:rPr>
              <w:tab/>
              <w:t>Calidad de los servicios logísticos: competencia y calidad de los servicios logísticos, como transporte fletado, agencias de transporte y operadores logísticos.</w:t>
            </w:r>
          </w:p>
          <w:p w14:paraId="5234D3E1" w14:textId="77777777" w:rsidR="009F6685" w:rsidRPr="009F6685" w:rsidRDefault="009F6685" w:rsidP="009F6685">
            <w:pPr>
              <w:pStyle w:val="Paragraph"/>
              <w:widowControl w:val="0"/>
              <w:tabs>
                <w:tab w:val="clear" w:pos="1440"/>
              </w:tabs>
              <w:ind w:left="0" w:firstLine="0"/>
              <w:rPr>
                <w:sz w:val="20"/>
                <w:lang w:val="es-ES"/>
              </w:rPr>
            </w:pPr>
            <w:r w:rsidRPr="009F6685">
              <w:rPr>
                <w:sz w:val="20"/>
                <w:lang w:val="es-ES"/>
              </w:rPr>
              <w:t>•</w:t>
            </w:r>
            <w:r w:rsidRPr="009F6685">
              <w:rPr>
                <w:sz w:val="20"/>
                <w:lang w:val="es-ES"/>
              </w:rPr>
              <w:tab/>
              <w:t>Rastreo y seguimiento: habilidad en rastrear y dar seguimiento a los envíos comerciales</w:t>
            </w:r>
          </w:p>
          <w:p w14:paraId="4FB13415" w14:textId="77777777" w:rsidR="009F6685" w:rsidRPr="009F6685" w:rsidRDefault="009F6685" w:rsidP="009F6685">
            <w:pPr>
              <w:pStyle w:val="Paragraph"/>
              <w:widowControl w:val="0"/>
              <w:tabs>
                <w:tab w:val="clear" w:pos="1440"/>
              </w:tabs>
              <w:ind w:left="0" w:firstLine="0"/>
              <w:rPr>
                <w:sz w:val="20"/>
                <w:lang w:val="es-ES"/>
              </w:rPr>
            </w:pPr>
            <w:r w:rsidRPr="009F6685">
              <w:rPr>
                <w:sz w:val="20"/>
                <w:lang w:val="es-ES"/>
              </w:rPr>
              <w:t>•</w:t>
            </w:r>
            <w:r w:rsidRPr="009F6685">
              <w:rPr>
                <w:sz w:val="20"/>
                <w:lang w:val="es-ES"/>
              </w:rPr>
              <w:tab/>
              <w:t xml:space="preserve">Tiempo de transacción comercial: Frecuencia en que los envíos comerciales alcanzan sus clientes en el tiempo esperado.  </w:t>
            </w:r>
          </w:p>
          <w:p w14:paraId="5C27DF32" w14:textId="77777777" w:rsidR="009F6685" w:rsidRPr="009F6685" w:rsidRDefault="009F6685" w:rsidP="009F6685">
            <w:pPr>
              <w:pStyle w:val="Paragraph"/>
              <w:widowControl w:val="0"/>
              <w:tabs>
                <w:tab w:val="clear" w:pos="1440"/>
              </w:tabs>
              <w:ind w:left="0" w:firstLine="0"/>
              <w:rPr>
                <w:sz w:val="20"/>
                <w:lang w:val="es-ES"/>
              </w:rPr>
            </w:pPr>
            <w:r w:rsidRPr="009F6685">
              <w:rPr>
                <w:sz w:val="20"/>
                <w:lang w:val="es-ES"/>
              </w:rPr>
              <w:t>Atendiendo las reformas de sistematización de los procesos de comercio exterior, implantación de la ventanilla única, de planificación de las obras de infraestructura logística y homologación de los acuerdos intrarregionales en facilitación comercial, el país contribuirá para la reducción de los tiempos de los despachos aduaneros, para la gestión aduanera en fronteras y para la mejora de la infraestructura de logística, impactando, por lo tanto, en la mejora del desempeño logístico de Panamá.</w:t>
            </w:r>
          </w:p>
        </w:tc>
      </w:tr>
      <w:tr w:rsidR="009F6685" w:rsidRPr="009F6685" w14:paraId="5A9A6322" w14:textId="77777777" w:rsidTr="00B558D6">
        <w:trPr>
          <w:trHeight w:val="322"/>
        </w:trPr>
        <w:tc>
          <w:tcPr>
            <w:tcW w:w="1700" w:type="dxa"/>
            <w:vMerge/>
          </w:tcPr>
          <w:p w14:paraId="24F02A54" w14:textId="77777777" w:rsidR="009F6685" w:rsidRPr="009F6685" w:rsidRDefault="009F6685" w:rsidP="006B5C00">
            <w:pPr>
              <w:pStyle w:val="Paragraph"/>
              <w:widowControl w:val="0"/>
              <w:tabs>
                <w:tab w:val="clear" w:pos="1440"/>
              </w:tabs>
              <w:ind w:left="0" w:firstLine="0"/>
              <w:rPr>
                <w:spacing w:val="-3"/>
                <w:sz w:val="20"/>
                <w:lang w:val="es-ES"/>
              </w:rPr>
            </w:pPr>
          </w:p>
        </w:tc>
        <w:tc>
          <w:tcPr>
            <w:tcW w:w="7480" w:type="dxa"/>
          </w:tcPr>
          <w:p w14:paraId="2C949164" w14:textId="77777777" w:rsidR="009F6685" w:rsidRPr="009F6685" w:rsidRDefault="009F6685" w:rsidP="009F6685">
            <w:pPr>
              <w:pStyle w:val="Paragraph"/>
              <w:widowControl w:val="0"/>
              <w:tabs>
                <w:tab w:val="clear" w:pos="1440"/>
              </w:tabs>
              <w:ind w:left="0" w:firstLine="0"/>
              <w:rPr>
                <w:sz w:val="20"/>
                <w:lang w:val="es-ES"/>
              </w:rPr>
            </w:pPr>
            <w:r w:rsidRPr="009F6685">
              <w:rPr>
                <w:b/>
                <w:sz w:val="20"/>
                <w:lang w:val="es-ES"/>
              </w:rPr>
              <w:t>Metodología de Cálculo:</w:t>
            </w:r>
            <w:r w:rsidRPr="009F6685">
              <w:rPr>
                <w:sz w:val="20"/>
                <w:u w:val="single"/>
                <w:lang w:val="es-ES"/>
              </w:rPr>
              <w:t xml:space="preserve"> </w:t>
            </w:r>
            <w:r w:rsidRPr="009F6685">
              <w:rPr>
                <w:sz w:val="20"/>
                <w:lang w:val="es-ES"/>
              </w:rPr>
              <w:t xml:space="preserve">El Índice agregado sigue métodos estadísticos previstos por el Banco Mundial, que consolida una calificación de 1 – 5, siendo 1 nivel más bajo en el agregado de las seis categorías y 5 el más alto en el agregado de las seis categorías.  Para más informaciones, consultar </w:t>
            </w:r>
            <w:hyperlink r:id="rId13" w:history="1">
              <w:r w:rsidRPr="009F6685">
                <w:rPr>
                  <w:rStyle w:val="Hyperlink"/>
                  <w:sz w:val="20"/>
                  <w:lang w:val="es-ES"/>
                </w:rPr>
                <w:t>http://lpi.worldbank.org/</w:t>
              </w:r>
            </w:hyperlink>
            <w:r w:rsidRPr="009F6685">
              <w:rPr>
                <w:sz w:val="20"/>
                <w:lang w:val="es-ES"/>
              </w:rPr>
              <w:t>.</w:t>
            </w:r>
          </w:p>
        </w:tc>
      </w:tr>
      <w:tr w:rsidR="009F6685" w:rsidRPr="00D00554" w14:paraId="6BB1003E" w14:textId="77777777" w:rsidTr="00B558D6">
        <w:trPr>
          <w:trHeight w:val="543"/>
        </w:trPr>
        <w:tc>
          <w:tcPr>
            <w:tcW w:w="1700" w:type="dxa"/>
            <w:vMerge/>
          </w:tcPr>
          <w:p w14:paraId="6FDA0194" w14:textId="77777777" w:rsidR="009F6685" w:rsidRPr="009F6685" w:rsidRDefault="009F6685" w:rsidP="006B5C00">
            <w:pPr>
              <w:pStyle w:val="Paragraph"/>
              <w:widowControl w:val="0"/>
              <w:tabs>
                <w:tab w:val="clear" w:pos="1440"/>
              </w:tabs>
              <w:ind w:left="0" w:firstLine="0"/>
              <w:rPr>
                <w:spacing w:val="-3"/>
                <w:sz w:val="20"/>
                <w:lang w:val="es-ES"/>
              </w:rPr>
            </w:pPr>
          </w:p>
        </w:tc>
        <w:tc>
          <w:tcPr>
            <w:tcW w:w="7480" w:type="dxa"/>
          </w:tcPr>
          <w:p w14:paraId="197B746B" w14:textId="77777777" w:rsidR="009F6685" w:rsidRPr="009F6685" w:rsidRDefault="009F6685" w:rsidP="006B5C00">
            <w:pPr>
              <w:pStyle w:val="Paragraph"/>
              <w:widowControl w:val="0"/>
              <w:tabs>
                <w:tab w:val="clear" w:pos="1440"/>
              </w:tabs>
              <w:ind w:left="0" w:firstLine="0"/>
              <w:rPr>
                <w:sz w:val="20"/>
                <w:lang w:val="es-ES"/>
              </w:rPr>
            </w:pPr>
            <w:r w:rsidRPr="009F6685">
              <w:rPr>
                <w:b/>
                <w:sz w:val="20"/>
                <w:lang w:val="es-ES"/>
              </w:rPr>
              <w:t>Línea de Base</w:t>
            </w:r>
            <w:r>
              <w:rPr>
                <w:sz w:val="20"/>
                <w:lang w:val="es-ES"/>
              </w:rPr>
              <w:t xml:space="preserve">: </w:t>
            </w:r>
            <w:r w:rsidRPr="009F6685">
              <w:rPr>
                <w:sz w:val="20"/>
                <w:lang w:val="es-ES"/>
              </w:rPr>
              <w:t xml:space="preserve">El índice es calculado con la periodicidad de dos años por el Banco Mundial. La Línea Base corresponde al LPI de 2014, en el </w:t>
            </w:r>
            <w:hyperlink r:id="rId14" w:history="1">
              <w:r w:rsidRPr="009F6685">
                <w:rPr>
                  <w:rStyle w:val="Hyperlink"/>
                  <w:sz w:val="20"/>
                  <w:lang w:val="es-ES"/>
                </w:rPr>
                <w:t>Reporte de Desempeño Logístico</w:t>
              </w:r>
            </w:hyperlink>
            <w:r w:rsidRPr="009F6685">
              <w:rPr>
                <w:sz w:val="20"/>
                <w:lang w:val="es-ES"/>
              </w:rPr>
              <w:t>.</w:t>
            </w:r>
            <w:r w:rsidR="00406B8C">
              <w:rPr>
                <w:sz w:val="20"/>
                <w:lang w:val="es-ES"/>
              </w:rPr>
              <w:t xml:space="preserve"> </w:t>
            </w:r>
          </w:p>
          <w:p w14:paraId="302DE4D8" w14:textId="77777777" w:rsidR="009F6685" w:rsidRPr="009F6685" w:rsidRDefault="009F6685" w:rsidP="006B5C00">
            <w:pPr>
              <w:pStyle w:val="Paragraph"/>
              <w:widowControl w:val="0"/>
              <w:tabs>
                <w:tab w:val="clear" w:pos="1440"/>
              </w:tabs>
              <w:ind w:left="0" w:firstLine="0"/>
              <w:rPr>
                <w:sz w:val="20"/>
                <w:lang w:val="es-ES"/>
              </w:rPr>
            </w:pPr>
            <w:r w:rsidRPr="009F6685">
              <w:rPr>
                <w:sz w:val="20"/>
                <w:lang w:val="es-ES"/>
              </w:rPr>
              <w:t xml:space="preserve">Fuente:  </w:t>
            </w:r>
            <w:hyperlink r:id="rId15" w:anchor="chartarea" w:history="1">
              <w:r w:rsidRPr="009F6685">
                <w:rPr>
                  <w:rStyle w:val="Hyperlink"/>
                  <w:sz w:val="20"/>
                  <w:lang w:val="es-ES"/>
                </w:rPr>
                <w:t>http://lpi.worldbank.org/international/scorecard/radar/254/C/PAN/2014#chartarea</w:t>
              </w:r>
            </w:hyperlink>
          </w:p>
        </w:tc>
      </w:tr>
      <w:tr w:rsidR="009F6685" w:rsidRPr="000F3F6A" w14:paraId="0861A060" w14:textId="77777777" w:rsidTr="00B558D6">
        <w:trPr>
          <w:trHeight w:val="542"/>
        </w:trPr>
        <w:tc>
          <w:tcPr>
            <w:tcW w:w="1700" w:type="dxa"/>
            <w:vMerge/>
          </w:tcPr>
          <w:p w14:paraId="00633932" w14:textId="77777777" w:rsidR="009F6685" w:rsidRPr="009F6685" w:rsidRDefault="009F6685" w:rsidP="006B5C00">
            <w:pPr>
              <w:pStyle w:val="Paragraph"/>
              <w:widowControl w:val="0"/>
              <w:tabs>
                <w:tab w:val="clear" w:pos="1440"/>
              </w:tabs>
              <w:ind w:left="0" w:firstLine="0"/>
              <w:rPr>
                <w:spacing w:val="-3"/>
                <w:sz w:val="20"/>
                <w:lang w:val="es-ES"/>
              </w:rPr>
            </w:pPr>
          </w:p>
        </w:tc>
        <w:tc>
          <w:tcPr>
            <w:tcW w:w="7480" w:type="dxa"/>
          </w:tcPr>
          <w:p w14:paraId="7995F193" w14:textId="5CA3F00B" w:rsidR="009F6685" w:rsidRPr="00B04502" w:rsidRDefault="009F6685" w:rsidP="006B5C00">
            <w:pPr>
              <w:pStyle w:val="Paragraph"/>
              <w:widowControl w:val="0"/>
              <w:tabs>
                <w:tab w:val="clear" w:pos="1440"/>
              </w:tabs>
              <w:ind w:left="0" w:firstLine="0"/>
              <w:rPr>
                <w:sz w:val="20"/>
                <w:lang w:val="es-ES"/>
              </w:rPr>
            </w:pPr>
            <w:r w:rsidRPr="00C376C5">
              <w:rPr>
                <w:b/>
                <w:sz w:val="20"/>
                <w:lang w:val="es-ES"/>
              </w:rPr>
              <w:t>Aspectos de Monitoreo y Evaluación:</w:t>
            </w:r>
            <w:r w:rsidRPr="00C376C5">
              <w:rPr>
                <w:sz w:val="20"/>
                <w:lang w:val="es-ES"/>
              </w:rPr>
              <w:t xml:space="preserve"> Este indicador será evaluado por </w:t>
            </w:r>
            <w:r w:rsidRPr="00916118">
              <w:rPr>
                <w:sz w:val="20"/>
                <w:lang w:val="es-ES"/>
              </w:rPr>
              <w:t>la Coordinación Logística (CL),</w:t>
            </w:r>
            <w:r w:rsidRPr="00C376C5">
              <w:rPr>
                <w:sz w:val="20"/>
                <w:lang w:val="es-ES"/>
              </w:rPr>
              <w:t xml:space="preserve"> con el insumo del Reporte del Índice del Desempeño Logístico </w:t>
            </w:r>
            <w:r w:rsidR="00417289" w:rsidRPr="00C376C5">
              <w:rPr>
                <w:sz w:val="20"/>
                <w:lang w:val="es-ES"/>
              </w:rPr>
              <w:t xml:space="preserve">2018 y </w:t>
            </w:r>
            <w:r w:rsidRPr="00C376C5">
              <w:rPr>
                <w:sz w:val="20"/>
                <w:lang w:val="es-ES"/>
              </w:rPr>
              <w:t>2020 del Banco Mundial.</w:t>
            </w:r>
            <w:r w:rsidRPr="00B04502">
              <w:rPr>
                <w:sz w:val="20"/>
                <w:lang w:val="es-ES"/>
              </w:rPr>
              <w:t xml:space="preserve"> </w:t>
            </w:r>
          </w:p>
        </w:tc>
      </w:tr>
      <w:tr w:rsidR="00FC0EE7" w:rsidRPr="00D00554" w14:paraId="60CFEEA9" w14:textId="77777777" w:rsidTr="00B558D6">
        <w:trPr>
          <w:trHeight w:val="1619"/>
        </w:trPr>
        <w:tc>
          <w:tcPr>
            <w:tcW w:w="1700" w:type="dxa"/>
            <w:vMerge w:val="restart"/>
          </w:tcPr>
          <w:p w14:paraId="4FFBE4CF" w14:textId="77777777" w:rsidR="00FC0EE7" w:rsidRPr="00916118" w:rsidRDefault="00FC0EE7" w:rsidP="007745D7">
            <w:pPr>
              <w:pStyle w:val="Paragraph"/>
              <w:widowControl w:val="0"/>
              <w:tabs>
                <w:tab w:val="clear" w:pos="1440"/>
              </w:tabs>
              <w:ind w:left="0" w:firstLine="0"/>
              <w:jc w:val="left"/>
              <w:rPr>
                <w:sz w:val="20"/>
                <w:lang w:val="es-ES"/>
              </w:rPr>
            </w:pPr>
            <w:r w:rsidRPr="00C376C5">
              <w:rPr>
                <w:b/>
                <w:spacing w:val="-3"/>
                <w:sz w:val="20"/>
                <w:lang w:val="es-ES"/>
              </w:rPr>
              <w:t xml:space="preserve">Indicador de Resultado 1: </w:t>
            </w:r>
            <w:r w:rsidR="00B00245" w:rsidRPr="00916118">
              <w:rPr>
                <w:spacing w:val="-3"/>
                <w:sz w:val="20"/>
                <w:lang w:val="es-ES"/>
              </w:rPr>
              <w:t xml:space="preserve">Porcentaje de la inversión </w:t>
            </w:r>
            <w:r w:rsidR="00CB609D" w:rsidRPr="00916118">
              <w:rPr>
                <w:spacing w:val="-3"/>
                <w:sz w:val="20"/>
                <w:lang w:val="es-ES"/>
              </w:rPr>
              <w:t>pública ejecutada</w:t>
            </w:r>
            <w:r w:rsidR="00B00245" w:rsidRPr="00916118">
              <w:rPr>
                <w:spacing w:val="-3"/>
                <w:sz w:val="20"/>
                <w:lang w:val="es-ES"/>
              </w:rPr>
              <w:t xml:space="preserve"> en el sector de </w:t>
            </w:r>
            <w:r w:rsidR="00B00245" w:rsidRPr="00916118">
              <w:rPr>
                <w:spacing w:val="-3"/>
                <w:sz w:val="20"/>
                <w:lang w:val="es-ES"/>
              </w:rPr>
              <w:lastRenderedPageBreak/>
              <w:t xml:space="preserve">transporte y logística sobre la inversión total </w:t>
            </w:r>
            <w:r w:rsidR="00CB609D" w:rsidRPr="00916118">
              <w:rPr>
                <w:spacing w:val="-3"/>
                <w:sz w:val="20"/>
                <w:lang w:val="es-ES"/>
              </w:rPr>
              <w:t>ejecutada en</w:t>
            </w:r>
            <w:r w:rsidR="00B00245" w:rsidRPr="00916118">
              <w:rPr>
                <w:spacing w:val="-3"/>
                <w:sz w:val="20"/>
                <w:lang w:val="es-ES"/>
              </w:rPr>
              <w:t xml:space="preserve"> el período 2015- 2020.</w:t>
            </w:r>
            <w:r w:rsidR="00B00245" w:rsidRPr="00916118">
              <w:rPr>
                <w:b/>
                <w:spacing w:val="-3"/>
                <w:sz w:val="20"/>
                <w:lang w:val="es-ES"/>
              </w:rPr>
              <w:t xml:space="preserve"> </w:t>
            </w:r>
          </w:p>
        </w:tc>
        <w:tc>
          <w:tcPr>
            <w:tcW w:w="7480" w:type="dxa"/>
          </w:tcPr>
          <w:p w14:paraId="0D85CB2B" w14:textId="77777777" w:rsidR="00FC0EE7" w:rsidRPr="00916118" w:rsidRDefault="00B21909" w:rsidP="00546746">
            <w:pPr>
              <w:pStyle w:val="Paragraph"/>
              <w:widowControl w:val="0"/>
              <w:ind w:left="0" w:firstLine="0"/>
              <w:rPr>
                <w:spacing w:val="-3"/>
                <w:sz w:val="20"/>
                <w:lang w:val="es-ES"/>
              </w:rPr>
            </w:pPr>
            <w:r w:rsidRPr="00916118">
              <w:rPr>
                <w:b/>
                <w:spacing w:val="-3"/>
                <w:sz w:val="20"/>
                <w:lang w:val="es-ES"/>
              </w:rPr>
              <w:lastRenderedPageBreak/>
              <w:t>Descripción:</w:t>
            </w:r>
            <w:r w:rsidRPr="00916118">
              <w:rPr>
                <w:spacing w:val="-3"/>
                <w:sz w:val="20"/>
                <w:lang w:val="es-ES"/>
              </w:rPr>
              <w:t xml:space="preserve"> Este indicador mide </w:t>
            </w:r>
            <w:r w:rsidR="000E583F" w:rsidRPr="00916118">
              <w:rPr>
                <w:spacing w:val="-3"/>
                <w:sz w:val="20"/>
                <w:lang w:val="es-ES"/>
              </w:rPr>
              <w:t xml:space="preserve">una mejora en la </w:t>
            </w:r>
            <w:r w:rsidR="00CB609D" w:rsidRPr="00916118">
              <w:rPr>
                <w:spacing w:val="-3"/>
                <w:sz w:val="20"/>
                <w:lang w:val="es-ES"/>
              </w:rPr>
              <w:t>ejecución de</w:t>
            </w:r>
            <w:r w:rsidR="000E583F" w:rsidRPr="00916118">
              <w:rPr>
                <w:spacing w:val="-3"/>
                <w:sz w:val="20"/>
                <w:lang w:val="es-ES"/>
              </w:rPr>
              <w:t xml:space="preserve"> la inversión pública en el sector de transporte y logística, debido a la planificación del sector, por medio de los planes maestros de transporte y de la zona interoceánica, y de la definición de una estrategia de largo plazo para logística. La relación entre la inversión pública ejecutada en el sector </w:t>
            </w:r>
            <w:proofErr w:type="gramStart"/>
            <w:r w:rsidR="000E583F" w:rsidRPr="00916118">
              <w:rPr>
                <w:spacing w:val="-3"/>
                <w:sz w:val="20"/>
                <w:lang w:val="es-ES"/>
              </w:rPr>
              <w:t>en relación a</w:t>
            </w:r>
            <w:proofErr w:type="gramEnd"/>
            <w:r w:rsidR="000E583F" w:rsidRPr="00916118">
              <w:rPr>
                <w:spacing w:val="-3"/>
                <w:sz w:val="20"/>
                <w:lang w:val="es-ES"/>
              </w:rPr>
              <w:t xml:space="preserve"> la inversión pública total ejecutada aumenta, ya que la planificación identifica proyectos con presupuesto estimado, propone mecanismo de gobernanza para la implementación y abarca </w:t>
            </w:r>
            <w:r w:rsidR="000E583F" w:rsidRPr="00916118">
              <w:rPr>
                <w:spacing w:val="-3"/>
                <w:sz w:val="20"/>
                <w:lang w:val="es-ES"/>
              </w:rPr>
              <w:lastRenderedPageBreak/>
              <w:t xml:space="preserve">actividades para el fortalecimiento institucional en temas de ejecución presupuestaria. </w:t>
            </w:r>
          </w:p>
        </w:tc>
      </w:tr>
      <w:tr w:rsidR="00FC0EE7" w:rsidRPr="000F3F6A" w14:paraId="5D0A3523" w14:textId="77777777" w:rsidTr="00C9366B">
        <w:trPr>
          <w:trHeight w:val="1421"/>
        </w:trPr>
        <w:tc>
          <w:tcPr>
            <w:tcW w:w="1700" w:type="dxa"/>
            <w:vMerge/>
          </w:tcPr>
          <w:p w14:paraId="2403B285" w14:textId="77777777" w:rsidR="00FC0EE7" w:rsidRPr="00916118" w:rsidRDefault="00FC0EE7" w:rsidP="006B5C00">
            <w:pPr>
              <w:pStyle w:val="Paragraph"/>
              <w:widowControl w:val="0"/>
              <w:tabs>
                <w:tab w:val="clear" w:pos="1440"/>
              </w:tabs>
              <w:ind w:left="0" w:firstLine="0"/>
              <w:rPr>
                <w:sz w:val="20"/>
                <w:lang w:val="es-ES"/>
              </w:rPr>
            </w:pPr>
          </w:p>
        </w:tc>
        <w:tc>
          <w:tcPr>
            <w:tcW w:w="7480" w:type="dxa"/>
          </w:tcPr>
          <w:p w14:paraId="3CE46C16" w14:textId="77777777" w:rsidR="0057086D" w:rsidRPr="00916118" w:rsidRDefault="0057086D" w:rsidP="0057086D">
            <w:pPr>
              <w:pStyle w:val="Paragraph"/>
              <w:widowControl w:val="0"/>
              <w:ind w:left="0" w:firstLine="0"/>
              <w:rPr>
                <w:spacing w:val="-3"/>
                <w:sz w:val="20"/>
                <w:lang w:val="es-ES"/>
              </w:rPr>
            </w:pPr>
            <w:r w:rsidRPr="00916118">
              <w:rPr>
                <w:b/>
                <w:spacing w:val="-3"/>
                <w:sz w:val="20"/>
                <w:lang w:val="es-ES"/>
              </w:rPr>
              <w:t xml:space="preserve">Metodología de Cálculo: </w:t>
            </w:r>
            <w:r w:rsidRPr="00916118">
              <w:rPr>
                <w:spacing w:val="-3"/>
                <w:sz w:val="20"/>
                <w:lang w:val="es-ES"/>
              </w:rPr>
              <w:t xml:space="preserve">El cálculo se base en la relación entre lo </w:t>
            </w:r>
            <w:r w:rsidR="00295D75" w:rsidRPr="00916118">
              <w:rPr>
                <w:spacing w:val="-3"/>
                <w:sz w:val="20"/>
                <w:lang w:val="es-ES"/>
              </w:rPr>
              <w:t>que fue ejecutado en el sector de transporte y logística sobre la inversión total ejecutada en el período 2015-2020, por la fórmula:</w:t>
            </w:r>
          </w:p>
          <w:p w14:paraId="221364AE" w14:textId="77777777" w:rsidR="00FC0EE7" w:rsidRPr="00916118" w:rsidRDefault="00295D75" w:rsidP="0057086D">
            <w:pPr>
              <w:pStyle w:val="Paragraph"/>
              <w:widowControl w:val="0"/>
              <w:ind w:left="0" w:firstLine="0"/>
              <w:rPr>
                <w:spacing w:val="-3"/>
                <w:sz w:val="20"/>
                <w:lang w:val="es-ES"/>
              </w:rPr>
            </w:pPr>
            <w:r w:rsidRPr="00916118">
              <w:rPr>
                <w:spacing w:val="-3"/>
                <w:sz w:val="20"/>
                <w:lang w:val="es-ES"/>
              </w:rPr>
              <w:t>Inversión pública ejecutada en el sector de transporte y logística / inversión pública total ejecutada en el período de análisis.</w:t>
            </w:r>
          </w:p>
        </w:tc>
      </w:tr>
      <w:tr w:rsidR="00FC0EE7" w:rsidRPr="000F3F6A" w14:paraId="707EFFB2" w14:textId="77777777" w:rsidTr="00B558D6">
        <w:trPr>
          <w:trHeight w:val="1079"/>
        </w:trPr>
        <w:tc>
          <w:tcPr>
            <w:tcW w:w="1700" w:type="dxa"/>
            <w:vMerge/>
          </w:tcPr>
          <w:p w14:paraId="6BA555F4" w14:textId="77777777" w:rsidR="00FC0EE7" w:rsidRPr="00916118" w:rsidRDefault="00FC0EE7" w:rsidP="006B5C00">
            <w:pPr>
              <w:pStyle w:val="Paragraph"/>
              <w:widowControl w:val="0"/>
              <w:tabs>
                <w:tab w:val="clear" w:pos="1440"/>
              </w:tabs>
              <w:ind w:left="0" w:firstLine="0"/>
              <w:rPr>
                <w:sz w:val="20"/>
                <w:lang w:val="es-ES"/>
              </w:rPr>
            </w:pPr>
          </w:p>
        </w:tc>
        <w:tc>
          <w:tcPr>
            <w:tcW w:w="7480" w:type="dxa"/>
          </w:tcPr>
          <w:p w14:paraId="40DF7477" w14:textId="77777777" w:rsidR="00295D75" w:rsidRPr="00916118" w:rsidRDefault="0057086D">
            <w:pPr>
              <w:pStyle w:val="Paragraph"/>
              <w:widowControl w:val="0"/>
              <w:ind w:left="0" w:firstLine="0"/>
              <w:rPr>
                <w:b/>
                <w:spacing w:val="-3"/>
                <w:sz w:val="20"/>
                <w:lang w:val="es-ES"/>
              </w:rPr>
            </w:pPr>
            <w:r w:rsidRPr="00916118">
              <w:rPr>
                <w:b/>
                <w:spacing w:val="-3"/>
                <w:sz w:val="20"/>
                <w:lang w:val="es-ES"/>
              </w:rPr>
              <w:t xml:space="preserve">Línea de Base: </w:t>
            </w:r>
          </w:p>
          <w:p w14:paraId="5783D8C3" w14:textId="77777777" w:rsidR="00295D75" w:rsidRPr="00916118" w:rsidRDefault="00295D75">
            <w:pPr>
              <w:pStyle w:val="Paragraph"/>
              <w:widowControl w:val="0"/>
              <w:ind w:left="0" w:firstLine="0"/>
              <w:rPr>
                <w:spacing w:val="-3"/>
                <w:sz w:val="20"/>
                <w:lang w:val="es-ES"/>
              </w:rPr>
            </w:pPr>
            <w:r w:rsidRPr="00916118">
              <w:rPr>
                <w:spacing w:val="-3"/>
                <w:sz w:val="20"/>
                <w:lang w:val="es-ES"/>
              </w:rPr>
              <w:t>Ejecución de la inversión pública total: B/. 17.762.905.404,00.</w:t>
            </w:r>
          </w:p>
          <w:p w14:paraId="781FA161" w14:textId="77777777" w:rsidR="00FC0EE7" w:rsidRPr="00916118" w:rsidRDefault="00295D75">
            <w:pPr>
              <w:pStyle w:val="Paragraph"/>
              <w:widowControl w:val="0"/>
              <w:ind w:left="0" w:firstLine="0"/>
              <w:rPr>
                <w:spacing w:val="-3"/>
                <w:sz w:val="20"/>
                <w:lang w:val="es-ES"/>
              </w:rPr>
            </w:pPr>
            <w:r w:rsidRPr="00916118">
              <w:rPr>
                <w:spacing w:val="-3"/>
                <w:sz w:val="20"/>
                <w:lang w:val="es-ES"/>
              </w:rPr>
              <w:t xml:space="preserve"> Ejecución de la inversión pública en el sector de logística y transporte: B/. 1.045.024.258,89.</w:t>
            </w:r>
          </w:p>
        </w:tc>
      </w:tr>
      <w:tr w:rsidR="00FC0EE7" w:rsidRPr="000F3F6A" w14:paraId="2648BB52" w14:textId="77777777" w:rsidTr="00B558D6">
        <w:trPr>
          <w:trHeight w:val="83"/>
        </w:trPr>
        <w:tc>
          <w:tcPr>
            <w:tcW w:w="1700" w:type="dxa"/>
            <w:vMerge/>
          </w:tcPr>
          <w:p w14:paraId="53243A70" w14:textId="77777777" w:rsidR="00FC0EE7" w:rsidRPr="00916118" w:rsidRDefault="00FC0EE7" w:rsidP="006B5C00">
            <w:pPr>
              <w:pStyle w:val="Paragraph"/>
              <w:widowControl w:val="0"/>
              <w:tabs>
                <w:tab w:val="clear" w:pos="1440"/>
              </w:tabs>
              <w:ind w:left="0" w:firstLine="0"/>
              <w:rPr>
                <w:sz w:val="20"/>
                <w:lang w:val="es-ES"/>
              </w:rPr>
            </w:pPr>
          </w:p>
        </w:tc>
        <w:tc>
          <w:tcPr>
            <w:tcW w:w="7480" w:type="dxa"/>
          </w:tcPr>
          <w:p w14:paraId="2FE2AE62" w14:textId="787297DC" w:rsidR="00FC0EE7" w:rsidRPr="00C376C5" w:rsidRDefault="00546746" w:rsidP="00546746">
            <w:pPr>
              <w:pStyle w:val="Paragraph"/>
              <w:widowControl w:val="0"/>
              <w:ind w:left="0" w:firstLine="0"/>
              <w:rPr>
                <w:spacing w:val="-3"/>
                <w:sz w:val="20"/>
                <w:lang w:val="es-ES"/>
              </w:rPr>
            </w:pPr>
            <w:r w:rsidRPr="00916118">
              <w:rPr>
                <w:b/>
                <w:spacing w:val="-3"/>
                <w:sz w:val="20"/>
                <w:lang w:val="es-ES"/>
              </w:rPr>
              <w:t>Aspectos de Monitoreo y Evaluación:</w:t>
            </w:r>
            <w:r w:rsidRPr="00916118">
              <w:rPr>
                <w:spacing w:val="-3"/>
                <w:sz w:val="20"/>
                <w:lang w:val="es-ES"/>
              </w:rPr>
              <w:t xml:space="preserve"> Este indicador será determinado en coordinación con Coordinación de logística, por medio de la evaluación reflexiva</w:t>
            </w:r>
            <w:r w:rsidR="000E583F" w:rsidRPr="00916118">
              <w:rPr>
                <w:spacing w:val="-3"/>
                <w:sz w:val="20"/>
                <w:lang w:val="es-ES"/>
              </w:rPr>
              <w:t>, usando los insumos de los reportes oficiales del Ministerio de Economía y Finanzas.</w:t>
            </w:r>
            <w:r w:rsidR="000E583F" w:rsidRPr="00C376C5">
              <w:rPr>
                <w:spacing w:val="-3"/>
                <w:sz w:val="20"/>
                <w:lang w:val="es-ES"/>
              </w:rPr>
              <w:t xml:space="preserve"> </w:t>
            </w:r>
          </w:p>
        </w:tc>
      </w:tr>
      <w:tr w:rsidR="00B21909" w:rsidRPr="000F3F6A" w14:paraId="4BE705A8" w14:textId="77777777" w:rsidTr="00B558D6">
        <w:trPr>
          <w:trHeight w:val="84"/>
        </w:trPr>
        <w:tc>
          <w:tcPr>
            <w:tcW w:w="1700" w:type="dxa"/>
            <w:vMerge w:val="restart"/>
          </w:tcPr>
          <w:p w14:paraId="4F470AD6" w14:textId="77777777" w:rsidR="00B21909" w:rsidRPr="00FC0EE7" w:rsidRDefault="00B21909" w:rsidP="007745D7">
            <w:pPr>
              <w:pStyle w:val="Paragraph"/>
              <w:widowControl w:val="0"/>
              <w:tabs>
                <w:tab w:val="clear" w:pos="1440"/>
              </w:tabs>
              <w:ind w:left="0" w:firstLine="0"/>
              <w:jc w:val="left"/>
              <w:rPr>
                <w:spacing w:val="-3"/>
                <w:sz w:val="20"/>
                <w:lang w:val="es-ES"/>
              </w:rPr>
            </w:pPr>
            <w:r w:rsidRPr="00A147A9">
              <w:rPr>
                <w:b/>
                <w:spacing w:val="-3"/>
                <w:sz w:val="20"/>
                <w:lang w:val="es-ES"/>
              </w:rPr>
              <w:t>Indicador de Resultado 2</w:t>
            </w:r>
            <w:r w:rsidRPr="00C92DE3">
              <w:rPr>
                <w:spacing w:val="-3"/>
                <w:sz w:val="20"/>
                <w:lang w:val="es-ES"/>
              </w:rPr>
              <w:t>: Tiempo de despacho de aduanas promedio para carga en Paso Canoas</w:t>
            </w:r>
          </w:p>
        </w:tc>
        <w:tc>
          <w:tcPr>
            <w:tcW w:w="7480" w:type="dxa"/>
          </w:tcPr>
          <w:p w14:paraId="7377899B" w14:textId="77777777" w:rsidR="00B21909" w:rsidRPr="00FC0EE7" w:rsidRDefault="00B21909" w:rsidP="00B21909">
            <w:pPr>
              <w:pStyle w:val="Paragraph"/>
              <w:widowControl w:val="0"/>
              <w:ind w:left="0" w:firstLine="0"/>
              <w:rPr>
                <w:spacing w:val="-3"/>
                <w:sz w:val="20"/>
                <w:lang w:val="es-ES"/>
              </w:rPr>
            </w:pPr>
            <w:r w:rsidRPr="00C92DE3">
              <w:rPr>
                <w:b/>
                <w:spacing w:val="-3"/>
                <w:sz w:val="20"/>
                <w:lang w:val="es-ES"/>
              </w:rPr>
              <w:t>Descripción:</w:t>
            </w:r>
            <w:r>
              <w:rPr>
                <w:spacing w:val="-3"/>
                <w:sz w:val="20"/>
                <w:lang w:val="es-ES"/>
              </w:rPr>
              <w:t xml:space="preserve"> </w:t>
            </w:r>
            <w:r w:rsidRPr="00C92DE3">
              <w:rPr>
                <w:spacing w:val="-3"/>
                <w:sz w:val="20"/>
                <w:lang w:val="es-ES"/>
              </w:rPr>
              <w:t>El tiempo de despacho de aduanas es un indicador que mide básicamente la eficiencia de la gestión aduanera en los despachos de las mercancías y en el tránsito entrada-salida. Se espera una reducción del tiempo de despacho de aduanas, por medio de las reformas de armonización de los códigos aduaneros, de homologación de los acuerdos de facilitación comercial y la implantación de la ventanilla, que son reformas previstas en el PBL. Se usa como benchmarking de resultado Paso Canoas por concentrar más de 80% de exportación e importación de carga terrestre del país.</w:t>
            </w:r>
          </w:p>
        </w:tc>
      </w:tr>
      <w:tr w:rsidR="00B21909" w:rsidRPr="000F3F6A" w14:paraId="2569EA2F" w14:textId="77777777" w:rsidTr="00B558D6">
        <w:trPr>
          <w:trHeight w:val="83"/>
        </w:trPr>
        <w:tc>
          <w:tcPr>
            <w:tcW w:w="1700" w:type="dxa"/>
            <w:vMerge/>
          </w:tcPr>
          <w:p w14:paraId="78D0CBBB" w14:textId="77777777" w:rsidR="00B21909" w:rsidRPr="00FC0EE7" w:rsidRDefault="00B21909" w:rsidP="00B21909">
            <w:pPr>
              <w:pStyle w:val="Paragraph"/>
              <w:widowControl w:val="0"/>
              <w:tabs>
                <w:tab w:val="clear" w:pos="1440"/>
              </w:tabs>
              <w:ind w:left="0" w:firstLine="0"/>
              <w:rPr>
                <w:spacing w:val="-3"/>
                <w:sz w:val="20"/>
                <w:lang w:val="es-ES"/>
              </w:rPr>
            </w:pPr>
          </w:p>
        </w:tc>
        <w:tc>
          <w:tcPr>
            <w:tcW w:w="7480" w:type="dxa"/>
          </w:tcPr>
          <w:p w14:paraId="7D24ACA2" w14:textId="77777777" w:rsidR="00B21909" w:rsidRPr="00C92DE3" w:rsidRDefault="00B21909" w:rsidP="00B21909">
            <w:pPr>
              <w:pStyle w:val="Paragraph"/>
              <w:widowControl w:val="0"/>
              <w:ind w:left="0" w:firstLine="0"/>
              <w:rPr>
                <w:spacing w:val="-3"/>
                <w:sz w:val="20"/>
                <w:lang w:val="es-ES"/>
              </w:rPr>
            </w:pPr>
            <w:r w:rsidRPr="00C92DE3">
              <w:rPr>
                <w:b/>
                <w:spacing w:val="-3"/>
                <w:sz w:val="20"/>
                <w:lang w:val="es-ES"/>
              </w:rPr>
              <w:t>Metodología de Cálculo:</w:t>
            </w:r>
            <w:r>
              <w:rPr>
                <w:spacing w:val="-3"/>
                <w:sz w:val="20"/>
                <w:lang w:val="es-ES"/>
              </w:rPr>
              <w:t xml:space="preserve"> </w:t>
            </w:r>
            <w:r w:rsidRPr="00C92DE3">
              <w:rPr>
                <w:spacing w:val="-3"/>
                <w:sz w:val="20"/>
                <w:lang w:val="es-ES"/>
              </w:rPr>
              <w:t xml:space="preserve">Se calcula como Σ de tiempos de exportación, importación, tránsitos entrada-salida y vacíos (entrada-salida) de mercancías. </w:t>
            </w:r>
          </w:p>
          <w:p w14:paraId="02FFABAE" w14:textId="77777777" w:rsidR="00B21909" w:rsidRPr="00FC0EE7" w:rsidRDefault="00B21909" w:rsidP="00B21909">
            <w:pPr>
              <w:pStyle w:val="Paragraph"/>
              <w:widowControl w:val="0"/>
              <w:tabs>
                <w:tab w:val="clear" w:pos="1440"/>
              </w:tabs>
              <w:ind w:left="0" w:firstLine="0"/>
              <w:rPr>
                <w:spacing w:val="-3"/>
                <w:sz w:val="20"/>
                <w:lang w:val="es-ES"/>
              </w:rPr>
            </w:pPr>
            <w:r w:rsidRPr="00C92DE3">
              <w:rPr>
                <w:spacing w:val="-3"/>
                <w:sz w:val="20"/>
                <w:lang w:val="es-ES"/>
              </w:rPr>
              <w:t>Este indicador incluye el tiempo promedio que tarda una unidad de transporte en atravesar el puesto fronterizo incluyendo todos los controles y esperas inherentes. El indicador toma en cuenta desde el momento en que la UT se integra a la fila del primer control existente hasta que obtiene el permiso por parte de aduanas para abandonar la zona primaria y continuar hacia su destino.</w:t>
            </w:r>
          </w:p>
        </w:tc>
      </w:tr>
      <w:tr w:rsidR="00B21909" w:rsidRPr="000F3F6A" w14:paraId="26157C81" w14:textId="77777777" w:rsidTr="00B558D6">
        <w:trPr>
          <w:trHeight w:val="83"/>
        </w:trPr>
        <w:tc>
          <w:tcPr>
            <w:tcW w:w="1700" w:type="dxa"/>
            <w:vMerge/>
          </w:tcPr>
          <w:p w14:paraId="6B49DADA" w14:textId="77777777" w:rsidR="00B21909" w:rsidRPr="00FC0EE7" w:rsidRDefault="00B21909" w:rsidP="00B21909">
            <w:pPr>
              <w:pStyle w:val="Paragraph"/>
              <w:widowControl w:val="0"/>
              <w:tabs>
                <w:tab w:val="clear" w:pos="1440"/>
              </w:tabs>
              <w:ind w:left="0" w:firstLine="0"/>
              <w:rPr>
                <w:spacing w:val="-3"/>
                <w:sz w:val="20"/>
                <w:lang w:val="es-ES"/>
              </w:rPr>
            </w:pPr>
          </w:p>
        </w:tc>
        <w:tc>
          <w:tcPr>
            <w:tcW w:w="7480" w:type="dxa"/>
          </w:tcPr>
          <w:p w14:paraId="0B5DBC82" w14:textId="77777777" w:rsidR="00B21909" w:rsidRPr="00FC0EE7" w:rsidRDefault="00B21909">
            <w:pPr>
              <w:pStyle w:val="Paragraph"/>
              <w:widowControl w:val="0"/>
              <w:ind w:left="0" w:firstLine="0"/>
              <w:rPr>
                <w:spacing w:val="-3"/>
                <w:sz w:val="20"/>
                <w:lang w:val="es-ES"/>
              </w:rPr>
            </w:pPr>
            <w:r w:rsidRPr="00C92DE3">
              <w:rPr>
                <w:b/>
                <w:spacing w:val="-3"/>
                <w:sz w:val="20"/>
                <w:lang w:val="es-ES"/>
              </w:rPr>
              <w:t>Línea de Base:</w:t>
            </w:r>
            <w:r>
              <w:rPr>
                <w:spacing w:val="-3"/>
                <w:sz w:val="20"/>
                <w:lang w:val="es-ES"/>
              </w:rPr>
              <w:t xml:space="preserve"> </w:t>
            </w:r>
            <w:r w:rsidRPr="00C92DE3">
              <w:rPr>
                <w:spacing w:val="-3"/>
                <w:sz w:val="20"/>
                <w:lang w:val="es-ES"/>
              </w:rPr>
              <w:t xml:space="preserve">La línea de base fue determinada </w:t>
            </w:r>
            <w:r w:rsidR="007A5866">
              <w:rPr>
                <w:spacing w:val="-3"/>
                <w:sz w:val="20"/>
                <w:lang w:val="es-ES"/>
              </w:rPr>
              <w:t xml:space="preserve">por la Autoridad Nacional de Aduanas, que indica que el tiempo medio que toma liberar la mercancía desde el registro de la declaración es de 15 horas. </w:t>
            </w:r>
          </w:p>
        </w:tc>
      </w:tr>
      <w:tr w:rsidR="00B21909" w:rsidRPr="000F3F6A" w14:paraId="0BD01883" w14:textId="77777777" w:rsidTr="00B558D6">
        <w:trPr>
          <w:trHeight w:val="83"/>
        </w:trPr>
        <w:tc>
          <w:tcPr>
            <w:tcW w:w="1700" w:type="dxa"/>
            <w:vMerge/>
          </w:tcPr>
          <w:p w14:paraId="215619F6" w14:textId="77777777" w:rsidR="00B21909" w:rsidRPr="00FC0EE7" w:rsidRDefault="00B21909" w:rsidP="00B21909">
            <w:pPr>
              <w:pStyle w:val="Paragraph"/>
              <w:widowControl w:val="0"/>
              <w:tabs>
                <w:tab w:val="clear" w:pos="1440"/>
              </w:tabs>
              <w:ind w:left="0" w:firstLine="0"/>
              <w:rPr>
                <w:spacing w:val="-3"/>
                <w:sz w:val="20"/>
                <w:lang w:val="es-ES"/>
              </w:rPr>
            </w:pPr>
          </w:p>
        </w:tc>
        <w:tc>
          <w:tcPr>
            <w:tcW w:w="7480" w:type="dxa"/>
          </w:tcPr>
          <w:p w14:paraId="7F2EB593" w14:textId="7D262BA5" w:rsidR="00B21909" w:rsidRDefault="00B21909" w:rsidP="00B21909">
            <w:pPr>
              <w:pStyle w:val="Paragraph"/>
              <w:widowControl w:val="0"/>
              <w:ind w:left="0" w:firstLine="0"/>
              <w:rPr>
                <w:spacing w:val="-3"/>
                <w:sz w:val="20"/>
                <w:lang w:val="es-ES"/>
              </w:rPr>
            </w:pPr>
            <w:r w:rsidRPr="00916118">
              <w:rPr>
                <w:b/>
                <w:spacing w:val="-3"/>
                <w:sz w:val="20"/>
                <w:lang w:val="es-ES"/>
              </w:rPr>
              <w:t>Aspectos de Monitoreo y Evaluación:</w:t>
            </w:r>
            <w:r w:rsidRPr="00916118">
              <w:rPr>
                <w:spacing w:val="-3"/>
                <w:sz w:val="20"/>
                <w:lang w:val="es-ES"/>
              </w:rPr>
              <w:t xml:space="preserve"> Este indicador será determinado en coordinación con</w:t>
            </w:r>
            <w:r w:rsidR="009E63C2" w:rsidRPr="00916118">
              <w:rPr>
                <w:spacing w:val="-3"/>
                <w:sz w:val="20"/>
                <w:lang w:val="es-ES"/>
              </w:rPr>
              <w:t xml:space="preserve"> la</w:t>
            </w:r>
            <w:r w:rsidRPr="00916118">
              <w:rPr>
                <w:spacing w:val="-3"/>
                <w:sz w:val="20"/>
                <w:lang w:val="es-ES"/>
              </w:rPr>
              <w:t xml:space="preserve"> ANA, por medio de la evaluación reflexiva</w:t>
            </w:r>
            <w:r w:rsidR="007A5866" w:rsidRPr="00C376C5">
              <w:rPr>
                <w:spacing w:val="-3"/>
                <w:sz w:val="20"/>
                <w:lang w:val="es-ES"/>
              </w:rPr>
              <w:t>.</w:t>
            </w:r>
            <w:r w:rsidR="007A5866">
              <w:rPr>
                <w:spacing w:val="-3"/>
                <w:sz w:val="20"/>
                <w:lang w:val="es-ES"/>
              </w:rPr>
              <w:t xml:space="preserve"> </w:t>
            </w:r>
          </w:p>
          <w:p w14:paraId="3DF8C5FC" w14:textId="77777777" w:rsidR="007A5866" w:rsidRPr="00A147A9" w:rsidRDefault="007A5866" w:rsidP="00B21909">
            <w:pPr>
              <w:pStyle w:val="Paragraph"/>
              <w:widowControl w:val="0"/>
              <w:ind w:left="0" w:firstLine="0"/>
              <w:rPr>
                <w:spacing w:val="-3"/>
                <w:sz w:val="20"/>
                <w:lang w:val="es-ES_tradnl"/>
              </w:rPr>
            </w:pPr>
            <w:r w:rsidRPr="00A147A9">
              <w:rPr>
                <w:spacing w:val="-3"/>
                <w:sz w:val="20"/>
                <w:lang w:val="es-ES"/>
              </w:rPr>
              <w:t>Según el estudio de Pasos de Frontera para Paso Canoas (EPYPSA 2013) la reducción promedia en el despacho de cargas tras la mejora en infraestructura y procesos del paso de frontera sería del 87%. Considerando que la mitad de esta reducción es consecuencia de la armonización con los códigos aduaneros regionales se obtendría una reducción del tiempo de despacho de aduanas del 43.5%.</w:t>
            </w:r>
          </w:p>
        </w:tc>
      </w:tr>
      <w:tr w:rsidR="00FC0EE7" w:rsidRPr="000F3F6A" w14:paraId="52090053" w14:textId="77777777" w:rsidTr="00B558D6">
        <w:trPr>
          <w:trHeight w:val="84"/>
        </w:trPr>
        <w:tc>
          <w:tcPr>
            <w:tcW w:w="1700" w:type="dxa"/>
            <w:vMerge w:val="restart"/>
          </w:tcPr>
          <w:p w14:paraId="49490366" w14:textId="77777777" w:rsidR="00FC0EE7" w:rsidRPr="0087334F" w:rsidRDefault="00C92DE3" w:rsidP="007745D7">
            <w:pPr>
              <w:pStyle w:val="Paragraph"/>
              <w:widowControl w:val="0"/>
              <w:tabs>
                <w:tab w:val="clear" w:pos="1440"/>
              </w:tabs>
              <w:ind w:left="0" w:firstLine="0"/>
              <w:jc w:val="left"/>
              <w:rPr>
                <w:spacing w:val="-3"/>
                <w:sz w:val="20"/>
                <w:highlight w:val="yellow"/>
                <w:lang w:val="es-ES"/>
              </w:rPr>
            </w:pPr>
            <w:r w:rsidRPr="00916118">
              <w:rPr>
                <w:b/>
                <w:spacing w:val="-3"/>
                <w:sz w:val="20"/>
                <w:lang w:val="es-ES"/>
              </w:rPr>
              <w:t>Indicador de resultado 3</w:t>
            </w:r>
            <w:r w:rsidR="00F25C3F" w:rsidRPr="00916118">
              <w:rPr>
                <w:spacing w:val="-3"/>
                <w:sz w:val="20"/>
                <w:lang w:val="es-ES"/>
              </w:rPr>
              <w:t xml:space="preserve">: </w:t>
            </w:r>
            <w:r w:rsidR="00F25C3F" w:rsidRPr="00916118">
              <w:rPr>
                <w:sz w:val="20"/>
                <w:lang w:val="es-ES_tradnl"/>
              </w:rPr>
              <w:t>Porcentaje</w:t>
            </w:r>
            <w:r w:rsidR="007745D7" w:rsidRPr="00916118">
              <w:rPr>
                <w:spacing w:val="-3"/>
                <w:sz w:val="20"/>
                <w:lang w:val="es-ES"/>
              </w:rPr>
              <w:t xml:space="preserve"> del total de puertos habilitados para la </w:t>
            </w:r>
            <w:r w:rsidR="007745D7" w:rsidRPr="00916118">
              <w:rPr>
                <w:spacing w:val="-3"/>
                <w:sz w:val="20"/>
                <w:lang w:val="es-ES"/>
              </w:rPr>
              <w:lastRenderedPageBreak/>
              <w:t>exportación de productos agrícolas nacionales sobre el total de puertos a nivel nacional.</w:t>
            </w:r>
          </w:p>
        </w:tc>
        <w:tc>
          <w:tcPr>
            <w:tcW w:w="7480" w:type="dxa"/>
          </w:tcPr>
          <w:p w14:paraId="11144789" w14:textId="77777777" w:rsidR="00FC0EE7" w:rsidRPr="00FC0EE7" w:rsidRDefault="00FF7B99" w:rsidP="00F25C3F">
            <w:pPr>
              <w:pStyle w:val="Paragraph"/>
              <w:widowControl w:val="0"/>
              <w:ind w:left="0" w:firstLine="0"/>
              <w:rPr>
                <w:spacing w:val="-3"/>
                <w:sz w:val="20"/>
                <w:lang w:val="es-ES"/>
              </w:rPr>
            </w:pPr>
            <w:r w:rsidRPr="00FF7B99">
              <w:rPr>
                <w:b/>
                <w:spacing w:val="-3"/>
                <w:sz w:val="20"/>
                <w:lang w:val="es-ES"/>
              </w:rPr>
              <w:lastRenderedPageBreak/>
              <w:t>Descripción:</w:t>
            </w:r>
            <w:r>
              <w:rPr>
                <w:spacing w:val="-3"/>
                <w:sz w:val="20"/>
                <w:lang w:val="es-ES"/>
              </w:rPr>
              <w:t xml:space="preserve"> </w:t>
            </w:r>
            <w:r w:rsidRPr="00FF7B99">
              <w:rPr>
                <w:spacing w:val="-3"/>
                <w:sz w:val="20"/>
                <w:lang w:val="es-ES"/>
              </w:rPr>
              <w:t>Los puertos son puerta de salida y entrada de productos importados y exportados por Panamá. Panamá posee 32 terminales portuarias, pero solamente 6 están habilitadas a hacer transacciones comerciales por conteiner, lo que significa, básicamente, servir de puerta de entrada y salida de productos</w:t>
            </w:r>
            <w:r w:rsidR="00160777">
              <w:rPr>
                <w:spacing w:val="-3"/>
                <w:sz w:val="20"/>
                <w:lang w:val="es-ES"/>
              </w:rPr>
              <w:t xml:space="preserve"> </w:t>
            </w:r>
            <w:r w:rsidR="00F25C3F">
              <w:rPr>
                <w:spacing w:val="-3"/>
                <w:sz w:val="20"/>
                <w:lang w:val="es-ES"/>
              </w:rPr>
              <w:t>(agricultura, industria y servicios</w:t>
            </w:r>
            <w:r w:rsidR="00160777">
              <w:rPr>
                <w:spacing w:val="-3"/>
                <w:sz w:val="20"/>
                <w:lang w:val="es-ES"/>
              </w:rPr>
              <w:t>)</w:t>
            </w:r>
            <w:r w:rsidRPr="00FF7B99">
              <w:rPr>
                <w:spacing w:val="-3"/>
                <w:sz w:val="20"/>
                <w:lang w:val="es-ES"/>
              </w:rPr>
              <w:t xml:space="preserve">. Las reformas de planificación de la infraestructura de transporte contemplan la inversión en infraestructura portuaria, con el </w:t>
            </w:r>
            <w:r w:rsidRPr="00FF7B99">
              <w:rPr>
                <w:spacing w:val="-3"/>
                <w:sz w:val="20"/>
                <w:lang w:val="es-ES"/>
              </w:rPr>
              <w:lastRenderedPageBreak/>
              <w:t>objetivo de ampliar el número de puertos con c</w:t>
            </w:r>
            <w:r w:rsidR="00406B8C">
              <w:rPr>
                <w:spacing w:val="-3"/>
                <w:sz w:val="20"/>
                <w:lang w:val="es-ES"/>
              </w:rPr>
              <w:t xml:space="preserve">apacidad de recibir conteiner. </w:t>
            </w:r>
          </w:p>
        </w:tc>
      </w:tr>
      <w:tr w:rsidR="00FC0EE7" w:rsidRPr="000F3F6A" w14:paraId="129BD2D1" w14:textId="77777777" w:rsidTr="00B558D6">
        <w:trPr>
          <w:trHeight w:val="83"/>
        </w:trPr>
        <w:tc>
          <w:tcPr>
            <w:tcW w:w="1700" w:type="dxa"/>
            <w:vMerge/>
          </w:tcPr>
          <w:p w14:paraId="3E5E5AC7" w14:textId="77777777" w:rsidR="00FC0EE7" w:rsidRPr="00FC0EE7" w:rsidRDefault="00FC0EE7" w:rsidP="006B5C00">
            <w:pPr>
              <w:pStyle w:val="Paragraph"/>
              <w:widowControl w:val="0"/>
              <w:tabs>
                <w:tab w:val="clear" w:pos="1440"/>
              </w:tabs>
              <w:ind w:left="0" w:firstLine="0"/>
              <w:rPr>
                <w:spacing w:val="-3"/>
                <w:sz w:val="20"/>
                <w:lang w:val="es-ES"/>
              </w:rPr>
            </w:pPr>
          </w:p>
        </w:tc>
        <w:tc>
          <w:tcPr>
            <w:tcW w:w="7480" w:type="dxa"/>
          </w:tcPr>
          <w:p w14:paraId="44CD49FA" w14:textId="4D3682C7" w:rsidR="00FC0EE7" w:rsidRPr="00FC0EE7" w:rsidRDefault="00406B8C" w:rsidP="00406B8C">
            <w:pPr>
              <w:pStyle w:val="Paragraph"/>
              <w:widowControl w:val="0"/>
              <w:ind w:left="0" w:firstLine="0"/>
              <w:rPr>
                <w:spacing w:val="-3"/>
                <w:sz w:val="20"/>
                <w:lang w:val="es-ES"/>
              </w:rPr>
            </w:pPr>
            <w:r w:rsidRPr="00406B8C">
              <w:rPr>
                <w:b/>
                <w:spacing w:val="-3"/>
                <w:sz w:val="20"/>
                <w:lang w:val="es-ES"/>
              </w:rPr>
              <w:t>Metodología de Cálculo:</w:t>
            </w:r>
            <w:r>
              <w:rPr>
                <w:spacing w:val="-3"/>
                <w:sz w:val="20"/>
                <w:lang w:val="es-ES"/>
              </w:rPr>
              <w:t xml:space="preserve"> </w:t>
            </w:r>
            <w:r w:rsidRPr="00FF7B99">
              <w:rPr>
                <w:spacing w:val="-3"/>
                <w:sz w:val="20"/>
                <w:lang w:val="es-ES"/>
              </w:rPr>
              <w:t xml:space="preserve">La fórmula utilizada es: </w:t>
            </w:r>
            <w:r>
              <w:rPr>
                <w:spacing w:val="-3"/>
                <w:sz w:val="20"/>
                <w:lang w:val="es-ES"/>
              </w:rPr>
              <w:t>Número</w:t>
            </w:r>
            <w:r w:rsidRPr="00FF7B99">
              <w:rPr>
                <w:spacing w:val="-3"/>
                <w:sz w:val="20"/>
                <w:lang w:val="es-ES"/>
              </w:rPr>
              <w:t xml:space="preserve"> de puertos habilitados para la exportación de productos </w:t>
            </w:r>
            <w:r w:rsidR="009E63C2">
              <w:rPr>
                <w:spacing w:val="-3"/>
                <w:sz w:val="20"/>
                <w:lang w:val="es-ES"/>
              </w:rPr>
              <w:t xml:space="preserve">agrícolas </w:t>
            </w:r>
            <w:r w:rsidRPr="00FF7B99">
              <w:rPr>
                <w:spacing w:val="-3"/>
                <w:sz w:val="20"/>
                <w:lang w:val="es-ES"/>
              </w:rPr>
              <w:t>na</w:t>
            </w:r>
            <w:r>
              <w:rPr>
                <w:spacing w:val="-3"/>
                <w:sz w:val="20"/>
                <w:lang w:val="es-ES"/>
              </w:rPr>
              <w:t>cionales / Total de puertos (%)</w:t>
            </w:r>
          </w:p>
        </w:tc>
      </w:tr>
      <w:tr w:rsidR="00FC0EE7" w:rsidRPr="000F3F6A" w14:paraId="05AEBFD4" w14:textId="77777777" w:rsidTr="00B558D6">
        <w:trPr>
          <w:trHeight w:val="83"/>
        </w:trPr>
        <w:tc>
          <w:tcPr>
            <w:tcW w:w="1700" w:type="dxa"/>
            <w:vMerge/>
          </w:tcPr>
          <w:p w14:paraId="7EF34AFA" w14:textId="77777777" w:rsidR="00FC0EE7" w:rsidRPr="00FC0EE7" w:rsidRDefault="00FC0EE7" w:rsidP="006B5C00">
            <w:pPr>
              <w:pStyle w:val="Paragraph"/>
              <w:widowControl w:val="0"/>
              <w:tabs>
                <w:tab w:val="clear" w:pos="1440"/>
              </w:tabs>
              <w:ind w:left="0" w:firstLine="0"/>
              <w:rPr>
                <w:spacing w:val="-3"/>
                <w:sz w:val="20"/>
                <w:lang w:val="es-ES"/>
              </w:rPr>
            </w:pPr>
          </w:p>
        </w:tc>
        <w:tc>
          <w:tcPr>
            <w:tcW w:w="7480" w:type="dxa"/>
          </w:tcPr>
          <w:p w14:paraId="56905BB8" w14:textId="77777777" w:rsidR="00406B8C" w:rsidRPr="00FF7B99" w:rsidRDefault="00406B8C" w:rsidP="00406B8C">
            <w:pPr>
              <w:pStyle w:val="Paragraph"/>
              <w:widowControl w:val="0"/>
              <w:ind w:left="0" w:firstLine="0"/>
              <w:rPr>
                <w:spacing w:val="-3"/>
                <w:sz w:val="20"/>
                <w:lang w:val="es-ES"/>
              </w:rPr>
            </w:pPr>
            <w:r w:rsidRPr="00406B8C">
              <w:rPr>
                <w:b/>
                <w:spacing w:val="-3"/>
                <w:sz w:val="20"/>
                <w:lang w:val="es-ES"/>
              </w:rPr>
              <w:t>Línea de Base:</w:t>
            </w:r>
            <w:r>
              <w:rPr>
                <w:spacing w:val="-3"/>
                <w:sz w:val="20"/>
                <w:lang w:val="es-ES"/>
              </w:rPr>
              <w:t xml:space="preserve"> </w:t>
            </w:r>
            <w:r w:rsidRPr="00FF7B99">
              <w:rPr>
                <w:spacing w:val="-3"/>
                <w:sz w:val="20"/>
                <w:lang w:val="es-ES"/>
              </w:rPr>
              <w:t xml:space="preserve">La línea de base fue definida por: </w:t>
            </w:r>
          </w:p>
          <w:p w14:paraId="7B1B8844" w14:textId="77777777" w:rsidR="00406B8C" w:rsidRPr="00FF7B99" w:rsidRDefault="00406B8C" w:rsidP="00406B8C">
            <w:pPr>
              <w:pStyle w:val="Paragraph"/>
              <w:widowControl w:val="0"/>
              <w:rPr>
                <w:spacing w:val="-3"/>
                <w:sz w:val="20"/>
                <w:lang w:val="es-ES"/>
              </w:rPr>
            </w:pPr>
            <w:r w:rsidRPr="00FF7B99">
              <w:rPr>
                <w:spacing w:val="-3"/>
                <w:sz w:val="20"/>
                <w:lang w:val="es-ES"/>
              </w:rPr>
              <w:t>1.</w:t>
            </w:r>
            <w:r w:rsidRPr="00FF7B99">
              <w:rPr>
                <w:spacing w:val="-3"/>
                <w:sz w:val="20"/>
                <w:lang w:val="es-ES"/>
              </w:rPr>
              <w:tab/>
              <w:t>El número de puertos habilitados para recibir conteiner: 6</w:t>
            </w:r>
          </w:p>
          <w:p w14:paraId="6A47A484" w14:textId="77777777" w:rsidR="00406B8C" w:rsidRPr="00FF7B99" w:rsidRDefault="00406B8C" w:rsidP="00406B8C">
            <w:pPr>
              <w:pStyle w:val="Paragraph"/>
              <w:widowControl w:val="0"/>
              <w:rPr>
                <w:spacing w:val="-3"/>
                <w:sz w:val="20"/>
                <w:lang w:val="es-ES"/>
              </w:rPr>
            </w:pPr>
            <w:r w:rsidRPr="00FF7B99">
              <w:rPr>
                <w:spacing w:val="-3"/>
                <w:sz w:val="20"/>
                <w:lang w:val="es-ES"/>
              </w:rPr>
              <w:t>2.</w:t>
            </w:r>
            <w:r w:rsidRPr="00FF7B99">
              <w:rPr>
                <w:spacing w:val="-3"/>
                <w:sz w:val="20"/>
                <w:lang w:val="es-ES"/>
              </w:rPr>
              <w:tab/>
              <w:t>El número de puertos totales de Panamá: 32</w:t>
            </w:r>
          </w:p>
          <w:p w14:paraId="597F5A0E" w14:textId="77777777" w:rsidR="00FC0EE7" w:rsidRPr="00FC0EE7" w:rsidRDefault="00406B8C" w:rsidP="00406B8C">
            <w:pPr>
              <w:pStyle w:val="Paragraph"/>
              <w:widowControl w:val="0"/>
              <w:tabs>
                <w:tab w:val="clear" w:pos="1440"/>
              </w:tabs>
              <w:ind w:left="0" w:firstLine="0"/>
              <w:rPr>
                <w:spacing w:val="-3"/>
                <w:sz w:val="20"/>
                <w:lang w:val="es-ES"/>
              </w:rPr>
            </w:pPr>
            <w:r w:rsidRPr="00FF7B99">
              <w:rPr>
                <w:spacing w:val="-3"/>
                <w:sz w:val="20"/>
                <w:lang w:val="es-ES"/>
              </w:rPr>
              <w:t xml:space="preserve">La fuente se encuentra en Boletines Estadísticos de la Autoridad Marítima de Panamá (AMP) y consolidada por </w:t>
            </w:r>
            <w:proofErr w:type="spellStart"/>
            <w:r w:rsidRPr="00FF7B99">
              <w:rPr>
                <w:spacing w:val="-3"/>
                <w:sz w:val="20"/>
                <w:lang w:val="es-ES"/>
              </w:rPr>
              <w:t>GeorgiaTech</w:t>
            </w:r>
            <w:proofErr w:type="spellEnd"/>
            <w:r w:rsidRPr="00FF7B99">
              <w:rPr>
                <w:spacing w:val="-3"/>
                <w:sz w:val="20"/>
                <w:lang w:val="es-ES"/>
              </w:rPr>
              <w:t xml:space="preserve"> (http://logistics.gatech.pa</w:t>
            </w:r>
            <w:r>
              <w:rPr>
                <w:spacing w:val="-3"/>
                <w:sz w:val="20"/>
                <w:lang w:val="es-ES"/>
              </w:rPr>
              <w:t>/es/assets/seaports/all</w:t>
            </w:r>
            <w:r w:rsidR="007A5866">
              <w:rPr>
                <w:spacing w:val="-3"/>
                <w:sz w:val="20"/>
                <w:lang w:val="es-ES"/>
              </w:rPr>
              <w:t>)</w:t>
            </w:r>
          </w:p>
        </w:tc>
      </w:tr>
      <w:tr w:rsidR="00FC0EE7" w:rsidRPr="000F3F6A" w14:paraId="0ECB1507" w14:textId="77777777" w:rsidTr="00B558D6">
        <w:trPr>
          <w:trHeight w:val="179"/>
        </w:trPr>
        <w:tc>
          <w:tcPr>
            <w:tcW w:w="1700" w:type="dxa"/>
            <w:vMerge/>
          </w:tcPr>
          <w:p w14:paraId="1C01DB58" w14:textId="77777777" w:rsidR="00FC0EE7" w:rsidRPr="00FC0EE7" w:rsidRDefault="00FC0EE7" w:rsidP="006B5C00">
            <w:pPr>
              <w:pStyle w:val="Paragraph"/>
              <w:widowControl w:val="0"/>
              <w:tabs>
                <w:tab w:val="clear" w:pos="1440"/>
              </w:tabs>
              <w:ind w:left="0" w:firstLine="0"/>
              <w:rPr>
                <w:spacing w:val="-3"/>
                <w:sz w:val="20"/>
                <w:lang w:val="es-ES"/>
              </w:rPr>
            </w:pPr>
          </w:p>
        </w:tc>
        <w:tc>
          <w:tcPr>
            <w:tcW w:w="7480" w:type="dxa"/>
          </w:tcPr>
          <w:p w14:paraId="0E4882B5" w14:textId="77777777" w:rsidR="00FC0EE7" w:rsidRPr="00FC0EE7" w:rsidRDefault="00FF7B99" w:rsidP="00FF7B99">
            <w:pPr>
              <w:pStyle w:val="Paragraph"/>
              <w:widowControl w:val="0"/>
              <w:ind w:left="0" w:firstLine="0"/>
              <w:rPr>
                <w:spacing w:val="-3"/>
                <w:sz w:val="20"/>
                <w:lang w:val="es-ES"/>
              </w:rPr>
            </w:pPr>
            <w:r w:rsidRPr="00FF7B99">
              <w:rPr>
                <w:b/>
                <w:spacing w:val="-3"/>
                <w:sz w:val="20"/>
                <w:lang w:val="es-ES"/>
              </w:rPr>
              <w:t>Aspectos de Monitoreo y Evaluación</w:t>
            </w:r>
            <w:r>
              <w:rPr>
                <w:spacing w:val="-3"/>
                <w:sz w:val="20"/>
                <w:lang w:val="es-ES"/>
              </w:rPr>
              <w:t xml:space="preserve">: </w:t>
            </w:r>
            <w:r w:rsidRPr="00FF7B99">
              <w:rPr>
                <w:spacing w:val="-3"/>
                <w:sz w:val="20"/>
                <w:lang w:val="es-ES"/>
              </w:rPr>
              <w:t>El indicador será evaluado por la Coordinación Logística (CL), por medio del apoyo de la Autoridad Marítima de Panamá (</w:t>
            </w:r>
            <w:r w:rsidR="00406B8C">
              <w:rPr>
                <w:spacing w:val="-3"/>
                <w:sz w:val="20"/>
                <w:lang w:val="es-ES"/>
              </w:rPr>
              <w:t>AMP)</w:t>
            </w:r>
            <w:r w:rsidR="007A5866">
              <w:rPr>
                <w:spacing w:val="-3"/>
                <w:sz w:val="20"/>
                <w:lang w:val="es-ES"/>
              </w:rPr>
              <w:t>.</w:t>
            </w:r>
          </w:p>
        </w:tc>
      </w:tr>
      <w:tr w:rsidR="00FC0EE7" w:rsidRPr="00D00554" w14:paraId="451C2AD7" w14:textId="77777777" w:rsidTr="00B558D6">
        <w:trPr>
          <w:trHeight w:val="84"/>
        </w:trPr>
        <w:tc>
          <w:tcPr>
            <w:tcW w:w="1700" w:type="dxa"/>
            <w:vMerge w:val="restart"/>
          </w:tcPr>
          <w:p w14:paraId="1FF254A8" w14:textId="77777777" w:rsidR="00FC0EE7" w:rsidRPr="00FC0EE7" w:rsidRDefault="00406B8C" w:rsidP="00160777">
            <w:pPr>
              <w:pStyle w:val="Paragraph"/>
              <w:widowControl w:val="0"/>
              <w:tabs>
                <w:tab w:val="clear" w:pos="1440"/>
              </w:tabs>
              <w:ind w:left="0" w:firstLine="0"/>
              <w:jc w:val="left"/>
              <w:rPr>
                <w:spacing w:val="-3"/>
                <w:sz w:val="20"/>
                <w:lang w:val="es-ES"/>
              </w:rPr>
            </w:pPr>
            <w:r w:rsidRPr="00A147A9">
              <w:rPr>
                <w:b/>
                <w:spacing w:val="-3"/>
                <w:sz w:val="20"/>
                <w:lang w:val="es-ES"/>
              </w:rPr>
              <w:t xml:space="preserve">Indicador </w:t>
            </w:r>
            <w:proofErr w:type="gramStart"/>
            <w:r w:rsidRPr="00A147A9">
              <w:rPr>
                <w:b/>
                <w:spacing w:val="-3"/>
                <w:sz w:val="20"/>
                <w:lang w:val="es-ES"/>
              </w:rPr>
              <w:t>de  Resultado</w:t>
            </w:r>
            <w:proofErr w:type="gramEnd"/>
            <w:r w:rsidRPr="00A147A9">
              <w:rPr>
                <w:b/>
                <w:spacing w:val="-3"/>
                <w:sz w:val="20"/>
                <w:lang w:val="es-ES"/>
              </w:rPr>
              <w:t xml:space="preserve"> 4</w:t>
            </w:r>
            <w:r w:rsidRPr="00406B8C">
              <w:rPr>
                <w:spacing w:val="-3"/>
                <w:sz w:val="20"/>
                <w:lang w:val="es-ES"/>
              </w:rPr>
              <w:t xml:space="preserve">: </w:t>
            </w:r>
            <w:r w:rsidR="00160777">
              <w:rPr>
                <w:spacing w:val="-3"/>
                <w:sz w:val="20"/>
                <w:lang w:val="es-ES"/>
              </w:rPr>
              <w:t xml:space="preserve"> </w:t>
            </w:r>
            <w:r w:rsidR="00160777" w:rsidRPr="00160777">
              <w:rPr>
                <w:spacing w:val="-3"/>
                <w:sz w:val="20"/>
                <w:lang w:val="es-ES"/>
              </w:rPr>
              <w:t>Porcentaje de la superficie de logística con actividad real sobre la superficie de logística total disponible en el país</w:t>
            </w:r>
          </w:p>
        </w:tc>
        <w:tc>
          <w:tcPr>
            <w:tcW w:w="7480" w:type="dxa"/>
          </w:tcPr>
          <w:p w14:paraId="2EA683D4" w14:textId="5DA26CAB" w:rsidR="00FC0EE7" w:rsidRPr="00FC0EE7" w:rsidRDefault="00406B8C" w:rsidP="00406B8C">
            <w:pPr>
              <w:pStyle w:val="Paragraph"/>
              <w:widowControl w:val="0"/>
              <w:ind w:left="0" w:firstLine="0"/>
              <w:rPr>
                <w:spacing w:val="-3"/>
                <w:sz w:val="20"/>
                <w:lang w:val="es-ES"/>
              </w:rPr>
            </w:pPr>
            <w:r w:rsidRPr="00406B8C">
              <w:rPr>
                <w:b/>
                <w:spacing w:val="-3"/>
                <w:sz w:val="20"/>
                <w:lang w:val="es-ES"/>
              </w:rPr>
              <w:t>Descripción:</w:t>
            </w:r>
            <w:r>
              <w:rPr>
                <w:spacing w:val="-3"/>
                <w:sz w:val="20"/>
                <w:lang w:val="es-ES"/>
              </w:rPr>
              <w:t xml:space="preserve"> </w:t>
            </w:r>
            <w:r w:rsidRPr="00406B8C">
              <w:rPr>
                <w:spacing w:val="-3"/>
                <w:sz w:val="20"/>
                <w:lang w:val="es-ES"/>
              </w:rPr>
              <w:t xml:space="preserve">La ampliación de los espacios logísticos en Panamá es esencial para brindar el país de una oferta logística de clase mundial para el establecimiento de servicios en este sector. El espacio logístico significa toda el área de zonas dentro de las terminales portuarias, superficie dentro de áreas especiales, superficie de áreas de almacenamiento en la Ciudad de Panamá y tierras identificadas bajo la jurisdicción de la Unidad de Bienes Revertidos (UBR) donde hay potencial de establecer empresas de servicios </w:t>
            </w:r>
            <w:proofErr w:type="gramStart"/>
            <w:r w:rsidRPr="00406B8C">
              <w:rPr>
                <w:spacing w:val="-3"/>
                <w:sz w:val="20"/>
                <w:lang w:val="es-ES"/>
              </w:rPr>
              <w:t>logísticos..</w:t>
            </w:r>
            <w:proofErr w:type="gramEnd"/>
          </w:p>
        </w:tc>
      </w:tr>
      <w:tr w:rsidR="00FC0EE7" w:rsidRPr="000F3F6A" w14:paraId="2932E3EE" w14:textId="77777777" w:rsidTr="00B558D6">
        <w:trPr>
          <w:trHeight w:val="83"/>
        </w:trPr>
        <w:tc>
          <w:tcPr>
            <w:tcW w:w="1700" w:type="dxa"/>
            <w:vMerge/>
          </w:tcPr>
          <w:p w14:paraId="64A4573D" w14:textId="77777777" w:rsidR="00FC0EE7" w:rsidRPr="00FC0EE7" w:rsidRDefault="00FC0EE7" w:rsidP="006B5C00">
            <w:pPr>
              <w:pStyle w:val="Paragraph"/>
              <w:widowControl w:val="0"/>
              <w:tabs>
                <w:tab w:val="clear" w:pos="1440"/>
              </w:tabs>
              <w:ind w:left="0" w:firstLine="0"/>
              <w:rPr>
                <w:spacing w:val="-3"/>
                <w:sz w:val="20"/>
                <w:lang w:val="es-ES"/>
              </w:rPr>
            </w:pPr>
          </w:p>
        </w:tc>
        <w:tc>
          <w:tcPr>
            <w:tcW w:w="7480" w:type="dxa"/>
          </w:tcPr>
          <w:p w14:paraId="0FB3B6E6" w14:textId="77777777" w:rsidR="00406B8C" w:rsidRPr="00406B8C" w:rsidRDefault="00406B8C" w:rsidP="00406B8C">
            <w:pPr>
              <w:pStyle w:val="Paragraph"/>
              <w:widowControl w:val="0"/>
              <w:ind w:left="0" w:firstLine="0"/>
              <w:rPr>
                <w:b/>
                <w:spacing w:val="-3"/>
                <w:sz w:val="20"/>
                <w:lang w:val="es-ES"/>
              </w:rPr>
            </w:pPr>
            <w:r w:rsidRPr="00406B8C">
              <w:rPr>
                <w:b/>
                <w:spacing w:val="-3"/>
                <w:sz w:val="20"/>
                <w:lang w:val="es-ES"/>
              </w:rPr>
              <w:t>Metodología de Cálculo</w:t>
            </w:r>
            <w:r w:rsidR="007A5866">
              <w:rPr>
                <w:b/>
                <w:spacing w:val="-3"/>
                <w:sz w:val="20"/>
                <w:lang w:val="es-ES"/>
              </w:rPr>
              <w:t xml:space="preserve">. </w:t>
            </w:r>
            <w:r w:rsidRPr="00A147A9">
              <w:rPr>
                <w:spacing w:val="-3"/>
                <w:sz w:val="20"/>
                <w:lang w:val="es-ES"/>
              </w:rPr>
              <w:t>El indicador fue calculado por:</w:t>
            </w:r>
          </w:p>
          <w:p w14:paraId="7C7C5311" w14:textId="77777777" w:rsidR="00406B8C" w:rsidRPr="00406B8C" w:rsidRDefault="00406B8C" w:rsidP="008874E7">
            <w:pPr>
              <w:pStyle w:val="Paragraph"/>
              <w:widowControl w:val="0"/>
              <w:tabs>
                <w:tab w:val="clear" w:pos="1440"/>
                <w:tab w:val="num" w:pos="352"/>
              </w:tabs>
              <w:ind w:left="352" w:hanging="180"/>
              <w:rPr>
                <w:spacing w:val="-3"/>
                <w:sz w:val="20"/>
                <w:lang w:val="es-ES"/>
              </w:rPr>
            </w:pPr>
            <w:r w:rsidRPr="00406B8C">
              <w:rPr>
                <w:spacing w:val="-3"/>
                <w:sz w:val="20"/>
                <w:lang w:val="es-ES"/>
              </w:rPr>
              <w:t>•</w:t>
            </w:r>
            <w:r w:rsidRPr="00406B8C">
              <w:rPr>
                <w:spacing w:val="-3"/>
                <w:sz w:val="20"/>
                <w:lang w:val="es-ES"/>
              </w:rPr>
              <w:tab/>
              <w:t>Superficie de logística con actividad real: suma de las superficies utilizadas por empresas del área logística en zonas especiales, terminales portuarias, tierras de UBR y áreas de almacenamiento – 836 has</w:t>
            </w:r>
          </w:p>
          <w:p w14:paraId="488BB840" w14:textId="77777777" w:rsidR="00406B8C" w:rsidRPr="00406B8C" w:rsidRDefault="00406B8C" w:rsidP="008874E7">
            <w:pPr>
              <w:pStyle w:val="Paragraph"/>
              <w:widowControl w:val="0"/>
              <w:tabs>
                <w:tab w:val="clear" w:pos="1440"/>
                <w:tab w:val="num" w:pos="352"/>
              </w:tabs>
              <w:ind w:left="352" w:hanging="180"/>
              <w:rPr>
                <w:spacing w:val="-3"/>
                <w:sz w:val="20"/>
                <w:lang w:val="es-ES"/>
              </w:rPr>
            </w:pPr>
            <w:r w:rsidRPr="00406B8C">
              <w:rPr>
                <w:spacing w:val="-3"/>
                <w:sz w:val="20"/>
                <w:lang w:val="es-ES"/>
              </w:rPr>
              <w:t>•</w:t>
            </w:r>
            <w:r w:rsidRPr="00406B8C">
              <w:rPr>
                <w:spacing w:val="-3"/>
                <w:sz w:val="20"/>
                <w:lang w:val="es-ES"/>
              </w:rPr>
              <w:tab/>
              <w:t>Superficie logística total disponible: superficie logística potencial de Panamá, según los planes de expansión – 2.100 has.</w:t>
            </w:r>
          </w:p>
          <w:p w14:paraId="33283981" w14:textId="77777777" w:rsidR="00FC0EE7" w:rsidRPr="00FC0EE7" w:rsidRDefault="00406B8C" w:rsidP="00406B8C">
            <w:pPr>
              <w:pStyle w:val="Paragraph"/>
              <w:widowControl w:val="0"/>
              <w:tabs>
                <w:tab w:val="clear" w:pos="1440"/>
              </w:tabs>
              <w:ind w:left="0" w:firstLine="0"/>
              <w:rPr>
                <w:spacing w:val="-3"/>
                <w:sz w:val="20"/>
                <w:lang w:val="es-ES"/>
              </w:rPr>
            </w:pPr>
            <w:r w:rsidRPr="00406B8C">
              <w:rPr>
                <w:spacing w:val="-3"/>
                <w:sz w:val="20"/>
                <w:lang w:val="es-ES"/>
              </w:rPr>
              <w:t>Superficie de logística con actividad real / superficie logística total disponible * 100</w:t>
            </w:r>
          </w:p>
        </w:tc>
      </w:tr>
      <w:tr w:rsidR="00FC0EE7" w:rsidRPr="000F3F6A" w14:paraId="00E026D6" w14:textId="77777777" w:rsidTr="00B558D6">
        <w:trPr>
          <w:trHeight w:val="83"/>
        </w:trPr>
        <w:tc>
          <w:tcPr>
            <w:tcW w:w="1700" w:type="dxa"/>
            <w:vMerge/>
          </w:tcPr>
          <w:p w14:paraId="205EE1AD" w14:textId="77777777" w:rsidR="00FC0EE7" w:rsidRPr="00FC0EE7" w:rsidRDefault="00FC0EE7" w:rsidP="006B5C00">
            <w:pPr>
              <w:pStyle w:val="Paragraph"/>
              <w:widowControl w:val="0"/>
              <w:tabs>
                <w:tab w:val="clear" w:pos="1440"/>
              </w:tabs>
              <w:ind w:left="0" w:firstLine="0"/>
              <w:rPr>
                <w:spacing w:val="-3"/>
                <w:sz w:val="20"/>
                <w:lang w:val="es-ES"/>
              </w:rPr>
            </w:pPr>
          </w:p>
        </w:tc>
        <w:tc>
          <w:tcPr>
            <w:tcW w:w="7480" w:type="dxa"/>
          </w:tcPr>
          <w:p w14:paraId="730476DF" w14:textId="77777777" w:rsidR="00406B8C" w:rsidRPr="00406B8C" w:rsidRDefault="00406B8C" w:rsidP="00406B8C">
            <w:pPr>
              <w:pStyle w:val="Paragraph"/>
              <w:widowControl w:val="0"/>
              <w:ind w:left="0" w:firstLine="0"/>
              <w:rPr>
                <w:spacing w:val="-3"/>
                <w:sz w:val="20"/>
                <w:lang w:val="es-ES"/>
              </w:rPr>
            </w:pPr>
            <w:r w:rsidRPr="00406B8C">
              <w:rPr>
                <w:b/>
                <w:spacing w:val="-3"/>
                <w:sz w:val="20"/>
                <w:lang w:val="es-ES"/>
              </w:rPr>
              <w:t>Línea de Base:</w:t>
            </w:r>
            <w:r>
              <w:rPr>
                <w:spacing w:val="-3"/>
                <w:sz w:val="20"/>
                <w:lang w:val="es-ES"/>
              </w:rPr>
              <w:t xml:space="preserve"> </w:t>
            </w:r>
            <w:r w:rsidRPr="00406B8C">
              <w:rPr>
                <w:spacing w:val="-3"/>
                <w:sz w:val="20"/>
                <w:lang w:val="es-ES"/>
              </w:rPr>
              <w:t>Se calcula por la fórmula:</w:t>
            </w:r>
          </w:p>
          <w:p w14:paraId="0D513EBA" w14:textId="77777777" w:rsidR="00FC0EE7" w:rsidRPr="00FC0EE7" w:rsidRDefault="00406B8C" w:rsidP="00406B8C">
            <w:pPr>
              <w:pStyle w:val="Paragraph"/>
              <w:widowControl w:val="0"/>
              <w:tabs>
                <w:tab w:val="clear" w:pos="1440"/>
              </w:tabs>
              <w:ind w:left="0" w:firstLine="0"/>
              <w:rPr>
                <w:spacing w:val="-3"/>
                <w:sz w:val="20"/>
                <w:lang w:val="es-ES"/>
              </w:rPr>
            </w:pPr>
            <w:r w:rsidRPr="00406B8C">
              <w:rPr>
                <w:spacing w:val="-3"/>
                <w:sz w:val="20"/>
                <w:lang w:val="es-ES"/>
              </w:rPr>
              <w:t>Superficie de logística con actividad real (836 has) / superficie logística total disponible (2.100) * 100 = 39%.</w:t>
            </w:r>
          </w:p>
        </w:tc>
      </w:tr>
      <w:tr w:rsidR="00FC0EE7" w:rsidRPr="000F3F6A" w14:paraId="01DCC9A6" w14:textId="77777777" w:rsidTr="00B558D6">
        <w:trPr>
          <w:trHeight w:val="83"/>
        </w:trPr>
        <w:tc>
          <w:tcPr>
            <w:tcW w:w="1700" w:type="dxa"/>
            <w:vMerge/>
          </w:tcPr>
          <w:p w14:paraId="323E9B3D" w14:textId="77777777" w:rsidR="00FC0EE7" w:rsidRPr="00FC0EE7" w:rsidRDefault="00FC0EE7" w:rsidP="006B5C00">
            <w:pPr>
              <w:pStyle w:val="Paragraph"/>
              <w:widowControl w:val="0"/>
              <w:tabs>
                <w:tab w:val="clear" w:pos="1440"/>
              </w:tabs>
              <w:ind w:left="0" w:firstLine="0"/>
              <w:rPr>
                <w:spacing w:val="-3"/>
                <w:sz w:val="20"/>
                <w:lang w:val="es-ES"/>
              </w:rPr>
            </w:pPr>
          </w:p>
        </w:tc>
        <w:tc>
          <w:tcPr>
            <w:tcW w:w="7480" w:type="dxa"/>
          </w:tcPr>
          <w:p w14:paraId="26D62F2E" w14:textId="77777777" w:rsidR="00FC0EE7" w:rsidRPr="00FC0EE7" w:rsidRDefault="00406B8C" w:rsidP="00406B8C">
            <w:pPr>
              <w:pStyle w:val="Paragraph"/>
              <w:widowControl w:val="0"/>
              <w:ind w:left="0" w:firstLine="0"/>
              <w:rPr>
                <w:spacing w:val="-3"/>
                <w:sz w:val="20"/>
                <w:lang w:val="es-ES"/>
              </w:rPr>
            </w:pPr>
            <w:r w:rsidRPr="00406B8C">
              <w:rPr>
                <w:b/>
                <w:spacing w:val="-3"/>
                <w:sz w:val="20"/>
                <w:lang w:val="es-ES"/>
              </w:rPr>
              <w:t>Aspectos de Monitoreo y Evaluación:</w:t>
            </w:r>
            <w:r>
              <w:rPr>
                <w:spacing w:val="-3"/>
                <w:sz w:val="20"/>
                <w:lang w:val="es-ES"/>
              </w:rPr>
              <w:t xml:space="preserve"> </w:t>
            </w:r>
            <w:r w:rsidRPr="00406B8C">
              <w:rPr>
                <w:spacing w:val="-3"/>
                <w:sz w:val="20"/>
                <w:lang w:val="es-ES"/>
              </w:rPr>
              <w:t>El indicador va a ser evaluado con el apoyo de la Coordinación Logística, a partir de los insumos del Informe del Ministerio de Comercio e Industria.</w:t>
            </w:r>
          </w:p>
        </w:tc>
      </w:tr>
      <w:tr w:rsidR="00FC0EE7" w:rsidRPr="000F3F6A" w14:paraId="1A7784F8" w14:textId="77777777" w:rsidTr="00B558D6">
        <w:trPr>
          <w:trHeight w:val="84"/>
        </w:trPr>
        <w:tc>
          <w:tcPr>
            <w:tcW w:w="1700" w:type="dxa"/>
            <w:vMerge w:val="restart"/>
          </w:tcPr>
          <w:p w14:paraId="0E309D8B" w14:textId="77777777" w:rsidR="00FC0EE7" w:rsidRPr="00FC0EE7" w:rsidRDefault="006A3C1E" w:rsidP="00CB609D">
            <w:pPr>
              <w:pStyle w:val="Paragraph"/>
              <w:widowControl w:val="0"/>
              <w:tabs>
                <w:tab w:val="clear" w:pos="1440"/>
              </w:tabs>
              <w:ind w:left="0" w:firstLine="0"/>
              <w:jc w:val="left"/>
              <w:rPr>
                <w:spacing w:val="-3"/>
                <w:sz w:val="20"/>
                <w:lang w:val="es-ES"/>
              </w:rPr>
            </w:pPr>
            <w:r w:rsidRPr="00A147A9">
              <w:rPr>
                <w:b/>
                <w:spacing w:val="-3"/>
                <w:sz w:val="20"/>
                <w:lang w:val="es-ES"/>
              </w:rPr>
              <w:t>Indicador de Resultado 5</w:t>
            </w:r>
            <w:r w:rsidRPr="006A3C1E">
              <w:rPr>
                <w:spacing w:val="-3"/>
                <w:sz w:val="20"/>
                <w:lang w:val="es-ES"/>
              </w:rPr>
              <w:t xml:space="preserve">: </w:t>
            </w:r>
            <w:r w:rsidR="008874E7" w:rsidRPr="008874E7">
              <w:rPr>
                <w:spacing w:val="-3"/>
                <w:sz w:val="20"/>
                <w:lang w:val="es-ES"/>
              </w:rPr>
              <w:t>Perfiles ocupacionales en disciplinas de logística que cuentan con oferta de cursos o certificaciones (universitarias, vocacionales o cursos cortos)</w:t>
            </w:r>
          </w:p>
        </w:tc>
        <w:tc>
          <w:tcPr>
            <w:tcW w:w="7480" w:type="dxa"/>
          </w:tcPr>
          <w:p w14:paraId="7A188A1D" w14:textId="77777777" w:rsidR="00FC0EE7" w:rsidRPr="00FC0EE7" w:rsidRDefault="00C10BB5" w:rsidP="008874E7">
            <w:pPr>
              <w:pStyle w:val="Paragraph"/>
              <w:widowControl w:val="0"/>
              <w:ind w:left="0" w:firstLine="0"/>
              <w:rPr>
                <w:spacing w:val="-3"/>
                <w:sz w:val="20"/>
                <w:lang w:val="es-ES"/>
              </w:rPr>
            </w:pPr>
            <w:r w:rsidRPr="00916118">
              <w:rPr>
                <w:b/>
                <w:spacing w:val="-3"/>
                <w:sz w:val="20"/>
                <w:lang w:val="es-ES"/>
              </w:rPr>
              <w:t>Descripción:</w:t>
            </w:r>
            <w:r w:rsidRPr="00916118">
              <w:rPr>
                <w:spacing w:val="-3"/>
                <w:sz w:val="20"/>
                <w:lang w:val="es-ES"/>
              </w:rPr>
              <w:t xml:space="preserve"> El indicador refleja el aumento del número de</w:t>
            </w:r>
            <w:r w:rsidR="008874E7" w:rsidRPr="00916118">
              <w:rPr>
                <w:spacing w:val="-3"/>
                <w:sz w:val="20"/>
                <w:lang w:val="es-ES"/>
              </w:rPr>
              <w:t xml:space="preserve"> perfiles de las</w:t>
            </w:r>
            <w:r w:rsidRPr="00916118">
              <w:rPr>
                <w:spacing w:val="-3"/>
                <w:sz w:val="20"/>
                <w:lang w:val="es-ES"/>
              </w:rPr>
              <w:t xml:space="preserve"> disciplinas logísticas demandadas por el sector que </w:t>
            </w:r>
            <w:r w:rsidR="008874E7" w:rsidRPr="00916118">
              <w:rPr>
                <w:spacing w:val="-3"/>
                <w:sz w:val="20"/>
                <w:lang w:val="es-ES"/>
              </w:rPr>
              <w:t xml:space="preserve">cuentan con oferta </w:t>
            </w:r>
            <w:r w:rsidRPr="00916118">
              <w:rPr>
                <w:spacing w:val="-3"/>
                <w:sz w:val="20"/>
                <w:lang w:val="es-ES"/>
              </w:rPr>
              <w:t>en Panamá, lo que impacta en la ampliación de la oferta de cursos de capacitación a nivel técnico y académico en el país. La definición e implementación de un Plan de Capacitación en Logística, que abarcan disciplinas técnicas y académicas, resultará en esta ampliación esperada en la oferta.</w:t>
            </w:r>
          </w:p>
        </w:tc>
      </w:tr>
      <w:tr w:rsidR="00FC0EE7" w:rsidRPr="000F3F6A" w14:paraId="23687A8B" w14:textId="77777777" w:rsidTr="00B558D6">
        <w:trPr>
          <w:trHeight w:val="83"/>
        </w:trPr>
        <w:tc>
          <w:tcPr>
            <w:tcW w:w="1700" w:type="dxa"/>
            <w:vMerge/>
          </w:tcPr>
          <w:p w14:paraId="7634D4B7" w14:textId="77777777" w:rsidR="00FC0EE7" w:rsidRPr="00FC0EE7" w:rsidRDefault="00FC0EE7" w:rsidP="006B5C00">
            <w:pPr>
              <w:pStyle w:val="Paragraph"/>
              <w:widowControl w:val="0"/>
              <w:tabs>
                <w:tab w:val="clear" w:pos="1440"/>
              </w:tabs>
              <w:ind w:left="0" w:firstLine="0"/>
              <w:rPr>
                <w:spacing w:val="-3"/>
                <w:sz w:val="20"/>
                <w:lang w:val="es-ES"/>
              </w:rPr>
            </w:pPr>
          </w:p>
        </w:tc>
        <w:tc>
          <w:tcPr>
            <w:tcW w:w="7480" w:type="dxa"/>
          </w:tcPr>
          <w:p w14:paraId="63D15A47" w14:textId="77777777" w:rsidR="00C10BB5" w:rsidRPr="00C10BB5" w:rsidRDefault="00C10BB5" w:rsidP="00C10BB5">
            <w:pPr>
              <w:pStyle w:val="Paragraph"/>
              <w:widowControl w:val="0"/>
              <w:ind w:left="0" w:firstLine="0"/>
              <w:rPr>
                <w:spacing w:val="-3"/>
                <w:sz w:val="20"/>
                <w:lang w:val="es-ES"/>
              </w:rPr>
            </w:pPr>
            <w:r w:rsidRPr="00C10BB5">
              <w:rPr>
                <w:b/>
                <w:spacing w:val="-3"/>
                <w:sz w:val="20"/>
                <w:lang w:val="es-ES"/>
              </w:rPr>
              <w:t>Metodología de Cálculo</w:t>
            </w:r>
            <w:r>
              <w:rPr>
                <w:spacing w:val="-3"/>
                <w:sz w:val="20"/>
                <w:lang w:val="es-ES"/>
              </w:rPr>
              <w:t xml:space="preserve">: </w:t>
            </w:r>
            <w:r w:rsidRPr="00C10BB5">
              <w:rPr>
                <w:spacing w:val="-3"/>
                <w:sz w:val="20"/>
                <w:lang w:val="es-ES"/>
              </w:rPr>
              <w:t>El indicador será calculado por:</w:t>
            </w:r>
          </w:p>
          <w:p w14:paraId="718141E9" w14:textId="77777777" w:rsidR="00FC0EE7" w:rsidRDefault="00C10BB5" w:rsidP="00C10BB5">
            <w:pPr>
              <w:pStyle w:val="Paragraph"/>
              <w:widowControl w:val="0"/>
              <w:tabs>
                <w:tab w:val="clear" w:pos="1440"/>
              </w:tabs>
              <w:ind w:left="702" w:firstLine="0"/>
              <w:rPr>
                <w:spacing w:val="-3"/>
                <w:sz w:val="20"/>
                <w:lang w:val="es-ES"/>
              </w:rPr>
            </w:pPr>
            <w:r w:rsidRPr="00C10BB5">
              <w:rPr>
                <w:spacing w:val="-3"/>
                <w:sz w:val="20"/>
                <w:lang w:val="es-ES"/>
              </w:rPr>
              <w:t xml:space="preserve">Disciplinas logísticas demandadas que son impartidas en el país/total de disciplinas logísticas existentes </w:t>
            </w:r>
            <w:r>
              <w:rPr>
                <w:spacing w:val="-3"/>
                <w:sz w:val="20"/>
                <w:lang w:val="es-ES"/>
              </w:rPr>
              <w:t>en el medio académico * 100 (%)</w:t>
            </w:r>
          </w:p>
          <w:p w14:paraId="06CA8BF9" w14:textId="77777777" w:rsidR="007A5866" w:rsidRPr="00FC0EE7" w:rsidRDefault="007A5866" w:rsidP="00A147A9">
            <w:pPr>
              <w:pStyle w:val="Paragraph"/>
              <w:widowControl w:val="0"/>
              <w:tabs>
                <w:tab w:val="clear" w:pos="1440"/>
              </w:tabs>
              <w:rPr>
                <w:spacing w:val="-3"/>
                <w:sz w:val="20"/>
                <w:lang w:val="es-ES"/>
              </w:rPr>
            </w:pPr>
          </w:p>
        </w:tc>
      </w:tr>
      <w:tr w:rsidR="00FC0EE7" w:rsidRPr="000F3F6A" w14:paraId="7032BBDC" w14:textId="77777777" w:rsidTr="00B558D6">
        <w:trPr>
          <w:trHeight w:val="83"/>
        </w:trPr>
        <w:tc>
          <w:tcPr>
            <w:tcW w:w="1700" w:type="dxa"/>
            <w:vMerge/>
          </w:tcPr>
          <w:p w14:paraId="7A31EAFA" w14:textId="77777777" w:rsidR="00FC0EE7" w:rsidRPr="00FC0EE7" w:rsidRDefault="00FC0EE7" w:rsidP="006B5C00">
            <w:pPr>
              <w:pStyle w:val="Paragraph"/>
              <w:widowControl w:val="0"/>
              <w:tabs>
                <w:tab w:val="clear" w:pos="1440"/>
              </w:tabs>
              <w:ind w:left="0" w:firstLine="0"/>
              <w:rPr>
                <w:spacing w:val="-3"/>
                <w:sz w:val="20"/>
                <w:lang w:val="es-ES"/>
              </w:rPr>
            </w:pPr>
          </w:p>
        </w:tc>
        <w:tc>
          <w:tcPr>
            <w:tcW w:w="7480" w:type="dxa"/>
          </w:tcPr>
          <w:p w14:paraId="681079C5" w14:textId="77777777" w:rsidR="00C10BB5" w:rsidRPr="00C10BB5" w:rsidRDefault="00C10BB5" w:rsidP="00C10BB5">
            <w:pPr>
              <w:pStyle w:val="Paragraph"/>
              <w:widowControl w:val="0"/>
              <w:ind w:left="0" w:firstLine="0"/>
              <w:rPr>
                <w:spacing w:val="-3"/>
                <w:sz w:val="20"/>
                <w:lang w:val="es-ES"/>
              </w:rPr>
            </w:pPr>
            <w:r w:rsidRPr="00C10BB5">
              <w:rPr>
                <w:b/>
                <w:spacing w:val="-3"/>
                <w:sz w:val="20"/>
                <w:lang w:val="es-ES"/>
              </w:rPr>
              <w:t>Línea de Base:</w:t>
            </w:r>
            <w:r>
              <w:rPr>
                <w:spacing w:val="-3"/>
                <w:sz w:val="20"/>
                <w:lang w:val="es-ES"/>
              </w:rPr>
              <w:t xml:space="preserve"> </w:t>
            </w:r>
            <w:r w:rsidRPr="00C10BB5">
              <w:rPr>
                <w:spacing w:val="-3"/>
                <w:sz w:val="20"/>
                <w:lang w:val="es-ES"/>
              </w:rPr>
              <w:t>Se calculó de la siguiente manera:</w:t>
            </w:r>
          </w:p>
          <w:p w14:paraId="5B1C6BA2" w14:textId="3B2FC998" w:rsidR="00C10BB5" w:rsidRPr="00C10BB5" w:rsidRDefault="00C10BB5" w:rsidP="008874E7">
            <w:pPr>
              <w:pStyle w:val="Paragraph"/>
              <w:widowControl w:val="0"/>
              <w:ind w:left="720" w:firstLine="0"/>
              <w:rPr>
                <w:spacing w:val="-3"/>
                <w:sz w:val="20"/>
                <w:lang w:val="es-ES"/>
              </w:rPr>
            </w:pPr>
            <w:r w:rsidRPr="00C10BB5">
              <w:rPr>
                <w:spacing w:val="-3"/>
                <w:sz w:val="20"/>
                <w:lang w:val="es-ES"/>
              </w:rPr>
              <w:t>Disciplinas logísticas demandadas que son impartidas en el país = 29 (13 universitarias, 13 vocacionales y 3 cursos cortos)</w:t>
            </w:r>
          </w:p>
          <w:p w14:paraId="6C5A035C" w14:textId="77777777" w:rsidR="00FC0EE7" w:rsidRDefault="00C10BB5" w:rsidP="008874E7">
            <w:pPr>
              <w:pStyle w:val="Paragraph"/>
              <w:widowControl w:val="0"/>
              <w:ind w:left="0" w:firstLine="0"/>
              <w:rPr>
                <w:spacing w:val="-3"/>
                <w:sz w:val="20"/>
                <w:lang w:val="es-ES"/>
              </w:rPr>
            </w:pPr>
            <w:proofErr w:type="gramStart"/>
            <w:r w:rsidRPr="00C10BB5">
              <w:rPr>
                <w:spacing w:val="-3"/>
                <w:sz w:val="20"/>
                <w:lang w:val="es-ES"/>
              </w:rPr>
              <w:lastRenderedPageBreak/>
              <w:t>Total</w:t>
            </w:r>
            <w:proofErr w:type="gramEnd"/>
            <w:r w:rsidRPr="00C10BB5">
              <w:rPr>
                <w:spacing w:val="-3"/>
                <w:sz w:val="20"/>
                <w:lang w:val="es-ES"/>
              </w:rPr>
              <w:t xml:space="preserve"> de disciplinas logísticas existentes en el medio académico = 60</w:t>
            </w:r>
            <w:r w:rsidR="008874E7">
              <w:rPr>
                <w:spacing w:val="-3"/>
                <w:sz w:val="20"/>
                <w:lang w:val="es-ES"/>
              </w:rPr>
              <w:t xml:space="preserve"> </w:t>
            </w:r>
            <w:r w:rsidRPr="00C10BB5">
              <w:rPr>
                <w:spacing w:val="-3"/>
                <w:sz w:val="20"/>
                <w:lang w:val="es-ES"/>
              </w:rPr>
              <w:t>= 29/60*100 =39%</w:t>
            </w:r>
          </w:p>
          <w:p w14:paraId="543FD4A2" w14:textId="77777777" w:rsidR="007A5866" w:rsidRDefault="008874E7" w:rsidP="00C10BB5">
            <w:pPr>
              <w:pStyle w:val="Paragraph"/>
              <w:widowControl w:val="0"/>
              <w:tabs>
                <w:tab w:val="clear" w:pos="1440"/>
              </w:tabs>
              <w:ind w:left="0" w:firstLine="0"/>
            </w:pPr>
            <w:r>
              <w:object w:dxaOrig="11715" w:dyaOrig="6915" w14:anchorId="55901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255.75pt" o:ole="">
                  <v:imagedata r:id="rId16" o:title=""/>
                </v:shape>
                <o:OLEObject Type="Embed" ProgID="PBrush" ShapeID="_x0000_i1025" DrawAspect="Content" ObjectID="_1592309197" r:id="rId17"/>
              </w:object>
            </w:r>
          </w:p>
          <w:p w14:paraId="2FCD4091" w14:textId="77777777" w:rsidR="007A5866" w:rsidRPr="00A147A9" w:rsidRDefault="007A5866" w:rsidP="00C10BB5">
            <w:pPr>
              <w:pStyle w:val="Paragraph"/>
              <w:widowControl w:val="0"/>
              <w:tabs>
                <w:tab w:val="clear" w:pos="1440"/>
              </w:tabs>
              <w:ind w:left="0" w:firstLine="0"/>
              <w:rPr>
                <w:spacing w:val="-3"/>
                <w:sz w:val="20"/>
                <w:lang w:val="es-ES_tradnl"/>
              </w:rPr>
            </w:pPr>
            <w:r w:rsidRPr="00A147A9">
              <w:rPr>
                <w:b/>
                <w:spacing w:val="-3"/>
                <w:sz w:val="20"/>
                <w:lang w:val="es-ES"/>
              </w:rPr>
              <w:t>Fuente:</w:t>
            </w:r>
            <w:r w:rsidRPr="00A147A9">
              <w:rPr>
                <w:spacing w:val="-3"/>
                <w:sz w:val="20"/>
                <w:lang w:val="es-ES"/>
              </w:rPr>
              <w:t xml:space="preserve"> Estudio de Necesidades, Ofertas Académicas y Plan Piloto de Formación a nivel técnico en Logística</w:t>
            </w:r>
            <w:r>
              <w:rPr>
                <w:spacing w:val="-3"/>
                <w:sz w:val="20"/>
                <w:lang w:val="es-ES"/>
              </w:rPr>
              <w:t xml:space="preserve">, 2014. </w:t>
            </w:r>
          </w:p>
        </w:tc>
      </w:tr>
      <w:tr w:rsidR="00FC0EE7" w:rsidRPr="000F3F6A" w14:paraId="58EE4F56" w14:textId="77777777" w:rsidTr="00B558D6">
        <w:trPr>
          <w:trHeight w:val="83"/>
        </w:trPr>
        <w:tc>
          <w:tcPr>
            <w:tcW w:w="1700" w:type="dxa"/>
            <w:vMerge/>
          </w:tcPr>
          <w:p w14:paraId="655DE82C" w14:textId="77777777" w:rsidR="00FC0EE7" w:rsidRPr="00FC0EE7" w:rsidRDefault="00FC0EE7" w:rsidP="006B5C00">
            <w:pPr>
              <w:pStyle w:val="Paragraph"/>
              <w:widowControl w:val="0"/>
              <w:tabs>
                <w:tab w:val="clear" w:pos="1440"/>
              </w:tabs>
              <w:ind w:left="0" w:firstLine="0"/>
              <w:rPr>
                <w:spacing w:val="-3"/>
                <w:sz w:val="20"/>
                <w:lang w:val="es-ES"/>
              </w:rPr>
            </w:pPr>
          </w:p>
        </w:tc>
        <w:tc>
          <w:tcPr>
            <w:tcW w:w="7480" w:type="dxa"/>
          </w:tcPr>
          <w:p w14:paraId="5EA0C68F" w14:textId="77777777" w:rsidR="00FC0EE7" w:rsidRPr="00FC0EE7" w:rsidRDefault="00C10BB5" w:rsidP="00C10BB5">
            <w:pPr>
              <w:pStyle w:val="Paragraph"/>
              <w:widowControl w:val="0"/>
              <w:ind w:left="0" w:firstLine="0"/>
              <w:rPr>
                <w:spacing w:val="-3"/>
                <w:sz w:val="20"/>
                <w:lang w:val="es-ES"/>
              </w:rPr>
            </w:pPr>
            <w:r w:rsidRPr="00C10BB5">
              <w:rPr>
                <w:b/>
                <w:spacing w:val="-3"/>
                <w:sz w:val="20"/>
                <w:lang w:val="es-ES"/>
              </w:rPr>
              <w:t>Aspectos de Monitoreo y Evaluación:</w:t>
            </w:r>
            <w:r>
              <w:rPr>
                <w:spacing w:val="-3"/>
                <w:sz w:val="20"/>
                <w:lang w:val="es-ES"/>
              </w:rPr>
              <w:t xml:space="preserve"> </w:t>
            </w:r>
            <w:r w:rsidRPr="00C10BB5">
              <w:rPr>
                <w:spacing w:val="-3"/>
                <w:sz w:val="20"/>
                <w:lang w:val="es-ES"/>
              </w:rPr>
              <w:t>El indicador va a ser evaluado con el apoyo de la Coordinación Logística, a partir de los insumos del Instituto Nacional de Formación Profesional y Capacitación para el Desarrollo Humano.</w:t>
            </w:r>
          </w:p>
        </w:tc>
      </w:tr>
    </w:tbl>
    <w:p w14:paraId="49668BF4" w14:textId="77777777" w:rsidR="00C32265" w:rsidRDefault="00C32265" w:rsidP="008A02B3">
      <w:pPr>
        <w:pStyle w:val="Paragraph"/>
        <w:widowControl w:val="0"/>
        <w:tabs>
          <w:tab w:val="clear" w:pos="1440"/>
        </w:tabs>
        <w:ind w:left="0" w:firstLine="0"/>
        <w:rPr>
          <w:sz w:val="20"/>
          <w:lang w:val="es-ES"/>
        </w:rPr>
      </w:pPr>
    </w:p>
    <w:p w14:paraId="66419408" w14:textId="0A68A2D1" w:rsidR="00BA7303" w:rsidRPr="00916118" w:rsidRDefault="005E7BE0" w:rsidP="00F25C3F">
      <w:pPr>
        <w:pStyle w:val="Paragraph"/>
        <w:numPr>
          <w:ilvl w:val="1"/>
          <w:numId w:val="10"/>
        </w:numPr>
        <w:spacing w:before="100" w:after="100"/>
        <w:ind w:left="900" w:hanging="900"/>
        <w:rPr>
          <w:b/>
          <w:spacing w:val="-3"/>
          <w:szCs w:val="24"/>
          <w:lang w:val="es-ES"/>
        </w:rPr>
      </w:pPr>
      <w:r>
        <w:rPr>
          <w:lang w:val="es-ES"/>
        </w:rPr>
        <w:t xml:space="preserve"> </w:t>
      </w:r>
    </w:p>
    <w:p w14:paraId="690F9266" w14:textId="34E1ED21" w:rsidR="00CB45B5" w:rsidRDefault="00CB45B5" w:rsidP="00CB45B5">
      <w:pPr>
        <w:pStyle w:val="Paragraph"/>
        <w:tabs>
          <w:tab w:val="clear" w:pos="1440"/>
        </w:tabs>
        <w:spacing w:before="100" w:after="100"/>
        <w:rPr>
          <w:b/>
          <w:spacing w:val="-3"/>
          <w:szCs w:val="24"/>
          <w:lang w:val="es-ES"/>
        </w:rPr>
      </w:pPr>
    </w:p>
    <w:p w14:paraId="7CD8D8C2" w14:textId="57C7F231" w:rsidR="00C960A4" w:rsidRPr="00FC2BC4" w:rsidRDefault="009E4D93" w:rsidP="008A02B3">
      <w:pPr>
        <w:pStyle w:val="Paragraph"/>
        <w:widowControl w:val="0"/>
        <w:numPr>
          <w:ilvl w:val="0"/>
          <w:numId w:val="8"/>
        </w:numPr>
        <w:rPr>
          <w:b/>
          <w:spacing w:val="-3"/>
          <w:szCs w:val="24"/>
          <w:lang w:val="es-ES"/>
        </w:rPr>
      </w:pPr>
      <w:r>
        <w:rPr>
          <w:b/>
          <w:spacing w:val="-3"/>
          <w:szCs w:val="24"/>
          <w:lang w:val="es-ES"/>
        </w:rPr>
        <w:t xml:space="preserve">Otras evaluaciones. </w:t>
      </w:r>
      <w:r w:rsidR="00C960A4" w:rsidRPr="00FC2BC4">
        <w:rPr>
          <w:b/>
          <w:spacing w:val="-3"/>
          <w:szCs w:val="24"/>
          <w:lang w:val="es-ES"/>
        </w:rPr>
        <w:t xml:space="preserve">Informe </w:t>
      </w:r>
      <w:r w:rsidR="00D947B1" w:rsidRPr="00FC2BC4">
        <w:rPr>
          <w:b/>
          <w:spacing w:val="-3"/>
          <w:szCs w:val="24"/>
          <w:lang w:val="es-ES"/>
        </w:rPr>
        <w:t xml:space="preserve">de </w:t>
      </w:r>
      <w:r w:rsidR="009F7F76" w:rsidRPr="00FC2BC4">
        <w:rPr>
          <w:b/>
          <w:spacing w:val="-3"/>
          <w:szCs w:val="24"/>
          <w:lang w:val="es-ES"/>
        </w:rPr>
        <w:t>Termin</w:t>
      </w:r>
      <w:r w:rsidR="009F7F76">
        <w:rPr>
          <w:b/>
          <w:spacing w:val="-3"/>
          <w:szCs w:val="24"/>
          <w:lang w:val="es-ES"/>
        </w:rPr>
        <w:t>ación</w:t>
      </w:r>
      <w:r w:rsidR="00D947B1" w:rsidRPr="00FC2BC4">
        <w:rPr>
          <w:b/>
          <w:spacing w:val="-3"/>
          <w:szCs w:val="24"/>
          <w:lang w:val="es-ES"/>
        </w:rPr>
        <w:t xml:space="preserve"> del Proyecto</w:t>
      </w:r>
      <w:r w:rsidR="00C960A4" w:rsidRPr="00FC2BC4">
        <w:rPr>
          <w:b/>
          <w:spacing w:val="-3"/>
          <w:szCs w:val="24"/>
          <w:lang w:val="es-ES"/>
        </w:rPr>
        <w:t xml:space="preserve"> (PCR)</w:t>
      </w:r>
    </w:p>
    <w:p w14:paraId="26009339" w14:textId="77777777" w:rsidR="00202900" w:rsidRPr="009F7F76" w:rsidRDefault="00202900" w:rsidP="001E63CD">
      <w:pPr>
        <w:pStyle w:val="Paragraph"/>
        <w:numPr>
          <w:ilvl w:val="1"/>
          <w:numId w:val="10"/>
        </w:numPr>
        <w:spacing w:before="100" w:after="100"/>
        <w:ind w:left="900" w:hanging="900"/>
        <w:rPr>
          <w:spacing w:val="-3"/>
          <w:szCs w:val="24"/>
          <w:lang w:val="es-ES"/>
        </w:rPr>
      </w:pPr>
      <w:r w:rsidRPr="009F7F76">
        <w:rPr>
          <w:lang w:val="es-ES_tradnl" w:eastAsia="es-ES"/>
        </w:rPr>
        <w:t>El Informe de Terminación de Proyecto o PCR, por sus siglas en inglés, es el principal instrumento de rendición de cuentas que utiliza el Banco para mostrar tanto a stakeholders internos y externos al Banco, el desempeño de sus operaciones con garantía soberana y la efectividad en el Desarrollo de las mismas. Asimismo, presenta los principales hallazgos y recomendaciones a fin de fortalecer el diseño y ejecución de futuros proyectos.</w:t>
      </w:r>
    </w:p>
    <w:p w14:paraId="7F1CB836" w14:textId="3883C64D" w:rsidR="00202900" w:rsidRPr="00A34B15" w:rsidRDefault="001417F1" w:rsidP="009F7F76">
      <w:pPr>
        <w:pStyle w:val="Paragraph"/>
        <w:numPr>
          <w:ilvl w:val="1"/>
          <w:numId w:val="10"/>
        </w:numPr>
        <w:spacing w:before="100" w:after="100"/>
        <w:ind w:left="900" w:hanging="900"/>
        <w:rPr>
          <w:highlight w:val="yellow"/>
          <w:lang w:val="es-ES_tradnl" w:eastAsia="es-ES"/>
        </w:rPr>
      </w:pPr>
      <w:r w:rsidRPr="00A34B15">
        <w:rPr>
          <w:spacing w:val="-3"/>
          <w:szCs w:val="24"/>
          <w:highlight w:val="yellow"/>
          <w:lang w:val="es-ES"/>
        </w:rPr>
        <w:t>El PCR</w:t>
      </w:r>
      <w:r w:rsidR="00202900" w:rsidRPr="00A34B15">
        <w:rPr>
          <w:spacing w:val="-3"/>
          <w:szCs w:val="24"/>
          <w:highlight w:val="yellow"/>
          <w:lang w:val="es-ES"/>
        </w:rPr>
        <w:t xml:space="preserve"> </w:t>
      </w:r>
      <w:r w:rsidRPr="00A34B15">
        <w:rPr>
          <w:spacing w:val="-3"/>
          <w:szCs w:val="24"/>
          <w:highlight w:val="yellow"/>
          <w:lang w:val="es-ES"/>
        </w:rPr>
        <w:t xml:space="preserve">será </w:t>
      </w:r>
      <w:r w:rsidR="0092010F">
        <w:rPr>
          <w:spacing w:val="-3"/>
          <w:szCs w:val="24"/>
          <w:highlight w:val="yellow"/>
          <w:lang w:val="es-ES"/>
        </w:rPr>
        <w:t xml:space="preserve">realizado conforme </w:t>
      </w:r>
      <w:r w:rsidRPr="00A34B15">
        <w:rPr>
          <w:spacing w:val="-3"/>
          <w:szCs w:val="24"/>
          <w:highlight w:val="yellow"/>
          <w:lang w:val="es-ES"/>
        </w:rPr>
        <w:t xml:space="preserve">las </w:t>
      </w:r>
      <w:hyperlink r:id="rId18" w:history="1">
        <w:r w:rsidRPr="0092010F">
          <w:rPr>
            <w:rStyle w:val="Hyperlink"/>
            <w:spacing w:val="-3"/>
            <w:szCs w:val="24"/>
            <w:highlight w:val="yellow"/>
            <w:lang w:val="es-ES"/>
          </w:rPr>
          <w:t>nuevas guías</w:t>
        </w:r>
      </w:hyperlink>
      <w:r w:rsidRPr="00A34B15">
        <w:rPr>
          <w:spacing w:val="-3"/>
          <w:szCs w:val="24"/>
          <w:highlight w:val="yellow"/>
          <w:lang w:val="es-ES"/>
        </w:rPr>
        <w:t xml:space="preserve"> que entraron en vigencia e</w:t>
      </w:r>
      <w:r w:rsidR="0092010F">
        <w:rPr>
          <w:spacing w:val="-3"/>
          <w:szCs w:val="24"/>
          <w:highlight w:val="yellow"/>
          <w:lang w:val="es-ES"/>
        </w:rPr>
        <w:t>n 2018</w:t>
      </w:r>
    </w:p>
    <w:p w14:paraId="0BD3ECE7" w14:textId="77777777" w:rsidR="001417F1" w:rsidRPr="009F7F76" w:rsidRDefault="00202900" w:rsidP="009F7F76">
      <w:pPr>
        <w:pStyle w:val="Paragraph"/>
        <w:numPr>
          <w:ilvl w:val="1"/>
          <w:numId w:val="10"/>
        </w:numPr>
        <w:spacing w:before="100" w:after="100"/>
        <w:ind w:left="900" w:hanging="900"/>
        <w:rPr>
          <w:lang w:val="es-ES_tradnl" w:eastAsia="es-ES"/>
        </w:rPr>
      </w:pPr>
      <w:r w:rsidRPr="009F7F76">
        <w:rPr>
          <w:spacing w:val="-3"/>
          <w:szCs w:val="24"/>
          <w:lang w:val="es-ES"/>
        </w:rPr>
        <w:t xml:space="preserve">La evaluación será conducida a partir del análisis de los </w:t>
      </w:r>
      <w:r w:rsidR="001417F1" w:rsidRPr="009F7F76">
        <w:rPr>
          <w:lang w:val="es-ES_tradnl" w:eastAsia="es-ES"/>
        </w:rPr>
        <w:t xml:space="preserve">criterios centrales y criterios no centrales. Los criterios centrales del PCR, básicamente evalúan el desempeño del proyecto y se determinan en forma objetiva con base en los resultados y </w:t>
      </w:r>
      <w:r w:rsidR="001417F1" w:rsidRPr="009F7F76">
        <w:rPr>
          <w:spacing w:val="-3"/>
          <w:szCs w:val="24"/>
          <w:lang w:val="es-ES"/>
        </w:rPr>
        <w:t>productos</w:t>
      </w:r>
      <w:r w:rsidR="001417F1" w:rsidRPr="009F7F76">
        <w:rPr>
          <w:lang w:val="es-ES_tradnl" w:eastAsia="es-ES"/>
        </w:rPr>
        <w:t xml:space="preserve"> del mismo, y se califica a través de cuatro criterios:</w:t>
      </w:r>
      <w:r w:rsidR="009F7F76" w:rsidRPr="009F7F76">
        <w:rPr>
          <w:lang w:val="es-ES_tradnl" w:eastAsia="es-ES"/>
        </w:rPr>
        <w:t xml:space="preserve"> </w:t>
      </w:r>
      <w:r w:rsidR="009F7F76">
        <w:rPr>
          <w:lang w:val="es-ES_tradnl" w:eastAsia="es-ES"/>
        </w:rPr>
        <w:t xml:space="preserve">(i) </w:t>
      </w:r>
      <w:r w:rsidR="001417F1" w:rsidRPr="009F7F76">
        <w:rPr>
          <w:lang w:val="es-ES_tradnl" w:eastAsia="es-ES"/>
        </w:rPr>
        <w:t xml:space="preserve">Efectividad, </w:t>
      </w:r>
      <w:r w:rsidR="009F7F76">
        <w:rPr>
          <w:lang w:val="es-ES_tradnl" w:eastAsia="es-ES"/>
        </w:rPr>
        <w:t>(</w:t>
      </w:r>
      <w:r w:rsidR="001417F1" w:rsidRPr="009F7F76">
        <w:rPr>
          <w:lang w:val="es-ES_tradnl" w:eastAsia="es-ES"/>
        </w:rPr>
        <w:t>ii) Eficiencia</w:t>
      </w:r>
      <w:r>
        <w:rPr>
          <w:rStyle w:val="FootnoteReference"/>
          <w:lang w:val="es-ES_tradnl" w:eastAsia="es-ES"/>
        </w:rPr>
        <w:footnoteReference w:id="4"/>
      </w:r>
      <w:r w:rsidR="001417F1" w:rsidRPr="009F7F76">
        <w:rPr>
          <w:lang w:val="es-ES_tradnl" w:eastAsia="es-ES"/>
        </w:rPr>
        <w:t xml:space="preserve">, </w:t>
      </w:r>
      <w:r w:rsidR="009F7F76">
        <w:rPr>
          <w:lang w:val="es-ES_tradnl" w:eastAsia="es-ES"/>
        </w:rPr>
        <w:t>(</w:t>
      </w:r>
      <w:r w:rsidR="001417F1" w:rsidRPr="009F7F76">
        <w:rPr>
          <w:lang w:val="es-ES_tradnl" w:eastAsia="es-ES"/>
        </w:rPr>
        <w:t xml:space="preserve">iii) Relevancia y </w:t>
      </w:r>
      <w:r w:rsidR="009F7F76">
        <w:rPr>
          <w:lang w:val="es-ES_tradnl" w:eastAsia="es-ES"/>
        </w:rPr>
        <w:t>(</w:t>
      </w:r>
      <w:r w:rsidR="001417F1" w:rsidRPr="009F7F76">
        <w:rPr>
          <w:lang w:val="es-ES_tradnl" w:eastAsia="es-ES"/>
        </w:rPr>
        <w:t xml:space="preserve">iv) Sostenibilidad.  </w:t>
      </w:r>
    </w:p>
    <w:p w14:paraId="5C340201" w14:textId="77777777" w:rsidR="00202900" w:rsidRPr="00202900" w:rsidRDefault="00202900" w:rsidP="009F7F76">
      <w:pPr>
        <w:pStyle w:val="Paragraph"/>
        <w:numPr>
          <w:ilvl w:val="1"/>
          <w:numId w:val="10"/>
        </w:numPr>
        <w:spacing w:before="100" w:after="100"/>
        <w:ind w:left="900" w:hanging="900"/>
        <w:rPr>
          <w:lang w:val="es-BO" w:eastAsia="es-ES"/>
        </w:rPr>
      </w:pPr>
      <w:r w:rsidRPr="00202900">
        <w:rPr>
          <w:lang w:val="es-BO" w:eastAsia="es-ES"/>
        </w:rPr>
        <w:t xml:space="preserve">Los criterios no centrales del PCR son aquellos evaluables, pero que no califican la efectividad de la intervención. En su defecto evalúan la contribución de la </w:t>
      </w:r>
      <w:r w:rsidRPr="00202900">
        <w:rPr>
          <w:lang w:val="es-BO" w:eastAsia="es-ES"/>
        </w:rPr>
        <w:lastRenderedPageBreak/>
        <w:t xml:space="preserve">operación a los </w:t>
      </w:r>
      <w:r w:rsidRPr="009F7F76">
        <w:rPr>
          <w:spacing w:val="-3"/>
          <w:szCs w:val="24"/>
          <w:lang w:val="es-ES"/>
        </w:rPr>
        <w:t>objetivos</w:t>
      </w:r>
      <w:r w:rsidRPr="00202900">
        <w:rPr>
          <w:lang w:val="es-BO" w:eastAsia="es-ES"/>
        </w:rPr>
        <w:t xml:space="preserve"> de desarrollo del Banco; la contribución a los objetivos de desarrollo del país; el cumplimiento del plan de monitoreo y evaluación; el uso de sistemas país y la implementación y mitigación de salvaguardas ambientales y sociales.</w:t>
      </w:r>
    </w:p>
    <w:p w14:paraId="523DC105" w14:textId="77777777" w:rsidR="00833622" w:rsidRPr="00A34B15" w:rsidRDefault="00833622" w:rsidP="009F7F76">
      <w:pPr>
        <w:pStyle w:val="Paragraph"/>
        <w:numPr>
          <w:ilvl w:val="1"/>
          <w:numId w:val="10"/>
        </w:numPr>
        <w:spacing w:before="100" w:after="100"/>
        <w:ind w:left="900" w:hanging="900"/>
        <w:rPr>
          <w:spacing w:val="-3"/>
          <w:szCs w:val="24"/>
          <w:highlight w:val="yellow"/>
          <w:lang w:val="es-ES"/>
        </w:rPr>
      </w:pPr>
      <w:r w:rsidRPr="00A34B15">
        <w:rPr>
          <w:spacing w:val="-3"/>
          <w:szCs w:val="24"/>
          <w:highlight w:val="yellow"/>
          <w:lang w:val="es-ES"/>
        </w:rPr>
        <w:t>Será realizado hasta 6 meses después de</w:t>
      </w:r>
      <w:r w:rsidR="008E5E30" w:rsidRPr="00A34B15">
        <w:rPr>
          <w:spacing w:val="-3"/>
          <w:szCs w:val="24"/>
          <w:highlight w:val="yellow"/>
          <w:lang w:val="es-ES"/>
        </w:rPr>
        <w:t xml:space="preserve"> haber </w:t>
      </w:r>
      <w:r w:rsidRPr="00A34B15">
        <w:rPr>
          <w:spacing w:val="-3"/>
          <w:szCs w:val="24"/>
          <w:highlight w:val="yellow"/>
          <w:lang w:val="es-ES"/>
        </w:rPr>
        <w:t>desembols</w:t>
      </w:r>
      <w:r w:rsidR="008E5E30" w:rsidRPr="00A34B15">
        <w:rPr>
          <w:spacing w:val="-3"/>
          <w:szCs w:val="24"/>
          <w:highlight w:val="yellow"/>
          <w:lang w:val="es-ES"/>
        </w:rPr>
        <w:t>ado</w:t>
      </w:r>
      <w:r w:rsidRPr="00A34B15">
        <w:rPr>
          <w:spacing w:val="-3"/>
          <w:szCs w:val="24"/>
          <w:highlight w:val="yellow"/>
          <w:lang w:val="es-ES"/>
        </w:rPr>
        <w:t xml:space="preserve"> la tercera operación</w:t>
      </w:r>
      <w:r w:rsidR="008E5E30" w:rsidRPr="00A34B15">
        <w:rPr>
          <w:spacing w:val="-3"/>
          <w:szCs w:val="24"/>
          <w:highlight w:val="yellow"/>
          <w:lang w:val="es-ES"/>
        </w:rPr>
        <w:t>.</w:t>
      </w:r>
    </w:p>
    <w:tbl>
      <w:tblPr>
        <w:tblW w:w="5668" w:type="pct"/>
        <w:tblInd w:w="-432" w:type="dxa"/>
        <w:tblLayout w:type="fixed"/>
        <w:tblLook w:val="04A0" w:firstRow="1" w:lastRow="0" w:firstColumn="1" w:lastColumn="0" w:noHBand="0" w:noVBand="1"/>
      </w:tblPr>
      <w:tblGrid>
        <w:gridCol w:w="3154"/>
        <w:gridCol w:w="694"/>
        <w:gridCol w:w="102"/>
        <w:gridCol w:w="453"/>
        <w:gridCol w:w="416"/>
        <w:gridCol w:w="698"/>
        <w:gridCol w:w="792"/>
        <w:gridCol w:w="750"/>
        <w:gridCol w:w="788"/>
        <w:gridCol w:w="1925"/>
      </w:tblGrid>
      <w:tr w:rsidR="00743617" w:rsidRPr="000F3F6A" w14:paraId="1E97C7C1" w14:textId="77777777" w:rsidTr="008A02B3">
        <w:trPr>
          <w:trHeight w:val="241"/>
        </w:trPr>
        <w:tc>
          <w:tcPr>
            <w:tcW w:w="5000" w:type="pct"/>
            <w:gridSpan w:val="10"/>
            <w:tcBorders>
              <w:top w:val="single" w:sz="8" w:space="0" w:color="auto"/>
              <w:left w:val="single" w:sz="8" w:space="0" w:color="auto"/>
              <w:bottom w:val="single" w:sz="8" w:space="0" w:color="000000"/>
              <w:right w:val="single" w:sz="8" w:space="0" w:color="auto"/>
            </w:tcBorders>
            <w:shd w:val="clear" w:color="000000" w:fill="D9D9D9"/>
          </w:tcPr>
          <w:p w14:paraId="2622C2CC" w14:textId="77777777" w:rsidR="00743617" w:rsidRPr="00916118" w:rsidRDefault="00F25C3F" w:rsidP="00743617">
            <w:pPr>
              <w:spacing w:before="120" w:after="120"/>
              <w:jc w:val="center"/>
              <w:rPr>
                <w:b/>
                <w:bCs/>
                <w:color w:val="000000"/>
                <w:sz w:val="20"/>
                <w:szCs w:val="20"/>
                <w:lang w:val="es-ES"/>
              </w:rPr>
            </w:pPr>
            <w:r w:rsidRPr="00916118">
              <w:rPr>
                <w:b/>
                <w:bCs/>
                <w:color w:val="000000"/>
                <w:sz w:val="20"/>
                <w:szCs w:val="20"/>
                <w:lang w:val="es-ES"/>
              </w:rPr>
              <w:t>Tabla 4</w:t>
            </w:r>
            <w:r w:rsidR="00743617" w:rsidRPr="00916118">
              <w:rPr>
                <w:b/>
                <w:bCs/>
                <w:color w:val="000000"/>
                <w:sz w:val="20"/>
                <w:szCs w:val="20"/>
                <w:lang w:val="es-ES"/>
              </w:rPr>
              <w:t>. Plan de Trabajo de Evaluación</w:t>
            </w:r>
          </w:p>
        </w:tc>
      </w:tr>
      <w:tr w:rsidR="00D947B1" w:rsidRPr="00916118" w14:paraId="4E82E0AF" w14:textId="77777777" w:rsidTr="00916118">
        <w:trPr>
          <w:trHeight w:val="250"/>
        </w:trPr>
        <w:tc>
          <w:tcPr>
            <w:tcW w:w="1614" w:type="pc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FD70111" w14:textId="77777777" w:rsidR="00D947B1" w:rsidRPr="00916118" w:rsidRDefault="00D947B1" w:rsidP="00743617">
            <w:pPr>
              <w:spacing w:before="120" w:after="120"/>
              <w:jc w:val="center"/>
              <w:rPr>
                <w:b/>
                <w:bCs/>
                <w:color w:val="000000"/>
                <w:sz w:val="20"/>
                <w:szCs w:val="20"/>
                <w:lang w:val="es-ES"/>
              </w:rPr>
            </w:pPr>
            <w:r w:rsidRPr="00916118">
              <w:rPr>
                <w:b/>
                <w:bCs/>
                <w:color w:val="000000"/>
                <w:sz w:val="20"/>
                <w:szCs w:val="20"/>
                <w:lang w:val="es-ES"/>
              </w:rPr>
              <w:t>Actividad</w:t>
            </w:r>
          </w:p>
        </w:tc>
        <w:tc>
          <w:tcPr>
            <w:tcW w:w="407" w:type="pct"/>
            <w:gridSpan w:val="2"/>
            <w:tcBorders>
              <w:top w:val="single" w:sz="8" w:space="0" w:color="auto"/>
              <w:left w:val="nil"/>
              <w:right w:val="single" w:sz="8" w:space="0" w:color="000000"/>
            </w:tcBorders>
            <w:shd w:val="clear" w:color="000000" w:fill="D9D9D9"/>
            <w:noWrap/>
            <w:vAlign w:val="center"/>
            <w:hideMark/>
          </w:tcPr>
          <w:p w14:paraId="3650CDBB" w14:textId="77777777" w:rsidR="00D947B1" w:rsidRPr="00916118" w:rsidRDefault="00D947B1" w:rsidP="00743617">
            <w:pPr>
              <w:spacing w:before="120" w:after="120"/>
              <w:jc w:val="center"/>
              <w:rPr>
                <w:b/>
                <w:bCs/>
                <w:color w:val="000000"/>
                <w:sz w:val="20"/>
                <w:szCs w:val="20"/>
                <w:lang w:val="es-ES"/>
              </w:rPr>
            </w:pPr>
            <w:r w:rsidRPr="00916118">
              <w:rPr>
                <w:b/>
                <w:bCs/>
                <w:color w:val="000000"/>
                <w:sz w:val="20"/>
                <w:szCs w:val="20"/>
                <w:lang w:val="es-ES"/>
              </w:rPr>
              <w:t>2015</w:t>
            </w:r>
          </w:p>
        </w:tc>
        <w:tc>
          <w:tcPr>
            <w:tcW w:w="445" w:type="pct"/>
            <w:gridSpan w:val="2"/>
            <w:tcBorders>
              <w:top w:val="single" w:sz="8" w:space="0" w:color="auto"/>
              <w:left w:val="nil"/>
              <w:right w:val="single" w:sz="8" w:space="0" w:color="000000"/>
            </w:tcBorders>
            <w:shd w:val="clear" w:color="000000" w:fill="D9D9D9"/>
            <w:noWrap/>
            <w:vAlign w:val="center"/>
            <w:hideMark/>
          </w:tcPr>
          <w:p w14:paraId="54F14FA1" w14:textId="77777777" w:rsidR="00D947B1" w:rsidRPr="00916118" w:rsidRDefault="00D947B1" w:rsidP="00743617">
            <w:pPr>
              <w:spacing w:before="120" w:after="120"/>
              <w:jc w:val="center"/>
              <w:rPr>
                <w:b/>
                <w:bCs/>
                <w:color w:val="000000"/>
                <w:sz w:val="20"/>
                <w:szCs w:val="20"/>
                <w:lang w:val="es-ES"/>
              </w:rPr>
            </w:pPr>
            <w:r w:rsidRPr="00916118">
              <w:rPr>
                <w:b/>
                <w:bCs/>
                <w:color w:val="000000"/>
                <w:sz w:val="20"/>
                <w:szCs w:val="20"/>
                <w:lang w:val="es-ES"/>
              </w:rPr>
              <w:t>2016</w:t>
            </w:r>
          </w:p>
        </w:tc>
        <w:tc>
          <w:tcPr>
            <w:tcW w:w="357" w:type="pct"/>
            <w:tcBorders>
              <w:top w:val="single" w:sz="8" w:space="0" w:color="auto"/>
              <w:left w:val="nil"/>
              <w:right w:val="single" w:sz="8" w:space="0" w:color="000000"/>
            </w:tcBorders>
            <w:shd w:val="clear" w:color="000000" w:fill="D9D9D9"/>
            <w:noWrap/>
            <w:vAlign w:val="center"/>
            <w:hideMark/>
          </w:tcPr>
          <w:p w14:paraId="4888C561" w14:textId="77777777" w:rsidR="00D947B1" w:rsidRPr="00916118" w:rsidRDefault="00D947B1" w:rsidP="00743617">
            <w:pPr>
              <w:spacing w:before="120" w:after="120"/>
              <w:jc w:val="center"/>
              <w:rPr>
                <w:b/>
                <w:bCs/>
                <w:color w:val="000000"/>
                <w:sz w:val="20"/>
                <w:szCs w:val="20"/>
                <w:lang w:val="es-ES"/>
              </w:rPr>
            </w:pPr>
            <w:r w:rsidRPr="00916118">
              <w:rPr>
                <w:b/>
                <w:bCs/>
                <w:color w:val="000000"/>
                <w:sz w:val="20"/>
                <w:szCs w:val="20"/>
                <w:lang w:val="es-ES"/>
              </w:rPr>
              <w:t>2017</w:t>
            </w:r>
          </w:p>
        </w:tc>
        <w:tc>
          <w:tcPr>
            <w:tcW w:w="405" w:type="pct"/>
            <w:tcBorders>
              <w:top w:val="single" w:sz="8" w:space="0" w:color="auto"/>
              <w:left w:val="nil"/>
              <w:right w:val="single" w:sz="8" w:space="0" w:color="000000"/>
            </w:tcBorders>
            <w:shd w:val="clear" w:color="000000" w:fill="D9D9D9"/>
            <w:noWrap/>
            <w:vAlign w:val="center"/>
            <w:hideMark/>
          </w:tcPr>
          <w:p w14:paraId="4208F7AD" w14:textId="77777777" w:rsidR="00D947B1" w:rsidRPr="00916118" w:rsidRDefault="00D947B1" w:rsidP="00743617">
            <w:pPr>
              <w:spacing w:before="120" w:after="120"/>
              <w:jc w:val="center"/>
              <w:rPr>
                <w:b/>
                <w:bCs/>
                <w:color w:val="000000"/>
                <w:sz w:val="20"/>
                <w:szCs w:val="20"/>
                <w:lang w:val="es-ES"/>
              </w:rPr>
            </w:pPr>
            <w:r w:rsidRPr="00916118">
              <w:rPr>
                <w:b/>
                <w:bCs/>
                <w:color w:val="000000"/>
                <w:sz w:val="20"/>
                <w:szCs w:val="20"/>
                <w:lang w:val="es-ES"/>
              </w:rPr>
              <w:t>2018</w:t>
            </w:r>
          </w:p>
        </w:tc>
        <w:tc>
          <w:tcPr>
            <w:tcW w:w="384" w:type="pct"/>
            <w:tcBorders>
              <w:top w:val="single" w:sz="8" w:space="0" w:color="auto"/>
              <w:left w:val="nil"/>
              <w:right w:val="single" w:sz="8" w:space="0" w:color="000000"/>
            </w:tcBorders>
            <w:shd w:val="clear" w:color="000000" w:fill="D9D9D9"/>
            <w:noWrap/>
            <w:vAlign w:val="center"/>
            <w:hideMark/>
          </w:tcPr>
          <w:p w14:paraId="6D126EBA" w14:textId="77777777" w:rsidR="00D947B1" w:rsidRPr="00916118" w:rsidRDefault="00D947B1" w:rsidP="00743617">
            <w:pPr>
              <w:spacing w:before="120" w:after="120"/>
              <w:jc w:val="center"/>
              <w:rPr>
                <w:b/>
                <w:bCs/>
                <w:color w:val="000000"/>
                <w:sz w:val="20"/>
                <w:szCs w:val="20"/>
                <w:lang w:val="es-ES"/>
              </w:rPr>
            </w:pPr>
            <w:r w:rsidRPr="00916118">
              <w:rPr>
                <w:b/>
                <w:bCs/>
                <w:color w:val="000000"/>
                <w:sz w:val="20"/>
                <w:szCs w:val="20"/>
                <w:lang w:val="es-ES"/>
              </w:rPr>
              <w:t>2019</w:t>
            </w:r>
          </w:p>
        </w:tc>
        <w:tc>
          <w:tcPr>
            <w:tcW w:w="403" w:type="pct"/>
            <w:tcBorders>
              <w:top w:val="single" w:sz="8" w:space="0" w:color="auto"/>
              <w:left w:val="single" w:sz="8" w:space="0" w:color="auto"/>
              <w:right w:val="single" w:sz="4" w:space="0" w:color="auto"/>
            </w:tcBorders>
            <w:shd w:val="clear" w:color="000000" w:fill="D9D9D9"/>
          </w:tcPr>
          <w:p w14:paraId="772ECF53" w14:textId="77777777" w:rsidR="00D947B1" w:rsidRPr="00916118" w:rsidRDefault="00D947B1" w:rsidP="00743617">
            <w:pPr>
              <w:spacing w:before="120" w:after="120"/>
              <w:jc w:val="center"/>
              <w:rPr>
                <w:b/>
                <w:bCs/>
                <w:color w:val="000000"/>
                <w:sz w:val="20"/>
                <w:szCs w:val="20"/>
                <w:lang w:val="es-ES"/>
              </w:rPr>
            </w:pPr>
            <w:r w:rsidRPr="00916118">
              <w:rPr>
                <w:b/>
                <w:bCs/>
                <w:color w:val="000000"/>
                <w:sz w:val="20"/>
                <w:szCs w:val="20"/>
                <w:lang w:val="es-ES"/>
              </w:rPr>
              <w:t>2020</w:t>
            </w:r>
          </w:p>
        </w:tc>
        <w:tc>
          <w:tcPr>
            <w:tcW w:w="985"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59D4A9CC" w14:textId="77777777" w:rsidR="00D947B1" w:rsidRPr="00916118" w:rsidRDefault="00D947B1" w:rsidP="00743617">
            <w:pPr>
              <w:spacing w:before="120" w:after="120"/>
              <w:jc w:val="center"/>
              <w:rPr>
                <w:b/>
                <w:bCs/>
                <w:color w:val="000000"/>
                <w:sz w:val="20"/>
                <w:szCs w:val="20"/>
                <w:lang w:val="es-ES"/>
              </w:rPr>
            </w:pPr>
            <w:r w:rsidRPr="00916118">
              <w:rPr>
                <w:b/>
                <w:bCs/>
                <w:color w:val="000000"/>
                <w:sz w:val="20"/>
                <w:szCs w:val="20"/>
                <w:lang w:val="es-ES"/>
              </w:rPr>
              <w:t>Responsable y Costo</w:t>
            </w:r>
          </w:p>
        </w:tc>
      </w:tr>
      <w:tr w:rsidR="003B0B3A" w:rsidRPr="00916118" w14:paraId="298D141A" w14:textId="77777777" w:rsidTr="00916118">
        <w:trPr>
          <w:trHeight w:val="745"/>
        </w:trPr>
        <w:tc>
          <w:tcPr>
            <w:tcW w:w="1614" w:type="pct"/>
            <w:tcBorders>
              <w:top w:val="nil"/>
              <w:left w:val="single" w:sz="8" w:space="0" w:color="auto"/>
              <w:bottom w:val="single" w:sz="8" w:space="0" w:color="auto"/>
              <w:right w:val="single" w:sz="8" w:space="0" w:color="auto"/>
            </w:tcBorders>
            <w:shd w:val="clear" w:color="auto" w:fill="auto"/>
            <w:noWrap/>
            <w:vAlign w:val="center"/>
          </w:tcPr>
          <w:p w14:paraId="0DF270CB" w14:textId="77777777" w:rsidR="003B0B3A" w:rsidRPr="00916118" w:rsidRDefault="003B0B3A" w:rsidP="00743617">
            <w:pPr>
              <w:spacing w:before="120" w:after="120"/>
              <w:rPr>
                <w:color w:val="000000"/>
                <w:sz w:val="20"/>
                <w:szCs w:val="20"/>
                <w:lang w:val="es-ES"/>
              </w:rPr>
            </w:pPr>
            <w:r w:rsidRPr="00916118">
              <w:rPr>
                <w:color w:val="000000"/>
                <w:sz w:val="20"/>
                <w:szCs w:val="20"/>
                <w:lang w:val="es-ES"/>
              </w:rPr>
              <w:t>Evaluación reflexiva</w:t>
            </w:r>
          </w:p>
        </w:tc>
        <w:tc>
          <w:tcPr>
            <w:tcW w:w="407" w:type="pct"/>
            <w:gridSpan w:val="2"/>
            <w:tcBorders>
              <w:top w:val="single" w:sz="8" w:space="0" w:color="auto"/>
              <w:left w:val="nil"/>
              <w:bottom w:val="single" w:sz="8" w:space="0" w:color="auto"/>
              <w:right w:val="single" w:sz="8" w:space="0" w:color="auto"/>
            </w:tcBorders>
            <w:shd w:val="clear" w:color="auto" w:fill="auto"/>
            <w:noWrap/>
            <w:vAlign w:val="center"/>
          </w:tcPr>
          <w:p w14:paraId="28DDDFB5" w14:textId="77777777" w:rsidR="003B0B3A" w:rsidRPr="00916118" w:rsidRDefault="003B0B3A" w:rsidP="00D947B1">
            <w:pPr>
              <w:spacing w:before="120" w:after="120"/>
              <w:jc w:val="center"/>
              <w:rPr>
                <w:color w:val="000000"/>
                <w:sz w:val="20"/>
                <w:szCs w:val="20"/>
                <w:lang w:val="es-ES"/>
              </w:rPr>
            </w:pPr>
          </w:p>
        </w:tc>
        <w:tc>
          <w:tcPr>
            <w:tcW w:w="445" w:type="pct"/>
            <w:gridSpan w:val="2"/>
            <w:tcBorders>
              <w:top w:val="single" w:sz="8" w:space="0" w:color="auto"/>
              <w:left w:val="nil"/>
              <w:bottom w:val="single" w:sz="8" w:space="0" w:color="auto"/>
              <w:right w:val="single" w:sz="8" w:space="0" w:color="auto"/>
            </w:tcBorders>
            <w:shd w:val="clear" w:color="auto" w:fill="auto"/>
            <w:noWrap/>
            <w:vAlign w:val="center"/>
          </w:tcPr>
          <w:p w14:paraId="62DBF2ED" w14:textId="77777777" w:rsidR="003B0B3A" w:rsidRPr="00916118" w:rsidRDefault="003B0B3A" w:rsidP="00D947B1">
            <w:pPr>
              <w:spacing w:before="120" w:after="120"/>
              <w:jc w:val="center"/>
              <w:rPr>
                <w:color w:val="000000"/>
                <w:sz w:val="20"/>
                <w:szCs w:val="20"/>
                <w:lang w:val="es-ES"/>
              </w:rPr>
            </w:pPr>
          </w:p>
        </w:tc>
        <w:tc>
          <w:tcPr>
            <w:tcW w:w="357" w:type="pct"/>
            <w:tcBorders>
              <w:top w:val="single" w:sz="8" w:space="0" w:color="auto"/>
              <w:left w:val="nil"/>
              <w:bottom w:val="single" w:sz="8" w:space="0" w:color="auto"/>
              <w:right w:val="single" w:sz="8" w:space="0" w:color="auto"/>
            </w:tcBorders>
            <w:shd w:val="clear" w:color="auto" w:fill="auto"/>
            <w:noWrap/>
            <w:vAlign w:val="center"/>
          </w:tcPr>
          <w:p w14:paraId="2B035593" w14:textId="325B58C8" w:rsidR="003B0B3A" w:rsidRPr="00916118" w:rsidRDefault="003B0B3A" w:rsidP="00D947B1">
            <w:pPr>
              <w:spacing w:before="120" w:after="120"/>
              <w:jc w:val="center"/>
              <w:rPr>
                <w:color w:val="000000"/>
                <w:sz w:val="20"/>
                <w:szCs w:val="20"/>
                <w:lang w:val="es-ES"/>
              </w:rPr>
            </w:pPr>
          </w:p>
        </w:tc>
        <w:tc>
          <w:tcPr>
            <w:tcW w:w="405" w:type="pct"/>
            <w:tcBorders>
              <w:top w:val="single" w:sz="8" w:space="0" w:color="auto"/>
              <w:left w:val="nil"/>
              <w:bottom w:val="single" w:sz="8" w:space="0" w:color="auto"/>
              <w:right w:val="single" w:sz="8" w:space="0" w:color="auto"/>
            </w:tcBorders>
            <w:shd w:val="clear" w:color="auto" w:fill="auto"/>
            <w:noWrap/>
            <w:vAlign w:val="center"/>
          </w:tcPr>
          <w:p w14:paraId="39F6BC53" w14:textId="4F1A4740" w:rsidR="003B0B3A" w:rsidRPr="00916118" w:rsidRDefault="003B0B3A" w:rsidP="00D947B1">
            <w:pPr>
              <w:spacing w:before="120" w:after="120"/>
              <w:jc w:val="center"/>
              <w:rPr>
                <w:color w:val="000000"/>
                <w:sz w:val="20"/>
                <w:szCs w:val="20"/>
                <w:lang w:val="es-ES"/>
              </w:rPr>
            </w:pPr>
          </w:p>
        </w:tc>
        <w:tc>
          <w:tcPr>
            <w:tcW w:w="384" w:type="pct"/>
            <w:tcBorders>
              <w:top w:val="single" w:sz="8" w:space="0" w:color="auto"/>
              <w:left w:val="nil"/>
              <w:bottom w:val="single" w:sz="8" w:space="0" w:color="auto"/>
              <w:right w:val="single" w:sz="8" w:space="0" w:color="auto"/>
            </w:tcBorders>
            <w:shd w:val="clear" w:color="auto" w:fill="auto"/>
            <w:noWrap/>
            <w:vAlign w:val="center"/>
          </w:tcPr>
          <w:p w14:paraId="49A38069" w14:textId="77777777" w:rsidR="003B0B3A" w:rsidRPr="00916118" w:rsidRDefault="006F6810" w:rsidP="00D947B1">
            <w:pPr>
              <w:spacing w:before="120" w:after="120"/>
              <w:jc w:val="center"/>
              <w:rPr>
                <w:color w:val="000000"/>
                <w:sz w:val="20"/>
                <w:szCs w:val="20"/>
                <w:lang w:val="es-ES"/>
              </w:rPr>
            </w:pPr>
            <w:r w:rsidRPr="00916118">
              <w:rPr>
                <w:color w:val="000000"/>
                <w:sz w:val="20"/>
                <w:szCs w:val="20"/>
                <w:lang w:val="es-ES"/>
              </w:rPr>
              <w:t xml:space="preserve"> </w:t>
            </w:r>
          </w:p>
        </w:tc>
        <w:tc>
          <w:tcPr>
            <w:tcW w:w="403" w:type="pct"/>
            <w:tcBorders>
              <w:top w:val="single" w:sz="8" w:space="0" w:color="auto"/>
              <w:left w:val="nil"/>
              <w:bottom w:val="single" w:sz="8" w:space="0" w:color="auto"/>
              <w:right w:val="single" w:sz="8" w:space="0" w:color="auto"/>
            </w:tcBorders>
            <w:shd w:val="clear" w:color="auto" w:fill="auto"/>
            <w:vAlign w:val="center"/>
          </w:tcPr>
          <w:p w14:paraId="20822832" w14:textId="77777777" w:rsidR="008E4A17" w:rsidRPr="00916118" w:rsidRDefault="008E4A17" w:rsidP="008E4A17">
            <w:pPr>
              <w:spacing w:before="120" w:after="120"/>
              <w:jc w:val="center"/>
              <w:rPr>
                <w:color w:val="000000"/>
                <w:sz w:val="20"/>
                <w:szCs w:val="20"/>
                <w:lang w:val="es-ES"/>
              </w:rPr>
            </w:pPr>
            <w:r w:rsidRPr="00916118">
              <w:rPr>
                <w:color w:val="000000"/>
                <w:sz w:val="20"/>
                <w:szCs w:val="20"/>
                <w:lang w:val="es-ES"/>
              </w:rPr>
              <w:t>Informe</w:t>
            </w:r>
          </w:p>
          <w:p w14:paraId="3C4CB6CB" w14:textId="77777777" w:rsidR="003B0B3A" w:rsidRPr="00916118" w:rsidRDefault="008E4A17" w:rsidP="008E4A17">
            <w:pPr>
              <w:spacing w:before="120" w:after="120"/>
              <w:jc w:val="center"/>
              <w:rPr>
                <w:color w:val="000000"/>
                <w:sz w:val="20"/>
                <w:szCs w:val="20"/>
                <w:lang w:val="es-ES"/>
              </w:rPr>
            </w:pPr>
            <w:r w:rsidRPr="00916118">
              <w:rPr>
                <w:color w:val="000000"/>
                <w:sz w:val="20"/>
                <w:szCs w:val="20"/>
                <w:lang w:val="es-ES"/>
              </w:rPr>
              <w:t>Final</w:t>
            </w:r>
            <w:r w:rsidR="006F6810" w:rsidRPr="00916118">
              <w:rPr>
                <w:color w:val="000000"/>
                <w:sz w:val="20"/>
                <w:szCs w:val="20"/>
                <w:lang w:val="es-ES"/>
              </w:rPr>
              <w:t xml:space="preserve"> </w:t>
            </w:r>
          </w:p>
        </w:tc>
        <w:tc>
          <w:tcPr>
            <w:tcW w:w="985" w:type="pct"/>
            <w:tcBorders>
              <w:top w:val="nil"/>
              <w:left w:val="single" w:sz="8" w:space="0" w:color="auto"/>
              <w:bottom w:val="single" w:sz="8" w:space="0" w:color="auto"/>
              <w:right w:val="single" w:sz="8" w:space="0" w:color="auto"/>
            </w:tcBorders>
            <w:shd w:val="clear" w:color="auto" w:fill="auto"/>
            <w:noWrap/>
            <w:vAlign w:val="center"/>
          </w:tcPr>
          <w:p w14:paraId="660D5F2A" w14:textId="77777777" w:rsidR="003B0B3A" w:rsidRPr="00916118" w:rsidRDefault="006F6810" w:rsidP="00743617">
            <w:pPr>
              <w:spacing w:before="120" w:after="120"/>
              <w:jc w:val="center"/>
              <w:rPr>
                <w:color w:val="000000"/>
                <w:sz w:val="20"/>
                <w:szCs w:val="20"/>
                <w:lang w:val="es-ES"/>
              </w:rPr>
            </w:pPr>
            <w:r w:rsidRPr="00916118">
              <w:rPr>
                <w:color w:val="000000"/>
                <w:sz w:val="20"/>
                <w:szCs w:val="20"/>
                <w:lang w:val="es-ES"/>
              </w:rPr>
              <w:t xml:space="preserve">US$ </w:t>
            </w:r>
            <w:r w:rsidR="008E4A17" w:rsidRPr="00916118">
              <w:rPr>
                <w:color w:val="000000"/>
                <w:sz w:val="20"/>
                <w:szCs w:val="20"/>
                <w:lang w:val="es-ES"/>
              </w:rPr>
              <w:t>10</w:t>
            </w:r>
            <w:r w:rsidR="003B0B3A" w:rsidRPr="00916118">
              <w:rPr>
                <w:color w:val="000000"/>
                <w:sz w:val="20"/>
                <w:szCs w:val="20"/>
                <w:lang w:val="es-ES"/>
              </w:rPr>
              <w:t>,0000</w:t>
            </w:r>
          </w:p>
          <w:p w14:paraId="2A08AACC" w14:textId="7569BE34" w:rsidR="003B0B3A" w:rsidRPr="00916118" w:rsidRDefault="005E7BE0" w:rsidP="00743617">
            <w:pPr>
              <w:spacing w:before="120" w:after="120"/>
              <w:jc w:val="center"/>
              <w:rPr>
                <w:color w:val="000000"/>
                <w:sz w:val="20"/>
                <w:szCs w:val="20"/>
                <w:lang w:val="es-ES"/>
              </w:rPr>
            </w:pPr>
            <w:r w:rsidRPr="00916118">
              <w:rPr>
                <w:color w:val="000000"/>
                <w:sz w:val="20"/>
                <w:szCs w:val="20"/>
                <w:lang w:val="es-ES"/>
              </w:rPr>
              <w:t xml:space="preserve">BID </w:t>
            </w:r>
            <w:r w:rsidR="003B0B3A" w:rsidRPr="00916118">
              <w:rPr>
                <w:color w:val="000000"/>
                <w:sz w:val="20"/>
                <w:szCs w:val="20"/>
                <w:lang w:val="es-ES"/>
              </w:rPr>
              <w:t>- Proyecto</w:t>
            </w:r>
          </w:p>
        </w:tc>
      </w:tr>
      <w:tr w:rsidR="00D947B1" w:rsidRPr="00916118" w14:paraId="5437F1F4" w14:textId="77777777" w:rsidTr="00916118">
        <w:trPr>
          <w:trHeight w:val="394"/>
        </w:trPr>
        <w:tc>
          <w:tcPr>
            <w:tcW w:w="1614" w:type="pct"/>
            <w:tcBorders>
              <w:top w:val="nil"/>
              <w:left w:val="single" w:sz="8" w:space="0" w:color="auto"/>
              <w:bottom w:val="single" w:sz="8" w:space="0" w:color="auto"/>
              <w:right w:val="single" w:sz="8" w:space="0" w:color="auto"/>
            </w:tcBorders>
            <w:shd w:val="clear" w:color="auto" w:fill="auto"/>
            <w:noWrap/>
            <w:vAlign w:val="center"/>
            <w:hideMark/>
          </w:tcPr>
          <w:p w14:paraId="5741457E" w14:textId="77777777" w:rsidR="00D947B1" w:rsidRPr="00916118" w:rsidRDefault="00D947B1" w:rsidP="00743617">
            <w:pPr>
              <w:spacing w:before="120" w:after="120"/>
              <w:rPr>
                <w:color w:val="000000"/>
                <w:sz w:val="20"/>
                <w:szCs w:val="20"/>
                <w:lang w:val="es-ES"/>
              </w:rPr>
            </w:pPr>
            <w:r w:rsidRPr="00916118">
              <w:rPr>
                <w:color w:val="000000"/>
                <w:sz w:val="20"/>
                <w:szCs w:val="20"/>
                <w:lang w:val="es-ES"/>
              </w:rPr>
              <w:t xml:space="preserve">Informe de Terminación de Proyecto (PCR) </w:t>
            </w:r>
          </w:p>
        </w:tc>
        <w:tc>
          <w:tcPr>
            <w:tcW w:w="407" w:type="pct"/>
            <w:gridSpan w:val="2"/>
            <w:tcBorders>
              <w:top w:val="single" w:sz="8" w:space="0" w:color="auto"/>
              <w:left w:val="nil"/>
              <w:bottom w:val="single" w:sz="8" w:space="0" w:color="auto"/>
              <w:right w:val="single" w:sz="8" w:space="0" w:color="auto"/>
            </w:tcBorders>
            <w:shd w:val="clear" w:color="auto" w:fill="auto"/>
            <w:noWrap/>
            <w:vAlign w:val="center"/>
            <w:hideMark/>
          </w:tcPr>
          <w:p w14:paraId="7E13D214" w14:textId="77777777" w:rsidR="00D947B1" w:rsidRPr="00916118" w:rsidRDefault="00D947B1" w:rsidP="00D947B1">
            <w:pPr>
              <w:spacing w:before="120" w:after="120"/>
              <w:jc w:val="center"/>
              <w:rPr>
                <w:color w:val="000000"/>
                <w:sz w:val="20"/>
                <w:szCs w:val="20"/>
                <w:lang w:val="es-ES"/>
              </w:rPr>
            </w:pPr>
          </w:p>
          <w:p w14:paraId="596F4B44" w14:textId="77777777" w:rsidR="00D947B1" w:rsidRPr="00916118" w:rsidRDefault="00D947B1" w:rsidP="00D947B1">
            <w:pPr>
              <w:spacing w:before="120" w:after="120"/>
              <w:jc w:val="center"/>
              <w:rPr>
                <w:color w:val="000000"/>
                <w:sz w:val="20"/>
                <w:szCs w:val="20"/>
                <w:lang w:val="es-ES"/>
              </w:rPr>
            </w:pPr>
          </w:p>
        </w:tc>
        <w:tc>
          <w:tcPr>
            <w:tcW w:w="445" w:type="pct"/>
            <w:gridSpan w:val="2"/>
            <w:tcBorders>
              <w:top w:val="single" w:sz="8" w:space="0" w:color="auto"/>
              <w:left w:val="nil"/>
              <w:bottom w:val="single" w:sz="8" w:space="0" w:color="auto"/>
              <w:right w:val="single" w:sz="8" w:space="0" w:color="auto"/>
            </w:tcBorders>
            <w:shd w:val="clear" w:color="auto" w:fill="auto"/>
            <w:noWrap/>
            <w:vAlign w:val="center"/>
            <w:hideMark/>
          </w:tcPr>
          <w:p w14:paraId="1DA74F3D" w14:textId="77777777" w:rsidR="00D947B1" w:rsidRPr="00916118" w:rsidRDefault="00D947B1" w:rsidP="00D947B1">
            <w:pPr>
              <w:spacing w:before="120" w:after="120"/>
              <w:jc w:val="center"/>
              <w:rPr>
                <w:color w:val="000000"/>
                <w:sz w:val="20"/>
                <w:szCs w:val="20"/>
                <w:lang w:val="es-ES"/>
              </w:rPr>
            </w:pPr>
          </w:p>
          <w:p w14:paraId="3697A157" w14:textId="77777777" w:rsidR="00D947B1" w:rsidRPr="00916118" w:rsidRDefault="00D947B1" w:rsidP="00D947B1">
            <w:pPr>
              <w:spacing w:before="120" w:after="120"/>
              <w:jc w:val="center"/>
              <w:rPr>
                <w:color w:val="000000"/>
                <w:sz w:val="20"/>
                <w:szCs w:val="20"/>
                <w:lang w:val="es-ES"/>
              </w:rPr>
            </w:pPr>
          </w:p>
        </w:tc>
        <w:tc>
          <w:tcPr>
            <w:tcW w:w="357" w:type="pct"/>
            <w:tcBorders>
              <w:top w:val="single" w:sz="8" w:space="0" w:color="auto"/>
              <w:left w:val="nil"/>
              <w:bottom w:val="single" w:sz="8" w:space="0" w:color="auto"/>
              <w:right w:val="single" w:sz="8" w:space="0" w:color="auto"/>
            </w:tcBorders>
            <w:shd w:val="clear" w:color="auto" w:fill="auto"/>
            <w:noWrap/>
            <w:vAlign w:val="center"/>
          </w:tcPr>
          <w:p w14:paraId="721559B3" w14:textId="77777777" w:rsidR="00D947B1" w:rsidRPr="00916118" w:rsidRDefault="00D947B1" w:rsidP="00D947B1">
            <w:pPr>
              <w:spacing w:before="120" w:after="120"/>
              <w:jc w:val="center"/>
              <w:rPr>
                <w:color w:val="000000"/>
                <w:sz w:val="20"/>
                <w:szCs w:val="20"/>
                <w:lang w:val="es-ES"/>
              </w:rPr>
            </w:pPr>
          </w:p>
        </w:tc>
        <w:tc>
          <w:tcPr>
            <w:tcW w:w="405" w:type="pct"/>
            <w:tcBorders>
              <w:top w:val="single" w:sz="8" w:space="0" w:color="auto"/>
              <w:left w:val="nil"/>
              <w:bottom w:val="single" w:sz="8" w:space="0" w:color="auto"/>
              <w:right w:val="single" w:sz="8" w:space="0" w:color="auto"/>
            </w:tcBorders>
            <w:shd w:val="clear" w:color="auto" w:fill="auto"/>
            <w:noWrap/>
            <w:vAlign w:val="center"/>
          </w:tcPr>
          <w:p w14:paraId="381F12BA" w14:textId="77777777" w:rsidR="00D947B1" w:rsidRPr="00916118" w:rsidRDefault="0011098F" w:rsidP="00D947B1">
            <w:pPr>
              <w:spacing w:before="120" w:after="120"/>
              <w:jc w:val="center"/>
              <w:rPr>
                <w:color w:val="000000"/>
                <w:sz w:val="20"/>
                <w:szCs w:val="20"/>
                <w:lang w:val="es-ES"/>
              </w:rPr>
            </w:pPr>
            <w:r w:rsidRPr="00916118">
              <w:rPr>
                <w:color w:val="000000"/>
                <w:sz w:val="20"/>
                <w:szCs w:val="20"/>
                <w:lang w:val="es-ES"/>
              </w:rPr>
              <w:t>PCR</w:t>
            </w:r>
          </w:p>
        </w:tc>
        <w:tc>
          <w:tcPr>
            <w:tcW w:w="384" w:type="pct"/>
            <w:tcBorders>
              <w:top w:val="single" w:sz="8" w:space="0" w:color="auto"/>
              <w:left w:val="nil"/>
              <w:bottom w:val="single" w:sz="8" w:space="0" w:color="auto"/>
              <w:right w:val="single" w:sz="8" w:space="0" w:color="auto"/>
            </w:tcBorders>
            <w:shd w:val="clear" w:color="auto" w:fill="auto"/>
            <w:noWrap/>
            <w:vAlign w:val="center"/>
            <w:hideMark/>
          </w:tcPr>
          <w:p w14:paraId="1B1E3639" w14:textId="77777777" w:rsidR="00D947B1" w:rsidRPr="00916118" w:rsidRDefault="00D947B1" w:rsidP="00D947B1">
            <w:pPr>
              <w:spacing w:before="120" w:after="120"/>
              <w:jc w:val="center"/>
              <w:rPr>
                <w:color w:val="000000"/>
                <w:sz w:val="20"/>
                <w:szCs w:val="20"/>
                <w:lang w:val="es-ES"/>
              </w:rPr>
            </w:pPr>
          </w:p>
          <w:p w14:paraId="7112FB93" w14:textId="77777777" w:rsidR="00D947B1" w:rsidRPr="00916118" w:rsidRDefault="00D947B1" w:rsidP="00D947B1">
            <w:pPr>
              <w:spacing w:before="120" w:after="120"/>
              <w:jc w:val="center"/>
              <w:rPr>
                <w:color w:val="000000"/>
                <w:sz w:val="20"/>
                <w:szCs w:val="20"/>
                <w:lang w:val="es-ES"/>
              </w:rPr>
            </w:pPr>
          </w:p>
        </w:tc>
        <w:tc>
          <w:tcPr>
            <w:tcW w:w="403" w:type="pct"/>
            <w:tcBorders>
              <w:top w:val="single" w:sz="8" w:space="0" w:color="auto"/>
              <w:left w:val="nil"/>
              <w:bottom w:val="single" w:sz="8" w:space="0" w:color="auto"/>
              <w:right w:val="single" w:sz="8" w:space="0" w:color="auto"/>
            </w:tcBorders>
            <w:shd w:val="clear" w:color="auto" w:fill="auto"/>
            <w:vAlign w:val="center"/>
          </w:tcPr>
          <w:p w14:paraId="004A3290" w14:textId="77777777" w:rsidR="00D947B1" w:rsidRPr="00916118" w:rsidRDefault="00D947B1" w:rsidP="00D947B1">
            <w:pPr>
              <w:spacing w:before="120" w:after="120"/>
              <w:jc w:val="center"/>
              <w:rPr>
                <w:color w:val="000000"/>
                <w:sz w:val="20"/>
                <w:szCs w:val="20"/>
                <w:lang w:val="es-ES"/>
              </w:rPr>
            </w:pPr>
          </w:p>
        </w:tc>
        <w:tc>
          <w:tcPr>
            <w:tcW w:w="985"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3982710A" w14:textId="77777777" w:rsidR="00D947B1" w:rsidRPr="00916118" w:rsidRDefault="00D947B1" w:rsidP="00D947B1">
            <w:pPr>
              <w:spacing w:before="120" w:after="120"/>
              <w:jc w:val="center"/>
              <w:rPr>
                <w:color w:val="000000"/>
                <w:sz w:val="20"/>
                <w:szCs w:val="20"/>
                <w:lang w:val="es-ES"/>
              </w:rPr>
            </w:pPr>
            <w:r w:rsidRPr="00916118">
              <w:rPr>
                <w:color w:val="000000"/>
                <w:sz w:val="20"/>
                <w:szCs w:val="20"/>
                <w:lang w:val="es-ES"/>
              </w:rPr>
              <w:t>US$20,000</w:t>
            </w:r>
          </w:p>
          <w:p w14:paraId="5C376559" w14:textId="0540C6A6" w:rsidR="00D947B1" w:rsidRPr="00916118" w:rsidRDefault="005E7BE0" w:rsidP="00D947B1">
            <w:pPr>
              <w:spacing w:before="120" w:after="120"/>
              <w:jc w:val="center"/>
              <w:rPr>
                <w:color w:val="000000"/>
                <w:sz w:val="20"/>
                <w:szCs w:val="20"/>
                <w:lang w:val="es-ES"/>
              </w:rPr>
            </w:pPr>
            <w:r w:rsidRPr="00916118">
              <w:rPr>
                <w:color w:val="000000"/>
                <w:sz w:val="20"/>
                <w:szCs w:val="20"/>
                <w:lang w:val="es-ES"/>
              </w:rPr>
              <w:t>BID</w:t>
            </w:r>
            <w:r w:rsidR="00D947B1" w:rsidRPr="00916118">
              <w:rPr>
                <w:color w:val="000000"/>
                <w:sz w:val="20"/>
                <w:szCs w:val="20"/>
                <w:lang w:val="es-ES"/>
              </w:rPr>
              <w:t xml:space="preserve"> - Proyecto</w:t>
            </w:r>
          </w:p>
        </w:tc>
      </w:tr>
      <w:tr w:rsidR="005E7BE0" w:rsidRPr="00916118" w14:paraId="70B10C0F" w14:textId="77777777" w:rsidTr="00581BFE">
        <w:trPr>
          <w:trHeight w:val="394"/>
        </w:trPr>
        <w:tc>
          <w:tcPr>
            <w:tcW w:w="1614" w:type="pct"/>
            <w:tcBorders>
              <w:top w:val="nil"/>
              <w:left w:val="single" w:sz="8" w:space="0" w:color="auto"/>
              <w:bottom w:val="single" w:sz="8" w:space="0" w:color="auto"/>
              <w:right w:val="single" w:sz="8" w:space="0" w:color="auto"/>
            </w:tcBorders>
            <w:shd w:val="clear" w:color="auto" w:fill="auto"/>
            <w:noWrap/>
            <w:vAlign w:val="center"/>
          </w:tcPr>
          <w:p w14:paraId="29898702" w14:textId="14F831D1" w:rsidR="005E7BE0" w:rsidRPr="00916118" w:rsidRDefault="005E7BE0" w:rsidP="00743617">
            <w:pPr>
              <w:spacing w:before="120" w:after="120"/>
              <w:rPr>
                <w:color w:val="000000"/>
                <w:sz w:val="20"/>
                <w:szCs w:val="20"/>
                <w:lang w:val="es-ES"/>
              </w:rPr>
            </w:pPr>
            <w:r w:rsidRPr="00916118">
              <w:rPr>
                <w:color w:val="000000"/>
                <w:sz w:val="20"/>
                <w:szCs w:val="20"/>
                <w:lang w:val="es-ES"/>
              </w:rPr>
              <w:t>Evaluación de impacto</w:t>
            </w:r>
          </w:p>
        </w:tc>
        <w:tc>
          <w:tcPr>
            <w:tcW w:w="407" w:type="pct"/>
            <w:gridSpan w:val="2"/>
            <w:tcBorders>
              <w:top w:val="single" w:sz="8" w:space="0" w:color="auto"/>
              <w:left w:val="nil"/>
              <w:bottom w:val="single" w:sz="8" w:space="0" w:color="auto"/>
              <w:right w:val="single" w:sz="8" w:space="0" w:color="auto"/>
            </w:tcBorders>
            <w:shd w:val="clear" w:color="auto" w:fill="auto"/>
            <w:noWrap/>
            <w:vAlign w:val="center"/>
          </w:tcPr>
          <w:p w14:paraId="1C0D1B64" w14:textId="77777777" w:rsidR="005E7BE0" w:rsidRPr="00916118" w:rsidRDefault="005E7BE0" w:rsidP="00D947B1">
            <w:pPr>
              <w:spacing w:before="120" w:after="120"/>
              <w:jc w:val="center"/>
              <w:rPr>
                <w:color w:val="000000"/>
                <w:sz w:val="20"/>
                <w:szCs w:val="20"/>
                <w:lang w:val="es-ES"/>
              </w:rPr>
            </w:pPr>
          </w:p>
        </w:tc>
        <w:tc>
          <w:tcPr>
            <w:tcW w:w="445" w:type="pct"/>
            <w:gridSpan w:val="2"/>
            <w:tcBorders>
              <w:top w:val="single" w:sz="8" w:space="0" w:color="auto"/>
              <w:left w:val="nil"/>
              <w:bottom w:val="single" w:sz="8" w:space="0" w:color="auto"/>
              <w:right w:val="single" w:sz="8" w:space="0" w:color="auto"/>
            </w:tcBorders>
            <w:shd w:val="clear" w:color="auto" w:fill="auto"/>
            <w:noWrap/>
            <w:vAlign w:val="center"/>
          </w:tcPr>
          <w:p w14:paraId="3DE07FA1" w14:textId="76600703" w:rsidR="005E7BE0" w:rsidRPr="00916118" w:rsidRDefault="005E7BE0" w:rsidP="00D947B1">
            <w:pPr>
              <w:spacing w:before="120" w:after="120"/>
              <w:jc w:val="center"/>
              <w:rPr>
                <w:color w:val="000000"/>
                <w:sz w:val="20"/>
                <w:szCs w:val="20"/>
                <w:lang w:val="es-ES"/>
              </w:rPr>
            </w:pPr>
            <w:r w:rsidRPr="00916118">
              <w:rPr>
                <w:color w:val="000000"/>
                <w:sz w:val="20"/>
                <w:szCs w:val="20"/>
                <w:lang w:val="es-ES"/>
              </w:rPr>
              <w:t>Exante</w:t>
            </w:r>
          </w:p>
        </w:tc>
        <w:tc>
          <w:tcPr>
            <w:tcW w:w="357" w:type="pct"/>
            <w:tcBorders>
              <w:top w:val="single" w:sz="8" w:space="0" w:color="auto"/>
              <w:left w:val="nil"/>
              <w:bottom w:val="single" w:sz="8" w:space="0" w:color="auto"/>
              <w:right w:val="single" w:sz="8" w:space="0" w:color="auto"/>
            </w:tcBorders>
            <w:shd w:val="clear" w:color="auto" w:fill="auto"/>
            <w:noWrap/>
            <w:vAlign w:val="center"/>
          </w:tcPr>
          <w:p w14:paraId="688D1515" w14:textId="77777777" w:rsidR="005E7BE0" w:rsidRPr="00916118" w:rsidRDefault="005E7BE0" w:rsidP="00D947B1">
            <w:pPr>
              <w:spacing w:before="120" w:after="120"/>
              <w:jc w:val="center"/>
              <w:rPr>
                <w:color w:val="000000"/>
                <w:sz w:val="20"/>
                <w:szCs w:val="20"/>
                <w:lang w:val="es-ES"/>
              </w:rPr>
            </w:pPr>
          </w:p>
        </w:tc>
        <w:tc>
          <w:tcPr>
            <w:tcW w:w="405" w:type="pct"/>
            <w:tcBorders>
              <w:top w:val="single" w:sz="8" w:space="0" w:color="auto"/>
              <w:left w:val="nil"/>
              <w:bottom w:val="single" w:sz="8" w:space="0" w:color="auto"/>
              <w:right w:val="single" w:sz="8" w:space="0" w:color="auto"/>
            </w:tcBorders>
            <w:shd w:val="clear" w:color="auto" w:fill="auto"/>
            <w:noWrap/>
            <w:vAlign w:val="center"/>
          </w:tcPr>
          <w:p w14:paraId="076EBF6B" w14:textId="423DCDB3" w:rsidR="005E7BE0" w:rsidRPr="00916118" w:rsidRDefault="005E7BE0" w:rsidP="00D947B1">
            <w:pPr>
              <w:spacing w:before="120" w:after="120"/>
              <w:jc w:val="center"/>
              <w:rPr>
                <w:color w:val="000000"/>
                <w:sz w:val="20"/>
                <w:szCs w:val="20"/>
                <w:lang w:val="es-ES"/>
              </w:rPr>
            </w:pPr>
          </w:p>
        </w:tc>
        <w:tc>
          <w:tcPr>
            <w:tcW w:w="384" w:type="pct"/>
            <w:tcBorders>
              <w:top w:val="single" w:sz="8" w:space="0" w:color="auto"/>
              <w:left w:val="nil"/>
              <w:bottom w:val="single" w:sz="8" w:space="0" w:color="auto"/>
              <w:right w:val="single" w:sz="8" w:space="0" w:color="auto"/>
            </w:tcBorders>
            <w:shd w:val="clear" w:color="auto" w:fill="auto"/>
            <w:noWrap/>
            <w:vAlign w:val="center"/>
          </w:tcPr>
          <w:p w14:paraId="3EB217DB" w14:textId="77777777" w:rsidR="005E7BE0" w:rsidRPr="00916118" w:rsidRDefault="005E7BE0" w:rsidP="00D947B1">
            <w:pPr>
              <w:spacing w:before="120" w:after="120"/>
              <w:jc w:val="center"/>
              <w:rPr>
                <w:color w:val="000000"/>
                <w:sz w:val="20"/>
                <w:szCs w:val="20"/>
                <w:lang w:val="es-ES"/>
              </w:rPr>
            </w:pPr>
          </w:p>
        </w:tc>
        <w:tc>
          <w:tcPr>
            <w:tcW w:w="403" w:type="pct"/>
            <w:tcBorders>
              <w:top w:val="single" w:sz="8" w:space="0" w:color="auto"/>
              <w:left w:val="nil"/>
              <w:bottom w:val="single" w:sz="8" w:space="0" w:color="auto"/>
              <w:right w:val="single" w:sz="8" w:space="0" w:color="auto"/>
            </w:tcBorders>
            <w:shd w:val="clear" w:color="auto" w:fill="auto"/>
            <w:vAlign w:val="center"/>
          </w:tcPr>
          <w:p w14:paraId="27CB0EAF" w14:textId="77777777" w:rsidR="005E7BE0" w:rsidRPr="00916118" w:rsidRDefault="005E7BE0" w:rsidP="00D947B1">
            <w:pPr>
              <w:spacing w:before="120" w:after="120"/>
              <w:jc w:val="center"/>
              <w:rPr>
                <w:color w:val="000000"/>
                <w:sz w:val="20"/>
                <w:szCs w:val="20"/>
                <w:lang w:val="es-ES"/>
              </w:rPr>
            </w:pPr>
            <w:r w:rsidRPr="00916118">
              <w:rPr>
                <w:color w:val="000000"/>
                <w:sz w:val="20"/>
                <w:szCs w:val="20"/>
                <w:lang w:val="es-ES"/>
              </w:rPr>
              <w:t>Expost</w:t>
            </w:r>
          </w:p>
          <w:p w14:paraId="5149F7F0" w14:textId="0C086907" w:rsidR="005E7BE0" w:rsidRPr="00916118" w:rsidRDefault="005E7BE0" w:rsidP="00D947B1">
            <w:pPr>
              <w:spacing w:before="120" w:after="120"/>
              <w:jc w:val="center"/>
              <w:rPr>
                <w:color w:val="000000"/>
                <w:sz w:val="20"/>
                <w:szCs w:val="20"/>
                <w:lang w:val="es-ES"/>
              </w:rPr>
            </w:pPr>
            <w:r w:rsidRPr="00916118">
              <w:rPr>
                <w:color w:val="000000"/>
                <w:sz w:val="20"/>
                <w:szCs w:val="20"/>
                <w:lang w:val="es-ES"/>
              </w:rPr>
              <w:t>Final</w:t>
            </w:r>
          </w:p>
        </w:tc>
        <w:tc>
          <w:tcPr>
            <w:tcW w:w="985" w:type="pct"/>
            <w:tcBorders>
              <w:top w:val="nil"/>
              <w:left w:val="single" w:sz="8" w:space="0" w:color="auto"/>
              <w:bottom w:val="single" w:sz="8" w:space="0" w:color="auto"/>
              <w:right w:val="single" w:sz="8" w:space="0" w:color="auto"/>
            </w:tcBorders>
            <w:shd w:val="clear" w:color="auto" w:fill="FFFFFF" w:themeFill="background1"/>
            <w:noWrap/>
            <w:vAlign w:val="center"/>
          </w:tcPr>
          <w:p w14:paraId="06CC9A81" w14:textId="77777777" w:rsidR="005E7BE0" w:rsidRPr="00916118" w:rsidRDefault="005E7BE0" w:rsidP="00D947B1">
            <w:pPr>
              <w:spacing w:before="120" w:after="120"/>
              <w:jc w:val="center"/>
              <w:rPr>
                <w:color w:val="000000"/>
                <w:sz w:val="20"/>
                <w:szCs w:val="20"/>
                <w:lang w:val="es-ES"/>
              </w:rPr>
            </w:pPr>
            <w:r w:rsidRPr="00916118">
              <w:rPr>
                <w:color w:val="000000"/>
                <w:sz w:val="20"/>
                <w:szCs w:val="20"/>
                <w:lang w:val="es-ES"/>
              </w:rPr>
              <w:t>US$15.000</w:t>
            </w:r>
          </w:p>
          <w:p w14:paraId="1DB981B0" w14:textId="7DC570CB" w:rsidR="005E7BE0" w:rsidRPr="00916118" w:rsidRDefault="005E7BE0" w:rsidP="00D947B1">
            <w:pPr>
              <w:spacing w:before="120" w:after="120"/>
              <w:jc w:val="center"/>
              <w:rPr>
                <w:color w:val="000000"/>
                <w:sz w:val="20"/>
                <w:szCs w:val="20"/>
                <w:lang w:val="es-ES"/>
              </w:rPr>
            </w:pPr>
            <w:r w:rsidRPr="00916118">
              <w:rPr>
                <w:color w:val="000000"/>
                <w:sz w:val="20"/>
                <w:szCs w:val="20"/>
                <w:lang w:val="es-ES"/>
              </w:rPr>
              <w:t>BID - Proyecto</w:t>
            </w:r>
          </w:p>
        </w:tc>
      </w:tr>
      <w:tr w:rsidR="00D947B1" w:rsidRPr="00916118" w14:paraId="2978665C" w14:textId="77777777" w:rsidTr="00916118">
        <w:trPr>
          <w:trHeight w:val="97"/>
        </w:trPr>
        <w:tc>
          <w:tcPr>
            <w:tcW w:w="1614" w:type="pct"/>
            <w:tcBorders>
              <w:top w:val="nil"/>
              <w:left w:val="single" w:sz="8" w:space="0" w:color="auto"/>
              <w:bottom w:val="single" w:sz="8" w:space="0" w:color="auto"/>
              <w:right w:val="single" w:sz="8" w:space="0" w:color="auto"/>
            </w:tcBorders>
            <w:shd w:val="clear" w:color="auto" w:fill="auto"/>
            <w:noWrap/>
            <w:vAlign w:val="center"/>
            <w:hideMark/>
          </w:tcPr>
          <w:p w14:paraId="014A09B1" w14:textId="77777777" w:rsidR="00D947B1" w:rsidRPr="00916118" w:rsidRDefault="00D947B1" w:rsidP="00743617">
            <w:pPr>
              <w:spacing w:before="120" w:after="120"/>
              <w:rPr>
                <w:b/>
                <w:bCs/>
                <w:color w:val="000000"/>
                <w:sz w:val="20"/>
                <w:szCs w:val="20"/>
                <w:lang w:val="es-ES"/>
              </w:rPr>
            </w:pPr>
            <w:r w:rsidRPr="00916118">
              <w:rPr>
                <w:b/>
                <w:bCs/>
                <w:color w:val="000000"/>
                <w:sz w:val="20"/>
                <w:szCs w:val="20"/>
                <w:lang w:val="es-ES"/>
              </w:rPr>
              <w:t>Total</w:t>
            </w:r>
          </w:p>
        </w:tc>
        <w:tc>
          <w:tcPr>
            <w:tcW w:w="355" w:type="pct"/>
            <w:tcBorders>
              <w:top w:val="single" w:sz="8" w:space="0" w:color="auto"/>
              <w:left w:val="nil"/>
              <w:bottom w:val="single" w:sz="8" w:space="0" w:color="auto"/>
              <w:right w:val="nil"/>
            </w:tcBorders>
          </w:tcPr>
          <w:p w14:paraId="10627BEF" w14:textId="77777777" w:rsidR="00D947B1" w:rsidRPr="00916118" w:rsidRDefault="00D947B1" w:rsidP="00743617">
            <w:pPr>
              <w:spacing w:before="120" w:after="120"/>
              <w:jc w:val="center"/>
              <w:rPr>
                <w:b/>
                <w:bCs/>
                <w:color w:val="000000"/>
                <w:sz w:val="20"/>
                <w:szCs w:val="20"/>
                <w:lang w:val="es-ES"/>
              </w:rPr>
            </w:pPr>
          </w:p>
        </w:tc>
        <w:tc>
          <w:tcPr>
            <w:tcW w:w="284" w:type="pct"/>
            <w:gridSpan w:val="2"/>
            <w:tcBorders>
              <w:top w:val="single" w:sz="8" w:space="0" w:color="auto"/>
              <w:left w:val="nil"/>
              <w:bottom w:val="single" w:sz="8" w:space="0" w:color="auto"/>
              <w:right w:val="nil"/>
            </w:tcBorders>
          </w:tcPr>
          <w:p w14:paraId="2D392EE2" w14:textId="77777777" w:rsidR="00D947B1" w:rsidRPr="00916118" w:rsidRDefault="00D947B1" w:rsidP="00743617">
            <w:pPr>
              <w:spacing w:before="120" w:after="120"/>
              <w:jc w:val="center"/>
              <w:rPr>
                <w:b/>
                <w:bCs/>
                <w:color w:val="000000"/>
                <w:sz w:val="20"/>
                <w:szCs w:val="20"/>
                <w:lang w:val="es-ES"/>
              </w:rPr>
            </w:pPr>
          </w:p>
        </w:tc>
        <w:tc>
          <w:tcPr>
            <w:tcW w:w="1762"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5C855C8" w14:textId="77777777" w:rsidR="00D947B1" w:rsidRPr="00916118" w:rsidRDefault="00D947B1" w:rsidP="00743617">
            <w:pPr>
              <w:spacing w:before="120" w:after="120"/>
              <w:jc w:val="center"/>
              <w:rPr>
                <w:b/>
                <w:bCs/>
                <w:color w:val="000000"/>
                <w:sz w:val="20"/>
                <w:szCs w:val="20"/>
                <w:lang w:val="es-ES"/>
              </w:rPr>
            </w:pPr>
            <w:r w:rsidRPr="00916118">
              <w:rPr>
                <w:b/>
                <w:bCs/>
                <w:color w:val="000000"/>
                <w:sz w:val="20"/>
                <w:szCs w:val="20"/>
                <w:lang w:val="es-ES"/>
              </w:rPr>
              <w:t> </w:t>
            </w:r>
          </w:p>
        </w:tc>
        <w:tc>
          <w:tcPr>
            <w:tcW w:w="985" w:type="pct"/>
            <w:tcBorders>
              <w:top w:val="nil"/>
              <w:left w:val="nil"/>
              <w:bottom w:val="single" w:sz="8" w:space="0" w:color="auto"/>
              <w:right w:val="single" w:sz="8" w:space="0" w:color="auto"/>
            </w:tcBorders>
            <w:shd w:val="clear" w:color="auto" w:fill="auto"/>
            <w:noWrap/>
            <w:vAlign w:val="center"/>
            <w:hideMark/>
          </w:tcPr>
          <w:p w14:paraId="718F81ED" w14:textId="77777777" w:rsidR="00D947B1" w:rsidRPr="00916118" w:rsidRDefault="0011098F" w:rsidP="00D947B1">
            <w:pPr>
              <w:spacing w:before="120" w:after="120"/>
              <w:jc w:val="right"/>
              <w:rPr>
                <w:b/>
                <w:bCs/>
                <w:color w:val="000000"/>
                <w:sz w:val="20"/>
                <w:szCs w:val="20"/>
                <w:lang w:val="es-ES"/>
              </w:rPr>
            </w:pPr>
            <w:r w:rsidRPr="00916118">
              <w:rPr>
                <w:b/>
                <w:bCs/>
                <w:color w:val="000000"/>
                <w:sz w:val="20"/>
                <w:szCs w:val="20"/>
                <w:lang w:val="es-ES"/>
              </w:rPr>
              <w:t>6</w:t>
            </w:r>
            <w:r w:rsidR="008E4A17" w:rsidRPr="00916118">
              <w:rPr>
                <w:b/>
                <w:bCs/>
                <w:color w:val="000000"/>
                <w:sz w:val="20"/>
                <w:szCs w:val="20"/>
                <w:lang w:val="es-ES"/>
              </w:rPr>
              <w:t>0</w:t>
            </w:r>
            <w:r w:rsidR="00D947B1" w:rsidRPr="00916118">
              <w:rPr>
                <w:b/>
                <w:bCs/>
                <w:color w:val="000000"/>
                <w:sz w:val="20"/>
                <w:szCs w:val="20"/>
                <w:lang w:val="es-ES"/>
              </w:rPr>
              <w:t>,000</w:t>
            </w:r>
          </w:p>
        </w:tc>
      </w:tr>
    </w:tbl>
    <w:p w14:paraId="0AFBA008" w14:textId="77777777" w:rsidR="00815AF4" w:rsidRPr="00916118" w:rsidRDefault="008E5E30" w:rsidP="008A02B3">
      <w:pPr>
        <w:pStyle w:val="Paragraph"/>
        <w:widowControl w:val="0"/>
        <w:numPr>
          <w:ilvl w:val="0"/>
          <w:numId w:val="8"/>
        </w:numPr>
        <w:rPr>
          <w:b/>
          <w:lang w:val="es-ES" w:eastAsia="x-none"/>
        </w:rPr>
      </w:pPr>
      <w:r w:rsidRPr="00916118">
        <w:rPr>
          <w:b/>
          <w:lang w:val="es-ES" w:eastAsia="x-none"/>
        </w:rPr>
        <w:t xml:space="preserve">Recolección </w:t>
      </w:r>
      <w:r w:rsidR="006F6810" w:rsidRPr="00916118">
        <w:rPr>
          <w:b/>
          <w:lang w:val="es-ES" w:eastAsia="x-none"/>
        </w:rPr>
        <w:t xml:space="preserve">de </w:t>
      </w:r>
      <w:r w:rsidRPr="00916118">
        <w:rPr>
          <w:b/>
          <w:lang w:val="es-ES" w:eastAsia="x-none"/>
        </w:rPr>
        <w:t xml:space="preserve">la </w:t>
      </w:r>
      <w:r w:rsidR="006F6810" w:rsidRPr="00916118">
        <w:rPr>
          <w:b/>
          <w:lang w:val="es-ES" w:eastAsia="x-none"/>
        </w:rPr>
        <w:t>Información</w:t>
      </w:r>
    </w:p>
    <w:p w14:paraId="723706C1" w14:textId="580927F7" w:rsidR="006F6810" w:rsidRPr="00916118" w:rsidRDefault="00452F78" w:rsidP="009F7F76">
      <w:pPr>
        <w:pStyle w:val="Paragraph"/>
        <w:numPr>
          <w:ilvl w:val="1"/>
          <w:numId w:val="10"/>
        </w:numPr>
        <w:spacing w:before="100" w:after="100"/>
        <w:ind w:left="900" w:hanging="900"/>
        <w:rPr>
          <w:spacing w:val="-3"/>
          <w:szCs w:val="24"/>
          <w:lang w:val="es-ES"/>
        </w:rPr>
      </w:pPr>
      <w:r w:rsidRPr="00916118">
        <w:rPr>
          <w:spacing w:val="-3"/>
          <w:szCs w:val="24"/>
          <w:lang w:val="es-ES"/>
        </w:rPr>
        <w:t xml:space="preserve">La colecta de la información para la evaluación será realizada por los consultores responsables por la realización de las evaluaciones reflexiva, </w:t>
      </w:r>
      <w:r w:rsidR="007B3DA4">
        <w:rPr>
          <w:spacing w:val="-3"/>
          <w:szCs w:val="24"/>
          <w:lang w:val="es-ES"/>
        </w:rPr>
        <w:t>de</w:t>
      </w:r>
      <w:r w:rsidR="007B3DA4" w:rsidRPr="00916118">
        <w:rPr>
          <w:spacing w:val="-3"/>
          <w:szCs w:val="24"/>
          <w:lang w:val="es-ES"/>
        </w:rPr>
        <w:t xml:space="preserve"> </w:t>
      </w:r>
      <w:r w:rsidRPr="00916118">
        <w:rPr>
          <w:spacing w:val="-3"/>
          <w:szCs w:val="24"/>
          <w:lang w:val="es-ES"/>
        </w:rPr>
        <w:t>impacto, y también</w:t>
      </w:r>
      <w:r w:rsidR="006D7D2E">
        <w:rPr>
          <w:spacing w:val="-3"/>
          <w:szCs w:val="24"/>
          <w:lang w:val="es-ES"/>
        </w:rPr>
        <w:t xml:space="preserve"> </w:t>
      </w:r>
      <w:r w:rsidRPr="00916118">
        <w:rPr>
          <w:spacing w:val="-3"/>
          <w:szCs w:val="24"/>
          <w:lang w:val="es-ES"/>
        </w:rPr>
        <w:t>para el PCR.</w:t>
      </w:r>
    </w:p>
    <w:tbl>
      <w:tblPr>
        <w:tblW w:w="5642" w:type="pct"/>
        <w:tblInd w:w="-432" w:type="dxa"/>
        <w:tblLayout w:type="fixed"/>
        <w:tblLook w:val="04A0" w:firstRow="1" w:lastRow="0" w:firstColumn="1" w:lastColumn="0" w:noHBand="0" w:noVBand="1"/>
      </w:tblPr>
      <w:tblGrid>
        <w:gridCol w:w="2803"/>
        <w:gridCol w:w="796"/>
        <w:gridCol w:w="868"/>
        <w:gridCol w:w="877"/>
        <w:gridCol w:w="792"/>
        <w:gridCol w:w="749"/>
        <w:gridCol w:w="912"/>
        <w:gridCol w:w="1930"/>
      </w:tblGrid>
      <w:tr w:rsidR="006F6810" w:rsidRPr="000F3F6A" w14:paraId="773CFB58" w14:textId="77777777" w:rsidTr="008A02B3">
        <w:trPr>
          <w:trHeight w:val="124"/>
        </w:trPr>
        <w:tc>
          <w:tcPr>
            <w:tcW w:w="5000" w:type="pct"/>
            <w:gridSpan w:val="8"/>
            <w:tcBorders>
              <w:top w:val="single" w:sz="8" w:space="0" w:color="auto"/>
              <w:left w:val="single" w:sz="8" w:space="0" w:color="auto"/>
              <w:bottom w:val="single" w:sz="8" w:space="0" w:color="000000"/>
              <w:right w:val="single" w:sz="8" w:space="0" w:color="auto"/>
            </w:tcBorders>
            <w:shd w:val="clear" w:color="000000" w:fill="D9D9D9"/>
          </w:tcPr>
          <w:p w14:paraId="440B0EA0" w14:textId="77777777" w:rsidR="006F6810" w:rsidRPr="002D1B02" w:rsidRDefault="00F25C3F" w:rsidP="006F6810">
            <w:pPr>
              <w:spacing w:before="120" w:after="120"/>
              <w:jc w:val="center"/>
              <w:rPr>
                <w:b/>
                <w:bCs/>
                <w:color w:val="000000"/>
                <w:sz w:val="20"/>
                <w:szCs w:val="20"/>
                <w:lang w:val="es-ES"/>
              </w:rPr>
            </w:pPr>
            <w:r>
              <w:rPr>
                <w:b/>
                <w:bCs/>
                <w:color w:val="000000"/>
                <w:sz w:val="20"/>
                <w:szCs w:val="20"/>
                <w:lang w:val="es-ES"/>
              </w:rPr>
              <w:t>Tabla 5</w:t>
            </w:r>
            <w:r w:rsidR="006F6810" w:rsidRPr="002D1B02">
              <w:rPr>
                <w:b/>
                <w:bCs/>
                <w:color w:val="000000"/>
                <w:sz w:val="20"/>
                <w:szCs w:val="20"/>
                <w:lang w:val="es-ES"/>
              </w:rPr>
              <w:t xml:space="preserve">. Plan de Trabajo </w:t>
            </w:r>
            <w:r w:rsidR="006F6810">
              <w:rPr>
                <w:b/>
                <w:bCs/>
                <w:color w:val="000000"/>
                <w:sz w:val="20"/>
                <w:szCs w:val="20"/>
                <w:lang w:val="es-ES"/>
              </w:rPr>
              <w:t>Para la Colecta de la información</w:t>
            </w:r>
            <w:r w:rsidR="006F6810" w:rsidRPr="002D1B02">
              <w:rPr>
                <w:b/>
                <w:bCs/>
                <w:color w:val="000000"/>
                <w:sz w:val="20"/>
                <w:szCs w:val="20"/>
                <w:lang w:val="es-ES"/>
              </w:rPr>
              <w:t xml:space="preserve"> </w:t>
            </w:r>
          </w:p>
        </w:tc>
      </w:tr>
      <w:tr w:rsidR="008A1CFF" w:rsidRPr="002D1B02" w14:paraId="2809A294" w14:textId="77777777" w:rsidTr="008A02B3">
        <w:trPr>
          <w:trHeight w:val="88"/>
        </w:trPr>
        <w:tc>
          <w:tcPr>
            <w:tcW w:w="1441" w:type="pc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9835C65" w14:textId="77777777" w:rsidR="006F6810" w:rsidRPr="002D1B02" w:rsidRDefault="006F6810" w:rsidP="001933FE">
            <w:pPr>
              <w:spacing w:before="120" w:after="120"/>
              <w:jc w:val="center"/>
              <w:rPr>
                <w:b/>
                <w:bCs/>
                <w:color w:val="000000"/>
                <w:sz w:val="20"/>
                <w:szCs w:val="20"/>
                <w:lang w:val="es-ES"/>
              </w:rPr>
            </w:pPr>
            <w:r w:rsidRPr="002D1B02">
              <w:rPr>
                <w:b/>
                <w:bCs/>
                <w:color w:val="000000"/>
                <w:sz w:val="20"/>
                <w:szCs w:val="20"/>
                <w:lang w:val="es-ES"/>
              </w:rPr>
              <w:t>Actividad</w:t>
            </w:r>
          </w:p>
        </w:tc>
        <w:tc>
          <w:tcPr>
            <w:tcW w:w="409" w:type="pct"/>
            <w:tcBorders>
              <w:top w:val="single" w:sz="8" w:space="0" w:color="auto"/>
              <w:left w:val="nil"/>
              <w:right w:val="single" w:sz="8" w:space="0" w:color="000000"/>
            </w:tcBorders>
            <w:shd w:val="clear" w:color="000000" w:fill="D9D9D9"/>
            <w:noWrap/>
            <w:vAlign w:val="center"/>
            <w:hideMark/>
          </w:tcPr>
          <w:p w14:paraId="3F7C9197" w14:textId="77777777" w:rsidR="006F6810" w:rsidRPr="002D1B02" w:rsidRDefault="006F6810" w:rsidP="001933FE">
            <w:pPr>
              <w:spacing w:before="120" w:after="120"/>
              <w:jc w:val="center"/>
              <w:rPr>
                <w:b/>
                <w:bCs/>
                <w:color w:val="000000"/>
                <w:sz w:val="20"/>
                <w:szCs w:val="20"/>
                <w:lang w:val="es-ES"/>
              </w:rPr>
            </w:pPr>
            <w:r w:rsidRPr="002D1B02">
              <w:rPr>
                <w:b/>
                <w:bCs/>
                <w:color w:val="000000"/>
                <w:sz w:val="20"/>
                <w:szCs w:val="20"/>
                <w:lang w:val="es-ES"/>
              </w:rPr>
              <w:t>2015</w:t>
            </w:r>
          </w:p>
        </w:tc>
        <w:tc>
          <w:tcPr>
            <w:tcW w:w="446" w:type="pct"/>
            <w:tcBorders>
              <w:top w:val="single" w:sz="8" w:space="0" w:color="auto"/>
              <w:left w:val="nil"/>
              <w:right w:val="single" w:sz="8" w:space="0" w:color="000000"/>
            </w:tcBorders>
            <w:shd w:val="clear" w:color="000000" w:fill="D9D9D9"/>
            <w:noWrap/>
            <w:vAlign w:val="center"/>
            <w:hideMark/>
          </w:tcPr>
          <w:p w14:paraId="28EA3449" w14:textId="77777777" w:rsidR="006F6810" w:rsidRPr="002D1B02" w:rsidRDefault="006F6810" w:rsidP="001933FE">
            <w:pPr>
              <w:spacing w:before="120" w:after="120"/>
              <w:jc w:val="center"/>
              <w:rPr>
                <w:b/>
                <w:bCs/>
                <w:color w:val="000000"/>
                <w:sz w:val="20"/>
                <w:szCs w:val="20"/>
                <w:lang w:val="es-ES"/>
              </w:rPr>
            </w:pPr>
            <w:r w:rsidRPr="002D1B02">
              <w:rPr>
                <w:b/>
                <w:bCs/>
                <w:color w:val="000000"/>
                <w:sz w:val="20"/>
                <w:szCs w:val="20"/>
                <w:lang w:val="es-ES"/>
              </w:rPr>
              <w:t>2016</w:t>
            </w:r>
          </w:p>
        </w:tc>
        <w:tc>
          <w:tcPr>
            <w:tcW w:w="451" w:type="pct"/>
            <w:tcBorders>
              <w:top w:val="single" w:sz="8" w:space="0" w:color="auto"/>
              <w:left w:val="nil"/>
              <w:right w:val="single" w:sz="8" w:space="0" w:color="000000"/>
            </w:tcBorders>
            <w:shd w:val="clear" w:color="000000" w:fill="D9D9D9"/>
            <w:noWrap/>
            <w:vAlign w:val="center"/>
            <w:hideMark/>
          </w:tcPr>
          <w:p w14:paraId="3BE4939C" w14:textId="77777777" w:rsidR="006F6810" w:rsidRPr="002D1B02" w:rsidRDefault="006F6810" w:rsidP="001933FE">
            <w:pPr>
              <w:spacing w:before="120" w:after="120"/>
              <w:jc w:val="center"/>
              <w:rPr>
                <w:b/>
                <w:bCs/>
                <w:color w:val="000000"/>
                <w:sz w:val="20"/>
                <w:szCs w:val="20"/>
                <w:lang w:val="es-ES"/>
              </w:rPr>
            </w:pPr>
            <w:r w:rsidRPr="002D1B02">
              <w:rPr>
                <w:b/>
                <w:bCs/>
                <w:color w:val="000000"/>
                <w:sz w:val="20"/>
                <w:szCs w:val="20"/>
                <w:lang w:val="es-ES"/>
              </w:rPr>
              <w:t>2017</w:t>
            </w:r>
          </w:p>
        </w:tc>
        <w:tc>
          <w:tcPr>
            <w:tcW w:w="407" w:type="pct"/>
            <w:tcBorders>
              <w:top w:val="single" w:sz="8" w:space="0" w:color="auto"/>
              <w:left w:val="nil"/>
              <w:right w:val="single" w:sz="8" w:space="0" w:color="000000"/>
            </w:tcBorders>
            <w:shd w:val="clear" w:color="000000" w:fill="D9D9D9"/>
            <w:noWrap/>
            <w:vAlign w:val="center"/>
            <w:hideMark/>
          </w:tcPr>
          <w:p w14:paraId="4AFF9F43" w14:textId="77777777" w:rsidR="006F6810" w:rsidRPr="002D1B02" w:rsidRDefault="006F6810" w:rsidP="001933FE">
            <w:pPr>
              <w:spacing w:before="120" w:after="120"/>
              <w:jc w:val="center"/>
              <w:rPr>
                <w:b/>
                <w:bCs/>
                <w:color w:val="000000"/>
                <w:sz w:val="20"/>
                <w:szCs w:val="20"/>
                <w:lang w:val="es-ES"/>
              </w:rPr>
            </w:pPr>
            <w:r w:rsidRPr="002D1B02">
              <w:rPr>
                <w:b/>
                <w:bCs/>
                <w:color w:val="000000"/>
                <w:sz w:val="20"/>
                <w:szCs w:val="20"/>
                <w:lang w:val="es-ES"/>
              </w:rPr>
              <w:t>2018</w:t>
            </w:r>
          </w:p>
        </w:tc>
        <w:tc>
          <w:tcPr>
            <w:tcW w:w="385" w:type="pct"/>
            <w:tcBorders>
              <w:top w:val="single" w:sz="8" w:space="0" w:color="auto"/>
              <w:left w:val="nil"/>
              <w:right w:val="single" w:sz="8" w:space="0" w:color="000000"/>
            </w:tcBorders>
            <w:shd w:val="clear" w:color="000000" w:fill="D9D9D9"/>
            <w:noWrap/>
            <w:vAlign w:val="center"/>
            <w:hideMark/>
          </w:tcPr>
          <w:p w14:paraId="4B8DB424" w14:textId="77777777" w:rsidR="006F6810" w:rsidRPr="002D1B02" w:rsidRDefault="006F6810" w:rsidP="001933FE">
            <w:pPr>
              <w:spacing w:before="120" w:after="120"/>
              <w:jc w:val="center"/>
              <w:rPr>
                <w:b/>
                <w:bCs/>
                <w:color w:val="000000"/>
                <w:sz w:val="20"/>
                <w:szCs w:val="20"/>
                <w:lang w:val="es-ES"/>
              </w:rPr>
            </w:pPr>
            <w:r w:rsidRPr="002D1B02">
              <w:rPr>
                <w:b/>
                <w:bCs/>
                <w:color w:val="000000"/>
                <w:sz w:val="20"/>
                <w:szCs w:val="20"/>
                <w:lang w:val="es-ES"/>
              </w:rPr>
              <w:t>2019</w:t>
            </w:r>
          </w:p>
        </w:tc>
        <w:tc>
          <w:tcPr>
            <w:tcW w:w="469" w:type="pct"/>
            <w:tcBorders>
              <w:top w:val="single" w:sz="8" w:space="0" w:color="auto"/>
              <w:left w:val="single" w:sz="8" w:space="0" w:color="auto"/>
              <w:right w:val="single" w:sz="4" w:space="0" w:color="auto"/>
            </w:tcBorders>
            <w:shd w:val="clear" w:color="000000" w:fill="D9D9D9"/>
          </w:tcPr>
          <w:p w14:paraId="1644AB03" w14:textId="77777777" w:rsidR="006F6810" w:rsidRPr="002D1B02" w:rsidRDefault="006F6810" w:rsidP="001933FE">
            <w:pPr>
              <w:spacing w:before="120" w:after="120"/>
              <w:jc w:val="center"/>
              <w:rPr>
                <w:b/>
                <w:bCs/>
                <w:color w:val="000000"/>
                <w:sz w:val="20"/>
                <w:szCs w:val="20"/>
                <w:lang w:val="es-ES"/>
              </w:rPr>
            </w:pPr>
            <w:r w:rsidRPr="002D1B02">
              <w:rPr>
                <w:b/>
                <w:bCs/>
                <w:color w:val="000000"/>
                <w:sz w:val="20"/>
                <w:szCs w:val="20"/>
                <w:lang w:val="es-ES"/>
              </w:rPr>
              <w:t>2020</w:t>
            </w:r>
          </w:p>
        </w:tc>
        <w:tc>
          <w:tcPr>
            <w:tcW w:w="992"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3615513" w14:textId="77777777" w:rsidR="006F6810" w:rsidRPr="002D1B02" w:rsidRDefault="006F6810" w:rsidP="001933FE">
            <w:pPr>
              <w:spacing w:before="120" w:after="120"/>
              <w:jc w:val="center"/>
              <w:rPr>
                <w:b/>
                <w:bCs/>
                <w:color w:val="000000"/>
                <w:sz w:val="20"/>
                <w:szCs w:val="20"/>
                <w:lang w:val="es-ES"/>
              </w:rPr>
            </w:pPr>
            <w:r>
              <w:rPr>
                <w:b/>
                <w:bCs/>
                <w:color w:val="000000"/>
                <w:sz w:val="20"/>
                <w:szCs w:val="20"/>
                <w:lang w:val="es-ES"/>
              </w:rPr>
              <w:t>Responsable y Costo</w:t>
            </w:r>
          </w:p>
        </w:tc>
      </w:tr>
      <w:tr w:rsidR="008A1CFF" w:rsidRPr="000F3F6A" w14:paraId="3C57F4DA" w14:textId="77777777" w:rsidTr="008E4A17">
        <w:trPr>
          <w:trHeight w:val="376"/>
        </w:trPr>
        <w:tc>
          <w:tcPr>
            <w:tcW w:w="1441" w:type="pct"/>
            <w:tcBorders>
              <w:top w:val="nil"/>
              <w:left w:val="single" w:sz="8" w:space="0" w:color="auto"/>
              <w:bottom w:val="single" w:sz="8" w:space="0" w:color="auto"/>
              <w:right w:val="single" w:sz="8" w:space="0" w:color="auto"/>
            </w:tcBorders>
            <w:shd w:val="clear" w:color="auto" w:fill="auto"/>
            <w:noWrap/>
            <w:vAlign w:val="center"/>
          </w:tcPr>
          <w:p w14:paraId="14AED817" w14:textId="77777777" w:rsidR="006F6810" w:rsidRDefault="006F6810" w:rsidP="001933FE">
            <w:pPr>
              <w:spacing w:before="120" w:after="120"/>
              <w:rPr>
                <w:color w:val="000000"/>
                <w:sz w:val="20"/>
                <w:szCs w:val="20"/>
                <w:lang w:val="es-ES"/>
              </w:rPr>
            </w:pPr>
            <w:r>
              <w:rPr>
                <w:color w:val="000000"/>
                <w:sz w:val="20"/>
                <w:szCs w:val="20"/>
                <w:lang w:val="es-ES"/>
              </w:rPr>
              <w:t>Evaluación reflexiva</w:t>
            </w:r>
          </w:p>
        </w:tc>
        <w:tc>
          <w:tcPr>
            <w:tcW w:w="409" w:type="pct"/>
            <w:tcBorders>
              <w:top w:val="single" w:sz="8" w:space="0" w:color="auto"/>
              <w:left w:val="nil"/>
              <w:bottom w:val="single" w:sz="8" w:space="0" w:color="auto"/>
              <w:right w:val="single" w:sz="8" w:space="0" w:color="auto"/>
            </w:tcBorders>
            <w:shd w:val="clear" w:color="auto" w:fill="auto"/>
            <w:noWrap/>
            <w:vAlign w:val="center"/>
          </w:tcPr>
          <w:p w14:paraId="12A4B968" w14:textId="77777777" w:rsidR="006F6810" w:rsidRDefault="006F6810" w:rsidP="001933FE">
            <w:pPr>
              <w:spacing w:before="120" w:after="120"/>
              <w:jc w:val="center"/>
              <w:rPr>
                <w:color w:val="000000"/>
                <w:sz w:val="20"/>
                <w:szCs w:val="20"/>
                <w:lang w:val="es-ES"/>
              </w:rPr>
            </w:pPr>
          </w:p>
        </w:tc>
        <w:tc>
          <w:tcPr>
            <w:tcW w:w="446" w:type="pct"/>
            <w:tcBorders>
              <w:top w:val="single" w:sz="8" w:space="0" w:color="auto"/>
              <w:left w:val="nil"/>
              <w:bottom w:val="single" w:sz="8" w:space="0" w:color="auto"/>
              <w:right w:val="single" w:sz="8" w:space="0" w:color="auto"/>
            </w:tcBorders>
            <w:shd w:val="clear" w:color="auto" w:fill="auto"/>
            <w:noWrap/>
            <w:vAlign w:val="center"/>
          </w:tcPr>
          <w:p w14:paraId="54699675" w14:textId="77777777" w:rsidR="006F6810" w:rsidRPr="002D1B02" w:rsidRDefault="006F6810" w:rsidP="001933FE">
            <w:pPr>
              <w:spacing w:before="120" w:after="120"/>
              <w:jc w:val="center"/>
              <w:rPr>
                <w:color w:val="000000"/>
                <w:sz w:val="20"/>
                <w:szCs w:val="20"/>
                <w:lang w:val="es-ES"/>
              </w:rPr>
            </w:pPr>
          </w:p>
        </w:tc>
        <w:tc>
          <w:tcPr>
            <w:tcW w:w="451" w:type="pct"/>
            <w:tcBorders>
              <w:top w:val="single" w:sz="8" w:space="0" w:color="auto"/>
              <w:left w:val="nil"/>
              <w:bottom w:val="single" w:sz="8" w:space="0" w:color="auto"/>
              <w:right w:val="single" w:sz="8" w:space="0" w:color="auto"/>
            </w:tcBorders>
            <w:shd w:val="clear" w:color="auto" w:fill="auto"/>
            <w:noWrap/>
            <w:vAlign w:val="center"/>
          </w:tcPr>
          <w:p w14:paraId="71BDF1E0" w14:textId="36ECE442" w:rsidR="006F6810" w:rsidRPr="002D1B02" w:rsidRDefault="006F6810" w:rsidP="001933FE">
            <w:pPr>
              <w:spacing w:before="120" w:after="120"/>
              <w:jc w:val="center"/>
              <w:rPr>
                <w:color w:val="000000"/>
                <w:sz w:val="20"/>
                <w:szCs w:val="20"/>
                <w:lang w:val="es-ES"/>
              </w:rPr>
            </w:pPr>
          </w:p>
        </w:tc>
        <w:tc>
          <w:tcPr>
            <w:tcW w:w="407" w:type="pct"/>
            <w:tcBorders>
              <w:top w:val="single" w:sz="8" w:space="0" w:color="auto"/>
              <w:left w:val="nil"/>
              <w:bottom w:val="single" w:sz="8" w:space="0" w:color="auto"/>
              <w:right w:val="single" w:sz="8" w:space="0" w:color="auto"/>
            </w:tcBorders>
            <w:shd w:val="clear" w:color="auto" w:fill="auto"/>
            <w:noWrap/>
            <w:vAlign w:val="center"/>
          </w:tcPr>
          <w:p w14:paraId="1EF50361" w14:textId="5C4DC31E" w:rsidR="006F6810" w:rsidRPr="002D1B02" w:rsidRDefault="006F6810" w:rsidP="001933FE">
            <w:pPr>
              <w:spacing w:before="120" w:after="120"/>
              <w:jc w:val="center"/>
              <w:rPr>
                <w:color w:val="000000"/>
                <w:sz w:val="20"/>
                <w:szCs w:val="20"/>
                <w:lang w:val="es-ES"/>
              </w:rPr>
            </w:pPr>
          </w:p>
        </w:tc>
        <w:tc>
          <w:tcPr>
            <w:tcW w:w="385" w:type="pct"/>
            <w:tcBorders>
              <w:top w:val="single" w:sz="8" w:space="0" w:color="auto"/>
              <w:left w:val="nil"/>
              <w:bottom w:val="single" w:sz="8" w:space="0" w:color="auto"/>
              <w:right w:val="single" w:sz="8" w:space="0" w:color="auto"/>
            </w:tcBorders>
            <w:shd w:val="clear" w:color="auto" w:fill="auto"/>
            <w:noWrap/>
            <w:vAlign w:val="center"/>
          </w:tcPr>
          <w:p w14:paraId="388F7462" w14:textId="77777777" w:rsidR="006F6810" w:rsidRPr="002D1B02" w:rsidRDefault="006F6810" w:rsidP="001933FE">
            <w:pPr>
              <w:spacing w:before="120" w:after="120"/>
              <w:jc w:val="center"/>
              <w:rPr>
                <w:color w:val="000000"/>
                <w:sz w:val="20"/>
                <w:szCs w:val="20"/>
                <w:lang w:val="es-ES"/>
              </w:rPr>
            </w:pPr>
            <w:r>
              <w:rPr>
                <w:color w:val="000000"/>
                <w:sz w:val="20"/>
                <w:szCs w:val="20"/>
                <w:lang w:val="es-ES"/>
              </w:rPr>
              <w:t xml:space="preserve"> </w:t>
            </w:r>
          </w:p>
        </w:tc>
        <w:tc>
          <w:tcPr>
            <w:tcW w:w="469" w:type="pct"/>
            <w:tcBorders>
              <w:top w:val="single" w:sz="8" w:space="0" w:color="auto"/>
              <w:left w:val="nil"/>
              <w:bottom w:val="single" w:sz="8" w:space="0" w:color="auto"/>
              <w:right w:val="single" w:sz="8" w:space="0" w:color="auto"/>
            </w:tcBorders>
            <w:shd w:val="clear" w:color="auto" w:fill="auto"/>
            <w:vAlign w:val="center"/>
          </w:tcPr>
          <w:p w14:paraId="7270ACC3" w14:textId="77777777" w:rsidR="008E4A17" w:rsidRDefault="008E4A17" w:rsidP="001933FE">
            <w:pPr>
              <w:spacing w:before="120" w:after="120"/>
              <w:jc w:val="center"/>
              <w:rPr>
                <w:color w:val="000000"/>
                <w:sz w:val="20"/>
                <w:szCs w:val="20"/>
                <w:lang w:val="es-ES"/>
              </w:rPr>
            </w:pPr>
            <w:r>
              <w:rPr>
                <w:color w:val="000000"/>
                <w:sz w:val="20"/>
                <w:szCs w:val="20"/>
                <w:lang w:val="es-ES"/>
              </w:rPr>
              <w:t>Informe</w:t>
            </w:r>
          </w:p>
          <w:p w14:paraId="67A0BAE2" w14:textId="77777777" w:rsidR="006F6810" w:rsidRDefault="008E4A17" w:rsidP="001933FE">
            <w:pPr>
              <w:spacing w:before="120" w:after="120"/>
              <w:jc w:val="center"/>
              <w:rPr>
                <w:color w:val="000000"/>
                <w:sz w:val="20"/>
                <w:szCs w:val="20"/>
                <w:lang w:val="es-ES"/>
              </w:rPr>
            </w:pPr>
            <w:r>
              <w:rPr>
                <w:color w:val="000000"/>
                <w:sz w:val="20"/>
                <w:szCs w:val="20"/>
                <w:lang w:val="es-ES"/>
              </w:rPr>
              <w:t>Final</w:t>
            </w:r>
            <w:r w:rsidR="006F6810">
              <w:rPr>
                <w:color w:val="000000"/>
                <w:sz w:val="20"/>
                <w:szCs w:val="20"/>
                <w:lang w:val="es-ES"/>
              </w:rPr>
              <w:t xml:space="preserve"> </w:t>
            </w:r>
          </w:p>
        </w:tc>
        <w:tc>
          <w:tcPr>
            <w:tcW w:w="992" w:type="pct"/>
            <w:tcBorders>
              <w:top w:val="nil"/>
              <w:left w:val="single" w:sz="8" w:space="0" w:color="auto"/>
              <w:bottom w:val="single" w:sz="8" w:space="0" w:color="auto"/>
              <w:right w:val="single" w:sz="8" w:space="0" w:color="auto"/>
            </w:tcBorders>
            <w:shd w:val="clear" w:color="auto" w:fill="auto"/>
            <w:noWrap/>
            <w:vAlign w:val="center"/>
          </w:tcPr>
          <w:p w14:paraId="1C2E6EA8" w14:textId="2E432EB1" w:rsidR="006F6810" w:rsidRDefault="006F6810" w:rsidP="001933FE">
            <w:pPr>
              <w:spacing w:before="120" w:after="120"/>
              <w:jc w:val="center"/>
              <w:rPr>
                <w:color w:val="000000"/>
                <w:sz w:val="20"/>
                <w:szCs w:val="20"/>
                <w:lang w:val="es-ES"/>
              </w:rPr>
            </w:pPr>
            <w:r>
              <w:rPr>
                <w:color w:val="000000"/>
                <w:sz w:val="20"/>
                <w:szCs w:val="20"/>
                <w:lang w:val="es-ES"/>
              </w:rPr>
              <w:t>Consultor – Costo Incluido en los honorarios</w:t>
            </w:r>
            <w:r w:rsidR="008A1CFF">
              <w:rPr>
                <w:color w:val="000000"/>
                <w:sz w:val="20"/>
                <w:szCs w:val="20"/>
                <w:lang w:val="es-ES"/>
              </w:rPr>
              <w:t xml:space="preserve"> </w:t>
            </w:r>
          </w:p>
        </w:tc>
      </w:tr>
      <w:tr w:rsidR="008A1CFF" w:rsidRPr="000F3F6A" w14:paraId="11B45287" w14:textId="3A2BBDC0" w:rsidTr="008E4A17">
        <w:trPr>
          <w:trHeight w:val="880"/>
        </w:trPr>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5F9C9EB" w14:textId="30F9AC70" w:rsidR="00452F78" w:rsidRPr="002D1B02" w:rsidRDefault="00452F78" w:rsidP="001933FE">
            <w:pPr>
              <w:spacing w:before="120" w:after="120"/>
              <w:rPr>
                <w:color w:val="000000"/>
                <w:sz w:val="20"/>
                <w:szCs w:val="20"/>
                <w:lang w:val="es-ES"/>
              </w:rPr>
            </w:pPr>
            <w:r>
              <w:rPr>
                <w:color w:val="000000"/>
                <w:sz w:val="20"/>
                <w:szCs w:val="20"/>
                <w:lang w:val="es-ES"/>
              </w:rPr>
              <w:t>Evaluación de Impacto</w:t>
            </w:r>
          </w:p>
        </w:tc>
        <w:tc>
          <w:tcPr>
            <w:tcW w:w="409" w:type="pct"/>
            <w:tcBorders>
              <w:top w:val="single" w:sz="8" w:space="0" w:color="auto"/>
              <w:left w:val="nil"/>
              <w:bottom w:val="single" w:sz="8" w:space="0" w:color="auto"/>
              <w:right w:val="single" w:sz="8" w:space="0" w:color="auto"/>
            </w:tcBorders>
            <w:shd w:val="clear" w:color="auto" w:fill="auto"/>
            <w:noWrap/>
            <w:vAlign w:val="center"/>
          </w:tcPr>
          <w:p w14:paraId="5AC3F16B" w14:textId="75590AF8" w:rsidR="00452F78" w:rsidRPr="002D1B02" w:rsidRDefault="00452F78" w:rsidP="001933FE">
            <w:pPr>
              <w:spacing w:before="120" w:after="120"/>
              <w:jc w:val="center"/>
              <w:rPr>
                <w:color w:val="000000"/>
                <w:sz w:val="20"/>
                <w:szCs w:val="20"/>
                <w:lang w:val="es-ES"/>
              </w:rPr>
            </w:pPr>
          </w:p>
        </w:tc>
        <w:tc>
          <w:tcPr>
            <w:tcW w:w="446" w:type="pct"/>
            <w:tcBorders>
              <w:top w:val="single" w:sz="8" w:space="0" w:color="auto"/>
              <w:left w:val="nil"/>
              <w:bottom w:val="single" w:sz="8" w:space="0" w:color="auto"/>
              <w:right w:val="single" w:sz="8" w:space="0" w:color="auto"/>
            </w:tcBorders>
            <w:shd w:val="clear" w:color="auto" w:fill="auto"/>
            <w:noWrap/>
            <w:vAlign w:val="center"/>
          </w:tcPr>
          <w:p w14:paraId="2A1186CA" w14:textId="7406B477" w:rsidR="00452F78" w:rsidRPr="002D1B02" w:rsidRDefault="00452F78" w:rsidP="001933FE">
            <w:pPr>
              <w:spacing w:before="120" w:after="120"/>
              <w:jc w:val="center"/>
              <w:rPr>
                <w:color w:val="000000"/>
                <w:sz w:val="20"/>
                <w:szCs w:val="20"/>
                <w:lang w:val="es-ES"/>
              </w:rPr>
            </w:pPr>
          </w:p>
        </w:tc>
        <w:tc>
          <w:tcPr>
            <w:tcW w:w="451" w:type="pct"/>
            <w:tcBorders>
              <w:top w:val="single" w:sz="8" w:space="0" w:color="auto"/>
              <w:left w:val="nil"/>
              <w:bottom w:val="single" w:sz="8" w:space="0" w:color="auto"/>
              <w:right w:val="single" w:sz="8" w:space="0" w:color="auto"/>
            </w:tcBorders>
            <w:shd w:val="clear" w:color="auto" w:fill="auto"/>
            <w:noWrap/>
            <w:vAlign w:val="center"/>
          </w:tcPr>
          <w:p w14:paraId="7D6CC2F4" w14:textId="40463A7B" w:rsidR="00452F78" w:rsidRPr="002D1B02" w:rsidRDefault="00452F78" w:rsidP="001933FE">
            <w:pPr>
              <w:spacing w:before="120" w:after="120"/>
              <w:jc w:val="center"/>
              <w:rPr>
                <w:color w:val="000000"/>
                <w:sz w:val="20"/>
                <w:szCs w:val="20"/>
                <w:lang w:val="es-ES"/>
              </w:rPr>
            </w:pPr>
          </w:p>
        </w:tc>
        <w:tc>
          <w:tcPr>
            <w:tcW w:w="407" w:type="pct"/>
            <w:tcBorders>
              <w:top w:val="single" w:sz="8" w:space="0" w:color="auto"/>
              <w:left w:val="nil"/>
              <w:bottom w:val="single" w:sz="8" w:space="0" w:color="auto"/>
              <w:right w:val="single" w:sz="8" w:space="0" w:color="auto"/>
            </w:tcBorders>
            <w:shd w:val="clear" w:color="auto" w:fill="auto"/>
            <w:noWrap/>
            <w:vAlign w:val="center"/>
          </w:tcPr>
          <w:p w14:paraId="5A9D18AE" w14:textId="41636F74" w:rsidR="00452F78" w:rsidRPr="002D1B02" w:rsidRDefault="00452F78" w:rsidP="001933FE">
            <w:pPr>
              <w:spacing w:before="120" w:after="120"/>
              <w:jc w:val="center"/>
              <w:rPr>
                <w:color w:val="000000"/>
                <w:sz w:val="20"/>
                <w:szCs w:val="20"/>
                <w:lang w:val="es-ES"/>
              </w:rPr>
            </w:pPr>
          </w:p>
        </w:tc>
        <w:tc>
          <w:tcPr>
            <w:tcW w:w="385" w:type="pct"/>
            <w:tcBorders>
              <w:top w:val="single" w:sz="8" w:space="0" w:color="auto"/>
              <w:left w:val="nil"/>
              <w:bottom w:val="single" w:sz="8" w:space="0" w:color="auto"/>
              <w:right w:val="single" w:sz="8" w:space="0" w:color="auto"/>
            </w:tcBorders>
            <w:shd w:val="clear" w:color="auto" w:fill="auto"/>
            <w:noWrap/>
            <w:vAlign w:val="center"/>
          </w:tcPr>
          <w:p w14:paraId="57C8B9CE" w14:textId="4F8C9927" w:rsidR="00452F78" w:rsidRPr="002D1B02" w:rsidRDefault="00452F78" w:rsidP="001933FE">
            <w:pPr>
              <w:spacing w:before="120" w:after="120"/>
              <w:jc w:val="center"/>
              <w:rPr>
                <w:color w:val="000000"/>
                <w:sz w:val="20"/>
                <w:szCs w:val="20"/>
                <w:lang w:val="es-ES"/>
              </w:rPr>
            </w:pPr>
          </w:p>
        </w:tc>
        <w:tc>
          <w:tcPr>
            <w:tcW w:w="469" w:type="pct"/>
            <w:tcBorders>
              <w:top w:val="single" w:sz="8" w:space="0" w:color="auto"/>
              <w:left w:val="nil"/>
              <w:bottom w:val="single" w:sz="8" w:space="0" w:color="auto"/>
              <w:right w:val="single" w:sz="8" w:space="0" w:color="auto"/>
            </w:tcBorders>
            <w:shd w:val="clear" w:color="auto" w:fill="auto"/>
            <w:vAlign w:val="center"/>
          </w:tcPr>
          <w:p w14:paraId="4A8CF192" w14:textId="5FDC5996" w:rsidR="00452F78" w:rsidRDefault="00452F78" w:rsidP="001933FE">
            <w:pPr>
              <w:spacing w:before="120" w:after="120"/>
              <w:jc w:val="center"/>
              <w:rPr>
                <w:color w:val="000000"/>
                <w:sz w:val="20"/>
                <w:szCs w:val="20"/>
                <w:lang w:val="es-ES"/>
              </w:rPr>
            </w:pPr>
            <w:r>
              <w:rPr>
                <w:color w:val="000000"/>
                <w:sz w:val="20"/>
                <w:szCs w:val="20"/>
                <w:lang w:val="es-ES"/>
              </w:rPr>
              <w:t>Expost</w:t>
            </w:r>
          </w:p>
          <w:p w14:paraId="1C1C50CC" w14:textId="12E95C55" w:rsidR="00452F78" w:rsidRPr="002D1B02" w:rsidRDefault="00452F78" w:rsidP="001933FE">
            <w:pPr>
              <w:spacing w:before="120" w:after="120"/>
              <w:jc w:val="center"/>
              <w:rPr>
                <w:color w:val="000000"/>
                <w:sz w:val="20"/>
                <w:szCs w:val="20"/>
                <w:lang w:val="es-ES"/>
              </w:rPr>
            </w:pPr>
            <w:r>
              <w:rPr>
                <w:color w:val="000000"/>
                <w:sz w:val="20"/>
                <w:szCs w:val="20"/>
                <w:lang w:val="es-ES"/>
              </w:rPr>
              <w:t>Final</w:t>
            </w:r>
          </w:p>
        </w:tc>
        <w:tc>
          <w:tcPr>
            <w:tcW w:w="992" w:type="pct"/>
            <w:tcBorders>
              <w:top w:val="nil"/>
              <w:left w:val="single" w:sz="8" w:space="0" w:color="auto"/>
              <w:bottom w:val="single" w:sz="8" w:space="0" w:color="auto"/>
              <w:right w:val="single" w:sz="8" w:space="0" w:color="auto"/>
            </w:tcBorders>
            <w:shd w:val="clear" w:color="auto" w:fill="auto"/>
            <w:noWrap/>
            <w:vAlign w:val="center"/>
          </w:tcPr>
          <w:p w14:paraId="05546506" w14:textId="1EB78BD6" w:rsidR="00452F78" w:rsidRPr="00452F78" w:rsidRDefault="00452F78" w:rsidP="00452F78">
            <w:pPr>
              <w:jc w:val="center"/>
              <w:rPr>
                <w:lang w:val="es-ES"/>
              </w:rPr>
            </w:pPr>
            <w:r w:rsidRPr="006941A3">
              <w:rPr>
                <w:color w:val="000000"/>
                <w:sz w:val="20"/>
                <w:szCs w:val="20"/>
                <w:lang w:val="es-ES"/>
              </w:rPr>
              <w:t>Consultor – Costo Incluido en los honorarios</w:t>
            </w:r>
            <w:r w:rsidR="008A1CFF">
              <w:rPr>
                <w:color w:val="000000"/>
                <w:sz w:val="20"/>
                <w:szCs w:val="20"/>
                <w:lang w:val="es-ES"/>
              </w:rPr>
              <w:t xml:space="preserve"> </w:t>
            </w:r>
          </w:p>
        </w:tc>
      </w:tr>
      <w:tr w:rsidR="008A1CFF" w:rsidRPr="000F3F6A" w14:paraId="44F4989F" w14:textId="77777777" w:rsidTr="008E4A17">
        <w:trPr>
          <w:trHeight w:val="466"/>
        </w:trPr>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DCEB320" w14:textId="77777777" w:rsidR="00452F78" w:rsidRPr="002D1B02" w:rsidRDefault="00452F78" w:rsidP="001933FE">
            <w:pPr>
              <w:spacing w:before="120" w:after="120"/>
              <w:rPr>
                <w:color w:val="000000"/>
                <w:sz w:val="20"/>
                <w:szCs w:val="20"/>
                <w:lang w:val="es-ES"/>
              </w:rPr>
            </w:pPr>
            <w:r w:rsidRPr="002D1B02">
              <w:rPr>
                <w:color w:val="000000"/>
                <w:sz w:val="20"/>
                <w:szCs w:val="20"/>
                <w:lang w:val="es-ES"/>
              </w:rPr>
              <w:t xml:space="preserve">Informe de Terminación de Proyecto (PCR) </w:t>
            </w:r>
          </w:p>
        </w:tc>
        <w:tc>
          <w:tcPr>
            <w:tcW w:w="409" w:type="pct"/>
            <w:tcBorders>
              <w:top w:val="single" w:sz="8" w:space="0" w:color="auto"/>
              <w:left w:val="nil"/>
              <w:bottom w:val="single" w:sz="8" w:space="0" w:color="auto"/>
              <w:right w:val="single" w:sz="8" w:space="0" w:color="auto"/>
            </w:tcBorders>
            <w:shd w:val="clear" w:color="auto" w:fill="auto"/>
            <w:noWrap/>
            <w:vAlign w:val="center"/>
            <w:hideMark/>
          </w:tcPr>
          <w:p w14:paraId="0DBAA14E" w14:textId="77777777" w:rsidR="00452F78" w:rsidRPr="002D1B02" w:rsidRDefault="00452F78" w:rsidP="001933FE">
            <w:pPr>
              <w:spacing w:before="120" w:after="120"/>
              <w:jc w:val="center"/>
              <w:rPr>
                <w:color w:val="000000"/>
                <w:sz w:val="20"/>
                <w:szCs w:val="20"/>
                <w:lang w:val="es-ES"/>
              </w:rPr>
            </w:pPr>
          </w:p>
          <w:p w14:paraId="4BCAD62C" w14:textId="77777777" w:rsidR="00452F78" w:rsidRPr="002D1B02" w:rsidRDefault="00452F78" w:rsidP="001933FE">
            <w:pPr>
              <w:spacing w:before="120" w:after="120"/>
              <w:jc w:val="center"/>
              <w:rPr>
                <w:color w:val="000000"/>
                <w:sz w:val="20"/>
                <w:szCs w:val="20"/>
                <w:lang w:val="es-ES"/>
              </w:rPr>
            </w:pPr>
          </w:p>
        </w:tc>
        <w:tc>
          <w:tcPr>
            <w:tcW w:w="446" w:type="pct"/>
            <w:tcBorders>
              <w:top w:val="single" w:sz="8" w:space="0" w:color="auto"/>
              <w:left w:val="nil"/>
              <w:bottom w:val="single" w:sz="8" w:space="0" w:color="auto"/>
              <w:right w:val="single" w:sz="8" w:space="0" w:color="auto"/>
            </w:tcBorders>
            <w:shd w:val="clear" w:color="auto" w:fill="auto"/>
            <w:noWrap/>
            <w:vAlign w:val="center"/>
            <w:hideMark/>
          </w:tcPr>
          <w:p w14:paraId="3F872F99" w14:textId="77777777" w:rsidR="00452F78" w:rsidRPr="002D1B02" w:rsidRDefault="00452F78" w:rsidP="001933FE">
            <w:pPr>
              <w:spacing w:before="120" w:after="120"/>
              <w:jc w:val="center"/>
              <w:rPr>
                <w:color w:val="000000"/>
                <w:sz w:val="20"/>
                <w:szCs w:val="20"/>
                <w:lang w:val="es-ES"/>
              </w:rPr>
            </w:pPr>
          </w:p>
          <w:p w14:paraId="4039E3B6" w14:textId="77777777" w:rsidR="00452F78" w:rsidRPr="002D1B02" w:rsidRDefault="00452F78" w:rsidP="001933FE">
            <w:pPr>
              <w:spacing w:before="120" w:after="120"/>
              <w:jc w:val="center"/>
              <w:rPr>
                <w:color w:val="000000"/>
                <w:sz w:val="20"/>
                <w:szCs w:val="20"/>
                <w:lang w:val="es-ES"/>
              </w:rPr>
            </w:pPr>
          </w:p>
        </w:tc>
        <w:tc>
          <w:tcPr>
            <w:tcW w:w="451" w:type="pct"/>
            <w:tcBorders>
              <w:top w:val="single" w:sz="8" w:space="0" w:color="auto"/>
              <w:left w:val="nil"/>
              <w:bottom w:val="single" w:sz="8" w:space="0" w:color="auto"/>
              <w:right w:val="single" w:sz="8" w:space="0" w:color="auto"/>
            </w:tcBorders>
            <w:shd w:val="clear" w:color="auto" w:fill="auto"/>
            <w:noWrap/>
            <w:vAlign w:val="center"/>
          </w:tcPr>
          <w:p w14:paraId="07E1A2E0" w14:textId="77777777" w:rsidR="00452F78" w:rsidRPr="002D1B02" w:rsidRDefault="00452F78" w:rsidP="001933FE">
            <w:pPr>
              <w:spacing w:before="120" w:after="120"/>
              <w:jc w:val="center"/>
              <w:rPr>
                <w:color w:val="000000"/>
                <w:sz w:val="20"/>
                <w:szCs w:val="20"/>
                <w:lang w:val="es-ES"/>
              </w:rPr>
            </w:pPr>
          </w:p>
        </w:tc>
        <w:tc>
          <w:tcPr>
            <w:tcW w:w="407" w:type="pct"/>
            <w:tcBorders>
              <w:top w:val="single" w:sz="8" w:space="0" w:color="auto"/>
              <w:left w:val="nil"/>
              <w:bottom w:val="single" w:sz="8" w:space="0" w:color="auto"/>
              <w:right w:val="single" w:sz="8" w:space="0" w:color="auto"/>
            </w:tcBorders>
            <w:shd w:val="clear" w:color="auto" w:fill="auto"/>
            <w:noWrap/>
            <w:vAlign w:val="center"/>
          </w:tcPr>
          <w:p w14:paraId="7632121C" w14:textId="77777777" w:rsidR="00452F78" w:rsidRPr="002D1B02" w:rsidRDefault="00452F78" w:rsidP="001933FE">
            <w:pPr>
              <w:spacing w:before="120" w:after="120"/>
              <w:jc w:val="center"/>
              <w:rPr>
                <w:color w:val="000000"/>
                <w:sz w:val="20"/>
                <w:szCs w:val="20"/>
                <w:lang w:val="es-ES"/>
              </w:rPr>
            </w:pPr>
            <w:r>
              <w:rPr>
                <w:color w:val="000000"/>
                <w:sz w:val="20"/>
                <w:szCs w:val="20"/>
                <w:lang w:val="es-ES"/>
              </w:rPr>
              <w:t>PCR</w:t>
            </w:r>
          </w:p>
        </w:tc>
        <w:tc>
          <w:tcPr>
            <w:tcW w:w="385" w:type="pct"/>
            <w:tcBorders>
              <w:top w:val="single" w:sz="8" w:space="0" w:color="auto"/>
              <w:left w:val="nil"/>
              <w:bottom w:val="single" w:sz="8" w:space="0" w:color="auto"/>
              <w:right w:val="single" w:sz="8" w:space="0" w:color="auto"/>
            </w:tcBorders>
            <w:shd w:val="clear" w:color="auto" w:fill="auto"/>
            <w:noWrap/>
            <w:vAlign w:val="center"/>
            <w:hideMark/>
          </w:tcPr>
          <w:p w14:paraId="79EDB8D9" w14:textId="77777777" w:rsidR="00452F78" w:rsidRPr="002D1B02" w:rsidRDefault="00452F78" w:rsidP="001933FE">
            <w:pPr>
              <w:spacing w:before="120" w:after="120"/>
              <w:jc w:val="center"/>
              <w:rPr>
                <w:color w:val="000000"/>
                <w:sz w:val="20"/>
                <w:szCs w:val="20"/>
                <w:lang w:val="es-ES"/>
              </w:rPr>
            </w:pPr>
          </w:p>
          <w:p w14:paraId="2FD966A0" w14:textId="77777777" w:rsidR="00452F78" w:rsidRPr="002D1B02" w:rsidRDefault="00452F78" w:rsidP="001933FE">
            <w:pPr>
              <w:spacing w:before="120" w:after="120"/>
              <w:jc w:val="center"/>
              <w:rPr>
                <w:color w:val="000000"/>
                <w:sz w:val="20"/>
                <w:szCs w:val="20"/>
                <w:lang w:val="es-ES"/>
              </w:rPr>
            </w:pPr>
          </w:p>
        </w:tc>
        <w:tc>
          <w:tcPr>
            <w:tcW w:w="469" w:type="pct"/>
            <w:tcBorders>
              <w:top w:val="single" w:sz="8" w:space="0" w:color="auto"/>
              <w:left w:val="nil"/>
              <w:bottom w:val="single" w:sz="8" w:space="0" w:color="auto"/>
              <w:right w:val="single" w:sz="8" w:space="0" w:color="auto"/>
            </w:tcBorders>
            <w:shd w:val="clear" w:color="auto" w:fill="auto"/>
            <w:vAlign w:val="center"/>
          </w:tcPr>
          <w:p w14:paraId="4242E376" w14:textId="77777777" w:rsidR="00452F78" w:rsidRPr="002D1B02" w:rsidRDefault="00452F78" w:rsidP="001933FE">
            <w:pPr>
              <w:spacing w:before="120" w:after="120"/>
              <w:jc w:val="center"/>
              <w:rPr>
                <w:color w:val="000000"/>
                <w:sz w:val="20"/>
                <w:szCs w:val="20"/>
                <w:lang w:val="es-ES"/>
              </w:rPr>
            </w:pPr>
          </w:p>
        </w:tc>
        <w:tc>
          <w:tcPr>
            <w:tcW w:w="992" w:type="pct"/>
            <w:tcBorders>
              <w:top w:val="nil"/>
              <w:left w:val="single" w:sz="8" w:space="0" w:color="auto"/>
              <w:bottom w:val="single" w:sz="8" w:space="0" w:color="auto"/>
              <w:right w:val="single" w:sz="8" w:space="0" w:color="auto"/>
            </w:tcBorders>
            <w:shd w:val="clear" w:color="auto" w:fill="FFFFFF" w:themeFill="background1"/>
            <w:noWrap/>
            <w:vAlign w:val="center"/>
            <w:hideMark/>
          </w:tcPr>
          <w:p w14:paraId="1B1D0FD2" w14:textId="027C4A4B" w:rsidR="00452F78" w:rsidRPr="00452F78" w:rsidRDefault="00452F78" w:rsidP="00452F78">
            <w:pPr>
              <w:jc w:val="center"/>
              <w:rPr>
                <w:lang w:val="es-ES"/>
              </w:rPr>
            </w:pPr>
            <w:r w:rsidRPr="006941A3">
              <w:rPr>
                <w:color w:val="000000"/>
                <w:sz w:val="20"/>
                <w:szCs w:val="20"/>
                <w:lang w:val="es-ES"/>
              </w:rPr>
              <w:t>Consultor – Costo Incluido en los honorarios</w:t>
            </w:r>
            <w:r w:rsidR="008A1CFF">
              <w:rPr>
                <w:color w:val="000000"/>
                <w:sz w:val="20"/>
                <w:szCs w:val="20"/>
                <w:lang w:val="es-ES"/>
              </w:rPr>
              <w:t xml:space="preserve"> </w:t>
            </w:r>
          </w:p>
        </w:tc>
      </w:tr>
    </w:tbl>
    <w:p w14:paraId="768FE17A" w14:textId="77777777" w:rsidR="005C3B68" w:rsidRPr="002D1B02" w:rsidRDefault="005C3B68" w:rsidP="00452F78">
      <w:pPr>
        <w:pStyle w:val="Paragraph"/>
        <w:tabs>
          <w:tab w:val="clear" w:pos="1440"/>
        </w:tabs>
        <w:spacing w:before="100" w:after="100"/>
        <w:ind w:left="0" w:firstLine="0"/>
        <w:rPr>
          <w:rFonts w:ascii="Times New Roman Bold" w:hAnsi="Times New Roman Bold"/>
          <w:b/>
          <w:bCs/>
          <w:smallCaps/>
          <w:lang w:val="es-ES"/>
        </w:rPr>
      </w:pPr>
    </w:p>
    <w:p w14:paraId="08C9FDBC" w14:textId="77777777" w:rsidR="0022270B" w:rsidRDefault="0022270B">
      <w:pPr>
        <w:spacing w:after="200" w:line="276" w:lineRule="auto"/>
        <w:rPr>
          <w:rFonts w:ascii="Times New Roman Bold" w:hAnsi="Times New Roman Bold"/>
          <w:b/>
          <w:bCs/>
          <w:smallCaps/>
          <w:lang w:val="es-ES"/>
        </w:rPr>
      </w:pPr>
    </w:p>
    <w:p w14:paraId="4817C4E0" w14:textId="38FD909E" w:rsidR="00AC0CF1" w:rsidRDefault="00AC0CF1">
      <w:pPr>
        <w:spacing w:after="200" w:line="276" w:lineRule="auto"/>
        <w:rPr>
          <w:rFonts w:ascii="Times New Roman Bold" w:hAnsi="Times New Roman Bold"/>
          <w:b/>
          <w:bCs/>
          <w:smallCaps/>
          <w:lang w:val="es-ES"/>
        </w:rPr>
      </w:pPr>
    </w:p>
    <w:p w14:paraId="6716177E" w14:textId="77777777" w:rsidR="008E5E30" w:rsidRPr="00110F7A" w:rsidRDefault="008E5E30" w:rsidP="00E17D6C">
      <w:pPr>
        <w:pStyle w:val="ListParagraph"/>
        <w:shd w:val="clear" w:color="auto" w:fill="FFFFFF"/>
        <w:spacing w:before="120" w:after="120"/>
        <w:ind w:left="0"/>
        <w:contextualSpacing w:val="0"/>
        <w:jc w:val="both"/>
        <w:rPr>
          <w:color w:val="000000"/>
          <w:lang w:val="es-ES"/>
        </w:rPr>
      </w:pPr>
    </w:p>
    <w:sectPr w:rsidR="008E5E30" w:rsidRPr="00110F7A" w:rsidSect="00546746">
      <w:headerReference w:type="default" r:id="rId19"/>
      <w:pgSz w:w="12240" w:h="15840"/>
      <w:pgMar w:top="1440" w:right="1800" w:bottom="90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B340" w14:textId="77777777" w:rsidR="003B431A" w:rsidRDefault="003B431A" w:rsidP="00530A6E">
      <w:r>
        <w:separator/>
      </w:r>
    </w:p>
  </w:endnote>
  <w:endnote w:type="continuationSeparator" w:id="0">
    <w:p w14:paraId="72F59CBE" w14:textId="77777777" w:rsidR="003B431A" w:rsidRDefault="003B431A" w:rsidP="0053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184A6" w14:textId="77777777" w:rsidR="003B431A" w:rsidRDefault="003B431A" w:rsidP="00530A6E">
      <w:r>
        <w:separator/>
      </w:r>
    </w:p>
  </w:footnote>
  <w:footnote w:type="continuationSeparator" w:id="0">
    <w:p w14:paraId="79EA9A3E" w14:textId="77777777" w:rsidR="003B431A" w:rsidRDefault="003B431A" w:rsidP="00530A6E">
      <w:r>
        <w:continuationSeparator/>
      </w:r>
    </w:p>
  </w:footnote>
  <w:footnote w:id="1">
    <w:p w14:paraId="7C4AE39F" w14:textId="426D0584" w:rsidR="00AA1205" w:rsidRPr="00916118" w:rsidRDefault="00AA1205">
      <w:pPr>
        <w:pStyle w:val="FootnoteText"/>
        <w:rPr>
          <w:lang w:val="es-ES_tradnl"/>
        </w:rPr>
      </w:pPr>
      <w:r>
        <w:rPr>
          <w:rStyle w:val="FootnoteReference"/>
        </w:rPr>
        <w:footnoteRef/>
      </w:r>
      <w:r w:rsidRPr="00916118">
        <w:rPr>
          <w:lang w:val="es-ES_tradnl"/>
        </w:rPr>
        <w:t xml:space="preserve"> </w:t>
      </w:r>
      <w:r w:rsidRPr="003D4DB5">
        <w:rPr>
          <w:szCs w:val="24"/>
          <w:lang w:val="es-BO"/>
        </w:rPr>
        <w:t xml:space="preserve">El grueso de la actividad logística que se </w:t>
      </w:r>
      <w:r>
        <w:rPr>
          <w:szCs w:val="24"/>
          <w:lang w:val="es-BO"/>
        </w:rPr>
        <w:t xml:space="preserve">desarrolla </w:t>
      </w:r>
      <w:r w:rsidRPr="003D4DB5">
        <w:rPr>
          <w:szCs w:val="24"/>
          <w:lang w:val="es-BO"/>
        </w:rPr>
        <w:t>en Panamá consiste en actividad</w:t>
      </w:r>
      <w:r>
        <w:rPr>
          <w:szCs w:val="24"/>
          <w:lang w:val="es-BO"/>
        </w:rPr>
        <w:t>es</w:t>
      </w:r>
      <w:r w:rsidRPr="003D4DB5">
        <w:rPr>
          <w:szCs w:val="24"/>
          <w:lang w:val="es-BO"/>
        </w:rPr>
        <w:t xml:space="preserve"> auxiliar</w:t>
      </w:r>
      <w:r>
        <w:rPr>
          <w:szCs w:val="24"/>
          <w:lang w:val="es-BO"/>
        </w:rPr>
        <w:t>es</w:t>
      </w:r>
      <w:r w:rsidRPr="003D4DB5">
        <w:rPr>
          <w:szCs w:val="24"/>
          <w:lang w:val="es-BO"/>
        </w:rPr>
        <w:t xml:space="preserve"> de apoyo a los movimientos de transbordo y tránsito, así como actividades de almacenamiento y redistribución de la </w:t>
      </w:r>
      <w:r>
        <w:rPr>
          <w:szCs w:val="24"/>
          <w:lang w:val="es-BO"/>
        </w:rPr>
        <w:t>(Z</w:t>
      </w:r>
      <w:r w:rsidRPr="003D4DB5">
        <w:rPr>
          <w:szCs w:val="24"/>
          <w:lang w:val="es-BO"/>
        </w:rPr>
        <w:t>LC</w:t>
      </w:r>
      <w:r>
        <w:rPr>
          <w:szCs w:val="24"/>
          <w:lang w:val="es-BO"/>
        </w:rPr>
        <w:t>)</w:t>
      </w:r>
      <w:r w:rsidRPr="003D4DB5">
        <w:rPr>
          <w:szCs w:val="24"/>
          <w:lang w:val="es-BO"/>
        </w:rPr>
        <w:t xml:space="preserve">. </w:t>
      </w:r>
    </w:p>
  </w:footnote>
  <w:footnote w:id="2">
    <w:p w14:paraId="73375D20" w14:textId="77777777" w:rsidR="00AA1205" w:rsidRPr="0024341F" w:rsidRDefault="00AA1205" w:rsidP="006B5C00">
      <w:pPr>
        <w:ind w:hanging="18"/>
        <w:contextualSpacing/>
        <w:jc w:val="both"/>
        <w:rPr>
          <w:rFonts w:ascii="Arial" w:hAnsi="Arial" w:cs="Arial"/>
          <w:sz w:val="18"/>
          <w:szCs w:val="20"/>
          <w:lang w:val="es-ES_tradnl"/>
        </w:rPr>
      </w:pPr>
      <w:r w:rsidRPr="006B5C00">
        <w:rPr>
          <w:rStyle w:val="FootnoteReference"/>
          <w:rFonts w:eastAsiaTheme="majorEastAsia"/>
          <w:sz w:val="18"/>
          <w:szCs w:val="18"/>
        </w:rPr>
        <w:footnoteRef/>
      </w:r>
      <w:r w:rsidRPr="006B5C00">
        <w:rPr>
          <w:sz w:val="18"/>
          <w:szCs w:val="18"/>
          <w:lang w:val="es-BO"/>
        </w:rPr>
        <w:t xml:space="preserve"> </w:t>
      </w:r>
      <w:r w:rsidRPr="006B5C00">
        <w:rPr>
          <w:sz w:val="18"/>
          <w:szCs w:val="18"/>
          <w:lang w:val="es-ES_tradnl"/>
        </w:rPr>
        <w:t>Línea de Base: disciplinas logísticas demandadas que son  impartidas en el país = 29 (13 universitarias, 13 vocacionales y 3 cursos cortos)</w:t>
      </w:r>
    </w:p>
  </w:footnote>
  <w:footnote w:id="3">
    <w:p w14:paraId="56EE3779" w14:textId="77777777" w:rsidR="00AA1205" w:rsidRPr="001A3F5B" w:rsidRDefault="00AA1205">
      <w:pPr>
        <w:rPr>
          <w:lang w:val="es-ES_tradnl"/>
        </w:rPr>
      </w:pPr>
    </w:p>
  </w:footnote>
  <w:footnote w:id="4">
    <w:p w14:paraId="70896736" w14:textId="77777777" w:rsidR="00AA1205" w:rsidRPr="00CB609D" w:rsidRDefault="00AA1205">
      <w:pPr>
        <w:pStyle w:val="FootnoteText"/>
        <w:rPr>
          <w:lang w:val="es-BO"/>
        </w:rPr>
      </w:pPr>
      <w:r>
        <w:rPr>
          <w:rStyle w:val="FootnoteReference"/>
        </w:rPr>
        <w:footnoteRef/>
      </w:r>
      <w:r w:rsidRPr="00CB609D">
        <w:rPr>
          <w:lang w:val="es-BO"/>
        </w:rPr>
        <w:t xml:space="preserve"> </w:t>
      </w:r>
      <w:r>
        <w:rPr>
          <w:lang w:val="es-ES_tradnl" w:eastAsia="es-ES"/>
        </w:rPr>
        <w:t xml:space="preserve">En este caso, el criterio de </w:t>
      </w:r>
      <w:r w:rsidRPr="007C1FE0">
        <w:rPr>
          <w:lang w:val="es-ES_tradnl" w:eastAsia="es-ES"/>
        </w:rPr>
        <w:t>eficiencia se evalúa pero no se califica</w:t>
      </w:r>
      <w:r>
        <w:rPr>
          <w:lang w:val="es-ES_tradnl" w:eastAsia="es-ES"/>
        </w:rPr>
        <w:t xml:space="preserve"> al ser un programático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07712577"/>
      <w:docPartObj>
        <w:docPartGallery w:val="Page Numbers (Top of Page)"/>
        <w:docPartUnique/>
      </w:docPartObj>
    </w:sdtPr>
    <w:sdtEndPr>
      <w:rPr>
        <w:sz w:val="24"/>
      </w:rPr>
    </w:sdtEndPr>
    <w:sdtContent>
      <w:p w14:paraId="288EC171" w14:textId="4B060EE1" w:rsidR="00AA1205" w:rsidRPr="001A7B22" w:rsidRDefault="00AA1205">
        <w:pPr>
          <w:pStyle w:val="Header"/>
          <w:jc w:val="right"/>
          <w:rPr>
            <w:sz w:val="22"/>
            <w:lang w:val="es-ES_tradnl"/>
          </w:rPr>
        </w:pPr>
        <w:r w:rsidRPr="001A7B22">
          <w:rPr>
            <w:sz w:val="22"/>
            <w:lang w:val="es-ES_tradnl"/>
          </w:rPr>
          <w:t>Enlace Electrónico Opcional #7 – PN-L1151</w:t>
        </w:r>
      </w:p>
      <w:p w14:paraId="079FC5D3" w14:textId="77777777" w:rsidR="00AA1205" w:rsidRPr="001641DD" w:rsidRDefault="00AA1205" w:rsidP="001641DD">
        <w:pPr>
          <w:pStyle w:val="Header"/>
          <w:jc w:val="right"/>
          <w:rPr>
            <w:lang w:val="es-ES_tradnl"/>
          </w:rPr>
        </w:pPr>
        <w:r w:rsidRPr="001A7B22">
          <w:rPr>
            <w:sz w:val="22"/>
            <w:lang w:val="es-ES_tradnl"/>
          </w:rPr>
          <w:t xml:space="preserve">Página </w:t>
        </w:r>
        <w:r w:rsidRPr="001A7B22">
          <w:rPr>
            <w:bCs/>
            <w:sz w:val="22"/>
          </w:rPr>
          <w:fldChar w:fldCharType="begin"/>
        </w:r>
        <w:r w:rsidRPr="001A7B22">
          <w:rPr>
            <w:bCs/>
            <w:sz w:val="22"/>
            <w:lang w:val="es-ES_tradnl"/>
          </w:rPr>
          <w:instrText xml:space="preserve"> PAGE </w:instrText>
        </w:r>
        <w:r w:rsidRPr="001A7B22">
          <w:rPr>
            <w:bCs/>
            <w:sz w:val="22"/>
          </w:rPr>
          <w:fldChar w:fldCharType="separate"/>
        </w:r>
        <w:r w:rsidRPr="001A7B22">
          <w:rPr>
            <w:bCs/>
            <w:noProof/>
            <w:sz w:val="22"/>
            <w:lang w:val="es-ES_tradnl"/>
          </w:rPr>
          <w:t>35</w:t>
        </w:r>
        <w:r w:rsidRPr="001A7B22">
          <w:rPr>
            <w:bCs/>
            <w:sz w:val="22"/>
          </w:rPr>
          <w:fldChar w:fldCharType="end"/>
        </w:r>
        <w:r w:rsidRPr="001A7B22">
          <w:rPr>
            <w:sz w:val="22"/>
            <w:lang w:val="es-ES_tradnl"/>
          </w:rPr>
          <w:t xml:space="preserve"> de </w:t>
        </w:r>
        <w:r w:rsidRPr="001A7B22">
          <w:rPr>
            <w:bCs/>
            <w:sz w:val="22"/>
          </w:rPr>
          <w:fldChar w:fldCharType="begin"/>
        </w:r>
        <w:r w:rsidRPr="001A7B22">
          <w:rPr>
            <w:bCs/>
            <w:sz w:val="22"/>
            <w:lang w:val="es-ES_tradnl"/>
          </w:rPr>
          <w:instrText xml:space="preserve"> NUMPAGES  </w:instrText>
        </w:r>
        <w:r w:rsidRPr="001A7B22">
          <w:rPr>
            <w:bCs/>
            <w:sz w:val="22"/>
          </w:rPr>
          <w:fldChar w:fldCharType="separate"/>
        </w:r>
        <w:r w:rsidRPr="001A7B22">
          <w:rPr>
            <w:bCs/>
            <w:noProof/>
            <w:sz w:val="22"/>
            <w:lang w:val="es-ES_tradnl"/>
          </w:rPr>
          <w:t>35</w:t>
        </w:r>
        <w:r w:rsidRPr="001A7B22">
          <w:rPr>
            <w:bCs/>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88E"/>
    <w:multiLevelType w:val="hybridMultilevel"/>
    <w:tmpl w:val="10B65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6810"/>
    <w:multiLevelType w:val="multilevel"/>
    <w:tmpl w:val="C786EA8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363E5E"/>
    <w:multiLevelType w:val="hybridMultilevel"/>
    <w:tmpl w:val="02421B6A"/>
    <w:lvl w:ilvl="0" w:tplc="A87ACC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A696274"/>
    <w:multiLevelType w:val="hybridMultilevel"/>
    <w:tmpl w:val="9C026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0141A"/>
    <w:multiLevelType w:val="hybridMultilevel"/>
    <w:tmpl w:val="9A16DA9A"/>
    <w:lvl w:ilvl="0" w:tplc="60C24A8C">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79533A"/>
    <w:multiLevelType w:val="multilevel"/>
    <w:tmpl w:val="FF560952"/>
    <w:lvl w:ilvl="0">
      <w:start w:val="1"/>
      <w:numFmt w:val="upperRoman"/>
      <w:pStyle w:val="FirstHeading"/>
      <w:lvlText w:val="%1."/>
      <w:lvlJc w:val="righ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666"/>
        </w:tabs>
        <w:ind w:left="666"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2260681E"/>
    <w:multiLevelType w:val="hybridMultilevel"/>
    <w:tmpl w:val="7B10A50C"/>
    <w:lvl w:ilvl="0" w:tplc="312E07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80638"/>
    <w:multiLevelType w:val="hybridMultilevel"/>
    <w:tmpl w:val="4DBA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1CAE"/>
    <w:multiLevelType w:val="hybridMultilevel"/>
    <w:tmpl w:val="0B96D57A"/>
    <w:lvl w:ilvl="0" w:tplc="F380226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2763382C"/>
    <w:multiLevelType w:val="multilevel"/>
    <w:tmpl w:val="448E8F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B5F0561"/>
    <w:multiLevelType w:val="hybridMultilevel"/>
    <w:tmpl w:val="6D0E36DE"/>
    <w:lvl w:ilvl="0" w:tplc="40D0D978">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B8C6053"/>
    <w:multiLevelType w:val="hybridMultilevel"/>
    <w:tmpl w:val="3550A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B519C0"/>
    <w:multiLevelType w:val="hybridMultilevel"/>
    <w:tmpl w:val="18B071C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FF90E25"/>
    <w:multiLevelType w:val="hybridMultilevel"/>
    <w:tmpl w:val="EAC8939C"/>
    <w:lvl w:ilvl="0" w:tplc="B3A8B3E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15:restartNumberingAfterBreak="0">
    <w:nsid w:val="3155475D"/>
    <w:multiLevelType w:val="hybridMultilevel"/>
    <w:tmpl w:val="2B70C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F2F02"/>
    <w:multiLevelType w:val="hybridMultilevel"/>
    <w:tmpl w:val="12BCFCBA"/>
    <w:lvl w:ilvl="0" w:tplc="ED6278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7AA2F28"/>
    <w:multiLevelType w:val="hybridMultilevel"/>
    <w:tmpl w:val="94D8A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130EA3"/>
    <w:multiLevelType w:val="hybridMultilevel"/>
    <w:tmpl w:val="D25A7E32"/>
    <w:lvl w:ilvl="0" w:tplc="400A0013">
      <w:start w:val="1"/>
      <w:numFmt w:val="upperRoman"/>
      <w:lvlText w:val="%1."/>
      <w:lvlJc w:val="righ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AC5F34"/>
    <w:multiLevelType w:val="hybridMultilevel"/>
    <w:tmpl w:val="2AAEA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50475"/>
    <w:multiLevelType w:val="hybridMultilevel"/>
    <w:tmpl w:val="515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76D6C"/>
    <w:multiLevelType w:val="hybridMultilevel"/>
    <w:tmpl w:val="2B70C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06C75"/>
    <w:multiLevelType w:val="hybridMultilevel"/>
    <w:tmpl w:val="12BCFCBA"/>
    <w:lvl w:ilvl="0" w:tplc="ED6278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9D816FB"/>
    <w:multiLevelType w:val="multilevel"/>
    <w:tmpl w:val="36DC04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CD4030"/>
    <w:multiLevelType w:val="hybridMultilevel"/>
    <w:tmpl w:val="B6D8FFD4"/>
    <w:lvl w:ilvl="0" w:tplc="57B2A87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15:restartNumberingAfterBreak="0">
    <w:nsid w:val="4CD01B46"/>
    <w:multiLevelType w:val="hybridMultilevel"/>
    <w:tmpl w:val="32D6C222"/>
    <w:lvl w:ilvl="0" w:tplc="278EB5B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876F29"/>
    <w:multiLevelType w:val="multilevel"/>
    <w:tmpl w:val="36DC04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816EAB"/>
    <w:multiLevelType w:val="multilevel"/>
    <w:tmpl w:val="4E8CCB82"/>
    <w:lvl w:ilvl="0">
      <w:start w:val="1"/>
      <w:numFmt w:val="upperRoman"/>
      <w:lvlText w:val="%1."/>
      <w:lvlJc w:val="left"/>
      <w:pPr>
        <w:ind w:left="1080" w:hanging="720"/>
      </w:pPr>
      <w:rPr>
        <w:rFonts w:hint="default"/>
        <w:b/>
      </w:rPr>
    </w:lvl>
    <w:lvl w:ilvl="1">
      <w:start w:val="1"/>
      <w:numFmt w:val="decimal"/>
      <w:isLgl/>
      <w:lvlText w:val="%1.%2"/>
      <w:lvlJc w:val="left"/>
      <w:pPr>
        <w:ind w:left="855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B37666"/>
    <w:multiLevelType w:val="hybridMultilevel"/>
    <w:tmpl w:val="298A205E"/>
    <w:lvl w:ilvl="0" w:tplc="2F240136">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A2D0E22"/>
    <w:multiLevelType w:val="hybridMultilevel"/>
    <w:tmpl w:val="D762847E"/>
    <w:lvl w:ilvl="0" w:tplc="400A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0" w15:restartNumberingAfterBreak="0">
    <w:nsid w:val="74D7371C"/>
    <w:multiLevelType w:val="hybridMultilevel"/>
    <w:tmpl w:val="65E44990"/>
    <w:lvl w:ilvl="0" w:tplc="909C4D1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10879"/>
    <w:multiLevelType w:val="hybridMultilevel"/>
    <w:tmpl w:val="7EB2D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8"/>
  </w:num>
  <w:num w:numId="4">
    <w:abstractNumId w:val="0"/>
  </w:num>
  <w:num w:numId="5">
    <w:abstractNumId w:val="31"/>
  </w:num>
  <w:num w:numId="6">
    <w:abstractNumId w:val="3"/>
  </w:num>
  <w:num w:numId="7">
    <w:abstractNumId w:val="17"/>
  </w:num>
  <w:num w:numId="8">
    <w:abstractNumId w:val="6"/>
  </w:num>
  <w:num w:numId="9">
    <w:abstractNumId w:val="14"/>
  </w:num>
  <w:num w:numId="10">
    <w:abstractNumId w:val="22"/>
  </w:num>
  <w:num w:numId="11">
    <w:abstractNumId w:val="21"/>
  </w:num>
  <w:num w:numId="12">
    <w:abstractNumId w:val="20"/>
  </w:num>
  <w:num w:numId="13">
    <w:abstractNumId w:val="26"/>
  </w:num>
  <w:num w:numId="14">
    <w:abstractNumId w:val="23"/>
  </w:num>
  <w:num w:numId="15">
    <w:abstractNumId w:val="2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27"/>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
  </w:num>
  <w:num w:numId="34">
    <w:abstractNumId w:val="7"/>
  </w:num>
  <w:num w:numId="35">
    <w:abstractNumId w:val="11"/>
  </w:num>
  <w:num w:numId="36">
    <w:abstractNumId w:val="16"/>
  </w:num>
  <w:num w:numId="37">
    <w:abstractNumId w:val="30"/>
  </w:num>
  <w:num w:numId="38">
    <w:abstractNumId w:val="25"/>
  </w:num>
  <w:num w:numId="39">
    <w:abstractNumId w:val="12"/>
  </w:num>
  <w:num w:numId="40">
    <w:abstractNumId w:val="28"/>
  </w:num>
  <w:num w:numId="41">
    <w:abstractNumId w:val="4"/>
  </w:num>
  <w:num w:numId="42">
    <w:abstractNumId w:val="10"/>
  </w:num>
  <w:num w:numId="4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C3"/>
    <w:rsid w:val="00005C0E"/>
    <w:rsid w:val="0000675F"/>
    <w:rsid w:val="00010F47"/>
    <w:rsid w:val="00013939"/>
    <w:rsid w:val="00014D26"/>
    <w:rsid w:val="00015FDF"/>
    <w:rsid w:val="0002710C"/>
    <w:rsid w:val="00030889"/>
    <w:rsid w:val="00031C82"/>
    <w:rsid w:val="00043BD5"/>
    <w:rsid w:val="00052B85"/>
    <w:rsid w:val="00053E35"/>
    <w:rsid w:val="000605EA"/>
    <w:rsid w:val="00062A61"/>
    <w:rsid w:val="00062ECE"/>
    <w:rsid w:val="00066FD8"/>
    <w:rsid w:val="00067A0D"/>
    <w:rsid w:val="000721CB"/>
    <w:rsid w:val="00080E6B"/>
    <w:rsid w:val="000817FB"/>
    <w:rsid w:val="00086045"/>
    <w:rsid w:val="000947FF"/>
    <w:rsid w:val="00097AB2"/>
    <w:rsid w:val="000A063F"/>
    <w:rsid w:val="000A17AF"/>
    <w:rsid w:val="000A5FF0"/>
    <w:rsid w:val="000B0A6A"/>
    <w:rsid w:val="000B186A"/>
    <w:rsid w:val="000B2024"/>
    <w:rsid w:val="000B656A"/>
    <w:rsid w:val="000B6E87"/>
    <w:rsid w:val="000C3BE1"/>
    <w:rsid w:val="000C4727"/>
    <w:rsid w:val="000C6386"/>
    <w:rsid w:val="000C7A6C"/>
    <w:rsid w:val="000D17A6"/>
    <w:rsid w:val="000E583F"/>
    <w:rsid w:val="000E7A18"/>
    <w:rsid w:val="000F1D27"/>
    <w:rsid w:val="000F3F6A"/>
    <w:rsid w:val="00100989"/>
    <w:rsid w:val="00107663"/>
    <w:rsid w:val="00107D44"/>
    <w:rsid w:val="0011098F"/>
    <w:rsid w:val="00110F7A"/>
    <w:rsid w:val="0011167D"/>
    <w:rsid w:val="00111AEE"/>
    <w:rsid w:val="001136F5"/>
    <w:rsid w:val="00117928"/>
    <w:rsid w:val="0012118F"/>
    <w:rsid w:val="0012414D"/>
    <w:rsid w:val="00131F49"/>
    <w:rsid w:val="00133551"/>
    <w:rsid w:val="001347A7"/>
    <w:rsid w:val="0014161E"/>
    <w:rsid w:val="001417F1"/>
    <w:rsid w:val="001468FE"/>
    <w:rsid w:val="001515E6"/>
    <w:rsid w:val="001516E1"/>
    <w:rsid w:val="00151BE1"/>
    <w:rsid w:val="001530F4"/>
    <w:rsid w:val="00154610"/>
    <w:rsid w:val="0015621C"/>
    <w:rsid w:val="00160777"/>
    <w:rsid w:val="00160B02"/>
    <w:rsid w:val="001633A2"/>
    <w:rsid w:val="001641BB"/>
    <w:rsid w:val="001641DD"/>
    <w:rsid w:val="001743E5"/>
    <w:rsid w:val="00192BBB"/>
    <w:rsid w:val="001933FE"/>
    <w:rsid w:val="001957AE"/>
    <w:rsid w:val="00195FC2"/>
    <w:rsid w:val="001A1F50"/>
    <w:rsid w:val="001A3F5B"/>
    <w:rsid w:val="001A57EC"/>
    <w:rsid w:val="001A67BC"/>
    <w:rsid w:val="001A7B22"/>
    <w:rsid w:val="001B054B"/>
    <w:rsid w:val="001B2D4B"/>
    <w:rsid w:val="001B4FED"/>
    <w:rsid w:val="001D2F7B"/>
    <w:rsid w:val="001D45B1"/>
    <w:rsid w:val="001E2995"/>
    <w:rsid w:val="001E31CC"/>
    <w:rsid w:val="001E577D"/>
    <w:rsid w:val="001E63CD"/>
    <w:rsid w:val="001E7DC3"/>
    <w:rsid w:val="001F01A7"/>
    <w:rsid w:val="001F05F8"/>
    <w:rsid w:val="001F19D7"/>
    <w:rsid w:val="001F36D0"/>
    <w:rsid w:val="001F485A"/>
    <w:rsid w:val="00201C09"/>
    <w:rsid w:val="00202900"/>
    <w:rsid w:val="002057D1"/>
    <w:rsid w:val="002063FA"/>
    <w:rsid w:val="0020705F"/>
    <w:rsid w:val="00215334"/>
    <w:rsid w:val="002177B7"/>
    <w:rsid w:val="0022066F"/>
    <w:rsid w:val="002211A9"/>
    <w:rsid w:val="00222644"/>
    <w:rsid w:val="0022270B"/>
    <w:rsid w:val="00223F4F"/>
    <w:rsid w:val="0023656F"/>
    <w:rsid w:val="00237567"/>
    <w:rsid w:val="00240631"/>
    <w:rsid w:val="00244D4B"/>
    <w:rsid w:val="00246FC9"/>
    <w:rsid w:val="00252416"/>
    <w:rsid w:val="0025681E"/>
    <w:rsid w:val="00261F8D"/>
    <w:rsid w:val="00262740"/>
    <w:rsid w:val="00263F58"/>
    <w:rsid w:val="00265D8F"/>
    <w:rsid w:val="00267C80"/>
    <w:rsid w:val="00271FDC"/>
    <w:rsid w:val="002736CF"/>
    <w:rsid w:val="00274390"/>
    <w:rsid w:val="00274557"/>
    <w:rsid w:val="00280DC2"/>
    <w:rsid w:val="00281268"/>
    <w:rsid w:val="00281AC3"/>
    <w:rsid w:val="00282FBD"/>
    <w:rsid w:val="00283322"/>
    <w:rsid w:val="00284D79"/>
    <w:rsid w:val="002949F4"/>
    <w:rsid w:val="00294FFB"/>
    <w:rsid w:val="00295D75"/>
    <w:rsid w:val="00296583"/>
    <w:rsid w:val="0029730E"/>
    <w:rsid w:val="002A056E"/>
    <w:rsid w:val="002A33C2"/>
    <w:rsid w:val="002A7048"/>
    <w:rsid w:val="002B3102"/>
    <w:rsid w:val="002B792C"/>
    <w:rsid w:val="002C134D"/>
    <w:rsid w:val="002C3FFE"/>
    <w:rsid w:val="002C6AF3"/>
    <w:rsid w:val="002D0ADE"/>
    <w:rsid w:val="002D1B02"/>
    <w:rsid w:val="002D1E15"/>
    <w:rsid w:val="002D680E"/>
    <w:rsid w:val="002E1F46"/>
    <w:rsid w:val="002E2C7A"/>
    <w:rsid w:val="002E3F77"/>
    <w:rsid w:val="002E46A5"/>
    <w:rsid w:val="002E72DD"/>
    <w:rsid w:val="002F0D17"/>
    <w:rsid w:val="002F4E55"/>
    <w:rsid w:val="002F50CB"/>
    <w:rsid w:val="002F5DD6"/>
    <w:rsid w:val="002F6F90"/>
    <w:rsid w:val="0030253E"/>
    <w:rsid w:val="003026EE"/>
    <w:rsid w:val="00302AB7"/>
    <w:rsid w:val="0030497B"/>
    <w:rsid w:val="00305BF8"/>
    <w:rsid w:val="00306757"/>
    <w:rsid w:val="003123A6"/>
    <w:rsid w:val="0032120D"/>
    <w:rsid w:val="0032663A"/>
    <w:rsid w:val="00350F0D"/>
    <w:rsid w:val="003515E9"/>
    <w:rsid w:val="00356FFF"/>
    <w:rsid w:val="003604CF"/>
    <w:rsid w:val="00360954"/>
    <w:rsid w:val="003750FA"/>
    <w:rsid w:val="0038164A"/>
    <w:rsid w:val="003822C0"/>
    <w:rsid w:val="00382F1F"/>
    <w:rsid w:val="00383BB2"/>
    <w:rsid w:val="0038441B"/>
    <w:rsid w:val="003852E9"/>
    <w:rsid w:val="003854BB"/>
    <w:rsid w:val="003964FB"/>
    <w:rsid w:val="00396984"/>
    <w:rsid w:val="00396F81"/>
    <w:rsid w:val="003A36D4"/>
    <w:rsid w:val="003A5574"/>
    <w:rsid w:val="003A5826"/>
    <w:rsid w:val="003B0B3A"/>
    <w:rsid w:val="003B25D4"/>
    <w:rsid w:val="003B2E3C"/>
    <w:rsid w:val="003B374F"/>
    <w:rsid w:val="003B40CB"/>
    <w:rsid w:val="003B431A"/>
    <w:rsid w:val="003B62A4"/>
    <w:rsid w:val="003B79A7"/>
    <w:rsid w:val="003C6E2A"/>
    <w:rsid w:val="003D4DB5"/>
    <w:rsid w:val="003D5532"/>
    <w:rsid w:val="003E3BDC"/>
    <w:rsid w:val="003E68D0"/>
    <w:rsid w:val="003F2323"/>
    <w:rsid w:val="004016ED"/>
    <w:rsid w:val="00405174"/>
    <w:rsid w:val="004060BD"/>
    <w:rsid w:val="004064E5"/>
    <w:rsid w:val="00406B8C"/>
    <w:rsid w:val="00406EA6"/>
    <w:rsid w:val="00407BD4"/>
    <w:rsid w:val="0041011B"/>
    <w:rsid w:val="0041239D"/>
    <w:rsid w:val="0041339E"/>
    <w:rsid w:val="00414BEE"/>
    <w:rsid w:val="00416285"/>
    <w:rsid w:val="00417289"/>
    <w:rsid w:val="0042162C"/>
    <w:rsid w:val="00422B81"/>
    <w:rsid w:val="00422E5F"/>
    <w:rsid w:val="00424184"/>
    <w:rsid w:val="0042669F"/>
    <w:rsid w:val="00426E2F"/>
    <w:rsid w:val="00427FF6"/>
    <w:rsid w:val="00431177"/>
    <w:rsid w:val="004312E6"/>
    <w:rsid w:val="004445F5"/>
    <w:rsid w:val="00444D9C"/>
    <w:rsid w:val="0044674F"/>
    <w:rsid w:val="00451BB6"/>
    <w:rsid w:val="00451BF2"/>
    <w:rsid w:val="00452F78"/>
    <w:rsid w:val="0045536F"/>
    <w:rsid w:val="0045576F"/>
    <w:rsid w:val="00455860"/>
    <w:rsid w:val="004569C2"/>
    <w:rsid w:val="00461414"/>
    <w:rsid w:val="00463526"/>
    <w:rsid w:val="00465EA8"/>
    <w:rsid w:val="00466834"/>
    <w:rsid w:val="004670F6"/>
    <w:rsid w:val="00467806"/>
    <w:rsid w:val="0047412F"/>
    <w:rsid w:val="00477B70"/>
    <w:rsid w:val="00480F0A"/>
    <w:rsid w:val="00487224"/>
    <w:rsid w:val="00487E74"/>
    <w:rsid w:val="00490161"/>
    <w:rsid w:val="00491A40"/>
    <w:rsid w:val="0049320E"/>
    <w:rsid w:val="004A0843"/>
    <w:rsid w:val="004A34BE"/>
    <w:rsid w:val="004A616F"/>
    <w:rsid w:val="004B0002"/>
    <w:rsid w:val="004B45D3"/>
    <w:rsid w:val="004C0A01"/>
    <w:rsid w:val="004C1B17"/>
    <w:rsid w:val="004C24A6"/>
    <w:rsid w:val="004C3EA9"/>
    <w:rsid w:val="004C4280"/>
    <w:rsid w:val="004C651D"/>
    <w:rsid w:val="004C658A"/>
    <w:rsid w:val="004D1B8B"/>
    <w:rsid w:val="004D2882"/>
    <w:rsid w:val="004D2F87"/>
    <w:rsid w:val="004D32ED"/>
    <w:rsid w:val="004D3462"/>
    <w:rsid w:val="004D40E5"/>
    <w:rsid w:val="004D6B22"/>
    <w:rsid w:val="004F1B92"/>
    <w:rsid w:val="004F53DE"/>
    <w:rsid w:val="00500499"/>
    <w:rsid w:val="00501185"/>
    <w:rsid w:val="00502F0E"/>
    <w:rsid w:val="00506B35"/>
    <w:rsid w:val="0051105A"/>
    <w:rsid w:val="0051240D"/>
    <w:rsid w:val="00513F9F"/>
    <w:rsid w:val="00514DBD"/>
    <w:rsid w:val="005172F0"/>
    <w:rsid w:val="005177B2"/>
    <w:rsid w:val="00530A6E"/>
    <w:rsid w:val="00530EA8"/>
    <w:rsid w:val="00537521"/>
    <w:rsid w:val="005401BC"/>
    <w:rsid w:val="005408E3"/>
    <w:rsid w:val="00543F4F"/>
    <w:rsid w:val="00544C35"/>
    <w:rsid w:val="00546169"/>
    <w:rsid w:val="00546746"/>
    <w:rsid w:val="00547E9D"/>
    <w:rsid w:val="00550DB9"/>
    <w:rsid w:val="005552D8"/>
    <w:rsid w:val="005633A9"/>
    <w:rsid w:val="00566D4F"/>
    <w:rsid w:val="0057086D"/>
    <w:rsid w:val="00574C7F"/>
    <w:rsid w:val="00575B19"/>
    <w:rsid w:val="00576462"/>
    <w:rsid w:val="005770E5"/>
    <w:rsid w:val="00580214"/>
    <w:rsid w:val="00581066"/>
    <w:rsid w:val="00581BFE"/>
    <w:rsid w:val="00583036"/>
    <w:rsid w:val="00583C33"/>
    <w:rsid w:val="0058495B"/>
    <w:rsid w:val="00584D54"/>
    <w:rsid w:val="005852B3"/>
    <w:rsid w:val="00586BDE"/>
    <w:rsid w:val="00591D50"/>
    <w:rsid w:val="0059210B"/>
    <w:rsid w:val="005978C6"/>
    <w:rsid w:val="00597A52"/>
    <w:rsid w:val="005A516D"/>
    <w:rsid w:val="005A5BAB"/>
    <w:rsid w:val="005A715C"/>
    <w:rsid w:val="005A76FD"/>
    <w:rsid w:val="005B76CB"/>
    <w:rsid w:val="005B7707"/>
    <w:rsid w:val="005C3B68"/>
    <w:rsid w:val="005C6DEA"/>
    <w:rsid w:val="005C7538"/>
    <w:rsid w:val="005E0ECB"/>
    <w:rsid w:val="005E39A5"/>
    <w:rsid w:val="005E3EE8"/>
    <w:rsid w:val="005E4065"/>
    <w:rsid w:val="005E40D0"/>
    <w:rsid w:val="005E7BE0"/>
    <w:rsid w:val="005F5628"/>
    <w:rsid w:val="005F72E3"/>
    <w:rsid w:val="005F7B4F"/>
    <w:rsid w:val="005F7D9F"/>
    <w:rsid w:val="00601B14"/>
    <w:rsid w:val="00602972"/>
    <w:rsid w:val="006040FC"/>
    <w:rsid w:val="006041CE"/>
    <w:rsid w:val="006059A3"/>
    <w:rsid w:val="00605D0A"/>
    <w:rsid w:val="006069D2"/>
    <w:rsid w:val="006078F1"/>
    <w:rsid w:val="00610BC3"/>
    <w:rsid w:val="006124F6"/>
    <w:rsid w:val="00612CE9"/>
    <w:rsid w:val="00612E61"/>
    <w:rsid w:val="0061307E"/>
    <w:rsid w:val="00620CEB"/>
    <w:rsid w:val="00621CB7"/>
    <w:rsid w:val="00626246"/>
    <w:rsid w:val="00630669"/>
    <w:rsid w:val="00634B20"/>
    <w:rsid w:val="00644492"/>
    <w:rsid w:val="006505D5"/>
    <w:rsid w:val="00654FFB"/>
    <w:rsid w:val="0066116F"/>
    <w:rsid w:val="006715A0"/>
    <w:rsid w:val="006730AD"/>
    <w:rsid w:val="00674C06"/>
    <w:rsid w:val="006753A6"/>
    <w:rsid w:val="00677927"/>
    <w:rsid w:val="00677EBA"/>
    <w:rsid w:val="0068168C"/>
    <w:rsid w:val="00691007"/>
    <w:rsid w:val="00695621"/>
    <w:rsid w:val="00697030"/>
    <w:rsid w:val="006A3C1E"/>
    <w:rsid w:val="006B0ED2"/>
    <w:rsid w:val="006B3D26"/>
    <w:rsid w:val="006B5C00"/>
    <w:rsid w:val="006C019D"/>
    <w:rsid w:val="006D1765"/>
    <w:rsid w:val="006D23DD"/>
    <w:rsid w:val="006D7D2E"/>
    <w:rsid w:val="006E1CBC"/>
    <w:rsid w:val="006E6B25"/>
    <w:rsid w:val="006F1EF5"/>
    <w:rsid w:val="006F4562"/>
    <w:rsid w:val="006F63C5"/>
    <w:rsid w:val="006F6810"/>
    <w:rsid w:val="006F7130"/>
    <w:rsid w:val="0070013A"/>
    <w:rsid w:val="00703794"/>
    <w:rsid w:val="00704ED4"/>
    <w:rsid w:val="00704FFB"/>
    <w:rsid w:val="007069E2"/>
    <w:rsid w:val="00711630"/>
    <w:rsid w:val="00720022"/>
    <w:rsid w:val="0072337A"/>
    <w:rsid w:val="00725C3C"/>
    <w:rsid w:val="00727A64"/>
    <w:rsid w:val="00731137"/>
    <w:rsid w:val="0073377D"/>
    <w:rsid w:val="00734E4D"/>
    <w:rsid w:val="00736479"/>
    <w:rsid w:val="00737813"/>
    <w:rsid w:val="00740F31"/>
    <w:rsid w:val="0074165A"/>
    <w:rsid w:val="00743617"/>
    <w:rsid w:val="00744029"/>
    <w:rsid w:val="00745C43"/>
    <w:rsid w:val="00747EA1"/>
    <w:rsid w:val="00752F9F"/>
    <w:rsid w:val="00753A15"/>
    <w:rsid w:val="00766BAA"/>
    <w:rsid w:val="00770A7A"/>
    <w:rsid w:val="007745D7"/>
    <w:rsid w:val="00775D5D"/>
    <w:rsid w:val="0078177B"/>
    <w:rsid w:val="007825C2"/>
    <w:rsid w:val="007832BA"/>
    <w:rsid w:val="00785271"/>
    <w:rsid w:val="007972EC"/>
    <w:rsid w:val="007A1939"/>
    <w:rsid w:val="007A5866"/>
    <w:rsid w:val="007A76F7"/>
    <w:rsid w:val="007A7B00"/>
    <w:rsid w:val="007B3DA4"/>
    <w:rsid w:val="007B48F2"/>
    <w:rsid w:val="007B4CF4"/>
    <w:rsid w:val="007B4F7A"/>
    <w:rsid w:val="007B654A"/>
    <w:rsid w:val="007C2848"/>
    <w:rsid w:val="007C3521"/>
    <w:rsid w:val="007C4F9A"/>
    <w:rsid w:val="007D14F5"/>
    <w:rsid w:val="007D390F"/>
    <w:rsid w:val="007D46A0"/>
    <w:rsid w:val="007E213F"/>
    <w:rsid w:val="007E21E3"/>
    <w:rsid w:val="007E328B"/>
    <w:rsid w:val="007E5C10"/>
    <w:rsid w:val="007E71D7"/>
    <w:rsid w:val="008013C2"/>
    <w:rsid w:val="00802C7C"/>
    <w:rsid w:val="00802D88"/>
    <w:rsid w:val="00804169"/>
    <w:rsid w:val="00806623"/>
    <w:rsid w:val="00807EA0"/>
    <w:rsid w:val="00815AF4"/>
    <w:rsid w:val="00820CBF"/>
    <w:rsid w:val="00823F65"/>
    <w:rsid w:val="00824F9F"/>
    <w:rsid w:val="00826150"/>
    <w:rsid w:val="00826769"/>
    <w:rsid w:val="008312DD"/>
    <w:rsid w:val="00833622"/>
    <w:rsid w:val="0083442A"/>
    <w:rsid w:val="00836BA8"/>
    <w:rsid w:val="00841D23"/>
    <w:rsid w:val="0084207C"/>
    <w:rsid w:val="008501D1"/>
    <w:rsid w:val="0086131C"/>
    <w:rsid w:val="008615F7"/>
    <w:rsid w:val="00862FD4"/>
    <w:rsid w:val="00862FF9"/>
    <w:rsid w:val="00863EF0"/>
    <w:rsid w:val="00867044"/>
    <w:rsid w:val="0087334F"/>
    <w:rsid w:val="00876B8A"/>
    <w:rsid w:val="008808C9"/>
    <w:rsid w:val="00880CF0"/>
    <w:rsid w:val="008814E5"/>
    <w:rsid w:val="00883FD0"/>
    <w:rsid w:val="008874E7"/>
    <w:rsid w:val="0089001F"/>
    <w:rsid w:val="00891BB1"/>
    <w:rsid w:val="008A02B3"/>
    <w:rsid w:val="008A1CFF"/>
    <w:rsid w:val="008B16EE"/>
    <w:rsid w:val="008B2DC3"/>
    <w:rsid w:val="008B4802"/>
    <w:rsid w:val="008B4CA5"/>
    <w:rsid w:val="008B7D21"/>
    <w:rsid w:val="008C03F9"/>
    <w:rsid w:val="008C7AAE"/>
    <w:rsid w:val="008D21A6"/>
    <w:rsid w:val="008D3017"/>
    <w:rsid w:val="008D344E"/>
    <w:rsid w:val="008E4A17"/>
    <w:rsid w:val="008E5E30"/>
    <w:rsid w:val="008F3092"/>
    <w:rsid w:val="008F5693"/>
    <w:rsid w:val="008F63DC"/>
    <w:rsid w:val="00906F21"/>
    <w:rsid w:val="00911D51"/>
    <w:rsid w:val="00911E00"/>
    <w:rsid w:val="00913D8C"/>
    <w:rsid w:val="00916118"/>
    <w:rsid w:val="00917B5A"/>
    <w:rsid w:val="0092010F"/>
    <w:rsid w:val="0092094B"/>
    <w:rsid w:val="00924A7C"/>
    <w:rsid w:val="00925B80"/>
    <w:rsid w:val="0093182C"/>
    <w:rsid w:val="009338EF"/>
    <w:rsid w:val="00944E8E"/>
    <w:rsid w:val="009516C2"/>
    <w:rsid w:val="00951C99"/>
    <w:rsid w:val="0095312F"/>
    <w:rsid w:val="00953CE5"/>
    <w:rsid w:val="009547B5"/>
    <w:rsid w:val="0095796F"/>
    <w:rsid w:val="00965C57"/>
    <w:rsid w:val="009672BA"/>
    <w:rsid w:val="009673C0"/>
    <w:rsid w:val="00967531"/>
    <w:rsid w:val="00967655"/>
    <w:rsid w:val="00967F11"/>
    <w:rsid w:val="009727F1"/>
    <w:rsid w:val="0097477C"/>
    <w:rsid w:val="00980A2F"/>
    <w:rsid w:val="0098318B"/>
    <w:rsid w:val="009A0475"/>
    <w:rsid w:val="009A50FA"/>
    <w:rsid w:val="009B261D"/>
    <w:rsid w:val="009B3935"/>
    <w:rsid w:val="009B393E"/>
    <w:rsid w:val="009B7749"/>
    <w:rsid w:val="009C0610"/>
    <w:rsid w:val="009C22BB"/>
    <w:rsid w:val="009C4493"/>
    <w:rsid w:val="009D0644"/>
    <w:rsid w:val="009D14E5"/>
    <w:rsid w:val="009E0CAB"/>
    <w:rsid w:val="009E2E3E"/>
    <w:rsid w:val="009E4D93"/>
    <w:rsid w:val="009E63C2"/>
    <w:rsid w:val="009E74F7"/>
    <w:rsid w:val="009F0721"/>
    <w:rsid w:val="009F2624"/>
    <w:rsid w:val="009F2CEB"/>
    <w:rsid w:val="009F4DA7"/>
    <w:rsid w:val="009F6685"/>
    <w:rsid w:val="009F7F76"/>
    <w:rsid w:val="00A04CEE"/>
    <w:rsid w:val="00A067B4"/>
    <w:rsid w:val="00A07837"/>
    <w:rsid w:val="00A1248A"/>
    <w:rsid w:val="00A147A9"/>
    <w:rsid w:val="00A207CA"/>
    <w:rsid w:val="00A20BD6"/>
    <w:rsid w:val="00A2484F"/>
    <w:rsid w:val="00A26100"/>
    <w:rsid w:val="00A266B9"/>
    <w:rsid w:val="00A307FA"/>
    <w:rsid w:val="00A30CCE"/>
    <w:rsid w:val="00A312A3"/>
    <w:rsid w:val="00A3164E"/>
    <w:rsid w:val="00A32A8D"/>
    <w:rsid w:val="00A33E7E"/>
    <w:rsid w:val="00A34B15"/>
    <w:rsid w:val="00A3532E"/>
    <w:rsid w:val="00A40DDA"/>
    <w:rsid w:val="00A437AA"/>
    <w:rsid w:val="00A45F54"/>
    <w:rsid w:val="00A46F13"/>
    <w:rsid w:val="00A50F9B"/>
    <w:rsid w:val="00A6072B"/>
    <w:rsid w:val="00A631ED"/>
    <w:rsid w:val="00A701F5"/>
    <w:rsid w:val="00A740B3"/>
    <w:rsid w:val="00A743C1"/>
    <w:rsid w:val="00A817A3"/>
    <w:rsid w:val="00A857B0"/>
    <w:rsid w:val="00A85A58"/>
    <w:rsid w:val="00A90B17"/>
    <w:rsid w:val="00A9234B"/>
    <w:rsid w:val="00A92D54"/>
    <w:rsid w:val="00A93F35"/>
    <w:rsid w:val="00A94144"/>
    <w:rsid w:val="00A95F68"/>
    <w:rsid w:val="00AA1205"/>
    <w:rsid w:val="00AA27A8"/>
    <w:rsid w:val="00AA2D61"/>
    <w:rsid w:val="00AA53BC"/>
    <w:rsid w:val="00AA5554"/>
    <w:rsid w:val="00AB5FEC"/>
    <w:rsid w:val="00AB74E4"/>
    <w:rsid w:val="00AC035E"/>
    <w:rsid w:val="00AC0CF1"/>
    <w:rsid w:val="00AC0D1D"/>
    <w:rsid w:val="00AC2F5A"/>
    <w:rsid w:val="00AC6FF0"/>
    <w:rsid w:val="00AC72F1"/>
    <w:rsid w:val="00AD0A37"/>
    <w:rsid w:val="00AD5ADC"/>
    <w:rsid w:val="00AE2997"/>
    <w:rsid w:val="00AE41B0"/>
    <w:rsid w:val="00AE426C"/>
    <w:rsid w:val="00AE60BC"/>
    <w:rsid w:val="00B00245"/>
    <w:rsid w:val="00B004F6"/>
    <w:rsid w:val="00B00991"/>
    <w:rsid w:val="00B04502"/>
    <w:rsid w:val="00B06A15"/>
    <w:rsid w:val="00B10D6F"/>
    <w:rsid w:val="00B11C51"/>
    <w:rsid w:val="00B1729D"/>
    <w:rsid w:val="00B21909"/>
    <w:rsid w:val="00B25CEA"/>
    <w:rsid w:val="00B3074F"/>
    <w:rsid w:val="00B30A1C"/>
    <w:rsid w:val="00B32DB2"/>
    <w:rsid w:val="00B34CD9"/>
    <w:rsid w:val="00B360E2"/>
    <w:rsid w:val="00B374E3"/>
    <w:rsid w:val="00B43B25"/>
    <w:rsid w:val="00B43BFA"/>
    <w:rsid w:val="00B44AE7"/>
    <w:rsid w:val="00B45C40"/>
    <w:rsid w:val="00B5320D"/>
    <w:rsid w:val="00B558D6"/>
    <w:rsid w:val="00B6292D"/>
    <w:rsid w:val="00B62BC2"/>
    <w:rsid w:val="00B70874"/>
    <w:rsid w:val="00B741C6"/>
    <w:rsid w:val="00B80729"/>
    <w:rsid w:val="00B83ACB"/>
    <w:rsid w:val="00B84BC5"/>
    <w:rsid w:val="00B85E8E"/>
    <w:rsid w:val="00B86024"/>
    <w:rsid w:val="00B92B03"/>
    <w:rsid w:val="00B93E9C"/>
    <w:rsid w:val="00B9574D"/>
    <w:rsid w:val="00B96E22"/>
    <w:rsid w:val="00BA0857"/>
    <w:rsid w:val="00BA511A"/>
    <w:rsid w:val="00BA7303"/>
    <w:rsid w:val="00BA7808"/>
    <w:rsid w:val="00BB2401"/>
    <w:rsid w:val="00BB25A4"/>
    <w:rsid w:val="00BB4723"/>
    <w:rsid w:val="00BB56D3"/>
    <w:rsid w:val="00BB6C0D"/>
    <w:rsid w:val="00BB72C2"/>
    <w:rsid w:val="00BC112D"/>
    <w:rsid w:val="00BC5F7D"/>
    <w:rsid w:val="00BD3434"/>
    <w:rsid w:val="00BD3C56"/>
    <w:rsid w:val="00BD634D"/>
    <w:rsid w:val="00BE07FC"/>
    <w:rsid w:val="00BE1EB7"/>
    <w:rsid w:val="00BE4DB4"/>
    <w:rsid w:val="00BF2D78"/>
    <w:rsid w:val="00BF3BC6"/>
    <w:rsid w:val="00C00771"/>
    <w:rsid w:val="00C04622"/>
    <w:rsid w:val="00C10BB5"/>
    <w:rsid w:val="00C11822"/>
    <w:rsid w:val="00C13FEB"/>
    <w:rsid w:val="00C251A1"/>
    <w:rsid w:val="00C257C0"/>
    <w:rsid w:val="00C32265"/>
    <w:rsid w:val="00C376C5"/>
    <w:rsid w:val="00C43FE4"/>
    <w:rsid w:val="00C44EF7"/>
    <w:rsid w:val="00C57F89"/>
    <w:rsid w:val="00C65733"/>
    <w:rsid w:val="00C66195"/>
    <w:rsid w:val="00C67010"/>
    <w:rsid w:val="00C6742B"/>
    <w:rsid w:val="00C74B5C"/>
    <w:rsid w:val="00C75A20"/>
    <w:rsid w:val="00C77024"/>
    <w:rsid w:val="00C81905"/>
    <w:rsid w:val="00C83EF0"/>
    <w:rsid w:val="00C90C58"/>
    <w:rsid w:val="00C90E92"/>
    <w:rsid w:val="00C92DE3"/>
    <w:rsid w:val="00C9366B"/>
    <w:rsid w:val="00C95495"/>
    <w:rsid w:val="00C960A4"/>
    <w:rsid w:val="00CA34DF"/>
    <w:rsid w:val="00CA685C"/>
    <w:rsid w:val="00CB1DA3"/>
    <w:rsid w:val="00CB31AE"/>
    <w:rsid w:val="00CB45B5"/>
    <w:rsid w:val="00CB5170"/>
    <w:rsid w:val="00CB5781"/>
    <w:rsid w:val="00CB609D"/>
    <w:rsid w:val="00CC1F25"/>
    <w:rsid w:val="00CC1F90"/>
    <w:rsid w:val="00CC5C8B"/>
    <w:rsid w:val="00CC698C"/>
    <w:rsid w:val="00CD0E5B"/>
    <w:rsid w:val="00CD5D91"/>
    <w:rsid w:val="00CD5E27"/>
    <w:rsid w:val="00CD62B5"/>
    <w:rsid w:val="00CD6C31"/>
    <w:rsid w:val="00CD76B8"/>
    <w:rsid w:val="00CD7F04"/>
    <w:rsid w:val="00CE351B"/>
    <w:rsid w:val="00CE4005"/>
    <w:rsid w:val="00CE4A94"/>
    <w:rsid w:val="00CE4C2E"/>
    <w:rsid w:val="00CE79F7"/>
    <w:rsid w:val="00CF1ECC"/>
    <w:rsid w:val="00CF3132"/>
    <w:rsid w:val="00CF7AD8"/>
    <w:rsid w:val="00D00554"/>
    <w:rsid w:val="00D01B96"/>
    <w:rsid w:val="00D03AA1"/>
    <w:rsid w:val="00D12CD7"/>
    <w:rsid w:val="00D13BF8"/>
    <w:rsid w:val="00D214E9"/>
    <w:rsid w:val="00D21530"/>
    <w:rsid w:val="00D23607"/>
    <w:rsid w:val="00D30BF0"/>
    <w:rsid w:val="00D344B3"/>
    <w:rsid w:val="00D344E0"/>
    <w:rsid w:val="00D35C29"/>
    <w:rsid w:val="00D413F8"/>
    <w:rsid w:val="00D41E6D"/>
    <w:rsid w:val="00D430CD"/>
    <w:rsid w:val="00D468C8"/>
    <w:rsid w:val="00D54564"/>
    <w:rsid w:val="00D55EF4"/>
    <w:rsid w:val="00D735C1"/>
    <w:rsid w:val="00D83F41"/>
    <w:rsid w:val="00D8655E"/>
    <w:rsid w:val="00D938E2"/>
    <w:rsid w:val="00D947B1"/>
    <w:rsid w:val="00DA5910"/>
    <w:rsid w:val="00DA618B"/>
    <w:rsid w:val="00DA6654"/>
    <w:rsid w:val="00DB449D"/>
    <w:rsid w:val="00DB5A5C"/>
    <w:rsid w:val="00DB6067"/>
    <w:rsid w:val="00DC0C04"/>
    <w:rsid w:val="00DC1490"/>
    <w:rsid w:val="00DC6154"/>
    <w:rsid w:val="00DD1C4F"/>
    <w:rsid w:val="00DD7E83"/>
    <w:rsid w:val="00DE1F4E"/>
    <w:rsid w:val="00DE2706"/>
    <w:rsid w:val="00DE3A7D"/>
    <w:rsid w:val="00DF062D"/>
    <w:rsid w:val="00DF10A8"/>
    <w:rsid w:val="00DF1DB9"/>
    <w:rsid w:val="00DF47A2"/>
    <w:rsid w:val="00E01F0D"/>
    <w:rsid w:val="00E02538"/>
    <w:rsid w:val="00E17D6C"/>
    <w:rsid w:val="00E238D2"/>
    <w:rsid w:val="00E24C6D"/>
    <w:rsid w:val="00E2561A"/>
    <w:rsid w:val="00E26929"/>
    <w:rsid w:val="00E30C1D"/>
    <w:rsid w:val="00E353EA"/>
    <w:rsid w:val="00E35E37"/>
    <w:rsid w:val="00E40AD9"/>
    <w:rsid w:val="00E4288A"/>
    <w:rsid w:val="00E53316"/>
    <w:rsid w:val="00E54DAB"/>
    <w:rsid w:val="00E55C10"/>
    <w:rsid w:val="00E57116"/>
    <w:rsid w:val="00E62070"/>
    <w:rsid w:val="00E64643"/>
    <w:rsid w:val="00E751FE"/>
    <w:rsid w:val="00E75320"/>
    <w:rsid w:val="00E75A99"/>
    <w:rsid w:val="00E75AA9"/>
    <w:rsid w:val="00E7686E"/>
    <w:rsid w:val="00E80B23"/>
    <w:rsid w:val="00E90BC0"/>
    <w:rsid w:val="00E92350"/>
    <w:rsid w:val="00EA0588"/>
    <w:rsid w:val="00EA2659"/>
    <w:rsid w:val="00EA5512"/>
    <w:rsid w:val="00EB01CA"/>
    <w:rsid w:val="00EC2B31"/>
    <w:rsid w:val="00EC2E10"/>
    <w:rsid w:val="00EC58FE"/>
    <w:rsid w:val="00ED13FF"/>
    <w:rsid w:val="00ED1E05"/>
    <w:rsid w:val="00ED7A60"/>
    <w:rsid w:val="00EE40B0"/>
    <w:rsid w:val="00EE5B06"/>
    <w:rsid w:val="00EF1400"/>
    <w:rsid w:val="00EF2734"/>
    <w:rsid w:val="00EF594E"/>
    <w:rsid w:val="00F03497"/>
    <w:rsid w:val="00F044ED"/>
    <w:rsid w:val="00F07AD0"/>
    <w:rsid w:val="00F10905"/>
    <w:rsid w:val="00F21EFD"/>
    <w:rsid w:val="00F21F7D"/>
    <w:rsid w:val="00F24B5D"/>
    <w:rsid w:val="00F25C3F"/>
    <w:rsid w:val="00F32FB1"/>
    <w:rsid w:val="00F4441E"/>
    <w:rsid w:val="00F57288"/>
    <w:rsid w:val="00F7051D"/>
    <w:rsid w:val="00F76EB7"/>
    <w:rsid w:val="00F82BE1"/>
    <w:rsid w:val="00F830C8"/>
    <w:rsid w:val="00F836CD"/>
    <w:rsid w:val="00F85C86"/>
    <w:rsid w:val="00F9783B"/>
    <w:rsid w:val="00F978BA"/>
    <w:rsid w:val="00FA13DD"/>
    <w:rsid w:val="00FA4C31"/>
    <w:rsid w:val="00FB1D32"/>
    <w:rsid w:val="00FB22C0"/>
    <w:rsid w:val="00FC0150"/>
    <w:rsid w:val="00FC0EE7"/>
    <w:rsid w:val="00FC2BC4"/>
    <w:rsid w:val="00FC3B46"/>
    <w:rsid w:val="00FC4367"/>
    <w:rsid w:val="00FC4BB5"/>
    <w:rsid w:val="00FC6ABF"/>
    <w:rsid w:val="00FC7BCA"/>
    <w:rsid w:val="00FC7E2F"/>
    <w:rsid w:val="00FD4703"/>
    <w:rsid w:val="00FD484A"/>
    <w:rsid w:val="00FD48BC"/>
    <w:rsid w:val="00FD76B8"/>
    <w:rsid w:val="00FD7EFA"/>
    <w:rsid w:val="00FE1AD9"/>
    <w:rsid w:val="00FE4E5E"/>
    <w:rsid w:val="00FE542B"/>
    <w:rsid w:val="00FE7BE1"/>
    <w:rsid w:val="00FF254C"/>
    <w:rsid w:val="00FF2F9D"/>
    <w:rsid w:val="00FF519E"/>
    <w:rsid w:val="00FF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0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A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0A6E"/>
    <w:pPr>
      <w:keepNext/>
      <w:numPr>
        <w:numId w:val="1"/>
      </w:numPr>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semiHidden/>
    <w:unhideWhenUsed/>
    <w:qFormat/>
    <w:rsid w:val="00C44E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30A6E"/>
    <w:pPr>
      <w:keepNext/>
      <w:numPr>
        <w:ilvl w:val="2"/>
        <w:numId w:val="1"/>
      </w:numPr>
      <w:spacing w:before="240" w:after="60"/>
      <w:outlineLvl w:val="2"/>
    </w:pPr>
    <w:rPr>
      <w:rFonts w:ascii="Arial" w:hAnsi="Arial"/>
      <w:szCs w:val="20"/>
    </w:rPr>
  </w:style>
  <w:style w:type="paragraph" w:styleId="Heading4">
    <w:name w:val="heading 4"/>
    <w:basedOn w:val="Normal"/>
    <w:next w:val="Normal"/>
    <w:link w:val="Heading4Char"/>
    <w:uiPriority w:val="9"/>
    <w:qFormat/>
    <w:rsid w:val="00530A6E"/>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
    <w:semiHidden/>
    <w:unhideWhenUsed/>
    <w:qFormat/>
    <w:rsid w:val="004B0002"/>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30A6E"/>
    <w:pPr>
      <w:numPr>
        <w:ilvl w:val="5"/>
        <w:numId w:val="1"/>
      </w:numPr>
      <w:spacing w:before="240" w:after="60"/>
      <w:outlineLvl w:val="5"/>
    </w:pPr>
    <w:rPr>
      <w:i/>
      <w:sz w:val="22"/>
      <w:szCs w:val="20"/>
    </w:rPr>
  </w:style>
  <w:style w:type="paragraph" w:styleId="Heading7">
    <w:name w:val="heading 7"/>
    <w:basedOn w:val="Normal"/>
    <w:next w:val="Normal"/>
    <w:link w:val="Heading7Char"/>
    <w:uiPriority w:val="9"/>
    <w:qFormat/>
    <w:rsid w:val="00530A6E"/>
    <w:pPr>
      <w:numPr>
        <w:ilvl w:val="6"/>
        <w:numId w:val="1"/>
      </w:numPr>
      <w:spacing w:before="240" w:after="60"/>
      <w:outlineLvl w:val="6"/>
    </w:pPr>
    <w:rPr>
      <w:rFonts w:ascii="Arial" w:hAnsi="Arial"/>
      <w:szCs w:val="20"/>
    </w:rPr>
  </w:style>
  <w:style w:type="paragraph" w:styleId="Heading8">
    <w:name w:val="heading 8"/>
    <w:basedOn w:val="Normal"/>
    <w:next w:val="Normal"/>
    <w:link w:val="Heading8Char"/>
    <w:uiPriority w:val="9"/>
    <w:qFormat/>
    <w:rsid w:val="00530A6E"/>
    <w:pPr>
      <w:numPr>
        <w:ilvl w:val="7"/>
        <w:numId w:val="1"/>
      </w:numPr>
      <w:spacing w:before="240" w:after="60"/>
      <w:outlineLvl w:val="7"/>
    </w:pPr>
    <w:rPr>
      <w:rFonts w:ascii="Arial" w:hAnsi="Arial"/>
      <w:i/>
      <w:szCs w:val="20"/>
    </w:rPr>
  </w:style>
  <w:style w:type="paragraph" w:styleId="Heading9">
    <w:name w:val="heading 9"/>
    <w:basedOn w:val="Normal"/>
    <w:next w:val="Normal"/>
    <w:link w:val="Heading9Char"/>
    <w:uiPriority w:val="9"/>
    <w:qFormat/>
    <w:rsid w:val="00530A6E"/>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1AC3"/>
    <w:pPr>
      <w:spacing w:after="0" w:line="240" w:lineRule="auto"/>
    </w:pPr>
  </w:style>
  <w:style w:type="character" w:customStyle="1" w:styleId="Heading1Char">
    <w:name w:val="Heading 1 Char"/>
    <w:basedOn w:val="DefaultParagraphFont"/>
    <w:link w:val="Heading1"/>
    <w:uiPriority w:val="9"/>
    <w:rsid w:val="00530A6E"/>
    <w:rPr>
      <w:rFonts w:ascii="Arial" w:eastAsia="Times New Roman" w:hAnsi="Arial" w:cs="Times New Roman"/>
      <w:b/>
      <w:kern w:val="28"/>
      <w:sz w:val="28"/>
      <w:szCs w:val="20"/>
    </w:rPr>
  </w:style>
  <w:style w:type="character" w:customStyle="1" w:styleId="Heading3Char">
    <w:name w:val="Heading 3 Char"/>
    <w:basedOn w:val="DefaultParagraphFont"/>
    <w:link w:val="Heading3"/>
    <w:uiPriority w:val="9"/>
    <w:rsid w:val="00530A6E"/>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530A6E"/>
    <w:rPr>
      <w:rFonts w:ascii="Arial" w:eastAsia="Times New Roman" w:hAnsi="Arial" w:cs="Times New Roman"/>
      <w:b/>
      <w:sz w:val="24"/>
      <w:szCs w:val="20"/>
    </w:rPr>
  </w:style>
  <w:style w:type="character" w:customStyle="1" w:styleId="Heading6Char">
    <w:name w:val="Heading 6 Char"/>
    <w:basedOn w:val="DefaultParagraphFont"/>
    <w:link w:val="Heading6"/>
    <w:rsid w:val="00530A6E"/>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530A6E"/>
    <w:rPr>
      <w:rFonts w:ascii="Arial" w:eastAsia="Times New Roman" w:hAnsi="Arial" w:cs="Times New Roman"/>
      <w:sz w:val="24"/>
      <w:szCs w:val="20"/>
    </w:rPr>
  </w:style>
  <w:style w:type="character" w:customStyle="1" w:styleId="Heading8Char">
    <w:name w:val="Heading 8 Char"/>
    <w:basedOn w:val="DefaultParagraphFont"/>
    <w:link w:val="Heading8"/>
    <w:uiPriority w:val="9"/>
    <w:rsid w:val="00530A6E"/>
    <w:rPr>
      <w:rFonts w:ascii="Arial" w:eastAsia="Times New Roman" w:hAnsi="Arial" w:cs="Times New Roman"/>
      <w:i/>
      <w:sz w:val="24"/>
      <w:szCs w:val="20"/>
    </w:rPr>
  </w:style>
  <w:style w:type="character" w:customStyle="1" w:styleId="Heading9Char">
    <w:name w:val="Heading 9 Char"/>
    <w:basedOn w:val="DefaultParagraphFont"/>
    <w:link w:val="Heading9"/>
    <w:uiPriority w:val="9"/>
    <w:rsid w:val="00530A6E"/>
    <w:rPr>
      <w:rFonts w:ascii="Arial" w:eastAsia="Times New Roman" w:hAnsi="Arial" w:cs="Times New Roman"/>
      <w:b/>
      <w:i/>
      <w:sz w:val="18"/>
      <w:szCs w:val="20"/>
    </w:rPr>
  </w:style>
  <w:style w:type="paragraph" w:customStyle="1" w:styleId="Chapter">
    <w:name w:val="Chapter"/>
    <w:basedOn w:val="Normal"/>
    <w:next w:val="Normal"/>
    <w:uiPriority w:val="99"/>
    <w:rsid w:val="00530A6E"/>
    <w:pPr>
      <w:tabs>
        <w:tab w:val="num" w:pos="720"/>
        <w:tab w:val="left" w:pos="1440"/>
      </w:tabs>
      <w:spacing w:after="240"/>
      <w:ind w:left="720" w:hanging="720"/>
      <w:jc w:val="center"/>
    </w:pPr>
    <w:rPr>
      <w:b/>
      <w:smallCaps/>
      <w:noProof/>
      <w:szCs w:val="20"/>
    </w:rPr>
  </w:style>
  <w:style w:type="paragraph" w:customStyle="1" w:styleId="Paragraph">
    <w:name w:val="Paragraph"/>
    <w:aliases w:val="paragraph,p,PARAGRAPH,PG,pa,at"/>
    <w:basedOn w:val="BodyTextIndent"/>
    <w:link w:val="ParagraphChar"/>
    <w:rsid w:val="00530A6E"/>
    <w:pPr>
      <w:tabs>
        <w:tab w:val="num" w:pos="1440"/>
      </w:tabs>
      <w:spacing w:before="120"/>
      <w:ind w:left="1440" w:hanging="720"/>
      <w:jc w:val="both"/>
      <w:outlineLvl w:val="1"/>
    </w:pPr>
    <w:rPr>
      <w:szCs w:val="20"/>
    </w:rPr>
  </w:style>
  <w:style w:type="paragraph" w:styleId="Header">
    <w:name w:val="header"/>
    <w:basedOn w:val="Normal"/>
    <w:link w:val="HeaderChar"/>
    <w:uiPriority w:val="99"/>
    <w:rsid w:val="00530A6E"/>
    <w:pPr>
      <w:tabs>
        <w:tab w:val="center" w:pos="4320"/>
        <w:tab w:val="right" w:pos="8640"/>
      </w:tabs>
    </w:pPr>
  </w:style>
  <w:style w:type="character" w:customStyle="1" w:styleId="HeaderChar">
    <w:name w:val="Header Char"/>
    <w:basedOn w:val="DefaultParagraphFont"/>
    <w:link w:val="Header"/>
    <w:uiPriority w:val="99"/>
    <w:rsid w:val="00530A6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30A6E"/>
    <w:pPr>
      <w:spacing w:after="120"/>
      <w:ind w:left="360"/>
    </w:pPr>
  </w:style>
  <w:style w:type="character" w:customStyle="1" w:styleId="BodyTextIndentChar">
    <w:name w:val="Body Text Indent Char"/>
    <w:basedOn w:val="DefaultParagraphFont"/>
    <w:link w:val="BodyTextIndent"/>
    <w:uiPriority w:val="99"/>
    <w:semiHidden/>
    <w:rsid w:val="00530A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0A6E"/>
    <w:pPr>
      <w:tabs>
        <w:tab w:val="center" w:pos="4680"/>
        <w:tab w:val="right" w:pos="9360"/>
      </w:tabs>
    </w:pPr>
  </w:style>
  <w:style w:type="character" w:customStyle="1" w:styleId="FooterChar">
    <w:name w:val="Footer Char"/>
    <w:basedOn w:val="DefaultParagraphFont"/>
    <w:link w:val="Footer"/>
    <w:uiPriority w:val="99"/>
    <w:rsid w:val="00530A6E"/>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530A6E"/>
    <w:rPr>
      <w:rFonts w:ascii="Tahoma" w:hAnsi="Tahoma" w:cs="Tahoma"/>
      <w:sz w:val="16"/>
      <w:szCs w:val="16"/>
    </w:rPr>
  </w:style>
  <w:style w:type="character" w:customStyle="1" w:styleId="BalloonTextChar">
    <w:name w:val="Balloon Text Char"/>
    <w:basedOn w:val="DefaultParagraphFont"/>
    <w:link w:val="BalloonText"/>
    <w:uiPriority w:val="99"/>
    <w:rsid w:val="00530A6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C44EF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C44EF7"/>
    <w:pPr>
      <w:spacing w:after="120"/>
    </w:pPr>
  </w:style>
  <w:style w:type="character" w:customStyle="1" w:styleId="BodyTextChar">
    <w:name w:val="Body Text Char"/>
    <w:basedOn w:val="DefaultParagraphFont"/>
    <w:link w:val="BodyText"/>
    <w:uiPriority w:val="99"/>
    <w:rsid w:val="00C44EF7"/>
    <w:rPr>
      <w:rFonts w:ascii="Times New Roman" w:eastAsia="Times New Roman" w:hAnsi="Times New Roman" w:cs="Times New Roman"/>
      <w:sz w:val="24"/>
      <w:szCs w:val="24"/>
    </w:rPr>
  </w:style>
  <w:style w:type="character" w:styleId="PageNumber">
    <w:name w:val="page number"/>
    <w:basedOn w:val="DefaultParagraphFont"/>
    <w:semiHidden/>
    <w:rsid w:val="00C44EF7"/>
  </w:style>
  <w:style w:type="paragraph" w:styleId="Subtitle">
    <w:name w:val="Subtitle"/>
    <w:basedOn w:val="Normal"/>
    <w:link w:val="SubtitleChar"/>
    <w:qFormat/>
    <w:rsid w:val="00C44EF7"/>
    <w:pPr>
      <w:tabs>
        <w:tab w:val="center" w:pos="4680"/>
      </w:tabs>
      <w:spacing w:before="120"/>
      <w:jc w:val="center"/>
    </w:pPr>
    <w:rPr>
      <w:b/>
      <w:bCs/>
      <w:szCs w:val="20"/>
      <w:lang w:val="es-ES"/>
    </w:rPr>
  </w:style>
  <w:style w:type="character" w:customStyle="1" w:styleId="SubtitleChar">
    <w:name w:val="Subtitle Char"/>
    <w:basedOn w:val="DefaultParagraphFont"/>
    <w:link w:val="Subtitle"/>
    <w:rsid w:val="00C44EF7"/>
    <w:rPr>
      <w:rFonts w:ascii="Times New Roman" w:eastAsia="Times New Roman" w:hAnsi="Times New Roman" w:cs="Times New Roman"/>
      <w:b/>
      <w:bCs/>
      <w:sz w:val="24"/>
      <w:szCs w:val="20"/>
      <w:lang w:val="es-ES"/>
    </w:rPr>
  </w:style>
  <w:style w:type="character" w:styleId="Hyperlink">
    <w:name w:val="Hyperlink"/>
    <w:basedOn w:val="DefaultParagraphFont"/>
    <w:rsid w:val="00891BB1"/>
    <w:rPr>
      <w:color w:val="0000FF"/>
      <w:u w:val="single"/>
    </w:rPr>
  </w:style>
  <w:style w:type="paragraph" w:styleId="ListParagraph">
    <w:name w:val="List Paragraph"/>
    <w:basedOn w:val="Normal"/>
    <w:link w:val="ListParagraphChar"/>
    <w:uiPriority w:val="34"/>
    <w:qFormat/>
    <w:rsid w:val="00731137"/>
    <w:pPr>
      <w:ind w:left="720"/>
      <w:contextualSpacing/>
    </w:pPr>
  </w:style>
  <w:style w:type="paragraph" w:customStyle="1" w:styleId="subpar">
    <w:name w:val="subpar"/>
    <w:basedOn w:val="BodyTextIndent3"/>
    <w:rsid w:val="002D1E15"/>
    <w:pPr>
      <w:tabs>
        <w:tab w:val="num" w:pos="1152"/>
      </w:tabs>
      <w:spacing w:before="120"/>
      <w:ind w:left="1152" w:hanging="432"/>
      <w:jc w:val="both"/>
      <w:outlineLvl w:val="2"/>
    </w:pPr>
    <w:rPr>
      <w:sz w:val="24"/>
      <w:szCs w:val="20"/>
    </w:rPr>
  </w:style>
  <w:style w:type="paragraph" w:customStyle="1" w:styleId="SubSubPar">
    <w:name w:val="SubSubPar"/>
    <w:basedOn w:val="subpar"/>
    <w:rsid w:val="002D1E15"/>
  </w:style>
  <w:style w:type="character" w:customStyle="1" w:styleId="ParagraphChar">
    <w:name w:val="Paragraph Char"/>
    <w:basedOn w:val="DefaultParagraphFont"/>
    <w:link w:val="Paragraph"/>
    <w:locked/>
    <w:rsid w:val="002D1E1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2D1E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1E15"/>
    <w:rPr>
      <w:rFonts w:ascii="Times New Roman" w:eastAsia="Times New Roman" w:hAnsi="Times New Roman" w:cs="Times New Roman"/>
      <w:sz w:val="16"/>
      <w:szCs w:val="16"/>
    </w:rPr>
  </w:style>
  <w:style w:type="paragraph" w:styleId="FootnoteText">
    <w:name w:val="footnote text"/>
    <w:aliases w:val="fn,single space,footnote text,foottextfra,footnote,F,Texto nota pie Car Car,texto de nota al pie,Nota a pie/Bibliog,Texto nota pie Car Car Car Car Car Car Car Car,Texto nota pie Car Car Car,f,FOOTNOTES,Footnote Text Char Char"/>
    <w:basedOn w:val="Normal"/>
    <w:link w:val="FootnoteTextChar1"/>
    <w:uiPriority w:val="99"/>
    <w:rsid w:val="002D1E15"/>
    <w:rPr>
      <w:sz w:val="20"/>
      <w:szCs w:val="20"/>
    </w:rPr>
  </w:style>
  <w:style w:type="character" w:customStyle="1" w:styleId="FootnoteTextChar">
    <w:name w:val="Footnote Text Char"/>
    <w:aliases w:val="foottextfra Char,footnote Char,F Char,Texto nota pie Car Car Char,texto de nota al pie Char,Nota a pie/Bibliog Char,Texto nota pie Car Car Car Car Car Car Car Car Char,Texto nota pie Car Car Car Char,Texto de rodapé Char,fn Char1"/>
    <w:basedOn w:val="DefaultParagraphFont"/>
    <w:uiPriority w:val="99"/>
    <w:rsid w:val="002D1E15"/>
    <w:rPr>
      <w:rFonts w:ascii="Times New Roman" w:eastAsia="Times New Roman" w:hAnsi="Times New Roman" w:cs="Times New Roman"/>
      <w:sz w:val="20"/>
      <w:szCs w:val="20"/>
    </w:rPr>
  </w:style>
  <w:style w:type="character" w:styleId="FootnoteReference">
    <w:name w:val="footnote reference"/>
    <w:aliases w:val="referencia nota al pie,ftref,16 Point,Superscript 6 Point,FC,Ref,de nota al pie,(Ref. de nota al pie),Fußnotenzeichen DISS,Style 24,Appel note de bas de page"/>
    <w:basedOn w:val="DefaultParagraphFont"/>
    <w:uiPriority w:val="99"/>
    <w:rsid w:val="002D1E15"/>
    <w:rPr>
      <w:vertAlign w:val="superscript"/>
    </w:rPr>
  </w:style>
  <w:style w:type="character" w:customStyle="1" w:styleId="FootnoteTextChar1">
    <w:name w:val="Footnote Text Char1"/>
    <w:aliases w:val="fn Char,single space Char,footnote text Char,foottextfra Char1,footnote Char1,F Char1,Texto nota pie Car Car Char1,texto de nota al pie Char1,Nota a pie/Bibliog Char1,Texto nota pie Car Car Car Car Car Car Car Car Char1,f Char"/>
    <w:basedOn w:val="DefaultParagraphFont"/>
    <w:link w:val="FootnoteText"/>
    <w:locked/>
    <w:rsid w:val="002D1E15"/>
    <w:rPr>
      <w:rFonts w:ascii="Times New Roman" w:eastAsia="Times New Roman" w:hAnsi="Times New Roman" w:cs="Times New Roman"/>
      <w:sz w:val="20"/>
      <w:szCs w:val="20"/>
    </w:rPr>
  </w:style>
  <w:style w:type="paragraph" w:customStyle="1" w:styleId="heading-b24">
    <w:name w:val="heading-b24"/>
    <w:basedOn w:val="Normal"/>
    <w:next w:val="Normal"/>
    <w:rsid w:val="00396984"/>
    <w:pPr>
      <w:spacing w:after="600"/>
      <w:jc w:val="center"/>
    </w:pPr>
    <w:rPr>
      <w:rFonts w:ascii="Times New Roman Bold" w:hAnsi="Times New Roman Bold"/>
      <w:b/>
      <w:smallCaps/>
      <w:spacing w:val="-3"/>
      <w:szCs w:val="20"/>
      <w:lang w:val="es-ES_tradnl"/>
    </w:rPr>
  </w:style>
  <w:style w:type="character" w:styleId="Strong">
    <w:name w:val="Strong"/>
    <w:basedOn w:val="DefaultParagraphFont"/>
    <w:uiPriority w:val="22"/>
    <w:qFormat/>
    <w:rsid w:val="00396984"/>
    <w:rPr>
      <w:b/>
      <w:bCs/>
    </w:rPr>
  </w:style>
  <w:style w:type="character" w:styleId="CommentReference">
    <w:name w:val="annotation reference"/>
    <w:basedOn w:val="DefaultParagraphFont"/>
    <w:unhideWhenUsed/>
    <w:rsid w:val="00CD6C31"/>
    <w:rPr>
      <w:sz w:val="16"/>
      <w:szCs w:val="16"/>
    </w:rPr>
  </w:style>
  <w:style w:type="paragraph" w:styleId="CommentText">
    <w:name w:val="annotation text"/>
    <w:basedOn w:val="Normal"/>
    <w:link w:val="CommentTextChar"/>
    <w:unhideWhenUsed/>
    <w:rsid w:val="00CD6C31"/>
    <w:rPr>
      <w:sz w:val="20"/>
      <w:szCs w:val="20"/>
    </w:rPr>
  </w:style>
  <w:style w:type="character" w:customStyle="1" w:styleId="CommentTextChar">
    <w:name w:val="Comment Text Char"/>
    <w:basedOn w:val="DefaultParagraphFont"/>
    <w:link w:val="CommentText"/>
    <w:rsid w:val="00CD6C31"/>
    <w:rPr>
      <w:rFonts w:ascii="Times New Roman" w:eastAsia="Times New Roman" w:hAnsi="Times New Roman" w:cs="Times New Roman"/>
      <w:sz w:val="20"/>
      <w:szCs w:val="20"/>
    </w:rPr>
  </w:style>
  <w:style w:type="character" w:customStyle="1" w:styleId="NoSpacingChar">
    <w:name w:val="No Spacing Char"/>
    <w:link w:val="NoSpacing"/>
    <w:uiPriority w:val="1"/>
    <w:rsid w:val="0047412F"/>
  </w:style>
  <w:style w:type="paragraph" w:styleId="Title">
    <w:name w:val="Title"/>
    <w:basedOn w:val="Normal"/>
    <w:link w:val="TitleChar"/>
    <w:qFormat/>
    <w:rsid w:val="0047412F"/>
    <w:pPr>
      <w:tabs>
        <w:tab w:val="left" w:pos="1440"/>
        <w:tab w:val="left" w:pos="3060"/>
      </w:tabs>
      <w:jc w:val="center"/>
      <w:outlineLvl w:val="0"/>
    </w:pPr>
    <w:rPr>
      <w:lang w:val="es-ES" w:eastAsia="x-none"/>
    </w:rPr>
  </w:style>
  <w:style w:type="character" w:customStyle="1" w:styleId="TitleChar">
    <w:name w:val="Title Char"/>
    <w:basedOn w:val="DefaultParagraphFont"/>
    <w:link w:val="Title"/>
    <w:rsid w:val="0047412F"/>
    <w:rPr>
      <w:rFonts w:ascii="Times New Roman" w:eastAsia="Times New Roman" w:hAnsi="Times New Roman" w:cs="Times New Roman"/>
      <w:sz w:val="24"/>
      <w:szCs w:val="24"/>
      <w:lang w:val="es-ES" w:eastAsia="x-none"/>
    </w:rPr>
  </w:style>
  <w:style w:type="paragraph" w:customStyle="1" w:styleId="FirstHeading">
    <w:name w:val="FirstHeading"/>
    <w:basedOn w:val="Normal"/>
    <w:link w:val="FirstHeadingChar"/>
    <w:uiPriority w:val="99"/>
    <w:rsid w:val="0047412F"/>
    <w:pPr>
      <w:keepNext/>
      <w:numPr>
        <w:numId w:val="2"/>
      </w:numPr>
      <w:tabs>
        <w:tab w:val="left" w:pos="0"/>
        <w:tab w:val="left" w:pos="90"/>
      </w:tabs>
      <w:spacing w:before="120" w:after="120"/>
    </w:pPr>
    <w:rPr>
      <w:rFonts w:eastAsia="Batang"/>
      <w:b/>
      <w:szCs w:val="20"/>
      <w:lang w:val="es-ES"/>
    </w:rPr>
  </w:style>
  <w:style w:type="paragraph" w:customStyle="1" w:styleId="SecHeading">
    <w:name w:val="SecHeading"/>
    <w:basedOn w:val="Normal"/>
    <w:next w:val="Normal"/>
    <w:uiPriority w:val="99"/>
    <w:rsid w:val="0047412F"/>
    <w:pPr>
      <w:keepNext/>
      <w:numPr>
        <w:ilvl w:val="1"/>
        <w:numId w:val="2"/>
      </w:numPr>
      <w:spacing w:before="120" w:after="120"/>
    </w:pPr>
    <w:rPr>
      <w:rFonts w:eastAsia="Batang"/>
      <w:b/>
      <w:szCs w:val="20"/>
      <w:lang w:val="es-ES_tradnl"/>
    </w:rPr>
  </w:style>
  <w:style w:type="paragraph" w:customStyle="1" w:styleId="SubHeading1">
    <w:name w:val="SubHeading1"/>
    <w:basedOn w:val="SecHeading"/>
    <w:uiPriority w:val="99"/>
    <w:rsid w:val="0047412F"/>
    <w:pPr>
      <w:numPr>
        <w:ilvl w:val="2"/>
      </w:numPr>
    </w:pPr>
  </w:style>
  <w:style w:type="paragraph" w:customStyle="1" w:styleId="Subheading2">
    <w:name w:val="Subheading2"/>
    <w:basedOn w:val="SecHeading"/>
    <w:uiPriority w:val="99"/>
    <w:rsid w:val="0047412F"/>
    <w:pPr>
      <w:numPr>
        <w:ilvl w:val="3"/>
      </w:numPr>
    </w:pPr>
  </w:style>
  <w:style w:type="paragraph" w:styleId="CommentSubject">
    <w:name w:val="annotation subject"/>
    <w:basedOn w:val="CommentText"/>
    <w:next w:val="CommentText"/>
    <w:link w:val="CommentSubjectChar"/>
    <w:uiPriority w:val="99"/>
    <w:semiHidden/>
    <w:unhideWhenUsed/>
    <w:rsid w:val="00A6072B"/>
    <w:rPr>
      <w:b/>
      <w:bCs/>
    </w:rPr>
  </w:style>
  <w:style w:type="character" w:customStyle="1" w:styleId="CommentSubjectChar">
    <w:name w:val="Comment Subject Char"/>
    <w:basedOn w:val="CommentTextChar"/>
    <w:link w:val="CommentSubject"/>
    <w:uiPriority w:val="99"/>
    <w:semiHidden/>
    <w:rsid w:val="00A6072B"/>
    <w:rPr>
      <w:rFonts w:ascii="Times New Roman" w:eastAsia="Times New Roman" w:hAnsi="Times New Roman" w:cs="Times New Roman"/>
      <w:b/>
      <w:bCs/>
      <w:sz w:val="20"/>
      <w:szCs w:val="20"/>
    </w:rPr>
  </w:style>
  <w:style w:type="paragraph" w:styleId="Revision">
    <w:name w:val="Revision"/>
    <w:hidden/>
    <w:uiPriority w:val="99"/>
    <w:semiHidden/>
    <w:rsid w:val="00A6072B"/>
    <w:pPr>
      <w:spacing w:after="0" w:line="240" w:lineRule="auto"/>
    </w:pPr>
    <w:rPr>
      <w:rFonts w:ascii="Times New Roman" w:eastAsia="Times New Roman" w:hAnsi="Times New Roman" w:cs="Times New Roman"/>
      <w:sz w:val="24"/>
      <w:szCs w:val="24"/>
    </w:rPr>
  </w:style>
  <w:style w:type="paragraph" w:customStyle="1" w:styleId="Newpage">
    <w:name w:val="Newpage"/>
    <w:basedOn w:val="Normal"/>
    <w:link w:val="NewpageChar"/>
    <w:rsid w:val="00CE79F7"/>
    <w:pPr>
      <w:tabs>
        <w:tab w:val="left" w:pos="1440"/>
        <w:tab w:val="left" w:pos="3060"/>
      </w:tabs>
      <w:jc w:val="center"/>
    </w:pPr>
    <w:rPr>
      <w:rFonts w:cs="Arial"/>
      <w:b/>
      <w:smallCaps/>
      <w:spacing w:val="-3"/>
      <w:szCs w:val="20"/>
      <w:lang w:val="es-ES_tradnl"/>
    </w:rPr>
  </w:style>
  <w:style w:type="character" w:customStyle="1" w:styleId="ParagraphCar">
    <w:name w:val="Paragraph Car"/>
    <w:rsid w:val="00911E00"/>
    <w:rPr>
      <w:sz w:val="24"/>
    </w:rPr>
  </w:style>
  <w:style w:type="character" w:customStyle="1" w:styleId="FirstHeadingChar">
    <w:name w:val="FirstHeading Char"/>
    <w:link w:val="FirstHeading"/>
    <w:uiPriority w:val="99"/>
    <w:rsid w:val="00911E00"/>
    <w:rPr>
      <w:rFonts w:ascii="Times New Roman" w:eastAsia="Batang" w:hAnsi="Times New Roman" w:cs="Times New Roman"/>
      <w:b/>
      <w:sz w:val="24"/>
      <w:szCs w:val="20"/>
      <w:lang w:val="es-ES"/>
    </w:rPr>
  </w:style>
  <w:style w:type="table" w:styleId="TableGrid">
    <w:name w:val="Table Grid"/>
    <w:basedOn w:val="TableNormal"/>
    <w:uiPriority w:val="59"/>
    <w:rsid w:val="002226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ar1">
    <w:name w:val="Paragraph Car1"/>
    <w:locked/>
    <w:rsid w:val="009727F1"/>
    <w:rPr>
      <w:sz w:val="24"/>
    </w:rPr>
  </w:style>
  <w:style w:type="paragraph" w:customStyle="1" w:styleId="Default">
    <w:name w:val="Default"/>
    <w:rsid w:val="005011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wpageChar">
    <w:name w:val="Newpage Char"/>
    <w:link w:val="Newpage"/>
    <w:rsid w:val="00480F0A"/>
    <w:rPr>
      <w:rFonts w:ascii="Times New Roman" w:eastAsia="Times New Roman" w:hAnsi="Times New Roman" w:cs="Arial"/>
      <w:b/>
      <w:smallCaps/>
      <w:spacing w:val="-3"/>
      <w:sz w:val="24"/>
      <w:szCs w:val="20"/>
      <w:lang w:val="es-ES_tradnl"/>
    </w:rPr>
  </w:style>
  <w:style w:type="character" w:customStyle="1" w:styleId="ListParagraphChar">
    <w:name w:val="List Paragraph Char"/>
    <w:link w:val="ListParagraph"/>
    <w:uiPriority w:val="34"/>
    <w:locked/>
    <w:rsid w:val="00422B8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B0002"/>
    <w:rPr>
      <w:rFonts w:eastAsiaTheme="minorEastAsia"/>
      <w:b/>
      <w:bCs/>
      <w:i/>
      <w:iCs/>
      <w:sz w:val="26"/>
      <w:szCs w:val="26"/>
    </w:rPr>
  </w:style>
  <w:style w:type="character" w:styleId="FollowedHyperlink">
    <w:name w:val="FollowedHyperlink"/>
    <w:basedOn w:val="DefaultParagraphFont"/>
    <w:uiPriority w:val="99"/>
    <w:semiHidden/>
    <w:unhideWhenUsed/>
    <w:rsid w:val="00281268"/>
    <w:rPr>
      <w:color w:val="800080" w:themeColor="followedHyperlink"/>
      <w:u w:val="single"/>
    </w:rPr>
  </w:style>
  <w:style w:type="paragraph" w:styleId="NormalWeb">
    <w:name w:val="Normal (Web)"/>
    <w:basedOn w:val="Normal"/>
    <w:uiPriority w:val="99"/>
    <w:semiHidden/>
    <w:unhideWhenUsed/>
    <w:rsid w:val="00465EA8"/>
    <w:pPr>
      <w:spacing w:before="100" w:beforeAutospacing="1" w:after="100" w:afterAutospacing="1"/>
    </w:pPr>
  </w:style>
  <w:style w:type="character" w:styleId="UnresolvedMention">
    <w:name w:val="Unresolved Mention"/>
    <w:basedOn w:val="DefaultParagraphFont"/>
    <w:uiPriority w:val="99"/>
    <w:semiHidden/>
    <w:unhideWhenUsed/>
    <w:rsid w:val="009201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3293">
      <w:bodyDiv w:val="1"/>
      <w:marLeft w:val="0"/>
      <w:marRight w:val="0"/>
      <w:marTop w:val="0"/>
      <w:marBottom w:val="0"/>
      <w:divBdr>
        <w:top w:val="none" w:sz="0" w:space="0" w:color="auto"/>
        <w:left w:val="none" w:sz="0" w:space="0" w:color="auto"/>
        <w:bottom w:val="none" w:sz="0" w:space="0" w:color="auto"/>
        <w:right w:val="none" w:sz="0" w:space="0" w:color="auto"/>
      </w:divBdr>
    </w:div>
    <w:div w:id="652871791">
      <w:bodyDiv w:val="1"/>
      <w:marLeft w:val="0"/>
      <w:marRight w:val="0"/>
      <w:marTop w:val="0"/>
      <w:marBottom w:val="0"/>
      <w:divBdr>
        <w:top w:val="none" w:sz="0" w:space="0" w:color="auto"/>
        <w:left w:val="none" w:sz="0" w:space="0" w:color="auto"/>
        <w:bottom w:val="none" w:sz="0" w:space="0" w:color="auto"/>
        <w:right w:val="none" w:sz="0" w:space="0" w:color="auto"/>
      </w:divBdr>
    </w:div>
    <w:div w:id="690494743">
      <w:bodyDiv w:val="1"/>
      <w:marLeft w:val="0"/>
      <w:marRight w:val="0"/>
      <w:marTop w:val="0"/>
      <w:marBottom w:val="0"/>
      <w:divBdr>
        <w:top w:val="none" w:sz="0" w:space="0" w:color="auto"/>
        <w:left w:val="none" w:sz="0" w:space="0" w:color="auto"/>
        <w:bottom w:val="none" w:sz="0" w:space="0" w:color="auto"/>
        <w:right w:val="none" w:sz="0" w:space="0" w:color="auto"/>
      </w:divBdr>
    </w:div>
    <w:div w:id="1128202982">
      <w:bodyDiv w:val="1"/>
      <w:marLeft w:val="0"/>
      <w:marRight w:val="0"/>
      <w:marTop w:val="0"/>
      <w:marBottom w:val="0"/>
      <w:divBdr>
        <w:top w:val="none" w:sz="0" w:space="0" w:color="auto"/>
        <w:left w:val="none" w:sz="0" w:space="0" w:color="auto"/>
        <w:bottom w:val="none" w:sz="0" w:space="0" w:color="auto"/>
        <w:right w:val="none" w:sz="0" w:space="0" w:color="auto"/>
      </w:divBdr>
    </w:div>
    <w:div w:id="20727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lpi.worldbank.org/" TargetMode="External"/><Relationship Id="rId18" Type="http://schemas.openxmlformats.org/officeDocument/2006/relationships/hyperlink" Target="https://idbg.sharepoint.com/teams/ez-SPD/SDV/PD/15%20Project%20Closing%20Report/015.%20Technical%20Documents/PCR%20Principles%20and%20Guidelines%202018.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lpi.worldbank.org/international/scorecard/radar/254/C/PAN/2014"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tos.bancomundial.org/indicador/LP.LPI.OVRL.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1AF64753591D9489FDFDD5B2BC7F5AD" ma:contentTypeVersion="192" ma:contentTypeDescription="A content type to manage public (operations) IDB documents" ma:contentTypeScope="" ma:versionID="1323fc575b663df1465dcb60df8dd19b">
  <xsd:schema xmlns:xsd="http://www.w3.org/2001/XMLSchema" xmlns:xs="http://www.w3.org/2001/XMLSchema" xmlns:p="http://schemas.microsoft.com/office/2006/metadata/properties" xmlns:ns2="cdc7663a-08f0-4737-9e8c-148ce897a09c" targetNamespace="http://schemas.microsoft.com/office/2006/metadata/properties" ma:root="true" ma:fieldsID="ef1a656a2907f67721338e601b0d804b"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N-L1151"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R0002229253</Record_x0020_Number>
    <Key_x0020_Document xmlns="cdc7663a-08f0-4737-9e8c-148ce897a09c">false</Key_x0020_Document>
    <Division_x0020_or_x0020_Unit xmlns="cdc7663a-08f0-4737-9e8c-148ce897a09c">INE/TSP</Division_x0020_or_x0020_Unit>
    <IDBDocs_x0020_Number xmlns="cdc7663a-08f0-4737-9e8c-148ce897a09c" xsi:nil="true"/>
    <Document_x0020_Author xmlns="cdc7663a-08f0-4737-9e8c-148ce897a09c">Alonso Martin,Tania</Document_x0020_Author>
    <_dlc_DocId xmlns="cdc7663a-08f0-4737-9e8c-148ce897a09c">EZSHARE-39050635-22</_dlc_DocId>
    <Operation_x0020_Type xmlns="cdc7663a-08f0-4737-9e8c-148ce897a09c">Loan Operation</Operation_x0020_Type>
    <TaxCatchAll xmlns="cdc7663a-08f0-4737-9e8c-148ce897a09c">
      <Value>22</Value>
      <Value>25</Value>
      <Value>67</Value>
      <Value>1</Value>
      <Value>91</Value>
    </TaxCatchAll>
    <Fiscal_x0020_Year_x0020_IDB xmlns="cdc7663a-08f0-4737-9e8c-148ce897a09c">2018</Fiscal_x0020_Year_x0020_IDB>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7af43a84-776d-43d1-b0f2-8a1f2a8ffc7b</TermId>
        </TermInfo>
      </Terms>
    </ic46d7e087fd4a108fb86518ca413cc6>
    <b26cdb1da78c4bb4b1c1bac2f6ac5911 xmlns="cdc7663a-08f0-4737-9e8c-148ce897a09c">
      <Terms xmlns="http://schemas.microsoft.com/office/infopath/2007/PartnerControls"/>
    </b26cdb1da78c4bb4b1c1bac2f6ac5911>
    <Project_x0020_Number xmlns="cdc7663a-08f0-4737-9e8c-148ce897a09c">PN-L1151</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SISCOR_x0020_Number xmlns="cdc7663a-08f0-4737-9e8c-148ce897a09c" xsi:nil="true"/>
    <Access_x0020_to_x0020_Information_x00a0_Policy xmlns="cdc7663a-08f0-4737-9e8c-148ce897a09c">Public - Simultaneous Disclosure</Access_x0020_to_x0020_Information_x00a0_Policy>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Identifier xmlns="cdc7663a-08f0-4737-9e8c-148ce897a09c" xsi:nil="true"/>
    <Document_x0020_Language_x0020_IDB xmlns="cdc7663a-08f0-4737-9e8c-148ce897a09c">Spanish</Document_x0020_Language_x0020_IDB>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LOGISTIC PLANNING, MULTIMODAL TRANSPORT AND LOGISTIC PLATFORMS</TermName>
          <TermId xmlns="http://schemas.microsoft.com/office/infopath/2007/PartnerControls">c57ab9df-eb0b-4c79-9bde-1271a3d462be</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_dlc_DocIdUrl xmlns="cdc7663a-08f0-4737-9e8c-148ce897a09c">
      <Url>https://idbg.sharepoint.com/teams/EZ-PN-LON/PN-L1151/_layouts/15/DocIdRedir.aspx?ID=EZSHARE-39050635-22</Url>
      <Description>EZSHARE-39050635-22</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Transportation;Transportation;;</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EAE2C8AB-F8D1-4C36-B7DA-4AFB04434F82}">
  <ds:schemaRefs>
    <ds:schemaRef ds:uri="http://schemas.microsoft.com/sharepoint/v3/contenttype/forms"/>
  </ds:schemaRefs>
</ds:datastoreItem>
</file>

<file path=customXml/itemProps2.xml><?xml version="1.0" encoding="utf-8"?>
<ds:datastoreItem xmlns:ds="http://schemas.openxmlformats.org/officeDocument/2006/customXml" ds:itemID="{46558D29-372A-4D90-8233-D3918B2DFC0C}">
  <ds:schemaRefs>
    <ds:schemaRef ds:uri="http://schemas.microsoft.com/sharepoint/events"/>
  </ds:schemaRefs>
</ds:datastoreItem>
</file>

<file path=customXml/itemProps3.xml><?xml version="1.0" encoding="utf-8"?>
<ds:datastoreItem xmlns:ds="http://schemas.openxmlformats.org/officeDocument/2006/customXml" ds:itemID="{3AB5B164-73C9-447D-86FF-5D1C09FA3881}"/>
</file>

<file path=customXml/itemProps4.xml><?xml version="1.0" encoding="utf-8"?>
<ds:datastoreItem xmlns:ds="http://schemas.openxmlformats.org/officeDocument/2006/customXml" ds:itemID="{5E152FDA-4DDA-4E3D-A6B1-467F81D129A9}"/>
</file>

<file path=customXml/itemProps5.xml><?xml version="1.0" encoding="utf-8"?>
<ds:datastoreItem xmlns:ds="http://schemas.openxmlformats.org/officeDocument/2006/customXml" ds:itemID="{7B1EA5B5-4F0D-41FF-BFAC-017072FFF327}"/>
</file>

<file path=customXml/itemProps6.xml><?xml version="1.0" encoding="utf-8"?>
<ds:datastoreItem xmlns:ds="http://schemas.openxmlformats.org/officeDocument/2006/customXml" ds:itemID="{EC6A6CD5-8064-4FA5-8AD5-F347077A8F8A}">
  <ds:schemaRefs>
    <ds:schemaRef ds:uri="http://schemas.microsoft.com/office/2006/metadata/properties"/>
    <ds:schemaRef ds:uri="http://schemas.microsoft.com/office/infopath/2007/PartnerControls"/>
    <ds:schemaRef ds:uri="cdc7663a-08f0-4737-9e8c-148ce897a0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4904</Words>
  <Characters>27954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2018-05-25T20:06:00Z</dcterms:created>
  <dcterms:modified xsi:type="dcterms:W3CDTF">2018-07-05T19:20:00Z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closure Activity">
    <vt:lpwstr>Loan Proposal</vt:lpwstr>
  </property>
  <property fmtid="{D5CDD505-2E9C-101B-9397-08002B2CF9AE}" pid="4" name="ATI Disclose Document Workflow v5">
    <vt:lpwstr/>
  </property>
  <property fmtid="{D5CDD505-2E9C-101B-9397-08002B2CF9AE}" pid="5" name="TaxKeywordTaxHTField">
    <vt:lpwstr/>
  </property>
  <property fmtid="{D5CDD505-2E9C-101B-9397-08002B2CF9AE}" pid="6" name="Sub-Sector">
    <vt:lpwstr>91;#LOGISTIC PLANNING, MULTIMODAL TRANSPORT AND LOGISTIC PLATFORMS|c57ab9df-eb0b-4c79-9bde-1271a3d462be</vt:lpwstr>
  </property>
  <property fmtid="{D5CDD505-2E9C-101B-9397-08002B2CF9AE}" pid="7" name="Series Operations IDB">
    <vt:lpwstr/>
  </property>
  <property fmtid="{D5CDD505-2E9C-101B-9397-08002B2CF9AE}" pid="8" name="Country">
    <vt:lpwstr>22;#Panama|7af43a84-776d-43d1-b0f2-8a1f2a8ffc7b</vt:lpwstr>
  </property>
  <property fmtid="{D5CDD505-2E9C-101B-9397-08002B2CF9AE}" pid="9" name="Fund IDB">
    <vt:lpwstr>25;#ORC|c028a4b2-ad8b-4cf4-9cac-a2ae6a778e23</vt:lpwstr>
  </property>
  <property fmtid="{D5CDD505-2E9C-101B-9397-08002B2CF9AE}" pid="10" name="_dlc_DocIdItemGuid">
    <vt:lpwstr>117aff3c-2493-4ce3-b60f-7f04309c456d</vt:lpwstr>
  </property>
  <property fmtid="{D5CDD505-2E9C-101B-9397-08002B2CF9AE}" pid="11" name="Webtopic">
    <vt:lpwstr>Transportation</vt:lpwstr>
  </property>
  <property fmtid="{D5CDD505-2E9C-101B-9397-08002B2CF9AE}" pid="12" name="Sector IDB">
    <vt:lpwstr>67;#TRANSPORT|5a25d1a8-4baf-41a8-9e3b-e167accda6ea</vt:lpwstr>
  </property>
  <property fmtid="{D5CDD505-2E9C-101B-9397-08002B2CF9AE}" pid="13" name="Disclosed">
    <vt:bool>false</vt:bool>
  </property>
  <property fmtid="{D5CDD505-2E9C-101B-9397-08002B2CF9AE}" pid="14" name="Function Operations IDB">
    <vt:lpwstr>1;#Project Preparation, Planning and Design|29ca0c72-1fc4-435f-a09c-28585cb5eac9</vt:lpwstr>
  </property>
  <property fmtid="{D5CDD505-2E9C-101B-9397-08002B2CF9AE}" pid="15" name="ATI Undisclose Document Workflow">
    <vt:lpwstr/>
  </property>
  <property fmtid="{D5CDD505-2E9C-101B-9397-08002B2CF9AE}" pid="16" name="From:">
    <vt:lpwstr>RFIORAVANTI</vt:lpwstr>
  </property>
  <property fmtid="{D5CDD505-2E9C-101B-9397-08002B2CF9AE}" pid="17" name="ContentTypeId">
    <vt:lpwstr>0x0101001A458A224826124E8B45B1D613300CFC0041AF64753591D9489FDFDD5B2BC7F5AD</vt:lpwstr>
  </property>
  <property fmtid="{D5CDD505-2E9C-101B-9397-08002B2CF9AE}" pid="18" name="SharedWithUsers">
    <vt:lpwstr>1126;#Alonso Martin, Tania</vt:lpwstr>
  </property>
</Properties>
</file>