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24420" w14:textId="3C21A9E7" w:rsidR="009A49C8" w:rsidRDefault="009A49C8" w:rsidP="009A49C8">
      <w:pPr>
        <w:jc w:val="both"/>
        <w:rPr>
          <w:rFonts w:ascii="Arial" w:hAnsi="Arial" w:cs="Arial"/>
          <w:b/>
          <w:lang w:val="es-ES_tradnl"/>
        </w:rPr>
      </w:pPr>
    </w:p>
    <w:p w14:paraId="0E4B7214" w14:textId="1DE22104" w:rsidR="009A49C8" w:rsidRDefault="009A49C8" w:rsidP="009A49C8">
      <w:pPr>
        <w:jc w:val="both"/>
        <w:rPr>
          <w:rFonts w:ascii="Arial" w:hAnsi="Arial" w:cs="Arial"/>
          <w:b/>
          <w:lang w:val="es-ES_tradnl"/>
        </w:rPr>
      </w:pPr>
    </w:p>
    <w:p w14:paraId="071946A3" w14:textId="6FB786D2" w:rsidR="009A49C8" w:rsidRDefault="009A49C8" w:rsidP="009A49C8">
      <w:pPr>
        <w:jc w:val="both"/>
        <w:rPr>
          <w:rFonts w:ascii="Arial" w:hAnsi="Arial" w:cs="Arial"/>
          <w:b/>
          <w:lang w:val="es-ES_tradnl"/>
        </w:rPr>
      </w:pPr>
    </w:p>
    <w:p w14:paraId="6EBC1B8D" w14:textId="4179D467" w:rsidR="009A49C8" w:rsidRDefault="009A49C8" w:rsidP="009A49C8">
      <w:pPr>
        <w:jc w:val="both"/>
        <w:rPr>
          <w:rFonts w:ascii="Arial" w:hAnsi="Arial" w:cs="Arial"/>
          <w:b/>
          <w:lang w:val="es-ES_tradnl"/>
        </w:rPr>
      </w:pPr>
    </w:p>
    <w:p w14:paraId="080EFA18" w14:textId="72EF77DE" w:rsidR="009A49C8" w:rsidRDefault="009A49C8" w:rsidP="009A49C8">
      <w:pPr>
        <w:jc w:val="center"/>
        <w:rPr>
          <w:rFonts w:ascii="Arial" w:hAnsi="Arial" w:cs="Arial"/>
          <w:lang w:val="es-ES_tradnl"/>
        </w:rPr>
      </w:pPr>
    </w:p>
    <w:p w14:paraId="67D66433" w14:textId="26CEEFBD" w:rsidR="009A49C8" w:rsidRDefault="009A49C8" w:rsidP="009A49C8">
      <w:pPr>
        <w:jc w:val="center"/>
        <w:rPr>
          <w:rFonts w:ascii="Arial" w:hAnsi="Arial" w:cs="Arial"/>
          <w:lang w:val="es-ES_tradnl"/>
        </w:rPr>
      </w:pPr>
    </w:p>
    <w:p w14:paraId="6BCFFF1F" w14:textId="257B43D2" w:rsidR="009A49C8" w:rsidRDefault="009A49C8" w:rsidP="009A49C8">
      <w:pPr>
        <w:jc w:val="center"/>
        <w:rPr>
          <w:rFonts w:ascii="Arial" w:hAnsi="Arial" w:cs="Arial"/>
          <w:lang w:val="es-ES_tradnl"/>
        </w:rPr>
      </w:pPr>
    </w:p>
    <w:p w14:paraId="04E59700" w14:textId="77777777" w:rsidR="009A49C8" w:rsidRPr="00B94100" w:rsidRDefault="009A49C8" w:rsidP="009A49C8">
      <w:pPr>
        <w:jc w:val="center"/>
        <w:rPr>
          <w:rFonts w:ascii="Arial" w:hAnsi="Arial" w:cs="Arial"/>
          <w:lang w:val="es-ES_tradnl"/>
        </w:rPr>
      </w:pPr>
    </w:p>
    <w:p w14:paraId="419D295C" w14:textId="77777777" w:rsidR="009A49C8" w:rsidRPr="00B94100" w:rsidRDefault="009A49C8" w:rsidP="009A49C8">
      <w:pPr>
        <w:jc w:val="center"/>
        <w:rPr>
          <w:rFonts w:ascii="Arial" w:hAnsi="Arial" w:cs="Arial"/>
          <w:b/>
          <w:smallCaps/>
          <w:lang w:val="es-ES_tradnl"/>
        </w:rPr>
      </w:pPr>
    </w:p>
    <w:p w14:paraId="45488291" w14:textId="77777777" w:rsidR="009A49C8" w:rsidRPr="009A49C8" w:rsidRDefault="009A49C8" w:rsidP="009A49C8">
      <w:pPr>
        <w:jc w:val="center"/>
        <w:rPr>
          <w:rFonts w:ascii="Arial" w:hAnsi="Arial" w:cs="Arial"/>
          <w:b/>
          <w:smallCaps/>
          <w:sz w:val="40"/>
          <w:lang w:val="es-ES_tradnl"/>
        </w:rPr>
      </w:pPr>
      <w:r w:rsidRPr="009A49C8">
        <w:rPr>
          <w:rFonts w:ascii="Arial" w:hAnsi="Arial" w:cs="Arial"/>
          <w:b/>
          <w:smallCaps/>
          <w:sz w:val="44"/>
          <w:lang w:val="es-ES_tradnl"/>
        </w:rPr>
        <w:t>Paraguay</w:t>
      </w:r>
    </w:p>
    <w:p w14:paraId="09C5CDD8" w14:textId="76DE87F4" w:rsidR="009A49C8" w:rsidRDefault="009A49C8" w:rsidP="009A49C8">
      <w:pPr>
        <w:jc w:val="center"/>
        <w:rPr>
          <w:rFonts w:ascii="Arial" w:hAnsi="Arial" w:cs="Arial"/>
          <w:b/>
          <w:smallCaps/>
          <w:lang w:val="es-ES_tradnl"/>
        </w:rPr>
      </w:pPr>
    </w:p>
    <w:p w14:paraId="52129B3E" w14:textId="2EDA8040" w:rsidR="009A49C8" w:rsidRDefault="009A49C8" w:rsidP="009A49C8">
      <w:pPr>
        <w:jc w:val="center"/>
        <w:rPr>
          <w:rFonts w:ascii="Arial" w:hAnsi="Arial" w:cs="Arial"/>
          <w:b/>
          <w:smallCaps/>
          <w:lang w:val="es-ES_tradnl"/>
        </w:rPr>
      </w:pPr>
    </w:p>
    <w:p w14:paraId="0F76F237" w14:textId="6136EF16" w:rsidR="009A49C8" w:rsidRDefault="009A49C8" w:rsidP="009A49C8">
      <w:pPr>
        <w:jc w:val="center"/>
        <w:rPr>
          <w:rFonts w:ascii="Arial" w:hAnsi="Arial" w:cs="Arial"/>
          <w:b/>
          <w:smallCaps/>
          <w:lang w:val="es-ES_tradnl"/>
        </w:rPr>
      </w:pPr>
    </w:p>
    <w:p w14:paraId="137F074C" w14:textId="77777777" w:rsidR="009A49C8" w:rsidRPr="00E83B32" w:rsidRDefault="009A49C8" w:rsidP="009A49C8">
      <w:pPr>
        <w:jc w:val="center"/>
        <w:rPr>
          <w:rFonts w:ascii="Arial" w:hAnsi="Arial" w:cs="Arial"/>
          <w:b/>
          <w:smallCaps/>
          <w:lang w:val="es-ES_tradnl"/>
        </w:rPr>
      </w:pPr>
    </w:p>
    <w:p w14:paraId="047690CB" w14:textId="77777777" w:rsidR="009A49C8" w:rsidRPr="00E83B32" w:rsidRDefault="009A49C8" w:rsidP="009A49C8">
      <w:pPr>
        <w:jc w:val="center"/>
        <w:rPr>
          <w:rFonts w:ascii="Arial" w:hAnsi="Arial" w:cs="Arial"/>
          <w:b/>
          <w:smallCaps/>
          <w:lang w:val="es-ES_tradnl"/>
        </w:rPr>
      </w:pPr>
    </w:p>
    <w:p w14:paraId="539D6D7F" w14:textId="77777777" w:rsidR="009A49C8" w:rsidRPr="00E83B32" w:rsidRDefault="009A49C8" w:rsidP="009A49C8">
      <w:pPr>
        <w:jc w:val="center"/>
        <w:rPr>
          <w:rFonts w:ascii="Arial" w:hAnsi="Arial" w:cs="Arial"/>
          <w:b/>
          <w:smallCaps/>
          <w:lang w:val="es-ES_tradnl"/>
        </w:rPr>
      </w:pPr>
    </w:p>
    <w:p w14:paraId="597E925A" w14:textId="77777777" w:rsidR="009A49C8" w:rsidRPr="00B94100" w:rsidRDefault="009A49C8" w:rsidP="009A49C8">
      <w:pPr>
        <w:jc w:val="center"/>
        <w:rPr>
          <w:rFonts w:ascii="Arial" w:hAnsi="Arial" w:cs="Arial"/>
          <w:b/>
          <w:smallCaps/>
          <w:sz w:val="28"/>
          <w:lang w:val="es-ES_tradnl"/>
        </w:rPr>
      </w:pPr>
      <w:r w:rsidRPr="00B94100">
        <w:rPr>
          <w:rFonts w:ascii="Arial" w:hAnsi="Arial" w:cs="Arial"/>
          <w:b/>
          <w:smallCaps/>
          <w:sz w:val="28"/>
          <w:lang w:val="es-ES_tradnl"/>
        </w:rPr>
        <w:t>PROGRAMA DE REHABILITACIÓN Y MODERNIZACIÓN DE LA</w:t>
      </w:r>
    </w:p>
    <w:p w14:paraId="67C17224" w14:textId="77777777" w:rsidR="009A49C8" w:rsidRPr="00E83B32" w:rsidRDefault="009A49C8" w:rsidP="009A49C8">
      <w:pPr>
        <w:jc w:val="center"/>
        <w:rPr>
          <w:rFonts w:ascii="Arial" w:hAnsi="Arial" w:cs="Arial"/>
          <w:b/>
          <w:smallCaps/>
          <w:sz w:val="28"/>
          <w:lang w:val="pt-BR"/>
        </w:rPr>
      </w:pPr>
      <w:r w:rsidRPr="00E83B32">
        <w:rPr>
          <w:rFonts w:ascii="Arial" w:hAnsi="Arial" w:cs="Arial"/>
          <w:b/>
          <w:smallCaps/>
          <w:sz w:val="28"/>
          <w:lang w:val="pt-BR"/>
        </w:rPr>
        <w:t>CENTRAL HIDROELÉCTRICA ACARAY (RM-CHA)</w:t>
      </w:r>
    </w:p>
    <w:p w14:paraId="0344BB0E" w14:textId="77777777" w:rsidR="009A49C8" w:rsidRPr="00E83B32" w:rsidRDefault="009A49C8" w:rsidP="009A49C8">
      <w:pPr>
        <w:jc w:val="center"/>
        <w:rPr>
          <w:rFonts w:ascii="Arial" w:hAnsi="Arial" w:cs="Arial"/>
          <w:b/>
          <w:smallCaps/>
          <w:lang w:val="pt-BR"/>
        </w:rPr>
      </w:pPr>
    </w:p>
    <w:p w14:paraId="7EC8B1BE" w14:textId="77777777" w:rsidR="009A49C8" w:rsidRPr="00E83B32" w:rsidRDefault="009A49C8" w:rsidP="009A49C8">
      <w:pPr>
        <w:jc w:val="center"/>
        <w:rPr>
          <w:rFonts w:ascii="Arial" w:hAnsi="Arial" w:cs="Arial"/>
          <w:b/>
          <w:smallCaps/>
          <w:lang w:val="pt-BR"/>
        </w:rPr>
      </w:pPr>
    </w:p>
    <w:p w14:paraId="7457C5ED" w14:textId="77777777" w:rsidR="009A49C8" w:rsidRPr="00E83B32" w:rsidRDefault="009A49C8" w:rsidP="009A49C8">
      <w:pPr>
        <w:jc w:val="center"/>
        <w:rPr>
          <w:rFonts w:ascii="Arial" w:hAnsi="Arial" w:cs="Arial"/>
          <w:b/>
          <w:smallCaps/>
          <w:sz w:val="28"/>
          <w:lang w:val="pt-BR"/>
        </w:rPr>
      </w:pPr>
      <w:bookmarkStart w:id="0" w:name="Text7"/>
      <w:r w:rsidRPr="00E83B32">
        <w:rPr>
          <w:rFonts w:ascii="Arial" w:hAnsi="Arial" w:cs="Arial"/>
          <w:b/>
          <w:smallCaps/>
          <w:sz w:val="28"/>
          <w:lang w:val="pt-BR"/>
        </w:rPr>
        <w:t>(</w:t>
      </w:r>
      <w:bookmarkEnd w:id="0"/>
      <w:r w:rsidRPr="00E83B32">
        <w:rPr>
          <w:rFonts w:ascii="Arial" w:hAnsi="Arial" w:cs="Arial"/>
          <w:b/>
          <w:smallCaps/>
          <w:sz w:val="28"/>
          <w:lang w:val="pt-BR"/>
        </w:rPr>
        <w:t>PR-L1156)</w:t>
      </w:r>
    </w:p>
    <w:p w14:paraId="66510843" w14:textId="77777777" w:rsidR="009A49C8" w:rsidRPr="00E83B32" w:rsidRDefault="009A49C8" w:rsidP="009A49C8">
      <w:pPr>
        <w:jc w:val="center"/>
        <w:rPr>
          <w:rFonts w:ascii="Arial" w:hAnsi="Arial" w:cs="Arial"/>
          <w:lang w:val="pt-BR"/>
        </w:rPr>
      </w:pPr>
    </w:p>
    <w:p w14:paraId="4DB6D339" w14:textId="77777777" w:rsidR="009A49C8" w:rsidRPr="00E83B32" w:rsidRDefault="009A49C8" w:rsidP="009A49C8">
      <w:pPr>
        <w:jc w:val="center"/>
        <w:rPr>
          <w:rFonts w:ascii="Arial" w:hAnsi="Arial" w:cs="Arial"/>
          <w:lang w:val="pt-BR"/>
        </w:rPr>
      </w:pPr>
    </w:p>
    <w:p w14:paraId="79D20639" w14:textId="77777777" w:rsidR="009A49C8" w:rsidRPr="00E83B32" w:rsidRDefault="009A49C8" w:rsidP="009A49C8">
      <w:pPr>
        <w:jc w:val="center"/>
        <w:rPr>
          <w:rFonts w:ascii="Arial" w:hAnsi="Arial" w:cs="Arial"/>
          <w:lang w:val="pt-BR"/>
        </w:rPr>
      </w:pPr>
    </w:p>
    <w:p w14:paraId="0945B4B8" w14:textId="77777777" w:rsidR="009A49C8" w:rsidRPr="00E83B32" w:rsidRDefault="009A49C8" w:rsidP="009A49C8">
      <w:pPr>
        <w:jc w:val="center"/>
        <w:rPr>
          <w:rFonts w:ascii="Arial" w:hAnsi="Arial" w:cs="Arial"/>
          <w:lang w:val="pt-BR"/>
        </w:rPr>
      </w:pPr>
    </w:p>
    <w:p w14:paraId="52329BA2" w14:textId="0A318570" w:rsidR="009A49C8" w:rsidRPr="004C1B78" w:rsidRDefault="001F667A" w:rsidP="009A49C8">
      <w:pPr>
        <w:pStyle w:val="Newpage"/>
        <w:rPr>
          <w:rFonts w:ascii="Arial" w:hAnsi="Arial"/>
          <w:caps/>
          <w:smallCaps w:val="0"/>
          <w:sz w:val="32"/>
          <w:szCs w:val="22"/>
          <w:lang w:val="es-ES_tradnl"/>
        </w:rPr>
      </w:pPr>
      <w:r>
        <w:rPr>
          <w:rFonts w:ascii="Arial" w:hAnsi="Arial"/>
          <w:caps/>
          <w:smallCaps w:val="0"/>
          <w:sz w:val="32"/>
          <w:szCs w:val="22"/>
          <w:lang w:val="es-ES_tradnl"/>
        </w:rPr>
        <w:t>ANÁLISIS DE LA SOSTENIBILIDAD</w:t>
      </w:r>
      <w:r w:rsidR="009A49C8">
        <w:rPr>
          <w:rFonts w:ascii="Arial" w:hAnsi="Arial"/>
          <w:caps/>
          <w:smallCaps w:val="0"/>
          <w:sz w:val="32"/>
          <w:szCs w:val="22"/>
          <w:lang w:val="es-ES_tradnl"/>
        </w:rPr>
        <w:t xml:space="preserve"> FINANCIERA DE LA ADMINISTRACIÓN NACIONAL DE ELECTRICIDAD (ande)</w:t>
      </w:r>
    </w:p>
    <w:p w14:paraId="7A8976CE" w14:textId="77777777" w:rsidR="009A49C8" w:rsidRPr="00E83B32" w:rsidRDefault="009A49C8" w:rsidP="009A49C8">
      <w:pPr>
        <w:tabs>
          <w:tab w:val="left" w:pos="1440"/>
          <w:tab w:val="left" w:pos="3060"/>
        </w:tabs>
        <w:jc w:val="center"/>
        <w:rPr>
          <w:rFonts w:ascii="Arial" w:hAnsi="Arial" w:cs="Arial"/>
          <w:lang w:val="es-ES_tradnl"/>
        </w:rPr>
      </w:pPr>
    </w:p>
    <w:p w14:paraId="069FBEB1" w14:textId="554A980E" w:rsidR="009A49C8" w:rsidRDefault="009A49C8" w:rsidP="009A49C8">
      <w:pPr>
        <w:tabs>
          <w:tab w:val="left" w:pos="1440"/>
          <w:tab w:val="left" w:pos="3060"/>
        </w:tabs>
        <w:jc w:val="center"/>
        <w:rPr>
          <w:rFonts w:ascii="Arial" w:hAnsi="Arial" w:cs="Arial"/>
          <w:lang w:val="es-ES_tradnl"/>
        </w:rPr>
      </w:pPr>
    </w:p>
    <w:p w14:paraId="29B82755" w14:textId="18C99DFB" w:rsidR="009A49C8" w:rsidRDefault="009A49C8" w:rsidP="009A49C8">
      <w:pPr>
        <w:tabs>
          <w:tab w:val="left" w:pos="1440"/>
          <w:tab w:val="left" w:pos="3060"/>
        </w:tabs>
        <w:jc w:val="center"/>
        <w:rPr>
          <w:rFonts w:ascii="Arial" w:hAnsi="Arial" w:cs="Arial"/>
          <w:lang w:val="es-ES_tradnl"/>
        </w:rPr>
      </w:pPr>
    </w:p>
    <w:p w14:paraId="09BE5F35" w14:textId="6757307F" w:rsidR="009A49C8" w:rsidRDefault="009A49C8" w:rsidP="009A49C8">
      <w:pPr>
        <w:tabs>
          <w:tab w:val="left" w:pos="1440"/>
          <w:tab w:val="left" w:pos="3060"/>
        </w:tabs>
        <w:jc w:val="center"/>
        <w:rPr>
          <w:rFonts w:ascii="Arial" w:hAnsi="Arial" w:cs="Arial"/>
          <w:lang w:val="es-ES_tradnl"/>
        </w:rPr>
      </w:pPr>
    </w:p>
    <w:p w14:paraId="16EC537A" w14:textId="034B32E9" w:rsidR="009A49C8" w:rsidRDefault="009A49C8" w:rsidP="009A49C8">
      <w:pPr>
        <w:tabs>
          <w:tab w:val="left" w:pos="1440"/>
          <w:tab w:val="left" w:pos="3060"/>
        </w:tabs>
        <w:jc w:val="center"/>
        <w:rPr>
          <w:rFonts w:ascii="Arial" w:hAnsi="Arial" w:cs="Arial"/>
          <w:lang w:val="es-ES_tradnl"/>
        </w:rPr>
      </w:pPr>
      <w:bookmarkStart w:id="1" w:name="_GoBack"/>
      <w:bookmarkEnd w:id="1"/>
    </w:p>
    <w:p w14:paraId="76ECC1F9" w14:textId="73DA698A" w:rsidR="009A49C8" w:rsidRDefault="009A49C8" w:rsidP="009A49C8">
      <w:pPr>
        <w:tabs>
          <w:tab w:val="left" w:pos="1440"/>
          <w:tab w:val="left" w:pos="3060"/>
        </w:tabs>
        <w:jc w:val="center"/>
        <w:rPr>
          <w:rFonts w:ascii="Arial" w:hAnsi="Arial" w:cs="Arial"/>
          <w:lang w:val="es-ES_tradnl"/>
        </w:rPr>
      </w:pPr>
    </w:p>
    <w:p w14:paraId="1D0FBC42" w14:textId="0B479C18" w:rsidR="009A49C8" w:rsidRDefault="009A49C8" w:rsidP="009A49C8">
      <w:pPr>
        <w:tabs>
          <w:tab w:val="left" w:pos="1440"/>
          <w:tab w:val="left" w:pos="3060"/>
        </w:tabs>
        <w:jc w:val="center"/>
        <w:rPr>
          <w:rFonts w:ascii="Arial" w:hAnsi="Arial" w:cs="Arial"/>
          <w:lang w:val="es-ES_tradnl"/>
        </w:rPr>
      </w:pPr>
    </w:p>
    <w:p w14:paraId="553C0202" w14:textId="7A25F6E4" w:rsidR="009A49C8" w:rsidRDefault="009A49C8" w:rsidP="009A49C8">
      <w:pPr>
        <w:tabs>
          <w:tab w:val="left" w:pos="1440"/>
          <w:tab w:val="left" w:pos="3060"/>
        </w:tabs>
        <w:jc w:val="center"/>
        <w:rPr>
          <w:rFonts w:ascii="Arial" w:hAnsi="Arial" w:cs="Arial"/>
          <w:lang w:val="es-ES_tradnl"/>
        </w:rPr>
      </w:pPr>
    </w:p>
    <w:p w14:paraId="1D7D85D0" w14:textId="73832F23" w:rsidR="009A49C8" w:rsidRDefault="009A49C8" w:rsidP="009A49C8">
      <w:pPr>
        <w:tabs>
          <w:tab w:val="left" w:pos="1440"/>
          <w:tab w:val="left" w:pos="3060"/>
        </w:tabs>
        <w:jc w:val="center"/>
        <w:rPr>
          <w:rFonts w:ascii="Arial" w:hAnsi="Arial" w:cs="Arial"/>
          <w:lang w:val="es-ES_tradnl"/>
        </w:rPr>
      </w:pPr>
    </w:p>
    <w:p w14:paraId="0AB442DC" w14:textId="4075B030" w:rsidR="009A49C8" w:rsidRDefault="009A49C8" w:rsidP="009A49C8">
      <w:pPr>
        <w:tabs>
          <w:tab w:val="left" w:pos="1440"/>
          <w:tab w:val="left" w:pos="3060"/>
        </w:tabs>
        <w:jc w:val="center"/>
        <w:rPr>
          <w:rFonts w:ascii="Arial" w:hAnsi="Arial" w:cs="Arial"/>
          <w:lang w:val="es-ES_tradnl"/>
        </w:rPr>
      </w:pPr>
    </w:p>
    <w:p w14:paraId="7DF4F91A" w14:textId="3A054837" w:rsidR="009A49C8" w:rsidRDefault="009A49C8" w:rsidP="009A49C8">
      <w:pPr>
        <w:tabs>
          <w:tab w:val="left" w:pos="1440"/>
          <w:tab w:val="left" w:pos="3060"/>
        </w:tabs>
        <w:jc w:val="center"/>
        <w:rPr>
          <w:rFonts w:ascii="Arial" w:hAnsi="Arial" w:cs="Arial"/>
          <w:lang w:val="es-ES_tradnl"/>
        </w:rPr>
      </w:pPr>
    </w:p>
    <w:p w14:paraId="68DD08DA" w14:textId="02A975A8" w:rsidR="009A49C8" w:rsidRDefault="009A49C8" w:rsidP="009A49C8">
      <w:pPr>
        <w:tabs>
          <w:tab w:val="left" w:pos="1440"/>
          <w:tab w:val="left" w:pos="3060"/>
        </w:tabs>
        <w:jc w:val="center"/>
        <w:rPr>
          <w:rFonts w:ascii="Arial" w:hAnsi="Arial" w:cs="Arial"/>
          <w:lang w:val="es-ES_tradnl"/>
        </w:rPr>
      </w:pPr>
    </w:p>
    <w:p w14:paraId="3A135512" w14:textId="77777777" w:rsidR="009A49C8" w:rsidRDefault="009A49C8" w:rsidP="009A49C8">
      <w:pPr>
        <w:tabs>
          <w:tab w:val="left" w:pos="1440"/>
          <w:tab w:val="left" w:pos="3060"/>
        </w:tabs>
        <w:jc w:val="center"/>
        <w:rPr>
          <w:rFonts w:ascii="Arial" w:hAnsi="Arial" w:cs="Arial"/>
          <w:lang w:val="es-ES_tradnl"/>
        </w:rPr>
      </w:pPr>
    </w:p>
    <w:p w14:paraId="04BD72F3" w14:textId="77777777" w:rsidR="009A49C8" w:rsidRPr="00E83B32" w:rsidRDefault="009A49C8" w:rsidP="009A49C8">
      <w:pPr>
        <w:tabs>
          <w:tab w:val="left" w:pos="1440"/>
          <w:tab w:val="left" w:pos="3060"/>
        </w:tabs>
        <w:jc w:val="center"/>
        <w:rPr>
          <w:rFonts w:ascii="Arial" w:hAnsi="Arial" w:cs="Arial"/>
          <w:lang w:val="es-ES_tradnl"/>
        </w:rPr>
      </w:pPr>
    </w:p>
    <w:p w14:paraId="39633789" w14:textId="77777777" w:rsidR="009A49C8" w:rsidRPr="00E83B32" w:rsidRDefault="009A49C8" w:rsidP="009A49C8">
      <w:pPr>
        <w:tabs>
          <w:tab w:val="left" w:pos="1440"/>
          <w:tab w:val="left" w:pos="3060"/>
        </w:tabs>
        <w:jc w:val="center"/>
        <w:rPr>
          <w:rFonts w:ascii="Arial" w:hAnsi="Arial" w:cs="Arial"/>
          <w:lang w:val="es-ES_tradnl"/>
        </w:rPr>
      </w:pPr>
    </w:p>
    <w:p w14:paraId="2E565531" w14:textId="21B6F5F7" w:rsidR="009A49C8" w:rsidRPr="00B94100" w:rsidRDefault="009A49C8" w:rsidP="009A49C8">
      <w:pPr>
        <w:pBdr>
          <w:top w:val="single" w:sz="4" w:space="1" w:color="auto"/>
          <w:left w:val="single" w:sz="4" w:space="4" w:color="auto"/>
          <w:bottom w:val="single" w:sz="4" w:space="1" w:color="auto"/>
          <w:right w:val="single" w:sz="4" w:space="4" w:color="auto"/>
        </w:pBdr>
        <w:rPr>
          <w:rFonts w:ascii="Arial" w:hAnsi="Arial" w:cs="Arial"/>
          <w:b/>
          <w:lang w:val="es-ES_tradnl"/>
        </w:rPr>
      </w:pPr>
      <w:r w:rsidRPr="00B94100">
        <w:rPr>
          <w:rFonts w:ascii="Arial" w:hAnsi="Arial" w:cs="Arial"/>
          <w:sz w:val="20"/>
          <w:lang w:val="es-ES_tradnl"/>
        </w:rPr>
        <w:t xml:space="preserve">Este documento fue elaborado </w:t>
      </w:r>
      <w:r>
        <w:rPr>
          <w:rFonts w:ascii="Arial" w:hAnsi="Arial" w:cs="Arial"/>
          <w:sz w:val="20"/>
          <w:lang w:val="es-ES_tradnl"/>
        </w:rPr>
        <w:t>por el consultor Luis Vaca Soto.</w:t>
      </w:r>
    </w:p>
    <w:p w14:paraId="3DACC256" w14:textId="056188C6" w:rsidR="009A49C8" w:rsidRDefault="009A49C8">
      <w:pPr>
        <w:rPr>
          <w:rFonts w:ascii="Arial" w:hAnsi="Arial" w:cs="Arial"/>
          <w:b/>
          <w:lang w:val="es-ES_tradnl"/>
        </w:rPr>
      </w:pPr>
      <w:r>
        <w:rPr>
          <w:rFonts w:ascii="Arial" w:hAnsi="Arial" w:cs="Arial"/>
          <w:b/>
          <w:lang w:val="es-ES_tradnl"/>
        </w:rPr>
        <w:br w:type="page"/>
      </w:r>
    </w:p>
    <w:p w14:paraId="52F57C5A" w14:textId="5AD4809B" w:rsidR="0066661E" w:rsidRPr="009A49C8" w:rsidRDefault="00701867" w:rsidP="009A49C8">
      <w:pPr>
        <w:jc w:val="both"/>
        <w:rPr>
          <w:rFonts w:ascii="Arial" w:hAnsi="Arial" w:cs="Arial"/>
          <w:b/>
          <w:sz w:val="28"/>
          <w:lang w:val="es-ES_tradnl"/>
        </w:rPr>
      </w:pPr>
      <w:r w:rsidRPr="009A49C8">
        <w:rPr>
          <w:rFonts w:ascii="Arial" w:hAnsi="Arial" w:cs="Arial"/>
          <w:b/>
          <w:sz w:val="28"/>
          <w:lang w:val="es-ES_tradnl"/>
        </w:rPr>
        <w:lastRenderedPageBreak/>
        <w:t>ANDE. Proyecciones financieras.</w:t>
      </w:r>
    </w:p>
    <w:p w14:paraId="0C424FD7" w14:textId="66FD9AAF" w:rsidR="00701867" w:rsidRPr="009A49C8" w:rsidRDefault="00701867" w:rsidP="009A49C8">
      <w:pPr>
        <w:jc w:val="both"/>
        <w:rPr>
          <w:rFonts w:ascii="Arial" w:hAnsi="Arial" w:cs="Arial"/>
          <w:lang w:val="es-ES_tradnl"/>
        </w:rPr>
      </w:pPr>
    </w:p>
    <w:p w14:paraId="70410C5E" w14:textId="52C138B6" w:rsidR="00701867" w:rsidRPr="009A49C8" w:rsidRDefault="00D2111B" w:rsidP="009A49C8">
      <w:pPr>
        <w:jc w:val="both"/>
        <w:rPr>
          <w:rFonts w:ascii="Arial" w:hAnsi="Arial" w:cs="Arial"/>
          <w:lang w:val="es-ES"/>
        </w:rPr>
      </w:pPr>
      <w:r w:rsidRPr="009A49C8">
        <w:rPr>
          <w:rFonts w:ascii="Arial" w:hAnsi="Arial" w:cs="Arial"/>
          <w:lang w:val="es-ES"/>
        </w:rPr>
        <w:t xml:space="preserve">Las proyecciones financieras de </w:t>
      </w:r>
      <w:r w:rsidR="009A49C8">
        <w:rPr>
          <w:rFonts w:ascii="Arial" w:hAnsi="Arial" w:cs="Arial"/>
          <w:lang w:val="es-ES"/>
        </w:rPr>
        <w:t>la Administración Nacional de Electricidad (</w:t>
      </w:r>
      <w:r w:rsidRPr="009A49C8">
        <w:rPr>
          <w:rFonts w:ascii="Arial" w:hAnsi="Arial" w:cs="Arial"/>
          <w:lang w:val="es-ES"/>
        </w:rPr>
        <w:t>ANDE</w:t>
      </w:r>
      <w:r w:rsidR="009A49C8">
        <w:rPr>
          <w:rFonts w:ascii="Arial" w:hAnsi="Arial" w:cs="Arial"/>
          <w:lang w:val="es-ES"/>
        </w:rPr>
        <w:t>)</w:t>
      </w:r>
      <w:r w:rsidRPr="009A49C8">
        <w:rPr>
          <w:rFonts w:ascii="Arial" w:hAnsi="Arial" w:cs="Arial"/>
          <w:lang w:val="es-ES"/>
        </w:rPr>
        <w:t xml:space="preserve"> para el per</w:t>
      </w:r>
      <w:r w:rsidR="00554113" w:rsidRPr="009A49C8">
        <w:rPr>
          <w:rFonts w:ascii="Arial" w:hAnsi="Arial" w:cs="Arial"/>
          <w:lang w:val="es-ES"/>
        </w:rPr>
        <w:t xml:space="preserve">íodo 2019-2026 muestran resultados satisfactorios, </w:t>
      </w:r>
      <w:r w:rsidRPr="009A49C8">
        <w:rPr>
          <w:rFonts w:ascii="Arial" w:hAnsi="Arial" w:cs="Arial"/>
          <w:lang w:val="es-ES"/>
        </w:rPr>
        <w:t>c</w:t>
      </w:r>
      <w:r w:rsidR="00701867" w:rsidRPr="009A49C8">
        <w:rPr>
          <w:rFonts w:ascii="Arial" w:hAnsi="Arial" w:cs="Arial"/>
          <w:lang w:val="es-ES"/>
        </w:rPr>
        <w:t xml:space="preserve">onsiderando </w:t>
      </w:r>
      <w:r w:rsidRPr="009A49C8">
        <w:rPr>
          <w:rFonts w:ascii="Arial" w:hAnsi="Arial" w:cs="Arial"/>
          <w:lang w:val="es-ES"/>
        </w:rPr>
        <w:t xml:space="preserve">una tasa de inflación media anual del 4,5% y el tipo de cambio resultante de proyectar con una tasa </w:t>
      </w:r>
      <w:r w:rsidR="00943E43" w:rsidRPr="009A49C8">
        <w:rPr>
          <w:rFonts w:ascii="Arial" w:hAnsi="Arial" w:cs="Arial"/>
          <w:lang w:val="es-ES"/>
        </w:rPr>
        <w:t xml:space="preserve">de devaluación </w:t>
      </w:r>
      <w:r w:rsidRPr="009A49C8">
        <w:rPr>
          <w:rFonts w:ascii="Arial" w:hAnsi="Arial" w:cs="Arial"/>
          <w:lang w:val="es-ES"/>
        </w:rPr>
        <w:t>anual del 2,4% el tipo de cambio medio de 2017 (5.600 Gs. por US</w:t>
      </w:r>
      <w:r w:rsidR="009A49C8">
        <w:rPr>
          <w:rFonts w:ascii="Arial" w:hAnsi="Arial" w:cs="Arial"/>
          <w:lang w:val="es-ES"/>
        </w:rPr>
        <w:t>$</w:t>
      </w:r>
      <w:r w:rsidRPr="009A49C8">
        <w:rPr>
          <w:rFonts w:ascii="Arial" w:hAnsi="Arial" w:cs="Arial"/>
          <w:lang w:val="es-ES"/>
        </w:rPr>
        <w:t>)</w:t>
      </w:r>
      <w:r w:rsidR="00554113" w:rsidRPr="009A49C8">
        <w:rPr>
          <w:rFonts w:ascii="Arial" w:hAnsi="Arial" w:cs="Arial"/>
          <w:lang w:val="es-ES"/>
        </w:rPr>
        <w:t>,</w:t>
      </w:r>
      <w:r w:rsidRPr="009A49C8">
        <w:rPr>
          <w:rFonts w:ascii="Arial" w:hAnsi="Arial" w:cs="Arial"/>
          <w:lang w:val="es-ES"/>
        </w:rPr>
        <w:t xml:space="preserve"> conforme a lo estimado a mediados del 2018 en </w:t>
      </w:r>
      <w:r w:rsidR="00701867" w:rsidRPr="009A49C8">
        <w:rPr>
          <w:rFonts w:ascii="Arial" w:hAnsi="Arial" w:cs="Arial"/>
          <w:lang w:val="es-ES"/>
        </w:rPr>
        <w:t>el Informe sobre las “Expectativas de las Variables Económicas (EVE) publicado por el Banco Central del Paraguay</w:t>
      </w:r>
      <w:r w:rsidR="002D6E90" w:rsidRPr="009A49C8">
        <w:rPr>
          <w:rFonts w:ascii="Arial" w:hAnsi="Arial" w:cs="Arial"/>
          <w:lang w:val="es-ES"/>
        </w:rPr>
        <w:t>.</w:t>
      </w:r>
    </w:p>
    <w:p w14:paraId="21FDE008" w14:textId="2388694D" w:rsidR="00442449" w:rsidRPr="009A49C8" w:rsidRDefault="00442449" w:rsidP="009A49C8">
      <w:pPr>
        <w:jc w:val="both"/>
        <w:rPr>
          <w:rFonts w:ascii="Arial" w:hAnsi="Arial" w:cs="Arial"/>
          <w:lang w:val="es-ES"/>
        </w:rPr>
      </w:pPr>
    </w:p>
    <w:p w14:paraId="433C7302" w14:textId="1433B227" w:rsidR="00442449" w:rsidRPr="009A49C8" w:rsidRDefault="00554113" w:rsidP="009A49C8">
      <w:pPr>
        <w:jc w:val="both"/>
        <w:rPr>
          <w:rFonts w:ascii="Arial" w:hAnsi="Arial" w:cs="Arial"/>
          <w:lang w:val="es-ES"/>
        </w:rPr>
      </w:pPr>
      <w:r w:rsidRPr="009A49C8">
        <w:rPr>
          <w:rFonts w:ascii="Arial" w:hAnsi="Arial" w:cs="Arial"/>
          <w:lang w:val="es-ES"/>
        </w:rPr>
        <w:t xml:space="preserve">Conforme a estas proyecciones, </w:t>
      </w:r>
      <w:r w:rsidR="009A49C8">
        <w:rPr>
          <w:rFonts w:ascii="Arial" w:hAnsi="Arial" w:cs="Arial"/>
          <w:lang w:val="es-ES"/>
        </w:rPr>
        <w:t xml:space="preserve">la </w:t>
      </w:r>
      <w:r w:rsidR="00442449" w:rsidRPr="009A49C8">
        <w:rPr>
          <w:rFonts w:ascii="Arial" w:hAnsi="Arial" w:cs="Arial"/>
          <w:lang w:val="es-ES"/>
        </w:rPr>
        <w:t xml:space="preserve">ANDE presenta una adecuada capacidad financiera para ejecutar las inversiones previstas durante el período, parcialmente financiadas con cooperación externa, y </w:t>
      </w:r>
      <w:r w:rsidRPr="009A49C8">
        <w:rPr>
          <w:rFonts w:ascii="Arial" w:hAnsi="Arial" w:cs="Arial"/>
          <w:lang w:val="es-ES"/>
        </w:rPr>
        <w:t xml:space="preserve">para </w:t>
      </w:r>
      <w:r w:rsidR="00442449" w:rsidRPr="009A49C8">
        <w:rPr>
          <w:rFonts w:ascii="Arial" w:hAnsi="Arial" w:cs="Arial"/>
          <w:lang w:val="es-ES"/>
        </w:rPr>
        <w:t>servir las obligaciones que contraiga a esos fines, manteniendo un adecuado flujo de caja.</w:t>
      </w:r>
    </w:p>
    <w:p w14:paraId="04A46941" w14:textId="77777777" w:rsidR="00442449" w:rsidRPr="009A49C8" w:rsidRDefault="00442449" w:rsidP="009A49C8">
      <w:pPr>
        <w:jc w:val="both"/>
        <w:rPr>
          <w:rFonts w:ascii="Arial" w:hAnsi="Arial" w:cs="Arial"/>
          <w:lang w:val="es-ES"/>
        </w:rPr>
      </w:pPr>
    </w:p>
    <w:p w14:paraId="46C53FFD" w14:textId="15F4B4C4" w:rsidR="002D6E90" w:rsidRPr="009A49C8" w:rsidRDefault="002D6E90" w:rsidP="009A49C8">
      <w:pPr>
        <w:jc w:val="both"/>
        <w:rPr>
          <w:rFonts w:ascii="Arial" w:hAnsi="Arial" w:cs="Arial"/>
          <w:lang w:val="es-ES"/>
        </w:rPr>
      </w:pPr>
      <w:r w:rsidRPr="009A49C8">
        <w:rPr>
          <w:rFonts w:ascii="Arial" w:hAnsi="Arial" w:cs="Arial"/>
          <w:lang w:val="es-ES"/>
        </w:rPr>
        <w:t>La</w:t>
      </w:r>
      <w:r w:rsidR="00442449" w:rsidRPr="009A49C8">
        <w:rPr>
          <w:rFonts w:ascii="Arial" w:hAnsi="Arial" w:cs="Arial"/>
          <w:lang w:val="es-ES"/>
        </w:rPr>
        <w:t>s</w:t>
      </w:r>
      <w:r w:rsidRPr="009A49C8">
        <w:rPr>
          <w:rFonts w:ascii="Arial" w:hAnsi="Arial" w:cs="Arial"/>
          <w:lang w:val="es-ES"/>
        </w:rPr>
        <w:t xml:space="preserve"> proyecciones financieras </w:t>
      </w:r>
      <w:r w:rsidR="00554113" w:rsidRPr="009A49C8">
        <w:rPr>
          <w:rFonts w:ascii="Arial" w:hAnsi="Arial" w:cs="Arial"/>
          <w:lang w:val="es-ES"/>
        </w:rPr>
        <w:t xml:space="preserve">incluidas al final de esta sección </w:t>
      </w:r>
      <w:r w:rsidRPr="009A49C8">
        <w:rPr>
          <w:rFonts w:ascii="Arial" w:hAnsi="Arial" w:cs="Arial"/>
          <w:lang w:val="es-ES"/>
        </w:rPr>
        <w:t>incluyen los valores ejecutados hasta junio de 2018 y</w:t>
      </w:r>
      <w:r w:rsidR="00462918" w:rsidRPr="009A49C8">
        <w:rPr>
          <w:rFonts w:ascii="Arial" w:hAnsi="Arial" w:cs="Arial"/>
          <w:lang w:val="es-ES"/>
        </w:rPr>
        <w:t>, a partir de esa fecha,</w:t>
      </w:r>
      <w:r w:rsidRPr="009A49C8">
        <w:rPr>
          <w:rFonts w:ascii="Arial" w:hAnsi="Arial" w:cs="Arial"/>
          <w:lang w:val="es-ES"/>
        </w:rPr>
        <w:t xml:space="preserve"> las proyecciones realizadas con los supuestos macroeconómicos arriba </w:t>
      </w:r>
      <w:r w:rsidR="00462918" w:rsidRPr="009A49C8">
        <w:rPr>
          <w:rFonts w:ascii="Arial" w:hAnsi="Arial" w:cs="Arial"/>
          <w:lang w:val="es-ES"/>
        </w:rPr>
        <w:t xml:space="preserve">mencionados. </w:t>
      </w:r>
    </w:p>
    <w:p w14:paraId="4D9C1082" w14:textId="3BE7021D" w:rsidR="003B58EE" w:rsidRPr="009A49C8" w:rsidRDefault="003B58EE" w:rsidP="009A49C8">
      <w:pPr>
        <w:jc w:val="both"/>
        <w:rPr>
          <w:rFonts w:ascii="Arial" w:hAnsi="Arial" w:cs="Arial"/>
          <w:lang w:val="es-ES"/>
        </w:rPr>
      </w:pPr>
    </w:p>
    <w:p w14:paraId="054B7E09" w14:textId="6BDB0D59" w:rsidR="002D6E90" w:rsidRPr="009A49C8" w:rsidRDefault="002D6E90" w:rsidP="009A49C8">
      <w:pPr>
        <w:jc w:val="both"/>
        <w:rPr>
          <w:rFonts w:ascii="Arial" w:hAnsi="Arial" w:cs="Arial"/>
          <w:lang w:val="es-ES"/>
        </w:rPr>
      </w:pPr>
      <w:r w:rsidRPr="009A49C8">
        <w:rPr>
          <w:rFonts w:ascii="Arial" w:hAnsi="Arial" w:cs="Arial"/>
          <w:lang w:val="es-ES"/>
        </w:rPr>
        <w:t>Los principales componentes de las proyecciones</w:t>
      </w:r>
      <w:r w:rsidR="00462918" w:rsidRPr="009A49C8">
        <w:rPr>
          <w:rFonts w:ascii="Arial" w:hAnsi="Arial" w:cs="Arial"/>
          <w:lang w:val="es-ES"/>
        </w:rPr>
        <w:t xml:space="preserve"> financieras</w:t>
      </w:r>
      <w:r w:rsidRPr="009A49C8">
        <w:rPr>
          <w:rFonts w:ascii="Arial" w:hAnsi="Arial" w:cs="Arial"/>
          <w:lang w:val="es-ES"/>
        </w:rPr>
        <w:t xml:space="preserve"> incluyen: </w:t>
      </w:r>
    </w:p>
    <w:p w14:paraId="5A9F4504" w14:textId="77777777" w:rsidR="003B58EE" w:rsidRPr="009A49C8" w:rsidRDefault="003B58EE" w:rsidP="009A49C8">
      <w:pPr>
        <w:jc w:val="both"/>
        <w:rPr>
          <w:rFonts w:ascii="Arial" w:hAnsi="Arial" w:cs="Arial"/>
          <w:lang w:val="es-ES"/>
        </w:rPr>
      </w:pPr>
    </w:p>
    <w:p w14:paraId="50402C4A" w14:textId="77322AC2" w:rsidR="00611DFC" w:rsidRPr="009A49C8" w:rsidRDefault="00611DFC" w:rsidP="009A49C8">
      <w:pPr>
        <w:jc w:val="both"/>
        <w:rPr>
          <w:rFonts w:ascii="Arial" w:hAnsi="Arial" w:cs="Arial"/>
          <w:lang w:val="es-ES"/>
        </w:rPr>
      </w:pPr>
      <w:r w:rsidRPr="009A49C8">
        <w:rPr>
          <w:rFonts w:ascii="Arial" w:hAnsi="Arial" w:cs="Arial"/>
          <w:b/>
          <w:lang w:val="es-ES"/>
        </w:rPr>
        <w:t>A</w:t>
      </w:r>
      <w:r w:rsidRPr="009A49C8">
        <w:rPr>
          <w:rFonts w:ascii="Arial" w:hAnsi="Arial" w:cs="Arial"/>
          <w:lang w:val="es-ES"/>
        </w:rPr>
        <w:t xml:space="preserve">. </w:t>
      </w:r>
      <w:r w:rsidRPr="009A49C8">
        <w:rPr>
          <w:rFonts w:ascii="Arial" w:hAnsi="Arial" w:cs="Arial"/>
          <w:b/>
          <w:lang w:val="es-ES"/>
        </w:rPr>
        <w:t>Ingresos</w:t>
      </w:r>
    </w:p>
    <w:p w14:paraId="6AD2FADD" w14:textId="77777777" w:rsidR="00554113" w:rsidRPr="009A49C8" w:rsidRDefault="00554113" w:rsidP="009A49C8">
      <w:pPr>
        <w:jc w:val="both"/>
        <w:rPr>
          <w:rFonts w:ascii="Arial" w:hAnsi="Arial" w:cs="Arial"/>
          <w:lang w:val="es-ES"/>
        </w:rPr>
      </w:pPr>
    </w:p>
    <w:p w14:paraId="6AD940BF" w14:textId="74F078A1" w:rsidR="002D6E90" w:rsidRPr="009A49C8" w:rsidRDefault="007E4557" w:rsidP="009A49C8">
      <w:pPr>
        <w:ind w:left="810" w:hanging="360"/>
        <w:jc w:val="both"/>
        <w:rPr>
          <w:rFonts w:ascii="Arial" w:hAnsi="Arial" w:cs="Arial"/>
          <w:lang w:val="es-ES"/>
        </w:rPr>
      </w:pPr>
      <w:r w:rsidRPr="009A49C8">
        <w:rPr>
          <w:rFonts w:ascii="Arial" w:hAnsi="Arial" w:cs="Arial"/>
          <w:lang w:val="es-ES"/>
        </w:rPr>
        <w:t xml:space="preserve">(a) </w:t>
      </w:r>
      <w:r w:rsidR="00611DFC" w:rsidRPr="009A49C8">
        <w:rPr>
          <w:rFonts w:ascii="Arial" w:hAnsi="Arial" w:cs="Arial"/>
          <w:b/>
          <w:lang w:val="es-ES"/>
        </w:rPr>
        <w:t xml:space="preserve">Saldo de </w:t>
      </w:r>
      <w:proofErr w:type="gramStart"/>
      <w:r w:rsidR="00611DFC" w:rsidRPr="009A49C8">
        <w:rPr>
          <w:rFonts w:ascii="Arial" w:hAnsi="Arial" w:cs="Arial"/>
          <w:b/>
          <w:lang w:val="es-ES"/>
        </w:rPr>
        <w:t>caja</w:t>
      </w:r>
      <w:proofErr w:type="gramEnd"/>
      <w:r w:rsidR="00611DFC" w:rsidRPr="009A49C8">
        <w:rPr>
          <w:rFonts w:ascii="Arial" w:hAnsi="Arial" w:cs="Arial"/>
          <w:lang w:val="es-ES"/>
        </w:rPr>
        <w:t xml:space="preserve">. </w:t>
      </w:r>
      <w:r w:rsidRPr="009A49C8">
        <w:rPr>
          <w:rFonts w:ascii="Arial" w:hAnsi="Arial" w:cs="Arial"/>
          <w:lang w:val="es-ES"/>
        </w:rPr>
        <w:t>E</w:t>
      </w:r>
      <w:r w:rsidR="002D6E90" w:rsidRPr="009A49C8">
        <w:rPr>
          <w:rFonts w:ascii="Arial" w:hAnsi="Arial" w:cs="Arial"/>
          <w:lang w:val="es-ES"/>
        </w:rPr>
        <w:t>l saldo disponible de</w:t>
      </w:r>
      <w:r w:rsidR="005F4E28" w:rsidRPr="009A49C8">
        <w:rPr>
          <w:rFonts w:ascii="Arial" w:hAnsi="Arial" w:cs="Arial"/>
          <w:lang w:val="es-ES"/>
        </w:rPr>
        <w:t xml:space="preserve"> </w:t>
      </w:r>
      <w:proofErr w:type="gramStart"/>
      <w:r w:rsidR="005F4E28" w:rsidRPr="009A49C8">
        <w:rPr>
          <w:rFonts w:ascii="Arial" w:hAnsi="Arial" w:cs="Arial"/>
          <w:lang w:val="es-ES"/>
        </w:rPr>
        <w:t>caja</w:t>
      </w:r>
      <w:proofErr w:type="gramEnd"/>
      <w:r w:rsidR="002D6E90" w:rsidRPr="009A49C8">
        <w:rPr>
          <w:rFonts w:ascii="Arial" w:hAnsi="Arial" w:cs="Arial"/>
          <w:lang w:val="es-ES"/>
        </w:rPr>
        <w:t xml:space="preserve"> a comienzos de 2018; </w:t>
      </w:r>
    </w:p>
    <w:p w14:paraId="77AFE9A4" w14:textId="77777777" w:rsidR="00554113" w:rsidRPr="009A49C8" w:rsidRDefault="00554113" w:rsidP="009A49C8">
      <w:pPr>
        <w:ind w:left="810" w:hanging="360"/>
        <w:jc w:val="both"/>
        <w:rPr>
          <w:rFonts w:ascii="Arial" w:hAnsi="Arial" w:cs="Arial"/>
          <w:lang w:val="es-ES"/>
        </w:rPr>
      </w:pPr>
    </w:p>
    <w:p w14:paraId="3580D5D9" w14:textId="72195262" w:rsidR="002D6E90" w:rsidRPr="009A49C8" w:rsidRDefault="002D6E90" w:rsidP="009A49C8">
      <w:pPr>
        <w:ind w:left="810" w:hanging="360"/>
        <w:jc w:val="both"/>
        <w:rPr>
          <w:rFonts w:ascii="Arial" w:hAnsi="Arial" w:cs="Arial"/>
          <w:lang w:val="es-ES"/>
        </w:rPr>
      </w:pPr>
      <w:r w:rsidRPr="009A49C8">
        <w:rPr>
          <w:rFonts w:ascii="Arial" w:hAnsi="Arial" w:cs="Arial"/>
          <w:lang w:val="es-ES"/>
        </w:rPr>
        <w:t xml:space="preserve">(b) </w:t>
      </w:r>
      <w:r w:rsidR="007E4557" w:rsidRPr="009A49C8">
        <w:rPr>
          <w:rFonts w:ascii="Arial" w:hAnsi="Arial" w:cs="Arial"/>
          <w:b/>
          <w:lang w:val="es-ES"/>
        </w:rPr>
        <w:t>I</w:t>
      </w:r>
      <w:r w:rsidRPr="009A49C8">
        <w:rPr>
          <w:rFonts w:ascii="Arial" w:hAnsi="Arial" w:cs="Arial"/>
          <w:b/>
          <w:lang w:val="es-ES"/>
        </w:rPr>
        <w:t>ngresos de explotaci</w:t>
      </w:r>
      <w:r w:rsidR="007E4557" w:rsidRPr="009A49C8">
        <w:rPr>
          <w:rFonts w:ascii="Arial" w:hAnsi="Arial" w:cs="Arial"/>
          <w:b/>
          <w:lang w:val="es-ES"/>
        </w:rPr>
        <w:t>ón</w:t>
      </w:r>
      <w:r w:rsidR="00611DFC" w:rsidRPr="009A49C8">
        <w:rPr>
          <w:rFonts w:ascii="Arial" w:hAnsi="Arial" w:cs="Arial"/>
          <w:b/>
          <w:lang w:val="es-ES"/>
        </w:rPr>
        <w:t>.</w:t>
      </w:r>
      <w:r w:rsidR="007E4557" w:rsidRPr="009A49C8">
        <w:rPr>
          <w:rFonts w:ascii="Arial" w:hAnsi="Arial" w:cs="Arial"/>
          <w:lang w:val="es-ES"/>
        </w:rPr>
        <w:t xml:space="preserve"> </w:t>
      </w:r>
      <w:r w:rsidR="00611DFC" w:rsidRPr="009A49C8">
        <w:rPr>
          <w:rFonts w:ascii="Arial" w:hAnsi="Arial" w:cs="Arial"/>
          <w:lang w:val="es-ES"/>
        </w:rPr>
        <w:t xml:space="preserve">Ingresos </w:t>
      </w:r>
      <w:r w:rsidR="007E4557" w:rsidRPr="009A49C8">
        <w:rPr>
          <w:rFonts w:ascii="Arial" w:hAnsi="Arial" w:cs="Arial"/>
          <w:lang w:val="es-ES"/>
        </w:rPr>
        <w:t>provenientes de: (i) l</w:t>
      </w:r>
      <w:r w:rsidRPr="009A49C8">
        <w:rPr>
          <w:rFonts w:ascii="Arial" w:hAnsi="Arial" w:cs="Arial"/>
          <w:lang w:val="es-ES"/>
        </w:rPr>
        <w:t>as ventas de elect</w:t>
      </w:r>
      <w:r w:rsidR="008F5923" w:rsidRPr="009A49C8">
        <w:rPr>
          <w:rFonts w:ascii="Arial" w:hAnsi="Arial" w:cs="Arial"/>
          <w:lang w:val="es-ES"/>
        </w:rPr>
        <w:t xml:space="preserve">ricidad al mercado </w:t>
      </w:r>
      <w:r w:rsidRPr="009A49C8">
        <w:rPr>
          <w:rFonts w:ascii="Arial" w:hAnsi="Arial" w:cs="Arial"/>
          <w:lang w:val="es-ES"/>
        </w:rPr>
        <w:t>local a la t</w:t>
      </w:r>
      <w:r w:rsidR="007E4557" w:rsidRPr="009A49C8">
        <w:rPr>
          <w:rFonts w:ascii="Arial" w:hAnsi="Arial" w:cs="Arial"/>
          <w:lang w:val="es-ES"/>
        </w:rPr>
        <w:t>arifa promedio de US</w:t>
      </w:r>
      <w:r w:rsidR="009A49C8">
        <w:rPr>
          <w:rFonts w:ascii="Arial" w:hAnsi="Arial" w:cs="Arial"/>
          <w:lang w:val="es-ES"/>
        </w:rPr>
        <w:t>$</w:t>
      </w:r>
      <w:r w:rsidR="007E4557" w:rsidRPr="009A49C8">
        <w:rPr>
          <w:rFonts w:ascii="Arial" w:hAnsi="Arial" w:cs="Arial"/>
          <w:lang w:val="es-ES"/>
        </w:rPr>
        <w:t xml:space="preserve"> 63,9 por </w:t>
      </w:r>
      <w:proofErr w:type="spellStart"/>
      <w:r w:rsidR="007E4557" w:rsidRPr="009A49C8">
        <w:rPr>
          <w:rFonts w:ascii="Arial" w:hAnsi="Arial" w:cs="Arial"/>
          <w:lang w:val="es-ES"/>
        </w:rPr>
        <w:t>M</w:t>
      </w:r>
      <w:r w:rsidRPr="009A49C8">
        <w:rPr>
          <w:rFonts w:ascii="Arial" w:hAnsi="Arial" w:cs="Arial"/>
          <w:lang w:val="es-ES"/>
        </w:rPr>
        <w:t>Wh</w:t>
      </w:r>
      <w:proofErr w:type="spellEnd"/>
      <w:r w:rsidRPr="009A49C8">
        <w:rPr>
          <w:rFonts w:ascii="Arial" w:hAnsi="Arial" w:cs="Arial"/>
          <w:lang w:val="es-ES"/>
        </w:rPr>
        <w:t xml:space="preserve"> del a</w:t>
      </w:r>
      <w:r w:rsidR="007E4557" w:rsidRPr="009A49C8">
        <w:rPr>
          <w:rFonts w:ascii="Arial" w:hAnsi="Arial" w:cs="Arial"/>
          <w:lang w:val="es-ES"/>
        </w:rPr>
        <w:t>ño 2017 y (ii) l</w:t>
      </w:r>
      <w:r w:rsidRPr="009A49C8">
        <w:rPr>
          <w:rFonts w:ascii="Arial" w:hAnsi="Arial" w:cs="Arial"/>
          <w:lang w:val="es-ES"/>
        </w:rPr>
        <w:t xml:space="preserve">as ventas al mercado argentino </w:t>
      </w:r>
      <w:r w:rsidR="007E4557" w:rsidRPr="009A49C8">
        <w:rPr>
          <w:rFonts w:ascii="Arial" w:hAnsi="Arial" w:cs="Arial"/>
          <w:lang w:val="es-ES"/>
        </w:rPr>
        <w:t xml:space="preserve">a través </w:t>
      </w:r>
      <w:r w:rsidR="008F5923" w:rsidRPr="009A49C8">
        <w:rPr>
          <w:rFonts w:ascii="Arial" w:hAnsi="Arial" w:cs="Arial"/>
          <w:lang w:val="es-ES"/>
        </w:rPr>
        <w:t>de</w:t>
      </w:r>
      <w:r w:rsidR="007E4557" w:rsidRPr="009A49C8">
        <w:rPr>
          <w:rFonts w:ascii="Arial" w:hAnsi="Arial" w:cs="Arial"/>
          <w:lang w:val="es-ES"/>
        </w:rPr>
        <w:t xml:space="preserve"> la interconexión Carlos Antonio López-El Dorado a una tarifa media de US</w:t>
      </w:r>
      <w:r w:rsidR="009A49C8">
        <w:rPr>
          <w:rFonts w:ascii="Arial" w:hAnsi="Arial" w:cs="Arial"/>
          <w:lang w:val="es-ES"/>
        </w:rPr>
        <w:t>$</w:t>
      </w:r>
      <w:r w:rsidR="007E4557" w:rsidRPr="009A49C8">
        <w:rPr>
          <w:rFonts w:ascii="Arial" w:hAnsi="Arial" w:cs="Arial"/>
          <w:lang w:val="es-ES"/>
        </w:rPr>
        <w:t xml:space="preserve"> 140 por </w:t>
      </w:r>
      <w:proofErr w:type="spellStart"/>
      <w:r w:rsidR="007E4557" w:rsidRPr="009A49C8">
        <w:rPr>
          <w:rFonts w:ascii="Arial" w:hAnsi="Arial" w:cs="Arial"/>
          <w:lang w:val="es-ES"/>
        </w:rPr>
        <w:t>MWh</w:t>
      </w:r>
      <w:proofErr w:type="spellEnd"/>
      <w:r w:rsidR="007E4557" w:rsidRPr="009A49C8">
        <w:rPr>
          <w:rFonts w:ascii="Arial" w:hAnsi="Arial" w:cs="Arial"/>
          <w:lang w:val="es-ES"/>
        </w:rPr>
        <w:t xml:space="preserve">. </w:t>
      </w:r>
    </w:p>
    <w:p w14:paraId="3B7B3A55" w14:textId="77777777" w:rsidR="00554113" w:rsidRPr="009A49C8" w:rsidRDefault="007E4557" w:rsidP="009A49C8">
      <w:pPr>
        <w:ind w:left="810" w:hanging="360"/>
        <w:jc w:val="both"/>
        <w:rPr>
          <w:rFonts w:ascii="Arial" w:hAnsi="Arial" w:cs="Arial"/>
          <w:lang w:val="es-ES"/>
        </w:rPr>
      </w:pPr>
      <w:r w:rsidRPr="009A49C8">
        <w:rPr>
          <w:rFonts w:ascii="Arial" w:hAnsi="Arial" w:cs="Arial"/>
          <w:lang w:val="es-ES"/>
        </w:rPr>
        <w:t>(</w:t>
      </w:r>
    </w:p>
    <w:p w14:paraId="1C1DBA5A" w14:textId="32A33D81" w:rsidR="007E4557" w:rsidRPr="009A49C8" w:rsidRDefault="007E4557" w:rsidP="009A49C8">
      <w:pPr>
        <w:ind w:left="810" w:hanging="360"/>
        <w:jc w:val="both"/>
        <w:rPr>
          <w:rFonts w:ascii="Arial" w:hAnsi="Arial" w:cs="Arial"/>
          <w:lang w:val="es-ES"/>
        </w:rPr>
      </w:pPr>
      <w:r w:rsidRPr="009A49C8">
        <w:rPr>
          <w:rFonts w:ascii="Arial" w:hAnsi="Arial" w:cs="Arial"/>
          <w:lang w:val="es-ES"/>
        </w:rPr>
        <w:t xml:space="preserve">c) </w:t>
      </w:r>
      <w:r w:rsidRPr="009A49C8">
        <w:rPr>
          <w:rFonts w:ascii="Arial" w:hAnsi="Arial" w:cs="Arial"/>
          <w:b/>
          <w:lang w:val="es-ES"/>
        </w:rPr>
        <w:t>Ingresos ajenos a la explotación</w:t>
      </w:r>
      <w:r w:rsidR="00611DFC" w:rsidRPr="009A49C8">
        <w:rPr>
          <w:rFonts w:ascii="Arial" w:hAnsi="Arial" w:cs="Arial"/>
          <w:lang w:val="es-ES"/>
        </w:rPr>
        <w:t xml:space="preserve">. Ingresos </w:t>
      </w:r>
      <w:r w:rsidRPr="009A49C8">
        <w:rPr>
          <w:rFonts w:ascii="Arial" w:hAnsi="Arial" w:cs="Arial"/>
          <w:lang w:val="es-ES"/>
        </w:rPr>
        <w:t xml:space="preserve">provenientes de las utilidades de capital y resarcimientos provenientes de la Entidad Binacional Itaipú. No se han considerado ingresos similares provenientes de la Entidad Binacional </w:t>
      </w:r>
      <w:proofErr w:type="spellStart"/>
      <w:r w:rsidRPr="009A49C8">
        <w:rPr>
          <w:rFonts w:ascii="Arial" w:hAnsi="Arial" w:cs="Arial"/>
          <w:lang w:val="es-ES"/>
        </w:rPr>
        <w:t>Yacyretá</w:t>
      </w:r>
      <w:proofErr w:type="spellEnd"/>
      <w:r w:rsidRPr="009A49C8">
        <w:rPr>
          <w:rFonts w:ascii="Arial" w:hAnsi="Arial" w:cs="Arial"/>
          <w:lang w:val="es-ES"/>
        </w:rPr>
        <w:t>.</w:t>
      </w:r>
    </w:p>
    <w:p w14:paraId="30E62810" w14:textId="77777777" w:rsidR="00554113" w:rsidRPr="009A49C8" w:rsidRDefault="00554113" w:rsidP="009A49C8">
      <w:pPr>
        <w:ind w:left="810" w:hanging="360"/>
        <w:jc w:val="both"/>
        <w:rPr>
          <w:rFonts w:ascii="Arial" w:hAnsi="Arial" w:cs="Arial"/>
          <w:lang w:val="es-ES"/>
        </w:rPr>
      </w:pPr>
    </w:p>
    <w:p w14:paraId="65D1E7A3" w14:textId="017998C3" w:rsidR="007E4557" w:rsidRPr="009A49C8" w:rsidRDefault="007E4557" w:rsidP="009A49C8">
      <w:pPr>
        <w:ind w:left="810" w:hanging="360"/>
        <w:jc w:val="both"/>
        <w:rPr>
          <w:rFonts w:ascii="Arial" w:hAnsi="Arial" w:cs="Arial"/>
          <w:lang w:val="es-ES"/>
        </w:rPr>
      </w:pPr>
      <w:r w:rsidRPr="009A49C8">
        <w:rPr>
          <w:rFonts w:ascii="Arial" w:hAnsi="Arial" w:cs="Arial"/>
          <w:lang w:val="es-ES"/>
        </w:rPr>
        <w:t xml:space="preserve">(d) </w:t>
      </w:r>
      <w:r w:rsidRPr="009A49C8">
        <w:rPr>
          <w:rFonts w:ascii="Arial" w:hAnsi="Arial" w:cs="Arial"/>
          <w:b/>
          <w:lang w:val="es-ES"/>
        </w:rPr>
        <w:t>Otros ingresos menores</w:t>
      </w:r>
      <w:r w:rsidR="00611DFC" w:rsidRPr="009A49C8">
        <w:rPr>
          <w:rFonts w:ascii="Arial" w:hAnsi="Arial" w:cs="Arial"/>
          <w:b/>
          <w:lang w:val="es-ES"/>
        </w:rPr>
        <w:t>.</w:t>
      </w:r>
      <w:r w:rsidRPr="009A49C8">
        <w:rPr>
          <w:rFonts w:ascii="Arial" w:hAnsi="Arial" w:cs="Arial"/>
          <w:lang w:val="es-ES"/>
        </w:rPr>
        <w:t xml:space="preserve"> </w:t>
      </w:r>
      <w:r w:rsidR="00611DFC" w:rsidRPr="009A49C8">
        <w:rPr>
          <w:rFonts w:ascii="Arial" w:hAnsi="Arial" w:cs="Arial"/>
          <w:lang w:val="es-ES"/>
        </w:rPr>
        <w:t xml:space="preserve">Ingresos </w:t>
      </w:r>
      <w:r w:rsidRPr="009A49C8">
        <w:rPr>
          <w:rFonts w:ascii="Arial" w:hAnsi="Arial" w:cs="Arial"/>
          <w:lang w:val="es-ES"/>
        </w:rPr>
        <w:t>tales como los provenientes de cobros de conexiones y desconexiones, intereses por mora en los pagos y alquileres de equipos.</w:t>
      </w:r>
    </w:p>
    <w:p w14:paraId="5A869781" w14:textId="77777777" w:rsidR="00554113" w:rsidRPr="009A49C8" w:rsidRDefault="00554113" w:rsidP="009A49C8">
      <w:pPr>
        <w:ind w:left="810" w:hanging="360"/>
        <w:jc w:val="both"/>
        <w:rPr>
          <w:rFonts w:ascii="Arial" w:hAnsi="Arial" w:cs="Arial"/>
          <w:lang w:val="es-ES"/>
        </w:rPr>
      </w:pPr>
    </w:p>
    <w:p w14:paraId="74B2F00F" w14:textId="507A60ED" w:rsidR="007E4557" w:rsidRPr="009A49C8" w:rsidRDefault="007E4557" w:rsidP="009A49C8">
      <w:pPr>
        <w:ind w:left="810" w:hanging="360"/>
        <w:jc w:val="both"/>
        <w:rPr>
          <w:rFonts w:ascii="Arial" w:hAnsi="Arial" w:cs="Arial"/>
          <w:lang w:val="es-ES"/>
        </w:rPr>
      </w:pPr>
      <w:r w:rsidRPr="009A49C8">
        <w:rPr>
          <w:rFonts w:ascii="Arial" w:hAnsi="Arial" w:cs="Arial"/>
          <w:lang w:val="es-ES"/>
        </w:rPr>
        <w:t xml:space="preserve">(e) </w:t>
      </w:r>
      <w:r w:rsidR="00DE5C15" w:rsidRPr="009A49C8">
        <w:rPr>
          <w:rFonts w:ascii="Arial" w:hAnsi="Arial" w:cs="Arial"/>
          <w:b/>
          <w:lang w:val="es-ES"/>
        </w:rPr>
        <w:t>Desembolsos de préstamos</w:t>
      </w:r>
      <w:r w:rsidR="00611DFC" w:rsidRPr="009A49C8">
        <w:rPr>
          <w:rFonts w:ascii="Arial" w:hAnsi="Arial" w:cs="Arial"/>
          <w:b/>
          <w:lang w:val="es-ES"/>
        </w:rPr>
        <w:t xml:space="preserve">. </w:t>
      </w:r>
      <w:r w:rsidR="00611DFC" w:rsidRPr="009A49C8">
        <w:rPr>
          <w:rFonts w:ascii="Arial" w:hAnsi="Arial" w:cs="Arial"/>
          <w:lang w:val="es-ES"/>
        </w:rPr>
        <w:t>Desembolsos de préstamos</w:t>
      </w:r>
      <w:r w:rsidR="00DE5C15" w:rsidRPr="009A49C8">
        <w:rPr>
          <w:rFonts w:ascii="Arial" w:hAnsi="Arial" w:cs="Arial"/>
          <w:lang w:val="es-ES"/>
        </w:rPr>
        <w:t xml:space="preserve"> otorgados </w:t>
      </w:r>
      <w:r w:rsidR="00462918" w:rsidRPr="009A49C8">
        <w:rPr>
          <w:rFonts w:ascii="Arial" w:hAnsi="Arial" w:cs="Arial"/>
          <w:lang w:val="es-ES"/>
        </w:rPr>
        <w:t xml:space="preserve">o en curso de otorgamiento </w:t>
      </w:r>
      <w:r w:rsidR="00DE5C15" w:rsidRPr="009A49C8">
        <w:rPr>
          <w:rFonts w:ascii="Arial" w:hAnsi="Arial" w:cs="Arial"/>
          <w:lang w:val="es-ES"/>
        </w:rPr>
        <w:t>para el financiamiento de proyectos de inversiones provenientes del Banco Interamericano de Desarrollo (BID), el Banco Mundial (BIRF), la Corporación Andina de Fomento (CAF), el Fondo de la Organización de los Países</w:t>
      </w:r>
      <w:r w:rsidR="00462918" w:rsidRPr="009A49C8">
        <w:rPr>
          <w:rFonts w:ascii="Arial" w:hAnsi="Arial" w:cs="Arial"/>
          <w:lang w:val="es-ES"/>
        </w:rPr>
        <w:t xml:space="preserve"> Exportadores de Petró</w:t>
      </w:r>
      <w:r w:rsidR="00DE5C15" w:rsidRPr="009A49C8">
        <w:rPr>
          <w:rFonts w:ascii="Arial" w:hAnsi="Arial" w:cs="Arial"/>
          <w:lang w:val="es-ES"/>
        </w:rPr>
        <w:t>leo</w:t>
      </w:r>
      <w:r w:rsidR="00462918" w:rsidRPr="009A49C8">
        <w:rPr>
          <w:rFonts w:ascii="Arial" w:hAnsi="Arial" w:cs="Arial"/>
          <w:lang w:val="es-ES"/>
        </w:rPr>
        <w:t xml:space="preserve"> para el Desarrollo Internacional (OFID) y el Banco Europeo de Inversiones (BEI).</w:t>
      </w:r>
      <w:r w:rsidR="00DE5C15" w:rsidRPr="009A49C8">
        <w:rPr>
          <w:rFonts w:ascii="Arial" w:hAnsi="Arial" w:cs="Arial"/>
          <w:lang w:val="es-ES"/>
        </w:rPr>
        <w:t xml:space="preserve"> </w:t>
      </w:r>
      <w:r w:rsidR="00462918" w:rsidRPr="009A49C8">
        <w:rPr>
          <w:rFonts w:ascii="Arial" w:hAnsi="Arial" w:cs="Arial"/>
          <w:lang w:val="es-ES"/>
        </w:rPr>
        <w:t xml:space="preserve">Los proyectos considerados incluyen: (i) </w:t>
      </w:r>
      <w:r w:rsidR="001D50A9" w:rsidRPr="009A49C8">
        <w:rPr>
          <w:rFonts w:ascii="Arial" w:hAnsi="Arial" w:cs="Arial"/>
          <w:lang w:val="es-ES"/>
        </w:rPr>
        <w:t xml:space="preserve">el Proyecto (en preparación) de Mejoramiento del Sistema de Transmisión y Distribución de Electricidad del Sistema Metropolitano de Paraguay – Fase II (CAF y BEI); (ii) el Programa de Fortalecimiento de Transmisión del Sistema </w:t>
      </w:r>
      <w:r w:rsidR="001D50A9" w:rsidRPr="009A49C8">
        <w:rPr>
          <w:rFonts w:ascii="Arial" w:hAnsi="Arial" w:cs="Arial"/>
          <w:lang w:val="es-ES"/>
        </w:rPr>
        <w:lastRenderedPageBreak/>
        <w:t xml:space="preserve">Interconectado Nacional y de Distribución Eléctrica Rural CAF); y (iii) el </w:t>
      </w:r>
      <w:r w:rsidR="00F3474F" w:rsidRPr="009A49C8">
        <w:rPr>
          <w:rFonts w:ascii="Arial" w:hAnsi="Arial" w:cs="Arial"/>
          <w:lang w:val="es-ES"/>
        </w:rPr>
        <w:t xml:space="preserve">Programa de Rehabilitación y Modernización de </w:t>
      </w:r>
      <w:r w:rsidR="00611DFC" w:rsidRPr="009A49C8">
        <w:rPr>
          <w:rFonts w:ascii="Arial" w:hAnsi="Arial" w:cs="Arial"/>
          <w:lang w:val="es-ES"/>
        </w:rPr>
        <w:t xml:space="preserve">la Central Hidroeléctrica </w:t>
      </w:r>
      <w:proofErr w:type="spellStart"/>
      <w:r w:rsidR="00611DFC" w:rsidRPr="009A49C8">
        <w:rPr>
          <w:rFonts w:ascii="Arial" w:hAnsi="Arial" w:cs="Arial"/>
          <w:lang w:val="es-ES"/>
        </w:rPr>
        <w:t>Acaray</w:t>
      </w:r>
      <w:proofErr w:type="spellEnd"/>
      <w:r w:rsidR="00611DFC" w:rsidRPr="009A49C8">
        <w:rPr>
          <w:rFonts w:ascii="Arial" w:hAnsi="Arial" w:cs="Arial"/>
          <w:lang w:val="es-ES"/>
        </w:rPr>
        <w:t xml:space="preserve"> (BIRF – en preparación).  </w:t>
      </w:r>
    </w:p>
    <w:p w14:paraId="2ACDCC16" w14:textId="77777777" w:rsidR="003B58EE" w:rsidRPr="009A49C8" w:rsidRDefault="003B58EE" w:rsidP="009A49C8">
      <w:pPr>
        <w:jc w:val="both"/>
        <w:rPr>
          <w:rFonts w:ascii="Arial" w:hAnsi="Arial" w:cs="Arial"/>
          <w:lang w:val="es-ES"/>
        </w:rPr>
      </w:pPr>
    </w:p>
    <w:p w14:paraId="29A3008A" w14:textId="2B27A410" w:rsidR="00611DFC" w:rsidRPr="009A49C8" w:rsidRDefault="00611DFC" w:rsidP="009A49C8">
      <w:pPr>
        <w:jc w:val="both"/>
        <w:rPr>
          <w:rFonts w:ascii="Arial" w:hAnsi="Arial" w:cs="Arial"/>
          <w:b/>
          <w:lang w:val="es-ES"/>
        </w:rPr>
      </w:pPr>
      <w:r w:rsidRPr="009A49C8">
        <w:rPr>
          <w:rFonts w:ascii="Arial" w:hAnsi="Arial" w:cs="Arial"/>
          <w:b/>
          <w:lang w:val="es-ES"/>
        </w:rPr>
        <w:t>B. Egresos</w:t>
      </w:r>
    </w:p>
    <w:p w14:paraId="5A171A74" w14:textId="77777777" w:rsidR="00554113" w:rsidRPr="009A49C8" w:rsidRDefault="00554113" w:rsidP="009A49C8">
      <w:pPr>
        <w:jc w:val="both"/>
        <w:rPr>
          <w:rFonts w:ascii="Arial" w:hAnsi="Arial" w:cs="Arial"/>
          <w:lang w:val="es-ES"/>
        </w:rPr>
      </w:pPr>
    </w:p>
    <w:p w14:paraId="39825D54" w14:textId="786F1F77" w:rsidR="00611DFC" w:rsidRPr="009A49C8" w:rsidRDefault="00611DFC" w:rsidP="009A49C8">
      <w:pPr>
        <w:ind w:left="810" w:hanging="450"/>
        <w:jc w:val="both"/>
        <w:rPr>
          <w:rFonts w:ascii="Arial" w:hAnsi="Arial" w:cs="Arial"/>
          <w:lang w:val="es-ES"/>
        </w:rPr>
      </w:pPr>
      <w:r w:rsidRPr="009A49C8">
        <w:rPr>
          <w:rFonts w:ascii="Arial" w:hAnsi="Arial" w:cs="Arial"/>
          <w:lang w:val="es-ES"/>
        </w:rPr>
        <w:t xml:space="preserve">(a) </w:t>
      </w:r>
      <w:r w:rsidRPr="009A49C8">
        <w:rPr>
          <w:rFonts w:ascii="Arial" w:hAnsi="Arial" w:cs="Arial"/>
          <w:b/>
          <w:lang w:val="es-ES"/>
        </w:rPr>
        <w:t>Gastos de Explotación</w:t>
      </w:r>
      <w:r w:rsidRPr="009A49C8">
        <w:rPr>
          <w:rFonts w:ascii="Arial" w:hAnsi="Arial" w:cs="Arial"/>
          <w:lang w:val="es-ES"/>
        </w:rPr>
        <w:t xml:space="preserve">. Incluyen los gastos de generación, transmisión, distribución, comercialización, administración y generales. </w:t>
      </w:r>
    </w:p>
    <w:p w14:paraId="264499D1" w14:textId="77777777" w:rsidR="00554113" w:rsidRPr="009A49C8" w:rsidRDefault="00554113" w:rsidP="009A49C8">
      <w:pPr>
        <w:ind w:left="810" w:hanging="450"/>
        <w:jc w:val="both"/>
        <w:rPr>
          <w:rFonts w:ascii="Arial" w:hAnsi="Arial" w:cs="Arial"/>
          <w:lang w:val="es-ES"/>
        </w:rPr>
      </w:pPr>
    </w:p>
    <w:p w14:paraId="26AA86AF" w14:textId="435EC8A7" w:rsidR="00611DFC" w:rsidRPr="009A49C8" w:rsidRDefault="00611DFC" w:rsidP="009A49C8">
      <w:pPr>
        <w:ind w:left="810" w:hanging="450"/>
        <w:jc w:val="both"/>
        <w:rPr>
          <w:rFonts w:ascii="Arial" w:hAnsi="Arial" w:cs="Arial"/>
          <w:lang w:val="es-ES"/>
        </w:rPr>
      </w:pPr>
      <w:r w:rsidRPr="009A49C8">
        <w:rPr>
          <w:rFonts w:ascii="Arial" w:hAnsi="Arial" w:cs="Arial"/>
          <w:lang w:val="es-ES"/>
        </w:rPr>
        <w:t xml:space="preserve">(b) </w:t>
      </w:r>
      <w:r w:rsidRPr="009A49C8">
        <w:rPr>
          <w:rFonts w:ascii="Arial" w:hAnsi="Arial" w:cs="Arial"/>
          <w:b/>
          <w:lang w:val="es-ES"/>
        </w:rPr>
        <w:t>Compra de energía</w:t>
      </w:r>
      <w:r w:rsidRPr="009A49C8">
        <w:rPr>
          <w:rFonts w:ascii="Arial" w:hAnsi="Arial" w:cs="Arial"/>
          <w:lang w:val="es-ES"/>
        </w:rPr>
        <w:t xml:space="preserve">. Incluye la compra de energía eléctrica a las Entidades Binacionales Itaipú y </w:t>
      </w:r>
      <w:proofErr w:type="spellStart"/>
      <w:r w:rsidRPr="009A49C8">
        <w:rPr>
          <w:rFonts w:ascii="Arial" w:hAnsi="Arial" w:cs="Arial"/>
          <w:lang w:val="es-ES"/>
        </w:rPr>
        <w:t>Yacyret</w:t>
      </w:r>
      <w:r w:rsidR="00E7620C" w:rsidRPr="009A49C8">
        <w:rPr>
          <w:rFonts w:ascii="Arial" w:hAnsi="Arial" w:cs="Arial"/>
          <w:lang w:val="es-ES"/>
        </w:rPr>
        <w:t>á</w:t>
      </w:r>
      <w:proofErr w:type="spellEnd"/>
      <w:r w:rsidR="00E7620C" w:rsidRPr="009A49C8">
        <w:rPr>
          <w:rFonts w:ascii="Arial" w:hAnsi="Arial" w:cs="Arial"/>
          <w:lang w:val="es-ES"/>
        </w:rPr>
        <w:t xml:space="preserve"> y la utilización de la energía </w:t>
      </w:r>
      <w:r w:rsidR="007D56A1" w:rsidRPr="009A49C8">
        <w:rPr>
          <w:rFonts w:ascii="Arial" w:hAnsi="Arial" w:cs="Arial"/>
          <w:lang w:val="es-ES"/>
        </w:rPr>
        <w:t>generada por la Central Hidroelé</w:t>
      </w:r>
      <w:r w:rsidR="00E7620C" w:rsidRPr="009A49C8">
        <w:rPr>
          <w:rFonts w:ascii="Arial" w:hAnsi="Arial" w:cs="Arial"/>
          <w:lang w:val="es-ES"/>
        </w:rPr>
        <w:t>ct</w:t>
      </w:r>
      <w:r w:rsidR="007D56A1" w:rsidRPr="009A49C8">
        <w:rPr>
          <w:rFonts w:ascii="Arial" w:hAnsi="Arial" w:cs="Arial"/>
          <w:lang w:val="es-ES"/>
        </w:rPr>
        <w:t>r</w:t>
      </w:r>
      <w:r w:rsidR="00E7620C" w:rsidRPr="009A49C8">
        <w:rPr>
          <w:rFonts w:ascii="Arial" w:hAnsi="Arial" w:cs="Arial"/>
          <w:lang w:val="es-ES"/>
        </w:rPr>
        <w:t xml:space="preserve">ica de </w:t>
      </w:r>
      <w:proofErr w:type="spellStart"/>
      <w:r w:rsidR="00E7620C" w:rsidRPr="009A49C8">
        <w:rPr>
          <w:rFonts w:ascii="Arial" w:hAnsi="Arial" w:cs="Arial"/>
          <w:lang w:val="es-ES"/>
        </w:rPr>
        <w:t>Acaray</w:t>
      </w:r>
      <w:proofErr w:type="spellEnd"/>
      <w:r w:rsidR="00E7620C" w:rsidRPr="009A49C8">
        <w:rPr>
          <w:rFonts w:ascii="Arial" w:hAnsi="Arial" w:cs="Arial"/>
          <w:lang w:val="es-ES"/>
        </w:rPr>
        <w:t xml:space="preserve">. </w:t>
      </w:r>
    </w:p>
    <w:p w14:paraId="5EF341B0" w14:textId="77777777" w:rsidR="00554113" w:rsidRPr="009A49C8" w:rsidRDefault="00554113" w:rsidP="009A49C8">
      <w:pPr>
        <w:ind w:left="810" w:hanging="450"/>
        <w:jc w:val="both"/>
        <w:rPr>
          <w:rFonts w:ascii="Arial" w:hAnsi="Arial" w:cs="Arial"/>
          <w:lang w:val="es-ES"/>
        </w:rPr>
      </w:pPr>
    </w:p>
    <w:p w14:paraId="38F1D199" w14:textId="194CA944" w:rsidR="007D56A1" w:rsidRPr="009A49C8" w:rsidRDefault="007D56A1" w:rsidP="009A49C8">
      <w:pPr>
        <w:ind w:left="810" w:hanging="450"/>
        <w:jc w:val="both"/>
        <w:rPr>
          <w:rFonts w:ascii="Arial" w:hAnsi="Arial" w:cs="Arial"/>
          <w:lang w:val="es-ES"/>
        </w:rPr>
      </w:pPr>
      <w:r w:rsidRPr="009A49C8">
        <w:rPr>
          <w:rFonts w:ascii="Arial" w:hAnsi="Arial" w:cs="Arial"/>
          <w:lang w:val="es-ES"/>
        </w:rPr>
        <w:t xml:space="preserve">(c) </w:t>
      </w:r>
      <w:r w:rsidRPr="009A49C8">
        <w:rPr>
          <w:rFonts w:ascii="Arial" w:hAnsi="Arial" w:cs="Arial"/>
          <w:b/>
          <w:lang w:val="es-ES"/>
        </w:rPr>
        <w:t>Inversiones</w:t>
      </w:r>
      <w:r w:rsidRPr="009A49C8">
        <w:rPr>
          <w:rFonts w:ascii="Arial" w:hAnsi="Arial" w:cs="Arial"/>
          <w:lang w:val="es-ES"/>
        </w:rPr>
        <w:t xml:space="preserve">. Incluye las inversiones previstas en el Plan Maestro de Generación, Transmisión, Distribución y Telemática de Corto y Medio Plazo para el período en análisis. En el área de generación solamente se ha incluido el proyecto de la Central Hidroeléctrica de </w:t>
      </w:r>
      <w:proofErr w:type="spellStart"/>
      <w:r w:rsidRPr="009A49C8">
        <w:rPr>
          <w:rFonts w:ascii="Arial" w:hAnsi="Arial" w:cs="Arial"/>
          <w:lang w:val="es-ES"/>
        </w:rPr>
        <w:t>Acaray</w:t>
      </w:r>
      <w:proofErr w:type="spellEnd"/>
      <w:r w:rsidRPr="009A49C8">
        <w:rPr>
          <w:rFonts w:ascii="Arial" w:hAnsi="Arial" w:cs="Arial"/>
          <w:lang w:val="es-ES"/>
        </w:rPr>
        <w:t xml:space="preserve">. </w:t>
      </w:r>
      <w:r w:rsidR="005020AD" w:rsidRPr="009A49C8">
        <w:rPr>
          <w:rFonts w:ascii="Arial" w:hAnsi="Arial" w:cs="Arial"/>
          <w:lang w:val="es-ES"/>
        </w:rPr>
        <w:t xml:space="preserve">En </w:t>
      </w:r>
      <w:r w:rsidR="0069320E" w:rsidRPr="009A49C8">
        <w:rPr>
          <w:rFonts w:ascii="Arial" w:hAnsi="Arial" w:cs="Arial"/>
          <w:lang w:val="es-ES"/>
        </w:rPr>
        <w:t>total, se han previsto inversiones por US</w:t>
      </w:r>
      <w:r w:rsidR="00DF6C43">
        <w:rPr>
          <w:rFonts w:ascii="Arial" w:hAnsi="Arial" w:cs="Arial"/>
          <w:lang w:val="es-ES"/>
        </w:rPr>
        <w:t>$</w:t>
      </w:r>
      <w:r w:rsidR="0069320E" w:rsidRPr="009A49C8">
        <w:rPr>
          <w:rFonts w:ascii="Arial" w:hAnsi="Arial" w:cs="Arial"/>
          <w:lang w:val="es-ES"/>
        </w:rPr>
        <w:t>1,867 millones durante el período 2018-2026.</w:t>
      </w:r>
    </w:p>
    <w:p w14:paraId="6D966511" w14:textId="77777777" w:rsidR="00554113" w:rsidRPr="009A49C8" w:rsidRDefault="00554113" w:rsidP="009A49C8">
      <w:pPr>
        <w:ind w:left="810" w:hanging="450"/>
        <w:jc w:val="both"/>
        <w:rPr>
          <w:rFonts w:ascii="Arial" w:hAnsi="Arial" w:cs="Arial"/>
          <w:lang w:val="es-ES"/>
        </w:rPr>
      </w:pPr>
    </w:p>
    <w:p w14:paraId="4489E8DE" w14:textId="6419174E" w:rsidR="0069320E" w:rsidRPr="009A49C8" w:rsidRDefault="00D55802" w:rsidP="009A49C8">
      <w:pPr>
        <w:ind w:left="810" w:hanging="450"/>
        <w:jc w:val="both"/>
        <w:rPr>
          <w:rFonts w:ascii="Arial" w:hAnsi="Arial" w:cs="Arial"/>
          <w:lang w:val="es-ES"/>
        </w:rPr>
      </w:pPr>
      <w:r w:rsidRPr="009A49C8">
        <w:rPr>
          <w:rFonts w:ascii="Arial" w:hAnsi="Arial" w:cs="Arial"/>
          <w:lang w:val="es-ES"/>
        </w:rPr>
        <w:t xml:space="preserve">(d) </w:t>
      </w:r>
      <w:r w:rsidRPr="009A49C8">
        <w:rPr>
          <w:rFonts w:ascii="Arial" w:hAnsi="Arial" w:cs="Arial"/>
          <w:b/>
          <w:lang w:val="es-ES"/>
        </w:rPr>
        <w:t>Servicio de la deuda externa</w:t>
      </w:r>
      <w:r w:rsidRPr="009A49C8">
        <w:rPr>
          <w:rFonts w:ascii="Arial" w:hAnsi="Arial" w:cs="Arial"/>
          <w:lang w:val="es-ES"/>
        </w:rPr>
        <w:t>. Comprende los egresos por amortización de capital, intereses y comisiones, incluyendo los correspondientes los préstamos vigentes y en gestión adelantada con organismos internacionales. No se han considerado pagos correspondientes a la deuda con el Banco de la Nación Argentina.</w:t>
      </w:r>
    </w:p>
    <w:p w14:paraId="2AB160B2" w14:textId="77777777" w:rsidR="00554113" w:rsidRPr="009A49C8" w:rsidRDefault="00554113" w:rsidP="009A49C8">
      <w:pPr>
        <w:ind w:left="810" w:hanging="450"/>
        <w:jc w:val="both"/>
        <w:rPr>
          <w:rFonts w:ascii="Arial" w:hAnsi="Arial" w:cs="Arial"/>
          <w:lang w:val="es-ES"/>
        </w:rPr>
      </w:pPr>
    </w:p>
    <w:p w14:paraId="1DA1C86E" w14:textId="3DB02CBF" w:rsidR="00D55802" w:rsidRPr="009A49C8" w:rsidRDefault="00D55802" w:rsidP="009A49C8">
      <w:pPr>
        <w:ind w:left="810" w:hanging="450"/>
        <w:jc w:val="both"/>
        <w:rPr>
          <w:rFonts w:ascii="Arial" w:hAnsi="Arial" w:cs="Arial"/>
          <w:lang w:val="es-ES"/>
        </w:rPr>
      </w:pPr>
      <w:r w:rsidRPr="009A49C8">
        <w:rPr>
          <w:rFonts w:ascii="Arial" w:hAnsi="Arial" w:cs="Arial"/>
          <w:lang w:val="es-ES"/>
        </w:rPr>
        <w:t xml:space="preserve">(e) </w:t>
      </w:r>
      <w:r w:rsidRPr="009A49C8">
        <w:rPr>
          <w:rFonts w:ascii="Arial" w:hAnsi="Arial" w:cs="Arial"/>
          <w:b/>
          <w:lang w:val="es-ES"/>
        </w:rPr>
        <w:t>Previsión de Fondo de Amortización</w:t>
      </w:r>
      <w:r w:rsidR="008F5923" w:rsidRPr="009A49C8">
        <w:rPr>
          <w:rFonts w:ascii="Arial" w:hAnsi="Arial" w:cs="Arial"/>
          <w:b/>
          <w:lang w:val="es-ES"/>
        </w:rPr>
        <w:t xml:space="preserve"> – Bonos I y II</w:t>
      </w:r>
      <w:r w:rsidRPr="009A49C8">
        <w:rPr>
          <w:rFonts w:ascii="Arial" w:hAnsi="Arial" w:cs="Arial"/>
          <w:lang w:val="es-ES"/>
        </w:rPr>
        <w:t xml:space="preserve">. </w:t>
      </w:r>
      <w:r w:rsidR="008F5923" w:rsidRPr="009A49C8">
        <w:rPr>
          <w:rFonts w:ascii="Arial" w:hAnsi="Arial" w:cs="Arial"/>
          <w:lang w:val="es-ES"/>
        </w:rPr>
        <w:t>Se incluye a partir del año 2019.</w:t>
      </w:r>
    </w:p>
    <w:p w14:paraId="6F9E135E" w14:textId="77777777" w:rsidR="00554113" w:rsidRPr="009A49C8" w:rsidRDefault="00554113" w:rsidP="009A49C8">
      <w:pPr>
        <w:ind w:left="810" w:hanging="450"/>
        <w:jc w:val="both"/>
        <w:rPr>
          <w:rFonts w:ascii="Arial" w:hAnsi="Arial" w:cs="Arial"/>
          <w:lang w:val="es-ES"/>
        </w:rPr>
      </w:pPr>
    </w:p>
    <w:p w14:paraId="7639FA87" w14:textId="4551AE06" w:rsidR="008F5923" w:rsidRPr="009A49C8" w:rsidRDefault="008F5923" w:rsidP="009A49C8">
      <w:pPr>
        <w:ind w:left="810" w:hanging="450"/>
        <w:jc w:val="both"/>
        <w:rPr>
          <w:rFonts w:ascii="Arial" w:hAnsi="Arial" w:cs="Arial"/>
          <w:lang w:val="es-ES"/>
        </w:rPr>
      </w:pPr>
      <w:r w:rsidRPr="009A49C8">
        <w:rPr>
          <w:rFonts w:ascii="Arial" w:hAnsi="Arial" w:cs="Arial"/>
          <w:lang w:val="es-ES"/>
        </w:rPr>
        <w:t xml:space="preserve">(f) </w:t>
      </w:r>
      <w:r w:rsidRPr="009A49C8">
        <w:rPr>
          <w:rFonts w:ascii="Arial" w:hAnsi="Arial" w:cs="Arial"/>
          <w:b/>
          <w:lang w:val="es-ES"/>
        </w:rPr>
        <w:t>Aportes Intergubernamentales</w:t>
      </w:r>
      <w:r w:rsidRPr="009A49C8">
        <w:rPr>
          <w:rFonts w:ascii="Arial" w:hAnsi="Arial" w:cs="Arial"/>
          <w:lang w:val="es-ES"/>
        </w:rPr>
        <w:t>. No se han considerado Aportes Intergubernamentales durante el período.</w:t>
      </w:r>
    </w:p>
    <w:p w14:paraId="7D7BB5E3" w14:textId="77777777" w:rsidR="00554113" w:rsidRPr="009A49C8" w:rsidRDefault="00554113" w:rsidP="009A49C8">
      <w:pPr>
        <w:ind w:left="810" w:hanging="450"/>
        <w:jc w:val="both"/>
        <w:rPr>
          <w:rFonts w:ascii="Arial" w:hAnsi="Arial" w:cs="Arial"/>
          <w:lang w:val="es-ES"/>
        </w:rPr>
      </w:pPr>
    </w:p>
    <w:p w14:paraId="15015143" w14:textId="698E02AE" w:rsidR="008F5923" w:rsidRPr="009A49C8" w:rsidRDefault="008F5923" w:rsidP="009A49C8">
      <w:pPr>
        <w:ind w:left="810" w:hanging="450"/>
        <w:jc w:val="both"/>
        <w:rPr>
          <w:rFonts w:ascii="Arial" w:hAnsi="Arial" w:cs="Arial"/>
          <w:lang w:val="es-ES"/>
        </w:rPr>
      </w:pPr>
      <w:r w:rsidRPr="009A49C8">
        <w:rPr>
          <w:rFonts w:ascii="Arial" w:hAnsi="Arial" w:cs="Arial"/>
          <w:lang w:val="es-ES"/>
        </w:rPr>
        <w:t xml:space="preserve">(g) </w:t>
      </w:r>
      <w:r w:rsidRPr="009A49C8">
        <w:rPr>
          <w:rFonts w:ascii="Arial" w:hAnsi="Arial" w:cs="Arial"/>
          <w:b/>
          <w:lang w:val="es-ES"/>
        </w:rPr>
        <w:t>Impuesto a la Renta</w:t>
      </w:r>
      <w:r w:rsidRPr="009A49C8">
        <w:rPr>
          <w:rFonts w:ascii="Arial" w:hAnsi="Arial" w:cs="Arial"/>
          <w:lang w:val="es-ES"/>
        </w:rPr>
        <w:t>. Se incluye la tasa del 10% sobre los Resultados de cada Ejercicio.</w:t>
      </w:r>
    </w:p>
    <w:p w14:paraId="11833F0B" w14:textId="1F611D6B" w:rsidR="003B58EE" w:rsidRPr="009A49C8" w:rsidRDefault="003B58EE" w:rsidP="009A49C8">
      <w:pPr>
        <w:jc w:val="both"/>
        <w:rPr>
          <w:rFonts w:ascii="Arial" w:hAnsi="Arial" w:cs="Arial"/>
          <w:lang w:val="es-ES"/>
        </w:rPr>
      </w:pPr>
    </w:p>
    <w:p w14:paraId="6BB245DE" w14:textId="77777777" w:rsidR="001535A7" w:rsidRPr="009A49C8" w:rsidRDefault="001535A7" w:rsidP="009A49C8">
      <w:pPr>
        <w:jc w:val="both"/>
        <w:rPr>
          <w:rFonts w:ascii="Arial" w:hAnsi="Arial" w:cs="Arial"/>
          <w:lang w:val="es-ES"/>
        </w:rPr>
      </w:pPr>
    </w:p>
    <w:p w14:paraId="59D0DA8D" w14:textId="0809B9A3" w:rsidR="003B58EE" w:rsidRDefault="003B58EE" w:rsidP="009A49C8">
      <w:pPr>
        <w:keepNext/>
        <w:jc w:val="both"/>
        <w:rPr>
          <w:rFonts w:ascii="Arial" w:hAnsi="Arial" w:cs="Arial"/>
          <w:b/>
          <w:lang w:val="es-ES"/>
        </w:rPr>
      </w:pPr>
      <w:r w:rsidRPr="009A49C8">
        <w:rPr>
          <w:rFonts w:ascii="Arial" w:hAnsi="Arial" w:cs="Arial"/>
          <w:b/>
          <w:lang w:val="es-ES"/>
        </w:rPr>
        <w:lastRenderedPageBreak/>
        <w:t>C. Resultados</w:t>
      </w:r>
    </w:p>
    <w:p w14:paraId="78234F52" w14:textId="77777777" w:rsidR="009A49C8" w:rsidRPr="009A49C8" w:rsidRDefault="009A49C8" w:rsidP="009A49C8">
      <w:pPr>
        <w:keepNext/>
        <w:jc w:val="both"/>
        <w:rPr>
          <w:rFonts w:ascii="Arial" w:hAnsi="Arial" w:cs="Arial"/>
          <w:b/>
          <w:lang w:val="es-ES"/>
        </w:rPr>
      </w:pPr>
    </w:p>
    <w:p w14:paraId="50502FAE" w14:textId="66D3287D" w:rsidR="00487A62" w:rsidRPr="009A49C8" w:rsidRDefault="00E72BEF" w:rsidP="009A49C8">
      <w:pPr>
        <w:jc w:val="both"/>
        <w:rPr>
          <w:rFonts w:ascii="Arial" w:hAnsi="Arial" w:cs="Arial"/>
          <w:lang w:val="es-ES"/>
        </w:rPr>
      </w:pPr>
      <w:r w:rsidRPr="009A49C8">
        <w:rPr>
          <w:rFonts w:ascii="Arial" w:hAnsi="Arial" w:cs="Arial"/>
          <w:noProof/>
          <w:lang w:val="es-ES"/>
        </w:rPr>
        <w:object w:dxaOrig="8240" w:dyaOrig="6860" w14:anchorId="4DC528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3.35pt;height:343.35pt;mso-width-percent:0;mso-height-percent:0;mso-width-percent:0;mso-height-percent:0" o:ole="">
            <v:imagedata r:id="rId4" o:title=""/>
          </v:shape>
          <o:OLEObject Type="Embed" ProgID="Excel.Sheet.12" ShapeID="_x0000_i1025" DrawAspect="Content" ObjectID="_1599013235" r:id="rId5"/>
        </w:object>
      </w:r>
    </w:p>
    <w:p w14:paraId="5E37893E" w14:textId="1398E851" w:rsidR="003B58EE" w:rsidRPr="009A49C8" w:rsidRDefault="003B58EE" w:rsidP="009A49C8">
      <w:pPr>
        <w:jc w:val="both"/>
        <w:rPr>
          <w:rFonts w:ascii="Arial" w:hAnsi="Arial" w:cs="Arial"/>
          <w:lang w:val="es-ES"/>
        </w:rPr>
      </w:pPr>
    </w:p>
    <w:p w14:paraId="33752E5B" w14:textId="77777777" w:rsidR="00E97381" w:rsidRPr="009A49C8" w:rsidRDefault="00E72BEF" w:rsidP="009A49C8">
      <w:pPr>
        <w:jc w:val="both"/>
        <w:rPr>
          <w:rFonts w:ascii="Arial" w:hAnsi="Arial" w:cs="Arial"/>
          <w:sz w:val="20"/>
          <w:lang w:val="es-ES"/>
        </w:rPr>
      </w:pPr>
      <w:r w:rsidRPr="009A49C8">
        <w:rPr>
          <w:rFonts w:ascii="Arial" w:hAnsi="Arial" w:cs="Arial"/>
          <w:noProof/>
          <w:sz w:val="20"/>
          <w:lang w:val="es-ES"/>
        </w:rPr>
        <w:object w:dxaOrig="10230" w:dyaOrig="3330" w14:anchorId="200C768A">
          <v:shape id="_x0000_i1026" type="#_x0000_t75" alt="" style="width:510.65pt;height:243.35pt;mso-width-percent:0;mso-height-percent:0;mso-width-percent:0;mso-height-percent:0" o:ole="">
            <v:imagedata r:id="rId6" o:title=""/>
          </v:shape>
          <o:OLEObject Type="Embed" ProgID="Excel.Sheet.12" ShapeID="_x0000_i1026" DrawAspect="Content" ObjectID="_1599013236" r:id="rId7"/>
        </w:object>
      </w:r>
    </w:p>
    <w:p w14:paraId="0BB5C168" w14:textId="6CE80255" w:rsidR="008F5923" w:rsidRPr="009A49C8" w:rsidRDefault="003B58EE" w:rsidP="009A49C8">
      <w:pPr>
        <w:jc w:val="both"/>
        <w:rPr>
          <w:rFonts w:ascii="Arial" w:hAnsi="Arial" w:cs="Arial"/>
          <w:sz w:val="18"/>
          <w:lang w:val="es-ES"/>
        </w:rPr>
      </w:pPr>
      <w:r w:rsidRPr="009A49C8">
        <w:rPr>
          <w:rFonts w:ascii="Arial" w:hAnsi="Arial" w:cs="Arial"/>
          <w:sz w:val="18"/>
          <w:lang w:val="es-ES"/>
        </w:rPr>
        <w:t>Fuente: ANDE. Dirección de Planificación y Estudios. División de Estudios y Gestión de Inversiones</w:t>
      </w:r>
      <w:r w:rsidR="00554113" w:rsidRPr="009A49C8">
        <w:rPr>
          <w:rFonts w:ascii="Arial" w:hAnsi="Arial" w:cs="Arial"/>
          <w:sz w:val="18"/>
          <w:lang w:val="es-ES"/>
        </w:rPr>
        <w:t>.</w:t>
      </w:r>
    </w:p>
    <w:sectPr w:rsidR="008F5923" w:rsidRPr="009A49C8" w:rsidSect="00E37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867"/>
    <w:rsid w:val="001535A7"/>
    <w:rsid w:val="00157F2F"/>
    <w:rsid w:val="001D50A9"/>
    <w:rsid w:val="001F667A"/>
    <w:rsid w:val="0024456B"/>
    <w:rsid w:val="002D6E90"/>
    <w:rsid w:val="00343072"/>
    <w:rsid w:val="003B58EE"/>
    <w:rsid w:val="00442449"/>
    <w:rsid w:val="00462918"/>
    <w:rsid w:val="00476008"/>
    <w:rsid w:val="00487A62"/>
    <w:rsid w:val="005020AD"/>
    <w:rsid w:val="00514A53"/>
    <w:rsid w:val="00554113"/>
    <w:rsid w:val="005F4E28"/>
    <w:rsid w:val="00611DFC"/>
    <w:rsid w:val="0069320E"/>
    <w:rsid w:val="00701867"/>
    <w:rsid w:val="007D56A1"/>
    <w:rsid w:val="007E0A52"/>
    <w:rsid w:val="007E4557"/>
    <w:rsid w:val="0088742D"/>
    <w:rsid w:val="008F5923"/>
    <w:rsid w:val="00943E43"/>
    <w:rsid w:val="009A49C8"/>
    <w:rsid w:val="009F165A"/>
    <w:rsid w:val="00D2111B"/>
    <w:rsid w:val="00D346C9"/>
    <w:rsid w:val="00D55802"/>
    <w:rsid w:val="00DE5C15"/>
    <w:rsid w:val="00DF6C43"/>
    <w:rsid w:val="00E379FC"/>
    <w:rsid w:val="00E72BEF"/>
    <w:rsid w:val="00E7620C"/>
    <w:rsid w:val="00E97381"/>
    <w:rsid w:val="00F3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0C63"/>
  <w15:chartTrackingRefBased/>
  <w15:docId w15:val="{2FFAB5C0-6D0E-BC4E-93F4-F8458CD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page">
    <w:name w:val="Newpage"/>
    <w:basedOn w:val="Normal"/>
    <w:rsid w:val="009A49C8"/>
    <w:pPr>
      <w:tabs>
        <w:tab w:val="left" w:pos="1440"/>
        <w:tab w:val="left" w:pos="3060"/>
      </w:tabs>
      <w:jc w:val="center"/>
    </w:pPr>
    <w:rPr>
      <w:rFonts w:ascii="Times New Roman" w:eastAsia="Times New Roman" w:hAnsi="Times New Roman" w:cs="Arial"/>
      <w:b/>
      <w:smallCaps/>
      <w:color w:val="262626" w:themeColor="text1" w:themeTint="D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package" Target="embeddings/Microsoft_Excel_Worksheet1.xlsx"/><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customXml" Target="../customXml/item2.xml"/><Relationship Id="rId5" Type="http://schemas.openxmlformats.org/officeDocument/2006/relationships/package" Target="embeddings/Microsoft_Excel_Worksheet.xlsx"/><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image" Target="media/image1.emf"/><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B7DFA5BFE931E3488BC57253420081FE" ma:contentTypeVersion="203" ma:contentTypeDescription="A content type to manage public (operations) IDB documents" ma:contentTypeScope="" ma:versionID="507b697fae98c49a2014e9c73404373c">
  <xsd:schema xmlns:xsd="http://www.w3.org/2001/XMLSchema" xmlns:xs="http://www.w3.org/2001/XMLSchema" xmlns:p="http://schemas.microsoft.com/office/2006/metadata/properties" xmlns:ns2="cdc7663a-08f0-4737-9e8c-148ce897a09c" targetNamespace="http://schemas.microsoft.com/office/2006/metadata/properties" ma:root="true" ma:fieldsID="bf58ce8bcb6f32f9f7ce487a03b173dc"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PR-L1156"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R0002850087</Record_x0020_Number>
    <Key_x0020_Document xmlns="cdc7663a-08f0-4737-9e8c-148ce897a09c">false</Key_x0020_Document>
    <Division_x0020_or_x0020_Unit xmlns="cdc7663a-08f0-4737-9e8c-148ce897a09c">INE/ENE</Division_x0020_or_x0020_Unit>
    <IDBDocs_x0020_Number xmlns="cdc7663a-08f0-4737-9e8c-148ce897a09c" xsi:nil="true"/>
    <Document_x0020_Author xmlns="cdc7663a-08f0-4737-9e8c-148ce897a09c">Aiello, Roberto Gabriel</Document_x0020_Author>
    <_dlc_DocId xmlns="cdc7663a-08f0-4737-9e8c-148ce897a09c">EZSHARE-353762589-42</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Paraguay</TermName>
          <TermId xmlns="http://schemas.microsoft.com/office/infopath/2007/PartnerControls">50282442-27e7-4526-9d04-55bf5da33a10</TermId>
        </TermInfo>
      </Terms>
    </ic46d7e087fd4a108fb86518ca413cc6>
    <TaxCatchAll xmlns="cdc7663a-08f0-4737-9e8c-148ce897a09c">
      <Value>132</Value>
      <Value>24</Value>
      <Value>29</Value>
      <Value>44</Value>
      <Value>1</Value>
    </TaxCatchAll>
    <Fiscal_x0020_Year_x0020_IDB xmlns="cdc7663a-08f0-4737-9e8c-148ce897a09c">2018</Fiscal_x0020_Year_x0020_IDB>
    <b26cdb1da78c4bb4b1c1bac2f6ac5911 xmlns="cdc7663a-08f0-4737-9e8c-148ce897a09c">
      <Terms xmlns="http://schemas.microsoft.com/office/infopath/2007/PartnerControls"/>
    </b26cdb1da78c4bb4b1c1bac2f6ac5911>
    <Project_x0020_Number xmlns="cdc7663a-08f0-4737-9e8c-148ce897a09c">PR-L1156</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SISCOR_x0020_Number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 - Simultaneous Disclosure</Access_x0020_to_x0020_Information_x00a0_Policy>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ENERGY SECTOR REHABILITATION AND EFFICIENCY</TermName>
          <TermId xmlns="http://schemas.microsoft.com/office/infopath/2007/PartnerControls">bc14044a-5020-4002-b61d-5f3750c96619</TermId>
        </TermInfo>
      </Terms>
    </b2ec7cfb18674cb8803df6b262e8b107>
    <Document_x0020_Language_x0020_IDB xmlns="cdc7663a-08f0-4737-9e8c-148ce897a09c">Spanish</Document_x0020_Language_x0020_IDB>
    <_dlc_DocIdUrl xmlns="cdc7663a-08f0-4737-9e8c-148ce897a09c">
      <Url>https://idbg.sharepoint.com/teams/EZ-PR-LON/PR-L1156/_layouts/15/DocIdRedir.aspx?ID=EZSHARE-353762589-42</Url>
      <Description>EZSHARE-353762589-42</Description>
    </_dlc_DocIdUrl>
    <Phase xmlns="cdc7663a-08f0-4737-9e8c-148ce897a09c" xsi:nil="true"/>
    <Other_x0020_Autho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Climate Change and Renewable Energy;Electricity;Energy;Energy Distribution and Transmission;Energy Management and Regulation;Energy Markets and Studies;</Webtopic>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4A58867A-DBD9-465A-9CBE-37D50326C898}"/>
</file>

<file path=customXml/itemProps2.xml><?xml version="1.0" encoding="utf-8"?>
<ds:datastoreItem xmlns:ds="http://schemas.openxmlformats.org/officeDocument/2006/customXml" ds:itemID="{B387885D-6DF5-401C-A8C9-68D2123E6AB8}"/>
</file>

<file path=customXml/itemProps3.xml><?xml version="1.0" encoding="utf-8"?>
<ds:datastoreItem xmlns:ds="http://schemas.openxmlformats.org/officeDocument/2006/customXml" ds:itemID="{CFA1F1B4-6BE0-49A8-9B4F-83414DF82230}"/>
</file>

<file path=customXml/itemProps4.xml><?xml version="1.0" encoding="utf-8"?>
<ds:datastoreItem xmlns:ds="http://schemas.openxmlformats.org/officeDocument/2006/customXml" ds:itemID="{8B048A8A-3B3A-4BF8-9EFE-90692CFB631C}"/>
</file>

<file path=customXml/itemProps5.xml><?xml version="1.0" encoding="utf-8"?>
<ds:datastoreItem xmlns:ds="http://schemas.openxmlformats.org/officeDocument/2006/customXml" ds:itemID="{4C9AC7C6-7486-421B-9666-2076AE175529}"/>
</file>

<file path=customXml/itemProps6.xml><?xml version="1.0" encoding="utf-8"?>
<ds:datastoreItem xmlns:ds="http://schemas.openxmlformats.org/officeDocument/2006/customXml" ds:itemID="{19D85C5F-3EA6-48ED-8C6B-682852095C26}"/>
</file>

<file path=docProps/app.xml><?xml version="1.0" encoding="utf-8"?>
<Properties xmlns="http://schemas.openxmlformats.org/officeDocument/2006/extended-properties" xmlns:vt="http://schemas.openxmlformats.org/officeDocument/2006/docPropsVTypes">
  <Template>Normal.dotm</Template>
  <TotalTime>152</TotalTime>
  <Pages>4</Pages>
  <Words>704</Words>
  <Characters>3856</Characters>
  <Application>Microsoft Office Word</Application>
  <DocSecurity>0</DocSecurity>
  <Lines>87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 Vaca-Soto</dc:creator>
  <cp:keywords/>
  <dc:description/>
  <cp:lastModifiedBy>Hernandez-Santoyo, Joel</cp:lastModifiedBy>
  <cp:revision>14</cp:revision>
  <dcterms:created xsi:type="dcterms:W3CDTF">2018-09-19T17:43:00Z</dcterms:created>
  <dcterms:modified xsi:type="dcterms:W3CDTF">2018-09-21T09:31:00Z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132;#ENERGY SECTOR REHABILITATION AND EFFICIENCY|bc14044a-5020-4002-b61d-5f3750c96619</vt:lpwstr>
  </property>
  <property fmtid="{D5CDD505-2E9C-101B-9397-08002B2CF9AE}" pid="7" name="Country">
    <vt:lpwstr>24;#Paraguay|50282442-27e7-4526-9d04-55bf5da33a10</vt:lpwstr>
  </property>
  <property fmtid="{D5CDD505-2E9C-101B-9397-08002B2CF9AE}" pid="8" name="Fund IDB">
    <vt:lpwstr>29;#ORC|c028a4b2-ad8b-4cf4-9cac-a2ae6a778e23</vt:lpwstr>
  </property>
  <property fmtid="{D5CDD505-2E9C-101B-9397-08002B2CF9AE}" pid="9" name="_dlc_DocIdItemGuid">
    <vt:lpwstr>1b2d7388-3d9d-4dea-a718-0bcf01eced82</vt:lpwstr>
  </property>
  <property fmtid="{D5CDD505-2E9C-101B-9397-08002B2CF9AE}" pid="10" name="Sector IDB">
    <vt:lpwstr>44;#ENERGY|4fed196a-cd0b-4970-87de-42da17f9b203</vt:lpwstr>
  </property>
  <property fmtid="{D5CDD505-2E9C-101B-9397-08002B2CF9AE}" pid="11" name="Function Operations IDB">
    <vt:lpwstr>1;#Project Preparation, Planning and Design|29ca0c72-1fc4-435f-a09c-28585cb5eac9</vt:lpwstr>
  </property>
  <property fmtid="{D5CDD505-2E9C-101B-9397-08002B2CF9AE}" pid="12" name="Disclosure Activity">
    <vt:lpwstr>Loan Proposal</vt:lpwstr>
  </property>
  <property fmtid="{D5CDD505-2E9C-101B-9397-08002B2CF9AE}" pid="13" name="ContentTypeId">
    <vt:lpwstr>0x0101001A458A224826124E8B45B1D613300CFC00B7DFA5BFE931E3488BC57253420081FE</vt:lpwstr>
  </property>
</Properties>
</file>