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AC8" w:rsidRPr="00AC6CBE" w:rsidRDefault="00C10683" w:rsidP="00A15206">
      <w:pPr>
        <w:spacing w:before="100" w:beforeAutospacing="1" w:after="100" w:afterAutospacing="1"/>
        <w:jc w:val="center"/>
        <w:rPr>
          <w:rFonts w:asciiTheme="majorHAnsi" w:hAnsiTheme="majorHAnsi" w:cstheme="majorHAnsi"/>
          <w:b/>
          <w:sz w:val="32"/>
          <w:szCs w:val="32"/>
        </w:rPr>
      </w:pPr>
      <w:r>
        <w:rPr>
          <w:rFonts w:asciiTheme="majorHAnsi" w:hAnsiTheme="majorHAnsi" w:cstheme="majorHAnsi"/>
          <w:b/>
          <w:sz w:val="32"/>
          <w:szCs w:val="32"/>
        </w:rPr>
        <w:t>Tasas</w:t>
      </w:r>
      <w:bookmarkStart w:id="0" w:name="_GoBack"/>
      <w:bookmarkEnd w:id="0"/>
      <w:r w:rsidR="006D2A3F" w:rsidRPr="00AC6CBE">
        <w:rPr>
          <w:rFonts w:asciiTheme="majorHAnsi" w:hAnsiTheme="majorHAnsi" w:cstheme="majorHAnsi"/>
          <w:b/>
          <w:sz w:val="32"/>
          <w:szCs w:val="32"/>
        </w:rPr>
        <w:t xml:space="preserve"> a </w:t>
      </w:r>
      <w:r w:rsidR="00964AC8" w:rsidRPr="00AC6CBE">
        <w:rPr>
          <w:rFonts w:asciiTheme="majorHAnsi" w:hAnsiTheme="majorHAnsi" w:cstheme="majorHAnsi"/>
          <w:b/>
          <w:sz w:val="32"/>
          <w:szCs w:val="32"/>
        </w:rPr>
        <w:t>los servicios públicos domiciliarios</w:t>
      </w:r>
      <w:r w:rsidR="003D57B4" w:rsidRPr="00AC6CBE">
        <w:rPr>
          <w:rFonts w:asciiTheme="majorHAnsi" w:hAnsiTheme="majorHAnsi" w:cstheme="majorHAnsi"/>
          <w:b/>
          <w:sz w:val="32"/>
          <w:szCs w:val="32"/>
        </w:rPr>
        <w:t xml:space="preserve"> </w:t>
      </w:r>
      <w:r w:rsidR="00533533" w:rsidRPr="00AC6CBE">
        <w:rPr>
          <w:rFonts w:asciiTheme="majorHAnsi" w:hAnsiTheme="majorHAnsi" w:cstheme="majorHAnsi"/>
          <w:b/>
          <w:sz w:val="32"/>
          <w:szCs w:val="32"/>
        </w:rPr>
        <w:t>en América Latina y el Caribe</w:t>
      </w:r>
      <w:r w:rsidR="002856BB" w:rsidRPr="00AC6CBE">
        <w:rPr>
          <w:rFonts w:asciiTheme="majorHAnsi" w:hAnsiTheme="majorHAnsi" w:cstheme="majorHAnsi"/>
          <w:b/>
          <w:sz w:val="32"/>
          <w:szCs w:val="32"/>
        </w:rPr>
        <w:t xml:space="preserve">: Un análisis descriptivo de </w:t>
      </w:r>
      <w:r w:rsidR="00612F88">
        <w:rPr>
          <w:rFonts w:asciiTheme="majorHAnsi" w:hAnsiTheme="majorHAnsi" w:cstheme="majorHAnsi"/>
          <w:b/>
          <w:sz w:val="32"/>
          <w:szCs w:val="32"/>
        </w:rPr>
        <w:t>las tasas</w:t>
      </w:r>
      <w:r w:rsidR="002856BB" w:rsidRPr="00AC6CBE">
        <w:rPr>
          <w:rFonts w:asciiTheme="majorHAnsi" w:hAnsiTheme="majorHAnsi" w:cstheme="majorHAnsi"/>
          <w:b/>
          <w:sz w:val="32"/>
          <w:szCs w:val="32"/>
        </w:rPr>
        <w:t xml:space="preserve"> </w:t>
      </w:r>
      <w:r w:rsidR="00612F88">
        <w:rPr>
          <w:rFonts w:asciiTheme="majorHAnsi" w:hAnsiTheme="majorHAnsi" w:cstheme="majorHAnsi"/>
          <w:b/>
          <w:sz w:val="32"/>
          <w:szCs w:val="32"/>
        </w:rPr>
        <w:t>sobre</w:t>
      </w:r>
      <w:r w:rsidR="002856BB" w:rsidRPr="00AC6CBE">
        <w:rPr>
          <w:rFonts w:asciiTheme="majorHAnsi" w:hAnsiTheme="majorHAnsi" w:cstheme="majorHAnsi"/>
          <w:b/>
          <w:sz w:val="32"/>
          <w:szCs w:val="32"/>
        </w:rPr>
        <w:t xml:space="preserve"> </w:t>
      </w:r>
      <w:r w:rsidR="00564F7C" w:rsidRPr="00AC6CBE">
        <w:rPr>
          <w:rFonts w:asciiTheme="majorHAnsi" w:hAnsiTheme="majorHAnsi" w:cstheme="majorHAnsi"/>
          <w:b/>
          <w:sz w:val="32"/>
          <w:szCs w:val="32"/>
        </w:rPr>
        <w:t xml:space="preserve">los servicios de </w:t>
      </w:r>
      <w:r w:rsidR="002856BB" w:rsidRPr="00AC6CBE">
        <w:rPr>
          <w:rFonts w:asciiTheme="majorHAnsi" w:hAnsiTheme="majorHAnsi" w:cstheme="majorHAnsi"/>
          <w:b/>
          <w:sz w:val="32"/>
          <w:szCs w:val="32"/>
        </w:rPr>
        <w:t xml:space="preserve">agua y </w:t>
      </w:r>
      <w:r w:rsidR="00564F7C" w:rsidRPr="00AC6CBE">
        <w:rPr>
          <w:rFonts w:asciiTheme="majorHAnsi" w:hAnsiTheme="majorHAnsi" w:cstheme="majorHAnsi"/>
          <w:b/>
          <w:sz w:val="32"/>
          <w:szCs w:val="32"/>
        </w:rPr>
        <w:t>electricidad</w:t>
      </w:r>
    </w:p>
    <w:p w:rsidR="00EE591A" w:rsidRPr="00AC6CBE" w:rsidRDefault="00EE591A" w:rsidP="00A15206">
      <w:pPr>
        <w:pStyle w:val="ListParagraph"/>
        <w:numPr>
          <w:ilvl w:val="0"/>
          <w:numId w:val="1"/>
        </w:numPr>
        <w:spacing w:before="100" w:beforeAutospacing="1" w:after="100" w:afterAutospacing="1"/>
        <w:rPr>
          <w:rFonts w:asciiTheme="majorHAnsi" w:hAnsiTheme="majorHAnsi" w:cstheme="majorHAnsi"/>
          <w:b/>
          <w:sz w:val="26"/>
          <w:szCs w:val="26"/>
        </w:rPr>
      </w:pPr>
      <w:r w:rsidRPr="00AC6CBE">
        <w:rPr>
          <w:rFonts w:asciiTheme="majorHAnsi" w:hAnsiTheme="majorHAnsi" w:cstheme="majorHAnsi"/>
          <w:b/>
          <w:sz w:val="26"/>
          <w:szCs w:val="26"/>
        </w:rPr>
        <w:t>Motivación</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De manera general – y sin entrar en las especificidades legales y definiciones técnicas provistas </w:t>
      </w:r>
      <w:r w:rsidRPr="00891BA4">
        <w:rPr>
          <w:rFonts w:asciiTheme="majorHAnsi" w:hAnsiTheme="majorHAnsi" w:cstheme="majorHAnsi"/>
          <w:sz w:val="22"/>
          <w:szCs w:val="22"/>
        </w:rPr>
        <w:t>por cada país dentro de su ordenamiento jurídico–, los servicios públicos domiciliarios son aquell</w:t>
      </w:r>
      <w:r w:rsidR="00891BA4" w:rsidRPr="00891BA4">
        <w:rPr>
          <w:rFonts w:asciiTheme="majorHAnsi" w:hAnsiTheme="majorHAnsi" w:cstheme="majorHAnsi"/>
          <w:sz w:val="22"/>
          <w:szCs w:val="22"/>
        </w:rPr>
        <w:t>o</w:t>
      </w:r>
      <w:r w:rsidRPr="00891BA4">
        <w:rPr>
          <w:rFonts w:asciiTheme="majorHAnsi" w:hAnsiTheme="majorHAnsi" w:cstheme="majorHAnsi"/>
          <w:sz w:val="22"/>
          <w:szCs w:val="22"/>
        </w:rPr>
        <w:t xml:space="preserve">s </w:t>
      </w:r>
      <w:r w:rsidR="00891BA4" w:rsidRPr="00891BA4">
        <w:rPr>
          <w:rFonts w:asciiTheme="majorHAnsi" w:hAnsiTheme="majorHAnsi" w:cstheme="majorHAnsi"/>
          <w:sz w:val="22"/>
          <w:szCs w:val="22"/>
        </w:rPr>
        <w:t>prestados a</w:t>
      </w:r>
      <w:r w:rsidRPr="00891BA4">
        <w:rPr>
          <w:rFonts w:asciiTheme="majorHAnsi" w:hAnsiTheme="majorHAnsi" w:cstheme="majorHAnsi"/>
          <w:sz w:val="22"/>
          <w:szCs w:val="22"/>
        </w:rPr>
        <w:t xml:space="preserve"> los individuos en el hogar, con el propósito de satisfacer sus necesidades básicas; </w:t>
      </w:r>
      <w:r w:rsidR="00891BA4" w:rsidRPr="00891BA4">
        <w:rPr>
          <w:rFonts w:asciiTheme="majorHAnsi" w:hAnsiTheme="majorHAnsi" w:cstheme="majorHAnsi"/>
          <w:sz w:val="22"/>
          <w:szCs w:val="22"/>
        </w:rPr>
        <w:t>siendo</w:t>
      </w:r>
      <w:r w:rsidRPr="00891BA4">
        <w:rPr>
          <w:rFonts w:asciiTheme="majorHAnsi" w:hAnsiTheme="majorHAnsi" w:cstheme="majorHAnsi"/>
          <w:sz w:val="22"/>
          <w:szCs w:val="22"/>
        </w:rPr>
        <w:t xml:space="preserve"> provistos directamente por </w:t>
      </w:r>
      <w:r w:rsidR="000508AE" w:rsidRPr="00891BA4">
        <w:rPr>
          <w:rFonts w:asciiTheme="majorHAnsi" w:hAnsiTheme="majorHAnsi" w:cstheme="majorHAnsi"/>
          <w:sz w:val="22"/>
          <w:szCs w:val="22"/>
        </w:rPr>
        <w:t xml:space="preserve">el </w:t>
      </w:r>
      <w:r w:rsidRPr="00891BA4">
        <w:rPr>
          <w:rFonts w:asciiTheme="majorHAnsi" w:hAnsiTheme="majorHAnsi" w:cstheme="majorHAnsi"/>
          <w:sz w:val="22"/>
          <w:szCs w:val="22"/>
        </w:rPr>
        <w:t xml:space="preserve">sector público, o alternativamente por el sector privado bajo la regulación y supervisión del </w:t>
      </w:r>
      <w:r w:rsidR="00891BA4" w:rsidRPr="00891BA4">
        <w:rPr>
          <w:rFonts w:asciiTheme="majorHAnsi" w:hAnsiTheme="majorHAnsi" w:cstheme="majorHAnsi"/>
          <w:sz w:val="22"/>
          <w:szCs w:val="22"/>
        </w:rPr>
        <w:t>ente público</w:t>
      </w:r>
      <w:r w:rsidRPr="00891BA4">
        <w:rPr>
          <w:rFonts w:asciiTheme="majorHAnsi" w:hAnsiTheme="majorHAnsi" w:cstheme="majorHAnsi"/>
          <w:sz w:val="22"/>
          <w:szCs w:val="22"/>
        </w:rPr>
        <w:t>. En lo que respecta a los sectores de la infraestructura, normalmente son considerados servicios públicos domiciliarios los relativos a la provisión de energía eléctrica, gas natural, agua y saneamiento, residuos sólidos y servicios de telecomunicaciones.</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La literatura académica muestra cómo la adecuada provisión de estos servicios impacta positivamente sobre el bienestar de los hogares y en diferentes dimensiones del desarrollo (Estache</w:t>
      </w:r>
      <w:r w:rsidR="000A2448" w:rsidRPr="002A3E43">
        <w:rPr>
          <w:rFonts w:asciiTheme="majorHAnsi" w:hAnsiTheme="majorHAnsi" w:cstheme="majorHAnsi"/>
          <w:sz w:val="22"/>
          <w:szCs w:val="22"/>
        </w:rPr>
        <w:t xml:space="preserve"> et al.</w:t>
      </w:r>
      <w:r w:rsidRPr="002A3E43">
        <w:rPr>
          <w:rFonts w:asciiTheme="majorHAnsi" w:hAnsiTheme="majorHAnsi" w:cstheme="majorHAnsi"/>
          <w:sz w:val="22"/>
          <w:szCs w:val="22"/>
        </w:rPr>
        <w:t>, 2002; Ga</w:t>
      </w:r>
      <w:r w:rsidR="0037170B" w:rsidRPr="002A3E43">
        <w:rPr>
          <w:rFonts w:asciiTheme="majorHAnsi" w:hAnsiTheme="majorHAnsi" w:cstheme="majorHAnsi"/>
          <w:sz w:val="22"/>
          <w:szCs w:val="22"/>
        </w:rPr>
        <w:t>liani et al., 2005; Straub</w:t>
      </w:r>
      <w:r w:rsidRPr="002A3E43">
        <w:rPr>
          <w:rFonts w:asciiTheme="majorHAnsi" w:hAnsiTheme="majorHAnsi" w:cstheme="majorHAnsi"/>
          <w:sz w:val="22"/>
          <w:szCs w:val="22"/>
        </w:rPr>
        <w:t>, 2008; entre otros). Como ejemplo</w:t>
      </w:r>
      <w:r w:rsidR="0073376E">
        <w:rPr>
          <w:rFonts w:asciiTheme="majorHAnsi" w:hAnsiTheme="majorHAnsi" w:cstheme="majorHAnsi"/>
          <w:sz w:val="22"/>
          <w:szCs w:val="22"/>
        </w:rPr>
        <w:t xml:space="preserve"> del efecto sobre numerosos aspectos relacionados con la calidad de vida</w:t>
      </w:r>
      <w:r w:rsidRPr="002A3E43">
        <w:rPr>
          <w:rFonts w:asciiTheme="majorHAnsi" w:hAnsiTheme="majorHAnsi" w:cstheme="majorHAnsi"/>
          <w:sz w:val="22"/>
          <w:szCs w:val="22"/>
        </w:rPr>
        <w:t xml:space="preserve">, el servicio de energía eléctrica extiende la cantidad de horas de estudio disponible para un niño a través de la iluminación de los hogares, lo que se traduce en un mejor desempeño escolar. Esto contribuye a un aumento de las posibilidades de empleo en el futuro </w:t>
      </w:r>
      <w:r w:rsidR="002A3E43" w:rsidRPr="002A3E43">
        <w:rPr>
          <w:rFonts w:asciiTheme="majorHAnsi" w:hAnsiTheme="majorHAnsi" w:cstheme="majorHAnsi"/>
          <w:sz w:val="22"/>
          <w:szCs w:val="22"/>
        </w:rPr>
        <w:t>y,</w:t>
      </w:r>
      <w:r w:rsidRPr="002A3E43">
        <w:rPr>
          <w:rFonts w:asciiTheme="majorHAnsi" w:hAnsiTheme="majorHAnsi" w:cstheme="majorHAnsi"/>
          <w:sz w:val="22"/>
          <w:szCs w:val="22"/>
        </w:rPr>
        <w:t xml:space="preserve"> por tanto</w:t>
      </w:r>
      <w:r w:rsidR="005064BC" w:rsidRPr="002A3E43">
        <w:rPr>
          <w:rFonts w:asciiTheme="majorHAnsi" w:hAnsiTheme="majorHAnsi" w:cstheme="majorHAnsi"/>
          <w:sz w:val="22"/>
          <w:szCs w:val="22"/>
        </w:rPr>
        <w:t>,</w:t>
      </w:r>
      <w:r w:rsidRPr="002A3E43">
        <w:rPr>
          <w:rFonts w:asciiTheme="majorHAnsi" w:hAnsiTheme="majorHAnsi" w:cstheme="majorHAnsi"/>
          <w:sz w:val="22"/>
          <w:szCs w:val="22"/>
        </w:rPr>
        <w:t xml:space="preserve"> de una mejor calidad de vida de las personas. De este modo, resulta vital fomentar el acceso universal e incrementar la eficiencia y la calidad en la prestación de los servicios públicos domiciliarios, en condiciones económicamente asequibles y sostenibles, para que contribuyan al proceso de desarrollo económico con inclusión social (BID, 2013).</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Generalmente, los costos relativos a la provisión de estos servicios se cubren con una combinación de tarifas – ya sea por la cantidad consumida de un servicio o por su disponibilidad </w:t>
      </w:r>
      <w:r w:rsidRPr="002A3E43">
        <w:rPr>
          <w:rFonts w:asciiTheme="majorHAnsi" w:hAnsiTheme="majorHAnsi" w:cstheme="majorHAnsi"/>
          <w:i/>
          <w:sz w:val="22"/>
          <w:szCs w:val="22"/>
        </w:rPr>
        <w:t>per se</w:t>
      </w:r>
      <w:r w:rsidRPr="002A3E43">
        <w:rPr>
          <w:rFonts w:asciiTheme="majorHAnsi" w:hAnsiTheme="majorHAnsi" w:cstheme="majorHAnsi"/>
          <w:sz w:val="22"/>
          <w:szCs w:val="22"/>
        </w:rPr>
        <w:t xml:space="preserve"> – y/o subsidios. Idealmente, la operación y financiamiento de los servicios públicos domiciliarios debería</w:t>
      </w:r>
      <w:r w:rsidR="00AA4F3A">
        <w:rPr>
          <w:rFonts w:asciiTheme="majorHAnsi" w:hAnsiTheme="majorHAnsi" w:cstheme="majorHAnsi"/>
          <w:sz w:val="22"/>
          <w:szCs w:val="22"/>
        </w:rPr>
        <w:t>n</w:t>
      </w:r>
      <w:r w:rsidRPr="002A3E43">
        <w:rPr>
          <w:rFonts w:asciiTheme="majorHAnsi" w:hAnsiTheme="majorHAnsi" w:cstheme="majorHAnsi"/>
          <w:sz w:val="22"/>
          <w:szCs w:val="22"/>
        </w:rPr>
        <w:t xml:space="preserve"> lograr la recuperación de costos mediante tarifas a los usuarios. Sin embargo, la sostenibilidad financiera puede alcanzarse complementando los ingresos provenientes de las tarifas por la </w:t>
      </w:r>
      <w:r w:rsidR="000508AE" w:rsidRPr="002A3E43">
        <w:rPr>
          <w:rFonts w:asciiTheme="majorHAnsi" w:hAnsiTheme="majorHAnsi" w:cstheme="majorHAnsi"/>
          <w:sz w:val="22"/>
          <w:szCs w:val="22"/>
        </w:rPr>
        <w:t xml:space="preserve">prestación </w:t>
      </w:r>
      <w:r w:rsidRPr="002A3E43">
        <w:rPr>
          <w:rFonts w:asciiTheme="majorHAnsi" w:hAnsiTheme="majorHAnsi" w:cstheme="majorHAnsi"/>
          <w:sz w:val="22"/>
          <w:szCs w:val="22"/>
        </w:rPr>
        <w:t xml:space="preserve">del servicio al usuario con aportes de la comunidad </w:t>
      </w:r>
      <w:r w:rsidR="007817D5">
        <w:rPr>
          <w:rFonts w:asciiTheme="majorHAnsi" w:hAnsiTheme="majorHAnsi" w:cstheme="majorHAnsi"/>
          <w:sz w:val="22"/>
          <w:szCs w:val="22"/>
        </w:rPr>
        <w:t>o</w:t>
      </w:r>
      <w:r w:rsidRPr="002A3E43">
        <w:rPr>
          <w:rFonts w:asciiTheme="majorHAnsi" w:hAnsiTheme="majorHAnsi" w:cstheme="majorHAnsi"/>
          <w:sz w:val="22"/>
          <w:szCs w:val="22"/>
        </w:rPr>
        <w:t xml:space="preserve"> gobierno. En situaciones en las que se otorguen subsidios, resulta clave desde un punto de vista de política pública que </w:t>
      </w:r>
      <w:r w:rsidR="00C94D30">
        <w:rPr>
          <w:rFonts w:asciiTheme="majorHAnsi" w:hAnsiTheme="majorHAnsi" w:cstheme="majorHAnsi"/>
          <w:sz w:val="22"/>
          <w:szCs w:val="22"/>
        </w:rPr>
        <w:t>tanto su</w:t>
      </w:r>
      <w:r w:rsidRPr="002A3E43">
        <w:rPr>
          <w:rFonts w:asciiTheme="majorHAnsi" w:hAnsiTheme="majorHAnsi" w:cstheme="majorHAnsi"/>
          <w:sz w:val="22"/>
          <w:szCs w:val="22"/>
        </w:rPr>
        <w:t xml:space="preserve"> asignación </w:t>
      </w:r>
      <w:r w:rsidR="00C94D30">
        <w:rPr>
          <w:rFonts w:asciiTheme="majorHAnsi" w:hAnsiTheme="majorHAnsi" w:cstheme="majorHAnsi"/>
          <w:sz w:val="22"/>
          <w:szCs w:val="22"/>
        </w:rPr>
        <w:t xml:space="preserve">como su uso </w:t>
      </w:r>
      <w:r w:rsidRPr="002A3E43">
        <w:rPr>
          <w:rFonts w:asciiTheme="majorHAnsi" w:hAnsiTheme="majorHAnsi" w:cstheme="majorHAnsi"/>
          <w:sz w:val="22"/>
          <w:szCs w:val="22"/>
        </w:rPr>
        <w:t xml:space="preserve">sean realizados de modo transparente y sujeto a mecanismos frecuentes y eficaces de rendición de cuentas (BID, 2013). </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Los altos niveles de cobertura de servicios como el agua o la electricidad – superiores al 90 por ciento en prácticamente la totalidad de países de la región de acuerdo a los datos de acceso a servicios de infraestructura del Banco Mundial</w:t>
      </w:r>
      <w:r w:rsidRPr="002A3E43">
        <w:rPr>
          <w:rStyle w:val="FootnoteReference"/>
          <w:rFonts w:asciiTheme="majorHAnsi" w:hAnsiTheme="majorHAnsi" w:cstheme="majorHAnsi"/>
          <w:sz w:val="22"/>
          <w:szCs w:val="22"/>
        </w:rPr>
        <w:footnoteReference w:id="1"/>
      </w:r>
      <w:r w:rsidRPr="002A3E43">
        <w:rPr>
          <w:rFonts w:asciiTheme="majorHAnsi" w:hAnsiTheme="majorHAnsi" w:cstheme="majorHAnsi"/>
          <w:sz w:val="22"/>
          <w:szCs w:val="22"/>
        </w:rPr>
        <w:t xml:space="preserve"> –, la baja elasticidad-precio de la demanda que presentan este tipo de servicios</w:t>
      </w:r>
      <w:r w:rsidRPr="002A3E43">
        <w:rPr>
          <w:rStyle w:val="FootnoteReference"/>
          <w:rFonts w:asciiTheme="majorHAnsi" w:hAnsiTheme="majorHAnsi" w:cstheme="majorHAnsi"/>
          <w:sz w:val="22"/>
          <w:szCs w:val="22"/>
        </w:rPr>
        <w:footnoteReference w:id="2"/>
      </w:r>
      <w:r w:rsidRPr="002A3E43">
        <w:rPr>
          <w:rFonts w:asciiTheme="majorHAnsi" w:hAnsiTheme="majorHAnsi" w:cstheme="majorHAnsi"/>
          <w:sz w:val="22"/>
          <w:szCs w:val="22"/>
        </w:rPr>
        <w:t>, junto a los altos niveles de cobranza</w:t>
      </w:r>
      <w:r w:rsidR="009004A2">
        <w:rPr>
          <w:rFonts w:asciiTheme="majorHAnsi" w:hAnsiTheme="majorHAnsi" w:cstheme="majorHAnsi"/>
          <w:sz w:val="22"/>
          <w:szCs w:val="22"/>
        </w:rPr>
        <w:t>,</w:t>
      </w:r>
      <w:r w:rsidRPr="002A3E43">
        <w:rPr>
          <w:rFonts w:asciiTheme="majorHAnsi" w:hAnsiTheme="majorHAnsi" w:cstheme="majorHAnsi"/>
          <w:sz w:val="22"/>
          <w:szCs w:val="22"/>
        </w:rPr>
        <w:t xml:space="preserve"> </w:t>
      </w:r>
      <w:r w:rsidR="000508AE" w:rsidRPr="002A3E43">
        <w:rPr>
          <w:rFonts w:asciiTheme="majorHAnsi" w:hAnsiTheme="majorHAnsi" w:cstheme="majorHAnsi"/>
          <w:sz w:val="22"/>
          <w:szCs w:val="22"/>
        </w:rPr>
        <w:t>han convertido</w:t>
      </w:r>
      <w:r w:rsidRPr="002A3E43">
        <w:rPr>
          <w:rFonts w:asciiTheme="majorHAnsi" w:hAnsiTheme="majorHAnsi" w:cstheme="majorHAnsi"/>
          <w:sz w:val="22"/>
          <w:szCs w:val="22"/>
        </w:rPr>
        <w:t xml:space="preserve"> a los servicios públicos domiciliarios </w:t>
      </w:r>
      <w:r w:rsidR="000508AE" w:rsidRPr="002A3E43">
        <w:rPr>
          <w:rFonts w:asciiTheme="majorHAnsi" w:hAnsiTheme="majorHAnsi" w:cstheme="majorHAnsi"/>
          <w:sz w:val="22"/>
          <w:szCs w:val="22"/>
        </w:rPr>
        <w:t>en</w:t>
      </w:r>
      <w:r w:rsidRPr="002A3E43">
        <w:rPr>
          <w:rFonts w:asciiTheme="majorHAnsi" w:hAnsiTheme="majorHAnsi" w:cstheme="majorHAnsi"/>
          <w:sz w:val="22"/>
          <w:szCs w:val="22"/>
        </w:rPr>
        <w:t xml:space="preserve"> una fuente de recursos tributarios</w:t>
      </w:r>
      <w:r w:rsidR="000508AE" w:rsidRPr="002A3E43">
        <w:rPr>
          <w:rFonts w:asciiTheme="majorHAnsi" w:hAnsiTheme="majorHAnsi" w:cstheme="majorHAnsi"/>
          <w:sz w:val="22"/>
          <w:szCs w:val="22"/>
        </w:rPr>
        <w:t>,</w:t>
      </w:r>
      <w:r w:rsidRPr="002A3E43">
        <w:rPr>
          <w:rFonts w:asciiTheme="majorHAnsi" w:hAnsiTheme="majorHAnsi" w:cstheme="majorHAnsi"/>
          <w:sz w:val="22"/>
          <w:szCs w:val="22"/>
        </w:rPr>
        <w:t xml:space="preserve"> </w:t>
      </w:r>
      <w:r w:rsidR="002A3E43" w:rsidRPr="002A3E43">
        <w:rPr>
          <w:rFonts w:asciiTheme="majorHAnsi" w:hAnsiTheme="majorHAnsi" w:cstheme="majorHAnsi"/>
          <w:sz w:val="22"/>
          <w:szCs w:val="22"/>
        </w:rPr>
        <w:t xml:space="preserve">dando oportunidad a la </w:t>
      </w:r>
      <w:r w:rsidRPr="002A3E43">
        <w:rPr>
          <w:rFonts w:asciiTheme="majorHAnsi" w:hAnsiTheme="majorHAnsi" w:cstheme="majorHAnsi"/>
          <w:sz w:val="22"/>
          <w:szCs w:val="22"/>
        </w:rPr>
        <w:t>prolifera</w:t>
      </w:r>
      <w:r w:rsidR="002A3E43" w:rsidRPr="002A3E43">
        <w:rPr>
          <w:rFonts w:asciiTheme="majorHAnsi" w:hAnsiTheme="majorHAnsi" w:cstheme="majorHAnsi"/>
          <w:sz w:val="22"/>
          <w:szCs w:val="22"/>
        </w:rPr>
        <w:t>ción de</w:t>
      </w:r>
      <w:r w:rsidRPr="002A3E43">
        <w:rPr>
          <w:rFonts w:asciiTheme="majorHAnsi" w:hAnsiTheme="majorHAnsi" w:cstheme="majorHAnsi"/>
          <w:sz w:val="22"/>
          <w:szCs w:val="22"/>
        </w:rPr>
        <w:t xml:space="preserve"> numerosas tasas, cargas o gravámenes</w:t>
      </w:r>
      <w:r w:rsidR="00C21E70" w:rsidRPr="002A3E43">
        <w:rPr>
          <w:rFonts w:asciiTheme="majorHAnsi" w:hAnsiTheme="majorHAnsi" w:cstheme="majorHAnsi"/>
          <w:sz w:val="22"/>
          <w:szCs w:val="22"/>
        </w:rPr>
        <w:t>. Est</w:t>
      </w:r>
      <w:r w:rsidR="000508AE" w:rsidRPr="002A3E43">
        <w:rPr>
          <w:rFonts w:asciiTheme="majorHAnsi" w:hAnsiTheme="majorHAnsi" w:cstheme="majorHAnsi"/>
          <w:sz w:val="22"/>
          <w:szCs w:val="22"/>
        </w:rPr>
        <w:t>os instrumentos recaudatorios</w:t>
      </w:r>
      <w:r w:rsidR="00456590">
        <w:rPr>
          <w:rFonts w:asciiTheme="majorHAnsi" w:hAnsiTheme="majorHAnsi" w:cstheme="majorHAnsi"/>
          <w:sz w:val="22"/>
          <w:szCs w:val="22"/>
        </w:rPr>
        <w:t xml:space="preserve"> </w:t>
      </w:r>
      <w:r w:rsidR="00C21E70" w:rsidRPr="002A3E43">
        <w:rPr>
          <w:rFonts w:asciiTheme="majorHAnsi" w:hAnsiTheme="majorHAnsi" w:cstheme="majorHAnsi"/>
          <w:sz w:val="22"/>
          <w:szCs w:val="22"/>
        </w:rPr>
        <w:t>pueden estar</w:t>
      </w:r>
      <w:r w:rsidRPr="002A3E43">
        <w:rPr>
          <w:rFonts w:asciiTheme="majorHAnsi" w:hAnsiTheme="majorHAnsi" w:cstheme="majorHAnsi"/>
          <w:sz w:val="22"/>
          <w:szCs w:val="22"/>
        </w:rPr>
        <w:t xml:space="preserve"> 1) directamente relacionadas con la provisión del servicio – </w:t>
      </w:r>
      <w:r w:rsidR="000508AE" w:rsidRPr="002A3E43">
        <w:rPr>
          <w:rFonts w:asciiTheme="majorHAnsi" w:hAnsiTheme="majorHAnsi" w:cstheme="majorHAnsi"/>
          <w:sz w:val="22"/>
          <w:szCs w:val="22"/>
        </w:rPr>
        <w:t xml:space="preserve">por ejemplo </w:t>
      </w:r>
      <w:r w:rsidRPr="002A3E43">
        <w:rPr>
          <w:rFonts w:asciiTheme="majorHAnsi" w:hAnsiTheme="majorHAnsi" w:cstheme="majorHAnsi"/>
          <w:sz w:val="22"/>
          <w:szCs w:val="22"/>
        </w:rPr>
        <w:t xml:space="preserve">una tasa que financie el desarrollo de la infraestructura asociada al servicio –; 2) relacionadas con externalidades positivas/negativas asociadas al servicio – por ejemplo tasas por emisiones </w:t>
      </w:r>
      <w:r w:rsidRPr="002A3E43">
        <w:rPr>
          <w:rFonts w:asciiTheme="majorHAnsi" w:hAnsiTheme="majorHAnsi" w:cstheme="majorHAnsi"/>
          <w:sz w:val="22"/>
          <w:szCs w:val="22"/>
        </w:rPr>
        <w:lastRenderedPageBreak/>
        <w:t xml:space="preserve">contaminantes, </w:t>
      </w:r>
      <w:r w:rsidR="000508AE" w:rsidRPr="002A3E43">
        <w:rPr>
          <w:rFonts w:asciiTheme="majorHAnsi" w:hAnsiTheme="majorHAnsi" w:cstheme="majorHAnsi"/>
          <w:sz w:val="22"/>
          <w:szCs w:val="22"/>
        </w:rPr>
        <w:t>o</w:t>
      </w:r>
      <w:r w:rsidR="00456590">
        <w:rPr>
          <w:rFonts w:asciiTheme="majorHAnsi" w:hAnsiTheme="majorHAnsi" w:cstheme="majorHAnsi"/>
          <w:sz w:val="22"/>
          <w:szCs w:val="22"/>
        </w:rPr>
        <w:t xml:space="preserve"> </w:t>
      </w:r>
      <w:r w:rsidRPr="002A3E43">
        <w:rPr>
          <w:rFonts w:asciiTheme="majorHAnsi" w:hAnsiTheme="majorHAnsi" w:cstheme="majorHAnsi"/>
          <w:sz w:val="22"/>
          <w:szCs w:val="22"/>
        </w:rPr>
        <w:t xml:space="preserve">impuestos o subsidios </w:t>
      </w:r>
      <w:r w:rsidRPr="002A3E43">
        <w:rPr>
          <w:rFonts w:asciiTheme="majorHAnsi" w:hAnsiTheme="majorHAnsi" w:cstheme="majorHAnsi"/>
          <w:i/>
          <w:sz w:val="22"/>
          <w:szCs w:val="22"/>
        </w:rPr>
        <w:t>pigouvianos</w:t>
      </w:r>
      <w:r w:rsidRPr="002A3E43">
        <w:rPr>
          <w:rFonts w:asciiTheme="majorHAnsi" w:hAnsiTheme="majorHAnsi" w:cstheme="majorHAnsi"/>
          <w:sz w:val="22"/>
          <w:szCs w:val="22"/>
        </w:rPr>
        <w:t xml:space="preserve">, con el fin de corregir fallas de mercado existentes –; o 3) </w:t>
      </w:r>
      <w:r w:rsidR="000508AE" w:rsidRPr="002A3E43">
        <w:rPr>
          <w:rFonts w:asciiTheme="majorHAnsi" w:hAnsiTheme="majorHAnsi" w:cstheme="majorHAnsi"/>
          <w:sz w:val="22"/>
          <w:szCs w:val="22"/>
        </w:rPr>
        <w:t xml:space="preserve">instrumentos </w:t>
      </w:r>
      <w:r w:rsidRPr="002A3E43">
        <w:rPr>
          <w:rFonts w:asciiTheme="majorHAnsi" w:hAnsiTheme="majorHAnsi" w:cstheme="majorHAnsi"/>
          <w:sz w:val="22"/>
          <w:szCs w:val="22"/>
        </w:rPr>
        <w:t>no relacionad</w:t>
      </w:r>
      <w:r w:rsidR="000508AE" w:rsidRPr="002A3E43">
        <w:rPr>
          <w:rFonts w:asciiTheme="majorHAnsi" w:hAnsiTheme="majorHAnsi" w:cstheme="majorHAnsi"/>
          <w:sz w:val="22"/>
          <w:szCs w:val="22"/>
        </w:rPr>
        <w:t>o</w:t>
      </w:r>
      <w:r w:rsidRPr="002A3E43">
        <w:rPr>
          <w:rFonts w:asciiTheme="majorHAnsi" w:hAnsiTheme="majorHAnsi" w:cstheme="majorHAnsi"/>
          <w:sz w:val="22"/>
          <w:szCs w:val="22"/>
        </w:rPr>
        <w:t>s con la naturaleza del servicio, y sí con las necesidades recaudatorias</w:t>
      </w:r>
      <w:r w:rsidR="00C352B5" w:rsidRPr="002A3E43">
        <w:rPr>
          <w:rFonts w:asciiTheme="majorHAnsi" w:hAnsiTheme="majorHAnsi" w:cstheme="majorHAnsi"/>
          <w:sz w:val="22"/>
          <w:szCs w:val="22"/>
        </w:rPr>
        <w:t xml:space="preserve"> y de financiamiento</w:t>
      </w:r>
      <w:r w:rsidRPr="002A3E43">
        <w:rPr>
          <w:rFonts w:asciiTheme="majorHAnsi" w:hAnsiTheme="majorHAnsi" w:cstheme="majorHAnsi"/>
          <w:sz w:val="22"/>
          <w:szCs w:val="22"/>
        </w:rPr>
        <w:t xml:space="preserve"> del sector público. </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Todos estos cargos generan una brecha entre el costo real de la provisión del servicio y la tarifa que enfrentan los consumidores finales. En ocasiones, el tamaño de la brecha resulta ser significativa, introduciendo amplias y profundas distorsiones de mercado. Así, las señales de mercado (precios) que enfrentan productores y consumidores finales son diferentes. Si bien los Estados pueden justificar su existencia en base a diferentes motivos relacionados con las necesidades recaudatorias y la idoneidad de hacer uso de estos servicios como método de recaudación frente a otros, resulta necesario conocer en qué grado y medida se encuentran presentes en los diferentes países de la región. En concreto</w:t>
      </w:r>
      <w:r w:rsidR="000D50F6" w:rsidRPr="002A3E43">
        <w:rPr>
          <w:rFonts w:asciiTheme="majorHAnsi" w:hAnsiTheme="majorHAnsi" w:cstheme="majorHAnsi"/>
          <w:sz w:val="22"/>
          <w:szCs w:val="22"/>
        </w:rPr>
        <w:t>,</w:t>
      </w:r>
      <w:r w:rsidRPr="002A3E43">
        <w:rPr>
          <w:rFonts w:asciiTheme="majorHAnsi" w:hAnsiTheme="majorHAnsi" w:cstheme="majorHAnsi"/>
          <w:sz w:val="22"/>
          <w:szCs w:val="22"/>
        </w:rPr>
        <w:t xml:space="preserve"> </w:t>
      </w:r>
      <w:r w:rsidR="000D50F6" w:rsidRPr="002A3E43">
        <w:rPr>
          <w:rFonts w:asciiTheme="majorHAnsi" w:hAnsiTheme="majorHAnsi" w:cstheme="majorHAnsi"/>
          <w:sz w:val="22"/>
          <w:szCs w:val="22"/>
        </w:rPr>
        <w:t>en</w:t>
      </w:r>
      <w:r w:rsidRPr="002A3E43">
        <w:rPr>
          <w:rFonts w:asciiTheme="majorHAnsi" w:hAnsiTheme="majorHAnsi" w:cstheme="majorHAnsi"/>
          <w:sz w:val="22"/>
          <w:szCs w:val="22"/>
        </w:rPr>
        <w:t xml:space="preserve"> A</w:t>
      </w:r>
      <w:r w:rsidR="000D50F6" w:rsidRPr="002A3E43">
        <w:rPr>
          <w:rFonts w:asciiTheme="majorHAnsi" w:hAnsiTheme="majorHAnsi" w:cstheme="majorHAnsi"/>
          <w:sz w:val="22"/>
          <w:szCs w:val="22"/>
        </w:rPr>
        <w:t>mérica Latina y el Caribe (ALC)</w:t>
      </w:r>
      <w:r w:rsidRPr="002A3E43">
        <w:rPr>
          <w:rFonts w:asciiTheme="majorHAnsi" w:hAnsiTheme="majorHAnsi" w:cstheme="majorHAnsi"/>
          <w:sz w:val="22"/>
          <w:szCs w:val="22"/>
        </w:rPr>
        <w:t xml:space="preserve"> no existe ningún documento </w:t>
      </w:r>
      <w:r w:rsidR="00F8568C">
        <w:rPr>
          <w:rFonts w:asciiTheme="majorHAnsi" w:hAnsiTheme="majorHAnsi" w:cstheme="majorHAnsi"/>
          <w:sz w:val="22"/>
          <w:szCs w:val="22"/>
        </w:rPr>
        <w:t xml:space="preserve">previo </w:t>
      </w:r>
      <w:r w:rsidRPr="002A3E43">
        <w:rPr>
          <w:rFonts w:asciiTheme="majorHAnsi" w:hAnsiTheme="majorHAnsi" w:cstheme="majorHAnsi"/>
          <w:sz w:val="22"/>
          <w:szCs w:val="22"/>
        </w:rPr>
        <w:t xml:space="preserve">que describa, cuantifique y analice las cargas, tasas, e impuestos específicos sobre la provisión de servicios públicos domiciliarios. </w:t>
      </w:r>
    </w:p>
    <w:p w:rsidR="00776B12" w:rsidRPr="002A3E43" w:rsidRDefault="00776B12"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El presente documento analiza </w:t>
      </w:r>
      <w:r w:rsidR="001B1EC1" w:rsidRPr="002A3E43">
        <w:rPr>
          <w:rFonts w:asciiTheme="majorHAnsi" w:hAnsiTheme="majorHAnsi" w:cstheme="majorHAnsi"/>
          <w:sz w:val="22"/>
          <w:szCs w:val="22"/>
        </w:rPr>
        <w:t xml:space="preserve">de manera descriptiva </w:t>
      </w:r>
      <w:r w:rsidRPr="002A3E43">
        <w:rPr>
          <w:rFonts w:asciiTheme="majorHAnsi" w:hAnsiTheme="majorHAnsi" w:cstheme="majorHAnsi"/>
          <w:sz w:val="22"/>
          <w:szCs w:val="22"/>
        </w:rPr>
        <w:t xml:space="preserve">los impuestos, gravámenes, tasas y/o cargos </w:t>
      </w:r>
      <w:r w:rsidR="000D50F6" w:rsidRPr="002A3E43">
        <w:rPr>
          <w:rFonts w:asciiTheme="majorHAnsi" w:hAnsiTheme="majorHAnsi" w:cstheme="majorHAnsi"/>
          <w:sz w:val="22"/>
          <w:szCs w:val="22"/>
        </w:rPr>
        <w:t>– en adelante se referirá a</w:t>
      </w:r>
      <w:r w:rsidR="00A34382" w:rsidRPr="002A3E43">
        <w:rPr>
          <w:rFonts w:asciiTheme="majorHAnsi" w:hAnsiTheme="majorHAnsi" w:cstheme="majorHAnsi"/>
          <w:sz w:val="22"/>
          <w:szCs w:val="22"/>
        </w:rPr>
        <w:t>l término</w:t>
      </w:r>
      <w:r w:rsidR="000D50F6" w:rsidRPr="002A3E43">
        <w:rPr>
          <w:rFonts w:asciiTheme="majorHAnsi" w:hAnsiTheme="majorHAnsi" w:cstheme="majorHAnsi"/>
          <w:sz w:val="22"/>
          <w:szCs w:val="22"/>
        </w:rPr>
        <w:t xml:space="preserve"> </w:t>
      </w:r>
      <w:r w:rsidR="000D50F6" w:rsidRPr="002A3E43">
        <w:rPr>
          <w:rFonts w:asciiTheme="majorHAnsi" w:hAnsiTheme="majorHAnsi" w:cstheme="majorHAnsi"/>
          <w:i/>
          <w:sz w:val="22"/>
          <w:szCs w:val="22"/>
        </w:rPr>
        <w:t>tasas</w:t>
      </w:r>
      <w:r w:rsidR="000D50F6" w:rsidRPr="002A3E43">
        <w:rPr>
          <w:rFonts w:asciiTheme="majorHAnsi" w:hAnsiTheme="majorHAnsi" w:cstheme="majorHAnsi"/>
          <w:sz w:val="22"/>
          <w:szCs w:val="22"/>
        </w:rPr>
        <w:t xml:space="preserve"> de manera general – </w:t>
      </w:r>
      <w:r w:rsidRPr="002A3E43">
        <w:rPr>
          <w:rFonts w:asciiTheme="majorHAnsi" w:hAnsiTheme="majorHAnsi" w:cstheme="majorHAnsi"/>
          <w:sz w:val="22"/>
          <w:szCs w:val="22"/>
        </w:rPr>
        <w:t>en la provisión de servicios público</w:t>
      </w:r>
      <w:r w:rsidR="00AC3DF9" w:rsidRPr="002A3E43">
        <w:rPr>
          <w:rFonts w:asciiTheme="majorHAnsi" w:hAnsiTheme="majorHAnsi" w:cstheme="majorHAnsi"/>
          <w:sz w:val="22"/>
          <w:szCs w:val="22"/>
        </w:rPr>
        <w:t>s domiciliarios de electricidad y</w:t>
      </w:r>
      <w:r w:rsidRPr="002A3E43">
        <w:rPr>
          <w:rFonts w:asciiTheme="majorHAnsi" w:hAnsiTheme="majorHAnsi" w:cstheme="majorHAnsi"/>
          <w:sz w:val="22"/>
          <w:szCs w:val="22"/>
        </w:rPr>
        <w:t xml:space="preserve"> agua</w:t>
      </w:r>
      <w:r w:rsidR="00115D2B">
        <w:rPr>
          <w:rStyle w:val="FootnoteReference"/>
          <w:rFonts w:asciiTheme="majorHAnsi" w:hAnsiTheme="majorHAnsi" w:cstheme="majorHAnsi"/>
          <w:sz w:val="22"/>
          <w:szCs w:val="22"/>
        </w:rPr>
        <w:footnoteReference w:id="3"/>
      </w:r>
      <w:r w:rsidRPr="002A3E43">
        <w:rPr>
          <w:rFonts w:asciiTheme="majorHAnsi" w:hAnsiTheme="majorHAnsi" w:cstheme="majorHAnsi"/>
          <w:sz w:val="22"/>
          <w:szCs w:val="22"/>
        </w:rPr>
        <w:t xml:space="preserve"> para un conjunto de países de la región. En concreto – y tras una discusión teórica sobre la idoneidad y determinación de estas tasas–, se recogen las experiencias de Argentina, Chile, Ecuador, Perú</w:t>
      </w:r>
      <w:r w:rsidR="002A3E43" w:rsidRPr="002A3E43">
        <w:rPr>
          <w:rFonts w:asciiTheme="majorHAnsi" w:hAnsiTheme="majorHAnsi" w:cstheme="majorHAnsi"/>
          <w:sz w:val="22"/>
          <w:szCs w:val="22"/>
        </w:rPr>
        <w:t xml:space="preserve">, </w:t>
      </w:r>
      <w:r w:rsidR="009004A2">
        <w:rPr>
          <w:rFonts w:asciiTheme="majorHAnsi" w:hAnsiTheme="majorHAnsi" w:cstheme="majorHAnsi"/>
          <w:sz w:val="22"/>
          <w:szCs w:val="22"/>
        </w:rPr>
        <w:t xml:space="preserve">y </w:t>
      </w:r>
      <w:r w:rsidRPr="002A3E43">
        <w:rPr>
          <w:rFonts w:asciiTheme="majorHAnsi" w:hAnsiTheme="majorHAnsi" w:cstheme="majorHAnsi"/>
          <w:sz w:val="22"/>
          <w:szCs w:val="22"/>
        </w:rPr>
        <w:t xml:space="preserve">Uruguay. Asimismo, y con la intención de hacer un análisis comparativo de la región </w:t>
      </w:r>
      <w:r w:rsidR="009074E2">
        <w:rPr>
          <w:rFonts w:asciiTheme="majorHAnsi" w:hAnsiTheme="majorHAnsi" w:cstheme="majorHAnsi"/>
          <w:sz w:val="22"/>
          <w:szCs w:val="22"/>
        </w:rPr>
        <w:t>frente a</w:t>
      </w:r>
      <w:r w:rsidR="002A3E43" w:rsidRPr="002A3E43">
        <w:rPr>
          <w:rFonts w:asciiTheme="majorHAnsi" w:hAnsiTheme="majorHAnsi" w:cstheme="majorHAnsi"/>
          <w:sz w:val="22"/>
          <w:szCs w:val="22"/>
        </w:rPr>
        <w:t xml:space="preserve"> prácticas</w:t>
      </w:r>
      <w:r w:rsidRPr="002A3E43">
        <w:rPr>
          <w:rFonts w:asciiTheme="majorHAnsi" w:hAnsiTheme="majorHAnsi" w:cstheme="majorHAnsi"/>
          <w:sz w:val="22"/>
          <w:szCs w:val="22"/>
        </w:rPr>
        <w:t xml:space="preserve"> internacionales, se presentan los casos de Bélgica, </w:t>
      </w:r>
      <w:r w:rsidR="00CB4EE0">
        <w:rPr>
          <w:rFonts w:asciiTheme="majorHAnsi" w:hAnsiTheme="majorHAnsi" w:cstheme="majorHAnsi"/>
          <w:sz w:val="22"/>
          <w:szCs w:val="22"/>
        </w:rPr>
        <w:t xml:space="preserve">Francia y </w:t>
      </w:r>
      <w:r w:rsidRPr="002A3E43">
        <w:rPr>
          <w:rFonts w:asciiTheme="majorHAnsi" w:hAnsiTheme="majorHAnsi" w:cstheme="majorHAnsi"/>
          <w:sz w:val="22"/>
          <w:szCs w:val="22"/>
        </w:rPr>
        <w:t xml:space="preserve">España. </w:t>
      </w:r>
      <w:r w:rsidR="000508AE" w:rsidRPr="002A3E43">
        <w:rPr>
          <w:rFonts w:asciiTheme="majorHAnsi" w:hAnsiTheme="majorHAnsi" w:cstheme="majorHAnsi"/>
          <w:sz w:val="22"/>
          <w:szCs w:val="22"/>
        </w:rPr>
        <w:t xml:space="preserve">La selección de países </w:t>
      </w:r>
      <w:r w:rsidR="001F0D6B">
        <w:rPr>
          <w:rFonts w:asciiTheme="majorHAnsi" w:hAnsiTheme="majorHAnsi" w:cstheme="majorHAnsi"/>
          <w:sz w:val="22"/>
          <w:szCs w:val="22"/>
        </w:rPr>
        <w:t>incluidos en la muestra responde principalmente</w:t>
      </w:r>
      <w:r w:rsidR="00E30945" w:rsidRPr="002A3E43">
        <w:rPr>
          <w:rFonts w:asciiTheme="majorHAnsi" w:hAnsiTheme="majorHAnsi" w:cstheme="majorHAnsi"/>
          <w:sz w:val="22"/>
          <w:szCs w:val="22"/>
        </w:rPr>
        <w:t xml:space="preserve"> </w:t>
      </w:r>
      <w:r w:rsidR="001F0D6B">
        <w:rPr>
          <w:rFonts w:asciiTheme="majorHAnsi" w:hAnsiTheme="majorHAnsi" w:cstheme="majorHAnsi"/>
          <w:sz w:val="22"/>
          <w:szCs w:val="22"/>
        </w:rPr>
        <w:t>a la existencia de información pública disponible</w:t>
      </w:r>
      <w:r w:rsidR="00E30945" w:rsidRPr="002A3E43">
        <w:rPr>
          <w:rFonts w:asciiTheme="majorHAnsi" w:hAnsiTheme="majorHAnsi" w:cstheme="majorHAnsi"/>
          <w:sz w:val="22"/>
          <w:szCs w:val="22"/>
        </w:rPr>
        <w:t xml:space="preserve">. </w:t>
      </w:r>
      <w:r w:rsidR="00F419A2">
        <w:rPr>
          <w:rFonts w:asciiTheme="majorHAnsi" w:hAnsiTheme="majorHAnsi" w:cstheme="majorHAnsi"/>
          <w:sz w:val="22"/>
          <w:szCs w:val="22"/>
        </w:rPr>
        <w:t xml:space="preserve">El </w:t>
      </w:r>
      <w:r w:rsidR="008901B8">
        <w:rPr>
          <w:rFonts w:asciiTheme="majorHAnsi" w:hAnsiTheme="majorHAnsi" w:cstheme="majorHAnsi"/>
          <w:sz w:val="22"/>
          <w:szCs w:val="22"/>
        </w:rPr>
        <w:t>presente</w:t>
      </w:r>
      <w:r w:rsidR="00E30945" w:rsidRPr="002A3E43">
        <w:rPr>
          <w:rFonts w:asciiTheme="majorHAnsi" w:hAnsiTheme="majorHAnsi" w:cstheme="majorHAnsi"/>
          <w:sz w:val="22"/>
          <w:szCs w:val="22"/>
        </w:rPr>
        <w:t xml:space="preserve"> informe </w:t>
      </w:r>
      <w:r w:rsidR="00F419A2">
        <w:rPr>
          <w:rFonts w:asciiTheme="majorHAnsi" w:hAnsiTheme="majorHAnsi" w:cstheme="majorHAnsi"/>
          <w:sz w:val="22"/>
          <w:szCs w:val="22"/>
        </w:rPr>
        <w:t>tiene como objetivo</w:t>
      </w:r>
      <w:r w:rsidR="00E30945" w:rsidRPr="002A3E43">
        <w:rPr>
          <w:rFonts w:asciiTheme="majorHAnsi" w:hAnsiTheme="majorHAnsi" w:cstheme="majorHAnsi"/>
          <w:sz w:val="22"/>
          <w:szCs w:val="22"/>
        </w:rPr>
        <w:t xml:space="preserve"> proveer un diagnóstico </w:t>
      </w:r>
      <w:r w:rsidR="002A3E43" w:rsidRPr="002A3E43">
        <w:rPr>
          <w:rFonts w:asciiTheme="majorHAnsi" w:hAnsiTheme="majorHAnsi" w:cstheme="majorHAnsi"/>
          <w:sz w:val="22"/>
          <w:szCs w:val="22"/>
        </w:rPr>
        <w:t xml:space="preserve">inicial </w:t>
      </w:r>
      <w:r w:rsidR="00E30945" w:rsidRPr="002A3E43">
        <w:rPr>
          <w:rFonts w:asciiTheme="majorHAnsi" w:hAnsiTheme="majorHAnsi" w:cstheme="majorHAnsi"/>
          <w:sz w:val="22"/>
          <w:szCs w:val="22"/>
        </w:rPr>
        <w:t xml:space="preserve">que </w:t>
      </w:r>
      <w:r w:rsidR="00212FD0">
        <w:rPr>
          <w:rFonts w:asciiTheme="majorHAnsi" w:hAnsiTheme="majorHAnsi" w:cstheme="majorHAnsi"/>
          <w:sz w:val="22"/>
          <w:szCs w:val="22"/>
        </w:rPr>
        <w:t xml:space="preserve">motive </w:t>
      </w:r>
      <w:r w:rsidR="00E30945" w:rsidRPr="002A3E43">
        <w:rPr>
          <w:rFonts w:asciiTheme="majorHAnsi" w:hAnsiTheme="majorHAnsi" w:cstheme="majorHAnsi"/>
          <w:sz w:val="22"/>
          <w:szCs w:val="22"/>
        </w:rPr>
        <w:t xml:space="preserve">la realización de </w:t>
      </w:r>
      <w:r w:rsidR="00212FD0">
        <w:rPr>
          <w:rFonts w:asciiTheme="majorHAnsi" w:hAnsiTheme="majorHAnsi" w:cstheme="majorHAnsi"/>
          <w:sz w:val="22"/>
          <w:szCs w:val="22"/>
        </w:rPr>
        <w:t xml:space="preserve">un </w:t>
      </w:r>
      <w:r w:rsidR="00E30945" w:rsidRPr="002A3E43">
        <w:rPr>
          <w:rFonts w:asciiTheme="majorHAnsi" w:hAnsiTheme="majorHAnsi" w:cstheme="majorHAnsi"/>
          <w:sz w:val="22"/>
          <w:szCs w:val="22"/>
        </w:rPr>
        <w:t xml:space="preserve">análisis </w:t>
      </w:r>
      <w:r w:rsidR="00212FD0">
        <w:rPr>
          <w:rFonts w:asciiTheme="majorHAnsi" w:hAnsiTheme="majorHAnsi" w:cstheme="majorHAnsi"/>
          <w:sz w:val="22"/>
          <w:szCs w:val="22"/>
        </w:rPr>
        <w:t>con mayor profundidad</w:t>
      </w:r>
      <w:r w:rsidR="00E30945" w:rsidRPr="002A3E43">
        <w:rPr>
          <w:rFonts w:asciiTheme="majorHAnsi" w:hAnsiTheme="majorHAnsi" w:cstheme="majorHAnsi"/>
          <w:sz w:val="22"/>
          <w:szCs w:val="22"/>
        </w:rPr>
        <w:t xml:space="preserve"> </w:t>
      </w:r>
      <w:r w:rsidR="00212FD0">
        <w:rPr>
          <w:rFonts w:asciiTheme="majorHAnsi" w:hAnsiTheme="majorHAnsi" w:cstheme="majorHAnsi"/>
          <w:sz w:val="22"/>
          <w:szCs w:val="22"/>
        </w:rPr>
        <w:t>acerca de</w:t>
      </w:r>
      <w:r w:rsidR="00E30945" w:rsidRPr="002A3E43">
        <w:rPr>
          <w:rFonts w:asciiTheme="majorHAnsi" w:hAnsiTheme="majorHAnsi" w:cstheme="majorHAnsi"/>
          <w:sz w:val="22"/>
          <w:szCs w:val="22"/>
        </w:rPr>
        <w:t xml:space="preserve"> esta temática en los países de América Latina y el Caribe. </w:t>
      </w:r>
    </w:p>
    <w:p w:rsidR="002A3E43" w:rsidRPr="00AC6CBE" w:rsidRDefault="002A3E43" w:rsidP="00A15206">
      <w:pPr>
        <w:pStyle w:val="ListParagraph"/>
        <w:numPr>
          <w:ilvl w:val="0"/>
          <w:numId w:val="1"/>
        </w:numPr>
        <w:spacing w:before="100" w:beforeAutospacing="1" w:after="100" w:afterAutospacing="1"/>
        <w:jc w:val="both"/>
        <w:rPr>
          <w:rFonts w:asciiTheme="majorHAnsi" w:hAnsiTheme="majorHAnsi" w:cstheme="majorHAnsi"/>
          <w:b/>
          <w:sz w:val="26"/>
          <w:szCs w:val="26"/>
        </w:rPr>
      </w:pPr>
      <w:r w:rsidRPr="00AC6CBE">
        <w:rPr>
          <w:rFonts w:asciiTheme="majorHAnsi" w:hAnsiTheme="majorHAnsi" w:cstheme="majorHAnsi"/>
          <w:b/>
          <w:sz w:val="26"/>
          <w:szCs w:val="26"/>
        </w:rPr>
        <w:t>Discusión teórica sobre la idoneidad y determinación de estas tasas a los servicios públicos (domiciliarios) de infraestructura</w:t>
      </w:r>
    </w:p>
    <w:p w:rsidR="002A3E43" w:rsidRPr="002A3E43" w:rsidRDefault="002A3E43" w:rsidP="00A15206">
      <w:pPr>
        <w:pStyle w:val="ListParagraph"/>
        <w:spacing w:before="100" w:beforeAutospacing="1" w:after="100" w:afterAutospacing="1"/>
        <w:ind w:left="360"/>
        <w:jc w:val="both"/>
        <w:rPr>
          <w:rFonts w:asciiTheme="majorHAnsi" w:hAnsiTheme="majorHAnsi" w:cstheme="majorHAnsi"/>
          <w:sz w:val="22"/>
          <w:szCs w:val="22"/>
        </w:rPr>
      </w:pPr>
    </w:p>
    <w:p w:rsidR="00595B3E" w:rsidRPr="002A3E43" w:rsidRDefault="00770215" w:rsidP="00A15206">
      <w:pPr>
        <w:pStyle w:val="ListParagraph"/>
        <w:spacing w:before="100" w:beforeAutospacing="1" w:after="100" w:afterAutospacing="1"/>
        <w:ind w:left="0"/>
        <w:jc w:val="both"/>
        <w:rPr>
          <w:rFonts w:asciiTheme="majorHAnsi" w:hAnsiTheme="majorHAnsi" w:cstheme="majorHAnsi"/>
          <w:sz w:val="22"/>
          <w:szCs w:val="22"/>
        </w:rPr>
      </w:pPr>
      <w:r w:rsidRPr="002A3E43">
        <w:rPr>
          <w:rFonts w:asciiTheme="majorHAnsi" w:hAnsiTheme="majorHAnsi" w:cstheme="majorHAnsi"/>
          <w:sz w:val="22"/>
          <w:szCs w:val="22"/>
        </w:rPr>
        <w:t xml:space="preserve">¿Cómo deberían gravarse los servicios públicos (domiciliarios) de infraestructura? </w:t>
      </w:r>
      <w:r w:rsidR="00595B3E" w:rsidRPr="002A3E43">
        <w:rPr>
          <w:rFonts w:asciiTheme="majorHAnsi" w:hAnsiTheme="majorHAnsi" w:cstheme="majorHAnsi"/>
          <w:sz w:val="22"/>
          <w:szCs w:val="22"/>
        </w:rPr>
        <w:t>¿</w:t>
      </w:r>
      <w:r w:rsidR="00766471" w:rsidRPr="002A3E43">
        <w:rPr>
          <w:rFonts w:asciiTheme="majorHAnsi" w:hAnsiTheme="majorHAnsi" w:cstheme="majorHAnsi"/>
          <w:sz w:val="22"/>
          <w:szCs w:val="22"/>
        </w:rPr>
        <w:t>Deben</w:t>
      </w:r>
      <w:r w:rsidR="00595B3E" w:rsidRPr="002A3E43">
        <w:rPr>
          <w:rFonts w:asciiTheme="majorHAnsi" w:hAnsiTheme="majorHAnsi" w:cstheme="majorHAnsi"/>
          <w:sz w:val="22"/>
          <w:szCs w:val="22"/>
        </w:rPr>
        <w:t xml:space="preserve"> ser objeto de imposición</w:t>
      </w:r>
      <w:r w:rsidR="00033D62" w:rsidRPr="002A3E43">
        <w:rPr>
          <w:rFonts w:asciiTheme="majorHAnsi" w:hAnsiTheme="majorHAnsi" w:cstheme="majorHAnsi"/>
          <w:sz w:val="22"/>
          <w:szCs w:val="22"/>
        </w:rPr>
        <w:t xml:space="preserve"> específica</w:t>
      </w:r>
      <w:r w:rsidR="00595B3E" w:rsidRPr="002A3E43">
        <w:rPr>
          <w:rFonts w:asciiTheme="majorHAnsi" w:hAnsiTheme="majorHAnsi" w:cstheme="majorHAnsi"/>
          <w:sz w:val="22"/>
          <w:szCs w:val="22"/>
        </w:rPr>
        <w:t xml:space="preserve">? </w:t>
      </w:r>
      <w:r w:rsidR="002A3E43">
        <w:rPr>
          <w:rFonts w:asciiTheme="majorHAnsi" w:hAnsiTheme="majorHAnsi" w:cstheme="majorHAnsi"/>
          <w:sz w:val="22"/>
          <w:szCs w:val="22"/>
        </w:rPr>
        <w:t>Esta es u</w:t>
      </w:r>
      <w:r w:rsidR="00595B3E" w:rsidRPr="002A3E43">
        <w:rPr>
          <w:rFonts w:asciiTheme="majorHAnsi" w:hAnsiTheme="majorHAnsi" w:cstheme="majorHAnsi"/>
          <w:sz w:val="22"/>
          <w:szCs w:val="22"/>
        </w:rPr>
        <w:t>na discusión teórica</w:t>
      </w:r>
      <w:r w:rsidR="00F64C86" w:rsidRPr="002A3E43">
        <w:rPr>
          <w:rFonts w:asciiTheme="majorHAnsi" w:hAnsiTheme="majorHAnsi" w:cstheme="majorHAnsi"/>
          <w:sz w:val="22"/>
          <w:szCs w:val="22"/>
        </w:rPr>
        <w:t xml:space="preserve"> que continúa</w:t>
      </w:r>
      <w:r w:rsidR="003A3415" w:rsidRPr="002A3E43">
        <w:rPr>
          <w:rFonts w:asciiTheme="majorHAnsi" w:hAnsiTheme="majorHAnsi" w:cstheme="majorHAnsi"/>
          <w:sz w:val="22"/>
          <w:szCs w:val="22"/>
        </w:rPr>
        <w:t xml:space="preserve"> abierta</w:t>
      </w:r>
      <w:r w:rsidR="00595B3E" w:rsidRPr="002A3E43">
        <w:rPr>
          <w:rFonts w:asciiTheme="majorHAnsi" w:hAnsiTheme="majorHAnsi" w:cstheme="majorHAnsi"/>
          <w:sz w:val="22"/>
          <w:szCs w:val="22"/>
        </w:rPr>
        <w:t>.</w:t>
      </w:r>
      <w:r w:rsidR="004E33CD" w:rsidRPr="002A3E43">
        <w:rPr>
          <w:rFonts w:asciiTheme="majorHAnsi" w:hAnsiTheme="majorHAnsi" w:cstheme="majorHAnsi"/>
          <w:vertAlign w:val="superscript"/>
        </w:rPr>
        <w:footnoteReference w:id="4"/>
      </w:r>
      <w:r w:rsidR="00595B3E" w:rsidRPr="002A3E43">
        <w:rPr>
          <w:rFonts w:asciiTheme="majorHAnsi" w:hAnsiTheme="majorHAnsi" w:cstheme="majorHAnsi"/>
          <w:sz w:val="22"/>
          <w:szCs w:val="22"/>
        </w:rPr>
        <w:t xml:space="preserve"> </w:t>
      </w:r>
    </w:p>
    <w:p w:rsidR="002E7A7E" w:rsidRPr="002A3E43" w:rsidRDefault="00536113" w:rsidP="00A15206">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 xml:space="preserve">En </w:t>
      </w:r>
      <w:r w:rsidR="002E7A7E" w:rsidRPr="002A3E43">
        <w:rPr>
          <w:rFonts w:asciiTheme="majorHAnsi" w:hAnsiTheme="majorHAnsi" w:cstheme="majorHAnsi"/>
          <w:sz w:val="22"/>
          <w:szCs w:val="22"/>
        </w:rPr>
        <w:t>la práctica</w:t>
      </w:r>
      <w:r w:rsidR="00E02CF6">
        <w:rPr>
          <w:rFonts w:asciiTheme="majorHAnsi" w:hAnsiTheme="majorHAnsi" w:cstheme="majorHAnsi"/>
          <w:sz w:val="22"/>
          <w:szCs w:val="22"/>
        </w:rPr>
        <w:t>,</w:t>
      </w:r>
      <w:r w:rsidR="002E7A7E" w:rsidRPr="002A3E43">
        <w:rPr>
          <w:rFonts w:asciiTheme="majorHAnsi" w:hAnsiTheme="majorHAnsi" w:cstheme="majorHAnsi"/>
          <w:sz w:val="22"/>
          <w:szCs w:val="22"/>
        </w:rPr>
        <w:t xml:space="preserve"> el consumo residencial de los servicios de infraestructura ha sido objeto de varia</w:t>
      </w:r>
      <w:r w:rsidR="002A3E43">
        <w:rPr>
          <w:rFonts w:asciiTheme="majorHAnsi" w:hAnsiTheme="majorHAnsi" w:cstheme="majorHAnsi"/>
          <w:sz w:val="22"/>
          <w:szCs w:val="22"/>
        </w:rPr>
        <w:t xml:space="preserve">s </w:t>
      </w:r>
      <w:r w:rsidR="002E7A7E" w:rsidRPr="002A3E43">
        <w:rPr>
          <w:rFonts w:asciiTheme="majorHAnsi" w:hAnsiTheme="majorHAnsi" w:cstheme="majorHAnsi"/>
          <w:sz w:val="22"/>
          <w:szCs w:val="22"/>
        </w:rPr>
        <w:t xml:space="preserve">formas de tributación </w:t>
      </w:r>
      <w:r>
        <w:rPr>
          <w:rFonts w:asciiTheme="majorHAnsi" w:hAnsiTheme="majorHAnsi" w:cstheme="majorHAnsi"/>
          <w:sz w:val="22"/>
          <w:szCs w:val="22"/>
        </w:rPr>
        <w:t xml:space="preserve">tanto </w:t>
      </w:r>
      <w:r w:rsidR="002E7A7E" w:rsidRPr="002A3E43">
        <w:rPr>
          <w:rFonts w:asciiTheme="majorHAnsi" w:hAnsiTheme="majorHAnsi" w:cstheme="majorHAnsi"/>
          <w:sz w:val="22"/>
          <w:szCs w:val="22"/>
        </w:rPr>
        <w:t xml:space="preserve">general (común a otros bienes y servicios) </w:t>
      </w:r>
      <w:r>
        <w:rPr>
          <w:rFonts w:asciiTheme="majorHAnsi" w:hAnsiTheme="majorHAnsi" w:cstheme="majorHAnsi"/>
          <w:sz w:val="22"/>
          <w:szCs w:val="22"/>
        </w:rPr>
        <w:t>como</w:t>
      </w:r>
      <w:r w:rsidR="002E7A7E" w:rsidRPr="002A3E43">
        <w:rPr>
          <w:rFonts w:asciiTheme="majorHAnsi" w:hAnsiTheme="majorHAnsi" w:cstheme="majorHAnsi"/>
          <w:sz w:val="22"/>
          <w:szCs w:val="22"/>
        </w:rPr>
        <w:t xml:space="preserve"> específica</w:t>
      </w:r>
      <w:r>
        <w:rPr>
          <w:rFonts w:asciiTheme="majorHAnsi" w:hAnsiTheme="majorHAnsi" w:cstheme="majorHAnsi"/>
          <w:sz w:val="22"/>
          <w:szCs w:val="22"/>
        </w:rPr>
        <w:t>.</w:t>
      </w:r>
      <w:r w:rsidR="002E7A7E" w:rsidRPr="002A3E43">
        <w:rPr>
          <w:rFonts w:asciiTheme="majorHAnsi" w:hAnsiTheme="majorHAnsi" w:cstheme="majorHAnsi"/>
          <w:sz w:val="22"/>
          <w:szCs w:val="22"/>
        </w:rPr>
        <w:t xml:space="preserve"> </w:t>
      </w:r>
      <w:r>
        <w:rPr>
          <w:rFonts w:asciiTheme="majorHAnsi" w:hAnsiTheme="majorHAnsi" w:cstheme="majorHAnsi"/>
          <w:sz w:val="22"/>
          <w:szCs w:val="22"/>
        </w:rPr>
        <w:t>E</w:t>
      </w:r>
      <w:r w:rsidR="002E7A7E" w:rsidRPr="002A3E43">
        <w:rPr>
          <w:rFonts w:asciiTheme="majorHAnsi" w:hAnsiTheme="majorHAnsi" w:cstheme="majorHAnsi"/>
          <w:sz w:val="22"/>
          <w:szCs w:val="22"/>
        </w:rPr>
        <w:t>l enfoque proveniente de la tributación óptima –es decir</w:t>
      </w:r>
      <w:r w:rsidR="00987DD5">
        <w:rPr>
          <w:rFonts w:asciiTheme="majorHAnsi" w:hAnsiTheme="majorHAnsi" w:cstheme="majorHAnsi"/>
          <w:sz w:val="22"/>
          <w:szCs w:val="22"/>
        </w:rPr>
        <w:t>,</w:t>
      </w:r>
      <w:r w:rsidR="002E7A7E" w:rsidRPr="002A3E43">
        <w:rPr>
          <w:rFonts w:asciiTheme="majorHAnsi" w:hAnsiTheme="majorHAnsi" w:cstheme="majorHAnsi"/>
          <w:sz w:val="22"/>
          <w:szCs w:val="22"/>
        </w:rPr>
        <w:t xml:space="preserve"> la rama de la economía pública que estudia la normativa de la tributación</w:t>
      </w:r>
      <w:r w:rsidR="00E04D89" w:rsidRPr="002A3E43">
        <w:rPr>
          <w:rFonts w:asciiTheme="majorHAnsi" w:hAnsiTheme="majorHAnsi" w:cstheme="majorHAnsi"/>
          <w:sz w:val="22"/>
          <w:szCs w:val="22"/>
        </w:rPr>
        <w:t>–</w:t>
      </w:r>
      <w:r w:rsidR="002E7A7E" w:rsidRPr="002A3E43">
        <w:rPr>
          <w:rFonts w:asciiTheme="majorHAnsi" w:hAnsiTheme="majorHAnsi" w:cstheme="majorHAnsi"/>
          <w:sz w:val="22"/>
          <w:szCs w:val="22"/>
        </w:rPr>
        <w:t xml:space="preserve"> ha realizado contribuciones importantes en cuanto a la estructura tributaria deseable, pero con más lineamientos generales que impl</w:t>
      </w:r>
      <w:r w:rsidR="00F772B9" w:rsidRPr="002A3E43">
        <w:rPr>
          <w:rFonts w:asciiTheme="majorHAnsi" w:hAnsiTheme="majorHAnsi" w:cstheme="majorHAnsi"/>
          <w:sz w:val="22"/>
          <w:szCs w:val="22"/>
        </w:rPr>
        <w:t>icancias concretas (Navajas</w:t>
      </w:r>
      <w:r w:rsidR="002E7A7E" w:rsidRPr="002A3E43">
        <w:rPr>
          <w:rFonts w:asciiTheme="majorHAnsi" w:hAnsiTheme="majorHAnsi" w:cstheme="majorHAnsi"/>
          <w:sz w:val="22"/>
          <w:szCs w:val="22"/>
        </w:rPr>
        <w:t xml:space="preserve">, 2018). </w:t>
      </w:r>
    </w:p>
    <w:p w:rsidR="002E7A7E" w:rsidRPr="002A3E43" w:rsidRDefault="00601AF5"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En el pasado</w:t>
      </w:r>
      <w:r w:rsidR="002E7A7E" w:rsidRPr="002A3E43">
        <w:rPr>
          <w:rFonts w:asciiTheme="majorHAnsi" w:hAnsiTheme="majorHAnsi" w:cstheme="majorHAnsi"/>
          <w:sz w:val="22"/>
          <w:szCs w:val="22"/>
        </w:rPr>
        <w:t>, la influencia de la teoría de la tributación óptima sobre el sector de servicios de</w:t>
      </w:r>
      <w:r w:rsidR="007E3E2B" w:rsidRPr="002A3E43">
        <w:rPr>
          <w:rFonts w:asciiTheme="majorHAnsi" w:hAnsiTheme="majorHAnsi" w:cstheme="majorHAnsi"/>
          <w:sz w:val="22"/>
          <w:szCs w:val="22"/>
        </w:rPr>
        <w:t xml:space="preserve"> infraestructura </w:t>
      </w:r>
      <w:r w:rsidR="000058CF" w:rsidRPr="002A3E43">
        <w:rPr>
          <w:rFonts w:asciiTheme="majorHAnsi" w:hAnsiTheme="majorHAnsi" w:cstheme="majorHAnsi"/>
          <w:sz w:val="22"/>
          <w:szCs w:val="22"/>
        </w:rPr>
        <w:t>di</w:t>
      </w:r>
      <w:r w:rsidR="000058CF">
        <w:rPr>
          <w:rFonts w:asciiTheme="majorHAnsi" w:hAnsiTheme="majorHAnsi" w:cstheme="majorHAnsi"/>
          <w:sz w:val="22"/>
          <w:szCs w:val="22"/>
        </w:rPr>
        <w:t>o</w:t>
      </w:r>
      <w:r w:rsidR="002E7A7E" w:rsidRPr="002A3E43">
        <w:rPr>
          <w:rFonts w:asciiTheme="majorHAnsi" w:hAnsiTheme="majorHAnsi" w:cstheme="majorHAnsi"/>
          <w:sz w:val="22"/>
          <w:szCs w:val="22"/>
        </w:rPr>
        <w:t xml:space="preserve"> lugar a un formato analítico que abordó (sin mucha o ninguna diferenciación explícita entre precios e impuestos óptimos) el problema de determinación de los precios de los servicios de infraestructura (</w:t>
      </w:r>
      <w:r w:rsidR="002E7A7E" w:rsidRPr="002A3E43">
        <w:rPr>
          <w:rFonts w:asciiTheme="majorHAnsi" w:hAnsiTheme="majorHAnsi" w:cstheme="majorHAnsi"/>
          <w:i/>
          <w:sz w:val="22"/>
          <w:szCs w:val="22"/>
        </w:rPr>
        <w:t>public utility pricing</w:t>
      </w:r>
      <w:r w:rsidR="002E7A7E" w:rsidRPr="002A3E43">
        <w:rPr>
          <w:rFonts w:asciiTheme="majorHAnsi" w:hAnsiTheme="majorHAnsi" w:cstheme="majorHAnsi"/>
          <w:sz w:val="22"/>
          <w:szCs w:val="22"/>
        </w:rPr>
        <w:t xml:space="preserve">). Parte de esta integración se explica por la naturaleza pública, </w:t>
      </w:r>
      <w:r w:rsidR="002F278D" w:rsidRPr="002A3E43">
        <w:rPr>
          <w:rFonts w:asciiTheme="majorHAnsi" w:hAnsiTheme="majorHAnsi" w:cstheme="majorHAnsi"/>
          <w:sz w:val="22"/>
          <w:szCs w:val="22"/>
        </w:rPr>
        <w:t>monop</w:t>
      </w:r>
      <w:r w:rsidR="002F278D">
        <w:rPr>
          <w:rFonts w:asciiTheme="majorHAnsi" w:hAnsiTheme="majorHAnsi" w:cstheme="majorHAnsi"/>
          <w:sz w:val="22"/>
          <w:szCs w:val="22"/>
        </w:rPr>
        <w:t>o</w:t>
      </w:r>
      <w:r w:rsidR="002F278D" w:rsidRPr="002A3E43">
        <w:rPr>
          <w:rFonts w:asciiTheme="majorHAnsi" w:hAnsiTheme="majorHAnsi" w:cstheme="majorHAnsi"/>
          <w:sz w:val="22"/>
          <w:szCs w:val="22"/>
        </w:rPr>
        <w:t>l</w:t>
      </w:r>
      <w:r w:rsidR="002F278D">
        <w:rPr>
          <w:rFonts w:asciiTheme="majorHAnsi" w:hAnsiTheme="majorHAnsi" w:cstheme="majorHAnsi"/>
          <w:sz w:val="22"/>
          <w:szCs w:val="22"/>
        </w:rPr>
        <w:t>ísti</w:t>
      </w:r>
      <w:r w:rsidR="002F278D" w:rsidRPr="002A3E43">
        <w:rPr>
          <w:rFonts w:asciiTheme="majorHAnsi" w:hAnsiTheme="majorHAnsi" w:cstheme="majorHAnsi"/>
          <w:sz w:val="22"/>
          <w:szCs w:val="22"/>
        </w:rPr>
        <w:t>ca</w:t>
      </w:r>
      <w:r w:rsidR="002E7A7E" w:rsidRPr="002A3E43">
        <w:rPr>
          <w:rFonts w:asciiTheme="majorHAnsi" w:hAnsiTheme="majorHAnsi" w:cstheme="majorHAnsi"/>
          <w:sz w:val="22"/>
          <w:szCs w:val="22"/>
        </w:rPr>
        <w:t xml:space="preserve"> y verticalmente integrada de los servicios de infraestructura </w:t>
      </w:r>
      <w:r w:rsidR="00B51CE9">
        <w:rPr>
          <w:rFonts w:asciiTheme="majorHAnsi" w:hAnsiTheme="majorHAnsi" w:cstheme="majorHAnsi"/>
          <w:sz w:val="22"/>
          <w:szCs w:val="22"/>
        </w:rPr>
        <w:t>tras</w:t>
      </w:r>
      <w:r w:rsidR="002E7A7E" w:rsidRPr="002A3E43">
        <w:rPr>
          <w:rFonts w:asciiTheme="majorHAnsi" w:hAnsiTheme="majorHAnsi" w:cstheme="majorHAnsi"/>
          <w:sz w:val="22"/>
          <w:szCs w:val="22"/>
        </w:rPr>
        <w:t xml:space="preserve"> la segunda guerra mundial, momento en que los principios de tributación indirecta óptima emanados de la contribución original de Ramsey (1927) fueron llevados al campo de los servicios públicos (Boiteaux 1956, Baumol y Bradford, 1970</w:t>
      </w:r>
      <w:r w:rsidR="00921958" w:rsidRPr="002A3E43">
        <w:rPr>
          <w:rFonts w:asciiTheme="majorHAnsi" w:hAnsiTheme="majorHAnsi" w:cstheme="majorHAnsi"/>
          <w:sz w:val="22"/>
          <w:szCs w:val="22"/>
        </w:rPr>
        <w:t>;</w:t>
      </w:r>
      <w:r w:rsidR="002E7A7E" w:rsidRPr="002A3E43">
        <w:rPr>
          <w:rFonts w:asciiTheme="majorHAnsi" w:hAnsiTheme="majorHAnsi" w:cstheme="majorHAnsi"/>
          <w:sz w:val="22"/>
          <w:szCs w:val="22"/>
        </w:rPr>
        <w:t xml:space="preserve"> y Henry, 1989). </w:t>
      </w:r>
      <w:r w:rsidR="00A84F0C">
        <w:rPr>
          <w:rFonts w:asciiTheme="majorHAnsi" w:hAnsiTheme="majorHAnsi" w:cstheme="majorHAnsi"/>
          <w:sz w:val="22"/>
          <w:szCs w:val="22"/>
        </w:rPr>
        <w:t>Todo ello</w:t>
      </w:r>
      <w:r w:rsidR="002E7A7E" w:rsidRPr="002A3E43">
        <w:rPr>
          <w:rFonts w:asciiTheme="majorHAnsi" w:hAnsiTheme="majorHAnsi" w:cstheme="majorHAnsi"/>
          <w:sz w:val="22"/>
          <w:szCs w:val="22"/>
        </w:rPr>
        <w:t xml:space="preserve"> dio lugar a que la </w:t>
      </w:r>
      <w:r w:rsidR="002E7A7E" w:rsidRPr="002A3E43">
        <w:rPr>
          <w:rFonts w:asciiTheme="majorHAnsi" w:hAnsiTheme="majorHAnsi" w:cstheme="majorHAnsi"/>
          <w:sz w:val="22"/>
          <w:szCs w:val="22"/>
        </w:rPr>
        <w:lastRenderedPageBreak/>
        <w:t xml:space="preserve">brecha tributaria (o </w:t>
      </w:r>
      <w:r w:rsidR="002E7A7E" w:rsidRPr="002A3E43">
        <w:rPr>
          <w:rFonts w:asciiTheme="majorHAnsi" w:hAnsiTheme="majorHAnsi" w:cstheme="majorHAnsi"/>
          <w:i/>
          <w:sz w:val="22"/>
          <w:szCs w:val="22"/>
        </w:rPr>
        <w:t>tax wedge</w:t>
      </w:r>
      <w:r w:rsidR="002E7A7E" w:rsidRPr="002A3E43">
        <w:rPr>
          <w:rFonts w:asciiTheme="majorHAnsi" w:hAnsiTheme="majorHAnsi" w:cstheme="majorHAnsi"/>
          <w:sz w:val="22"/>
          <w:szCs w:val="22"/>
        </w:rPr>
        <w:t xml:space="preserve">) que separa el precio final pagado por los consumidores del costo de oportunidad (o precio eficiente sin impuestos del servicio) </w:t>
      </w:r>
      <w:r w:rsidR="00623D6E">
        <w:rPr>
          <w:rFonts w:asciiTheme="majorHAnsi" w:hAnsiTheme="majorHAnsi" w:cstheme="majorHAnsi"/>
          <w:sz w:val="22"/>
          <w:szCs w:val="22"/>
        </w:rPr>
        <w:t>fuera</w:t>
      </w:r>
      <w:r w:rsidR="002E7A7E" w:rsidRPr="002A3E43">
        <w:rPr>
          <w:rFonts w:asciiTheme="majorHAnsi" w:hAnsiTheme="majorHAnsi" w:cstheme="majorHAnsi"/>
          <w:sz w:val="22"/>
          <w:szCs w:val="22"/>
        </w:rPr>
        <w:t xml:space="preserve"> determinada o bien por los precios finales o bien por los impuestos. De este modo, se puede hablar alternativamente en términos de precios finales (o </w:t>
      </w:r>
      <w:r w:rsidR="002E7A7E" w:rsidRPr="002A3E43">
        <w:rPr>
          <w:rFonts w:asciiTheme="majorHAnsi" w:hAnsiTheme="majorHAnsi" w:cstheme="majorHAnsi"/>
          <w:i/>
          <w:sz w:val="22"/>
          <w:szCs w:val="22"/>
        </w:rPr>
        <w:t>pricing</w:t>
      </w:r>
      <w:r w:rsidR="002E7A7E" w:rsidRPr="002A3E43">
        <w:rPr>
          <w:rFonts w:asciiTheme="majorHAnsi" w:hAnsiTheme="majorHAnsi" w:cstheme="majorHAnsi"/>
          <w:sz w:val="22"/>
          <w:szCs w:val="22"/>
        </w:rPr>
        <w:t>) o en términos de impuestos. El modelo paradigmático de referencia en la teoría de imposición indirecta óptima muestra precisamente esa equivalencia en referencia a la provisión pública</w:t>
      </w:r>
      <w:r w:rsidR="00921958" w:rsidRPr="002A3E43">
        <w:rPr>
          <w:rFonts w:asciiTheme="majorHAnsi" w:hAnsiTheme="majorHAnsi" w:cstheme="majorHAnsi"/>
          <w:sz w:val="22"/>
          <w:szCs w:val="22"/>
        </w:rPr>
        <w:t xml:space="preserve"> (Diamond y Mirrlees, 1971; Starrett, 1988; Myles, 1995)</w:t>
      </w:r>
      <w:r w:rsidR="002E7A7E" w:rsidRPr="002A3E43">
        <w:rPr>
          <w:rFonts w:asciiTheme="majorHAnsi" w:hAnsiTheme="majorHAnsi" w:cstheme="majorHAnsi"/>
          <w:sz w:val="22"/>
          <w:szCs w:val="22"/>
        </w:rPr>
        <w:t xml:space="preserve">. </w:t>
      </w:r>
    </w:p>
    <w:p w:rsidR="000A579A" w:rsidRPr="002A3E43" w:rsidRDefault="002E7A7E"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Cuando los servicios públicos de infraestructura fueron reestructurados hacia la provisión privada regulada en la mayoría de los países hacia los años 80</w:t>
      </w:r>
      <w:r w:rsidR="00FC7D08" w:rsidRPr="002A3E43">
        <w:rPr>
          <w:rFonts w:asciiTheme="majorHAnsi" w:hAnsiTheme="majorHAnsi" w:cstheme="majorHAnsi"/>
          <w:sz w:val="22"/>
          <w:szCs w:val="22"/>
        </w:rPr>
        <w:t xml:space="preserve"> y 90</w:t>
      </w:r>
      <w:r w:rsidRPr="002A3E43">
        <w:rPr>
          <w:rFonts w:asciiTheme="majorHAnsi" w:hAnsiTheme="majorHAnsi" w:cstheme="majorHAnsi"/>
          <w:sz w:val="22"/>
          <w:szCs w:val="22"/>
        </w:rPr>
        <w:t>, la literatura de determinación de precios óptimos continuó nutriéndose de los principios tarifarios heredad</w:t>
      </w:r>
      <w:r w:rsidR="000A579A" w:rsidRPr="002A3E43">
        <w:rPr>
          <w:rFonts w:asciiTheme="majorHAnsi" w:hAnsiTheme="majorHAnsi" w:cstheme="majorHAnsi"/>
          <w:sz w:val="22"/>
          <w:szCs w:val="22"/>
        </w:rPr>
        <w:t>os del paradigma anterior (</w:t>
      </w:r>
      <w:r w:rsidRPr="002A3E43">
        <w:rPr>
          <w:rFonts w:asciiTheme="majorHAnsi" w:hAnsiTheme="majorHAnsi" w:cstheme="majorHAnsi"/>
          <w:sz w:val="22"/>
          <w:szCs w:val="22"/>
        </w:rPr>
        <w:t>Brown y Sibley, 1986) pero reformulando o adaptando los mismos a contextos en los que la información asimétrica, los incentivos y la organización de los mercados pasaron a ocupar un interés mayor, enriqueciendo resultados y aportando nuevos i</w:t>
      </w:r>
      <w:r w:rsidR="000A579A" w:rsidRPr="002A3E43">
        <w:rPr>
          <w:rFonts w:asciiTheme="majorHAnsi" w:hAnsiTheme="majorHAnsi" w:cstheme="majorHAnsi"/>
          <w:sz w:val="22"/>
          <w:szCs w:val="22"/>
        </w:rPr>
        <w:t>nstrumentos (Laffont, 1988; Laffont y Tirole, 1993</w:t>
      </w:r>
      <w:r w:rsidRPr="002A3E43">
        <w:rPr>
          <w:rFonts w:asciiTheme="majorHAnsi" w:hAnsiTheme="majorHAnsi" w:cstheme="majorHAnsi"/>
          <w:sz w:val="22"/>
          <w:szCs w:val="22"/>
        </w:rPr>
        <w:t xml:space="preserve">; Wilson, 1993). </w:t>
      </w:r>
    </w:p>
    <w:p w:rsidR="002E7A7E" w:rsidRPr="002A3E43" w:rsidRDefault="002E7A7E"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En este contexto, el diseño tributario óptimo de los servicios de infraestructura pasó a un segundo nivel, entendiendo posiblemente al mismo como un sector no diferenciado respecto de los otros bienes y servicios. Un ejemplo de esto </w:t>
      </w:r>
      <w:r w:rsidR="000A579A" w:rsidRPr="002A3E43">
        <w:rPr>
          <w:rFonts w:asciiTheme="majorHAnsi" w:hAnsiTheme="majorHAnsi" w:cstheme="majorHAnsi"/>
          <w:sz w:val="22"/>
          <w:szCs w:val="22"/>
        </w:rPr>
        <w:t>se encuentra en</w:t>
      </w:r>
      <w:r w:rsidR="00037F15" w:rsidRPr="002A3E43">
        <w:rPr>
          <w:rFonts w:asciiTheme="majorHAnsi" w:hAnsiTheme="majorHAnsi" w:cstheme="majorHAnsi"/>
          <w:sz w:val="22"/>
          <w:szCs w:val="22"/>
        </w:rPr>
        <w:t xml:space="preserve"> la revisión de Wol</w:t>
      </w:r>
      <w:r w:rsidRPr="002A3E43">
        <w:rPr>
          <w:rFonts w:asciiTheme="majorHAnsi" w:hAnsiTheme="majorHAnsi" w:cstheme="majorHAnsi"/>
          <w:sz w:val="22"/>
          <w:szCs w:val="22"/>
        </w:rPr>
        <w:t>ak (2008). El autor repasa varios de esos principios desde la perspectiva de la fijación óptima de precios que un regulador llevaría adelante bajo criterios de eficiencia y equidad y teniendo en cuenta restricciones informativas en su labor regulatoria. Pero el regulador en este contexto es un funcionario público con objetivos sectoriales y</w:t>
      </w:r>
      <w:r w:rsidR="00536113">
        <w:rPr>
          <w:rFonts w:asciiTheme="majorHAnsi" w:hAnsiTheme="majorHAnsi" w:cstheme="majorHAnsi"/>
          <w:sz w:val="22"/>
          <w:szCs w:val="22"/>
        </w:rPr>
        <w:t>,</w:t>
      </w:r>
      <w:r w:rsidRPr="002A3E43">
        <w:rPr>
          <w:rFonts w:asciiTheme="majorHAnsi" w:hAnsiTheme="majorHAnsi" w:cstheme="majorHAnsi"/>
          <w:sz w:val="22"/>
          <w:szCs w:val="22"/>
        </w:rPr>
        <w:t xml:space="preserve"> por lo tanto</w:t>
      </w:r>
      <w:r w:rsidR="00536113">
        <w:rPr>
          <w:rFonts w:asciiTheme="majorHAnsi" w:hAnsiTheme="majorHAnsi" w:cstheme="majorHAnsi"/>
          <w:sz w:val="22"/>
          <w:szCs w:val="22"/>
        </w:rPr>
        <w:t>,</w:t>
      </w:r>
      <w:r w:rsidRPr="002A3E43">
        <w:rPr>
          <w:rFonts w:asciiTheme="majorHAnsi" w:hAnsiTheme="majorHAnsi" w:cstheme="majorHAnsi"/>
          <w:sz w:val="22"/>
          <w:szCs w:val="22"/>
        </w:rPr>
        <w:t xml:space="preserve"> más acotados que los que tiene la tributación óptima. Como ejemplo, la restricción presupuestaria (o de no negatividad de beneficios o de tasa de retorno eficiente) del regulador sectorial que piensa en una estructura de precios eficientes (o aún equitativos) diferenciados es mucho más acotada que la restricción presupuestaria de las finanzas públicas sobre la que giran los impuestos indirectos óptimos. Dado esto, a partir de esta distinción no solo se plantean cuestiones de coordinación sino también de orden jerárquico entre precios óptimos e impuestos óptimos.</w:t>
      </w:r>
      <w:r w:rsidR="00456590">
        <w:rPr>
          <w:rFonts w:asciiTheme="majorHAnsi" w:hAnsiTheme="majorHAnsi" w:cstheme="majorHAnsi"/>
          <w:sz w:val="22"/>
          <w:szCs w:val="22"/>
        </w:rPr>
        <w:t xml:space="preserve"> </w:t>
      </w:r>
      <w:r w:rsidRPr="002A3E43">
        <w:rPr>
          <w:rFonts w:asciiTheme="majorHAnsi" w:hAnsiTheme="majorHAnsi" w:cstheme="majorHAnsi"/>
          <w:sz w:val="22"/>
          <w:szCs w:val="22"/>
        </w:rPr>
        <w:t xml:space="preserve">¿Cómo quedan, si es que quedan, los impuestos óptimos a los servicios de infraestructura? ¿Cómo se coordinan con los precios óptimos? </w:t>
      </w:r>
    </w:p>
    <w:p w:rsidR="002E7A7E" w:rsidRPr="002A3E43" w:rsidRDefault="002E7A7E"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El </w:t>
      </w:r>
      <w:r w:rsidRPr="002A3E43">
        <w:rPr>
          <w:rFonts w:asciiTheme="majorHAnsi" w:hAnsiTheme="majorHAnsi" w:cstheme="majorHAnsi"/>
          <w:i/>
          <w:sz w:val="22"/>
          <w:szCs w:val="22"/>
        </w:rPr>
        <w:t>status quo</w:t>
      </w:r>
      <w:r w:rsidRPr="002A3E43">
        <w:rPr>
          <w:rFonts w:asciiTheme="majorHAnsi" w:hAnsiTheme="majorHAnsi" w:cstheme="majorHAnsi"/>
          <w:sz w:val="22"/>
          <w:szCs w:val="22"/>
        </w:rPr>
        <w:t xml:space="preserve"> conceptual sobre el rol de los impuestos y los cargos aplicados a los servicios de infraestructura ha sido sacudido recientemente por los avances en materia de reestructuración tecnológica y organizativa que est</w:t>
      </w:r>
      <w:r w:rsidR="005616BB" w:rsidRPr="002A3E43">
        <w:rPr>
          <w:rFonts w:asciiTheme="majorHAnsi" w:hAnsiTheme="majorHAnsi" w:cstheme="majorHAnsi"/>
          <w:sz w:val="22"/>
          <w:szCs w:val="22"/>
        </w:rPr>
        <w:t>án</w:t>
      </w:r>
      <w:r w:rsidRPr="002A3E43">
        <w:rPr>
          <w:rFonts w:asciiTheme="majorHAnsi" w:hAnsiTheme="majorHAnsi" w:cstheme="majorHAnsi"/>
          <w:sz w:val="22"/>
          <w:szCs w:val="22"/>
        </w:rPr>
        <w:t xml:space="preserve"> ocurriendo en varios </w:t>
      </w:r>
      <w:r w:rsidR="00536113">
        <w:rPr>
          <w:rFonts w:asciiTheme="majorHAnsi" w:hAnsiTheme="majorHAnsi" w:cstheme="majorHAnsi"/>
          <w:sz w:val="22"/>
          <w:szCs w:val="22"/>
        </w:rPr>
        <w:t>sub</w:t>
      </w:r>
      <w:r w:rsidRPr="002A3E43">
        <w:rPr>
          <w:rFonts w:asciiTheme="majorHAnsi" w:hAnsiTheme="majorHAnsi" w:cstheme="majorHAnsi"/>
          <w:sz w:val="22"/>
          <w:szCs w:val="22"/>
        </w:rPr>
        <w:t>sectores de infraestructura (notablemente en el sector eléctrico)</w:t>
      </w:r>
      <w:r w:rsidR="00536113">
        <w:rPr>
          <w:rFonts w:asciiTheme="majorHAnsi" w:hAnsiTheme="majorHAnsi" w:cstheme="majorHAnsi"/>
          <w:sz w:val="22"/>
          <w:szCs w:val="22"/>
        </w:rPr>
        <w:t>;</w:t>
      </w:r>
      <w:r w:rsidRPr="002A3E43">
        <w:rPr>
          <w:rFonts w:asciiTheme="majorHAnsi" w:hAnsiTheme="majorHAnsi" w:cstheme="majorHAnsi"/>
          <w:sz w:val="22"/>
          <w:szCs w:val="22"/>
        </w:rPr>
        <w:t xml:space="preserve"> lo que profundiza aún más est</w:t>
      </w:r>
      <w:r w:rsidR="00536113">
        <w:rPr>
          <w:rFonts w:asciiTheme="majorHAnsi" w:hAnsiTheme="majorHAnsi" w:cstheme="majorHAnsi"/>
          <w:sz w:val="22"/>
          <w:szCs w:val="22"/>
        </w:rPr>
        <w:t>a</w:t>
      </w:r>
      <w:r w:rsidRPr="002A3E43">
        <w:rPr>
          <w:rFonts w:asciiTheme="majorHAnsi" w:hAnsiTheme="majorHAnsi" w:cstheme="majorHAnsi"/>
          <w:sz w:val="22"/>
          <w:szCs w:val="22"/>
        </w:rPr>
        <w:t xml:space="preserve">s interrogantes, además de exigir una revisión de los principios que guían un sistema eficiente de precios, cargos e impuestos </w:t>
      </w:r>
      <w:r w:rsidR="00536113">
        <w:rPr>
          <w:rFonts w:asciiTheme="majorHAnsi" w:hAnsiTheme="majorHAnsi" w:cstheme="majorHAnsi"/>
          <w:sz w:val="22"/>
          <w:szCs w:val="22"/>
        </w:rPr>
        <w:t>frente</w:t>
      </w:r>
      <w:r w:rsidRPr="002A3E43">
        <w:rPr>
          <w:rFonts w:asciiTheme="majorHAnsi" w:hAnsiTheme="majorHAnsi" w:cstheme="majorHAnsi"/>
          <w:sz w:val="22"/>
          <w:szCs w:val="22"/>
        </w:rPr>
        <w:t xml:space="preserve"> a intercambios </w:t>
      </w:r>
      <w:r w:rsidR="005616BB" w:rsidRPr="002A3E43">
        <w:rPr>
          <w:rFonts w:asciiTheme="majorHAnsi" w:hAnsiTheme="majorHAnsi" w:cstheme="majorHAnsi"/>
          <w:sz w:val="22"/>
          <w:szCs w:val="22"/>
        </w:rPr>
        <w:t>más</w:t>
      </w:r>
      <w:r w:rsidRPr="002A3E43">
        <w:rPr>
          <w:rFonts w:asciiTheme="majorHAnsi" w:hAnsiTheme="majorHAnsi" w:cstheme="majorHAnsi"/>
          <w:sz w:val="22"/>
          <w:szCs w:val="22"/>
        </w:rPr>
        <w:t xml:space="preserve"> complejos que elevan notablemente los requisitos de “granularidad” espacial y temporal de la tarificación (Pérez-Arriaga, Jenkins y Batlle, 2017). Dentro de estos principios, los cargos e impuestos a la infraestructura entran en particular relación </w:t>
      </w:r>
      <w:r w:rsidR="00536113">
        <w:rPr>
          <w:rFonts w:asciiTheme="majorHAnsi" w:hAnsiTheme="majorHAnsi" w:cstheme="majorHAnsi"/>
          <w:sz w:val="22"/>
          <w:szCs w:val="22"/>
        </w:rPr>
        <w:t xml:space="preserve">con el </w:t>
      </w:r>
      <w:r w:rsidRPr="002A3E43">
        <w:rPr>
          <w:rFonts w:asciiTheme="majorHAnsi" w:hAnsiTheme="majorHAnsi" w:cstheme="majorHAnsi"/>
          <w:sz w:val="22"/>
          <w:szCs w:val="22"/>
        </w:rPr>
        <w:t>objetivo de asignar “costos de políticas” y “costos residuales” de la red de infraestructura de un modo que distorsionen lo mínimo posible la eficiencia.</w:t>
      </w:r>
    </w:p>
    <w:p w:rsidR="002E7A7E" w:rsidRPr="002A3E43" w:rsidRDefault="002E7A7E"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Siguiendo el enfoque de tributación indirecta óptima ampliado a diferentes objetivos, se establecen las condiciones particulares para los impuestos a los servicios públicos respecto a una tributación indirecta general y uniforme, que ha emergido previamente como la “constitución </w:t>
      </w:r>
      <w:r w:rsidR="00C8466A" w:rsidRPr="002A3E43">
        <w:rPr>
          <w:rFonts w:asciiTheme="majorHAnsi" w:hAnsiTheme="majorHAnsi" w:cstheme="majorHAnsi"/>
          <w:sz w:val="22"/>
          <w:szCs w:val="22"/>
        </w:rPr>
        <w:t>tributaria” de referencia (</w:t>
      </w:r>
      <w:r w:rsidRPr="002A3E43">
        <w:rPr>
          <w:rFonts w:asciiTheme="majorHAnsi" w:hAnsiTheme="majorHAnsi" w:cstheme="majorHAnsi"/>
          <w:sz w:val="22"/>
          <w:szCs w:val="22"/>
        </w:rPr>
        <w:t>Deaton and Stern, 1979). Estas particularidades en las tasas pueden provenir de objetivos recaudatorios, distributivos o vinculados a externalidades</w:t>
      </w:r>
      <w:r w:rsidR="00C8466A" w:rsidRPr="002A3E43">
        <w:rPr>
          <w:rFonts w:asciiTheme="majorHAnsi" w:hAnsiTheme="majorHAnsi" w:cstheme="majorHAnsi"/>
          <w:sz w:val="22"/>
          <w:szCs w:val="22"/>
        </w:rPr>
        <w:t xml:space="preserve"> ambientales u de otro tipo (</w:t>
      </w:r>
      <w:r w:rsidRPr="002A3E43">
        <w:rPr>
          <w:rFonts w:asciiTheme="majorHAnsi" w:hAnsiTheme="majorHAnsi" w:cstheme="majorHAnsi"/>
          <w:sz w:val="22"/>
          <w:szCs w:val="22"/>
        </w:rPr>
        <w:t xml:space="preserve">Sandmo, 2000). </w:t>
      </w:r>
    </w:p>
    <w:p w:rsidR="002E7A7E" w:rsidRPr="002A3E43" w:rsidRDefault="002E7A7E"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Puede resultar deseable que mientras la tarea primaria de los reguladores sea la de aproximar precios eficientes (sea por la vía de mercados competitivos o precios internacionales de </w:t>
      </w:r>
      <w:r w:rsidRPr="002A3E43">
        <w:rPr>
          <w:rFonts w:asciiTheme="majorHAnsi" w:hAnsiTheme="majorHAnsi" w:cstheme="majorHAnsi"/>
          <w:sz w:val="22"/>
          <w:szCs w:val="22"/>
        </w:rPr>
        <w:lastRenderedPageBreak/>
        <w:t xml:space="preserve">transables o una regulación eficiente de los componentes con indivisibilidades y monopolio natural) ciertos objetivos como aquellos vinculados a impactos distributivos (i.e. subsidios sociales) o a externalidades sean mejor provistos por la vía de impuestos y subsidios que pertenecen al ámbito de la tributación óptima y que operan con mejores y más focalizados instrumentos en el caso de los subsidios sociales y las externalidades. </w:t>
      </w:r>
      <w:r w:rsidR="00C8466A" w:rsidRPr="002A3E43">
        <w:rPr>
          <w:rFonts w:asciiTheme="majorHAnsi" w:hAnsiTheme="majorHAnsi" w:cstheme="majorHAnsi"/>
          <w:sz w:val="22"/>
          <w:szCs w:val="22"/>
        </w:rPr>
        <w:t>La</w:t>
      </w:r>
      <w:r w:rsidRPr="002A3E43">
        <w:rPr>
          <w:rFonts w:asciiTheme="majorHAnsi" w:hAnsiTheme="majorHAnsi" w:cstheme="majorHAnsi"/>
          <w:sz w:val="22"/>
          <w:szCs w:val="22"/>
        </w:rPr>
        <w:t xml:space="preserve"> aclaración de los ámbitos de los precios y la tributación de los servicios de infraestructura resulta crucial para reformular conceptualmente el rol de los impuestos óptimos a </w:t>
      </w:r>
      <w:r w:rsidR="003D53B4">
        <w:rPr>
          <w:rFonts w:asciiTheme="majorHAnsi" w:hAnsiTheme="majorHAnsi" w:cstheme="majorHAnsi"/>
          <w:sz w:val="22"/>
          <w:szCs w:val="22"/>
        </w:rPr>
        <w:t>dichos</w:t>
      </w:r>
      <w:r w:rsidRPr="002A3E43">
        <w:rPr>
          <w:rFonts w:asciiTheme="majorHAnsi" w:hAnsiTheme="majorHAnsi" w:cstheme="majorHAnsi"/>
          <w:sz w:val="22"/>
          <w:szCs w:val="22"/>
        </w:rPr>
        <w:t xml:space="preserve"> servicios. </w:t>
      </w:r>
    </w:p>
    <w:p w:rsidR="00243F43" w:rsidRPr="00AC6CBE" w:rsidRDefault="00595B3E" w:rsidP="00AC6CBE">
      <w:pPr>
        <w:pStyle w:val="ListParagraph"/>
        <w:numPr>
          <w:ilvl w:val="0"/>
          <w:numId w:val="1"/>
        </w:numPr>
        <w:spacing w:before="100" w:beforeAutospacing="1" w:after="100" w:afterAutospacing="1"/>
        <w:jc w:val="both"/>
        <w:rPr>
          <w:rFonts w:asciiTheme="majorHAnsi" w:hAnsiTheme="majorHAnsi" w:cstheme="majorHAnsi"/>
          <w:b/>
          <w:sz w:val="26"/>
          <w:szCs w:val="26"/>
        </w:rPr>
      </w:pPr>
      <w:r w:rsidRPr="00AC6CBE">
        <w:rPr>
          <w:rFonts w:asciiTheme="majorHAnsi" w:hAnsiTheme="majorHAnsi" w:cstheme="majorHAnsi"/>
          <w:b/>
          <w:sz w:val="26"/>
          <w:szCs w:val="26"/>
        </w:rPr>
        <w:t>La experiencia práctica: t</w:t>
      </w:r>
      <w:r w:rsidR="00346C46" w:rsidRPr="00AC6CBE">
        <w:rPr>
          <w:rFonts w:asciiTheme="majorHAnsi" w:hAnsiTheme="majorHAnsi" w:cstheme="majorHAnsi"/>
          <w:b/>
          <w:sz w:val="26"/>
          <w:szCs w:val="26"/>
        </w:rPr>
        <w:t xml:space="preserve">asas </w:t>
      </w:r>
      <w:r w:rsidR="004921F1" w:rsidRPr="00AC6CBE">
        <w:rPr>
          <w:rFonts w:asciiTheme="majorHAnsi" w:hAnsiTheme="majorHAnsi" w:cstheme="majorHAnsi"/>
          <w:b/>
          <w:sz w:val="26"/>
          <w:szCs w:val="26"/>
        </w:rPr>
        <w:t>específicas</w:t>
      </w:r>
      <w:r w:rsidR="00346C46" w:rsidRPr="00AC6CBE">
        <w:rPr>
          <w:rFonts w:asciiTheme="majorHAnsi" w:hAnsiTheme="majorHAnsi" w:cstheme="majorHAnsi"/>
          <w:b/>
          <w:sz w:val="26"/>
          <w:szCs w:val="26"/>
        </w:rPr>
        <w:t xml:space="preserve"> sobre electricidad y agua en </w:t>
      </w:r>
      <w:r w:rsidR="0016382D" w:rsidRPr="00AC6CBE">
        <w:rPr>
          <w:rFonts w:asciiTheme="majorHAnsi" w:hAnsiTheme="majorHAnsi" w:cstheme="majorHAnsi"/>
          <w:b/>
          <w:sz w:val="26"/>
          <w:szCs w:val="26"/>
        </w:rPr>
        <w:t>América Latina y el Caribe</w:t>
      </w:r>
      <w:r w:rsidR="00F67E08" w:rsidRPr="00AC6CBE">
        <w:rPr>
          <w:rStyle w:val="FootnoteReference"/>
          <w:rFonts w:asciiTheme="majorHAnsi" w:hAnsiTheme="majorHAnsi" w:cstheme="majorHAnsi"/>
          <w:b/>
          <w:sz w:val="26"/>
          <w:szCs w:val="26"/>
        </w:rPr>
        <w:footnoteReference w:id="5"/>
      </w:r>
      <w:r w:rsidR="00243F43" w:rsidRPr="00AC6CBE">
        <w:rPr>
          <w:rFonts w:asciiTheme="majorHAnsi" w:hAnsiTheme="majorHAnsi" w:cstheme="majorHAnsi"/>
          <w:b/>
          <w:sz w:val="26"/>
          <w:szCs w:val="26"/>
        </w:rPr>
        <w:t xml:space="preserve"> </w:t>
      </w:r>
    </w:p>
    <w:p w:rsidR="000F6284" w:rsidRPr="002A3E43" w:rsidRDefault="007E7F4F"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La falta de</w:t>
      </w:r>
      <w:r w:rsidR="000F6284" w:rsidRPr="002A3E43">
        <w:rPr>
          <w:rFonts w:asciiTheme="majorHAnsi" w:hAnsiTheme="majorHAnsi" w:cstheme="majorHAnsi"/>
          <w:sz w:val="22"/>
          <w:szCs w:val="22"/>
        </w:rPr>
        <w:t xml:space="preserve"> consenso desde el análisis teórico sobre la idoneidad de tipología y niveles de tasas sobre los servicios públicos </w:t>
      </w:r>
      <w:r w:rsidR="004921F1" w:rsidRPr="002A3E43">
        <w:rPr>
          <w:rFonts w:asciiTheme="majorHAnsi" w:hAnsiTheme="majorHAnsi" w:cstheme="majorHAnsi"/>
          <w:sz w:val="22"/>
          <w:szCs w:val="22"/>
        </w:rPr>
        <w:t>domiciliarios</w:t>
      </w:r>
      <w:r w:rsidR="000F6284" w:rsidRPr="002A3E43">
        <w:rPr>
          <w:rFonts w:asciiTheme="majorHAnsi" w:hAnsiTheme="majorHAnsi" w:cstheme="majorHAnsi"/>
          <w:sz w:val="22"/>
          <w:szCs w:val="22"/>
        </w:rPr>
        <w:t xml:space="preserve"> </w:t>
      </w:r>
      <w:r w:rsidRPr="002A3E43">
        <w:rPr>
          <w:rFonts w:asciiTheme="majorHAnsi" w:hAnsiTheme="majorHAnsi" w:cstheme="majorHAnsi"/>
          <w:sz w:val="22"/>
          <w:szCs w:val="22"/>
        </w:rPr>
        <w:t>ha generado una</w:t>
      </w:r>
      <w:r w:rsidR="000F6284" w:rsidRPr="002A3E43">
        <w:rPr>
          <w:rFonts w:asciiTheme="majorHAnsi" w:hAnsiTheme="majorHAnsi" w:cstheme="majorHAnsi"/>
          <w:sz w:val="22"/>
          <w:szCs w:val="22"/>
        </w:rPr>
        <w:t xml:space="preserve"> situación </w:t>
      </w:r>
      <w:r w:rsidR="00716EFA" w:rsidRPr="002A3E43">
        <w:rPr>
          <w:rFonts w:asciiTheme="majorHAnsi" w:hAnsiTheme="majorHAnsi" w:cstheme="majorHAnsi"/>
          <w:sz w:val="22"/>
          <w:szCs w:val="22"/>
        </w:rPr>
        <w:t>más</w:t>
      </w:r>
      <w:r w:rsidR="000F6284" w:rsidRPr="002A3E43">
        <w:rPr>
          <w:rFonts w:asciiTheme="majorHAnsi" w:hAnsiTheme="majorHAnsi" w:cstheme="majorHAnsi"/>
          <w:sz w:val="22"/>
          <w:szCs w:val="22"/>
        </w:rPr>
        <w:t xml:space="preserve"> compleja </w:t>
      </w:r>
      <w:r w:rsidRPr="002A3E43">
        <w:rPr>
          <w:rFonts w:asciiTheme="majorHAnsi" w:hAnsiTheme="majorHAnsi" w:cstheme="majorHAnsi"/>
          <w:sz w:val="22"/>
          <w:szCs w:val="22"/>
        </w:rPr>
        <w:t xml:space="preserve">todavía </w:t>
      </w:r>
      <w:r w:rsidR="000F6284" w:rsidRPr="002A3E43">
        <w:rPr>
          <w:rFonts w:asciiTheme="majorHAnsi" w:hAnsiTheme="majorHAnsi" w:cstheme="majorHAnsi"/>
          <w:sz w:val="22"/>
          <w:szCs w:val="22"/>
        </w:rPr>
        <w:t>en la práctica. La experiencia conocida muestra un alto grado de discrecionalidad en la determinación de tasas y tipos impositivos en servicios de</w:t>
      </w:r>
      <w:r w:rsidR="00476291" w:rsidRPr="002A3E43">
        <w:rPr>
          <w:rFonts w:asciiTheme="majorHAnsi" w:hAnsiTheme="majorHAnsi" w:cstheme="majorHAnsi"/>
          <w:sz w:val="22"/>
          <w:szCs w:val="22"/>
        </w:rPr>
        <w:t xml:space="preserve"> infraestructura como el agua o</w:t>
      </w:r>
      <w:r w:rsidR="000F6284" w:rsidRPr="002A3E43">
        <w:rPr>
          <w:rFonts w:asciiTheme="majorHAnsi" w:hAnsiTheme="majorHAnsi" w:cstheme="majorHAnsi"/>
          <w:sz w:val="22"/>
          <w:szCs w:val="22"/>
        </w:rPr>
        <w:t xml:space="preserve">, especialmente, la electricidad. </w:t>
      </w:r>
    </w:p>
    <w:p w:rsidR="009079C6" w:rsidRPr="009079C6" w:rsidRDefault="006A71AF" w:rsidP="009079C6">
      <w:pPr>
        <w:pStyle w:val="Caption"/>
        <w:jc w:val="center"/>
        <w:rPr>
          <w:rFonts w:asciiTheme="majorHAnsi" w:hAnsiTheme="majorHAnsi" w:cstheme="majorHAnsi"/>
          <w:b/>
          <w:i w:val="0"/>
          <w:iCs w:val="0"/>
          <w:color w:val="auto"/>
          <w:sz w:val="22"/>
          <w:szCs w:val="22"/>
        </w:rPr>
      </w:pPr>
      <w:r w:rsidRPr="009079C6">
        <w:rPr>
          <w:rFonts w:asciiTheme="majorHAnsi" w:hAnsiTheme="majorHAnsi" w:cstheme="majorHAnsi"/>
          <w:b/>
          <w:i w:val="0"/>
          <w:iCs w:val="0"/>
          <w:color w:val="auto"/>
          <w:sz w:val="22"/>
          <w:szCs w:val="22"/>
        </w:rPr>
        <w:t xml:space="preserve">Figura </w:t>
      </w:r>
      <w:r w:rsidR="009079C6" w:rsidRPr="009079C6">
        <w:rPr>
          <w:rFonts w:asciiTheme="majorHAnsi" w:hAnsiTheme="majorHAnsi" w:cstheme="majorHAnsi"/>
          <w:b/>
          <w:i w:val="0"/>
          <w:iCs w:val="0"/>
          <w:color w:val="auto"/>
          <w:sz w:val="22"/>
          <w:szCs w:val="22"/>
        </w:rPr>
        <w:fldChar w:fldCharType="begin"/>
      </w:r>
      <w:r w:rsidR="009079C6" w:rsidRPr="009079C6">
        <w:rPr>
          <w:rFonts w:asciiTheme="majorHAnsi" w:hAnsiTheme="majorHAnsi" w:cstheme="majorHAnsi"/>
          <w:b/>
          <w:i w:val="0"/>
          <w:iCs w:val="0"/>
          <w:color w:val="auto"/>
          <w:sz w:val="22"/>
          <w:szCs w:val="22"/>
        </w:rPr>
        <w:instrText xml:space="preserve"> SEQ Figura \* ARABIC </w:instrText>
      </w:r>
      <w:r w:rsidR="009079C6" w:rsidRPr="009079C6">
        <w:rPr>
          <w:rFonts w:asciiTheme="majorHAnsi" w:hAnsiTheme="majorHAnsi" w:cstheme="majorHAnsi"/>
          <w:b/>
          <w:i w:val="0"/>
          <w:iCs w:val="0"/>
          <w:color w:val="auto"/>
          <w:sz w:val="22"/>
          <w:szCs w:val="22"/>
        </w:rPr>
        <w:fldChar w:fldCharType="separate"/>
      </w:r>
      <w:r w:rsidR="009079C6" w:rsidRPr="009079C6">
        <w:rPr>
          <w:rFonts w:asciiTheme="majorHAnsi" w:hAnsiTheme="majorHAnsi" w:cstheme="majorHAnsi"/>
          <w:b/>
          <w:i w:val="0"/>
          <w:iCs w:val="0"/>
          <w:color w:val="auto"/>
          <w:sz w:val="22"/>
          <w:szCs w:val="22"/>
        </w:rPr>
        <w:t>1</w:t>
      </w:r>
      <w:r w:rsidR="009079C6" w:rsidRPr="009079C6">
        <w:rPr>
          <w:rFonts w:asciiTheme="majorHAnsi" w:hAnsiTheme="majorHAnsi" w:cstheme="majorHAnsi"/>
          <w:b/>
          <w:i w:val="0"/>
          <w:iCs w:val="0"/>
          <w:color w:val="auto"/>
          <w:sz w:val="22"/>
          <w:szCs w:val="22"/>
        </w:rPr>
        <w:fldChar w:fldCharType="end"/>
      </w:r>
      <w:r w:rsidR="009079C6" w:rsidRPr="009079C6">
        <w:rPr>
          <w:rFonts w:asciiTheme="majorHAnsi" w:hAnsiTheme="majorHAnsi" w:cstheme="majorHAnsi"/>
          <w:b/>
          <w:i w:val="0"/>
          <w:iCs w:val="0"/>
          <w:color w:val="auto"/>
          <w:sz w:val="22"/>
          <w:szCs w:val="22"/>
        </w:rPr>
        <w:t xml:space="preserve">. </w:t>
      </w:r>
      <w:r w:rsidRPr="009079C6">
        <w:rPr>
          <w:rFonts w:asciiTheme="majorHAnsi" w:hAnsiTheme="majorHAnsi" w:cstheme="majorHAnsi"/>
          <w:b/>
          <w:i w:val="0"/>
          <w:iCs w:val="0"/>
          <w:color w:val="auto"/>
          <w:sz w:val="22"/>
          <w:szCs w:val="22"/>
        </w:rPr>
        <w:t>Marco conceptual de análisis del presente documento</w:t>
      </w:r>
      <w:r w:rsidR="00456590" w:rsidRPr="009079C6">
        <w:rPr>
          <w:rFonts w:asciiTheme="majorHAnsi" w:hAnsiTheme="majorHAnsi" w:cstheme="majorHAnsi"/>
          <w:b/>
          <w:i w:val="0"/>
          <w:iCs w:val="0"/>
          <w:color w:val="auto"/>
          <w:sz w:val="22"/>
          <w:szCs w:val="22"/>
        </w:rPr>
        <w:t xml:space="preserve"> </w:t>
      </w:r>
      <w:r w:rsidRPr="009079C6">
        <w:rPr>
          <w:rFonts w:asciiTheme="majorHAnsi" w:hAnsiTheme="majorHAnsi" w:cstheme="majorHAnsi"/>
          <w:b/>
          <w:i w:val="0"/>
          <w:iCs w:val="0"/>
          <w:color w:val="auto"/>
          <w:sz w:val="22"/>
          <w:szCs w:val="22"/>
        </w:rPr>
        <w:t xml:space="preserve"> </w:t>
      </w:r>
    </w:p>
    <w:p w:rsidR="00C738B1" w:rsidRDefault="00EB446E" w:rsidP="00C738B1">
      <w:pPr>
        <w:keepNext/>
        <w:spacing w:before="100" w:beforeAutospacing="1" w:after="100" w:afterAutospacing="1"/>
        <w:jc w:val="center"/>
      </w:pPr>
      <w:r w:rsidRPr="002A3E43">
        <w:rPr>
          <w:rFonts w:asciiTheme="majorHAnsi" w:hAnsiTheme="majorHAnsi" w:cstheme="majorHAnsi"/>
          <w:noProof/>
          <w:sz w:val="22"/>
          <w:szCs w:val="22"/>
          <w:lang w:val="es-ES"/>
        </w:rPr>
        <w:drawing>
          <wp:inline distT="0" distB="0" distL="0" distR="0" wp14:anchorId="2A811A23" wp14:editId="64C353FA">
            <wp:extent cx="3483864" cy="2624328"/>
            <wp:effectExtent l="0" t="0" r="2540" b="508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stretch>
                      <a:fillRect/>
                    </a:stretch>
                  </pic:blipFill>
                  <pic:spPr>
                    <a:xfrm>
                      <a:off x="0" y="0"/>
                      <a:ext cx="3483864" cy="2624328"/>
                    </a:xfrm>
                    <a:prstGeom prst="rect">
                      <a:avLst/>
                    </a:prstGeom>
                  </pic:spPr>
                </pic:pic>
              </a:graphicData>
            </a:graphic>
          </wp:inline>
        </w:drawing>
      </w:r>
    </w:p>
    <w:p w:rsidR="006A71AF" w:rsidRPr="00A15206" w:rsidRDefault="006A71AF" w:rsidP="00A15206">
      <w:pPr>
        <w:spacing w:before="100" w:beforeAutospacing="1" w:after="100" w:afterAutospacing="1"/>
        <w:rPr>
          <w:rFonts w:asciiTheme="majorHAnsi" w:hAnsiTheme="majorHAnsi" w:cstheme="majorHAnsi"/>
          <w:sz w:val="18"/>
          <w:szCs w:val="18"/>
        </w:rPr>
      </w:pPr>
      <w:r w:rsidRPr="00A15206">
        <w:rPr>
          <w:rFonts w:asciiTheme="majorHAnsi" w:hAnsiTheme="majorHAnsi" w:cstheme="majorHAnsi"/>
          <w:sz w:val="18"/>
          <w:szCs w:val="18"/>
        </w:rPr>
        <w:t xml:space="preserve">Fuente: autores. </w:t>
      </w:r>
    </w:p>
    <w:p w:rsidR="004B5F00" w:rsidRPr="002A3E43" w:rsidRDefault="003F07D6"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La figura </w:t>
      </w:r>
      <w:r w:rsidR="007E7F4F" w:rsidRPr="002A3E43">
        <w:rPr>
          <w:rFonts w:asciiTheme="majorHAnsi" w:hAnsiTheme="majorHAnsi" w:cstheme="majorHAnsi"/>
          <w:sz w:val="22"/>
          <w:szCs w:val="22"/>
        </w:rPr>
        <w:t>1</w:t>
      </w:r>
      <w:r w:rsidRPr="002A3E43">
        <w:rPr>
          <w:rFonts w:asciiTheme="majorHAnsi" w:hAnsiTheme="majorHAnsi" w:cstheme="majorHAnsi"/>
          <w:sz w:val="22"/>
          <w:szCs w:val="22"/>
        </w:rPr>
        <w:t xml:space="preserve"> muestra de manera gráfica el marco conceptual que guía el presente documento, donde la experiencia latinoamericana es aproximada a partir de los casos de Argentina, Ecuador, Chile, Perú</w:t>
      </w:r>
      <w:r w:rsidR="00536113">
        <w:rPr>
          <w:rFonts w:asciiTheme="majorHAnsi" w:hAnsiTheme="majorHAnsi" w:cstheme="majorHAnsi"/>
          <w:sz w:val="22"/>
          <w:szCs w:val="22"/>
        </w:rPr>
        <w:t xml:space="preserve">, </w:t>
      </w:r>
      <w:r w:rsidR="00497B38">
        <w:rPr>
          <w:rFonts w:asciiTheme="majorHAnsi" w:hAnsiTheme="majorHAnsi" w:cstheme="majorHAnsi"/>
          <w:sz w:val="22"/>
          <w:szCs w:val="22"/>
        </w:rPr>
        <w:t xml:space="preserve">y </w:t>
      </w:r>
      <w:r w:rsidRPr="002A3E43">
        <w:rPr>
          <w:rFonts w:asciiTheme="majorHAnsi" w:hAnsiTheme="majorHAnsi" w:cstheme="majorHAnsi"/>
          <w:sz w:val="22"/>
          <w:szCs w:val="22"/>
        </w:rPr>
        <w:t xml:space="preserve">Uruguay, mientras que como </w:t>
      </w:r>
      <w:r w:rsidRPr="002A3E43">
        <w:rPr>
          <w:rFonts w:asciiTheme="majorHAnsi" w:hAnsiTheme="majorHAnsi" w:cstheme="majorHAnsi"/>
          <w:i/>
          <w:sz w:val="22"/>
          <w:szCs w:val="22"/>
        </w:rPr>
        <w:t>benchmarks</w:t>
      </w:r>
      <w:r w:rsidRPr="002A3E43">
        <w:rPr>
          <w:rFonts w:asciiTheme="majorHAnsi" w:hAnsiTheme="majorHAnsi" w:cstheme="majorHAnsi"/>
          <w:sz w:val="22"/>
          <w:szCs w:val="22"/>
        </w:rPr>
        <w:t xml:space="preserve"> europeos se presentan los casos de Bélgica, España, y Francia. </w:t>
      </w:r>
      <w:r w:rsidR="007E7F4F" w:rsidRPr="002A3E43">
        <w:rPr>
          <w:rFonts w:asciiTheme="majorHAnsi" w:hAnsiTheme="majorHAnsi" w:cstheme="majorHAnsi"/>
          <w:sz w:val="22"/>
          <w:szCs w:val="22"/>
        </w:rPr>
        <w:t xml:space="preserve">De este modo, a lo largo del presente documento se analizan de manera práctica </w:t>
      </w:r>
      <w:r w:rsidR="00716EFA" w:rsidRPr="002A3E43">
        <w:rPr>
          <w:rFonts w:asciiTheme="majorHAnsi" w:hAnsiTheme="majorHAnsi" w:cstheme="majorHAnsi"/>
          <w:sz w:val="22"/>
          <w:szCs w:val="22"/>
        </w:rPr>
        <w:t>todas las</w:t>
      </w:r>
      <w:r w:rsidR="007E7F4F" w:rsidRPr="002A3E43">
        <w:rPr>
          <w:rFonts w:asciiTheme="majorHAnsi" w:hAnsiTheme="majorHAnsi" w:cstheme="majorHAnsi"/>
          <w:sz w:val="22"/>
          <w:szCs w:val="22"/>
        </w:rPr>
        <w:t xml:space="preserve"> tasas existentes, tanto de naturaleza general como específica, relacionadas o no con el servicio, para el conjunto de países mencionados.</w:t>
      </w:r>
      <w:r w:rsidR="000F05CE" w:rsidRPr="002A3E43">
        <w:rPr>
          <w:rFonts w:asciiTheme="majorHAnsi" w:hAnsiTheme="majorHAnsi" w:cstheme="majorHAnsi"/>
          <w:sz w:val="22"/>
          <w:szCs w:val="22"/>
        </w:rPr>
        <w:t xml:space="preserve"> </w:t>
      </w:r>
    </w:p>
    <w:p w:rsidR="003F07D6" w:rsidRPr="002A3E43" w:rsidRDefault="004B5F00"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El documento divide a los países en aquellos que tienen tasas no relacionadas con la prestación del servicio (sección a), el caso de un país que pasó de establecer tasas no relacionadas al servicio a impedir su utilización (sección b) y países que no utilizan tasas no relacionadas a la prestación del servicio (sección c).</w:t>
      </w:r>
    </w:p>
    <w:p w:rsidR="00EF2B7A" w:rsidRPr="00AC6CBE" w:rsidRDefault="00EF2B7A" w:rsidP="00A15206">
      <w:pPr>
        <w:pStyle w:val="ListParagraph"/>
        <w:numPr>
          <w:ilvl w:val="0"/>
          <w:numId w:val="7"/>
        </w:numPr>
        <w:spacing w:before="100" w:beforeAutospacing="1" w:after="100" w:afterAutospacing="1"/>
        <w:jc w:val="both"/>
        <w:rPr>
          <w:rFonts w:asciiTheme="majorHAnsi" w:hAnsiTheme="majorHAnsi" w:cstheme="majorHAnsi"/>
          <w:b/>
        </w:rPr>
      </w:pPr>
      <w:r w:rsidRPr="00AC6CBE">
        <w:rPr>
          <w:rFonts w:asciiTheme="majorHAnsi" w:hAnsiTheme="majorHAnsi" w:cstheme="majorHAnsi"/>
          <w:b/>
        </w:rPr>
        <w:lastRenderedPageBreak/>
        <w:t xml:space="preserve">Servicios domiciliarios afectados por tasas no relacionadas al servicio: </w:t>
      </w:r>
      <w:r w:rsidR="00954FD9" w:rsidRPr="00AC6CBE">
        <w:rPr>
          <w:rFonts w:asciiTheme="majorHAnsi" w:hAnsiTheme="majorHAnsi" w:cstheme="majorHAnsi"/>
          <w:b/>
        </w:rPr>
        <w:t>los</w:t>
      </w:r>
      <w:r w:rsidRPr="00AC6CBE">
        <w:rPr>
          <w:rFonts w:asciiTheme="majorHAnsi" w:hAnsiTheme="majorHAnsi" w:cstheme="majorHAnsi"/>
          <w:b/>
        </w:rPr>
        <w:t xml:space="preserve"> caso</w:t>
      </w:r>
      <w:r w:rsidR="00954FD9" w:rsidRPr="00AC6CBE">
        <w:rPr>
          <w:rFonts w:asciiTheme="majorHAnsi" w:hAnsiTheme="majorHAnsi" w:cstheme="majorHAnsi"/>
          <w:b/>
        </w:rPr>
        <w:t>s</w:t>
      </w:r>
      <w:r w:rsidRPr="00AC6CBE">
        <w:rPr>
          <w:rFonts w:asciiTheme="majorHAnsi" w:hAnsiTheme="majorHAnsi" w:cstheme="majorHAnsi"/>
          <w:b/>
        </w:rPr>
        <w:t xml:space="preserve"> de Ecuador</w:t>
      </w:r>
      <w:r w:rsidR="00954FD9" w:rsidRPr="00AC6CBE">
        <w:rPr>
          <w:rFonts w:asciiTheme="majorHAnsi" w:hAnsiTheme="majorHAnsi" w:cstheme="majorHAnsi"/>
          <w:b/>
        </w:rPr>
        <w:t xml:space="preserve"> y Argentina</w:t>
      </w:r>
    </w:p>
    <w:p w:rsidR="00954FD9" w:rsidRPr="00AC6CBE" w:rsidRDefault="00AC6CBE" w:rsidP="00A15206">
      <w:pPr>
        <w:spacing w:before="100" w:beforeAutospacing="1" w:after="100" w:afterAutospacing="1"/>
        <w:rPr>
          <w:rFonts w:asciiTheme="majorHAnsi" w:hAnsiTheme="majorHAnsi" w:cstheme="majorHAnsi"/>
          <w:b/>
        </w:rPr>
      </w:pPr>
      <w:r w:rsidRPr="00AC6CBE">
        <w:rPr>
          <w:rFonts w:asciiTheme="majorHAnsi" w:hAnsiTheme="majorHAnsi" w:cstheme="majorHAnsi"/>
          <w:b/>
        </w:rPr>
        <w:t>E</w:t>
      </w:r>
      <w:r>
        <w:rPr>
          <w:rFonts w:asciiTheme="majorHAnsi" w:hAnsiTheme="majorHAnsi" w:cstheme="majorHAnsi"/>
          <w:b/>
        </w:rPr>
        <w:t>CUADOR</w:t>
      </w:r>
    </w:p>
    <w:p w:rsidR="000C57BD" w:rsidRPr="002A3E43" w:rsidRDefault="00206745" w:rsidP="00A15206">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 xml:space="preserve">Poniendo en perspectiva los gastos de los hogares en los servicios a estudiar, según </w:t>
      </w:r>
      <w:r w:rsidR="000C57BD" w:rsidRPr="002A3E43">
        <w:rPr>
          <w:rFonts w:asciiTheme="majorHAnsi" w:hAnsiTheme="majorHAnsi" w:cstheme="majorHAnsi"/>
          <w:sz w:val="22"/>
          <w:szCs w:val="22"/>
        </w:rPr>
        <w:t>los datos de la Encuesta Nacional de Ingresos y Gastos de Hogares Urbanos y Rurales de Ecuador (</w:t>
      </w:r>
      <w:r w:rsidR="00991334" w:rsidRPr="002A3E43">
        <w:rPr>
          <w:rFonts w:asciiTheme="majorHAnsi" w:hAnsiTheme="majorHAnsi" w:cstheme="majorHAnsi"/>
          <w:sz w:val="22"/>
          <w:szCs w:val="22"/>
        </w:rPr>
        <w:t>2012</w:t>
      </w:r>
      <w:r w:rsidR="000C57BD" w:rsidRPr="002A3E43">
        <w:rPr>
          <w:rFonts w:asciiTheme="majorHAnsi" w:hAnsiTheme="majorHAnsi" w:cstheme="majorHAnsi"/>
          <w:sz w:val="22"/>
          <w:szCs w:val="22"/>
        </w:rPr>
        <w:t xml:space="preserve">), </w:t>
      </w:r>
      <w:r w:rsidR="000C57BD" w:rsidRPr="00976BE3">
        <w:rPr>
          <w:rFonts w:asciiTheme="majorHAnsi" w:hAnsiTheme="majorHAnsi" w:cstheme="majorHAnsi"/>
          <w:sz w:val="22"/>
          <w:szCs w:val="22"/>
        </w:rPr>
        <w:t>la factura de electricidad representa aproximadamente un 1.</w:t>
      </w:r>
      <w:r w:rsidR="007B0711">
        <w:rPr>
          <w:rFonts w:asciiTheme="majorHAnsi" w:hAnsiTheme="majorHAnsi" w:cstheme="majorHAnsi"/>
          <w:sz w:val="22"/>
          <w:szCs w:val="22"/>
        </w:rPr>
        <w:t>7</w:t>
      </w:r>
      <w:r w:rsidR="000C57BD" w:rsidRPr="00976BE3">
        <w:rPr>
          <w:rFonts w:asciiTheme="majorHAnsi" w:hAnsiTheme="majorHAnsi" w:cstheme="majorHAnsi"/>
          <w:sz w:val="22"/>
          <w:szCs w:val="22"/>
        </w:rPr>
        <w:t xml:space="preserve"> por ciento del gasto promedio </w:t>
      </w:r>
      <w:r w:rsidR="007B0711">
        <w:rPr>
          <w:rFonts w:asciiTheme="majorHAnsi" w:hAnsiTheme="majorHAnsi" w:cstheme="majorHAnsi"/>
          <w:sz w:val="22"/>
          <w:szCs w:val="22"/>
        </w:rPr>
        <w:t xml:space="preserve">anual </w:t>
      </w:r>
      <w:r w:rsidR="000C57BD" w:rsidRPr="00976BE3">
        <w:rPr>
          <w:rFonts w:asciiTheme="majorHAnsi" w:hAnsiTheme="majorHAnsi" w:cstheme="majorHAnsi"/>
          <w:sz w:val="22"/>
          <w:szCs w:val="22"/>
        </w:rPr>
        <w:t>del hogar.</w:t>
      </w:r>
      <w:r w:rsidR="000C57BD" w:rsidRPr="00976BE3">
        <w:rPr>
          <w:rStyle w:val="FootnoteReference"/>
          <w:rFonts w:asciiTheme="majorHAnsi" w:hAnsiTheme="majorHAnsi" w:cstheme="majorHAnsi"/>
          <w:sz w:val="22"/>
          <w:szCs w:val="22"/>
        </w:rPr>
        <w:footnoteReference w:id="6"/>
      </w:r>
      <w:r w:rsidR="000C57BD" w:rsidRPr="002A3E43">
        <w:rPr>
          <w:rFonts w:asciiTheme="majorHAnsi" w:hAnsiTheme="majorHAnsi" w:cstheme="majorHAnsi"/>
          <w:sz w:val="22"/>
          <w:szCs w:val="22"/>
        </w:rPr>
        <w:t xml:space="preserve"> En el caso del gasto de hogares en agua y saneamiento, alcanza un 0.8 por ciento del gasto total, con </w:t>
      </w:r>
      <w:r w:rsidR="001152D1" w:rsidRPr="002A3E43">
        <w:rPr>
          <w:rFonts w:asciiTheme="majorHAnsi" w:hAnsiTheme="majorHAnsi" w:cstheme="majorHAnsi"/>
          <w:sz w:val="22"/>
          <w:szCs w:val="22"/>
        </w:rPr>
        <w:t>cierta dispersión</w:t>
      </w:r>
      <w:r w:rsidR="000C57BD" w:rsidRPr="002A3E43">
        <w:rPr>
          <w:rFonts w:asciiTheme="majorHAnsi" w:hAnsiTheme="majorHAnsi" w:cstheme="majorHAnsi"/>
          <w:sz w:val="22"/>
          <w:szCs w:val="22"/>
        </w:rPr>
        <w:t xml:space="preserve"> en función del nivel de </w:t>
      </w:r>
      <w:r w:rsidR="00D65947" w:rsidRPr="002A3E43">
        <w:rPr>
          <w:rFonts w:asciiTheme="majorHAnsi" w:hAnsiTheme="majorHAnsi" w:cstheme="majorHAnsi"/>
          <w:sz w:val="22"/>
          <w:szCs w:val="22"/>
        </w:rPr>
        <w:t>ingresos,</w:t>
      </w:r>
      <w:r w:rsidR="000C57BD" w:rsidRPr="002A3E43">
        <w:rPr>
          <w:rFonts w:asciiTheme="majorHAnsi" w:hAnsiTheme="majorHAnsi" w:cstheme="majorHAnsi"/>
          <w:sz w:val="22"/>
          <w:szCs w:val="22"/>
        </w:rPr>
        <w:t xml:space="preserve"> pero en ningún caso superando el</w:t>
      </w:r>
      <w:r w:rsidR="00500EA9" w:rsidRPr="002A3E43">
        <w:rPr>
          <w:rFonts w:asciiTheme="majorHAnsi" w:hAnsiTheme="majorHAnsi" w:cstheme="majorHAnsi"/>
          <w:sz w:val="22"/>
          <w:szCs w:val="22"/>
        </w:rPr>
        <w:t xml:space="preserve"> 1 por ciento del gasto total. </w:t>
      </w:r>
      <w:r w:rsidR="006D59FC" w:rsidRPr="002A3E43">
        <w:rPr>
          <w:rFonts w:asciiTheme="majorHAnsi" w:hAnsiTheme="majorHAnsi" w:cstheme="majorHAnsi"/>
          <w:sz w:val="22"/>
          <w:szCs w:val="22"/>
        </w:rPr>
        <w:t>L</w:t>
      </w:r>
      <w:r w:rsidR="000C57BD" w:rsidRPr="002A3E43">
        <w:rPr>
          <w:rFonts w:asciiTheme="majorHAnsi" w:hAnsiTheme="majorHAnsi" w:cstheme="majorHAnsi"/>
          <w:sz w:val="22"/>
          <w:szCs w:val="22"/>
        </w:rPr>
        <w:t xml:space="preserve">as tasas y cargas sobre los servicios públicos domiciliarios pueden llegar a representar cerca de un </w:t>
      </w:r>
      <w:r w:rsidR="007800A6">
        <w:rPr>
          <w:rFonts w:asciiTheme="majorHAnsi" w:hAnsiTheme="majorHAnsi" w:cstheme="majorHAnsi"/>
          <w:sz w:val="22"/>
          <w:szCs w:val="22"/>
        </w:rPr>
        <w:t>36</w:t>
      </w:r>
      <w:r w:rsidR="000C57BD" w:rsidRPr="002A3E43">
        <w:rPr>
          <w:rFonts w:asciiTheme="majorHAnsi" w:hAnsiTheme="majorHAnsi" w:cstheme="majorHAnsi"/>
          <w:sz w:val="22"/>
          <w:szCs w:val="22"/>
        </w:rPr>
        <w:t xml:space="preserve"> por ciento del gasto de los hogares</w:t>
      </w:r>
      <w:r w:rsidR="006D59FC" w:rsidRPr="002A3E43">
        <w:rPr>
          <w:rFonts w:asciiTheme="majorHAnsi" w:hAnsiTheme="majorHAnsi" w:cstheme="majorHAnsi"/>
          <w:sz w:val="22"/>
          <w:szCs w:val="22"/>
        </w:rPr>
        <w:t xml:space="preserve"> en el servicio de electricidad, especialmente para los hogares de menores ingresos</w:t>
      </w:r>
      <w:r w:rsidR="00456590">
        <w:rPr>
          <w:rFonts w:asciiTheme="majorHAnsi" w:hAnsiTheme="majorHAnsi" w:cstheme="majorHAnsi"/>
          <w:sz w:val="22"/>
          <w:szCs w:val="22"/>
        </w:rPr>
        <w:t xml:space="preserve">, como se verá </w:t>
      </w:r>
      <w:r w:rsidR="00627604">
        <w:rPr>
          <w:rFonts w:asciiTheme="majorHAnsi" w:hAnsiTheme="majorHAnsi" w:cstheme="majorHAnsi"/>
          <w:sz w:val="22"/>
          <w:szCs w:val="22"/>
        </w:rPr>
        <w:t>más</w:t>
      </w:r>
      <w:r w:rsidR="00456590">
        <w:rPr>
          <w:rFonts w:asciiTheme="majorHAnsi" w:hAnsiTheme="majorHAnsi" w:cstheme="majorHAnsi"/>
          <w:sz w:val="22"/>
          <w:szCs w:val="22"/>
        </w:rPr>
        <w:t xml:space="preserve"> adelante.</w:t>
      </w:r>
    </w:p>
    <w:tbl>
      <w:tblPr>
        <w:tblStyle w:val="TableGrid"/>
        <w:tblW w:w="84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4140"/>
      </w:tblGrid>
      <w:tr w:rsidR="00A15206" w:rsidRPr="00F73F2B" w:rsidTr="00C76C1D">
        <w:tc>
          <w:tcPr>
            <w:tcW w:w="8460" w:type="dxa"/>
            <w:gridSpan w:val="2"/>
          </w:tcPr>
          <w:p w:rsidR="00A15206" w:rsidRPr="00F73F2B" w:rsidRDefault="00A15206" w:rsidP="00A15206">
            <w:pPr>
              <w:spacing w:before="100" w:beforeAutospacing="1" w:after="100" w:afterAutospacing="1"/>
              <w:jc w:val="center"/>
              <w:rPr>
                <w:rFonts w:asciiTheme="majorHAnsi" w:hAnsiTheme="majorHAnsi" w:cstheme="majorHAnsi"/>
                <w:b/>
                <w:lang w:val="es-ES_tradnl"/>
              </w:rPr>
            </w:pPr>
            <w:r w:rsidRPr="00F73F2B">
              <w:rPr>
                <w:rFonts w:asciiTheme="majorHAnsi" w:hAnsiTheme="majorHAnsi" w:cstheme="majorHAnsi"/>
                <w:b/>
                <w:lang w:val="es-PE"/>
              </w:rPr>
              <w:t xml:space="preserve">Figura </w:t>
            </w:r>
            <w:r w:rsidR="009079C6" w:rsidRPr="00F73F2B">
              <w:rPr>
                <w:rFonts w:asciiTheme="majorHAnsi" w:hAnsiTheme="majorHAnsi" w:cstheme="majorHAnsi"/>
                <w:b/>
                <w:iCs/>
              </w:rPr>
              <w:fldChar w:fldCharType="begin"/>
            </w:r>
            <w:r w:rsidR="009079C6" w:rsidRPr="00F73F2B">
              <w:rPr>
                <w:rFonts w:asciiTheme="majorHAnsi" w:hAnsiTheme="majorHAnsi" w:cstheme="majorHAnsi"/>
                <w:b/>
                <w:iCs/>
                <w:lang w:val="es-ES_tradnl"/>
              </w:rPr>
              <w:instrText xml:space="preserve"> SEQ Figura \* ARABIC </w:instrText>
            </w:r>
            <w:r w:rsidR="009079C6" w:rsidRPr="00F73F2B">
              <w:rPr>
                <w:rFonts w:asciiTheme="majorHAnsi" w:hAnsiTheme="majorHAnsi" w:cstheme="majorHAnsi"/>
                <w:b/>
                <w:iCs/>
              </w:rPr>
              <w:fldChar w:fldCharType="separate"/>
            </w:r>
            <w:r w:rsidR="009079C6" w:rsidRPr="00F73F2B">
              <w:rPr>
                <w:rFonts w:asciiTheme="majorHAnsi" w:hAnsiTheme="majorHAnsi" w:cstheme="majorHAnsi"/>
                <w:b/>
                <w:iCs/>
                <w:noProof/>
                <w:lang w:val="es-ES_tradnl"/>
              </w:rPr>
              <w:t>2</w:t>
            </w:r>
            <w:r w:rsidR="009079C6" w:rsidRPr="00F73F2B">
              <w:rPr>
                <w:rFonts w:asciiTheme="majorHAnsi" w:hAnsiTheme="majorHAnsi" w:cstheme="majorHAnsi"/>
                <w:b/>
                <w:iCs/>
              </w:rPr>
              <w:fldChar w:fldCharType="end"/>
            </w:r>
            <w:r w:rsidR="009079C6" w:rsidRPr="00F73F2B">
              <w:rPr>
                <w:rFonts w:asciiTheme="majorHAnsi" w:hAnsiTheme="majorHAnsi" w:cstheme="majorHAnsi"/>
                <w:b/>
                <w:iCs/>
                <w:lang w:val="es-ES_tradnl"/>
              </w:rPr>
              <w:t>.</w:t>
            </w:r>
            <w:r w:rsidRPr="00F73F2B">
              <w:rPr>
                <w:rFonts w:asciiTheme="majorHAnsi" w:hAnsiTheme="majorHAnsi" w:cstheme="majorHAnsi"/>
                <w:b/>
                <w:lang w:val="es-PE"/>
              </w:rPr>
              <w:t xml:space="preserve"> Gasto promedio anual de los hogares en electricidad y agua en Ecuador</w:t>
            </w:r>
            <w:r w:rsidR="00C57EF7" w:rsidRPr="00F73F2B">
              <w:rPr>
                <w:rFonts w:asciiTheme="majorHAnsi" w:hAnsiTheme="majorHAnsi" w:cstheme="majorHAnsi"/>
                <w:b/>
                <w:lang w:val="es-PE"/>
              </w:rPr>
              <w:t>, según nivel de ingreso,</w:t>
            </w:r>
            <w:r w:rsidRPr="00F73F2B">
              <w:rPr>
                <w:rFonts w:asciiTheme="majorHAnsi" w:hAnsiTheme="majorHAnsi" w:cstheme="majorHAnsi"/>
                <w:b/>
                <w:lang w:val="es-PE"/>
              </w:rPr>
              <w:t xml:space="preserve"> 201</w:t>
            </w:r>
            <w:r w:rsidR="00F73F2B" w:rsidRPr="00F73F2B">
              <w:rPr>
                <w:rFonts w:asciiTheme="majorHAnsi" w:hAnsiTheme="majorHAnsi" w:cstheme="majorHAnsi"/>
                <w:b/>
                <w:lang w:val="es-PE"/>
              </w:rPr>
              <w:t>1/201</w:t>
            </w:r>
            <w:r w:rsidR="00C76C1D" w:rsidRPr="00F73F2B">
              <w:rPr>
                <w:rFonts w:asciiTheme="majorHAnsi" w:hAnsiTheme="majorHAnsi" w:cstheme="majorHAnsi"/>
                <w:b/>
                <w:lang w:val="es-PE"/>
              </w:rPr>
              <w:t>2</w:t>
            </w:r>
          </w:p>
        </w:tc>
      </w:tr>
      <w:tr w:rsidR="001212B0" w:rsidRPr="00F73F2B" w:rsidTr="00C76C1D">
        <w:tc>
          <w:tcPr>
            <w:tcW w:w="4320" w:type="dxa"/>
          </w:tcPr>
          <w:p w:rsidR="000C57BD" w:rsidRPr="00F73F2B" w:rsidRDefault="00C31B3B" w:rsidP="00A15206">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E</w:t>
            </w:r>
            <w:r w:rsidR="000C57BD" w:rsidRPr="00F73F2B">
              <w:rPr>
                <w:rFonts w:asciiTheme="majorHAnsi" w:hAnsiTheme="majorHAnsi" w:cstheme="majorHAnsi"/>
                <w:b/>
                <w:lang w:val="es-ES_tradnl"/>
              </w:rPr>
              <w:t>lectricidad</w:t>
            </w:r>
          </w:p>
        </w:tc>
        <w:tc>
          <w:tcPr>
            <w:tcW w:w="4140" w:type="dxa"/>
          </w:tcPr>
          <w:p w:rsidR="000C57BD" w:rsidRPr="00F73F2B" w:rsidRDefault="00C31B3B" w:rsidP="00A15206">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A</w:t>
            </w:r>
            <w:r w:rsidR="000C57BD" w:rsidRPr="00F73F2B">
              <w:rPr>
                <w:rFonts w:asciiTheme="majorHAnsi" w:hAnsiTheme="majorHAnsi" w:cstheme="majorHAnsi"/>
                <w:b/>
                <w:lang w:val="es-ES_tradnl"/>
              </w:rPr>
              <w:t>gua y saneamiento</w:t>
            </w:r>
          </w:p>
        </w:tc>
      </w:tr>
      <w:tr w:rsidR="001212B0" w:rsidRPr="00F73F2B" w:rsidTr="00C76C1D">
        <w:tc>
          <w:tcPr>
            <w:tcW w:w="4320" w:type="dxa"/>
          </w:tcPr>
          <w:p w:rsidR="000C57BD" w:rsidRPr="00F73F2B" w:rsidRDefault="007B0711" w:rsidP="00A15206">
            <w:pPr>
              <w:spacing w:before="100" w:beforeAutospacing="1" w:after="100" w:afterAutospacing="1"/>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58E66D92" wp14:editId="49A68987">
                  <wp:extent cx="2534920" cy="152908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4920" cy="1529080"/>
                          </a:xfrm>
                          <a:prstGeom prst="rect">
                            <a:avLst/>
                          </a:prstGeom>
                          <a:noFill/>
                          <a:ln>
                            <a:noFill/>
                          </a:ln>
                        </pic:spPr>
                      </pic:pic>
                    </a:graphicData>
                  </a:graphic>
                </wp:inline>
              </w:drawing>
            </w:r>
          </w:p>
        </w:tc>
        <w:tc>
          <w:tcPr>
            <w:tcW w:w="4140" w:type="dxa"/>
          </w:tcPr>
          <w:p w:rsidR="000C57BD" w:rsidRPr="00F73F2B" w:rsidRDefault="007B0711" w:rsidP="00A15206">
            <w:pPr>
              <w:spacing w:before="100" w:beforeAutospacing="1" w:after="100" w:afterAutospacing="1"/>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2FA89943" wp14:editId="4C17CED2">
                  <wp:extent cx="2590800" cy="15646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1564640"/>
                          </a:xfrm>
                          <a:prstGeom prst="rect">
                            <a:avLst/>
                          </a:prstGeom>
                          <a:noFill/>
                          <a:ln>
                            <a:noFill/>
                          </a:ln>
                        </pic:spPr>
                      </pic:pic>
                    </a:graphicData>
                  </a:graphic>
                </wp:inline>
              </w:drawing>
            </w:r>
          </w:p>
        </w:tc>
      </w:tr>
      <w:tr w:rsidR="00C57EF7" w:rsidRPr="00F73F2B" w:rsidTr="00C76C1D">
        <w:tc>
          <w:tcPr>
            <w:tcW w:w="8460" w:type="dxa"/>
            <w:gridSpan w:val="2"/>
          </w:tcPr>
          <w:p w:rsidR="00C57EF7" w:rsidRPr="00F73F2B" w:rsidRDefault="00C57EF7" w:rsidP="00A15206">
            <w:pPr>
              <w:spacing w:before="100" w:beforeAutospacing="1" w:after="100" w:afterAutospacing="1"/>
              <w:jc w:val="both"/>
              <w:rPr>
                <w:rFonts w:asciiTheme="majorHAnsi" w:hAnsiTheme="majorHAnsi" w:cstheme="majorHAnsi"/>
                <w:sz w:val="18"/>
                <w:szCs w:val="18"/>
                <w:lang w:val="es-ES_tradnl"/>
              </w:rPr>
            </w:pPr>
            <w:r w:rsidRPr="00F73F2B">
              <w:rPr>
                <w:rFonts w:asciiTheme="majorHAnsi" w:hAnsiTheme="majorHAnsi" w:cstheme="majorHAnsi"/>
                <w:sz w:val="18"/>
                <w:szCs w:val="18"/>
                <w:lang w:val="es-ES_tradnl"/>
              </w:rPr>
              <w:t xml:space="preserve">Fuente: </w:t>
            </w:r>
            <w:r w:rsidR="00F73F2B" w:rsidRPr="00F73F2B">
              <w:rPr>
                <w:rFonts w:asciiTheme="majorHAnsi" w:hAnsiTheme="majorHAnsi" w:cstheme="majorHAnsi"/>
                <w:sz w:val="18"/>
                <w:szCs w:val="18"/>
                <w:lang w:val="es-PE"/>
              </w:rPr>
              <w:t>Encuesta Nacional de Ingresos y Gastos de los Hogares Urbanos y Rurales</w:t>
            </w:r>
            <w:r w:rsidR="00F73F2B">
              <w:rPr>
                <w:rFonts w:asciiTheme="majorHAnsi" w:hAnsiTheme="majorHAnsi" w:cstheme="majorHAnsi"/>
                <w:sz w:val="18"/>
                <w:szCs w:val="18"/>
                <w:lang w:val="es-PE"/>
              </w:rPr>
              <w:t xml:space="preserve"> de Ecuador (</w:t>
            </w:r>
            <w:r w:rsidR="00F73F2B" w:rsidRPr="00F73F2B">
              <w:rPr>
                <w:rFonts w:asciiTheme="majorHAnsi" w:hAnsiTheme="majorHAnsi" w:cstheme="majorHAnsi"/>
                <w:sz w:val="18"/>
                <w:szCs w:val="18"/>
                <w:lang w:val="es-PE"/>
              </w:rPr>
              <w:t>2011/2012</w:t>
            </w:r>
            <w:r w:rsidR="00F73F2B">
              <w:rPr>
                <w:rFonts w:asciiTheme="majorHAnsi" w:hAnsiTheme="majorHAnsi" w:cstheme="majorHAnsi"/>
                <w:sz w:val="18"/>
                <w:szCs w:val="18"/>
                <w:lang w:val="es-PE"/>
              </w:rPr>
              <w:t>)</w:t>
            </w:r>
            <w:r w:rsidR="00F73F2B" w:rsidRPr="00F73F2B">
              <w:rPr>
                <w:rFonts w:asciiTheme="majorHAnsi" w:hAnsiTheme="majorHAnsi" w:cstheme="majorHAnsi"/>
                <w:sz w:val="18"/>
                <w:szCs w:val="18"/>
                <w:lang w:val="es-PE"/>
              </w:rPr>
              <w:t>.</w:t>
            </w:r>
          </w:p>
        </w:tc>
      </w:tr>
    </w:tbl>
    <w:p w:rsidR="000C57BD" w:rsidRPr="002A3E43" w:rsidRDefault="000C57BD"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Ecuador cuenta con diez distribuidoras de electricidad que, de manera conjunta, cubren los 220 Gobiernos Autónomos Descentralizados (GADs).</w:t>
      </w:r>
      <w:r w:rsidRPr="002A3E43">
        <w:rPr>
          <w:rStyle w:val="FootnoteReference"/>
          <w:rFonts w:asciiTheme="majorHAnsi" w:hAnsiTheme="majorHAnsi" w:cstheme="majorHAnsi"/>
          <w:sz w:val="22"/>
          <w:szCs w:val="22"/>
        </w:rPr>
        <w:footnoteReference w:id="7"/>
      </w:r>
      <w:r w:rsidR="00BD49BF" w:rsidRPr="002A3E43">
        <w:rPr>
          <w:rFonts w:asciiTheme="majorHAnsi" w:hAnsiTheme="majorHAnsi" w:cstheme="majorHAnsi"/>
          <w:sz w:val="22"/>
          <w:szCs w:val="22"/>
        </w:rPr>
        <w:t xml:space="preserve"> </w:t>
      </w:r>
      <w:r w:rsidRPr="002A3E43">
        <w:rPr>
          <w:rFonts w:asciiTheme="majorHAnsi" w:hAnsiTheme="majorHAnsi" w:cstheme="majorHAnsi"/>
          <w:sz w:val="22"/>
          <w:szCs w:val="22"/>
        </w:rPr>
        <w:t>El proceso de facturación y cobranza es llevado a cabo de manera independiente en cada GAD, y aunque existen puntos comunes entre ellos, las características de la facturación no se encuentran consolidadas. Entre los puntos comunes a todos los GADs a nivel nacional puede señalarse que: i) el servicio eléctrico se encuentra exento del impue</w:t>
      </w:r>
      <w:r w:rsidRPr="009C360C">
        <w:rPr>
          <w:rFonts w:asciiTheme="majorHAnsi" w:hAnsiTheme="majorHAnsi" w:cstheme="majorHAnsi"/>
          <w:sz w:val="22"/>
          <w:szCs w:val="22"/>
        </w:rPr>
        <w:t>sto al valor agregado</w:t>
      </w:r>
      <w:r w:rsidR="00437016">
        <w:rPr>
          <w:rFonts w:asciiTheme="majorHAnsi" w:hAnsiTheme="majorHAnsi" w:cstheme="majorHAnsi"/>
          <w:sz w:val="22"/>
          <w:szCs w:val="22"/>
        </w:rPr>
        <w:t xml:space="preserve"> (IVA)</w:t>
      </w:r>
      <w:r w:rsidRPr="009C360C">
        <w:rPr>
          <w:rFonts w:asciiTheme="majorHAnsi" w:hAnsiTheme="majorHAnsi" w:cstheme="majorHAnsi"/>
          <w:sz w:val="22"/>
          <w:szCs w:val="22"/>
        </w:rPr>
        <w:t>;</w:t>
      </w:r>
      <w:r w:rsidR="004C2FB0">
        <w:rPr>
          <w:rStyle w:val="FootnoteReference"/>
          <w:rFonts w:asciiTheme="majorHAnsi" w:hAnsiTheme="majorHAnsi" w:cstheme="majorHAnsi"/>
          <w:sz w:val="22"/>
          <w:szCs w:val="22"/>
        </w:rPr>
        <w:footnoteReference w:id="8"/>
      </w:r>
      <w:r w:rsidRPr="009C360C">
        <w:rPr>
          <w:rFonts w:asciiTheme="majorHAnsi" w:hAnsiTheme="majorHAnsi" w:cstheme="majorHAnsi"/>
          <w:sz w:val="22"/>
          <w:szCs w:val="22"/>
        </w:rPr>
        <w:t xml:space="preserve"> </w:t>
      </w:r>
      <w:r w:rsidRPr="002A3E43">
        <w:rPr>
          <w:rFonts w:asciiTheme="majorHAnsi" w:hAnsiTheme="majorHAnsi" w:cstheme="majorHAnsi"/>
          <w:sz w:val="22"/>
          <w:szCs w:val="22"/>
        </w:rPr>
        <w:t xml:space="preserve">y ii) el consumo de electricidad está sujeto a una tarifa única en el sector residencial (además de la tarifa dignidad para la población de menores recursos). </w:t>
      </w:r>
    </w:p>
    <w:p w:rsidR="000C57BD" w:rsidRPr="002A3E43" w:rsidRDefault="000C57BD"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La elevada cobertura del servicio a nivel nacional (</w:t>
      </w:r>
      <w:r w:rsidR="00206745">
        <w:rPr>
          <w:rFonts w:asciiTheme="majorHAnsi" w:hAnsiTheme="majorHAnsi" w:cstheme="majorHAnsi"/>
          <w:sz w:val="22"/>
          <w:szCs w:val="22"/>
        </w:rPr>
        <w:t>97.2</w:t>
      </w:r>
      <w:r w:rsidRPr="002A3E43">
        <w:rPr>
          <w:rFonts w:asciiTheme="majorHAnsi" w:hAnsiTheme="majorHAnsi" w:cstheme="majorHAnsi"/>
          <w:sz w:val="22"/>
          <w:szCs w:val="22"/>
        </w:rPr>
        <w:t xml:space="preserve"> por ciento en el 201</w:t>
      </w:r>
      <w:r w:rsidR="00206745">
        <w:rPr>
          <w:rFonts w:asciiTheme="majorHAnsi" w:hAnsiTheme="majorHAnsi" w:cstheme="majorHAnsi"/>
          <w:sz w:val="22"/>
          <w:szCs w:val="22"/>
        </w:rPr>
        <w:t>6</w:t>
      </w:r>
      <w:r w:rsidR="004A303A" w:rsidRPr="002A3E43">
        <w:rPr>
          <w:rStyle w:val="FootnoteReference"/>
          <w:rFonts w:asciiTheme="majorHAnsi" w:hAnsiTheme="majorHAnsi" w:cstheme="majorHAnsi"/>
          <w:sz w:val="22"/>
          <w:szCs w:val="22"/>
          <w:lang w:val="es-PE"/>
        </w:rPr>
        <w:footnoteReference w:id="9"/>
      </w:r>
      <w:r w:rsidRPr="002A3E43">
        <w:rPr>
          <w:rFonts w:asciiTheme="majorHAnsi" w:hAnsiTheme="majorHAnsi" w:cstheme="majorHAnsi"/>
          <w:sz w:val="22"/>
          <w:szCs w:val="22"/>
        </w:rPr>
        <w:t>), junto el alto nivel de cobranza del servicio (98</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aproximadamente a nivel nacional en el 2016; explicado principalmente por la potestad coercitiva de interrupciones del servicio debido a impagos</w:t>
      </w:r>
      <w:r w:rsidRPr="002A3E43">
        <w:rPr>
          <w:rStyle w:val="FootnoteReference"/>
          <w:rFonts w:asciiTheme="majorHAnsi" w:hAnsiTheme="majorHAnsi" w:cstheme="majorHAnsi"/>
          <w:sz w:val="22"/>
          <w:szCs w:val="22"/>
        </w:rPr>
        <w:footnoteReference w:id="10"/>
      </w:r>
      <w:r w:rsidRPr="002A3E43">
        <w:rPr>
          <w:rFonts w:asciiTheme="majorHAnsi" w:hAnsiTheme="majorHAnsi" w:cstheme="majorHAnsi"/>
          <w:sz w:val="22"/>
          <w:szCs w:val="22"/>
        </w:rPr>
        <w:t>)</w:t>
      </w:r>
      <w:r w:rsidR="00456590">
        <w:rPr>
          <w:rFonts w:asciiTheme="majorHAnsi" w:hAnsiTheme="majorHAnsi" w:cstheme="majorHAnsi"/>
          <w:sz w:val="22"/>
          <w:szCs w:val="22"/>
        </w:rPr>
        <w:t xml:space="preserve"> </w:t>
      </w:r>
      <w:r w:rsidRPr="002A3E43">
        <w:rPr>
          <w:rFonts w:asciiTheme="majorHAnsi" w:hAnsiTheme="majorHAnsi" w:cstheme="majorHAnsi"/>
          <w:sz w:val="22"/>
          <w:szCs w:val="22"/>
        </w:rPr>
        <w:lastRenderedPageBreak/>
        <w:t xml:space="preserve">podrían señalarse entre las principales razones por las que este servicio público es </w:t>
      </w:r>
      <w:r w:rsidR="006D59FC" w:rsidRPr="002A3E43">
        <w:rPr>
          <w:rFonts w:asciiTheme="majorHAnsi" w:hAnsiTheme="majorHAnsi" w:cstheme="majorHAnsi"/>
          <w:sz w:val="22"/>
          <w:szCs w:val="22"/>
        </w:rPr>
        <w:t>sujeto a la imposición de tasas</w:t>
      </w:r>
      <w:r w:rsidRPr="002A3E43">
        <w:rPr>
          <w:rFonts w:asciiTheme="majorHAnsi" w:hAnsiTheme="majorHAnsi" w:cstheme="majorHAnsi"/>
          <w:sz w:val="22"/>
          <w:szCs w:val="22"/>
        </w:rPr>
        <w:t xml:space="preserve"> ajen</w:t>
      </w:r>
      <w:r w:rsidR="00206745">
        <w:rPr>
          <w:rFonts w:asciiTheme="majorHAnsi" w:hAnsiTheme="majorHAnsi" w:cstheme="majorHAnsi"/>
          <w:sz w:val="22"/>
          <w:szCs w:val="22"/>
        </w:rPr>
        <w:t>a</w:t>
      </w:r>
      <w:r w:rsidRPr="002A3E43">
        <w:rPr>
          <w:rFonts w:asciiTheme="majorHAnsi" w:hAnsiTheme="majorHAnsi" w:cstheme="majorHAnsi"/>
          <w:sz w:val="22"/>
          <w:szCs w:val="22"/>
        </w:rPr>
        <w:t xml:space="preserve">s al servicio eléctrico </w:t>
      </w:r>
      <w:r w:rsidRPr="002A3E43">
        <w:rPr>
          <w:rFonts w:asciiTheme="majorHAnsi" w:hAnsiTheme="majorHAnsi" w:cstheme="majorHAnsi"/>
          <w:i/>
          <w:sz w:val="22"/>
          <w:szCs w:val="22"/>
        </w:rPr>
        <w:t>per se</w:t>
      </w:r>
      <w:r w:rsidRPr="002A3E43">
        <w:rPr>
          <w:rFonts w:asciiTheme="majorHAnsi" w:hAnsiTheme="majorHAnsi" w:cstheme="majorHAnsi"/>
          <w:sz w:val="22"/>
          <w:szCs w:val="22"/>
        </w:rPr>
        <w:t xml:space="preserve">. </w:t>
      </w:r>
    </w:p>
    <w:p w:rsidR="000C57BD" w:rsidRPr="002A3E43" w:rsidRDefault="00505C27"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De manera</w:t>
      </w:r>
      <w:r w:rsidR="000C57BD" w:rsidRPr="002A3E43">
        <w:rPr>
          <w:rFonts w:asciiTheme="majorHAnsi" w:hAnsiTheme="majorHAnsi" w:cstheme="majorHAnsi"/>
          <w:sz w:val="22"/>
          <w:szCs w:val="22"/>
        </w:rPr>
        <w:t xml:space="preserve"> general, la factura eléctrica en Ecuador incluye l</w:t>
      </w:r>
      <w:r w:rsidR="009F7657" w:rsidRPr="002A3E43">
        <w:rPr>
          <w:rFonts w:asciiTheme="majorHAnsi" w:hAnsiTheme="majorHAnsi" w:cstheme="majorHAnsi"/>
          <w:sz w:val="22"/>
          <w:szCs w:val="22"/>
        </w:rPr>
        <w:t xml:space="preserve">a tasa de recolección de basura, </w:t>
      </w:r>
      <w:r w:rsidR="000C57BD" w:rsidRPr="002A3E43">
        <w:rPr>
          <w:rFonts w:asciiTheme="majorHAnsi" w:hAnsiTheme="majorHAnsi" w:cstheme="majorHAnsi"/>
          <w:sz w:val="22"/>
          <w:szCs w:val="22"/>
        </w:rPr>
        <w:t>el tributo por bomberos</w:t>
      </w:r>
      <w:r w:rsidR="009F7657" w:rsidRPr="002A3E43">
        <w:rPr>
          <w:rFonts w:asciiTheme="majorHAnsi" w:hAnsiTheme="majorHAnsi" w:cstheme="majorHAnsi"/>
          <w:sz w:val="22"/>
          <w:szCs w:val="22"/>
        </w:rPr>
        <w:t>, y otras tasas</w:t>
      </w:r>
      <w:r w:rsidR="000C57BD" w:rsidRPr="002A3E43">
        <w:rPr>
          <w:rFonts w:asciiTheme="majorHAnsi" w:hAnsiTheme="majorHAnsi" w:cstheme="majorHAnsi"/>
          <w:sz w:val="22"/>
          <w:szCs w:val="22"/>
        </w:rPr>
        <w:t>:</w:t>
      </w:r>
    </w:p>
    <w:p w:rsidR="000C57BD" w:rsidRPr="002A3E43" w:rsidRDefault="000C57BD" w:rsidP="00DD746C">
      <w:pPr>
        <w:pStyle w:val="ListParagraph"/>
        <w:numPr>
          <w:ilvl w:val="0"/>
          <w:numId w:val="2"/>
        </w:numPr>
        <w:spacing w:before="100" w:beforeAutospacing="1" w:after="100" w:afterAutospacing="1"/>
        <w:ind w:left="360"/>
        <w:jc w:val="both"/>
        <w:rPr>
          <w:rFonts w:asciiTheme="majorHAnsi" w:hAnsiTheme="majorHAnsi" w:cstheme="majorHAnsi"/>
          <w:color w:val="000000"/>
          <w:sz w:val="22"/>
          <w:szCs w:val="22"/>
        </w:rPr>
      </w:pPr>
      <w:r w:rsidRPr="002A3E43">
        <w:rPr>
          <w:rFonts w:asciiTheme="majorHAnsi" w:hAnsiTheme="majorHAnsi" w:cstheme="majorHAnsi"/>
          <w:b/>
          <w:i/>
          <w:sz w:val="22"/>
          <w:szCs w:val="22"/>
        </w:rPr>
        <w:t>Tributo</w:t>
      </w:r>
      <w:r w:rsidRPr="002A3E43">
        <w:rPr>
          <w:rFonts w:asciiTheme="majorHAnsi" w:hAnsiTheme="majorHAnsi" w:cstheme="majorHAnsi"/>
          <w:b/>
          <w:i/>
          <w:color w:val="000000"/>
          <w:sz w:val="22"/>
          <w:szCs w:val="22"/>
        </w:rPr>
        <w:t xml:space="preserve"> por bomberos</w:t>
      </w:r>
      <w:r w:rsidRPr="002A3E43">
        <w:rPr>
          <w:rFonts w:asciiTheme="majorHAnsi" w:hAnsiTheme="majorHAnsi" w:cstheme="majorHAnsi"/>
          <w:color w:val="000000"/>
          <w:sz w:val="22"/>
          <w:szCs w:val="22"/>
        </w:rPr>
        <w:t>. Es cobrado en todos los GAD (</w:t>
      </w:r>
      <w:r w:rsidRPr="002A3E43">
        <w:rPr>
          <w:rFonts w:asciiTheme="majorHAnsi" w:hAnsiTheme="majorHAnsi" w:cstheme="majorHAnsi"/>
          <w:color w:val="222222"/>
          <w:sz w:val="22"/>
          <w:szCs w:val="22"/>
          <w:shd w:val="clear" w:color="auto" w:fill="FFFFFF"/>
        </w:rPr>
        <w:t>Art. 32 de la Ley de Defensa contra Incendios</w:t>
      </w:r>
      <w:r w:rsidRPr="002A3E43">
        <w:rPr>
          <w:rStyle w:val="FootnoteReference"/>
          <w:rFonts w:asciiTheme="majorHAnsi" w:hAnsiTheme="majorHAnsi" w:cstheme="majorHAnsi"/>
          <w:color w:val="222222"/>
          <w:sz w:val="22"/>
          <w:szCs w:val="22"/>
          <w:shd w:val="clear" w:color="auto" w:fill="FFFFFF"/>
        </w:rPr>
        <w:footnoteReference w:id="11"/>
      </w:r>
      <w:r w:rsidRPr="002A3E43">
        <w:rPr>
          <w:rFonts w:asciiTheme="majorHAnsi" w:hAnsiTheme="majorHAnsi" w:cstheme="majorHAnsi"/>
          <w:color w:val="222222"/>
          <w:sz w:val="22"/>
          <w:szCs w:val="22"/>
          <w:shd w:val="clear" w:color="auto" w:fill="FFFFFF"/>
        </w:rPr>
        <w:t>)</w:t>
      </w:r>
      <w:r w:rsidRPr="002A3E43">
        <w:rPr>
          <w:rFonts w:asciiTheme="majorHAnsi" w:hAnsiTheme="majorHAnsi" w:cstheme="majorHAnsi"/>
          <w:color w:val="000000"/>
          <w:sz w:val="22"/>
          <w:szCs w:val="22"/>
        </w:rPr>
        <w:t xml:space="preserve">. El cargo al servicio residencial </w:t>
      </w:r>
      <w:r w:rsidRPr="002A3E43">
        <w:rPr>
          <w:rFonts w:asciiTheme="majorHAnsi" w:hAnsiTheme="majorHAnsi" w:cstheme="majorHAnsi"/>
          <w:sz w:val="22"/>
          <w:szCs w:val="22"/>
        </w:rPr>
        <w:t xml:space="preserve">corresponde al 0.05 por ciento del sueldo básico, el cual varia cada año y para el 2017 se situó en $1.88 por factura. </w:t>
      </w:r>
      <w:r w:rsidR="00404AF6" w:rsidRPr="002A3E43">
        <w:rPr>
          <w:rFonts w:asciiTheme="majorHAnsi" w:hAnsiTheme="majorHAnsi" w:cstheme="majorHAnsi"/>
          <w:sz w:val="22"/>
          <w:szCs w:val="22"/>
        </w:rPr>
        <w:t>Este</w:t>
      </w:r>
      <w:r w:rsidRPr="002A3E43">
        <w:rPr>
          <w:rFonts w:asciiTheme="majorHAnsi" w:hAnsiTheme="majorHAnsi" w:cstheme="majorHAnsi"/>
          <w:sz w:val="22"/>
          <w:szCs w:val="22"/>
        </w:rPr>
        <w:t xml:space="preserve"> monto fijo tiene mayor peso relativo en familias con bajo consumo eléctrico. Del mismo modo, ante un </w:t>
      </w:r>
      <w:r w:rsidR="00BF092B" w:rsidRPr="002A3E43">
        <w:rPr>
          <w:rFonts w:asciiTheme="majorHAnsi" w:hAnsiTheme="majorHAnsi" w:cstheme="majorHAnsi"/>
          <w:sz w:val="22"/>
          <w:szCs w:val="22"/>
        </w:rPr>
        <w:t xml:space="preserve">posible </w:t>
      </w:r>
      <w:r w:rsidRPr="002A3E43">
        <w:rPr>
          <w:rFonts w:asciiTheme="majorHAnsi" w:hAnsiTheme="majorHAnsi" w:cstheme="majorHAnsi"/>
          <w:sz w:val="22"/>
          <w:szCs w:val="22"/>
        </w:rPr>
        <w:t>escenario futuro de reducción de tarifas eléctricas –</w:t>
      </w:r>
      <w:r w:rsidR="00207C13" w:rsidRPr="002A3E43">
        <w:rPr>
          <w:rFonts w:asciiTheme="majorHAnsi" w:hAnsiTheme="majorHAnsi" w:cstheme="majorHAnsi"/>
          <w:sz w:val="22"/>
          <w:szCs w:val="22"/>
        </w:rPr>
        <w:t xml:space="preserve">por </w:t>
      </w:r>
      <w:r w:rsidR="009C360C" w:rsidRPr="002A3E43">
        <w:rPr>
          <w:rFonts w:asciiTheme="majorHAnsi" w:hAnsiTheme="majorHAnsi" w:cstheme="majorHAnsi"/>
          <w:sz w:val="22"/>
          <w:szCs w:val="22"/>
        </w:rPr>
        <w:t>ejemplo,</w:t>
      </w:r>
      <w:r w:rsidR="00207C13" w:rsidRPr="002A3E43">
        <w:rPr>
          <w:rFonts w:asciiTheme="majorHAnsi" w:hAnsiTheme="majorHAnsi" w:cstheme="majorHAnsi"/>
          <w:sz w:val="22"/>
          <w:szCs w:val="22"/>
        </w:rPr>
        <w:t xml:space="preserve"> </w:t>
      </w:r>
      <w:r w:rsidR="00206745">
        <w:rPr>
          <w:rFonts w:asciiTheme="majorHAnsi" w:hAnsiTheme="majorHAnsi" w:cstheme="majorHAnsi"/>
          <w:sz w:val="22"/>
          <w:szCs w:val="22"/>
        </w:rPr>
        <w:t>debido a un</w:t>
      </w:r>
      <w:r w:rsidRPr="002A3E43">
        <w:rPr>
          <w:rFonts w:asciiTheme="majorHAnsi" w:hAnsiTheme="majorHAnsi" w:cstheme="majorHAnsi"/>
          <w:sz w:val="22"/>
          <w:szCs w:val="22"/>
        </w:rPr>
        <w:t xml:space="preserve"> cambio en la matriz energética que intensifique el uso de las hidroeléctricas –dicha tasa pasa</w:t>
      </w:r>
      <w:r w:rsidR="00206745">
        <w:rPr>
          <w:rFonts w:asciiTheme="majorHAnsi" w:hAnsiTheme="majorHAnsi" w:cstheme="majorHAnsi"/>
          <w:sz w:val="22"/>
          <w:szCs w:val="22"/>
        </w:rPr>
        <w:t>ría</w:t>
      </w:r>
      <w:r w:rsidRPr="002A3E43">
        <w:rPr>
          <w:rFonts w:asciiTheme="majorHAnsi" w:hAnsiTheme="majorHAnsi" w:cstheme="majorHAnsi"/>
          <w:sz w:val="22"/>
          <w:szCs w:val="22"/>
        </w:rPr>
        <w:t xml:space="preserve"> a representar aún mayor proporción de la factura.</w:t>
      </w:r>
    </w:p>
    <w:p w:rsidR="000C57BD" w:rsidRPr="002A3E43" w:rsidRDefault="000C57BD" w:rsidP="00DD746C">
      <w:pPr>
        <w:pStyle w:val="ListParagraph"/>
        <w:spacing w:before="100" w:beforeAutospacing="1" w:after="100" w:afterAutospacing="1"/>
        <w:ind w:left="360"/>
        <w:jc w:val="both"/>
        <w:rPr>
          <w:rFonts w:asciiTheme="majorHAnsi" w:hAnsiTheme="majorHAnsi" w:cstheme="majorHAnsi"/>
          <w:color w:val="000000"/>
          <w:sz w:val="22"/>
          <w:szCs w:val="22"/>
        </w:rPr>
      </w:pPr>
    </w:p>
    <w:p w:rsidR="000C57BD" w:rsidRPr="002A3E43" w:rsidRDefault="000C57BD" w:rsidP="00DD746C">
      <w:pPr>
        <w:pStyle w:val="ListParagraph"/>
        <w:numPr>
          <w:ilvl w:val="0"/>
          <w:numId w:val="2"/>
        </w:numPr>
        <w:spacing w:before="100" w:beforeAutospacing="1" w:after="100" w:afterAutospacing="1"/>
        <w:ind w:left="360"/>
        <w:jc w:val="both"/>
        <w:rPr>
          <w:rFonts w:asciiTheme="majorHAnsi" w:hAnsiTheme="majorHAnsi" w:cstheme="majorHAnsi"/>
          <w:color w:val="000000"/>
          <w:sz w:val="22"/>
          <w:szCs w:val="22"/>
        </w:rPr>
      </w:pPr>
      <w:r w:rsidRPr="002A3E43">
        <w:rPr>
          <w:rFonts w:asciiTheme="majorHAnsi" w:hAnsiTheme="majorHAnsi" w:cstheme="majorHAnsi"/>
          <w:b/>
          <w:i/>
          <w:sz w:val="22"/>
          <w:szCs w:val="22"/>
        </w:rPr>
        <w:t>Tasa de recolección de basura.</w:t>
      </w:r>
      <w:r w:rsidRPr="002A3E43">
        <w:rPr>
          <w:rFonts w:asciiTheme="majorHAnsi" w:hAnsiTheme="majorHAnsi" w:cstheme="majorHAnsi"/>
          <w:sz w:val="22"/>
          <w:szCs w:val="22"/>
        </w:rPr>
        <w:t xml:space="preserve"> </w:t>
      </w:r>
      <w:r w:rsidRPr="002A3E43">
        <w:rPr>
          <w:rFonts w:asciiTheme="majorHAnsi" w:hAnsiTheme="majorHAnsi" w:cstheme="majorHAnsi"/>
          <w:color w:val="000000"/>
          <w:sz w:val="22"/>
          <w:szCs w:val="22"/>
        </w:rPr>
        <w:t>Es</w:t>
      </w:r>
      <w:r w:rsidRPr="002A3E43">
        <w:rPr>
          <w:rFonts w:asciiTheme="majorHAnsi" w:hAnsiTheme="majorHAnsi" w:cstheme="majorHAnsi"/>
          <w:sz w:val="22"/>
          <w:szCs w:val="22"/>
        </w:rPr>
        <w:t xml:space="preserve"> cobrada en </w:t>
      </w:r>
      <w:r w:rsidR="006D10D2" w:rsidRPr="002A3E43">
        <w:rPr>
          <w:rFonts w:asciiTheme="majorHAnsi" w:hAnsiTheme="majorHAnsi" w:cstheme="majorHAnsi"/>
          <w:sz w:val="22"/>
          <w:szCs w:val="22"/>
        </w:rPr>
        <w:t>aproximadamente la mitad de los GADs</w:t>
      </w:r>
      <w:r w:rsidRPr="002A3E43">
        <w:rPr>
          <w:rFonts w:asciiTheme="majorHAnsi" w:hAnsiTheme="majorHAnsi" w:cstheme="majorHAnsi"/>
          <w:sz w:val="22"/>
          <w:szCs w:val="22"/>
        </w:rPr>
        <w:t>. En la mayoría de los GADs</w:t>
      </w:r>
      <w:r w:rsidR="00206745">
        <w:rPr>
          <w:rFonts w:asciiTheme="majorHAnsi" w:hAnsiTheme="majorHAnsi" w:cstheme="majorHAnsi"/>
          <w:sz w:val="22"/>
          <w:szCs w:val="22"/>
        </w:rPr>
        <w:t xml:space="preserve"> donde ésta se cobra</w:t>
      </w:r>
      <w:r w:rsidRPr="002A3E43">
        <w:rPr>
          <w:rFonts w:asciiTheme="majorHAnsi" w:hAnsiTheme="majorHAnsi" w:cstheme="majorHAnsi"/>
          <w:sz w:val="22"/>
          <w:szCs w:val="22"/>
        </w:rPr>
        <w:t>, la tarifa es variable y se encuentra en función a los kWh consumidos, por lo que el concepto tiene mayor peso relativo en familias con alto consumo eléctrico. Esta fórmula asume una correlación positiva entre consumo eléctrico y producción de basura</w:t>
      </w:r>
      <w:r w:rsidRPr="002A3E43">
        <w:rPr>
          <w:rFonts w:asciiTheme="majorHAnsi" w:eastAsia="Times New Roman" w:hAnsiTheme="majorHAnsi" w:cstheme="majorHAnsi"/>
          <w:color w:val="000000"/>
          <w:sz w:val="22"/>
          <w:szCs w:val="22"/>
        </w:rPr>
        <w:t xml:space="preserve">. Las dudas sobre la idoneidad de la correlación llevaron a la creación del </w:t>
      </w:r>
      <w:r w:rsidRPr="002A3E43">
        <w:rPr>
          <w:rFonts w:asciiTheme="majorHAnsi" w:hAnsiTheme="majorHAnsi" w:cstheme="majorHAnsi"/>
          <w:sz w:val="22"/>
          <w:szCs w:val="22"/>
        </w:rPr>
        <w:t>Programa Nacional de Gestión de Desechos Sólidos</w:t>
      </w:r>
      <w:r w:rsidRPr="002A3E43">
        <w:rPr>
          <w:rStyle w:val="FootnoteReference"/>
          <w:rFonts w:asciiTheme="majorHAnsi" w:hAnsiTheme="majorHAnsi" w:cstheme="majorHAnsi"/>
          <w:sz w:val="22"/>
          <w:szCs w:val="22"/>
        </w:rPr>
        <w:footnoteReference w:id="12"/>
      </w:r>
      <w:r w:rsidRPr="002A3E43">
        <w:rPr>
          <w:rFonts w:asciiTheme="majorHAnsi" w:hAnsiTheme="majorHAnsi" w:cstheme="majorHAnsi"/>
          <w:sz w:val="22"/>
          <w:szCs w:val="22"/>
        </w:rPr>
        <w:t xml:space="preserve"> (2010-2017) – a cargo del Ministerio de Desarrollo Urbano y Vivienda (MIDUVI), y </w:t>
      </w:r>
      <w:r w:rsidR="006D59FC" w:rsidRPr="002A3E43">
        <w:rPr>
          <w:rFonts w:asciiTheme="majorHAnsi" w:hAnsiTheme="majorHAnsi" w:cstheme="majorHAnsi"/>
          <w:sz w:val="22"/>
          <w:szCs w:val="22"/>
        </w:rPr>
        <w:t>más</w:t>
      </w:r>
      <w:r w:rsidRPr="002A3E43">
        <w:rPr>
          <w:rFonts w:asciiTheme="majorHAnsi" w:hAnsiTheme="majorHAnsi" w:cstheme="majorHAnsi"/>
          <w:sz w:val="22"/>
          <w:szCs w:val="22"/>
        </w:rPr>
        <w:t xml:space="preserve"> tar</w:t>
      </w:r>
      <w:r w:rsidR="00206745">
        <w:rPr>
          <w:rFonts w:asciiTheme="majorHAnsi" w:hAnsiTheme="majorHAnsi" w:cstheme="majorHAnsi"/>
          <w:sz w:val="22"/>
          <w:szCs w:val="22"/>
        </w:rPr>
        <w:t>d</w:t>
      </w:r>
      <w:r w:rsidRPr="002A3E43">
        <w:rPr>
          <w:rFonts w:asciiTheme="majorHAnsi" w:hAnsiTheme="majorHAnsi" w:cstheme="majorHAnsi"/>
          <w:sz w:val="22"/>
          <w:szCs w:val="22"/>
        </w:rPr>
        <w:t xml:space="preserve">e transferido al Ministerio del Ambiente – con el objetivo de vincular la tasa de recolección de basura a su costo real, grupo económico, y nivel de residuos generados. En la actualidad, Quito representa uno de los pocos municipios con una formula tarifaria para el </w:t>
      </w:r>
      <w:r w:rsidR="006D59FC" w:rsidRPr="002A3E43">
        <w:rPr>
          <w:rFonts w:asciiTheme="majorHAnsi" w:hAnsiTheme="majorHAnsi" w:cstheme="majorHAnsi"/>
          <w:sz w:val="22"/>
          <w:szCs w:val="22"/>
        </w:rPr>
        <w:t>cálculo</w:t>
      </w:r>
      <w:r w:rsidRPr="002A3E43">
        <w:rPr>
          <w:rFonts w:asciiTheme="majorHAnsi" w:hAnsiTheme="majorHAnsi" w:cstheme="majorHAnsi"/>
          <w:sz w:val="22"/>
          <w:szCs w:val="22"/>
        </w:rPr>
        <w:t xml:space="preserve"> de dicha tasa</w:t>
      </w:r>
      <w:r w:rsidRPr="002A3E43">
        <w:rPr>
          <w:rFonts w:asciiTheme="majorHAnsi" w:eastAsia="Times New Roman" w:hAnsiTheme="majorHAnsi" w:cstheme="majorHAnsi"/>
          <w:color w:val="000000"/>
          <w:sz w:val="22"/>
          <w:szCs w:val="22"/>
        </w:rPr>
        <w:t>.</w:t>
      </w:r>
      <w:r w:rsidRPr="002A3E43">
        <w:rPr>
          <w:rStyle w:val="FootnoteReference"/>
          <w:rFonts w:asciiTheme="majorHAnsi" w:eastAsia="Times New Roman" w:hAnsiTheme="majorHAnsi" w:cstheme="majorHAnsi"/>
          <w:color w:val="000000"/>
          <w:sz w:val="22"/>
          <w:szCs w:val="22"/>
        </w:rPr>
        <w:footnoteReference w:id="13"/>
      </w:r>
      <w:r w:rsidRPr="002A3E43">
        <w:rPr>
          <w:rFonts w:asciiTheme="majorHAnsi" w:eastAsia="Times New Roman" w:hAnsiTheme="majorHAnsi" w:cstheme="majorHAnsi"/>
          <w:color w:val="000000"/>
          <w:sz w:val="22"/>
          <w:szCs w:val="22"/>
        </w:rPr>
        <w:t xml:space="preserve"> </w:t>
      </w:r>
    </w:p>
    <w:p w:rsidR="000C57BD" w:rsidRPr="002A3E43" w:rsidRDefault="000C57BD" w:rsidP="00DD746C">
      <w:pPr>
        <w:pStyle w:val="ListParagraph"/>
        <w:spacing w:before="100" w:beforeAutospacing="1" w:after="100" w:afterAutospacing="1"/>
        <w:ind w:left="360"/>
        <w:jc w:val="both"/>
        <w:rPr>
          <w:rFonts w:asciiTheme="majorHAnsi" w:hAnsiTheme="majorHAnsi" w:cstheme="majorHAnsi"/>
          <w:color w:val="000000"/>
          <w:sz w:val="22"/>
          <w:szCs w:val="22"/>
        </w:rPr>
      </w:pPr>
    </w:p>
    <w:p w:rsidR="000C57BD" w:rsidRPr="002A3E43" w:rsidRDefault="000C57BD" w:rsidP="00DD746C">
      <w:pPr>
        <w:pStyle w:val="ListParagraph"/>
        <w:numPr>
          <w:ilvl w:val="0"/>
          <w:numId w:val="2"/>
        </w:numPr>
        <w:spacing w:before="100" w:beforeAutospacing="1" w:after="100" w:afterAutospacing="1"/>
        <w:ind w:left="360"/>
        <w:jc w:val="both"/>
        <w:rPr>
          <w:rFonts w:asciiTheme="majorHAnsi" w:eastAsia="Times New Roman" w:hAnsiTheme="majorHAnsi" w:cstheme="majorHAnsi"/>
          <w:color w:val="222222"/>
          <w:sz w:val="22"/>
          <w:szCs w:val="22"/>
          <w:lang w:val="es-PE"/>
        </w:rPr>
      </w:pPr>
      <w:r w:rsidRPr="002A3E43">
        <w:rPr>
          <w:rFonts w:asciiTheme="majorHAnsi" w:hAnsiTheme="majorHAnsi" w:cstheme="majorHAnsi"/>
          <w:b/>
          <w:i/>
          <w:sz w:val="22"/>
          <w:szCs w:val="22"/>
          <w:lang w:val="es-PE"/>
        </w:rPr>
        <w:t>Otras tasas</w:t>
      </w:r>
      <w:r w:rsidRPr="002A3E43">
        <w:rPr>
          <w:rFonts w:asciiTheme="majorHAnsi" w:hAnsiTheme="majorHAnsi" w:cstheme="majorHAnsi"/>
          <w:sz w:val="22"/>
          <w:szCs w:val="22"/>
          <w:lang w:val="es-PE"/>
        </w:rPr>
        <w:t xml:space="preserve">. En la actualidad existen ciertos cargos por cobro de terceros que son tasas ajenas al servicio brindado y que no son universales, correspondientes al pago de deuda por conceptos en los que el usuario se ha comprometido / bienes adquiridos. Por ejemplo, existe un cobro por concepto de la campaña </w:t>
      </w:r>
      <w:r w:rsidR="00B17B36">
        <w:rPr>
          <w:rFonts w:asciiTheme="majorHAnsi" w:hAnsiTheme="majorHAnsi" w:cstheme="majorHAnsi"/>
          <w:sz w:val="22"/>
          <w:szCs w:val="22"/>
          <w:lang w:val="es-PE"/>
        </w:rPr>
        <w:t xml:space="preserve">de lectura </w:t>
      </w:r>
      <w:r w:rsidRPr="002A3E43">
        <w:rPr>
          <w:rFonts w:asciiTheme="majorHAnsi" w:hAnsiTheme="majorHAnsi" w:cstheme="majorHAnsi"/>
          <w:i/>
          <w:sz w:val="22"/>
          <w:szCs w:val="22"/>
          <w:lang w:val="es-PE"/>
        </w:rPr>
        <w:t>Eugenio Espejo</w:t>
      </w:r>
      <w:r w:rsidRPr="002A3E43">
        <w:rPr>
          <w:rFonts w:asciiTheme="majorHAnsi" w:hAnsiTheme="majorHAnsi" w:cstheme="majorHAnsi"/>
          <w:sz w:val="22"/>
          <w:szCs w:val="22"/>
          <w:vertAlign w:val="superscript"/>
          <w:lang w:val="es-PE"/>
        </w:rPr>
        <w:footnoteReference w:id="14"/>
      </w:r>
      <w:r w:rsidR="00982792">
        <w:rPr>
          <w:rFonts w:asciiTheme="majorHAnsi" w:hAnsiTheme="majorHAnsi" w:cstheme="majorHAnsi"/>
          <w:sz w:val="22"/>
          <w:szCs w:val="22"/>
          <w:lang w:val="es-PE"/>
        </w:rPr>
        <w:t xml:space="preserve">. </w:t>
      </w:r>
      <w:r w:rsidRPr="002A3E43">
        <w:rPr>
          <w:rFonts w:asciiTheme="majorHAnsi" w:hAnsiTheme="majorHAnsi" w:cstheme="majorHAnsi"/>
          <w:sz w:val="22"/>
          <w:szCs w:val="22"/>
          <w:lang w:val="es-PE"/>
        </w:rPr>
        <w:t xml:space="preserve">También se pueden cobrar cuotas mensuales </w:t>
      </w:r>
      <w:r w:rsidRPr="002A3E43">
        <w:rPr>
          <w:rFonts w:asciiTheme="majorHAnsi" w:eastAsia="Times New Roman" w:hAnsiTheme="majorHAnsi" w:cstheme="majorHAnsi"/>
          <w:color w:val="222222"/>
          <w:sz w:val="22"/>
          <w:szCs w:val="22"/>
          <w:lang w:val="es-PE"/>
        </w:rPr>
        <w:t>del financiamiento de las cocinas de inducción del Programa PEC</w:t>
      </w:r>
      <w:r w:rsidRPr="002A3E43">
        <w:rPr>
          <w:rStyle w:val="FootnoteReference"/>
          <w:rFonts w:asciiTheme="majorHAnsi" w:eastAsia="Times New Roman" w:hAnsiTheme="majorHAnsi" w:cstheme="majorHAnsi"/>
          <w:color w:val="222222"/>
          <w:sz w:val="22"/>
          <w:szCs w:val="22"/>
          <w:lang w:val="es-PE"/>
        </w:rPr>
        <w:footnoteReference w:id="15"/>
      </w:r>
      <w:r w:rsidRPr="002A3E43">
        <w:rPr>
          <w:rFonts w:asciiTheme="majorHAnsi" w:eastAsia="Times New Roman" w:hAnsiTheme="majorHAnsi" w:cstheme="majorHAnsi"/>
          <w:color w:val="222222"/>
          <w:sz w:val="22"/>
          <w:szCs w:val="22"/>
          <w:lang w:val="es-PE"/>
        </w:rPr>
        <w:t xml:space="preserve"> y de refrigeradoras del Plan RENOVA</w:t>
      </w:r>
      <w:r w:rsidRPr="002A3E43">
        <w:rPr>
          <w:rStyle w:val="FootnoteReference"/>
          <w:rFonts w:asciiTheme="majorHAnsi" w:eastAsia="Times New Roman" w:hAnsiTheme="majorHAnsi" w:cstheme="majorHAnsi"/>
          <w:color w:val="222222"/>
          <w:sz w:val="22"/>
          <w:szCs w:val="22"/>
          <w:lang w:val="es-PE"/>
        </w:rPr>
        <w:footnoteReference w:id="16"/>
      </w:r>
      <w:r w:rsidRPr="002A3E43">
        <w:rPr>
          <w:rFonts w:asciiTheme="majorHAnsi" w:eastAsia="Times New Roman" w:hAnsiTheme="majorHAnsi" w:cstheme="majorHAnsi"/>
          <w:color w:val="222222"/>
          <w:sz w:val="22"/>
          <w:szCs w:val="22"/>
          <w:lang w:val="es-PE"/>
        </w:rPr>
        <w:t>, las cuales el usuario adquiere y se compromete a pagar a través de la factura de electricidad.</w:t>
      </w:r>
      <w:r w:rsidR="007800A6">
        <w:rPr>
          <w:rFonts w:asciiTheme="majorHAnsi" w:eastAsia="Times New Roman" w:hAnsiTheme="majorHAnsi" w:cstheme="majorHAnsi"/>
          <w:color w:val="222222"/>
          <w:sz w:val="22"/>
          <w:szCs w:val="22"/>
          <w:lang w:val="es-PE"/>
        </w:rPr>
        <w:t xml:space="preserve"> </w:t>
      </w:r>
    </w:p>
    <w:p w:rsidR="000C57BD" w:rsidRDefault="000C57BD"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Considerando los cargos de bomberos y recolección de basura, </w:t>
      </w:r>
      <w:r w:rsidR="00982792">
        <w:rPr>
          <w:rFonts w:asciiTheme="majorHAnsi" w:hAnsiTheme="majorHAnsi" w:cstheme="majorHAnsi"/>
          <w:sz w:val="22"/>
          <w:szCs w:val="22"/>
        </w:rPr>
        <w:t xml:space="preserve">estos </w:t>
      </w:r>
      <w:r w:rsidRPr="002A3E43">
        <w:rPr>
          <w:rFonts w:asciiTheme="majorHAnsi" w:hAnsiTheme="majorHAnsi" w:cstheme="majorHAnsi"/>
          <w:sz w:val="22"/>
          <w:szCs w:val="22"/>
        </w:rPr>
        <w:t xml:space="preserve">pueden llegar a representar conjuntamente hasta un </w:t>
      </w:r>
      <w:r w:rsidR="004C459F" w:rsidRPr="002A3E43">
        <w:rPr>
          <w:rFonts w:asciiTheme="majorHAnsi" w:hAnsiTheme="majorHAnsi" w:cstheme="majorHAnsi"/>
          <w:sz w:val="22"/>
          <w:szCs w:val="22"/>
        </w:rPr>
        <w:t>36</w:t>
      </w:r>
      <w:r w:rsidRPr="002A3E43">
        <w:rPr>
          <w:rFonts w:asciiTheme="majorHAnsi" w:hAnsiTheme="majorHAnsi" w:cstheme="majorHAnsi"/>
          <w:sz w:val="22"/>
          <w:szCs w:val="22"/>
        </w:rPr>
        <w:t xml:space="preserve"> por ciento de la factura total de electricidad de una familia de bajos ingresos. </w:t>
      </w:r>
      <w:bookmarkStart w:id="2" w:name="_Hlk491767156"/>
      <w:r w:rsidRPr="002A3E43">
        <w:rPr>
          <w:rFonts w:asciiTheme="majorHAnsi" w:hAnsiTheme="majorHAnsi" w:cstheme="majorHAnsi"/>
          <w:sz w:val="22"/>
          <w:szCs w:val="22"/>
        </w:rPr>
        <w:t>Para obtener este cálculo, se han analizado facturas de electricidad del segundo distribuidor principal de electricidad, la Empresa Eléctrica de Quito,</w:t>
      </w:r>
      <w:r w:rsidR="00982792">
        <w:rPr>
          <w:rStyle w:val="FootnoteReference"/>
          <w:rFonts w:asciiTheme="majorHAnsi" w:hAnsiTheme="majorHAnsi" w:cstheme="majorHAnsi"/>
          <w:sz w:val="22"/>
          <w:szCs w:val="22"/>
        </w:rPr>
        <w:footnoteReference w:id="17"/>
      </w:r>
      <w:r w:rsidRPr="002A3E43">
        <w:rPr>
          <w:rFonts w:asciiTheme="majorHAnsi" w:hAnsiTheme="majorHAnsi" w:cstheme="majorHAnsi"/>
          <w:sz w:val="22"/>
          <w:szCs w:val="22"/>
        </w:rPr>
        <w:t xml:space="preserve"> para hogares de diferentes niveles de ingreso. Estos datos se han cruzado con el gasto en electricidad promedio de los hogares por quintil de ingreso obtenido de la Encuesta Nacional de Ingresos y </w:t>
      </w:r>
      <w:r w:rsidRPr="002A3E43">
        <w:rPr>
          <w:rFonts w:asciiTheme="majorHAnsi" w:hAnsiTheme="majorHAnsi" w:cstheme="majorHAnsi"/>
          <w:sz w:val="22"/>
          <w:szCs w:val="22"/>
        </w:rPr>
        <w:lastRenderedPageBreak/>
        <w:t>Gastos de los Hogares Urbanos y Rurales.</w:t>
      </w:r>
      <w:r w:rsidRPr="002A3E43">
        <w:rPr>
          <w:rStyle w:val="FootnoteReference"/>
          <w:rFonts w:asciiTheme="majorHAnsi" w:hAnsiTheme="majorHAnsi" w:cstheme="majorHAnsi"/>
          <w:sz w:val="22"/>
          <w:szCs w:val="22"/>
        </w:rPr>
        <w:footnoteReference w:id="18"/>
      </w:r>
      <w:r w:rsidRPr="002A3E43">
        <w:rPr>
          <w:rFonts w:asciiTheme="majorHAnsi" w:hAnsiTheme="majorHAnsi" w:cstheme="majorHAnsi"/>
          <w:sz w:val="22"/>
          <w:szCs w:val="22"/>
        </w:rPr>
        <w:t xml:space="preserve"> </w:t>
      </w:r>
      <w:bookmarkEnd w:id="2"/>
      <w:r w:rsidRPr="002A3E43">
        <w:rPr>
          <w:rFonts w:asciiTheme="majorHAnsi" w:hAnsiTheme="majorHAnsi" w:cstheme="majorHAnsi"/>
          <w:sz w:val="22"/>
          <w:szCs w:val="22"/>
        </w:rPr>
        <w:t xml:space="preserve">Así, para los hogares de ingreso bajo, el tributo por bomberos representaría aproximadamente </w:t>
      </w:r>
      <w:r w:rsidR="0076131B" w:rsidRPr="002A3E43">
        <w:rPr>
          <w:rFonts w:asciiTheme="majorHAnsi" w:hAnsiTheme="majorHAnsi" w:cstheme="majorHAnsi"/>
          <w:sz w:val="22"/>
          <w:szCs w:val="22"/>
        </w:rPr>
        <w:t xml:space="preserve">un </w:t>
      </w:r>
      <w:r w:rsidRPr="002A3E43">
        <w:rPr>
          <w:rFonts w:asciiTheme="majorHAnsi" w:hAnsiTheme="majorHAnsi" w:cstheme="majorHAnsi"/>
          <w:sz w:val="22"/>
          <w:szCs w:val="22"/>
        </w:rPr>
        <w:t>27</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de la factura eléctrica, mientras que para los hogares de ingreso alto representaría aproximadamente </w:t>
      </w:r>
      <w:r w:rsidR="0076131B" w:rsidRPr="002A3E43">
        <w:rPr>
          <w:rFonts w:asciiTheme="majorHAnsi" w:hAnsiTheme="majorHAnsi" w:cstheme="majorHAnsi"/>
          <w:sz w:val="22"/>
          <w:szCs w:val="22"/>
        </w:rPr>
        <w:t xml:space="preserve">un </w:t>
      </w:r>
      <w:r w:rsidRPr="002A3E43">
        <w:rPr>
          <w:rFonts w:asciiTheme="majorHAnsi" w:hAnsiTheme="majorHAnsi" w:cstheme="majorHAnsi"/>
          <w:sz w:val="22"/>
          <w:szCs w:val="22"/>
        </w:rPr>
        <w:t>6</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En cuanto a la tasa de recolección de basura, </w:t>
      </w:r>
      <w:r w:rsidR="00982792">
        <w:rPr>
          <w:rFonts w:asciiTheme="majorHAnsi" w:hAnsiTheme="majorHAnsi" w:cstheme="majorHAnsi"/>
          <w:sz w:val="22"/>
          <w:szCs w:val="22"/>
        </w:rPr>
        <w:t xml:space="preserve">ésta </w:t>
      </w:r>
      <w:r w:rsidRPr="002A3E43">
        <w:rPr>
          <w:rFonts w:asciiTheme="majorHAnsi" w:hAnsiTheme="majorHAnsi" w:cstheme="majorHAnsi"/>
          <w:sz w:val="22"/>
          <w:szCs w:val="22"/>
        </w:rPr>
        <w:t xml:space="preserve">representaría aproximadamente </w:t>
      </w:r>
      <w:r w:rsidR="0076131B" w:rsidRPr="002A3E43">
        <w:rPr>
          <w:rFonts w:asciiTheme="majorHAnsi" w:hAnsiTheme="majorHAnsi" w:cstheme="majorHAnsi"/>
          <w:sz w:val="22"/>
          <w:szCs w:val="22"/>
        </w:rPr>
        <w:t xml:space="preserve">un </w:t>
      </w:r>
      <w:r w:rsidRPr="002A3E43">
        <w:rPr>
          <w:rFonts w:asciiTheme="majorHAnsi" w:hAnsiTheme="majorHAnsi" w:cstheme="majorHAnsi"/>
          <w:sz w:val="22"/>
          <w:szCs w:val="22"/>
        </w:rPr>
        <w:t>9</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para los hogares de ingreso bajo, mientras que para los hogares de ingreso alto representaría </w:t>
      </w:r>
      <w:r w:rsidR="0076131B" w:rsidRPr="002A3E43">
        <w:rPr>
          <w:rFonts w:asciiTheme="majorHAnsi" w:hAnsiTheme="majorHAnsi" w:cstheme="majorHAnsi"/>
          <w:sz w:val="22"/>
          <w:szCs w:val="22"/>
        </w:rPr>
        <w:t xml:space="preserve">un </w:t>
      </w:r>
      <w:r w:rsidRPr="002A3E43">
        <w:rPr>
          <w:rFonts w:asciiTheme="majorHAnsi" w:hAnsiTheme="majorHAnsi" w:cstheme="majorHAnsi"/>
          <w:sz w:val="22"/>
          <w:szCs w:val="22"/>
        </w:rPr>
        <w:t>17</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de la factura total de electricidad (figura </w:t>
      </w:r>
      <w:r w:rsidR="0076131B" w:rsidRPr="002A3E43">
        <w:rPr>
          <w:rFonts w:asciiTheme="majorHAnsi" w:hAnsiTheme="majorHAnsi" w:cstheme="majorHAnsi"/>
          <w:sz w:val="22"/>
          <w:szCs w:val="22"/>
        </w:rPr>
        <w:t>3</w:t>
      </w:r>
      <w:r w:rsidRPr="002A3E43">
        <w:rPr>
          <w:rFonts w:asciiTheme="majorHAnsi" w:hAnsiTheme="majorHAnsi" w:cstheme="majorHAnsi"/>
          <w:sz w:val="22"/>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DD746C" w:rsidTr="00DD746C">
        <w:trPr>
          <w:jc w:val="center"/>
        </w:trPr>
        <w:tc>
          <w:tcPr>
            <w:tcW w:w="8488" w:type="dxa"/>
          </w:tcPr>
          <w:p w:rsidR="00DD746C" w:rsidRPr="00DD746C" w:rsidRDefault="00DD746C" w:rsidP="00DD746C">
            <w:pPr>
              <w:spacing w:before="100" w:beforeAutospacing="1" w:after="100" w:afterAutospacing="1"/>
              <w:jc w:val="center"/>
              <w:rPr>
                <w:rFonts w:asciiTheme="majorHAnsi" w:hAnsiTheme="majorHAnsi" w:cstheme="majorHAnsi"/>
                <w:b/>
                <w:lang w:val="es-PE"/>
              </w:rPr>
            </w:pPr>
            <w:r w:rsidRPr="002A3E43">
              <w:rPr>
                <w:rFonts w:asciiTheme="majorHAnsi" w:hAnsiTheme="majorHAnsi" w:cstheme="majorHAnsi"/>
                <w:b/>
                <w:lang w:val="es-PE"/>
              </w:rPr>
              <w:t xml:space="preserve">Figura </w:t>
            </w:r>
            <w:r w:rsidR="009079C6" w:rsidRPr="009079C6">
              <w:rPr>
                <w:rFonts w:asciiTheme="majorHAnsi" w:hAnsiTheme="majorHAnsi" w:cstheme="majorHAnsi"/>
                <w:b/>
                <w:iCs/>
              </w:rPr>
              <w:fldChar w:fldCharType="begin"/>
            </w:r>
            <w:r w:rsidR="009079C6" w:rsidRPr="009079C6">
              <w:rPr>
                <w:rFonts w:asciiTheme="majorHAnsi" w:hAnsiTheme="majorHAnsi" w:cstheme="majorHAnsi"/>
                <w:b/>
                <w:iCs/>
                <w:lang w:val="es-ES_tradnl"/>
              </w:rPr>
              <w:instrText xml:space="preserve"> SEQ Figura \* ARABIC </w:instrText>
            </w:r>
            <w:r w:rsidR="009079C6" w:rsidRPr="009079C6">
              <w:rPr>
                <w:rFonts w:asciiTheme="majorHAnsi" w:hAnsiTheme="majorHAnsi" w:cstheme="majorHAnsi"/>
                <w:b/>
                <w:iCs/>
              </w:rPr>
              <w:fldChar w:fldCharType="separate"/>
            </w:r>
            <w:r w:rsidR="009079C6">
              <w:rPr>
                <w:rFonts w:asciiTheme="majorHAnsi" w:hAnsiTheme="majorHAnsi" w:cstheme="majorHAnsi"/>
                <w:b/>
                <w:iCs/>
                <w:noProof/>
                <w:lang w:val="es-ES_tradnl"/>
              </w:rPr>
              <w:t>3</w:t>
            </w:r>
            <w:r w:rsidR="009079C6" w:rsidRPr="009079C6">
              <w:rPr>
                <w:rFonts w:asciiTheme="majorHAnsi" w:hAnsiTheme="majorHAnsi" w:cstheme="majorHAnsi"/>
                <w:b/>
                <w:iCs/>
              </w:rPr>
              <w:fldChar w:fldCharType="end"/>
            </w:r>
            <w:r w:rsidRPr="009079C6">
              <w:rPr>
                <w:rFonts w:asciiTheme="majorHAnsi" w:hAnsiTheme="majorHAnsi" w:cstheme="majorHAnsi"/>
                <w:b/>
                <w:lang w:val="es-PE"/>
              </w:rPr>
              <w:t>.</w:t>
            </w:r>
            <w:r w:rsidRPr="002A3E43">
              <w:rPr>
                <w:rFonts w:asciiTheme="majorHAnsi" w:hAnsiTheme="majorHAnsi" w:cstheme="majorHAnsi"/>
                <w:b/>
                <w:lang w:val="es-PE"/>
              </w:rPr>
              <w:t xml:space="preserve"> Carga relativa de </w:t>
            </w:r>
            <w:r>
              <w:rPr>
                <w:rFonts w:asciiTheme="majorHAnsi" w:hAnsiTheme="majorHAnsi" w:cstheme="majorHAnsi"/>
                <w:b/>
                <w:lang w:val="es-PE"/>
              </w:rPr>
              <w:t>tasas</w:t>
            </w:r>
            <w:r w:rsidRPr="002A3E43">
              <w:rPr>
                <w:rFonts w:asciiTheme="majorHAnsi" w:hAnsiTheme="majorHAnsi" w:cstheme="majorHAnsi"/>
                <w:b/>
                <w:lang w:val="es-PE"/>
              </w:rPr>
              <w:t xml:space="preserve"> no relacionad</w:t>
            </w:r>
            <w:r>
              <w:rPr>
                <w:rFonts w:asciiTheme="majorHAnsi" w:hAnsiTheme="majorHAnsi" w:cstheme="majorHAnsi"/>
                <w:b/>
                <w:lang w:val="es-PE"/>
              </w:rPr>
              <w:t>a</w:t>
            </w:r>
            <w:r w:rsidRPr="002A3E43">
              <w:rPr>
                <w:rFonts w:asciiTheme="majorHAnsi" w:hAnsiTheme="majorHAnsi" w:cstheme="majorHAnsi"/>
                <w:b/>
                <w:lang w:val="es-PE"/>
              </w:rPr>
              <w:t xml:space="preserve">s al servicio eléctrico en la factura de Electricidad </w:t>
            </w:r>
            <w:r w:rsidR="002D31E8">
              <w:rPr>
                <w:rFonts w:asciiTheme="majorHAnsi" w:hAnsiTheme="majorHAnsi" w:cstheme="majorHAnsi"/>
                <w:b/>
                <w:lang w:val="es-PE"/>
              </w:rPr>
              <w:t xml:space="preserve">en Ecuador, </w:t>
            </w:r>
            <w:r w:rsidRPr="002A3E43">
              <w:rPr>
                <w:rFonts w:asciiTheme="majorHAnsi" w:hAnsiTheme="majorHAnsi" w:cstheme="majorHAnsi"/>
                <w:b/>
                <w:lang w:val="es-PE"/>
              </w:rPr>
              <w:t>según nivel de ingreso</w:t>
            </w:r>
            <w:r w:rsidR="002D31E8">
              <w:rPr>
                <w:rFonts w:asciiTheme="majorHAnsi" w:hAnsiTheme="majorHAnsi" w:cstheme="majorHAnsi"/>
                <w:b/>
                <w:lang w:val="es-PE"/>
              </w:rPr>
              <w:t>, 2017</w:t>
            </w:r>
          </w:p>
        </w:tc>
      </w:tr>
      <w:tr w:rsidR="00DD746C" w:rsidTr="00DD746C">
        <w:trPr>
          <w:jc w:val="center"/>
        </w:trPr>
        <w:tc>
          <w:tcPr>
            <w:tcW w:w="8488" w:type="dxa"/>
          </w:tcPr>
          <w:p w:rsidR="00DD746C" w:rsidRDefault="00DD746C" w:rsidP="00DD746C">
            <w:pPr>
              <w:spacing w:before="100" w:beforeAutospacing="1" w:after="100" w:afterAutospacing="1"/>
              <w:jc w:val="center"/>
              <w:rPr>
                <w:rFonts w:asciiTheme="majorHAnsi" w:hAnsiTheme="majorHAnsi" w:cstheme="majorHAnsi"/>
              </w:rPr>
            </w:pPr>
            <w:r w:rsidRPr="002A3E43">
              <w:rPr>
                <w:rFonts w:asciiTheme="majorHAnsi" w:hAnsiTheme="majorHAnsi" w:cstheme="majorHAnsi"/>
                <w:noProof/>
              </w:rPr>
              <w:drawing>
                <wp:inline distT="0" distB="0" distL="0" distR="0" wp14:anchorId="78F20C37" wp14:editId="699B2F05">
                  <wp:extent cx="4356100" cy="25273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6100" cy="2527300"/>
                          </a:xfrm>
                          <a:prstGeom prst="rect">
                            <a:avLst/>
                          </a:prstGeom>
                          <a:noFill/>
                          <a:ln>
                            <a:noFill/>
                          </a:ln>
                        </pic:spPr>
                      </pic:pic>
                    </a:graphicData>
                  </a:graphic>
                </wp:inline>
              </w:drawing>
            </w:r>
          </w:p>
        </w:tc>
      </w:tr>
      <w:tr w:rsidR="00DD746C" w:rsidTr="00DD746C">
        <w:trPr>
          <w:jc w:val="center"/>
        </w:trPr>
        <w:tc>
          <w:tcPr>
            <w:tcW w:w="8488" w:type="dxa"/>
          </w:tcPr>
          <w:p w:rsidR="00DD746C" w:rsidRPr="00DD746C" w:rsidRDefault="00DD746C" w:rsidP="00A15206">
            <w:pPr>
              <w:spacing w:before="100" w:beforeAutospacing="1" w:after="100" w:afterAutospacing="1"/>
              <w:jc w:val="both"/>
              <w:rPr>
                <w:rFonts w:asciiTheme="majorHAnsi" w:hAnsiTheme="majorHAnsi" w:cstheme="majorHAnsi"/>
                <w:sz w:val="18"/>
                <w:szCs w:val="18"/>
                <w:lang w:val="es-PE"/>
              </w:rPr>
            </w:pPr>
            <w:r w:rsidRPr="00F73F2B">
              <w:rPr>
                <w:rFonts w:asciiTheme="majorHAnsi" w:hAnsiTheme="majorHAnsi" w:cstheme="majorHAnsi"/>
                <w:sz w:val="18"/>
                <w:szCs w:val="18"/>
                <w:lang w:val="es-PE"/>
              </w:rPr>
              <w:t xml:space="preserve">Fuente: Arconel y </w:t>
            </w:r>
            <w:r w:rsidR="00F73F2B" w:rsidRPr="00F73F2B">
              <w:rPr>
                <w:rFonts w:asciiTheme="majorHAnsi" w:hAnsiTheme="majorHAnsi" w:cstheme="majorHAnsi"/>
                <w:sz w:val="18"/>
                <w:szCs w:val="18"/>
                <w:lang w:val="es-PE"/>
              </w:rPr>
              <w:t>Encuesta Nacional de Ingresos y Gastos de los Hogares Urbanos y Rurales</w:t>
            </w:r>
            <w:r w:rsidR="00F73F2B">
              <w:rPr>
                <w:rFonts w:asciiTheme="majorHAnsi" w:hAnsiTheme="majorHAnsi" w:cstheme="majorHAnsi"/>
                <w:sz w:val="18"/>
                <w:szCs w:val="18"/>
                <w:lang w:val="es-PE"/>
              </w:rPr>
              <w:t xml:space="preserve"> de Ecuador (</w:t>
            </w:r>
            <w:r w:rsidR="00F73F2B" w:rsidRPr="00F73F2B">
              <w:rPr>
                <w:rFonts w:asciiTheme="majorHAnsi" w:hAnsiTheme="majorHAnsi" w:cstheme="majorHAnsi"/>
                <w:sz w:val="18"/>
                <w:szCs w:val="18"/>
                <w:lang w:val="es-PE"/>
              </w:rPr>
              <w:t>2011/2012</w:t>
            </w:r>
            <w:r w:rsidR="00F73F2B">
              <w:rPr>
                <w:rFonts w:asciiTheme="majorHAnsi" w:hAnsiTheme="majorHAnsi" w:cstheme="majorHAnsi"/>
                <w:sz w:val="18"/>
                <w:szCs w:val="18"/>
                <w:lang w:val="es-PE"/>
              </w:rPr>
              <w:t>)</w:t>
            </w:r>
            <w:r w:rsidR="00F73F2B" w:rsidRPr="00F73F2B">
              <w:rPr>
                <w:rFonts w:asciiTheme="majorHAnsi" w:hAnsiTheme="majorHAnsi" w:cstheme="majorHAnsi"/>
                <w:sz w:val="18"/>
                <w:szCs w:val="18"/>
                <w:lang w:val="es-PE"/>
              </w:rPr>
              <w:t>.</w:t>
            </w:r>
          </w:p>
        </w:tc>
      </w:tr>
    </w:tbl>
    <w:p w:rsidR="000C57BD" w:rsidRPr="002A3E43" w:rsidRDefault="007800A6" w:rsidP="00A15206">
      <w:pPr>
        <w:spacing w:before="100" w:beforeAutospacing="1" w:after="100" w:afterAutospacing="1"/>
        <w:jc w:val="both"/>
        <w:rPr>
          <w:rFonts w:asciiTheme="majorHAnsi" w:hAnsiTheme="majorHAnsi" w:cstheme="majorHAnsi"/>
          <w:sz w:val="22"/>
          <w:szCs w:val="22"/>
          <w:lang w:val="es-PE"/>
        </w:rPr>
      </w:pPr>
      <w:r w:rsidRPr="007800A6">
        <w:rPr>
          <w:rFonts w:asciiTheme="majorHAnsi" w:hAnsiTheme="majorHAnsi" w:cstheme="majorHAnsi"/>
          <w:sz w:val="22"/>
          <w:szCs w:val="22"/>
          <w:lang w:val="es-PE"/>
        </w:rPr>
        <w:t>Históricamente la Ley Orgánica de Municipalidades se encontraba por encima de rango de la Ley Eléctrica. Por este motivo los municipios tenían la facultad de incluir tasas adicionales a los cargos no asociados con el servicio eléctrico y así se incorporaron las tasas mencionadas y otras.</w:t>
      </w:r>
      <w:r>
        <w:rPr>
          <w:lang w:val="es-PE"/>
        </w:rPr>
        <w:t xml:space="preserve"> </w:t>
      </w:r>
      <w:r w:rsidRPr="007800A6">
        <w:rPr>
          <w:rFonts w:asciiTheme="majorHAnsi" w:hAnsiTheme="majorHAnsi" w:cstheme="majorHAnsi"/>
          <w:sz w:val="22"/>
          <w:szCs w:val="22"/>
          <w:lang w:val="es-PE"/>
        </w:rPr>
        <w:t>Pero e</w:t>
      </w:r>
      <w:r w:rsidR="000C57BD" w:rsidRPr="002A3E43">
        <w:rPr>
          <w:rFonts w:asciiTheme="majorHAnsi" w:hAnsiTheme="majorHAnsi" w:cstheme="majorHAnsi"/>
          <w:sz w:val="22"/>
          <w:szCs w:val="22"/>
          <w:lang w:val="es-PE"/>
        </w:rPr>
        <w:t xml:space="preserve">n la actualidad, existen ciertas discrepancias en el país en cuanto a la idoneidad del cargo de estas tasas en la factura eléctrica. </w:t>
      </w:r>
      <w:r>
        <w:rPr>
          <w:rFonts w:asciiTheme="majorHAnsi" w:hAnsiTheme="majorHAnsi" w:cstheme="majorHAnsi"/>
          <w:sz w:val="22"/>
          <w:szCs w:val="22"/>
          <w:lang w:val="es-PE"/>
        </w:rPr>
        <w:t>An</w:t>
      </w:r>
      <w:r w:rsidR="000C57BD" w:rsidRPr="002A3E43">
        <w:rPr>
          <w:rFonts w:asciiTheme="majorHAnsi" w:hAnsiTheme="majorHAnsi" w:cstheme="majorHAnsi"/>
          <w:sz w:val="22"/>
          <w:szCs w:val="22"/>
          <w:lang w:val="es-PE"/>
        </w:rPr>
        <w:t xml:space="preserve">te las posibles distorsiones generadas, se enfrenta la necesidad de </w:t>
      </w:r>
      <w:r w:rsidR="00C01E0A" w:rsidRPr="002A3E43">
        <w:rPr>
          <w:rFonts w:asciiTheme="majorHAnsi" w:hAnsiTheme="majorHAnsi" w:cstheme="majorHAnsi"/>
          <w:sz w:val="22"/>
          <w:szCs w:val="22"/>
          <w:lang w:val="es-PE"/>
        </w:rPr>
        <w:t>observar</w:t>
      </w:r>
      <w:r w:rsidR="000C57BD" w:rsidRPr="002A3E43">
        <w:rPr>
          <w:rFonts w:asciiTheme="majorHAnsi" w:hAnsiTheme="majorHAnsi" w:cstheme="majorHAnsi"/>
          <w:sz w:val="22"/>
          <w:szCs w:val="22"/>
          <w:lang w:val="es-PE"/>
        </w:rPr>
        <w:t xml:space="preserve"> alternativas viables, donde el cobro a </w:t>
      </w:r>
      <w:r w:rsidR="00C01E0A" w:rsidRPr="002A3E43">
        <w:rPr>
          <w:rFonts w:asciiTheme="majorHAnsi" w:hAnsiTheme="majorHAnsi" w:cstheme="majorHAnsi"/>
          <w:sz w:val="22"/>
          <w:szCs w:val="22"/>
          <w:lang w:val="es-PE"/>
        </w:rPr>
        <w:t>través</w:t>
      </w:r>
      <w:r w:rsidR="000C57BD" w:rsidRPr="002A3E43">
        <w:rPr>
          <w:rFonts w:asciiTheme="majorHAnsi" w:hAnsiTheme="majorHAnsi" w:cstheme="majorHAnsi"/>
          <w:sz w:val="22"/>
          <w:szCs w:val="22"/>
          <w:lang w:val="es-PE"/>
        </w:rPr>
        <w:t xml:space="preserve"> de los arbitrios municipales es frecuentemente considerado como una posibilidad, aunque reconociendo unos niveles de alcance, cobranza y liquidez mucho menores. En cualquier caso, la legislación ecuatoriana contempla la reformulación de estos cargos. La Ley Orgánica del Servicio Público del Servicio Eléctrico</w:t>
      </w:r>
      <w:r w:rsidR="002D1DD1" w:rsidRPr="002A3E43">
        <w:rPr>
          <w:rFonts w:asciiTheme="majorHAnsi" w:hAnsiTheme="majorHAnsi" w:cstheme="majorHAnsi"/>
          <w:sz w:val="22"/>
          <w:szCs w:val="22"/>
          <w:lang w:val="es-PE"/>
        </w:rPr>
        <w:t xml:space="preserve"> – </w:t>
      </w:r>
      <w:r w:rsidR="000C57BD" w:rsidRPr="002A3E43">
        <w:rPr>
          <w:rFonts w:asciiTheme="majorHAnsi" w:hAnsiTheme="majorHAnsi" w:cstheme="majorHAnsi"/>
          <w:sz w:val="22"/>
          <w:szCs w:val="22"/>
          <w:lang w:val="es-PE"/>
        </w:rPr>
        <w:t>LOSPEE</w:t>
      </w:r>
      <w:r w:rsidR="002D1DD1" w:rsidRPr="002A3E43">
        <w:rPr>
          <w:rFonts w:asciiTheme="majorHAnsi" w:hAnsiTheme="majorHAnsi" w:cstheme="majorHAnsi"/>
          <w:sz w:val="22"/>
          <w:szCs w:val="22"/>
          <w:lang w:val="es-PE"/>
        </w:rPr>
        <w:t xml:space="preserve"> del</w:t>
      </w:r>
      <w:r w:rsidR="000C57BD" w:rsidRPr="002A3E43">
        <w:rPr>
          <w:rFonts w:asciiTheme="majorHAnsi" w:hAnsiTheme="majorHAnsi" w:cstheme="majorHAnsi"/>
          <w:sz w:val="22"/>
          <w:szCs w:val="22"/>
          <w:lang w:val="es-PE"/>
        </w:rPr>
        <w:t xml:space="preserve"> 2015</w:t>
      </w:r>
      <w:r w:rsidR="000C57BD" w:rsidRPr="002A3E43">
        <w:rPr>
          <w:rStyle w:val="FootnoteReference"/>
          <w:rFonts w:asciiTheme="majorHAnsi" w:hAnsiTheme="majorHAnsi" w:cstheme="majorHAnsi"/>
          <w:sz w:val="22"/>
          <w:szCs w:val="22"/>
          <w:lang w:val="es-PE"/>
        </w:rPr>
        <w:footnoteReference w:id="19"/>
      </w:r>
      <w:r w:rsidR="000C57BD" w:rsidRPr="002A3E43">
        <w:rPr>
          <w:rFonts w:asciiTheme="majorHAnsi" w:hAnsiTheme="majorHAnsi" w:cstheme="majorHAnsi"/>
          <w:sz w:val="22"/>
          <w:szCs w:val="22"/>
          <w:lang w:val="es-PE"/>
        </w:rPr>
        <w:t xml:space="preserve"> establece en su</w:t>
      </w:r>
      <w:r w:rsidR="000C57BD" w:rsidRPr="002A3E43">
        <w:rPr>
          <w:rFonts w:asciiTheme="majorHAnsi" w:hAnsiTheme="majorHAnsi" w:cstheme="majorHAnsi"/>
          <w:b/>
          <w:bCs/>
          <w:sz w:val="22"/>
          <w:szCs w:val="22"/>
          <w:lang w:val="es-PE"/>
        </w:rPr>
        <w:t xml:space="preserve"> </w:t>
      </w:r>
      <w:r w:rsidR="000C57BD" w:rsidRPr="002A3E43">
        <w:rPr>
          <w:rFonts w:asciiTheme="majorHAnsi" w:hAnsiTheme="majorHAnsi" w:cstheme="majorHAnsi"/>
          <w:bCs/>
          <w:sz w:val="22"/>
          <w:szCs w:val="22"/>
          <w:lang w:val="es-PE"/>
        </w:rPr>
        <w:t xml:space="preserve">artículo 60 </w:t>
      </w:r>
      <w:r w:rsidR="000C57BD" w:rsidRPr="002A3E43">
        <w:rPr>
          <w:rFonts w:asciiTheme="majorHAnsi" w:hAnsiTheme="majorHAnsi" w:cstheme="majorHAnsi"/>
          <w:sz w:val="22"/>
          <w:szCs w:val="22"/>
          <w:lang w:val="es-PE"/>
        </w:rPr>
        <w:t xml:space="preserve">que la factura eléctrica incluirá únicamente los conceptos y servicios que presta la empresa eléctrica de distribución. Así, se elimina la posibilidad que </w:t>
      </w:r>
      <w:r w:rsidR="000C57BD" w:rsidRPr="002A3E43">
        <w:rPr>
          <w:rFonts w:asciiTheme="majorHAnsi" w:eastAsia="Times New Roman" w:hAnsiTheme="majorHAnsi" w:cstheme="majorHAnsi"/>
          <w:color w:val="000000"/>
          <w:sz w:val="22"/>
          <w:szCs w:val="22"/>
          <w:lang w:val="es-PE"/>
        </w:rPr>
        <w:t xml:space="preserve">los GAD, a través de ordenanzas, dispongan del cobro de servicios ajenos al servicio dentro de la factura </w:t>
      </w:r>
      <w:r w:rsidR="000C57BD" w:rsidRPr="002A3E43">
        <w:rPr>
          <w:rFonts w:asciiTheme="majorHAnsi" w:hAnsiTheme="majorHAnsi" w:cstheme="majorHAnsi"/>
          <w:sz w:val="22"/>
          <w:szCs w:val="22"/>
          <w:lang w:val="es-PE"/>
        </w:rPr>
        <w:t>eléctrica</w:t>
      </w:r>
      <w:r w:rsidR="000C57BD" w:rsidRPr="002A3E43">
        <w:rPr>
          <w:rFonts w:asciiTheme="majorHAnsi" w:eastAsia="Times New Roman" w:hAnsiTheme="majorHAnsi" w:cstheme="majorHAnsi"/>
          <w:color w:val="000000"/>
          <w:sz w:val="22"/>
          <w:szCs w:val="22"/>
          <w:lang w:val="es-PE"/>
        </w:rPr>
        <w:t xml:space="preserve">. De esta manera, desaparece en principio la </w:t>
      </w:r>
      <w:r w:rsidR="00C01E0A" w:rsidRPr="002A3E43">
        <w:rPr>
          <w:rFonts w:asciiTheme="majorHAnsi" w:eastAsia="Times New Roman" w:hAnsiTheme="majorHAnsi" w:cstheme="majorHAnsi"/>
          <w:color w:val="000000"/>
          <w:sz w:val="22"/>
          <w:szCs w:val="22"/>
          <w:lang w:val="es-PE"/>
        </w:rPr>
        <w:t>relación</w:t>
      </w:r>
      <w:r w:rsidR="000C57BD" w:rsidRPr="002A3E43">
        <w:rPr>
          <w:rFonts w:asciiTheme="majorHAnsi" w:eastAsia="Times New Roman" w:hAnsiTheme="majorHAnsi" w:cstheme="majorHAnsi"/>
          <w:color w:val="000000"/>
          <w:sz w:val="22"/>
          <w:szCs w:val="22"/>
          <w:lang w:val="es-PE"/>
        </w:rPr>
        <w:t xml:space="preserve"> entre los cargos adicionales y el servicio </w:t>
      </w:r>
      <w:r w:rsidR="00C01E0A" w:rsidRPr="002A3E43">
        <w:rPr>
          <w:rFonts w:asciiTheme="majorHAnsi" w:eastAsia="Times New Roman" w:hAnsiTheme="majorHAnsi" w:cstheme="majorHAnsi"/>
          <w:color w:val="000000"/>
          <w:sz w:val="22"/>
          <w:szCs w:val="22"/>
          <w:lang w:val="es-PE"/>
        </w:rPr>
        <w:t>eléctrico</w:t>
      </w:r>
      <w:r w:rsidR="000C57BD" w:rsidRPr="002A3E43">
        <w:rPr>
          <w:rFonts w:asciiTheme="majorHAnsi" w:eastAsia="Times New Roman" w:hAnsiTheme="majorHAnsi" w:cstheme="majorHAnsi"/>
          <w:color w:val="000000"/>
          <w:sz w:val="22"/>
          <w:szCs w:val="22"/>
          <w:lang w:val="es-PE"/>
        </w:rPr>
        <w:t xml:space="preserve">. Sin embargo, la propia Ley </w:t>
      </w:r>
      <w:r w:rsidR="000C57BD" w:rsidRPr="002A3E43">
        <w:rPr>
          <w:rFonts w:asciiTheme="majorHAnsi" w:hAnsiTheme="majorHAnsi" w:cstheme="majorHAnsi"/>
          <w:sz w:val="22"/>
          <w:szCs w:val="22"/>
          <w:lang w:val="es-PE"/>
        </w:rPr>
        <w:t xml:space="preserve">establece que </w:t>
      </w:r>
      <w:r w:rsidR="000C57BD" w:rsidRPr="002A3E43">
        <w:rPr>
          <w:rFonts w:asciiTheme="majorHAnsi" w:hAnsiTheme="majorHAnsi" w:cstheme="majorHAnsi"/>
          <w:color w:val="000000"/>
          <w:sz w:val="22"/>
          <w:szCs w:val="22"/>
          <w:lang w:val="es-PE"/>
        </w:rPr>
        <w:t xml:space="preserve">el cobro de estos cargos sí puede realizarse mediante facturas independientes anexadas a la factura </w:t>
      </w:r>
      <w:r w:rsidR="000C57BD" w:rsidRPr="002A3E43">
        <w:rPr>
          <w:rFonts w:asciiTheme="majorHAnsi" w:hAnsiTheme="majorHAnsi" w:cstheme="majorHAnsi"/>
          <w:sz w:val="22"/>
          <w:szCs w:val="22"/>
          <w:lang w:val="es-PE"/>
        </w:rPr>
        <w:t>eléctrica previos convenios</w:t>
      </w:r>
      <w:r w:rsidR="000C57BD" w:rsidRPr="002A3E43">
        <w:rPr>
          <w:rFonts w:asciiTheme="majorHAnsi" w:hAnsiTheme="majorHAnsi" w:cstheme="majorHAnsi"/>
          <w:color w:val="000000"/>
          <w:sz w:val="22"/>
          <w:szCs w:val="22"/>
          <w:lang w:val="es-PE"/>
        </w:rPr>
        <w:t xml:space="preserve"> con las empresas eléctricas de distribución.</w:t>
      </w:r>
    </w:p>
    <w:p w:rsidR="000C57BD" w:rsidRDefault="000C57BD" w:rsidP="00A15206">
      <w:pPr>
        <w:spacing w:before="100" w:beforeAutospacing="1" w:after="100" w:afterAutospacing="1"/>
        <w:jc w:val="both"/>
        <w:rPr>
          <w:rFonts w:asciiTheme="majorHAnsi" w:hAnsiTheme="majorHAnsi" w:cstheme="majorHAnsi"/>
          <w:color w:val="000000"/>
          <w:sz w:val="22"/>
          <w:szCs w:val="22"/>
          <w:lang w:val="es-PE"/>
        </w:rPr>
      </w:pPr>
      <w:r w:rsidRPr="002A3E43">
        <w:rPr>
          <w:rFonts w:asciiTheme="majorHAnsi" w:eastAsia="Times New Roman" w:hAnsiTheme="majorHAnsi" w:cstheme="majorHAnsi"/>
          <w:color w:val="000000"/>
          <w:sz w:val="22"/>
          <w:szCs w:val="22"/>
          <w:lang w:val="es-PE"/>
        </w:rPr>
        <w:t>En el caso</w:t>
      </w:r>
      <w:r w:rsidRPr="002A3E43">
        <w:rPr>
          <w:rFonts w:asciiTheme="majorHAnsi" w:hAnsiTheme="majorHAnsi" w:cstheme="majorHAnsi"/>
          <w:bCs/>
          <w:sz w:val="22"/>
          <w:szCs w:val="22"/>
        </w:rPr>
        <w:t xml:space="preserve"> del tributo por bomberos</w:t>
      </w:r>
      <w:r w:rsidRPr="002A3E43">
        <w:rPr>
          <w:rFonts w:asciiTheme="majorHAnsi" w:eastAsia="Times New Roman" w:hAnsiTheme="majorHAnsi" w:cstheme="majorHAnsi"/>
          <w:color w:val="000000"/>
          <w:sz w:val="22"/>
          <w:szCs w:val="22"/>
          <w:lang w:val="es-PE"/>
        </w:rPr>
        <w:t>, inicialmente la LOSPEE contempla la necesidad de un convenio con las empresas distribuidoras y que el cobro se lleve a cabo en una factura independiente. No obstante, en julio de 2017 la Asamblea</w:t>
      </w:r>
      <w:r w:rsidRPr="002A3E43">
        <w:rPr>
          <w:rFonts w:asciiTheme="majorHAnsi" w:eastAsia="Times New Roman" w:hAnsiTheme="majorHAnsi" w:cstheme="majorHAnsi"/>
          <w:color w:val="000000"/>
          <w:sz w:val="22"/>
          <w:szCs w:val="22"/>
          <w:vertAlign w:val="superscript"/>
          <w:lang w:val="es-PE"/>
        </w:rPr>
        <w:t xml:space="preserve"> </w:t>
      </w:r>
      <w:r w:rsidRPr="002A3E43">
        <w:rPr>
          <w:rFonts w:asciiTheme="majorHAnsi" w:eastAsia="Times New Roman" w:hAnsiTheme="majorHAnsi" w:cstheme="majorHAnsi"/>
          <w:color w:val="000000"/>
          <w:sz w:val="22"/>
          <w:szCs w:val="22"/>
          <w:lang w:val="es-PE"/>
        </w:rPr>
        <w:t xml:space="preserve">aprobó el artículo 32 de la Ley de </w:t>
      </w:r>
      <w:r w:rsidRPr="002A3E43">
        <w:rPr>
          <w:rFonts w:asciiTheme="majorHAnsi" w:eastAsia="Times New Roman" w:hAnsiTheme="majorHAnsi" w:cstheme="majorHAnsi"/>
          <w:color w:val="000000"/>
          <w:sz w:val="22"/>
          <w:szCs w:val="22"/>
          <w:lang w:val="es-PE"/>
        </w:rPr>
        <w:lastRenderedPageBreak/>
        <w:t>Defensa contra Incendios</w:t>
      </w:r>
      <w:r w:rsidRPr="002A3E43">
        <w:rPr>
          <w:rFonts w:asciiTheme="majorHAnsi" w:eastAsia="Times New Roman" w:hAnsiTheme="majorHAnsi" w:cstheme="majorHAnsi"/>
          <w:sz w:val="22"/>
          <w:szCs w:val="22"/>
          <w:vertAlign w:val="superscript"/>
        </w:rPr>
        <w:footnoteReference w:id="20"/>
      </w:r>
      <w:r w:rsidRPr="002A3E43">
        <w:rPr>
          <w:rFonts w:asciiTheme="majorHAnsi" w:eastAsia="Times New Roman" w:hAnsiTheme="majorHAnsi" w:cstheme="majorHAnsi"/>
          <w:color w:val="000000"/>
          <w:sz w:val="22"/>
          <w:szCs w:val="22"/>
          <w:lang w:val="es-PE"/>
        </w:rPr>
        <w:t xml:space="preserve"> donde se estableció la obligatoriedad del cobro del tributo por bomberos dentro de la factura</w:t>
      </w:r>
      <w:r w:rsidR="002D31E8">
        <w:rPr>
          <w:rFonts w:asciiTheme="majorHAnsi" w:eastAsia="Times New Roman" w:hAnsiTheme="majorHAnsi" w:cstheme="majorHAnsi"/>
          <w:color w:val="000000"/>
          <w:sz w:val="22"/>
          <w:szCs w:val="22"/>
          <w:lang w:val="es-PE"/>
        </w:rPr>
        <w:t xml:space="preserve"> eléctrica</w:t>
      </w:r>
      <w:r w:rsidRPr="002A3E43">
        <w:rPr>
          <w:rFonts w:asciiTheme="majorHAnsi" w:eastAsia="Times New Roman" w:hAnsiTheme="majorHAnsi" w:cstheme="majorHAnsi"/>
          <w:color w:val="000000"/>
          <w:sz w:val="22"/>
          <w:szCs w:val="22"/>
          <w:lang w:val="es-PE"/>
        </w:rPr>
        <w:t xml:space="preserve">. Es decir, ya no sería necesario realizar convenios entre las empresas eléctricas y los GAD, sino que el </w:t>
      </w:r>
      <w:r w:rsidRPr="002A3E43">
        <w:rPr>
          <w:rFonts w:asciiTheme="majorHAnsi" w:hAnsiTheme="majorHAnsi" w:cstheme="majorHAnsi"/>
          <w:bCs/>
          <w:sz w:val="22"/>
          <w:szCs w:val="22"/>
        </w:rPr>
        <w:t>tributo por bomberos seguirá habilitado para cobrarse siempre en una factura anexa</w:t>
      </w:r>
      <w:r w:rsidRPr="002A3E43">
        <w:rPr>
          <w:rFonts w:asciiTheme="majorHAnsi" w:eastAsia="Times New Roman" w:hAnsiTheme="majorHAnsi" w:cstheme="majorHAnsi"/>
          <w:color w:val="000000"/>
          <w:sz w:val="22"/>
          <w:szCs w:val="22"/>
          <w:lang w:val="es-PE"/>
        </w:rPr>
        <w:t>. En el</w:t>
      </w:r>
      <w:r w:rsidRPr="002A3E43">
        <w:rPr>
          <w:rFonts w:asciiTheme="majorHAnsi" w:hAnsiTheme="majorHAnsi" w:cstheme="majorHAnsi"/>
          <w:color w:val="000000"/>
          <w:sz w:val="22"/>
          <w:szCs w:val="22"/>
          <w:lang w:val="es-PE"/>
        </w:rPr>
        <w:t xml:space="preserve"> caso de la tasa de recolección </w:t>
      </w:r>
      <w:r w:rsidRPr="002A3E43">
        <w:rPr>
          <w:rStyle w:val="Strong"/>
          <w:rFonts w:asciiTheme="majorHAnsi" w:eastAsia="Times New Roman" w:hAnsiTheme="majorHAnsi" w:cstheme="majorHAnsi"/>
          <w:b w:val="0"/>
          <w:color w:val="000000"/>
          <w:sz w:val="22"/>
          <w:szCs w:val="22"/>
          <w:lang w:val="es-PE"/>
        </w:rPr>
        <w:t>de basura, en la actualidad</w:t>
      </w:r>
      <w:r w:rsidRPr="002A3E43">
        <w:rPr>
          <w:rStyle w:val="Strong"/>
          <w:rFonts w:asciiTheme="majorHAnsi" w:eastAsia="Times New Roman" w:hAnsiTheme="majorHAnsi" w:cstheme="majorHAnsi"/>
          <w:color w:val="000000"/>
          <w:sz w:val="22"/>
          <w:szCs w:val="22"/>
          <w:lang w:val="es-PE"/>
        </w:rPr>
        <w:t xml:space="preserve"> </w:t>
      </w:r>
      <w:r w:rsidRPr="002A3E43">
        <w:rPr>
          <w:rFonts w:asciiTheme="majorHAnsi" w:eastAsia="Times New Roman" w:hAnsiTheme="majorHAnsi" w:cstheme="majorHAnsi"/>
          <w:color w:val="000000"/>
          <w:sz w:val="22"/>
          <w:szCs w:val="22"/>
          <w:lang w:val="es-PE"/>
        </w:rPr>
        <w:t>sigue en pie el requerimiento de autorización del regulador (ARCONEL</w:t>
      </w:r>
      <w:r w:rsidRPr="002A3E43">
        <w:rPr>
          <w:rStyle w:val="FootnoteReference"/>
          <w:rFonts w:asciiTheme="majorHAnsi" w:eastAsia="Times New Roman" w:hAnsiTheme="majorHAnsi" w:cstheme="majorHAnsi"/>
          <w:color w:val="000000"/>
          <w:sz w:val="22"/>
          <w:szCs w:val="22"/>
          <w:lang w:val="es-PE"/>
        </w:rPr>
        <w:footnoteReference w:id="21"/>
      </w:r>
      <w:r w:rsidRPr="002A3E43">
        <w:rPr>
          <w:rFonts w:asciiTheme="majorHAnsi" w:eastAsia="Times New Roman" w:hAnsiTheme="majorHAnsi" w:cstheme="majorHAnsi"/>
          <w:color w:val="000000"/>
          <w:sz w:val="22"/>
          <w:szCs w:val="22"/>
          <w:lang w:val="es-PE"/>
        </w:rPr>
        <w:t>) para que se efectúen los convenios de recaudación</w:t>
      </w:r>
      <w:r w:rsidRPr="002A3E43">
        <w:rPr>
          <w:rFonts w:asciiTheme="majorHAnsi" w:hAnsiTheme="majorHAnsi" w:cstheme="majorHAnsi"/>
          <w:color w:val="000000"/>
          <w:sz w:val="22"/>
          <w:szCs w:val="22"/>
          <w:lang w:val="es-PE"/>
        </w:rPr>
        <w:t xml:space="preserve"> con las empresas eléctricas de distribución. </w:t>
      </w:r>
    </w:p>
    <w:p w:rsidR="00026DE8" w:rsidRPr="00026DE8" w:rsidRDefault="00026DE8" w:rsidP="00A15206">
      <w:pPr>
        <w:spacing w:before="100" w:beforeAutospacing="1" w:after="100" w:afterAutospacing="1"/>
        <w:jc w:val="both"/>
        <w:rPr>
          <w:rFonts w:asciiTheme="majorHAnsi" w:hAnsiTheme="majorHAnsi" w:cstheme="majorHAnsi"/>
          <w:color w:val="000000"/>
          <w:sz w:val="22"/>
          <w:szCs w:val="22"/>
          <w:lang w:val="es-PE"/>
        </w:rPr>
      </w:pPr>
      <w:r w:rsidRPr="00026DE8">
        <w:rPr>
          <w:rFonts w:asciiTheme="majorHAnsi" w:hAnsiTheme="majorHAnsi" w:cstheme="majorHAnsi"/>
          <w:color w:val="000000"/>
          <w:sz w:val="22"/>
          <w:szCs w:val="22"/>
          <w:lang w:val="es-PE"/>
        </w:rPr>
        <w:t>Además de la discusión sobre la tasa de recolección de basura y el tributo por bomberos, actualmente se encuentra en consideración la construcción de 350,000 viviendas a nivel nacional para familias de menores ingresos con un valor entre $10,000 a 15,000),</w:t>
      </w:r>
      <w:r w:rsidRPr="00026DE8">
        <w:rPr>
          <w:rFonts w:asciiTheme="majorHAnsi" w:hAnsiTheme="majorHAnsi" w:cstheme="majorHAnsi"/>
          <w:color w:val="000000"/>
          <w:sz w:val="22"/>
          <w:szCs w:val="22"/>
          <w:vertAlign w:val="superscript"/>
        </w:rPr>
        <w:footnoteReference w:id="22"/>
      </w:r>
      <w:r w:rsidRPr="00026DE8">
        <w:rPr>
          <w:rFonts w:asciiTheme="majorHAnsi" w:hAnsiTheme="majorHAnsi" w:cstheme="majorHAnsi"/>
          <w:color w:val="000000"/>
          <w:sz w:val="22"/>
          <w:szCs w:val="22"/>
          <w:lang w:val="es-PE"/>
        </w:rPr>
        <w:t xml:space="preserve"> y existen especulaciones que se cobrarían a través de la factura eléctrica. Se espera que la LOSPEE haya blindado efectivamente la factura eléctrica, sin embargo, siempre puede ser modificada para agregar este cargo, tal como se hizo con el tributo por bomberos.</w:t>
      </w:r>
    </w:p>
    <w:p w:rsidR="000C57BD" w:rsidRPr="002A3E43" w:rsidRDefault="00026DE8" w:rsidP="00A15206">
      <w:pPr>
        <w:spacing w:before="100" w:beforeAutospacing="1" w:after="100" w:afterAutospacing="1"/>
        <w:jc w:val="both"/>
        <w:rPr>
          <w:rFonts w:asciiTheme="majorHAnsi" w:hAnsiTheme="majorHAnsi" w:cstheme="majorHAnsi"/>
          <w:sz w:val="22"/>
          <w:szCs w:val="22"/>
          <w:lang w:val="es-PE"/>
        </w:rPr>
      </w:pPr>
      <w:bookmarkStart w:id="3" w:name="_Hlk491160704"/>
      <w:r>
        <w:rPr>
          <w:rFonts w:asciiTheme="majorHAnsi" w:hAnsiTheme="majorHAnsi" w:cstheme="majorHAnsi"/>
          <w:sz w:val="22"/>
          <w:szCs w:val="22"/>
          <w:lang w:val="es-PE"/>
        </w:rPr>
        <w:t>El caso de agua en Ecuador es diferente. D</w:t>
      </w:r>
      <w:r w:rsidR="000C57BD" w:rsidRPr="002A3E43">
        <w:rPr>
          <w:rFonts w:asciiTheme="majorHAnsi" w:hAnsiTheme="majorHAnsi" w:cstheme="majorHAnsi"/>
          <w:sz w:val="22"/>
          <w:szCs w:val="22"/>
          <w:lang w:val="es-PE"/>
        </w:rPr>
        <w:t>esde la aprobación de la LOSPEE en 2015, ningún municipio tiene</w:t>
      </w:r>
      <w:r w:rsidR="002F75A9">
        <w:rPr>
          <w:rFonts w:asciiTheme="majorHAnsi" w:hAnsiTheme="majorHAnsi" w:cstheme="majorHAnsi"/>
          <w:sz w:val="22"/>
          <w:szCs w:val="22"/>
          <w:lang w:val="es-PE"/>
        </w:rPr>
        <w:t xml:space="preserve"> teóricamente</w:t>
      </w:r>
      <w:r w:rsidR="000C57BD" w:rsidRPr="002A3E43">
        <w:rPr>
          <w:rFonts w:asciiTheme="majorHAnsi" w:hAnsiTheme="majorHAnsi" w:cstheme="majorHAnsi"/>
          <w:sz w:val="22"/>
          <w:szCs w:val="22"/>
          <w:lang w:val="es-PE"/>
        </w:rPr>
        <w:t xml:space="preserve"> la capacidad legal de influir sobre la factura eléctrica (que está blindada por el Estado y solo permite incluir la tasa de recolección de basura previo convenio y el tributo por bomberos por Ley). Sin embargo, los municipios sí tienen la potestad de incluir en las facturas de agua tasas y sobrecargas no relacionadas a dicho servicio.</w:t>
      </w:r>
      <w:r w:rsidR="000C57BD" w:rsidRPr="002A3E43">
        <w:rPr>
          <w:rStyle w:val="FootnoteReference"/>
          <w:rFonts w:asciiTheme="majorHAnsi" w:hAnsiTheme="majorHAnsi" w:cstheme="majorHAnsi"/>
          <w:sz w:val="22"/>
          <w:szCs w:val="22"/>
          <w:lang w:val="es-PE"/>
        </w:rPr>
        <w:footnoteReference w:id="23"/>
      </w:r>
      <w:r w:rsidR="000C57BD" w:rsidRPr="002A3E43">
        <w:rPr>
          <w:rFonts w:asciiTheme="majorHAnsi" w:hAnsiTheme="majorHAnsi" w:cstheme="majorHAnsi"/>
          <w:sz w:val="22"/>
          <w:szCs w:val="22"/>
          <w:lang w:val="es-PE"/>
        </w:rPr>
        <w:t xml:space="preserve"> Así, existe variabilidad en los cargos que se cobran en las facturas de agua entre los diferentes GADs. Debe mencionarse que, como en el caso del servicio eléctrico, el servicio de agua y saneamiento no está sujeto al impuesto al valor agregado. </w:t>
      </w:r>
    </w:p>
    <w:p w:rsidR="000C57BD" w:rsidRPr="002A3E43" w:rsidRDefault="000C57BD"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 xml:space="preserve">La variabilidad proviene de cargos o tasas adicionales que se cobran en las facturas de agua en los diferentes GADs y que en muchos casos no guardan relación con el servicio de agua per se, generándose una evidente distorsión en el precio relativo del servicio. Si bien el hecho de que los municipios tengan potestad de incluir en las facturas de agua tasas no relacionadas a dicho servicio incentiva la proliferación de estas tasas, por otro lado, existen ciertas condiciones que restan incentivos a agregarlas. </w:t>
      </w:r>
    </w:p>
    <w:p w:rsidR="000C57BD" w:rsidRPr="002A3E43" w:rsidRDefault="000C57BD"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En particular son tres las razones que desincentivan el cobro de estas tasas adicionales en la factura de agua. En primer lugar, la cobertura del servicio de agua y saneamiento a nivel nacional no es elevada, por lo que no permite cargar a un gran porcentaje de la población (al 2014, la cobertura de agua y saneamiento era de 78</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y 60</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respectivamente</w:t>
      </w:r>
      <w:r w:rsidRPr="002A3E43">
        <w:rPr>
          <w:rStyle w:val="FootnoteReference"/>
          <w:rFonts w:asciiTheme="majorHAnsi" w:hAnsiTheme="majorHAnsi" w:cstheme="majorHAnsi"/>
          <w:sz w:val="22"/>
          <w:szCs w:val="22"/>
          <w:lang w:val="es-PE"/>
        </w:rPr>
        <w:footnoteReference w:id="24"/>
      </w:r>
      <w:r w:rsidRPr="002A3E43">
        <w:rPr>
          <w:rFonts w:asciiTheme="majorHAnsi" w:hAnsiTheme="majorHAnsi" w:cstheme="majorHAnsi"/>
          <w:sz w:val="22"/>
          <w:szCs w:val="22"/>
          <w:lang w:val="es-PE"/>
        </w:rPr>
        <w:t>). En segundo lugar, el nivel de cobranza del servicio no es alto y, por lo tanto, no permite un gran alcance de cobro. Esto se debe a que, en Ecuador, en virtud del artículo 12 de la constitución de 2008, el agua es un derecho humano fundamental e irrenunciable y, por lo tanto, ante potenciales impagos, lo único que puede hacerse es bajar la presión al mínimo, pero no puede ser cortada bajo ningún concepto – lo que se traduce en ocasiones en pagos incumplidos e impuntuales. En tercer lugar, sólo el 35</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 los municipios tiene una empresa de </w:t>
      </w:r>
      <w:r w:rsidRPr="002A3E43">
        <w:rPr>
          <w:rFonts w:asciiTheme="majorHAnsi" w:hAnsiTheme="majorHAnsi" w:cstheme="majorHAnsi"/>
          <w:sz w:val="22"/>
          <w:szCs w:val="22"/>
          <w:lang w:val="es-PE"/>
        </w:rPr>
        <w:lastRenderedPageBreak/>
        <w:t>agua</w:t>
      </w:r>
      <w:r w:rsidR="0015543E" w:rsidRPr="002A3E43">
        <w:rPr>
          <w:rFonts w:asciiTheme="majorHAnsi" w:hAnsiTheme="majorHAnsi" w:cstheme="majorHAnsi"/>
          <w:sz w:val="22"/>
          <w:szCs w:val="22"/>
          <w:lang w:val="es-PE"/>
        </w:rPr>
        <w:t>.</w:t>
      </w:r>
      <w:r w:rsidRPr="002A3E43">
        <w:rPr>
          <w:rStyle w:val="FootnoteReference"/>
          <w:rFonts w:asciiTheme="majorHAnsi" w:hAnsiTheme="majorHAnsi" w:cstheme="majorHAnsi"/>
          <w:sz w:val="22"/>
          <w:szCs w:val="22"/>
          <w:lang w:val="es-PE"/>
        </w:rPr>
        <w:footnoteReference w:id="25"/>
      </w:r>
      <w:r w:rsidR="0015543E" w:rsidRPr="002A3E43">
        <w:rPr>
          <w:rFonts w:asciiTheme="majorHAnsi" w:hAnsiTheme="majorHAnsi" w:cstheme="majorHAnsi"/>
          <w:sz w:val="22"/>
          <w:szCs w:val="22"/>
          <w:lang w:val="es-PE"/>
        </w:rPr>
        <w:t xml:space="preserve"> </w:t>
      </w:r>
      <w:r w:rsidRPr="002A3E43">
        <w:rPr>
          <w:rFonts w:asciiTheme="majorHAnsi" w:hAnsiTheme="majorHAnsi" w:cstheme="majorHAnsi"/>
          <w:sz w:val="22"/>
          <w:szCs w:val="22"/>
          <w:lang w:val="es-PE"/>
        </w:rPr>
        <w:t>Para el 65</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restante, los cobros de las tasas y sobrecargos se realizan frecuentemente a través de los predios municipales o la factura </w:t>
      </w:r>
      <w:r w:rsidR="00705353" w:rsidRPr="002A3E43">
        <w:rPr>
          <w:rFonts w:asciiTheme="majorHAnsi" w:hAnsiTheme="majorHAnsi" w:cstheme="majorHAnsi"/>
          <w:sz w:val="22"/>
          <w:szCs w:val="22"/>
          <w:lang w:val="es-PE"/>
        </w:rPr>
        <w:t>eléctrica</w:t>
      </w:r>
      <w:r w:rsidRPr="002A3E43">
        <w:rPr>
          <w:rFonts w:asciiTheme="majorHAnsi" w:hAnsiTheme="majorHAnsi" w:cstheme="majorHAnsi"/>
          <w:sz w:val="22"/>
          <w:szCs w:val="22"/>
          <w:lang w:val="es-PE"/>
        </w:rPr>
        <w:t xml:space="preserve">, como se </w:t>
      </w:r>
      <w:r w:rsidR="00CC5348">
        <w:rPr>
          <w:rFonts w:asciiTheme="majorHAnsi" w:hAnsiTheme="majorHAnsi" w:cstheme="majorHAnsi"/>
          <w:sz w:val="22"/>
          <w:szCs w:val="22"/>
          <w:lang w:val="es-PE"/>
        </w:rPr>
        <w:t>observó</w:t>
      </w:r>
      <w:r w:rsidRPr="002A3E43">
        <w:rPr>
          <w:rFonts w:asciiTheme="majorHAnsi" w:hAnsiTheme="majorHAnsi" w:cstheme="majorHAnsi"/>
          <w:sz w:val="22"/>
          <w:szCs w:val="22"/>
          <w:lang w:val="es-PE"/>
        </w:rPr>
        <w:t xml:space="preserve"> anteriormente</w:t>
      </w:r>
      <w:r w:rsidR="0015543E" w:rsidRPr="002A3E43">
        <w:rPr>
          <w:rFonts w:asciiTheme="majorHAnsi" w:hAnsiTheme="majorHAnsi" w:cstheme="majorHAnsi"/>
          <w:sz w:val="22"/>
          <w:szCs w:val="22"/>
          <w:lang w:val="es-PE"/>
        </w:rPr>
        <w:t>.</w:t>
      </w:r>
      <w:r w:rsidR="0015543E" w:rsidRPr="002A3E43">
        <w:rPr>
          <w:rStyle w:val="FootnoteReference"/>
          <w:rFonts w:asciiTheme="majorHAnsi" w:hAnsiTheme="majorHAnsi" w:cstheme="majorHAnsi"/>
          <w:sz w:val="22"/>
          <w:szCs w:val="22"/>
          <w:lang w:val="es-PE"/>
        </w:rPr>
        <w:t xml:space="preserve"> </w:t>
      </w:r>
      <w:r w:rsidR="0015543E" w:rsidRPr="002A3E43">
        <w:rPr>
          <w:rStyle w:val="FootnoteReference"/>
          <w:rFonts w:asciiTheme="majorHAnsi" w:hAnsiTheme="majorHAnsi" w:cstheme="majorHAnsi"/>
          <w:sz w:val="22"/>
          <w:szCs w:val="22"/>
          <w:lang w:val="es-PE"/>
        </w:rPr>
        <w:footnoteReference w:id="26"/>
      </w:r>
    </w:p>
    <w:p w:rsidR="000C57BD" w:rsidRDefault="000C57BD"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Con todo ello, existen </w:t>
      </w:r>
      <w:r w:rsidR="00026DE8" w:rsidRPr="002A3E43">
        <w:rPr>
          <w:rFonts w:asciiTheme="majorHAnsi" w:hAnsiTheme="majorHAnsi" w:cstheme="majorHAnsi"/>
          <w:sz w:val="22"/>
          <w:szCs w:val="22"/>
        </w:rPr>
        <w:t xml:space="preserve">localidades con empresas de agua </w:t>
      </w:r>
      <w:r w:rsidR="00026DE8">
        <w:rPr>
          <w:rFonts w:asciiTheme="majorHAnsi" w:hAnsiTheme="majorHAnsi" w:cstheme="majorHAnsi"/>
          <w:sz w:val="22"/>
          <w:szCs w:val="22"/>
        </w:rPr>
        <w:t xml:space="preserve">en donde </w:t>
      </w:r>
      <w:r w:rsidRPr="002A3E43">
        <w:rPr>
          <w:rFonts w:asciiTheme="majorHAnsi" w:hAnsiTheme="majorHAnsi" w:cstheme="majorHAnsi"/>
          <w:sz w:val="22"/>
          <w:szCs w:val="22"/>
        </w:rPr>
        <w:t xml:space="preserve">incluyen cargos no relacionados al servicio de agua en </w:t>
      </w:r>
      <w:r w:rsidR="00026DE8">
        <w:rPr>
          <w:rFonts w:asciiTheme="majorHAnsi" w:hAnsiTheme="majorHAnsi" w:cstheme="majorHAnsi"/>
          <w:sz w:val="22"/>
          <w:szCs w:val="22"/>
        </w:rPr>
        <w:t>la</w:t>
      </w:r>
      <w:r w:rsidRPr="002A3E43">
        <w:rPr>
          <w:rFonts w:asciiTheme="majorHAnsi" w:hAnsiTheme="majorHAnsi" w:cstheme="majorHAnsi"/>
          <w:sz w:val="22"/>
          <w:szCs w:val="22"/>
        </w:rPr>
        <w:t xml:space="preserve"> factura. Así, se encuentran cobros diversos como seguridad ciudadana o recolección de basura, entre otros.</w:t>
      </w:r>
      <w:bookmarkEnd w:id="3"/>
      <w:r w:rsidRPr="002A3E43">
        <w:rPr>
          <w:rFonts w:asciiTheme="majorHAnsi" w:hAnsiTheme="majorHAnsi" w:cstheme="majorHAnsi"/>
          <w:sz w:val="22"/>
          <w:szCs w:val="22"/>
        </w:rPr>
        <w:t xml:space="preserve"> No hay un criterio homogéneo, y cada municipio impone la tipología y cuantía de las tasas que desea. La tabla 1 muestra los ejemplos de Quito</w:t>
      </w:r>
      <w:r w:rsidRPr="002A3E43">
        <w:rPr>
          <w:rStyle w:val="FootnoteReference"/>
          <w:rFonts w:asciiTheme="majorHAnsi" w:hAnsiTheme="majorHAnsi" w:cstheme="majorHAnsi"/>
          <w:sz w:val="22"/>
          <w:szCs w:val="22"/>
        </w:rPr>
        <w:footnoteReference w:id="27"/>
      </w:r>
      <w:r w:rsidR="00456590">
        <w:rPr>
          <w:rFonts w:asciiTheme="majorHAnsi" w:hAnsiTheme="majorHAnsi" w:cstheme="majorHAnsi"/>
          <w:sz w:val="22"/>
          <w:szCs w:val="22"/>
        </w:rPr>
        <w:t xml:space="preserve"> </w:t>
      </w:r>
      <w:r w:rsidRPr="002A3E43">
        <w:rPr>
          <w:rFonts w:asciiTheme="majorHAnsi" w:hAnsiTheme="majorHAnsi" w:cstheme="majorHAnsi"/>
          <w:sz w:val="22"/>
          <w:szCs w:val="22"/>
        </w:rPr>
        <w:t>y Loja.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2"/>
        <w:gridCol w:w="4176"/>
      </w:tblGrid>
      <w:tr w:rsidR="004C2FB0" w:rsidTr="004C2FB0">
        <w:tc>
          <w:tcPr>
            <w:tcW w:w="8488" w:type="dxa"/>
            <w:gridSpan w:val="2"/>
          </w:tcPr>
          <w:p w:rsidR="004C2FB0" w:rsidRPr="002A3E43" w:rsidRDefault="004C2FB0" w:rsidP="004C2FB0">
            <w:pPr>
              <w:spacing w:before="100" w:beforeAutospacing="1" w:after="100" w:afterAutospacing="1"/>
              <w:jc w:val="center"/>
              <w:rPr>
                <w:rFonts w:asciiTheme="majorHAnsi" w:hAnsiTheme="majorHAnsi" w:cstheme="majorHAnsi"/>
                <w:b/>
                <w:lang w:val="es-PE"/>
              </w:rPr>
            </w:pPr>
            <w:r w:rsidRPr="002A3E43">
              <w:rPr>
                <w:rFonts w:asciiTheme="majorHAnsi" w:hAnsiTheme="majorHAnsi" w:cstheme="majorHAnsi"/>
                <w:b/>
                <w:lang w:val="es-PE"/>
              </w:rPr>
              <w:t>Tabla 1. Muestra de facturas para Quito y Loja, Ecuador (2016, 2017)</w:t>
            </w:r>
          </w:p>
        </w:tc>
      </w:tr>
      <w:tr w:rsidR="004C2FB0" w:rsidTr="004C2FB0">
        <w:tc>
          <w:tcPr>
            <w:tcW w:w="4312" w:type="dxa"/>
          </w:tcPr>
          <w:p w:rsidR="004C2FB0" w:rsidRDefault="004C2FB0" w:rsidP="004C2FB0">
            <w:pPr>
              <w:spacing w:before="100" w:beforeAutospacing="1" w:after="100" w:afterAutospacing="1"/>
              <w:jc w:val="center"/>
              <w:rPr>
                <w:rFonts w:asciiTheme="majorHAnsi" w:hAnsiTheme="majorHAnsi" w:cstheme="majorHAnsi"/>
              </w:rPr>
            </w:pPr>
            <w:r w:rsidRPr="002A3E43">
              <w:rPr>
                <w:rFonts w:asciiTheme="majorHAnsi" w:hAnsiTheme="majorHAnsi" w:cstheme="majorHAnsi"/>
                <w:b/>
                <w:noProof/>
                <w:lang w:val="es-PE"/>
              </w:rPr>
              <w:t>Quito</w:t>
            </w:r>
          </w:p>
        </w:tc>
        <w:tc>
          <w:tcPr>
            <w:tcW w:w="4176" w:type="dxa"/>
          </w:tcPr>
          <w:p w:rsidR="004C2FB0" w:rsidRDefault="004C2FB0" w:rsidP="004C2FB0">
            <w:pPr>
              <w:spacing w:before="100" w:beforeAutospacing="1" w:after="100" w:afterAutospacing="1"/>
              <w:jc w:val="center"/>
              <w:rPr>
                <w:rFonts w:asciiTheme="majorHAnsi" w:hAnsiTheme="majorHAnsi" w:cstheme="majorHAnsi"/>
              </w:rPr>
            </w:pPr>
            <w:r w:rsidRPr="002A3E43">
              <w:rPr>
                <w:rFonts w:asciiTheme="majorHAnsi" w:hAnsiTheme="majorHAnsi" w:cstheme="majorHAnsi"/>
                <w:b/>
                <w:noProof/>
                <w:lang w:val="es-PE"/>
              </w:rPr>
              <w:t>Loja</w:t>
            </w:r>
          </w:p>
        </w:tc>
      </w:tr>
      <w:tr w:rsidR="004C2FB0" w:rsidTr="004C2FB0">
        <w:tc>
          <w:tcPr>
            <w:tcW w:w="4312" w:type="dxa"/>
          </w:tcPr>
          <w:p w:rsidR="004C2FB0" w:rsidRDefault="004C2FB0" w:rsidP="00A15206">
            <w:pPr>
              <w:spacing w:before="100" w:beforeAutospacing="1" w:after="100" w:afterAutospacing="1"/>
              <w:jc w:val="both"/>
              <w:rPr>
                <w:rFonts w:asciiTheme="majorHAnsi" w:hAnsiTheme="majorHAnsi" w:cstheme="majorHAnsi"/>
              </w:rPr>
            </w:pPr>
            <w:r w:rsidRPr="002A3E43">
              <w:rPr>
                <w:rFonts w:asciiTheme="majorHAnsi" w:hAnsiTheme="majorHAnsi" w:cstheme="majorHAnsi"/>
                <w:b/>
                <w:noProof/>
                <w:lang w:val="es-ES"/>
              </w:rPr>
              <w:t xml:space="preserve"> </w:t>
            </w:r>
            <w:r w:rsidRPr="002A3E43">
              <w:rPr>
                <w:rFonts w:asciiTheme="majorHAnsi" w:hAnsiTheme="majorHAnsi" w:cstheme="majorHAnsi"/>
                <w:b/>
                <w:noProof/>
                <w:lang w:val="es-ES"/>
              </w:rPr>
              <w:drawing>
                <wp:inline distT="0" distB="0" distL="0" distR="0" wp14:anchorId="6D56DCEF" wp14:editId="3866A6A0">
                  <wp:extent cx="2190740" cy="3681095"/>
                  <wp:effectExtent l="0" t="0" r="0" b="190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079" cy="3681665"/>
                          </a:xfrm>
                          <a:prstGeom prst="rect">
                            <a:avLst/>
                          </a:prstGeom>
                          <a:noFill/>
                          <a:ln>
                            <a:noFill/>
                          </a:ln>
                        </pic:spPr>
                      </pic:pic>
                    </a:graphicData>
                  </a:graphic>
                </wp:inline>
              </w:drawing>
            </w:r>
          </w:p>
        </w:tc>
        <w:tc>
          <w:tcPr>
            <w:tcW w:w="4176" w:type="dxa"/>
          </w:tcPr>
          <w:p w:rsidR="004C2FB0" w:rsidRPr="004C2FB0" w:rsidRDefault="004C2FB0" w:rsidP="00A15206">
            <w:pPr>
              <w:spacing w:before="100" w:beforeAutospacing="1" w:after="100" w:afterAutospacing="1"/>
              <w:jc w:val="both"/>
              <w:rPr>
                <w:rFonts w:asciiTheme="majorHAnsi" w:hAnsiTheme="majorHAnsi" w:cstheme="majorHAnsi"/>
                <w:b/>
              </w:rPr>
            </w:pPr>
            <w:r w:rsidRPr="002A3E43">
              <w:rPr>
                <w:rFonts w:asciiTheme="majorHAnsi" w:hAnsiTheme="majorHAnsi" w:cstheme="majorHAnsi"/>
                <w:b/>
                <w:noProof/>
                <w:lang w:val="es-ES"/>
              </w:rPr>
              <w:drawing>
                <wp:inline distT="0" distB="0" distL="0" distR="0" wp14:anchorId="786382DE" wp14:editId="1CA08080">
                  <wp:extent cx="2505456" cy="2871216"/>
                  <wp:effectExtent l="0" t="0" r="9525" b="5715"/>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5456" cy="2871216"/>
                          </a:xfrm>
                          <a:prstGeom prst="rect">
                            <a:avLst/>
                          </a:prstGeom>
                          <a:noFill/>
                          <a:ln>
                            <a:noFill/>
                          </a:ln>
                        </pic:spPr>
                      </pic:pic>
                    </a:graphicData>
                  </a:graphic>
                </wp:inline>
              </w:drawing>
            </w:r>
          </w:p>
        </w:tc>
      </w:tr>
      <w:tr w:rsidR="004C2FB0" w:rsidTr="004C2FB0">
        <w:tc>
          <w:tcPr>
            <w:tcW w:w="8488" w:type="dxa"/>
            <w:gridSpan w:val="2"/>
          </w:tcPr>
          <w:p w:rsidR="004C2FB0" w:rsidRDefault="004C2FB0" w:rsidP="00C738B1">
            <w:pPr>
              <w:jc w:val="both"/>
              <w:rPr>
                <w:rFonts w:asciiTheme="majorHAnsi" w:hAnsiTheme="majorHAnsi" w:cstheme="majorHAnsi"/>
                <w:sz w:val="18"/>
                <w:szCs w:val="18"/>
                <w:lang w:val="es-PE"/>
              </w:rPr>
            </w:pPr>
            <w:r w:rsidRPr="004C2FB0">
              <w:rPr>
                <w:rFonts w:asciiTheme="majorHAnsi" w:hAnsiTheme="majorHAnsi" w:cstheme="majorHAnsi"/>
                <w:sz w:val="18"/>
                <w:szCs w:val="18"/>
                <w:lang w:val="es-PE"/>
              </w:rPr>
              <w:t>Fuente: Distribuidoras de agua de Quito y Loja (Ecuador, 2016, 2017).</w:t>
            </w:r>
          </w:p>
          <w:p w:rsidR="004C2FB0" w:rsidRPr="004C2FB0" w:rsidRDefault="004C2FB0" w:rsidP="00C738B1">
            <w:pPr>
              <w:jc w:val="both"/>
              <w:rPr>
                <w:rFonts w:asciiTheme="majorHAnsi" w:hAnsiTheme="majorHAnsi" w:cstheme="majorHAnsi"/>
                <w:sz w:val="18"/>
                <w:szCs w:val="18"/>
                <w:lang w:val="es-PE"/>
              </w:rPr>
            </w:pPr>
            <w:r w:rsidRPr="004C2FB0">
              <w:rPr>
                <w:rFonts w:asciiTheme="majorHAnsi" w:hAnsiTheme="majorHAnsi" w:cstheme="majorHAnsi"/>
                <w:sz w:val="18"/>
                <w:szCs w:val="18"/>
                <w:lang w:val="es-PE"/>
              </w:rPr>
              <w:t xml:space="preserve">Nota: </w:t>
            </w:r>
            <w:r w:rsidRPr="004C2FB0">
              <w:rPr>
                <w:rFonts w:asciiTheme="majorHAnsi" w:hAnsiTheme="majorHAnsi" w:cstheme="majorHAnsi"/>
                <w:sz w:val="18"/>
                <w:szCs w:val="18"/>
                <w:lang w:val="es-ES_tradnl"/>
              </w:rPr>
              <w:t>La tabla 1 en el anexo muestra ejemplos adicionales de esta discrecionalidad para los casos de Cuenca, Guayaquil</w:t>
            </w:r>
            <w:r w:rsidRPr="004C2FB0">
              <w:rPr>
                <w:rStyle w:val="FootnoteReference"/>
                <w:rFonts w:asciiTheme="majorHAnsi" w:hAnsiTheme="majorHAnsi" w:cstheme="majorHAnsi"/>
                <w:sz w:val="18"/>
                <w:szCs w:val="18"/>
              </w:rPr>
              <w:footnoteReference w:id="28"/>
            </w:r>
            <w:r w:rsidRPr="004C2FB0">
              <w:rPr>
                <w:rFonts w:asciiTheme="majorHAnsi" w:hAnsiTheme="majorHAnsi" w:cstheme="majorHAnsi"/>
                <w:sz w:val="18"/>
                <w:szCs w:val="18"/>
                <w:lang w:val="es-ES_tradnl"/>
              </w:rPr>
              <w:t>, y Machala.</w:t>
            </w:r>
          </w:p>
        </w:tc>
      </w:tr>
    </w:tbl>
    <w:p w:rsidR="000C57BD" w:rsidRDefault="000C57BD"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lastRenderedPageBreak/>
        <w:t>Como se observa en la</w:t>
      </w:r>
      <w:r w:rsidR="00026DE8">
        <w:rPr>
          <w:rFonts w:asciiTheme="majorHAnsi" w:hAnsiTheme="majorHAnsi" w:cstheme="majorHAnsi"/>
          <w:sz w:val="22"/>
          <w:szCs w:val="22"/>
        </w:rPr>
        <w:t xml:space="preserve"> tabla 1, </w:t>
      </w:r>
      <w:r w:rsidRPr="002A3E43">
        <w:rPr>
          <w:rFonts w:asciiTheme="majorHAnsi" w:hAnsiTheme="majorHAnsi" w:cstheme="majorHAnsi"/>
          <w:sz w:val="22"/>
          <w:szCs w:val="22"/>
        </w:rPr>
        <w:t xml:space="preserve">no en todos los municipios </w:t>
      </w:r>
      <w:r w:rsidR="00A61AAB" w:rsidRPr="002A3E43">
        <w:rPr>
          <w:rFonts w:asciiTheme="majorHAnsi" w:hAnsiTheme="majorHAnsi" w:cstheme="majorHAnsi"/>
          <w:sz w:val="22"/>
          <w:szCs w:val="22"/>
        </w:rPr>
        <w:t>se encuentran presentes</w:t>
      </w:r>
      <w:r w:rsidRPr="002A3E43">
        <w:rPr>
          <w:rFonts w:asciiTheme="majorHAnsi" w:hAnsiTheme="majorHAnsi" w:cstheme="majorHAnsi"/>
          <w:sz w:val="22"/>
          <w:szCs w:val="22"/>
        </w:rPr>
        <w:t xml:space="preserve"> los mismos cargos. Por ejemplo, en Quito se cobra una muy pequeña tasa de nomenclatura</w:t>
      </w:r>
      <w:r w:rsidRPr="002A3E43">
        <w:rPr>
          <w:rStyle w:val="FootnoteReference"/>
          <w:rFonts w:asciiTheme="majorHAnsi" w:hAnsiTheme="majorHAnsi" w:cstheme="majorHAnsi"/>
          <w:sz w:val="22"/>
          <w:szCs w:val="22"/>
        </w:rPr>
        <w:footnoteReference w:id="29"/>
      </w:r>
      <w:r w:rsidRPr="002A3E43">
        <w:rPr>
          <w:rFonts w:asciiTheme="majorHAnsi" w:hAnsiTheme="majorHAnsi" w:cstheme="majorHAnsi"/>
          <w:sz w:val="22"/>
          <w:szCs w:val="22"/>
        </w:rPr>
        <w:t xml:space="preserve"> para la señalización de vías que representa alrededor del 1</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de la facturación. Para obtener este cálculo, se han analizado facturas de </w:t>
      </w:r>
      <w:r w:rsidRPr="002A3E43">
        <w:rPr>
          <w:rFonts w:asciiTheme="majorHAnsi" w:hAnsiTheme="majorHAnsi" w:cstheme="majorHAnsi"/>
          <w:i/>
          <w:sz w:val="22"/>
          <w:szCs w:val="22"/>
        </w:rPr>
        <w:t>Aguas de Quito</w:t>
      </w:r>
      <w:r w:rsidRPr="002A3E43">
        <w:rPr>
          <w:rFonts w:asciiTheme="majorHAnsi" w:hAnsiTheme="majorHAnsi" w:cstheme="majorHAnsi"/>
          <w:sz w:val="22"/>
          <w:szCs w:val="22"/>
        </w:rPr>
        <w:t xml:space="preserve"> para hogares de diferentes niveles de ingreso</w:t>
      </w:r>
      <w:r w:rsidR="00C738B1">
        <w:rPr>
          <w:rFonts w:asciiTheme="majorHAnsi" w:hAnsiTheme="majorHAnsi" w:cstheme="majorHAnsi"/>
          <w:sz w:val="22"/>
          <w:szCs w:val="22"/>
        </w:rPr>
        <w:t xml:space="preserve"> y se ha cruzado esta información con </w:t>
      </w:r>
      <w:r w:rsidRPr="002A3E43">
        <w:rPr>
          <w:rFonts w:asciiTheme="majorHAnsi" w:hAnsiTheme="majorHAnsi" w:cstheme="majorHAnsi"/>
          <w:sz w:val="22"/>
          <w:szCs w:val="22"/>
        </w:rPr>
        <w:t>el gasto en agua promedio de los hogares por quintil de ingreso obtenido de la Encuesta Nacional de Ingresos y Gastos de los Hogares Urbanos y Rurales.</w:t>
      </w:r>
      <w:r w:rsidRPr="002A3E43">
        <w:rPr>
          <w:rStyle w:val="FootnoteReference"/>
          <w:rFonts w:asciiTheme="majorHAnsi" w:hAnsiTheme="majorHAnsi" w:cstheme="majorHAnsi"/>
          <w:sz w:val="22"/>
          <w:szCs w:val="22"/>
        </w:rPr>
        <w:footnoteReference w:id="30"/>
      </w:r>
      <w:r w:rsidRPr="002A3E43">
        <w:rPr>
          <w:rFonts w:asciiTheme="majorHAnsi" w:hAnsiTheme="majorHAnsi" w:cstheme="majorHAnsi"/>
          <w:sz w:val="22"/>
          <w:szCs w:val="22"/>
        </w:rPr>
        <w:t xml:space="preserve"> Así, para los hogares de ingreso bajo, la tasa de nomenclatura representaría aproximadamente 0.9</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de la factura, mientras que para los hogares de ingreso alto representaría aproximadamente 1.8</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C738B1" w:rsidTr="00C738B1">
        <w:tc>
          <w:tcPr>
            <w:tcW w:w="8488" w:type="dxa"/>
          </w:tcPr>
          <w:p w:rsidR="00C738B1" w:rsidRPr="00C738B1" w:rsidRDefault="00C738B1" w:rsidP="00C738B1">
            <w:pPr>
              <w:spacing w:before="100" w:beforeAutospacing="1" w:after="100" w:afterAutospacing="1"/>
              <w:jc w:val="center"/>
              <w:rPr>
                <w:rFonts w:asciiTheme="majorHAnsi" w:hAnsiTheme="majorHAnsi" w:cstheme="majorHAnsi"/>
                <w:b/>
                <w:lang w:val="es-PE"/>
              </w:rPr>
            </w:pPr>
            <w:r w:rsidRPr="002A3E43">
              <w:rPr>
                <w:rFonts w:asciiTheme="majorHAnsi" w:hAnsiTheme="majorHAnsi" w:cstheme="majorHAnsi"/>
                <w:b/>
                <w:lang w:val="es-PE"/>
              </w:rPr>
              <w:t xml:space="preserve">Figura </w:t>
            </w:r>
            <w:r w:rsidR="009079C6" w:rsidRPr="009079C6">
              <w:rPr>
                <w:rFonts w:asciiTheme="majorHAnsi" w:hAnsiTheme="majorHAnsi" w:cstheme="majorHAnsi"/>
                <w:b/>
                <w:iCs/>
              </w:rPr>
              <w:fldChar w:fldCharType="begin"/>
            </w:r>
            <w:r w:rsidR="009079C6" w:rsidRPr="009079C6">
              <w:rPr>
                <w:rFonts w:asciiTheme="majorHAnsi" w:hAnsiTheme="majorHAnsi" w:cstheme="majorHAnsi"/>
                <w:b/>
                <w:iCs/>
                <w:lang w:val="es-ES_tradnl"/>
              </w:rPr>
              <w:instrText xml:space="preserve"> SEQ Figura \* ARABIC </w:instrText>
            </w:r>
            <w:r w:rsidR="009079C6" w:rsidRPr="009079C6">
              <w:rPr>
                <w:rFonts w:asciiTheme="majorHAnsi" w:hAnsiTheme="majorHAnsi" w:cstheme="majorHAnsi"/>
                <w:b/>
                <w:iCs/>
              </w:rPr>
              <w:fldChar w:fldCharType="separate"/>
            </w:r>
            <w:r w:rsidR="009079C6">
              <w:rPr>
                <w:rFonts w:asciiTheme="majorHAnsi" w:hAnsiTheme="majorHAnsi" w:cstheme="majorHAnsi"/>
                <w:b/>
                <w:iCs/>
                <w:noProof/>
                <w:lang w:val="es-ES_tradnl"/>
              </w:rPr>
              <w:t>4</w:t>
            </w:r>
            <w:r w:rsidR="009079C6" w:rsidRPr="009079C6">
              <w:rPr>
                <w:rFonts w:asciiTheme="majorHAnsi" w:hAnsiTheme="majorHAnsi" w:cstheme="majorHAnsi"/>
                <w:b/>
                <w:iCs/>
              </w:rPr>
              <w:fldChar w:fldCharType="end"/>
            </w:r>
            <w:r w:rsidR="009079C6" w:rsidRPr="009079C6">
              <w:rPr>
                <w:rFonts w:asciiTheme="majorHAnsi" w:hAnsiTheme="majorHAnsi" w:cstheme="majorHAnsi"/>
                <w:b/>
                <w:iCs/>
                <w:lang w:val="es-ES_tradnl"/>
              </w:rPr>
              <w:t>.</w:t>
            </w:r>
            <w:r w:rsidRPr="002A3E43">
              <w:rPr>
                <w:rFonts w:asciiTheme="majorHAnsi" w:hAnsiTheme="majorHAnsi" w:cstheme="majorHAnsi"/>
                <w:b/>
                <w:lang w:val="es-PE"/>
              </w:rPr>
              <w:t xml:space="preserve"> Carga relativa de la tasa de nomenclatura en la factura de Agua en Quito</w:t>
            </w:r>
            <w:r w:rsidR="00C57EF7">
              <w:rPr>
                <w:rFonts w:asciiTheme="majorHAnsi" w:hAnsiTheme="majorHAnsi" w:cstheme="majorHAnsi"/>
                <w:b/>
                <w:lang w:val="es-PE"/>
              </w:rPr>
              <w:t>,</w:t>
            </w:r>
            <w:r w:rsidRPr="002A3E43">
              <w:rPr>
                <w:rFonts w:asciiTheme="majorHAnsi" w:hAnsiTheme="majorHAnsi" w:cstheme="majorHAnsi"/>
                <w:b/>
                <w:lang w:val="es-PE"/>
              </w:rPr>
              <w:t xml:space="preserve"> según nivel de ingreso</w:t>
            </w:r>
            <w:r>
              <w:rPr>
                <w:rFonts w:asciiTheme="majorHAnsi" w:hAnsiTheme="majorHAnsi" w:cstheme="majorHAnsi"/>
                <w:b/>
                <w:lang w:val="es-PE"/>
              </w:rPr>
              <w:t>, 2017</w:t>
            </w:r>
          </w:p>
        </w:tc>
      </w:tr>
      <w:tr w:rsidR="00C738B1" w:rsidTr="00C738B1">
        <w:tc>
          <w:tcPr>
            <w:tcW w:w="8488" w:type="dxa"/>
          </w:tcPr>
          <w:p w:rsidR="00C738B1" w:rsidRDefault="00C738B1" w:rsidP="00C738B1">
            <w:pPr>
              <w:spacing w:before="100" w:beforeAutospacing="1" w:after="100" w:afterAutospacing="1"/>
              <w:jc w:val="center"/>
              <w:rPr>
                <w:rFonts w:asciiTheme="majorHAnsi" w:hAnsiTheme="majorHAnsi" w:cstheme="majorHAnsi"/>
              </w:rPr>
            </w:pPr>
            <w:r w:rsidRPr="00EB0CAC">
              <w:rPr>
                <w:noProof/>
              </w:rPr>
              <w:drawing>
                <wp:inline distT="0" distB="0" distL="0" distR="0" wp14:anchorId="7EC459C6" wp14:editId="6B220FD7">
                  <wp:extent cx="3721608" cy="222199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608" cy="2221992"/>
                          </a:xfrm>
                          <a:prstGeom prst="rect">
                            <a:avLst/>
                          </a:prstGeom>
                          <a:noFill/>
                          <a:ln>
                            <a:noFill/>
                          </a:ln>
                        </pic:spPr>
                      </pic:pic>
                    </a:graphicData>
                  </a:graphic>
                </wp:inline>
              </w:drawing>
            </w:r>
          </w:p>
        </w:tc>
      </w:tr>
      <w:tr w:rsidR="00C738B1" w:rsidTr="00C738B1">
        <w:tc>
          <w:tcPr>
            <w:tcW w:w="8488" w:type="dxa"/>
          </w:tcPr>
          <w:p w:rsidR="00C738B1" w:rsidRPr="00C738B1" w:rsidRDefault="00C738B1" w:rsidP="00F73F2B">
            <w:pPr>
              <w:spacing w:before="100" w:beforeAutospacing="1" w:after="100" w:afterAutospacing="1"/>
              <w:jc w:val="both"/>
              <w:rPr>
                <w:rFonts w:asciiTheme="majorHAnsi" w:hAnsiTheme="majorHAnsi" w:cstheme="majorHAnsi"/>
                <w:sz w:val="18"/>
                <w:szCs w:val="18"/>
                <w:lang w:val="es-PE"/>
              </w:rPr>
            </w:pPr>
            <w:r w:rsidRPr="00F73F2B">
              <w:rPr>
                <w:rFonts w:asciiTheme="majorHAnsi" w:hAnsiTheme="majorHAnsi" w:cstheme="majorHAnsi"/>
                <w:sz w:val="18"/>
                <w:szCs w:val="18"/>
                <w:lang w:val="es-PE"/>
              </w:rPr>
              <w:t>Fuente: Aguas de Quito y Encuesta Nacional de Ingresos y Gastos de los Hogares Urbanos y Rurales</w:t>
            </w:r>
            <w:r w:rsidR="00F73F2B">
              <w:rPr>
                <w:rFonts w:asciiTheme="majorHAnsi" w:hAnsiTheme="majorHAnsi" w:cstheme="majorHAnsi"/>
                <w:sz w:val="18"/>
                <w:szCs w:val="18"/>
                <w:lang w:val="es-PE"/>
              </w:rPr>
              <w:t xml:space="preserve"> de Ecuador (</w:t>
            </w:r>
            <w:r w:rsidRPr="00F73F2B">
              <w:rPr>
                <w:rFonts w:asciiTheme="majorHAnsi" w:hAnsiTheme="majorHAnsi" w:cstheme="majorHAnsi"/>
                <w:sz w:val="18"/>
                <w:szCs w:val="18"/>
                <w:lang w:val="es-PE"/>
              </w:rPr>
              <w:t>2011/2012</w:t>
            </w:r>
            <w:r w:rsidR="00F73F2B">
              <w:rPr>
                <w:rFonts w:asciiTheme="majorHAnsi" w:hAnsiTheme="majorHAnsi" w:cstheme="majorHAnsi"/>
                <w:sz w:val="18"/>
                <w:szCs w:val="18"/>
                <w:lang w:val="es-PE"/>
              </w:rPr>
              <w:t>)</w:t>
            </w:r>
            <w:r w:rsidRPr="00F73F2B">
              <w:rPr>
                <w:rFonts w:asciiTheme="majorHAnsi" w:hAnsiTheme="majorHAnsi" w:cstheme="majorHAnsi"/>
                <w:sz w:val="18"/>
                <w:szCs w:val="18"/>
                <w:lang w:val="es-PE"/>
              </w:rPr>
              <w:t>.</w:t>
            </w:r>
          </w:p>
        </w:tc>
      </w:tr>
    </w:tbl>
    <w:p w:rsidR="000C57BD" w:rsidRPr="002A3E43" w:rsidRDefault="000C57BD"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 xml:space="preserve">Otro caso particular es el del municipio de Loja, donde la factura de agua refleja el cargo de aporte a planes maestros, seguridad ciudadana, protección de microcuencas, y recolección de basura. En </w:t>
      </w:r>
      <w:r w:rsidR="007A35E4" w:rsidRPr="002A3E43">
        <w:rPr>
          <w:rFonts w:asciiTheme="majorHAnsi" w:hAnsiTheme="majorHAnsi" w:cstheme="majorHAnsi"/>
          <w:sz w:val="22"/>
          <w:szCs w:val="22"/>
          <w:lang w:val="es-PE"/>
        </w:rPr>
        <w:t xml:space="preserve">Loja, </w:t>
      </w:r>
      <w:r w:rsidRPr="002A3E43">
        <w:rPr>
          <w:rFonts w:asciiTheme="majorHAnsi" w:hAnsiTheme="majorHAnsi" w:cstheme="majorHAnsi"/>
          <w:sz w:val="22"/>
          <w:szCs w:val="22"/>
          <w:lang w:val="es-PE"/>
        </w:rPr>
        <w:t>el monto total de cargos no relacionados al servicio</w:t>
      </w:r>
      <w:r w:rsidR="007A35E4" w:rsidRPr="002A3E43">
        <w:rPr>
          <w:rFonts w:asciiTheme="majorHAnsi" w:hAnsiTheme="majorHAnsi" w:cstheme="majorHAnsi"/>
          <w:sz w:val="22"/>
          <w:szCs w:val="22"/>
          <w:lang w:val="es-PE"/>
        </w:rPr>
        <w:t xml:space="preserve"> de agua</w:t>
      </w:r>
      <w:r w:rsidRPr="002A3E43">
        <w:rPr>
          <w:rFonts w:asciiTheme="majorHAnsi" w:hAnsiTheme="majorHAnsi" w:cstheme="majorHAnsi"/>
          <w:sz w:val="22"/>
          <w:szCs w:val="22"/>
          <w:lang w:val="es-PE"/>
        </w:rPr>
        <w:t xml:space="preserve"> puede ascender aproximadamente hasta el 15</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del total de la factura</w:t>
      </w:r>
      <w:r w:rsidR="007A35E4" w:rsidRPr="002A3E43">
        <w:rPr>
          <w:rFonts w:asciiTheme="majorHAnsi" w:hAnsiTheme="majorHAnsi" w:cstheme="majorHAnsi"/>
          <w:sz w:val="22"/>
          <w:szCs w:val="22"/>
          <w:lang w:val="es-PE"/>
        </w:rPr>
        <w:t>, en concepto de seguridad ciudadana y recolección de basura en este caso</w:t>
      </w:r>
      <w:r w:rsidRPr="002A3E43">
        <w:rPr>
          <w:rFonts w:asciiTheme="majorHAnsi" w:hAnsiTheme="majorHAnsi" w:cstheme="majorHAnsi"/>
          <w:sz w:val="22"/>
          <w:szCs w:val="22"/>
          <w:lang w:val="es-PE"/>
        </w:rPr>
        <w:t>.</w:t>
      </w:r>
      <w:r w:rsidRPr="002A3E43">
        <w:rPr>
          <w:rStyle w:val="FootnoteReference"/>
          <w:rFonts w:asciiTheme="majorHAnsi" w:hAnsiTheme="majorHAnsi" w:cstheme="majorHAnsi"/>
          <w:sz w:val="22"/>
          <w:szCs w:val="22"/>
          <w:lang w:val="es-PE"/>
        </w:rPr>
        <w:footnoteReference w:id="31"/>
      </w:r>
      <w:r w:rsidRPr="002A3E43">
        <w:rPr>
          <w:rFonts w:asciiTheme="majorHAnsi" w:hAnsiTheme="majorHAnsi" w:cstheme="majorHAnsi"/>
          <w:sz w:val="22"/>
          <w:szCs w:val="22"/>
          <w:lang w:val="es-PE"/>
        </w:rPr>
        <w:t xml:space="preserve"> Adicionalmente, en casos como los de Cuenca o Machala, las facturas reflejan cargos fijos no explícitos. Este hecho ha generado quejas por parte de organizaciones de consumidores en el país que piden la transparencia en los costos. </w:t>
      </w:r>
    </w:p>
    <w:p w:rsidR="00954FD9" w:rsidRPr="00C76C1D" w:rsidRDefault="00C76C1D" w:rsidP="00A15206">
      <w:pPr>
        <w:spacing w:before="100" w:beforeAutospacing="1" w:after="100" w:afterAutospacing="1"/>
        <w:rPr>
          <w:rFonts w:asciiTheme="majorHAnsi" w:hAnsiTheme="majorHAnsi" w:cstheme="majorHAnsi"/>
          <w:b/>
        </w:rPr>
      </w:pPr>
      <w:r w:rsidRPr="00C76C1D">
        <w:rPr>
          <w:rFonts w:asciiTheme="majorHAnsi" w:hAnsiTheme="majorHAnsi" w:cstheme="majorHAnsi"/>
          <w:b/>
        </w:rPr>
        <w:t>ARGENTINA</w:t>
      </w:r>
    </w:p>
    <w:p w:rsidR="009A40DE" w:rsidRDefault="005E28A1"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En Argentina, los hogares dedican en promedio un 2.</w:t>
      </w:r>
      <w:r w:rsidR="00F42723">
        <w:rPr>
          <w:rFonts w:asciiTheme="majorHAnsi" w:hAnsiTheme="majorHAnsi" w:cstheme="majorHAnsi"/>
          <w:sz w:val="22"/>
          <w:szCs w:val="22"/>
          <w:lang w:val="es-PE"/>
        </w:rPr>
        <w:t>1</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 su gasto total a la electricidad, y un 0.7</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al consumo de agua</w:t>
      </w:r>
      <w:r w:rsidR="00187EF1" w:rsidRPr="002A3E43">
        <w:rPr>
          <w:rFonts w:asciiTheme="majorHAnsi" w:hAnsiTheme="majorHAnsi" w:cstheme="majorHAnsi"/>
          <w:sz w:val="22"/>
          <w:szCs w:val="22"/>
          <w:lang w:val="es-PE"/>
        </w:rPr>
        <w:t>.</w:t>
      </w:r>
      <w:r w:rsidR="00456590">
        <w:rPr>
          <w:rFonts w:asciiTheme="majorHAnsi" w:hAnsiTheme="majorHAnsi" w:cstheme="majorHAnsi"/>
          <w:sz w:val="22"/>
          <w:szCs w:val="22"/>
          <w:lang w:val="es-PE"/>
        </w:rPr>
        <w:t xml:space="preserve"> </w:t>
      </w:r>
      <w:r w:rsidR="00187EF1" w:rsidRPr="002A3E43">
        <w:rPr>
          <w:rFonts w:asciiTheme="majorHAnsi" w:hAnsiTheme="majorHAnsi" w:cstheme="majorHAnsi"/>
          <w:sz w:val="22"/>
          <w:szCs w:val="22"/>
          <w:lang w:val="es-PE"/>
        </w:rPr>
        <w:t xml:space="preserve">Alrededor de un </w:t>
      </w:r>
      <w:r w:rsidR="00E624CF" w:rsidRPr="002A3E43">
        <w:rPr>
          <w:rFonts w:asciiTheme="majorHAnsi" w:hAnsiTheme="majorHAnsi" w:cstheme="majorHAnsi"/>
          <w:sz w:val="22"/>
          <w:szCs w:val="22"/>
          <w:lang w:val="es-PE"/>
        </w:rPr>
        <w:t>tercio</w:t>
      </w:r>
      <w:r w:rsidR="00187EF1" w:rsidRPr="002A3E43">
        <w:rPr>
          <w:rFonts w:asciiTheme="majorHAnsi" w:hAnsiTheme="majorHAnsi" w:cstheme="majorHAnsi"/>
          <w:sz w:val="22"/>
          <w:szCs w:val="22"/>
          <w:lang w:val="es-PE"/>
        </w:rPr>
        <w:t xml:space="preserve"> de los mismos corresponden a impuestos, situando a Argentina muy por encima del promedio de la región en lo que a carga impositiva sobre los servicios públicos se refiere.</w:t>
      </w:r>
      <w:r w:rsidR="00187EF1" w:rsidRPr="002A3E43">
        <w:rPr>
          <w:rStyle w:val="FootnoteReference"/>
          <w:rFonts w:asciiTheme="majorHAnsi" w:hAnsiTheme="majorHAnsi" w:cstheme="majorHAnsi"/>
          <w:sz w:val="22"/>
          <w:szCs w:val="22"/>
          <w:lang w:val="es-PE"/>
        </w:rPr>
        <w:footnoteReference w:id="32"/>
      </w:r>
      <w:r w:rsidR="00187EF1" w:rsidRPr="002A3E43">
        <w:rPr>
          <w:rFonts w:asciiTheme="majorHAnsi" w:hAnsiTheme="majorHAnsi" w:cstheme="majorHAnsi"/>
          <w:sz w:val="22"/>
          <w:szCs w:val="22"/>
          <w:lang w:val="es-PE"/>
        </w:rPr>
        <w:t xml:space="preserve"> </w:t>
      </w:r>
    </w:p>
    <w:tbl>
      <w:tblPr>
        <w:tblStyle w:val="TableGrid"/>
        <w:tblW w:w="85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7"/>
        <w:gridCol w:w="4298"/>
      </w:tblGrid>
      <w:tr w:rsidR="00C738B1" w:rsidRPr="00F73F2B" w:rsidTr="00C76C1D">
        <w:tc>
          <w:tcPr>
            <w:tcW w:w="8505" w:type="dxa"/>
            <w:gridSpan w:val="2"/>
          </w:tcPr>
          <w:p w:rsidR="00C738B1" w:rsidRPr="00F73F2B" w:rsidRDefault="00C738B1" w:rsidP="00A15206">
            <w:pPr>
              <w:spacing w:before="100" w:beforeAutospacing="1" w:after="100" w:afterAutospacing="1"/>
              <w:jc w:val="center"/>
              <w:rPr>
                <w:rFonts w:asciiTheme="majorHAnsi" w:hAnsiTheme="majorHAnsi" w:cstheme="majorHAnsi"/>
                <w:b/>
                <w:lang w:val="es-ES_tradnl"/>
              </w:rPr>
            </w:pPr>
            <w:r w:rsidRPr="00F73F2B">
              <w:rPr>
                <w:rFonts w:asciiTheme="majorHAnsi" w:hAnsiTheme="majorHAnsi" w:cstheme="majorHAnsi"/>
                <w:b/>
                <w:lang w:val="es-PE"/>
              </w:rPr>
              <w:lastRenderedPageBreak/>
              <w:t xml:space="preserve">Figura </w:t>
            </w:r>
            <w:r w:rsidR="009079C6" w:rsidRPr="00F73F2B">
              <w:rPr>
                <w:rFonts w:asciiTheme="majorHAnsi" w:hAnsiTheme="majorHAnsi" w:cstheme="majorHAnsi"/>
                <w:b/>
                <w:iCs/>
              </w:rPr>
              <w:fldChar w:fldCharType="begin"/>
            </w:r>
            <w:r w:rsidR="009079C6" w:rsidRPr="00F73F2B">
              <w:rPr>
                <w:rFonts w:asciiTheme="majorHAnsi" w:hAnsiTheme="majorHAnsi" w:cstheme="majorHAnsi"/>
                <w:b/>
                <w:iCs/>
                <w:lang w:val="es-ES_tradnl"/>
              </w:rPr>
              <w:instrText xml:space="preserve"> SEQ Figura \* ARABIC </w:instrText>
            </w:r>
            <w:r w:rsidR="009079C6" w:rsidRPr="00F73F2B">
              <w:rPr>
                <w:rFonts w:asciiTheme="majorHAnsi" w:hAnsiTheme="majorHAnsi" w:cstheme="majorHAnsi"/>
                <w:b/>
                <w:iCs/>
              </w:rPr>
              <w:fldChar w:fldCharType="separate"/>
            </w:r>
            <w:r w:rsidR="009079C6" w:rsidRPr="00F73F2B">
              <w:rPr>
                <w:rFonts w:asciiTheme="majorHAnsi" w:hAnsiTheme="majorHAnsi" w:cstheme="majorHAnsi"/>
                <w:b/>
                <w:iCs/>
                <w:noProof/>
                <w:lang w:val="es-ES_tradnl"/>
              </w:rPr>
              <w:t>5</w:t>
            </w:r>
            <w:r w:rsidR="009079C6" w:rsidRPr="00F73F2B">
              <w:rPr>
                <w:rFonts w:asciiTheme="majorHAnsi" w:hAnsiTheme="majorHAnsi" w:cstheme="majorHAnsi"/>
                <w:b/>
                <w:iCs/>
              </w:rPr>
              <w:fldChar w:fldCharType="end"/>
            </w:r>
            <w:r w:rsidR="009079C6" w:rsidRPr="00F73F2B">
              <w:rPr>
                <w:rFonts w:asciiTheme="majorHAnsi" w:hAnsiTheme="majorHAnsi" w:cstheme="majorHAnsi"/>
                <w:b/>
                <w:iCs/>
                <w:lang w:val="es-ES_tradnl"/>
              </w:rPr>
              <w:t>.</w:t>
            </w:r>
            <w:r w:rsidRPr="00F73F2B">
              <w:rPr>
                <w:rFonts w:asciiTheme="majorHAnsi" w:hAnsiTheme="majorHAnsi" w:cstheme="majorHAnsi"/>
                <w:b/>
                <w:lang w:val="es-PE"/>
              </w:rPr>
              <w:t xml:space="preserve"> Gasto promedio anual de los hogares en electricidad y agua en Argentina, </w:t>
            </w:r>
            <w:r w:rsidR="00C57EF7" w:rsidRPr="00F73F2B">
              <w:rPr>
                <w:rFonts w:asciiTheme="majorHAnsi" w:hAnsiTheme="majorHAnsi" w:cstheme="majorHAnsi"/>
                <w:b/>
                <w:lang w:val="es-PE"/>
              </w:rPr>
              <w:t xml:space="preserve">según nivel de ingreso, </w:t>
            </w:r>
            <w:r w:rsidRPr="00F73F2B">
              <w:rPr>
                <w:rFonts w:asciiTheme="majorHAnsi" w:hAnsiTheme="majorHAnsi" w:cstheme="majorHAnsi"/>
                <w:b/>
                <w:lang w:val="es-PE"/>
              </w:rPr>
              <w:t>201</w:t>
            </w:r>
            <w:r w:rsidR="00F73F2B" w:rsidRPr="00F73F2B">
              <w:rPr>
                <w:rFonts w:asciiTheme="majorHAnsi" w:hAnsiTheme="majorHAnsi" w:cstheme="majorHAnsi"/>
                <w:b/>
                <w:lang w:val="es-PE"/>
              </w:rPr>
              <w:t>2/2013</w:t>
            </w:r>
          </w:p>
        </w:tc>
      </w:tr>
      <w:tr w:rsidR="009A40DE" w:rsidRPr="00F73F2B" w:rsidTr="00C76C1D">
        <w:tc>
          <w:tcPr>
            <w:tcW w:w="4207" w:type="dxa"/>
          </w:tcPr>
          <w:p w:rsidR="009A40DE" w:rsidRPr="00F73F2B" w:rsidRDefault="009A40DE" w:rsidP="00A15206">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Electricidad</w:t>
            </w:r>
          </w:p>
        </w:tc>
        <w:tc>
          <w:tcPr>
            <w:tcW w:w="4298" w:type="dxa"/>
          </w:tcPr>
          <w:p w:rsidR="009A40DE" w:rsidRPr="00F73F2B" w:rsidRDefault="009A40DE" w:rsidP="00A15206">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Agua y saneamiento</w:t>
            </w:r>
          </w:p>
        </w:tc>
      </w:tr>
      <w:tr w:rsidR="009A40DE" w:rsidRPr="00F73F2B" w:rsidTr="00C76C1D">
        <w:tc>
          <w:tcPr>
            <w:tcW w:w="4207" w:type="dxa"/>
          </w:tcPr>
          <w:p w:rsidR="009A40DE" w:rsidRPr="00F73F2B" w:rsidRDefault="00F42723" w:rsidP="00A15206">
            <w:pPr>
              <w:spacing w:before="100" w:beforeAutospacing="1" w:after="100" w:afterAutospacing="1"/>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7C917C53" wp14:editId="7EE1FF3D">
                  <wp:extent cx="2533650" cy="1487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3650" cy="1487170"/>
                          </a:xfrm>
                          <a:prstGeom prst="rect">
                            <a:avLst/>
                          </a:prstGeom>
                          <a:noFill/>
                          <a:ln>
                            <a:noFill/>
                          </a:ln>
                        </pic:spPr>
                      </pic:pic>
                    </a:graphicData>
                  </a:graphic>
                </wp:inline>
              </w:drawing>
            </w:r>
          </w:p>
        </w:tc>
        <w:tc>
          <w:tcPr>
            <w:tcW w:w="4298" w:type="dxa"/>
          </w:tcPr>
          <w:p w:rsidR="009A40DE" w:rsidRPr="00F73F2B" w:rsidRDefault="00F42723" w:rsidP="00A15206">
            <w:pPr>
              <w:spacing w:before="100" w:beforeAutospacing="1" w:after="100" w:afterAutospacing="1"/>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42670977" wp14:editId="5984AF49">
                  <wp:extent cx="2588895" cy="152019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8895" cy="1520190"/>
                          </a:xfrm>
                          <a:prstGeom prst="rect">
                            <a:avLst/>
                          </a:prstGeom>
                          <a:noFill/>
                          <a:ln>
                            <a:noFill/>
                          </a:ln>
                        </pic:spPr>
                      </pic:pic>
                    </a:graphicData>
                  </a:graphic>
                </wp:inline>
              </w:drawing>
            </w:r>
          </w:p>
        </w:tc>
      </w:tr>
      <w:tr w:rsidR="00C57EF7" w:rsidRPr="002A3E43" w:rsidTr="00C76C1D">
        <w:tc>
          <w:tcPr>
            <w:tcW w:w="8505" w:type="dxa"/>
            <w:gridSpan w:val="2"/>
          </w:tcPr>
          <w:p w:rsidR="00C57EF7" w:rsidRPr="00C57EF7" w:rsidRDefault="00C57EF7" w:rsidP="00A15206">
            <w:pPr>
              <w:spacing w:before="100" w:beforeAutospacing="1" w:after="100" w:afterAutospacing="1"/>
              <w:jc w:val="both"/>
              <w:rPr>
                <w:rFonts w:asciiTheme="majorHAnsi" w:hAnsiTheme="majorHAnsi" w:cstheme="majorHAnsi"/>
                <w:sz w:val="18"/>
                <w:szCs w:val="18"/>
                <w:lang w:val="es-ES_tradnl"/>
              </w:rPr>
            </w:pPr>
            <w:r w:rsidRPr="00F73F2B">
              <w:rPr>
                <w:rFonts w:asciiTheme="majorHAnsi" w:hAnsiTheme="majorHAnsi" w:cstheme="majorHAnsi"/>
                <w:sz w:val="18"/>
                <w:szCs w:val="18"/>
                <w:lang w:val="es-ES_tradnl"/>
              </w:rPr>
              <w:t>Fuente: Encuesta Nacional de Gastos de los Hogares</w:t>
            </w:r>
            <w:r w:rsidR="00F73F2B">
              <w:rPr>
                <w:rFonts w:asciiTheme="majorHAnsi" w:hAnsiTheme="majorHAnsi" w:cstheme="majorHAnsi"/>
                <w:sz w:val="18"/>
                <w:szCs w:val="18"/>
                <w:lang w:val="es-ES_tradnl"/>
              </w:rPr>
              <w:t xml:space="preserve"> de Argentina </w:t>
            </w:r>
            <w:r w:rsidR="00F73F2B" w:rsidRPr="00F73F2B">
              <w:rPr>
                <w:rFonts w:asciiTheme="majorHAnsi" w:hAnsiTheme="majorHAnsi" w:cstheme="majorHAnsi"/>
                <w:sz w:val="18"/>
                <w:szCs w:val="18"/>
                <w:lang w:val="es-ES_tradnl"/>
              </w:rPr>
              <w:t>(2012/2013</w:t>
            </w:r>
            <w:r w:rsidR="00F73F2B">
              <w:rPr>
                <w:rFonts w:asciiTheme="majorHAnsi" w:hAnsiTheme="majorHAnsi" w:cstheme="majorHAnsi"/>
                <w:sz w:val="18"/>
                <w:szCs w:val="18"/>
                <w:lang w:val="es-ES_tradnl"/>
              </w:rPr>
              <w:t>)</w:t>
            </w:r>
            <w:r w:rsidRPr="00F73F2B">
              <w:rPr>
                <w:rFonts w:asciiTheme="majorHAnsi" w:hAnsiTheme="majorHAnsi" w:cstheme="majorHAnsi"/>
                <w:sz w:val="18"/>
                <w:szCs w:val="18"/>
                <w:lang w:val="es-ES_tradnl"/>
              </w:rPr>
              <w:t>.</w:t>
            </w:r>
            <w:r w:rsidR="00F73F2B">
              <w:rPr>
                <w:rFonts w:asciiTheme="majorHAnsi" w:hAnsiTheme="majorHAnsi" w:cstheme="majorHAnsi"/>
                <w:sz w:val="18"/>
                <w:szCs w:val="18"/>
                <w:lang w:val="es-ES_tradnl"/>
              </w:rPr>
              <w:t xml:space="preserve"> Datos urbanos.</w:t>
            </w:r>
          </w:p>
        </w:tc>
      </w:tr>
    </w:tbl>
    <w:p w:rsidR="00E624CF" w:rsidRDefault="00E624CF"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Las principales figuras impositivas son el impuesto sobre el valor añadido (IVA), que asciende al 21</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los Ingresos Brutos, un 5</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la tasa municipal general del 1</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y una tasa </w:t>
      </w:r>
      <w:r w:rsidR="00921B2C">
        <w:rPr>
          <w:rFonts w:asciiTheme="majorHAnsi" w:hAnsiTheme="majorHAnsi" w:cstheme="majorHAnsi"/>
          <w:sz w:val="22"/>
          <w:szCs w:val="22"/>
          <w:lang w:val="es-PE"/>
        </w:rPr>
        <w:t xml:space="preserve">municipal </w:t>
      </w:r>
      <w:r w:rsidRPr="002A3E43">
        <w:rPr>
          <w:rFonts w:asciiTheme="majorHAnsi" w:hAnsiTheme="majorHAnsi" w:cstheme="majorHAnsi"/>
          <w:sz w:val="22"/>
          <w:szCs w:val="22"/>
          <w:lang w:val="es-PE"/>
        </w:rPr>
        <w:t>específica, que puede ir del 1</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hasta el 10</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w:t>
      </w:r>
      <w:r w:rsidR="00D427FC" w:rsidRPr="002A3E43">
        <w:rPr>
          <w:rFonts w:asciiTheme="majorHAnsi" w:hAnsiTheme="majorHAnsi" w:cstheme="majorHAnsi"/>
          <w:sz w:val="22"/>
          <w:szCs w:val="22"/>
          <w:lang w:val="es-PE"/>
        </w:rPr>
        <w:t>de acuerdo con</w:t>
      </w:r>
      <w:r w:rsidRPr="002A3E43">
        <w:rPr>
          <w:rFonts w:asciiTheme="majorHAnsi" w:hAnsiTheme="majorHAnsi" w:cstheme="majorHAnsi"/>
          <w:sz w:val="22"/>
          <w:szCs w:val="22"/>
          <w:lang w:val="es-PE"/>
        </w:rPr>
        <w:t xml:space="preserve"> lo que resuelva cada intendente</w:t>
      </w:r>
      <w:r w:rsidR="00D427FC">
        <w:rPr>
          <w:rFonts w:asciiTheme="majorHAnsi" w:hAnsiTheme="majorHAnsi" w:cstheme="majorHAnsi"/>
          <w:sz w:val="22"/>
          <w:szCs w:val="22"/>
          <w:lang w:val="es-PE"/>
        </w:rPr>
        <w:t xml:space="preserve"> (figura </w:t>
      </w:r>
      <w:r w:rsidR="00864721">
        <w:rPr>
          <w:rFonts w:asciiTheme="majorHAnsi" w:hAnsiTheme="majorHAnsi" w:cstheme="majorHAnsi"/>
          <w:sz w:val="22"/>
          <w:szCs w:val="22"/>
          <w:lang w:val="es-PE"/>
        </w:rPr>
        <w:t>6</w:t>
      </w:r>
      <w:r w:rsidR="00D427FC">
        <w:rPr>
          <w:rFonts w:asciiTheme="majorHAnsi" w:hAnsiTheme="majorHAnsi" w:cstheme="majorHAnsi"/>
          <w:sz w:val="22"/>
          <w:szCs w:val="22"/>
          <w:lang w:val="es-PE"/>
        </w:rPr>
        <w:t>)</w:t>
      </w:r>
      <w:r w:rsidRPr="002A3E43">
        <w:rPr>
          <w:rFonts w:asciiTheme="majorHAnsi" w:hAnsiTheme="majorHAnsi" w:cstheme="majorHAnsi"/>
          <w:sz w:val="22"/>
          <w:szCs w:val="22"/>
          <w:lang w:val="es-PE"/>
        </w:rPr>
        <w:t>.</w:t>
      </w:r>
      <w:r w:rsidR="00921B2C">
        <w:rPr>
          <w:rStyle w:val="FootnoteReference"/>
          <w:rFonts w:asciiTheme="majorHAnsi" w:hAnsiTheme="majorHAnsi" w:cstheme="majorHAnsi"/>
          <w:sz w:val="22"/>
          <w:szCs w:val="22"/>
          <w:lang w:val="es-PE"/>
        </w:rPr>
        <w:footnoteReference w:id="33"/>
      </w:r>
      <w:r w:rsidR="00921B2C">
        <w:rPr>
          <w:rFonts w:asciiTheme="majorHAnsi" w:hAnsiTheme="majorHAnsi" w:cstheme="majorHAnsi"/>
          <w:sz w:val="22"/>
          <w:szCs w:val="22"/>
          <w:lang w:val="es-PE"/>
        </w:rPr>
        <w:t xml:space="preserve"> Así, e</w:t>
      </w:r>
      <w:r w:rsidR="00921B2C" w:rsidRPr="00921B2C">
        <w:rPr>
          <w:rFonts w:asciiTheme="majorHAnsi" w:hAnsiTheme="majorHAnsi" w:cstheme="majorHAnsi"/>
          <w:sz w:val="22"/>
          <w:szCs w:val="22"/>
          <w:lang w:val="es-PE"/>
        </w:rPr>
        <w:t>sta carga tributaria representa el 37</w:t>
      </w:r>
      <w:r w:rsidR="0060615A">
        <w:rPr>
          <w:rFonts w:asciiTheme="majorHAnsi" w:hAnsiTheme="majorHAnsi" w:cstheme="majorHAnsi"/>
          <w:sz w:val="22"/>
          <w:szCs w:val="22"/>
          <w:lang w:val="es-PE"/>
        </w:rPr>
        <w:t xml:space="preserve"> por ciento</w:t>
      </w:r>
      <w:r w:rsidR="00921B2C" w:rsidRPr="00921B2C">
        <w:rPr>
          <w:rFonts w:asciiTheme="majorHAnsi" w:hAnsiTheme="majorHAnsi" w:cstheme="majorHAnsi"/>
          <w:sz w:val="22"/>
          <w:szCs w:val="22"/>
          <w:lang w:val="es-PE"/>
        </w:rPr>
        <w:t xml:space="preserve"> del </w:t>
      </w:r>
      <w:r w:rsidR="00B06749" w:rsidRPr="00B06749">
        <w:rPr>
          <w:rFonts w:asciiTheme="majorHAnsi" w:hAnsiTheme="majorHAnsi" w:cstheme="majorHAnsi"/>
          <w:sz w:val="22"/>
          <w:szCs w:val="22"/>
          <w:lang w:val="es-PE"/>
        </w:rPr>
        <w:t>costo del servicio antes de impuestos</w:t>
      </w:r>
      <w:r w:rsidR="0060615A">
        <w:rPr>
          <w:rFonts w:asciiTheme="majorHAnsi" w:hAnsiTheme="majorHAnsi" w:cstheme="majorHAnsi"/>
          <w:sz w:val="22"/>
          <w:szCs w:val="22"/>
          <w:lang w:val="es-PE"/>
        </w:rPr>
        <w:t>, lo que hace que 27 por ciento de la factura corresponda a la carga tributaria.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C76C1D" w:rsidTr="0060615A">
        <w:trPr>
          <w:jc w:val="center"/>
        </w:trPr>
        <w:tc>
          <w:tcPr>
            <w:tcW w:w="8498" w:type="dxa"/>
          </w:tcPr>
          <w:p w:rsidR="00C76C1D" w:rsidRPr="002A3E43" w:rsidRDefault="00C76C1D" w:rsidP="009079C6">
            <w:pPr>
              <w:spacing w:before="100" w:beforeAutospacing="1" w:after="100" w:afterAutospacing="1"/>
              <w:jc w:val="center"/>
              <w:rPr>
                <w:rFonts w:asciiTheme="majorHAnsi" w:hAnsiTheme="majorHAnsi" w:cstheme="majorHAnsi"/>
                <w:b/>
                <w:lang w:val="es-PE"/>
              </w:rPr>
            </w:pPr>
            <w:r w:rsidRPr="002A3E43">
              <w:rPr>
                <w:rFonts w:asciiTheme="majorHAnsi" w:hAnsiTheme="majorHAnsi" w:cstheme="majorHAnsi"/>
                <w:b/>
                <w:lang w:val="es-PE"/>
              </w:rPr>
              <w:t xml:space="preserve">Figura </w:t>
            </w:r>
            <w:r w:rsidRPr="009079C6">
              <w:rPr>
                <w:rFonts w:asciiTheme="majorHAnsi" w:hAnsiTheme="majorHAnsi" w:cstheme="majorHAnsi"/>
                <w:b/>
                <w:iCs/>
              </w:rPr>
              <w:fldChar w:fldCharType="begin"/>
            </w:r>
            <w:r w:rsidRPr="009079C6">
              <w:rPr>
                <w:rFonts w:asciiTheme="majorHAnsi" w:hAnsiTheme="majorHAnsi" w:cstheme="majorHAnsi"/>
                <w:b/>
                <w:iCs/>
                <w:lang w:val="es-ES_tradnl"/>
              </w:rPr>
              <w:instrText xml:space="preserve"> SEQ Figura \* ARABIC </w:instrText>
            </w:r>
            <w:r w:rsidRPr="009079C6">
              <w:rPr>
                <w:rFonts w:asciiTheme="majorHAnsi" w:hAnsiTheme="majorHAnsi" w:cstheme="majorHAnsi"/>
                <w:b/>
                <w:iCs/>
              </w:rPr>
              <w:fldChar w:fldCharType="separate"/>
            </w:r>
            <w:r w:rsidRPr="009079C6">
              <w:rPr>
                <w:rFonts w:asciiTheme="majorHAnsi" w:hAnsiTheme="majorHAnsi" w:cstheme="majorHAnsi"/>
                <w:b/>
                <w:iCs/>
                <w:noProof/>
                <w:lang w:val="es-ES_tradnl"/>
              </w:rPr>
              <w:t>6</w:t>
            </w:r>
            <w:r w:rsidRPr="009079C6">
              <w:rPr>
                <w:rFonts w:asciiTheme="majorHAnsi" w:hAnsiTheme="majorHAnsi" w:cstheme="majorHAnsi"/>
                <w:b/>
                <w:iCs/>
              </w:rPr>
              <w:fldChar w:fldCharType="end"/>
            </w:r>
            <w:r w:rsidRPr="009079C6">
              <w:rPr>
                <w:rFonts w:asciiTheme="majorHAnsi" w:hAnsiTheme="majorHAnsi" w:cstheme="majorHAnsi"/>
                <w:b/>
                <w:iCs/>
                <w:lang w:val="es-ES_tradnl"/>
              </w:rPr>
              <w:t xml:space="preserve">. </w:t>
            </w:r>
            <w:r w:rsidRPr="002A3E43">
              <w:rPr>
                <w:rFonts w:asciiTheme="majorHAnsi" w:hAnsiTheme="majorHAnsi" w:cstheme="majorHAnsi"/>
                <w:b/>
                <w:lang w:val="es-PE"/>
              </w:rPr>
              <w:t xml:space="preserve">Participación por impuesto y nivel de gobierno en la carga tributaria indirecta sobre los servicios (como porcentaje </w:t>
            </w:r>
            <w:r w:rsidR="00B06749">
              <w:rPr>
                <w:rFonts w:asciiTheme="majorHAnsi" w:hAnsiTheme="majorHAnsi" w:cstheme="majorHAnsi"/>
                <w:b/>
                <w:lang w:val="es-PE"/>
              </w:rPr>
              <w:t xml:space="preserve">del </w:t>
            </w:r>
            <w:r w:rsidR="00B06749" w:rsidRPr="00B06749">
              <w:rPr>
                <w:rFonts w:asciiTheme="majorHAnsi" w:hAnsiTheme="majorHAnsi" w:cstheme="majorHAnsi"/>
                <w:b/>
                <w:lang w:val="es-PE"/>
              </w:rPr>
              <w:t>costo del servicio antes de impuestos)</w:t>
            </w:r>
            <w:r>
              <w:rPr>
                <w:rFonts w:asciiTheme="majorHAnsi" w:hAnsiTheme="majorHAnsi" w:cstheme="majorHAnsi"/>
                <w:b/>
                <w:lang w:val="es-PE"/>
              </w:rPr>
              <w:t>, 2016</w:t>
            </w:r>
          </w:p>
        </w:tc>
      </w:tr>
      <w:tr w:rsidR="0003768B" w:rsidTr="0060615A">
        <w:trPr>
          <w:jc w:val="center"/>
        </w:trPr>
        <w:tc>
          <w:tcPr>
            <w:tcW w:w="8498" w:type="dxa"/>
          </w:tcPr>
          <w:p w:rsidR="0003768B" w:rsidRDefault="0003768B" w:rsidP="0003768B">
            <w:pPr>
              <w:spacing w:before="100" w:beforeAutospacing="1" w:after="100" w:afterAutospacing="1"/>
              <w:jc w:val="center"/>
              <w:rPr>
                <w:rFonts w:asciiTheme="majorHAnsi" w:hAnsiTheme="majorHAnsi" w:cstheme="majorHAnsi"/>
                <w:lang w:val="es-PE"/>
              </w:rPr>
            </w:pPr>
            <w:r w:rsidRPr="00C76C1D">
              <w:rPr>
                <w:rFonts w:asciiTheme="majorHAnsi" w:hAnsiTheme="majorHAnsi" w:cstheme="majorHAnsi"/>
                <w:noProof/>
                <w:lang w:val="es-PE"/>
              </w:rPr>
              <w:drawing>
                <wp:inline distT="0" distB="0" distL="0" distR="0" wp14:anchorId="13D6CE22" wp14:editId="61E74E59">
                  <wp:extent cx="1930400" cy="21416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1509" cy="2142917"/>
                          </a:xfrm>
                          <a:prstGeom prst="rect">
                            <a:avLst/>
                          </a:prstGeom>
                          <a:noFill/>
                          <a:ln>
                            <a:noFill/>
                          </a:ln>
                        </pic:spPr>
                      </pic:pic>
                    </a:graphicData>
                  </a:graphic>
                </wp:inline>
              </w:drawing>
            </w:r>
          </w:p>
        </w:tc>
      </w:tr>
      <w:tr w:rsidR="00C76C1D" w:rsidTr="0060615A">
        <w:trPr>
          <w:jc w:val="center"/>
        </w:trPr>
        <w:tc>
          <w:tcPr>
            <w:tcW w:w="8498" w:type="dxa"/>
          </w:tcPr>
          <w:p w:rsidR="00C76C1D" w:rsidRPr="009079C6" w:rsidRDefault="00C76C1D" w:rsidP="009079C6">
            <w:pPr>
              <w:spacing w:before="100" w:beforeAutospacing="1" w:after="100" w:afterAutospacing="1"/>
              <w:rPr>
                <w:rFonts w:asciiTheme="majorHAnsi" w:hAnsiTheme="majorHAnsi" w:cstheme="majorHAnsi"/>
                <w:sz w:val="18"/>
                <w:szCs w:val="18"/>
                <w:lang w:val="es-PE"/>
              </w:rPr>
            </w:pPr>
            <w:r w:rsidRPr="009079C6">
              <w:rPr>
                <w:rFonts w:asciiTheme="majorHAnsi" w:hAnsiTheme="majorHAnsi" w:cstheme="majorHAnsi"/>
                <w:sz w:val="18"/>
                <w:szCs w:val="18"/>
                <w:lang w:val="es-PE"/>
              </w:rPr>
              <w:t>Fuente: Instituto Argentino de Análisis Fiscal (IARAF</w:t>
            </w:r>
            <w:r w:rsidR="003C1B37">
              <w:rPr>
                <w:rFonts w:asciiTheme="majorHAnsi" w:hAnsiTheme="majorHAnsi" w:cstheme="majorHAnsi"/>
                <w:sz w:val="18"/>
                <w:szCs w:val="18"/>
                <w:lang w:val="es-PE"/>
              </w:rPr>
              <w:t>, 2018</w:t>
            </w:r>
            <w:r w:rsidRPr="009079C6">
              <w:rPr>
                <w:rFonts w:asciiTheme="majorHAnsi" w:hAnsiTheme="majorHAnsi" w:cstheme="majorHAnsi"/>
                <w:sz w:val="18"/>
                <w:szCs w:val="18"/>
                <w:lang w:val="es-PE"/>
              </w:rPr>
              <w:t>).</w:t>
            </w:r>
          </w:p>
        </w:tc>
      </w:tr>
    </w:tbl>
    <w:p w:rsidR="00954FD9" w:rsidRDefault="00424745"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Argentina</w:t>
      </w:r>
      <w:r w:rsidR="00954FD9" w:rsidRPr="002A3E43">
        <w:rPr>
          <w:rFonts w:asciiTheme="majorHAnsi" w:hAnsiTheme="majorHAnsi" w:cstheme="majorHAnsi"/>
          <w:sz w:val="22"/>
          <w:szCs w:val="22"/>
        </w:rPr>
        <w:t xml:space="preserve"> tiene una estructura de gobierno federal, las provincias tienen la potestad de legislar sobre los impuestos a los servicios públicos</w:t>
      </w:r>
      <w:r w:rsidR="00D427FC">
        <w:rPr>
          <w:rFonts w:asciiTheme="majorHAnsi" w:hAnsiTheme="majorHAnsi" w:cstheme="majorHAnsi"/>
          <w:sz w:val="22"/>
          <w:szCs w:val="22"/>
        </w:rPr>
        <w:t xml:space="preserve"> y de la misma manera </w:t>
      </w:r>
      <w:r w:rsidR="00954FD9" w:rsidRPr="002A3E43">
        <w:rPr>
          <w:rFonts w:asciiTheme="majorHAnsi" w:hAnsiTheme="majorHAnsi" w:cstheme="majorHAnsi"/>
          <w:sz w:val="22"/>
          <w:szCs w:val="22"/>
        </w:rPr>
        <w:t xml:space="preserve">los municipios. En 2002, la Secretaria de Energía </w:t>
      </w:r>
      <w:r w:rsidRPr="002A3E43">
        <w:rPr>
          <w:rFonts w:asciiTheme="majorHAnsi" w:hAnsiTheme="majorHAnsi" w:cstheme="majorHAnsi"/>
          <w:sz w:val="22"/>
          <w:szCs w:val="22"/>
        </w:rPr>
        <w:t>desarrolló</w:t>
      </w:r>
      <w:r w:rsidR="00954FD9" w:rsidRPr="002A3E43">
        <w:rPr>
          <w:rFonts w:asciiTheme="majorHAnsi" w:hAnsiTheme="majorHAnsi" w:cstheme="majorHAnsi"/>
          <w:sz w:val="22"/>
          <w:szCs w:val="22"/>
        </w:rPr>
        <w:t xml:space="preserve"> un informe donde se revisaban los impuestos en las principales provincias del país. Estos datos son complementados con </w:t>
      </w:r>
      <w:r w:rsidRPr="002A3E43">
        <w:rPr>
          <w:rFonts w:asciiTheme="majorHAnsi" w:hAnsiTheme="majorHAnsi" w:cstheme="majorHAnsi"/>
          <w:sz w:val="22"/>
          <w:szCs w:val="22"/>
        </w:rPr>
        <w:t>información</w:t>
      </w:r>
      <w:r w:rsidR="00954FD9" w:rsidRPr="002A3E43">
        <w:rPr>
          <w:rFonts w:asciiTheme="majorHAnsi" w:hAnsiTheme="majorHAnsi" w:cstheme="majorHAnsi"/>
          <w:sz w:val="22"/>
          <w:szCs w:val="22"/>
        </w:rPr>
        <w:t xml:space="preserve"> </w:t>
      </w:r>
      <w:r w:rsidR="00D427FC">
        <w:rPr>
          <w:rFonts w:asciiTheme="majorHAnsi" w:hAnsiTheme="majorHAnsi" w:cstheme="majorHAnsi"/>
          <w:sz w:val="22"/>
          <w:szCs w:val="22"/>
        </w:rPr>
        <w:t xml:space="preserve">recopilada </w:t>
      </w:r>
      <w:r w:rsidR="00D427FC" w:rsidRPr="002A3E43">
        <w:rPr>
          <w:rFonts w:asciiTheme="majorHAnsi" w:hAnsiTheme="majorHAnsi" w:cstheme="majorHAnsi"/>
          <w:sz w:val="22"/>
          <w:szCs w:val="22"/>
        </w:rPr>
        <w:t>por la Asociación de Distribuidoras de Energía Eléctrica de la República Argentina en el 2016</w:t>
      </w:r>
      <w:r w:rsidR="00D427FC">
        <w:rPr>
          <w:rFonts w:asciiTheme="majorHAnsi" w:hAnsiTheme="majorHAnsi" w:cstheme="majorHAnsi"/>
          <w:sz w:val="22"/>
          <w:szCs w:val="22"/>
        </w:rPr>
        <w:t xml:space="preserve"> </w:t>
      </w:r>
      <w:r w:rsidR="00954FD9" w:rsidRPr="002A3E43">
        <w:rPr>
          <w:rFonts w:asciiTheme="majorHAnsi" w:hAnsiTheme="majorHAnsi" w:cstheme="majorHAnsi"/>
          <w:sz w:val="22"/>
          <w:szCs w:val="22"/>
        </w:rPr>
        <w:t xml:space="preserve">sobre impuestos y cargos en todos los niveles de gobierno que enfrentan casi </w:t>
      </w:r>
      <w:r w:rsidR="00D427FC">
        <w:rPr>
          <w:rFonts w:asciiTheme="majorHAnsi" w:hAnsiTheme="majorHAnsi" w:cstheme="majorHAnsi"/>
          <w:sz w:val="22"/>
          <w:szCs w:val="22"/>
        </w:rPr>
        <w:t xml:space="preserve">la </w:t>
      </w:r>
      <w:r w:rsidR="00954FD9" w:rsidRPr="002A3E43">
        <w:rPr>
          <w:rFonts w:asciiTheme="majorHAnsi" w:hAnsiTheme="majorHAnsi" w:cstheme="majorHAnsi"/>
          <w:sz w:val="22"/>
          <w:szCs w:val="22"/>
        </w:rPr>
        <w:t>totalidad de las distribuidoras (públicas o privadas) del país</w:t>
      </w:r>
      <w:r w:rsidR="00D427FC">
        <w:rPr>
          <w:rFonts w:asciiTheme="majorHAnsi" w:hAnsiTheme="majorHAnsi" w:cstheme="majorHAnsi"/>
          <w:sz w:val="22"/>
          <w:szCs w:val="22"/>
        </w:rPr>
        <w:t>.</w:t>
      </w:r>
      <w:r w:rsidR="00954FD9" w:rsidRPr="002A3E43">
        <w:rPr>
          <w:rFonts w:asciiTheme="majorHAnsi" w:hAnsiTheme="majorHAnsi" w:cstheme="majorHAnsi"/>
          <w:sz w:val="22"/>
          <w:szCs w:val="22"/>
        </w:rPr>
        <w:t xml:space="preserve"> </w:t>
      </w:r>
      <w:r w:rsidR="00D427FC">
        <w:rPr>
          <w:rFonts w:asciiTheme="majorHAnsi" w:hAnsiTheme="majorHAnsi" w:cstheme="majorHAnsi"/>
          <w:sz w:val="22"/>
          <w:szCs w:val="22"/>
        </w:rPr>
        <w:t>Así, e</w:t>
      </w:r>
      <w:r w:rsidR="00954FD9" w:rsidRPr="002A3E43">
        <w:rPr>
          <w:rFonts w:asciiTheme="majorHAnsi" w:hAnsiTheme="majorHAnsi" w:cstheme="majorHAnsi"/>
          <w:sz w:val="22"/>
          <w:szCs w:val="22"/>
        </w:rPr>
        <w:t xml:space="preserve">stos datos permiten acceder a una descripción cualitativa y cuantitativa detallada de la estructura impositiva </w:t>
      </w:r>
      <w:r w:rsidR="00D427FC">
        <w:rPr>
          <w:rFonts w:asciiTheme="majorHAnsi" w:hAnsiTheme="majorHAnsi" w:cstheme="majorHAnsi"/>
          <w:sz w:val="22"/>
          <w:szCs w:val="22"/>
        </w:rPr>
        <w:t xml:space="preserve">en el tiempo </w:t>
      </w:r>
      <w:r w:rsidR="00954FD9" w:rsidRPr="002A3E43">
        <w:rPr>
          <w:rFonts w:asciiTheme="majorHAnsi" w:hAnsiTheme="majorHAnsi" w:cstheme="majorHAnsi"/>
          <w:sz w:val="22"/>
          <w:szCs w:val="22"/>
        </w:rPr>
        <w:t xml:space="preserve">en cada una de las distribuidoras provinciales, distinguiendo una gran variedad de tipologías según la forma </w:t>
      </w:r>
      <w:r w:rsidR="00954FD9" w:rsidRPr="002A3E43">
        <w:rPr>
          <w:rFonts w:asciiTheme="majorHAnsi" w:hAnsiTheme="majorHAnsi" w:cstheme="majorHAnsi"/>
          <w:i/>
          <w:sz w:val="22"/>
          <w:szCs w:val="22"/>
        </w:rPr>
        <w:t>ad valorem</w:t>
      </w:r>
      <w:r w:rsidR="00954FD9" w:rsidRPr="002A3E43">
        <w:rPr>
          <w:rFonts w:asciiTheme="majorHAnsi" w:hAnsiTheme="majorHAnsi" w:cstheme="majorHAnsi"/>
          <w:sz w:val="22"/>
          <w:szCs w:val="22"/>
        </w:rPr>
        <w:t xml:space="preserve"> o específica de los impuestos y cargos o su naturaleza uniforme o no uniforme. La figura </w:t>
      </w:r>
      <w:r w:rsidR="00A2289A">
        <w:rPr>
          <w:rFonts w:asciiTheme="majorHAnsi" w:hAnsiTheme="majorHAnsi" w:cstheme="majorHAnsi"/>
          <w:sz w:val="22"/>
          <w:szCs w:val="22"/>
        </w:rPr>
        <w:t>7</w:t>
      </w:r>
      <w:r w:rsidR="00954FD9" w:rsidRPr="002A3E43">
        <w:rPr>
          <w:rFonts w:asciiTheme="majorHAnsi" w:hAnsiTheme="majorHAnsi" w:cstheme="majorHAnsi"/>
          <w:sz w:val="22"/>
          <w:szCs w:val="22"/>
        </w:rPr>
        <w:t xml:space="preserve"> muestra los niveles impositivos en las diferentes provincias argentinas</w:t>
      </w:r>
      <w:r w:rsidR="00D427FC">
        <w:rPr>
          <w:rFonts w:asciiTheme="majorHAnsi" w:hAnsiTheme="majorHAnsi" w:cstheme="majorHAnsi"/>
          <w:sz w:val="22"/>
          <w:szCs w:val="22"/>
        </w:rPr>
        <w:t xml:space="preserve"> para el 2000 y 2016</w:t>
      </w:r>
      <w:r w:rsidR="00954FD9" w:rsidRPr="002A3E43">
        <w:rPr>
          <w:rFonts w:asciiTheme="majorHAnsi" w:hAnsiTheme="majorHAnsi" w:cstheme="majorHAns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A2289A" w:rsidTr="00A2289A">
        <w:tc>
          <w:tcPr>
            <w:tcW w:w="8488" w:type="dxa"/>
          </w:tcPr>
          <w:p w:rsidR="00A2289A" w:rsidRPr="00A2289A" w:rsidRDefault="00A2289A" w:rsidP="00A2289A">
            <w:pPr>
              <w:spacing w:before="100" w:beforeAutospacing="1" w:after="100" w:afterAutospacing="1"/>
              <w:jc w:val="center"/>
              <w:rPr>
                <w:rFonts w:asciiTheme="majorHAnsi" w:hAnsiTheme="majorHAnsi" w:cstheme="majorHAnsi"/>
                <w:b/>
                <w:lang w:val="es-PE"/>
              </w:rPr>
            </w:pPr>
            <w:r w:rsidRPr="002A3E43">
              <w:rPr>
                <w:rFonts w:asciiTheme="majorHAnsi" w:hAnsiTheme="majorHAnsi" w:cstheme="majorHAnsi"/>
                <w:b/>
                <w:lang w:val="es-PE"/>
              </w:rPr>
              <w:lastRenderedPageBreak/>
              <w:t xml:space="preserve">Figura </w:t>
            </w:r>
            <w:r w:rsidRPr="009079C6">
              <w:rPr>
                <w:rFonts w:asciiTheme="majorHAnsi" w:hAnsiTheme="majorHAnsi" w:cstheme="majorHAnsi"/>
                <w:b/>
                <w:iCs/>
              </w:rPr>
              <w:fldChar w:fldCharType="begin"/>
            </w:r>
            <w:r w:rsidRPr="009079C6">
              <w:rPr>
                <w:rFonts w:asciiTheme="majorHAnsi" w:hAnsiTheme="majorHAnsi" w:cstheme="majorHAnsi"/>
                <w:b/>
                <w:iCs/>
                <w:lang w:val="es-ES_tradnl"/>
              </w:rPr>
              <w:instrText xml:space="preserve"> SEQ Figura \* ARABIC </w:instrText>
            </w:r>
            <w:r w:rsidRPr="009079C6">
              <w:rPr>
                <w:rFonts w:asciiTheme="majorHAnsi" w:hAnsiTheme="majorHAnsi" w:cstheme="majorHAnsi"/>
                <w:b/>
                <w:iCs/>
              </w:rPr>
              <w:fldChar w:fldCharType="separate"/>
            </w:r>
            <w:r>
              <w:rPr>
                <w:rFonts w:asciiTheme="majorHAnsi" w:hAnsiTheme="majorHAnsi" w:cstheme="majorHAnsi"/>
                <w:b/>
                <w:iCs/>
                <w:noProof/>
              </w:rPr>
              <w:t>7</w:t>
            </w:r>
            <w:r w:rsidRPr="009079C6">
              <w:rPr>
                <w:rFonts w:asciiTheme="majorHAnsi" w:hAnsiTheme="majorHAnsi" w:cstheme="majorHAnsi"/>
                <w:b/>
                <w:iCs/>
              </w:rPr>
              <w:fldChar w:fldCharType="end"/>
            </w:r>
            <w:r w:rsidRPr="009079C6">
              <w:rPr>
                <w:rFonts w:asciiTheme="majorHAnsi" w:hAnsiTheme="majorHAnsi" w:cstheme="majorHAnsi"/>
                <w:b/>
                <w:iCs/>
                <w:lang w:val="es-ES_tradnl"/>
              </w:rPr>
              <w:t xml:space="preserve">. </w:t>
            </w:r>
            <w:r w:rsidRPr="002A3E43">
              <w:rPr>
                <w:rFonts w:asciiTheme="majorHAnsi" w:hAnsiTheme="majorHAnsi" w:cstheme="majorHAnsi"/>
                <w:b/>
                <w:lang w:val="es-PE"/>
              </w:rPr>
              <w:t>Comparativo de cargas impositivas totales sobre el consumo residencial de energía eléctrica por provincia. 2000 vs. 2016</w:t>
            </w:r>
          </w:p>
        </w:tc>
      </w:tr>
      <w:tr w:rsidR="00A2289A" w:rsidTr="00A2289A">
        <w:tc>
          <w:tcPr>
            <w:tcW w:w="8488" w:type="dxa"/>
          </w:tcPr>
          <w:p w:rsidR="00A2289A" w:rsidRDefault="00A2289A" w:rsidP="00A15206">
            <w:pPr>
              <w:spacing w:before="100" w:beforeAutospacing="1" w:after="100" w:afterAutospacing="1"/>
              <w:jc w:val="both"/>
              <w:rPr>
                <w:rFonts w:asciiTheme="majorHAnsi" w:hAnsiTheme="majorHAnsi" w:cstheme="majorHAnsi"/>
              </w:rPr>
            </w:pPr>
            <w:r w:rsidRPr="002A3E43">
              <w:rPr>
                <w:rFonts w:asciiTheme="majorHAnsi" w:hAnsiTheme="majorHAnsi" w:cstheme="majorHAnsi"/>
                <w:noProof/>
                <w:lang w:val="es-ES"/>
              </w:rPr>
              <w:drawing>
                <wp:inline distT="0" distB="0" distL="0" distR="0" wp14:anchorId="301AD4A9" wp14:editId="35D61B7B">
                  <wp:extent cx="5401876" cy="2818851"/>
                  <wp:effectExtent l="0" t="0" r="889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87" t="19149" r="1521" b="6017"/>
                          <a:stretch/>
                        </pic:blipFill>
                        <pic:spPr bwMode="auto">
                          <a:xfrm>
                            <a:off x="0" y="0"/>
                            <a:ext cx="5413616" cy="282497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A2289A" w:rsidTr="00A2289A">
        <w:tc>
          <w:tcPr>
            <w:tcW w:w="8488" w:type="dxa"/>
          </w:tcPr>
          <w:p w:rsidR="00A2289A" w:rsidRPr="00A2289A" w:rsidRDefault="00A2289A" w:rsidP="00A2289A">
            <w:pPr>
              <w:spacing w:before="100" w:beforeAutospacing="1" w:after="100" w:afterAutospacing="1"/>
              <w:rPr>
                <w:rFonts w:asciiTheme="majorHAnsi" w:hAnsiTheme="majorHAnsi" w:cstheme="majorHAnsi"/>
                <w:sz w:val="18"/>
                <w:szCs w:val="18"/>
                <w:lang w:val="es-PE"/>
              </w:rPr>
            </w:pPr>
            <w:r w:rsidRPr="00A2289A">
              <w:rPr>
                <w:rFonts w:asciiTheme="majorHAnsi" w:hAnsiTheme="majorHAnsi" w:cstheme="majorHAnsi"/>
                <w:sz w:val="18"/>
                <w:szCs w:val="18"/>
                <w:lang w:val="es-PE"/>
              </w:rPr>
              <w:t>Fuente: Secretaría de Energía para 2002; ADEERA para 2016.</w:t>
            </w:r>
          </w:p>
        </w:tc>
      </w:tr>
    </w:tbl>
    <w:p w:rsidR="00954FD9" w:rsidRPr="002A3E43" w:rsidRDefault="00954FD9"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Los datos </w:t>
      </w:r>
      <w:r w:rsidR="00CD2F03" w:rsidRPr="002A3E43">
        <w:rPr>
          <w:rFonts w:asciiTheme="majorHAnsi" w:hAnsiTheme="majorHAnsi" w:cstheme="majorHAnsi"/>
          <w:sz w:val="22"/>
          <w:szCs w:val="22"/>
        </w:rPr>
        <w:t>muestran</w:t>
      </w:r>
      <w:r w:rsidRPr="002A3E43">
        <w:rPr>
          <w:rFonts w:asciiTheme="majorHAnsi" w:hAnsiTheme="majorHAnsi" w:cstheme="majorHAnsi"/>
          <w:sz w:val="22"/>
          <w:szCs w:val="22"/>
        </w:rPr>
        <w:t xml:space="preserve"> los elevados niveles de la carga tributaria total en las provincias argentinas</w:t>
      </w:r>
      <w:r w:rsidR="000657B7" w:rsidRPr="002A3E43">
        <w:rPr>
          <w:rFonts w:asciiTheme="majorHAnsi" w:hAnsiTheme="majorHAnsi" w:cstheme="majorHAnsi"/>
          <w:sz w:val="22"/>
          <w:szCs w:val="22"/>
        </w:rPr>
        <w:t xml:space="preserve"> con mayor población</w:t>
      </w:r>
      <w:r w:rsidRPr="002A3E43">
        <w:rPr>
          <w:rFonts w:asciiTheme="majorHAnsi" w:hAnsiTheme="majorHAnsi" w:cstheme="majorHAnsi"/>
          <w:sz w:val="22"/>
          <w:szCs w:val="22"/>
        </w:rPr>
        <w:t>, con la provincia de Buenos Aires a la cabeza con niveles cercanos al 50</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en algunas jurisdicciones en 2016, siendo además la provincia donde la carga tributaria aument</w:t>
      </w:r>
      <w:r w:rsidR="000657B7" w:rsidRPr="002A3E43">
        <w:rPr>
          <w:rFonts w:asciiTheme="majorHAnsi" w:hAnsiTheme="majorHAnsi" w:cstheme="majorHAnsi"/>
          <w:sz w:val="22"/>
          <w:szCs w:val="22"/>
        </w:rPr>
        <w:t>ó</w:t>
      </w:r>
      <w:r w:rsidRPr="002A3E43">
        <w:rPr>
          <w:rFonts w:asciiTheme="majorHAnsi" w:hAnsiTheme="majorHAnsi" w:cstheme="majorHAnsi"/>
          <w:sz w:val="22"/>
          <w:szCs w:val="22"/>
        </w:rPr>
        <w:t xml:space="preserve"> </w:t>
      </w:r>
      <w:r w:rsidR="009D1185">
        <w:rPr>
          <w:rFonts w:asciiTheme="majorHAnsi" w:hAnsiTheme="majorHAnsi" w:cstheme="majorHAnsi"/>
          <w:sz w:val="22"/>
          <w:szCs w:val="22"/>
        </w:rPr>
        <w:t>considerablemente</w:t>
      </w:r>
      <w:r w:rsidRPr="002A3E43">
        <w:rPr>
          <w:rFonts w:asciiTheme="majorHAnsi" w:hAnsiTheme="majorHAnsi" w:cstheme="majorHAnsi"/>
          <w:sz w:val="22"/>
          <w:szCs w:val="22"/>
        </w:rPr>
        <w:t xml:space="preserve"> respecto a 2002</w:t>
      </w:r>
      <w:r w:rsidR="009D1185">
        <w:rPr>
          <w:rFonts w:asciiTheme="majorHAnsi" w:hAnsiTheme="majorHAnsi" w:cstheme="majorHAnsi"/>
          <w:sz w:val="22"/>
          <w:szCs w:val="22"/>
        </w:rPr>
        <w:t>.</w:t>
      </w:r>
      <w:r w:rsidRPr="002A3E43">
        <w:rPr>
          <w:rFonts w:asciiTheme="majorHAnsi" w:hAnsiTheme="majorHAnsi" w:cstheme="majorHAnsi"/>
          <w:sz w:val="22"/>
          <w:szCs w:val="22"/>
        </w:rPr>
        <w:t xml:space="preserve"> </w:t>
      </w:r>
      <w:r w:rsidR="009D1185">
        <w:rPr>
          <w:rFonts w:asciiTheme="majorHAnsi" w:hAnsiTheme="majorHAnsi" w:cstheme="majorHAnsi"/>
          <w:sz w:val="22"/>
          <w:szCs w:val="22"/>
        </w:rPr>
        <w:t>E</w:t>
      </w:r>
      <w:r w:rsidRPr="002A3E43">
        <w:rPr>
          <w:rFonts w:asciiTheme="majorHAnsi" w:hAnsiTheme="majorHAnsi" w:cstheme="majorHAnsi"/>
          <w:sz w:val="22"/>
          <w:szCs w:val="22"/>
        </w:rPr>
        <w:t xml:space="preserve">ste aumento </w:t>
      </w:r>
      <w:r w:rsidR="009D1185">
        <w:rPr>
          <w:rFonts w:asciiTheme="majorHAnsi" w:hAnsiTheme="majorHAnsi" w:cstheme="majorHAnsi"/>
          <w:sz w:val="22"/>
          <w:szCs w:val="22"/>
        </w:rPr>
        <w:t>es</w:t>
      </w:r>
      <w:r w:rsidRPr="002A3E43">
        <w:rPr>
          <w:rFonts w:asciiTheme="majorHAnsi" w:hAnsiTheme="majorHAnsi" w:cstheme="majorHAnsi"/>
          <w:sz w:val="22"/>
          <w:szCs w:val="22"/>
        </w:rPr>
        <w:t xml:space="preserve"> debido a un impuesto provincial que alimenta un fondo redistributivo a los usuarios domiciliarios en zonas elegidas de la provincia</w:t>
      </w:r>
      <w:r w:rsidRPr="002A3E43">
        <w:rPr>
          <w:rStyle w:val="FootnoteReference"/>
          <w:rFonts w:asciiTheme="majorHAnsi" w:hAnsiTheme="majorHAnsi" w:cstheme="majorHAnsi"/>
          <w:sz w:val="22"/>
          <w:szCs w:val="22"/>
        </w:rPr>
        <w:footnoteReference w:id="34"/>
      </w:r>
      <w:r w:rsidRPr="002A3E43">
        <w:rPr>
          <w:rFonts w:asciiTheme="majorHAnsi" w:hAnsiTheme="majorHAnsi" w:cstheme="majorHAnsi"/>
          <w:sz w:val="22"/>
          <w:szCs w:val="22"/>
        </w:rPr>
        <w:t xml:space="preserve">, </w:t>
      </w:r>
      <w:r w:rsidR="009D1185">
        <w:rPr>
          <w:rFonts w:asciiTheme="majorHAnsi" w:hAnsiTheme="majorHAnsi" w:cstheme="majorHAnsi"/>
          <w:sz w:val="22"/>
          <w:szCs w:val="22"/>
        </w:rPr>
        <w:t>por lo que resulta</w:t>
      </w:r>
      <w:r w:rsidRPr="002A3E43">
        <w:rPr>
          <w:rFonts w:asciiTheme="majorHAnsi" w:hAnsiTheme="majorHAnsi" w:cstheme="majorHAnsi"/>
          <w:sz w:val="22"/>
          <w:szCs w:val="22"/>
        </w:rPr>
        <w:t xml:space="preserve"> un mecanismo de impuesto y subsidio redistributivo </w:t>
      </w:r>
      <w:r w:rsidR="002856BB" w:rsidRPr="002A3E43">
        <w:rPr>
          <w:rFonts w:asciiTheme="majorHAnsi" w:hAnsiTheme="majorHAnsi" w:cstheme="majorHAnsi"/>
          <w:sz w:val="22"/>
          <w:szCs w:val="22"/>
        </w:rPr>
        <w:t>más</w:t>
      </w:r>
      <w:r w:rsidRPr="002A3E43">
        <w:rPr>
          <w:rFonts w:asciiTheme="majorHAnsi" w:hAnsiTheme="majorHAnsi" w:cstheme="majorHAnsi"/>
          <w:sz w:val="22"/>
          <w:szCs w:val="22"/>
        </w:rPr>
        <w:t xml:space="preserve"> que un impuesto convencional. Sacando este efecto entonces se observa que la carga tributaria total en las principales provincias argentinas se mantuvo elevada entre 2002 y 2016, con la provincia de Buenos Aires en niveles superiores al 40</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y el resto de las provincias </w:t>
      </w:r>
      <w:r w:rsidR="00602E48">
        <w:rPr>
          <w:rFonts w:asciiTheme="majorHAnsi" w:hAnsiTheme="majorHAnsi" w:cstheme="majorHAnsi"/>
          <w:sz w:val="22"/>
          <w:szCs w:val="22"/>
        </w:rPr>
        <w:t xml:space="preserve">alrededor de tasas de </w:t>
      </w:r>
      <w:r w:rsidRPr="002A3E43">
        <w:rPr>
          <w:rFonts w:asciiTheme="majorHAnsi" w:hAnsiTheme="majorHAnsi" w:cstheme="majorHAnsi"/>
          <w:sz w:val="22"/>
          <w:szCs w:val="22"/>
        </w:rPr>
        <w:t>30</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según los datos de Secretaría de Energía (2002) y ADEERA para 2016. Si se tiene en cuenta que la tributación general a las ventas en la Argentina tiene una tasa del 21</w:t>
      </w:r>
      <w:r w:rsidR="00937497" w:rsidRPr="002A3E43">
        <w:rPr>
          <w:rFonts w:asciiTheme="majorHAnsi" w:hAnsiTheme="majorHAnsi" w:cstheme="majorHAnsi"/>
          <w:sz w:val="22"/>
          <w:szCs w:val="22"/>
        </w:rPr>
        <w:t xml:space="preserve"> por ciento</w:t>
      </w:r>
      <w:r w:rsidR="00864721">
        <w:rPr>
          <w:rFonts w:asciiTheme="majorHAnsi" w:hAnsiTheme="majorHAnsi" w:cstheme="majorHAnsi"/>
          <w:sz w:val="22"/>
          <w:szCs w:val="22"/>
        </w:rPr>
        <w:t>,</w:t>
      </w:r>
      <w:r w:rsidRPr="002A3E43">
        <w:rPr>
          <w:rFonts w:asciiTheme="majorHAnsi" w:hAnsiTheme="majorHAnsi" w:cstheme="majorHAnsi"/>
          <w:sz w:val="22"/>
          <w:szCs w:val="22"/>
        </w:rPr>
        <w:t xml:space="preserve"> estamos hablando de alrededor de 20 puntos de tributación adicional en el caso de la provincia de Buenos Aires y </w:t>
      </w:r>
      <w:r w:rsidR="00602E48" w:rsidRPr="002A3E43">
        <w:rPr>
          <w:rFonts w:asciiTheme="majorHAnsi" w:hAnsiTheme="majorHAnsi" w:cstheme="majorHAnsi"/>
          <w:sz w:val="22"/>
          <w:szCs w:val="22"/>
        </w:rPr>
        <w:t>10 puntos</w:t>
      </w:r>
      <w:r w:rsidR="00602E48">
        <w:rPr>
          <w:rFonts w:asciiTheme="majorHAnsi" w:hAnsiTheme="majorHAnsi" w:cstheme="majorHAnsi"/>
          <w:sz w:val="22"/>
          <w:szCs w:val="22"/>
        </w:rPr>
        <w:t xml:space="preserve"> en </w:t>
      </w:r>
      <w:r w:rsidRPr="002A3E43">
        <w:rPr>
          <w:rFonts w:asciiTheme="majorHAnsi" w:hAnsiTheme="majorHAnsi" w:cstheme="majorHAnsi"/>
          <w:sz w:val="22"/>
          <w:szCs w:val="22"/>
        </w:rPr>
        <w:t xml:space="preserve">sus municipios (resto de las provincias grandes). Dada la magnitud relativa del consumo, esto implica que los usuarios domiciliarios de energía eléctrica de la Argentina enfrentan en promedio alrededor de 15 puntos adicionales a la tributación general a las ventas. </w:t>
      </w:r>
    </w:p>
    <w:p w:rsidR="00954FD9" w:rsidRDefault="00954FD9"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La riqueza de la base de datos de ADEERA permite ir más allá de la información descriptiva del informe de la Secretaria de Energía (2002) con el propósito de explorar la tipología de casos en materia de niveles y estructuras impositivas. De este modo, se observa la existencia de una gran variedad de casos que </w:t>
      </w:r>
      <w:r w:rsidR="00602E48">
        <w:rPr>
          <w:rFonts w:asciiTheme="majorHAnsi" w:hAnsiTheme="majorHAnsi" w:cstheme="majorHAnsi"/>
          <w:sz w:val="22"/>
          <w:szCs w:val="22"/>
        </w:rPr>
        <w:t xml:space="preserve">resalta </w:t>
      </w:r>
      <w:r w:rsidRPr="002A3E43">
        <w:rPr>
          <w:rFonts w:asciiTheme="majorHAnsi" w:hAnsiTheme="majorHAnsi" w:cstheme="majorHAnsi"/>
          <w:sz w:val="22"/>
          <w:szCs w:val="22"/>
        </w:rPr>
        <w:t xml:space="preserve">la necesidad de coordinar la tributación entre provincias y municipios para que los impuestos y cargos sean parejos entre los usuarios domiciliarios. Esto es así porque a pesar de los elevados niveles de la carga tributaria, existen 10 jurisdicciones (de 24) que no tienen o bien impuestos o bien cargos. Sólo 4 (de 24) no tienen impuestos municipales. Los cargos son predominantemente de tipo específico y no uniforme (es decir, son un monto volumétrico por kw/h que cambia </w:t>
      </w:r>
      <w:r w:rsidR="0077490A">
        <w:rPr>
          <w:rFonts w:asciiTheme="majorHAnsi" w:hAnsiTheme="majorHAnsi" w:cstheme="majorHAnsi"/>
          <w:sz w:val="22"/>
          <w:szCs w:val="22"/>
        </w:rPr>
        <w:t>-</w:t>
      </w:r>
      <w:r w:rsidRPr="002A3E43">
        <w:rPr>
          <w:rFonts w:asciiTheme="majorHAnsi" w:hAnsiTheme="majorHAnsi" w:cstheme="majorHAnsi"/>
          <w:sz w:val="22"/>
          <w:szCs w:val="22"/>
        </w:rPr>
        <w:t>crece</w:t>
      </w:r>
      <w:r w:rsidR="0077490A">
        <w:rPr>
          <w:rFonts w:asciiTheme="majorHAnsi" w:hAnsiTheme="majorHAnsi" w:cstheme="majorHAnsi"/>
          <w:sz w:val="22"/>
          <w:szCs w:val="22"/>
        </w:rPr>
        <w:t>-</w:t>
      </w:r>
      <w:r w:rsidRPr="002A3E43">
        <w:rPr>
          <w:rFonts w:asciiTheme="majorHAnsi" w:hAnsiTheme="majorHAnsi" w:cstheme="majorHAnsi"/>
          <w:sz w:val="22"/>
          <w:szCs w:val="22"/>
        </w:rPr>
        <w:t xml:space="preserve"> según el nivel de consumo). Por último, los impuestos provinciales y municipales son predominantemente </w:t>
      </w:r>
      <w:r w:rsidRPr="002A3E43">
        <w:rPr>
          <w:rFonts w:asciiTheme="majorHAnsi" w:hAnsiTheme="majorHAnsi" w:cstheme="majorHAnsi"/>
          <w:i/>
          <w:sz w:val="22"/>
          <w:szCs w:val="22"/>
        </w:rPr>
        <w:t>ad-valorem</w:t>
      </w:r>
      <w:r w:rsidRPr="002A3E43">
        <w:rPr>
          <w:rFonts w:asciiTheme="majorHAnsi" w:hAnsiTheme="majorHAnsi" w:cstheme="majorHAnsi"/>
          <w:sz w:val="22"/>
          <w:szCs w:val="22"/>
        </w:rPr>
        <w:t xml:space="preserve"> y uniformes (es </w:t>
      </w:r>
      <w:r w:rsidRPr="002A3E43">
        <w:rPr>
          <w:rFonts w:asciiTheme="majorHAnsi" w:hAnsiTheme="majorHAnsi" w:cstheme="majorHAnsi"/>
          <w:sz w:val="22"/>
          <w:szCs w:val="22"/>
        </w:rPr>
        <w:lastRenderedPageBreak/>
        <w:t>decir</w:t>
      </w:r>
      <w:r w:rsidR="006F4ED3">
        <w:rPr>
          <w:rFonts w:asciiTheme="majorHAnsi" w:hAnsiTheme="majorHAnsi" w:cstheme="majorHAnsi"/>
          <w:sz w:val="22"/>
          <w:szCs w:val="22"/>
        </w:rPr>
        <w:t>,</w:t>
      </w:r>
      <w:r w:rsidRPr="002A3E43">
        <w:rPr>
          <w:rFonts w:asciiTheme="majorHAnsi" w:hAnsiTheme="majorHAnsi" w:cstheme="majorHAnsi"/>
          <w:sz w:val="22"/>
          <w:szCs w:val="22"/>
        </w:rPr>
        <w:t xml:space="preserve"> una tasa según el precio o valor que se mantiene constante para distintos niveles de consumo).</w:t>
      </w:r>
    </w:p>
    <w:p w:rsidR="004B5CC0" w:rsidRDefault="00730470" w:rsidP="004B5CC0">
      <w:pPr>
        <w:spacing w:before="100" w:beforeAutospacing="1" w:after="100" w:afterAutospacing="1"/>
        <w:jc w:val="both"/>
        <w:rPr>
          <w:rFonts w:asciiTheme="majorHAnsi" w:hAnsiTheme="majorHAnsi" w:cstheme="majorHAnsi"/>
          <w:sz w:val="22"/>
          <w:szCs w:val="22"/>
          <w:lang w:val="es-PE"/>
        </w:rPr>
      </w:pPr>
      <w:r>
        <w:rPr>
          <w:rFonts w:asciiTheme="majorHAnsi" w:hAnsiTheme="majorHAnsi" w:cstheme="majorHAnsi"/>
          <w:sz w:val="22"/>
          <w:szCs w:val="22"/>
        </w:rPr>
        <w:t xml:space="preserve">Para el caso de agua, en el caso de la Gran </w:t>
      </w:r>
      <w:r w:rsidR="00226261">
        <w:rPr>
          <w:rFonts w:asciiTheme="majorHAnsi" w:hAnsiTheme="majorHAnsi" w:cstheme="majorHAnsi"/>
          <w:sz w:val="22"/>
          <w:szCs w:val="22"/>
        </w:rPr>
        <w:t>P</w:t>
      </w:r>
      <w:r>
        <w:rPr>
          <w:rFonts w:asciiTheme="majorHAnsi" w:hAnsiTheme="majorHAnsi" w:cstheme="majorHAnsi"/>
          <w:sz w:val="22"/>
          <w:szCs w:val="22"/>
        </w:rPr>
        <w:t>rovincia de Buenos Aires son 2 los proveedores: A</w:t>
      </w:r>
      <w:r w:rsidR="0049713C">
        <w:rPr>
          <w:rFonts w:asciiTheme="majorHAnsi" w:hAnsiTheme="majorHAnsi" w:cstheme="majorHAnsi"/>
          <w:sz w:val="22"/>
          <w:szCs w:val="22"/>
        </w:rPr>
        <w:t>YSA</w:t>
      </w:r>
      <w:r>
        <w:rPr>
          <w:rFonts w:asciiTheme="majorHAnsi" w:hAnsiTheme="majorHAnsi" w:cstheme="majorHAnsi"/>
          <w:sz w:val="22"/>
          <w:szCs w:val="22"/>
        </w:rPr>
        <w:t xml:space="preserve"> y ABS</w:t>
      </w:r>
      <w:r w:rsidR="0049713C">
        <w:rPr>
          <w:rFonts w:asciiTheme="majorHAnsi" w:hAnsiTheme="majorHAnsi" w:cstheme="majorHAnsi"/>
          <w:sz w:val="22"/>
          <w:szCs w:val="22"/>
        </w:rPr>
        <w:t>A</w:t>
      </w:r>
      <w:r>
        <w:rPr>
          <w:rFonts w:asciiTheme="majorHAnsi" w:hAnsiTheme="majorHAnsi" w:cstheme="majorHAnsi"/>
          <w:sz w:val="22"/>
          <w:szCs w:val="22"/>
        </w:rPr>
        <w:t xml:space="preserve">, en ambos casos la factura de agua solo </w:t>
      </w:r>
      <w:r w:rsidR="0049713C">
        <w:rPr>
          <w:rFonts w:asciiTheme="majorHAnsi" w:hAnsiTheme="majorHAnsi" w:cstheme="majorHAnsi"/>
          <w:sz w:val="22"/>
          <w:szCs w:val="22"/>
        </w:rPr>
        <w:t>está sujeta al IVA de 21</w:t>
      </w:r>
      <w:r w:rsidR="000A3BB6">
        <w:rPr>
          <w:rFonts w:asciiTheme="majorHAnsi" w:hAnsiTheme="majorHAnsi" w:cstheme="majorHAnsi"/>
          <w:sz w:val="22"/>
          <w:szCs w:val="22"/>
        </w:rPr>
        <w:t xml:space="preserve"> por ciento</w:t>
      </w:r>
      <w:r w:rsidR="0049713C">
        <w:rPr>
          <w:rStyle w:val="FootnoteReference"/>
          <w:rFonts w:asciiTheme="majorHAnsi" w:hAnsiTheme="majorHAnsi" w:cstheme="majorHAnsi"/>
          <w:sz w:val="22"/>
          <w:szCs w:val="22"/>
        </w:rPr>
        <w:footnoteReference w:id="35"/>
      </w:r>
      <w:r w:rsidR="004B5CC0">
        <w:rPr>
          <w:rFonts w:asciiTheme="majorHAnsi" w:hAnsiTheme="majorHAnsi" w:cstheme="majorHAnsi"/>
          <w:sz w:val="22"/>
          <w:szCs w:val="22"/>
        </w:rPr>
        <w:t xml:space="preserve">, lo que hace que </w:t>
      </w:r>
      <w:r w:rsidR="004B5CC0">
        <w:rPr>
          <w:rFonts w:asciiTheme="majorHAnsi" w:hAnsiTheme="majorHAnsi" w:cstheme="majorHAnsi"/>
          <w:sz w:val="22"/>
          <w:szCs w:val="22"/>
          <w:lang w:val="es-PE"/>
        </w:rPr>
        <w:t>17 por ciento de la factura corresponda a la carga tributaria.</w:t>
      </w:r>
    </w:p>
    <w:p w:rsidR="002C4F04" w:rsidRPr="00723850" w:rsidRDefault="002C4F04" w:rsidP="00A15206">
      <w:pPr>
        <w:pStyle w:val="ListParagraph"/>
        <w:numPr>
          <w:ilvl w:val="0"/>
          <w:numId w:val="7"/>
        </w:numPr>
        <w:spacing w:before="100" w:beforeAutospacing="1" w:after="100" w:afterAutospacing="1"/>
        <w:jc w:val="both"/>
        <w:rPr>
          <w:rFonts w:asciiTheme="majorHAnsi" w:hAnsiTheme="majorHAnsi" w:cstheme="majorHAnsi"/>
          <w:b/>
        </w:rPr>
      </w:pPr>
      <w:r w:rsidRPr="00723850">
        <w:rPr>
          <w:rFonts w:asciiTheme="majorHAnsi" w:hAnsiTheme="majorHAnsi" w:cstheme="majorHAnsi"/>
          <w:b/>
        </w:rPr>
        <w:t xml:space="preserve">Blindando los servicios domiciliarios </w:t>
      </w:r>
      <w:r w:rsidR="006818BE" w:rsidRPr="00723850">
        <w:rPr>
          <w:rFonts w:asciiTheme="majorHAnsi" w:hAnsiTheme="majorHAnsi" w:cstheme="majorHAnsi"/>
          <w:b/>
        </w:rPr>
        <w:t>de</w:t>
      </w:r>
      <w:r w:rsidRPr="00723850">
        <w:rPr>
          <w:rFonts w:asciiTheme="majorHAnsi" w:hAnsiTheme="majorHAnsi" w:cstheme="majorHAnsi"/>
          <w:b/>
        </w:rPr>
        <w:t xml:space="preserve"> tasas no relacionadas con el servicio: el caso de Perú</w:t>
      </w:r>
    </w:p>
    <w:p w:rsidR="002C4F04" w:rsidRPr="002A3E43" w:rsidRDefault="002C4F04" w:rsidP="00A15206">
      <w:pPr>
        <w:pStyle w:val="Heading3"/>
        <w:jc w:val="both"/>
        <w:rPr>
          <w:rFonts w:asciiTheme="majorHAnsi" w:hAnsiTheme="majorHAnsi" w:cstheme="majorHAnsi"/>
          <w:b w:val="0"/>
          <w:sz w:val="22"/>
          <w:szCs w:val="22"/>
          <w:lang w:val="es-PE"/>
        </w:rPr>
      </w:pPr>
      <w:r w:rsidRPr="002A3E43">
        <w:rPr>
          <w:rFonts w:asciiTheme="majorHAnsi" w:hAnsiTheme="majorHAnsi" w:cstheme="majorHAnsi"/>
          <w:b w:val="0"/>
          <w:sz w:val="22"/>
          <w:szCs w:val="22"/>
          <w:lang w:val="es-PE"/>
        </w:rPr>
        <w:t xml:space="preserve">Perú representa un caso de estudio de cambio legislativo en cuanto a </w:t>
      </w:r>
      <w:r w:rsidR="00064178">
        <w:rPr>
          <w:rFonts w:asciiTheme="majorHAnsi" w:hAnsiTheme="majorHAnsi" w:cstheme="majorHAnsi"/>
          <w:b w:val="0"/>
          <w:sz w:val="22"/>
          <w:szCs w:val="22"/>
          <w:lang w:val="es-PE"/>
        </w:rPr>
        <w:t xml:space="preserve">restringir la </w:t>
      </w:r>
      <w:r w:rsidR="00412EA4">
        <w:rPr>
          <w:rFonts w:asciiTheme="majorHAnsi" w:hAnsiTheme="majorHAnsi" w:cstheme="majorHAnsi"/>
          <w:b w:val="0"/>
          <w:sz w:val="22"/>
          <w:szCs w:val="22"/>
          <w:lang w:val="es-PE"/>
        </w:rPr>
        <w:t xml:space="preserve">posibilidad de </w:t>
      </w:r>
      <w:r w:rsidRPr="002A3E43">
        <w:rPr>
          <w:rFonts w:asciiTheme="majorHAnsi" w:hAnsiTheme="majorHAnsi" w:cstheme="majorHAnsi"/>
          <w:b w:val="0"/>
          <w:sz w:val="22"/>
          <w:szCs w:val="22"/>
          <w:lang w:val="es-PE"/>
        </w:rPr>
        <w:t>adiciona</w:t>
      </w:r>
      <w:r w:rsidR="00412EA4">
        <w:rPr>
          <w:rFonts w:asciiTheme="majorHAnsi" w:hAnsiTheme="majorHAnsi" w:cstheme="majorHAnsi"/>
          <w:b w:val="0"/>
          <w:sz w:val="22"/>
          <w:szCs w:val="22"/>
          <w:lang w:val="es-PE"/>
        </w:rPr>
        <w:t xml:space="preserve">r </w:t>
      </w:r>
      <w:r w:rsidRPr="002A3E43">
        <w:rPr>
          <w:rFonts w:asciiTheme="majorHAnsi" w:hAnsiTheme="majorHAnsi" w:cstheme="majorHAnsi"/>
          <w:b w:val="0"/>
          <w:sz w:val="22"/>
          <w:szCs w:val="22"/>
          <w:lang w:val="es-PE"/>
        </w:rPr>
        <w:t xml:space="preserve">tasas y cargas en la facturación de servicios </w:t>
      </w:r>
      <w:r w:rsidR="00627604" w:rsidRPr="002A3E43">
        <w:rPr>
          <w:rFonts w:asciiTheme="majorHAnsi" w:hAnsiTheme="majorHAnsi" w:cstheme="majorHAnsi"/>
          <w:b w:val="0"/>
          <w:sz w:val="22"/>
          <w:szCs w:val="22"/>
          <w:lang w:val="es-PE"/>
        </w:rPr>
        <w:t>públicos</w:t>
      </w:r>
      <w:r w:rsidRPr="002A3E43">
        <w:rPr>
          <w:rFonts w:asciiTheme="majorHAnsi" w:hAnsiTheme="majorHAnsi" w:cstheme="majorHAnsi"/>
          <w:b w:val="0"/>
          <w:sz w:val="22"/>
          <w:szCs w:val="22"/>
          <w:lang w:val="es-PE"/>
        </w:rPr>
        <w:t xml:space="preserve"> </w:t>
      </w:r>
      <w:r w:rsidR="00602E48" w:rsidRPr="002A3E43">
        <w:rPr>
          <w:rFonts w:asciiTheme="majorHAnsi" w:hAnsiTheme="majorHAnsi" w:cstheme="majorHAnsi"/>
          <w:b w:val="0"/>
          <w:sz w:val="22"/>
          <w:szCs w:val="22"/>
          <w:lang w:val="es-PE"/>
        </w:rPr>
        <w:t>domiciliarios</w:t>
      </w:r>
      <w:r w:rsidRPr="002A3E43">
        <w:rPr>
          <w:rFonts w:asciiTheme="majorHAnsi" w:hAnsiTheme="majorHAnsi" w:cstheme="majorHAnsi"/>
          <w:b w:val="0"/>
          <w:sz w:val="22"/>
          <w:szCs w:val="22"/>
          <w:lang w:val="es-PE"/>
        </w:rPr>
        <w:t xml:space="preserve"> ajenas al servicio </w:t>
      </w:r>
      <w:r w:rsidRPr="002A3E43">
        <w:rPr>
          <w:rFonts w:asciiTheme="majorHAnsi" w:hAnsiTheme="majorHAnsi" w:cstheme="majorHAnsi"/>
          <w:b w:val="0"/>
          <w:i/>
          <w:sz w:val="22"/>
          <w:szCs w:val="22"/>
          <w:lang w:val="es-PE"/>
        </w:rPr>
        <w:t>per se</w:t>
      </w:r>
      <w:r w:rsidR="00D16A21">
        <w:rPr>
          <w:rFonts w:asciiTheme="majorHAnsi" w:hAnsiTheme="majorHAnsi" w:cstheme="majorHAnsi"/>
          <w:b w:val="0"/>
          <w:sz w:val="22"/>
          <w:szCs w:val="22"/>
          <w:lang w:val="es-PE"/>
        </w:rPr>
        <w:t>,</w:t>
      </w:r>
      <w:r w:rsidR="00412EA4">
        <w:rPr>
          <w:rFonts w:asciiTheme="majorHAnsi" w:hAnsiTheme="majorHAnsi" w:cstheme="majorHAnsi"/>
          <w:b w:val="0"/>
          <w:i/>
          <w:sz w:val="22"/>
          <w:szCs w:val="22"/>
          <w:lang w:val="es-PE"/>
        </w:rPr>
        <w:t xml:space="preserve"> </w:t>
      </w:r>
      <w:r w:rsidR="00412EA4" w:rsidRPr="00412EA4">
        <w:rPr>
          <w:rFonts w:asciiTheme="majorHAnsi" w:hAnsiTheme="majorHAnsi" w:cstheme="majorHAnsi"/>
          <w:b w:val="0"/>
          <w:sz w:val="22"/>
          <w:szCs w:val="22"/>
          <w:lang w:val="es-PE"/>
        </w:rPr>
        <w:t>cómo se verá más adelante</w:t>
      </w:r>
      <w:r w:rsidRPr="002A3E43">
        <w:rPr>
          <w:rFonts w:asciiTheme="majorHAnsi" w:hAnsiTheme="majorHAnsi" w:cstheme="majorHAnsi"/>
          <w:b w:val="0"/>
          <w:sz w:val="22"/>
          <w:szCs w:val="22"/>
          <w:lang w:val="es-PE"/>
        </w:rPr>
        <w:t xml:space="preserve">. De acuerdo </w:t>
      </w:r>
      <w:r w:rsidR="00164F6C" w:rsidRPr="002A3E43">
        <w:rPr>
          <w:rFonts w:asciiTheme="majorHAnsi" w:hAnsiTheme="majorHAnsi" w:cstheme="majorHAnsi"/>
          <w:b w:val="0"/>
          <w:sz w:val="22"/>
          <w:szCs w:val="22"/>
          <w:lang w:val="es-PE"/>
        </w:rPr>
        <w:t>a la Encuesta Nacional de Hog</w:t>
      </w:r>
      <w:r w:rsidRPr="002A3E43">
        <w:rPr>
          <w:rFonts w:asciiTheme="majorHAnsi" w:hAnsiTheme="majorHAnsi" w:cstheme="majorHAnsi"/>
          <w:b w:val="0"/>
          <w:sz w:val="22"/>
          <w:szCs w:val="22"/>
          <w:lang w:val="es-PE"/>
        </w:rPr>
        <w:t xml:space="preserve">ares </w:t>
      </w:r>
      <w:r w:rsidR="00667ED4" w:rsidRPr="00667ED4">
        <w:rPr>
          <w:rFonts w:asciiTheme="majorHAnsi" w:hAnsiTheme="majorHAnsi" w:cstheme="majorHAnsi"/>
          <w:b w:val="0"/>
          <w:sz w:val="22"/>
          <w:szCs w:val="22"/>
          <w:lang w:val="es-PE"/>
        </w:rPr>
        <w:t xml:space="preserve">sobre Condiciones de Vida y Pobreza </w:t>
      </w:r>
      <w:r w:rsidRPr="002A3E43">
        <w:rPr>
          <w:rFonts w:asciiTheme="majorHAnsi" w:hAnsiTheme="majorHAnsi" w:cstheme="majorHAnsi"/>
          <w:b w:val="0"/>
          <w:sz w:val="22"/>
          <w:szCs w:val="22"/>
          <w:lang w:val="es-PE"/>
        </w:rPr>
        <w:t xml:space="preserve">de Perú (2014), el pago del servicio eléctrico supone aproximadamente un </w:t>
      </w:r>
      <w:r w:rsidR="00602E48">
        <w:rPr>
          <w:rFonts w:asciiTheme="majorHAnsi" w:hAnsiTheme="majorHAnsi" w:cstheme="majorHAnsi"/>
          <w:b w:val="0"/>
          <w:sz w:val="22"/>
          <w:szCs w:val="22"/>
          <w:lang w:val="es-PE"/>
        </w:rPr>
        <w:t>2.8</w:t>
      </w:r>
      <w:r w:rsidRPr="002A3E43">
        <w:rPr>
          <w:rFonts w:asciiTheme="majorHAnsi" w:hAnsiTheme="majorHAnsi" w:cstheme="majorHAnsi"/>
          <w:b w:val="0"/>
          <w:sz w:val="22"/>
          <w:szCs w:val="22"/>
          <w:lang w:val="es-PE"/>
        </w:rPr>
        <w:t xml:space="preserve"> por ciento del gasto del hogar, con una mayor </w:t>
      </w:r>
      <w:r w:rsidR="00602E48" w:rsidRPr="002A3E43">
        <w:rPr>
          <w:rFonts w:asciiTheme="majorHAnsi" w:hAnsiTheme="majorHAnsi" w:cstheme="majorHAnsi"/>
          <w:b w:val="0"/>
          <w:sz w:val="22"/>
          <w:szCs w:val="22"/>
          <w:lang w:val="es-PE"/>
        </w:rPr>
        <w:t>incidencia</w:t>
      </w:r>
      <w:r w:rsidRPr="002A3E43">
        <w:rPr>
          <w:rFonts w:asciiTheme="majorHAnsi" w:hAnsiTheme="majorHAnsi" w:cstheme="majorHAnsi"/>
          <w:b w:val="0"/>
          <w:sz w:val="22"/>
          <w:szCs w:val="22"/>
          <w:lang w:val="es-PE"/>
        </w:rPr>
        <w:t xml:space="preserve"> en hogares de menores </w:t>
      </w:r>
      <w:r w:rsidR="000657B7" w:rsidRPr="002A3E43">
        <w:rPr>
          <w:rFonts w:asciiTheme="majorHAnsi" w:hAnsiTheme="majorHAnsi" w:cstheme="majorHAnsi"/>
          <w:b w:val="0"/>
          <w:sz w:val="22"/>
          <w:szCs w:val="22"/>
          <w:lang w:val="es-PE"/>
        </w:rPr>
        <w:t xml:space="preserve">ingresos </w:t>
      </w:r>
      <w:r w:rsidRPr="002A3E43">
        <w:rPr>
          <w:rFonts w:asciiTheme="majorHAnsi" w:hAnsiTheme="majorHAnsi" w:cstheme="majorHAnsi"/>
          <w:b w:val="0"/>
          <w:sz w:val="22"/>
          <w:szCs w:val="22"/>
          <w:lang w:val="es-PE"/>
        </w:rPr>
        <w:t>(3.1</w:t>
      </w:r>
      <w:r w:rsidR="00937497" w:rsidRPr="002A3E43">
        <w:rPr>
          <w:rFonts w:asciiTheme="majorHAnsi" w:hAnsiTheme="majorHAnsi" w:cstheme="majorHAnsi"/>
          <w:b w:val="0"/>
          <w:sz w:val="22"/>
          <w:szCs w:val="22"/>
          <w:lang w:val="es-PE"/>
        </w:rPr>
        <w:t xml:space="preserve"> por ciento</w:t>
      </w:r>
      <w:r w:rsidRPr="002A3E43">
        <w:rPr>
          <w:rFonts w:asciiTheme="majorHAnsi" w:hAnsiTheme="majorHAnsi" w:cstheme="majorHAnsi"/>
          <w:b w:val="0"/>
          <w:sz w:val="22"/>
          <w:szCs w:val="22"/>
          <w:lang w:val="es-PE"/>
        </w:rPr>
        <w:t>), y menor en los de mayor ingreso (2.4</w:t>
      </w:r>
      <w:r w:rsidR="00937497" w:rsidRPr="002A3E43">
        <w:rPr>
          <w:rFonts w:asciiTheme="majorHAnsi" w:hAnsiTheme="majorHAnsi" w:cstheme="majorHAnsi"/>
          <w:b w:val="0"/>
          <w:sz w:val="22"/>
          <w:szCs w:val="22"/>
          <w:lang w:val="es-PE"/>
        </w:rPr>
        <w:t xml:space="preserve"> por ciento</w:t>
      </w:r>
      <w:r w:rsidRPr="002A3E43">
        <w:rPr>
          <w:rFonts w:asciiTheme="majorHAnsi" w:hAnsiTheme="majorHAnsi" w:cstheme="majorHAnsi"/>
          <w:b w:val="0"/>
          <w:sz w:val="22"/>
          <w:szCs w:val="22"/>
          <w:lang w:val="es-PE"/>
        </w:rPr>
        <w:t xml:space="preserve">). En cuanto al gasto de los hogares en agua y saneamiento, </w:t>
      </w:r>
      <w:r w:rsidR="00602E48">
        <w:rPr>
          <w:rFonts w:asciiTheme="majorHAnsi" w:hAnsiTheme="majorHAnsi" w:cstheme="majorHAnsi"/>
          <w:b w:val="0"/>
          <w:sz w:val="22"/>
          <w:szCs w:val="22"/>
          <w:lang w:val="es-PE"/>
        </w:rPr>
        <w:t xml:space="preserve">éste </w:t>
      </w:r>
      <w:r w:rsidRPr="002A3E43">
        <w:rPr>
          <w:rFonts w:asciiTheme="majorHAnsi" w:hAnsiTheme="majorHAnsi" w:cstheme="majorHAnsi"/>
          <w:b w:val="0"/>
          <w:sz w:val="22"/>
          <w:szCs w:val="22"/>
          <w:lang w:val="es-PE"/>
        </w:rPr>
        <w:t>representa alrededor del 1</w:t>
      </w:r>
      <w:r w:rsidR="00602E48">
        <w:rPr>
          <w:rFonts w:asciiTheme="majorHAnsi" w:hAnsiTheme="majorHAnsi" w:cstheme="majorHAnsi"/>
          <w:b w:val="0"/>
          <w:sz w:val="22"/>
          <w:szCs w:val="22"/>
          <w:lang w:val="es-PE"/>
        </w:rPr>
        <w:t>.2</w:t>
      </w:r>
      <w:r w:rsidRPr="002A3E43">
        <w:rPr>
          <w:rFonts w:asciiTheme="majorHAnsi" w:hAnsiTheme="majorHAnsi" w:cstheme="majorHAnsi"/>
          <w:b w:val="0"/>
          <w:sz w:val="22"/>
          <w:szCs w:val="22"/>
          <w:lang w:val="es-PE"/>
        </w:rPr>
        <w:t xml:space="preserve"> por ciento del gasto total</w:t>
      </w:r>
      <w:r w:rsidR="00602E48">
        <w:rPr>
          <w:rFonts w:asciiTheme="majorHAnsi" w:hAnsiTheme="majorHAnsi" w:cstheme="majorHAnsi"/>
          <w:b w:val="0"/>
          <w:sz w:val="22"/>
          <w:szCs w:val="22"/>
          <w:lang w:val="es-PE"/>
        </w:rPr>
        <w:t xml:space="preserve"> del hogar</w:t>
      </w:r>
      <w:r w:rsidRPr="002A3E43">
        <w:rPr>
          <w:rFonts w:asciiTheme="majorHAnsi" w:hAnsiTheme="majorHAnsi" w:cstheme="majorHAnsi"/>
          <w:b w:val="0"/>
          <w:sz w:val="22"/>
          <w:szCs w:val="22"/>
          <w:lang w:val="es-PE"/>
        </w:rPr>
        <w:t xml:space="preserve">, con variaciones según nivel de ingresos. </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7"/>
        <w:gridCol w:w="4208"/>
      </w:tblGrid>
      <w:tr w:rsidR="00864721" w:rsidRPr="00F73F2B" w:rsidTr="00864721">
        <w:trPr>
          <w:jc w:val="center"/>
        </w:trPr>
        <w:tc>
          <w:tcPr>
            <w:tcW w:w="8505" w:type="dxa"/>
            <w:gridSpan w:val="2"/>
          </w:tcPr>
          <w:p w:rsidR="00864721" w:rsidRPr="00F73F2B" w:rsidRDefault="00864721" w:rsidP="00864721">
            <w:pPr>
              <w:spacing w:before="100" w:beforeAutospacing="1" w:after="100" w:afterAutospacing="1"/>
              <w:jc w:val="center"/>
              <w:rPr>
                <w:rFonts w:asciiTheme="majorHAnsi" w:hAnsiTheme="majorHAnsi" w:cstheme="majorHAnsi"/>
                <w:b/>
                <w:lang w:val="es-ES_tradnl"/>
              </w:rPr>
            </w:pPr>
            <w:r w:rsidRPr="00F73F2B">
              <w:rPr>
                <w:rFonts w:asciiTheme="majorHAnsi" w:hAnsiTheme="majorHAnsi" w:cstheme="majorHAnsi"/>
                <w:b/>
                <w:lang w:val="es-PE"/>
              </w:rPr>
              <w:t xml:space="preserve">Figura </w:t>
            </w:r>
            <w:r w:rsidRPr="00F73F2B">
              <w:rPr>
                <w:rFonts w:asciiTheme="majorHAnsi" w:hAnsiTheme="majorHAnsi" w:cstheme="majorHAnsi"/>
                <w:b/>
                <w:iCs/>
              </w:rPr>
              <w:fldChar w:fldCharType="begin"/>
            </w:r>
            <w:r w:rsidRPr="00F73F2B">
              <w:rPr>
                <w:rFonts w:asciiTheme="majorHAnsi" w:hAnsiTheme="majorHAnsi" w:cstheme="majorHAnsi"/>
                <w:b/>
                <w:iCs/>
                <w:lang w:val="es-ES_tradnl"/>
              </w:rPr>
              <w:instrText xml:space="preserve"> SEQ Figura \* ARABIC </w:instrText>
            </w:r>
            <w:r w:rsidRPr="00F73F2B">
              <w:rPr>
                <w:rFonts w:asciiTheme="majorHAnsi" w:hAnsiTheme="majorHAnsi" w:cstheme="majorHAnsi"/>
                <w:b/>
                <w:iCs/>
              </w:rPr>
              <w:fldChar w:fldCharType="separate"/>
            </w:r>
            <w:r w:rsidRPr="00F73F2B">
              <w:rPr>
                <w:rFonts w:asciiTheme="majorHAnsi" w:hAnsiTheme="majorHAnsi" w:cstheme="majorHAnsi"/>
                <w:b/>
                <w:iCs/>
                <w:noProof/>
                <w:lang w:val="es-ES_tradnl"/>
              </w:rPr>
              <w:t>8</w:t>
            </w:r>
            <w:r w:rsidRPr="00F73F2B">
              <w:rPr>
                <w:rFonts w:asciiTheme="majorHAnsi" w:hAnsiTheme="majorHAnsi" w:cstheme="majorHAnsi"/>
                <w:b/>
                <w:iCs/>
              </w:rPr>
              <w:fldChar w:fldCharType="end"/>
            </w:r>
            <w:r w:rsidRPr="00F73F2B">
              <w:rPr>
                <w:rFonts w:asciiTheme="majorHAnsi" w:hAnsiTheme="majorHAnsi" w:cstheme="majorHAnsi"/>
                <w:b/>
                <w:lang w:val="es-PE"/>
              </w:rPr>
              <w:t>. Gasto promedio de los hogares en electricidad y agua</w:t>
            </w:r>
            <w:r w:rsidR="00064178" w:rsidRPr="00F73F2B">
              <w:rPr>
                <w:rFonts w:asciiTheme="majorHAnsi" w:hAnsiTheme="majorHAnsi" w:cstheme="majorHAnsi"/>
                <w:b/>
                <w:lang w:val="es-PE"/>
              </w:rPr>
              <w:t xml:space="preserve"> en </w:t>
            </w:r>
            <w:r w:rsidRPr="00F73F2B">
              <w:rPr>
                <w:rFonts w:asciiTheme="majorHAnsi" w:hAnsiTheme="majorHAnsi" w:cstheme="majorHAnsi"/>
                <w:b/>
                <w:lang w:val="es-PE"/>
              </w:rPr>
              <w:t>Perú</w:t>
            </w:r>
            <w:r w:rsidR="00C57EF7" w:rsidRPr="00F73F2B">
              <w:rPr>
                <w:rFonts w:asciiTheme="majorHAnsi" w:hAnsiTheme="majorHAnsi" w:cstheme="majorHAnsi"/>
                <w:b/>
                <w:lang w:val="es-PE"/>
              </w:rPr>
              <w:t>,</w:t>
            </w:r>
            <w:r w:rsidRPr="00F73F2B">
              <w:rPr>
                <w:rFonts w:asciiTheme="majorHAnsi" w:hAnsiTheme="majorHAnsi" w:cstheme="majorHAnsi"/>
                <w:b/>
                <w:lang w:val="es-PE"/>
              </w:rPr>
              <w:t xml:space="preserve"> </w:t>
            </w:r>
            <w:r w:rsidR="00064178" w:rsidRPr="00F73F2B">
              <w:rPr>
                <w:rFonts w:asciiTheme="majorHAnsi" w:hAnsiTheme="majorHAnsi" w:cstheme="majorHAnsi"/>
                <w:b/>
                <w:lang w:val="es-PE"/>
              </w:rPr>
              <w:t xml:space="preserve">según nivel de ingreso, </w:t>
            </w:r>
            <w:r w:rsidRPr="00F73F2B">
              <w:rPr>
                <w:rFonts w:asciiTheme="majorHAnsi" w:hAnsiTheme="majorHAnsi" w:cstheme="majorHAnsi"/>
                <w:b/>
                <w:lang w:val="es-PE"/>
              </w:rPr>
              <w:t>2014</w:t>
            </w:r>
          </w:p>
        </w:tc>
      </w:tr>
      <w:tr w:rsidR="002C4F04" w:rsidRPr="00F73F2B" w:rsidTr="00864721">
        <w:trPr>
          <w:jc w:val="center"/>
        </w:trPr>
        <w:tc>
          <w:tcPr>
            <w:tcW w:w="4297" w:type="dxa"/>
          </w:tcPr>
          <w:p w:rsidR="002C4F04" w:rsidRPr="00F73F2B" w:rsidRDefault="00064178" w:rsidP="00064178">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Electricidad</w:t>
            </w:r>
          </w:p>
        </w:tc>
        <w:tc>
          <w:tcPr>
            <w:tcW w:w="4208" w:type="dxa"/>
          </w:tcPr>
          <w:p w:rsidR="002C4F04" w:rsidRPr="00F73F2B" w:rsidRDefault="00064178" w:rsidP="00064178">
            <w:pPr>
              <w:spacing w:before="100" w:beforeAutospacing="1" w:after="100" w:afterAutospacing="1"/>
              <w:jc w:val="center"/>
              <w:rPr>
                <w:rFonts w:asciiTheme="majorHAnsi" w:hAnsiTheme="majorHAnsi" w:cstheme="majorHAnsi"/>
                <w:lang w:val="es-ES_tradnl"/>
              </w:rPr>
            </w:pPr>
            <w:r w:rsidRPr="00F73F2B">
              <w:rPr>
                <w:rFonts w:asciiTheme="majorHAnsi" w:hAnsiTheme="majorHAnsi" w:cstheme="majorHAnsi"/>
                <w:b/>
                <w:lang w:val="es-ES_tradnl"/>
              </w:rPr>
              <w:t>Agua</w:t>
            </w:r>
            <w:r w:rsidR="00115D2B">
              <w:rPr>
                <w:rFonts w:asciiTheme="majorHAnsi" w:hAnsiTheme="majorHAnsi" w:cstheme="majorHAnsi"/>
                <w:b/>
                <w:lang w:val="es-ES_tradnl"/>
              </w:rPr>
              <w:t xml:space="preserve"> y saneamiento</w:t>
            </w:r>
          </w:p>
        </w:tc>
      </w:tr>
      <w:tr w:rsidR="002C4F04" w:rsidRPr="00F73F2B" w:rsidTr="00864721">
        <w:trPr>
          <w:jc w:val="center"/>
        </w:trPr>
        <w:tc>
          <w:tcPr>
            <w:tcW w:w="4297" w:type="dxa"/>
          </w:tcPr>
          <w:p w:rsidR="002C4F04" w:rsidRPr="00F73F2B" w:rsidRDefault="00AF5791" w:rsidP="00A15206">
            <w:pPr>
              <w:spacing w:before="100" w:beforeAutospacing="1" w:after="100" w:afterAutospacing="1"/>
              <w:ind w:left="-130"/>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501116C1" wp14:editId="27E2751C">
                  <wp:extent cx="2590800" cy="15113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511300"/>
                          </a:xfrm>
                          <a:prstGeom prst="rect">
                            <a:avLst/>
                          </a:prstGeom>
                          <a:noFill/>
                          <a:ln>
                            <a:noFill/>
                          </a:ln>
                        </pic:spPr>
                      </pic:pic>
                    </a:graphicData>
                  </a:graphic>
                </wp:inline>
              </w:drawing>
            </w:r>
          </w:p>
        </w:tc>
        <w:tc>
          <w:tcPr>
            <w:tcW w:w="4208" w:type="dxa"/>
          </w:tcPr>
          <w:p w:rsidR="002C4F04" w:rsidRPr="00F73F2B" w:rsidRDefault="00AF5791" w:rsidP="00A15206">
            <w:pPr>
              <w:spacing w:before="100" w:beforeAutospacing="1" w:after="100" w:afterAutospacing="1"/>
              <w:ind w:left="-100"/>
              <w:jc w:val="both"/>
              <w:rPr>
                <w:rFonts w:asciiTheme="majorHAnsi" w:hAnsiTheme="majorHAnsi" w:cstheme="majorHAnsi"/>
                <w:lang w:val="es-ES_tradnl"/>
              </w:rPr>
            </w:pPr>
            <w:r w:rsidRPr="00F73F2B">
              <w:rPr>
                <w:rFonts w:asciiTheme="majorHAnsi" w:hAnsiTheme="majorHAnsi" w:cstheme="majorHAnsi"/>
                <w:noProof/>
              </w:rPr>
              <w:drawing>
                <wp:inline distT="0" distB="0" distL="0" distR="0" wp14:anchorId="6039B552" wp14:editId="703722A3">
                  <wp:extent cx="2724912" cy="1536192"/>
                  <wp:effectExtent l="0" t="0" r="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24912" cy="1536192"/>
                          </a:xfrm>
                          <a:prstGeom prst="rect">
                            <a:avLst/>
                          </a:prstGeom>
                          <a:noFill/>
                          <a:ln>
                            <a:noFill/>
                          </a:ln>
                        </pic:spPr>
                      </pic:pic>
                    </a:graphicData>
                  </a:graphic>
                </wp:inline>
              </w:drawing>
            </w:r>
          </w:p>
        </w:tc>
      </w:tr>
      <w:tr w:rsidR="00864721" w:rsidRPr="002A3E43" w:rsidTr="00C57EF7">
        <w:trPr>
          <w:jc w:val="center"/>
        </w:trPr>
        <w:tc>
          <w:tcPr>
            <w:tcW w:w="8505" w:type="dxa"/>
            <w:gridSpan w:val="2"/>
          </w:tcPr>
          <w:p w:rsidR="00864721" w:rsidRPr="00864721" w:rsidRDefault="00864721" w:rsidP="00864721">
            <w:pPr>
              <w:pStyle w:val="Heading3"/>
              <w:jc w:val="both"/>
              <w:outlineLvl w:val="2"/>
              <w:rPr>
                <w:rFonts w:asciiTheme="majorHAnsi" w:hAnsiTheme="majorHAnsi" w:cstheme="majorHAnsi"/>
                <w:b w:val="0"/>
                <w:sz w:val="18"/>
                <w:szCs w:val="18"/>
                <w:lang w:val="es-PE"/>
              </w:rPr>
            </w:pPr>
            <w:r w:rsidRPr="00F73F2B">
              <w:rPr>
                <w:rFonts w:asciiTheme="majorHAnsi" w:hAnsiTheme="majorHAnsi" w:cstheme="majorHAnsi"/>
                <w:b w:val="0"/>
                <w:sz w:val="18"/>
                <w:szCs w:val="18"/>
                <w:lang w:val="es-ES_tradnl"/>
              </w:rPr>
              <w:t xml:space="preserve">Fuente: Encuesta Nacional de Hogares </w:t>
            </w:r>
            <w:r w:rsidR="00F73F2B" w:rsidRPr="00F73F2B">
              <w:rPr>
                <w:rFonts w:asciiTheme="majorHAnsi" w:hAnsiTheme="majorHAnsi" w:cstheme="majorHAnsi"/>
                <w:b w:val="0"/>
                <w:sz w:val="18"/>
                <w:szCs w:val="18"/>
                <w:lang w:val="es-ES_tradnl"/>
              </w:rPr>
              <w:t>sobre Condiciones de Vida y Pobreza</w:t>
            </w:r>
            <w:r w:rsidRPr="00F73F2B">
              <w:rPr>
                <w:rFonts w:asciiTheme="majorHAnsi" w:hAnsiTheme="majorHAnsi" w:cstheme="majorHAnsi"/>
                <w:b w:val="0"/>
                <w:sz w:val="18"/>
                <w:szCs w:val="18"/>
                <w:lang w:val="es-ES_tradnl"/>
              </w:rPr>
              <w:t xml:space="preserve"> </w:t>
            </w:r>
            <w:r w:rsidR="00F73F2B">
              <w:rPr>
                <w:rFonts w:asciiTheme="majorHAnsi" w:hAnsiTheme="majorHAnsi" w:cstheme="majorHAnsi"/>
                <w:b w:val="0"/>
                <w:sz w:val="18"/>
                <w:szCs w:val="18"/>
                <w:lang w:val="es-ES_tradnl"/>
              </w:rPr>
              <w:t xml:space="preserve">de Perú </w:t>
            </w:r>
            <w:r w:rsidRPr="00F73F2B">
              <w:rPr>
                <w:rFonts w:asciiTheme="majorHAnsi" w:hAnsiTheme="majorHAnsi" w:cstheme="majorHAnsi"/>
                <w:b w:val="0"/>
                <w:sz w:val="18"/>
                <w:szCs w:val="18"/>
                <w:lang w:val="es-ES_tradnl"/>
              </w:rPr>
              <w:t>(2014).</w:t>
            </w:r>
            <w:r w:rsidRPr="00864721">
              <w:rPr>
                <w:rFonts w:asciiTheme="majorHAnsi" w:hAnsiTheme="majorHAnsi" w:cstheme="majorHAnsi"/>
                <w:b w:val="0"/>
                <w:sz w:val="18"/>
                <w:szCs w:val="18"/>
                <w:lang w:val="es-ES_tradnl"/>
              </w:rPr>
              <w:t xml:space="preserve"> </w:t>
            </w:r>
          </w:p>
        </w:tc>
      </w:tr>
    </w:tbl>
    <w:p w:rsidR="002C4F04" w:rsidRPr="002A3E43" w:rsidRDefault="002C4F04" w:rsidP="00A15206">
      <w:pPr>
        <w:pStyle w:val="Heading3"/>
        <w:jc w:val="both"/>
        <w:rPr>
          <w:rFonts w:asciiTheme="majorHAnsi" w:hAnsiTheme="majorHAnsi" w:cstheme="majorHAnsi"/>
          <w:b w:val="0"/>
          <w:sz w:val="22"/>
          <w:szCs w:val="22"/>
          <w:lang w:val="es-PE"/>
        </w:rPr>
      </w:pPr>
      <w:r w:rsidRPr="002A3E43">
        <w:rPr>
          <w:rFonts w:asciiTheme="majorHAnsi" w:hAnsiTheme="majorHAnsi" w:cstheme="majorHAnsi"/>
          <w:b w:val="0"/>
          <w:sz w:val="22"/>
          <w:szCs w:val="22"/>
          <w:lang w:val="es-PE"/>
        </w:rPr>
        <w:t xml:space="preserve">La electricidad se comercializa </w:t>
      </w:r>
      <w:r w:rsidR="000657B7" w:rsidRPr="002A3E43">
        <w:rPr>
          <w:rFonts w:asciiTheme="majorHAnsi" w:hAnsiTheme="majorHAnsi" w:cstheme="majorHAnsi"/>
          <w:b w:val="0"/>
          <w:sz w:val="22"/>
          <w:szCs w:val="22"/>
          <w:lang w:val="es-PE"/>
        </w:rPr>
        <w:t xml:space="preserve">a </w:t>
      </w:r>
      <w:r w:rsidRPr="002A3E43">
        <w:rPr>
          <w:rFonts w:asciiTheme="majorHAnsi" w:hAnsiTheme="majorHAnsi" w:cstheme="majorHAnsi"/>
          <w:b w:val="0"/>
          <w:sz w:val="22"/>
          <w:szCs w:val="22"/>
          <w:lang w:val="es-PE"/>
        </w:rPr>
        <w:t xml:space="preserve">través de 23 empresas de distribución, siendo </w:t>
      </w:r>
      <w:r w:rsidRPr="002A3E43">
        <w:rPr>
          <w:rFonts w:asciiTheme="majorHAnsi" w:hAnsiTheme="majorHAnsi" w:cstheme="majorHAnsi"/>
          <w:b w:val="0"/>
          <w:i/>
          <w:sz w:val="22"/>
          <w:szCs w:val="22"/>
          <w:lang w:val="es-PE"/>
        </w:rPr>
        <w:t>Luz del Sur</w:t>
      </w:r>
      <w:r w:rsidRPr="002A3E43">
        <w:rPr>
          <w:rFonts w:asciiTheme="majorHAnsi" w:hAnsiTheme="majorHAnsi" w:cstheme="majorHAnsi"/>
          <w:b w:val="0"/>
          <w:sz w:val="22"/>
          <w:szCs w:val="22"/>
          <w:lang w:val="es-PE"/>
        </w:rPr>
        <w:t xml:space="preserve"> y </w:t>
      </w:r>
      <w:r w:rsidRPr="002A3E43">
        <w:rPr>
          <w:rFonts w:asciiTheme="majorHAnsi" w:hAnsiTheme="majorHAnsi" w:cstheme="majorHAnsi"/>
          <w:b w:val="0"/>
          <w:i/>
          <w:sz w:val="22"/>
          <w:szCs w:val="22"/>
          <w:lang w:val="es-PE"/>
        </w:rPr>
        <w:t>Edelnor</w:t>
      </w:r>
      <w:r w:rsidRPr="002A3E43">
        <w:rPr>
          <w:rFonts w:asciiTheme="majorHAnsi" w:hAnsiTheme="majorHAnsi" w:cstheme="majorHAnsi"/>
          <w:b w:val="0"/>
          <w:sz w:val="22"/>
          <w:szCs w:val="22"/>
          <w:lang w:val="es-PE"/>
        </w:rPr>
        <w:t xml:space="preserve"> las compañías de distribución más grandes, con un 29 y 28 por ciento de participación en mercado del sistema eléctrico interconectado, respectivamente.</w:t>
      </w:r>
      <w:r w:rsidRPr="002A3E43">
        <w:rPr>
          <w:rStyle w:val="FootnoteReference"/>
          <w:rFonts w:asciiTheme="majorHAnsi" w:hAnsiTheme="majorHAnsi" w:cstheme="majorHAnsi"/>
          <w:b w:val="0"/>
          <w:sz w:val="22"/>
          <w:szCs w:val="22"/>
          <w:lang w:val="es-PE"/>
        </w:rPr>
        <w:footnoteReference w:id="36"/>
      </w:r>
      <w:r w:rsidRPr="002A3E43">
        <w:rPr>
          <w:rFonts w:asciiTheme="majorHAnsi" w:hAnsiTheme="majorHAnsi" w:cstheme="majorHAnsi"/>
          <w:b w:val="0"/>
          <w:sz w:val="22"/>
          <w:szCs w:val="22"/>
          <w:lang w:val="es-PE"/>
        </w:rPr>
        <w:t xml:space="preserve"> En la actualidad, la factura del servicio eléctrico en Lima no cobra tasas adicionales. Sin embargo, antes del periodo de concesiones (1981-1993), resultaba posible </w:t>
      </w:r>
      <w:r w:rsidR="000657B7" w:rsidRPr="002A3E43">
        <w:rPr>
          <w:rFonts w:asciiTheme="majorHAnsi" w:hAnsiTheme="majorHAnsi" w:cstheme="majorHAnsi"/>
          <w:b w:val="0"/>
          <w:sz w:val="22"/>
          <w:szCs w:val="22"/>
          <w:lang w:val="es-PE"/>
        </w:rPr>
        <w:t xml:space="preserve">establecer </w:t>
      </w:r>
      <w:r w:rsidRPr="002A3E43">
        <w:rPr>
          <w:rFonts w:asciiTheme="majorHAnsi" w:hAnsiTheme="majorHAnsi" w:cstheme="majorHAnsi"/>
          <w:b w:val="0"/>
          <w:sz w:val="22"/>
          <w:szCs w:val="22"/>
          <w:lang w:val="es-PE"/>
        </w:rPr>
        <w:t>diversos cargos adicionales no relacionados al servicio eléctrico en su factura, ante la inexistencia de una legislación de tributación municipal específica.</w:t>
      </w:r>
    </w:p>
    <w:p w:rsidR="002C4F04" w:rsidRPr="002A3E43"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De este modo, en el pasado el Decreto Legislativo Nº 57</w:t>
      </w:r>
      <w:r w:rsidRPr="002A3E43">
        <w:rPr>
          <w:rStyle w:val="FootnoteReference"/>
          <w:rFonts w:asciiTheme="majorHAnsi" w:hAnsiTheme="majorHAnsi" w:cstheme="majorHAnsi"/>
          <w:sz w:val="22"/>
          <w:szCs w:val="22"/>
          <w:lang w:val="es-PE"/>
        </w:rPr>
        <w:footnoteReference w:id="37"/>
      </w:r>
      <w:r w:rsidRPr="002A3E43">
        <w:rPr>
          <w:rFonts w:asciiTheme="majorHAnsi" w:hAnsiTheme="majorHAnsi" w:cstheme="majorHAnsi"/>
          <w:sz w:val="22"/>
          <w:szCs w:val="22"/>
          <w:lang w:val="es-PE"/>
        </w:rPr>
        <w:t xml:space="preserve"> establecía que los arbitrios de limpieza pública y de alumbrado público se podían cobrar en función </w:t>
      </w:r>
      <w:r w:rsidR="001D13DE">
        <w:rPr>
          <w:rFonts w:asciiTheme="majorHAnsi" w:hAnsiTheme="majorHAnsi" w:cstheme="majorHAnsi"/>
          <w:sz w:val="22"/>
          <w:szCs w:val="22"/>
          <w:lang w:val="es-PE"/>
        </w:rPr>
        <w:t>del</w:t>
      </w:r>
      <w:r w:rsidRPr="002A3E43">
        <w:rPr>
          <w:rFonts w:asciiTheme="majorHAnsi" w:hAnsiTheme="majorHAnsi" w:cstheme="majorHAnsi"/>
          <w:sz w:val="22"/>
          <w:szCs w:val="22"/>
          <w:lang w:val="es-PE"/>
        </w:rPr>
        <w:t xml:space="preserve"> consumo de energía eléctrica y que su cobro se podía dar mediante la factura de electricidad. En caso de falta de pago, se aplicaba lo dispuesto al servicio eléctrico que consideraba el corte del servicio al segundo mes de incumplimiento de pago. El mismo decreto facultaba también a los municipios a cobrar el </w:t>
      </w:r>
      <w:r w:rsidRPr="002A3E43">
        <w:rPr>
          <w:rFonts w:asciiTheme="majorHAnsi" w:hAnsiTheme="majorHAnsi" w:cstheme="majorHAnsi"/>
          <w:sz w:val="22"/>
          <w:szCs w:val="22"/>
          <w:lang w:val="es-PE"/>
        </w:rPr>
        <w:lastRenderedPageBreak/>
        <w:t>impuesto al patrimonio predial no empresarial mediante la factura eléctrica. Adicionalmente, en 1988 el Decreto Legislativo 499</w:t>
      </w:r>
      <w:r w:rsidRPr="002A3E43">
        <w:rPr>
          <w:rStyle w:val="FootnoteReference"/>
          <w:rFonts w:asciiTheme="majorHAnsi" w:hAnsiTheme="majorHAnsi" w:cstheme="majorHAnsi"/>
          <w:sz w:val="22"/>
          <w:szCs w:val="22"/>
          <w:lang w:val="es-PE"/>
        </w:rPr>
        <w:footnoteReference w:id="38"/>
      </w:r>
      <w:r w:rsidRPr="002A3E43">
        <w:rPr>
          <w:rFonts w:asciiTheme="majorHAnsi" w:hAnsiTheme="majorHAnsi" w:cstheme="majorHAnsi"/>
          <w:sz w:val="22"/>
          <w:szCs w:val="22"/>
          <w:lang w:val="es-PE"/>
        </w:rPr>
        <w:t xml:space="preserve"> estableció para Lima el cobro en la factura de electricidad de un arbitrio extraordinario con la finalidad de financiar la creación y mantenimiento de rellenos sanitarios y de maquinarias de limpieza. </w:t>
      </w:r>
    </w:p>
    <w:p w:rsidR="00D90F3E" w:rsidRPr="002A3E43"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En 1994, el Decreto Legislativo Nº 776 di</w:t>
      </w:r>
      <w:r w:rsidR="00593CEC" w:rsidRPr="002A3E43">
        <w:rPr>
          <w:rFonts w:asciiTheme="majorHAnsi" w:hAnsiTheme="majorHAnsi" w:cstheme="majorHAnsi"/>
          <w:sz w:val="22"/>
          <w:szCs w:val="22"/>
          <w:lang w:val="es-PE"/>
        </w:rPr>
        <w:t>o</w:t>
      </w:r>
      <w:r w:rsidRPr="002A3E43">
        <w:rPr>
          <w:rFonts w:asciiTheme="majorHAnsi" w:hAnsiTheme="majorHAnsi" w:cstheme="majorHAnsi"/>
          <w:sz w:val="22"/>
          <w:szCs w:val="22"/>
          <w:lang w:val="es-PE"/>
        </w:rPr>
        <w:t xml:space="preserve"> potestad tributaria a los municipios para cobrar arbitrios, dentro de los cuales se incluían parques y jardines, serenazgo, y limpieza pública (que a su vez incluyó el arbitrio de relleno sanitario, arbitrio a la limpieza y disposición final de residuos sólidos). </w:t>
      </w:r>
      <w:r w:rsidR="00412EA4">
        <w:rPr>
          <w:rFonts w:asciiTheme="majorHAnsi" w:hAnsiTheme="majorHAnsi" w:cstheme="majorHAnsi"/>
          <w:sz w:val="22"/>
          <w:szCs w:val="22"/>
          <w:lang w:val="es-PE"/>
        </w:rPr>
        <w:t>De esta manera, e</w:t>
      </w:r>
      <w:r w:rsidR="00D90F3E" w:rsidRPr="002A3E43">
        <w:rPr>
          <w:rFonts w:asciiTheme="majorHAnsi" w:hAnsiTheme="majorHAnsi" w:cstheme="majorHAnsi"/>
          <w:sz w:val="22"/>
          <w:szCs w:val="22"/>
          <w:lang w:val="es-PE"/>
        </w:rPr>
        <w:t xml:space="preserve">ste decreto </w:t>
      </w:r>
      <w:r w:rsidR="00C57EF7">
        <w:rPr>
          <w:rFonts w:asciiTheme="majorHAnsi" w:hAnsiTheme="majorHAnsi" w:cstheme="majorHAnsi"/>
          <w:sz w:val="22"/>
          <w:szCs w:val="22"/>
          <w:lang w:val="es-PE"/>
        </w:rPr>
        <w:t xml:space="preserve">ya </w:t>
      </w:r>
      <w:r w:rsidR="00D90F3E" w:rsidRPr="002A3E43">
        <w:rPr>
          <w:rFonts w:asciiTheme="majorHAnsi" w:hAnsiTheme="majorHAnsi" w:cstheme="majorHAnsi"/>
          <w:sz w:val="22"/>
          <w:szCs w:val="22"/>
          <w:lang w:val="es-PE"/>
        </w:rPr>
        <w:t xml:space="preserve">no </w:t>
      </w:r>
      <w:r w:rsidR="00C57EF7" w:rsidRPr="002A3E43">
        <w:rPr>
          <w:rFonts w:asciiTheme="majorHAnsi" w:hAnsiTheme="majorHAnsi" w:cstheme="majorHAnsi"/>
          <w:sz w:val="22"/>
          <w:szCs w:val="22"/>
          <w:lang w:val="es-PE"/>
        </w:rPr>
        <w:t>permit</w:t>
      </w:r>
      <w:r w:rsidR="00C57EF7">
        <w:rPr>
          <w:rFonts w:asciiTheme="majorHAnsi" w:hAnsiTheme="majorHAnsi" w:cstheme="majorHAnsi"/>
          <w:sz w:val="22"/>
          <w:szCs w:val="22"/>
          <w:lang w:val="es-PE"/>
        </w:rPr>
        <w:t>ió</w:t>
      </w:r>
      <w:r w:rsidR="00412EA4">
        <w:rPr>
          <w:rFonts w:asciiTheme="majorHAnsi" w:hAnsiTheme="majorHAnsi" w:cstheme="majorHAnsi"/>
          <w:sz w:val="22"/>
          <w:szCs w:val="22"/>
          <w:lang w:val="es-PE"/>
        </w:rPr>
        <w:t xml:space="preserve"> </w:t>
      </w:r>
      <w:r w:rsidR="00D90F3E" w:rsidRPr="002A3E43">
        <w:rPr>
          <w:rFonts w:asciiTheme="majorHAnsi" w:hAnsiTheme="majorHAnsi" w:cstheme="majorHAnsi"/>
          <w:sz w:val="22"/>
          <w:szCs w:val="22"/>
          <w:lang w:val="es-PE"/>
        </w:rPr>
        <w:t>el cobro de tasas en la factura eléctrica que no estén relacionadas al servicio, dado que reconoc</w:t>
      </w:r>
      <w:r w:rsidR="00C57EF7">
        <w:rPr>
          <w:rFonts w:asciiTheme="majorHAnsi" w:hAnsiTheme="majorHAnsi" w:cstheme="majorHAnsi"/>
          <w:sz w:val="22"/>
          <w:szCs w:val="22"/>
          <w:lang w:val="es-PE"/>
        </w:rPr>
        <w:t>ió</w:t>
      </w:r>
      <w:r w:rsidR="00D90F3E" w:rsidRPr="002A3E43">
        <w:rPr>
          <w:rFonts w:asciiTheme="majorHAnsi" w:hAnsiTheme="majorHAnsi" w:cstheme="majorHAnsi"/>
          <w:sz w:val="22"/>
          <w:szCs w:val="22"/>
          <w:lang w:val="es-PE"/>
        </w:rPr>
        <w:t xml:space="preserve"> que se trata de un aspecto ajeno al comercial. </w:t>
      </w:r>
      <w:r w:rsidR="00C57EF7">
        <w:rPr>
          <w:rFonts w:asciiTheme="majorHAnsi" w:hAnsiTheme="majorHAnsi" w:cstheme="majorHAnsi"/>
          <w:sz w:val="22"/>
          <w:szCs w:val="22"/>
          <w:lang w:val="es-PE"/>
        </w:rPr>
        <w:t>Así</w:t>
      </w:r>
      <w:r w:rsidRPr="002A3E43">
        <w:rPr>
          <w:rFonts w:asciiTheme="majorHAnsi" w:hAnsiTheme="majorHAnsi" w:cstheme="majorHAnsi"/>
          <w:sz w:val="22"/>
          <w:szCs w:val="22"/>
          <w:lang w:val="es-PE"/>
        </w:rPr>
        <w:t xml:space="preserve">, la factura </w:t>
      </w:r>
      <w:r w:rsidR="00185A44" w:rsidRPr="002A3E43">
        <w:rPr>
          <w:rFonts w:asciiTheme="majorHAnsi" w:hAnsiTheme="majorHAnsi" w:cstheme="majorHAnsi"/>
          <w:sz w:val="22"/>
          <w:szCs w:val="22"/>
          <w:lang w:val="es-PE"/>
        </w:rPr>
        <w:t>eléctrica</w:t>
      </w:r>
      <w:r w:rsidRPr="002A3E43">
        <w:rPr>
          <w:rFonts w:asciiTheme="majorHAnsi" w:hAnsiTheme="majorHAnsi" w:cstheme="majorHAnsi"/>
          <w:sz w:val="22"/>
          <w:szCs w:val="22"/>
          <w:lang w:val="es-PE"/>
        </w:rPr>
        <w:t xml:space="preserve"> dejó de ser empleada como </w:t>
      </w:r>
      <w:r w:rsidR="00185A44" w:rsidRPr="002A3E43">
        <w:rPr>
          <w:rFonts w:asciiTheme="majorHAnsi" w:hAnsiTheme="majorHAnsi" w:cstheme="majorHAnsi"/>
          <w:sz w:val="22"/>
          <w:szCs w:val="22"/>
          <w:lang w:val="es-PE"/>
        </w:rPr>
        <w:t>instrumento para el</w:t>
      </w:r>
      <w:r w:rsidRPr="002A3E43">
        <w:rPr>
          <w:rFonts w:asciiTheme="majorHAnsi" w:hAnsiTheme="majorHAnsi" w:cstheme="majorHAnsi"/>
          <w:sz w:val="22"/>
          <w:szCs w:val="22"/>
          <w:lang w:val="es-PE"/>
        </w:rPr>
        <w:t xml:space="preserve"> cobro de estos servicios.</w:t>
      </w:r>
      <w:r w:rsidR="00D90F3E" w:rsidRPr="002A3E43">
        <w:rPr>
          <w:rFonts w:asciiTheme="majorHAnsi" w:hAnsiTheme="majorHAnsi" w:cstheme="majorHAnsi"/>
          <w:sz w:val="22"/>
          <w:szCs w:val="22"/>
          <w:lang w:val="es-PE"/>
        </w:rPr>
        <w:t xml:space="preserve"> </w:t>
      </w:r>
    </w:p>
    <w:p w:rsidR="002C4F04" w:rsidRPr="002A3E43"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Ni el Ministerio de Energía y Minas (MINEM)</w:t>
      </w:r>
      <w:r w:rsidRPr="002A3E43">
        <w:rPr>
          <w:rStyle w:val="FootnoteReference"/>
          <w:rFonts w:asciiTheme="majorHAnsi" w:hAnsiTheme="majorHAnsi" w:cstheme="majorHAnsi"/>
          <w:sz w:val="22"/>
          <w:szCs w:val="22"/>
          <w:lang w:val="es-PE"/>
        </w:rPr>
        <w:footnoteReference w:id="39"/>
      </w:r>
      <w:r w:rsidRPr="002A3E43">
        <w:rPr>
          <w:rFonts w:asciiTheme="majorHAnsi" w:hAnsiTheme="majorHAnsi" w:cstheme="majorHAnsi"/>
          <w:sz w:val="22"/>
          <w:szCs w:val="22"/>
          <w:lang w:val="es-PE"/>
        </w:rPr>
        <w:t xml:space="preserve"> ni el Organismo Regulador de la Inversión en Energía y Minas (OSINERGMIN)</w:t>
      </w:r>
      <w:r w:rsidRPr="002A3E43">
        <w:rPr>
          <w:rStyle w:val="FootnoteReference"/>
          <w:rFonts w:asciiTheme="majorHAnsi" w:hAnsiTheme="majorHAnsi" w:cstheme="majorHAnsi"/>
          <w:sz w:val="22"/>
          <w:szCs w:val="22"/>
          <w:lang w:val="es-PE"/>
        </w:rPr>
        <w:footnoteReference w:id="40"/>
      </w:r>
      <w:r w:rsidRPr="002A3E43">
        <w:rPr>
          <w:rFonts w:asciiTheme="majorHAnsi" w:hAnsiTheme="majorHAnsi" w:cstheme="majorHAnsi"/>
          <w:sz w:val="22"/>
          <w:szCs w:val="22"/>
          <w:lang w:val="es-PE"/>
        </w:rPr>
        <w:t xml:space="preserve"> están facultados </w:t>
      </w:r>
      <w:r w:rsidRPr="002A3E43">
        <w:rPr>
          <w:rFonts w:asciiTheme="majorHAnsi" w:hAnsiTheme="majorHAnsi" w:cstheme="majorHAnsi"/>
          <w:color w:val="222222"/>
          <w:sz w:val="22"/>
          <w:szCs w:val="22"/>
          <w:shd w:val="clear" w:color="auto" w:fill="FFFFFF"/>
          <w:lang w:val="es-PE"/>
        </w:rPr>
        <w:t xml:space="preserve">para establecer cargos fuera de la tarifa. El único impuesto que paga el servicio </w:t>
      </w:r>
      <w:r w:rsidRPr="002A3E43">
        <w:rPr>
          <w:rFonts w:asciiTheme="majorHAnsi" w:hAnsiTheme="majorHAnsi" w:cstheme="majorHAnsi"/>
          <w:sz w:val="22"/>
          <w:szCs w:val="22"/>
          <w:lang w:val="es-PE"/>
        </w:rPr>
        <w:t xml:space="preserve">eléctrico </w:t>
      </w:r>
      <w:r w:rsidRPr="002A3E43">
        <w:rPr>
          <w:rFonts w:asciiTheme="majorHAnsi" w:hAnsiTheme="majorHAnsi" w:cstheme="majorHAnsi"/>
          <w:color w:val="222222"/>
          <w:sz w:val="22"/>
          <w:szCs w:val="22"/>
          <w:shd w:val="clear" w:color="auto" w:fill="FFFFFF"/>
          <w:lang w:val="es-PE"/>
        </w:rPr>
        <w:t>es el Impuesto General a las Ventas,</w:t>
      </w:r>
      <w:r w:rsidR="00412EA4" w:rsidRPr="00412EA4">
        <w:rPr>
          <w:rStyle w:val="FootnoteReference"/>
          <w:rFonts w:asciiTheme="majorHAnsi" w:hAnsiTheme="majorHAnsi" w:cstheme="majorHAnsi"/>
          <w:color w:val="222222"/>
          <w:sz w:val="22"/>
          <w:szCs w:val="22"/>
          <w:shd w:val="clear" w:color="auto" w:fill="FFFFFF"/>
          <w:lang w:val="es-PE"/>
        </w:rPr>
        <w:t xml:space="preserve"> </w:t>
      </w:r>
      <w:r w:rsidR="00412EA4">
        <w:rPr>
          <w:rStyle w:val="FootnoteReference"/>
          <w:rFonts w:asciiTheme="majorHAnsi" w:hAnsiTheme="majorHAnsi" w:cstheme="majorHAnsi"/>
          <w:color w:val="222222"/>
          <w:sz w:val="22"/>
          <w:szCs w:val="22"/>
          <w:shd w:val="clear" w:color="auto" w:fill="FFFFFF"/>
          <w:lang w:val="es-PE"/>
        </w:rPr>
        <w:footnoteReference w:id="41"/>
      </w:r>
      <w:r w:rsidRPr="002A3E43">
        <w:rPr>
          <w:rFonts w:asciiTheme="majorHAnsi" w:hAnsiTheme="majorHAnsi" w:cstheme="majorHAnsi"/>
          <w:color w:val="222222"/>
          <w:sz w:val="22"/>
          <w:szCs w:val="22"/>
          <w:shd w:val="clear" w:color="auto" w:fill="FFFFFF"/>
          <w:lang w:val="es-PE"/>
        </w:rPr>
        <w:t xml:space="preserve"> el cual a junio del 2017 era de 18</w:t>
      </w:r>
      <w:r w:rsidR="00937497" w:rsidRPr="002A3E43">
        <w:rPr>
          <w:rFonts w:asciiTheme="majorHAnsi" w:hAnsiTheme="majorHAnsi" w:cstheme="majorHAnsi"/>
          <w:color w:val="222222"/>
          <w:sz w:val="22"/>
          <w:szCs w:val="22"/>
          <w:shd w:val="clear" w:color="auto" w:fill="FFFFFF"/>
          <w:lang w:val="es-PE"/>
        </w:rPr>
        <w:t xml:space="preserve"> por ciento</w:t>
      </w:r>
      <w:r w:rsidRPr="002A3E43">
        <w:rPr>
          <w:rFonts w:asciiTheme="majorHAnsi" w:hAnsiTheme="majorHAnsi" w:cstheme="majorHAnsi"/>
          <w:color w:val="222222"/>
          <w:sz w:val="22"/>
          <w:szCs w:val="22"/>
          <w:shd w:val="clear" w:color="auto" w:fill="FFFFFF"/>
          <w:lang w:val="es-PE"/>
        </w:rPr>
        <w:t xml:space="preserve"> y grava gran parte de la factura eléctrica incluyendo el cargo fijo, el mantenimiento y reposición de conexión, el consumo de energía y el alumbrado eléctrico. Por otro lado, lo recaudado para Electrificación Rural</w:t>
      </w:r>
      <w:r w:rsidRPr="002A3E43">
        <w:rPr>
          <w:rStyle w:val="FootnoteReference"/>
          <w:rFonts w:asciiTheme="majorHAnsi" w:hAnsiTheme="majorHAnsi" w:cstheme="majorHAnsi"/>
          <w:color w:val="222222"/>
          <w:sz w:val="22"/>
          <w:szCs w:val="22"/>
          <w:shd w:val="clear" w:color="auto" w:fill="FFFFFF"/>
          <w:lang w:val="es-PE"/>
        </w:rPr>
        <w:footnoteReference w:id="42"/>
      </w:r>
      <w:r w:rsidRPr="002A3E43">
        <w:rPr>
          <w:rFonts w:asciiTheme="majorHAnsi" w:hAnsiTheme="majorHAnsi" w:cstheme="majorHAnsi"/>
          <w:color w:val="222222"/>
          <w:sz w:val="22"/>
          <w:szCs w:val="22"/>
          <w:shd w:val="clear" w:color="auto" w:fill="FFFFFF"/>
          <w:lang w:val="es-PE"/>
        </w:rPr>
        <w:t>, no es gravado por el I</w:t>
      </w:r>
      <w:r w:rsidR="00412EA4">
        <w:rPr>
          <w:rFonts w:asciiTheme="majorHAnsi" w:hAnsiTheme="majorHAnsi" w:cstheme="majorHAnsi"/>
          <w:color w:val="222222"/>
          <w:sz w:val="22"/>
          <w:szCs w:val="22"/>
          <w:shd w:val="clear" w:color="auto" w:fill="FFFFFF"/>
          <w:lang w:val="es-PE"/>
        </w:rPr>
        <w:t>VA</w:t>
      </w:r>
      <w:r w:rsidRPr="002A3E43">
        <w:rPr>
          <w:rFonts w:asciiTheme="majorHAnsi" w:hAnsiTheme="majorHAnsi" w:cstheme="majorHAnsi"/>
          <w:color w:val="222222"/>
          <w:sz w:val="22"/>
          <w:szCs w:val="22"/>
          <w:shd w:val="clear" w:color="auto" w:fill="FFFFFF"/>
          <w:lang w:val="es-PE"/>
        </w:rPr>
        <w:t xml:space="preserve">. De esta manera, la única tasa adicional en la factura eléctrica es el </w:t>
      </w:r>
      <w:r w:rsidR="00412EA4">
        <w:rPr>
          <w:rFonts w:asciiTheme="majorHAnsi" w:hAnsiTheme="majorHAnsi" w:cstheme="majorHAnsi"/>
          <w:color w:val="222222"/>
          <w:sz w:val="22"/>
          <w:szCs w:val="22"/>
          <w:shd w:val="clear" w:color="auto" w:fill="FFFFFF"/>
          <w:lang w:val="es-PE"/>
        </w:rPr>
        <w:t>IVA</w:t>
      </w:r>
      <w:r w:rsidRPr="002A3E43">
        <w:rPr>
          <w:rFonts w:asciiTheme="majorHAnsi" w:hAnsiTheme="majorHAnsi" w:cstheme="majorHAnsi"/>
          <w:color w:val="222222"/>
          <w:sz w:val="22"/>
          <w:szCs w:val="22"/>
          <w:shd w:val="clear" w:color="auto" w:fill="FFFFFF"/>
          <w:lang w:val="es-PE"/>
        </w:rPr>
        <w:t>, el cual representa en promedio 15</w:t>
      </w:r>
      <w:r w:rsidR="002631B6">
        <w:rPr>
          <w:rFonts w:asciiTheme="majorHAnsi" w:hAnsiTheme="majorHAnsi" w:cstheme="majorHAnsi"/>
          <w:color w:val="222222"/>
          <w:sz w:val="22"/>
          <w:szCs w:val="22"/>
          <w:shd w:val="clear" w:color="auto" w:fill="FFFFFF"/>
          <w:lang w:val="es-PE"/>
        </w:rPr>
        <w:t>.3</w:t>
      </w:r>
      <w:r w:rsidR="00937497" w:rsidRPr="002A3E43">
        <w:rPr>
          <w:rFonts w:asciiTheme="majorHAnsi" w:hAnsiTheme="majorHAnsi" w:cstheme="majorHAnsi"/>
          <w:color w:val="222222"/>
          <w:sz w:val="22"/>
          <w:szCs w:val="22"/>
          <w:shd w:val="clear" w:color="auto" w:fill="FFFFFF"/>
          <w:lang w:val="es-PE"/>
        </w:rPr>
        <w:t xml:space="preserve"> por ciento</w:t>
      </w:r>
      <w:r w:rsidRPr="002A3E43">
        <w:rPr>
          <w:rFonts w:asciiTheme="majorHAnsi" w:hAnsiTheme="majorHAnsi" w:cstheme="majorHAnsi"/>
          <w:color w:val="222222"/>
          <w:sz w:val="22"/>
          <w:szCs w:val="22"/>
          <w:shd w:val="clear" w:color="auto" w:fill="FFFFFF"/>
          <w:lang w:val="es-PE"/>
        </w:rPr>
        <w:t xml:space="preserve"> de la factura total.</w:t>
      </w:r>
      <w:r w:rsidRPr="002A3E43">
        <w:rPr>
          <w:rStyle w:val="FootnoteReference"/>
          <w:rFonts w:asciiTheme="majorHAnsi" w:hAnsiTheme="majorHAnsi" w:cstheme="majorHAnsi"/>
          <w:color w:val="222222"/>
          <w:sz w:val="22"/>
          <w:szCs w:val="22"/>
          <w:shd w:val="clear" w:color="auto" w:fill="FFFFFF"/>
          <w:lang w:val="es-PE"/>
        </w:rPr>
        <w:footnoteReference w:id="43"/>
      </w:r>
      <w:r w:rsidRPr="002A3E43">
        <w:rPr>
          <w:rFonts w:asciiTheme="majorHAnsi" w:hAnsiTheme="majorHAnsi" w:cstheme="majorHAnsi"/>
          <w:color w:val="222222"/>
          <w:sz w:val="22"/>
          <w:szCs w:val="22"/>
          <w:shd w:val="clear" w:color="auto" w:fill="FFFFFF"/>
          <w:lang w:val="es-PE"/>
        </w:rPr>
        <w:t xml:space="preserve"> </w:t>
      </w:r>
    </w:p>
    <w:p w:rsidR="002C4F04" w:rsidRPr="002A3E43"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Si bien no hay tasas ajenas al servicio, debe mencionarse que actualmente existen ciertos cargos por cobro de terceros pero que no son universales, sino que corresponden a cobranza de deuda por conceptos en los que el usuario se ha comprometido.</w:t>
      </w:r>
      <w:r w:rsidRPr="002A3E43">
        <w:rPr>
          <w:rStyle w:val="FootnoteReference"/>
          <w:rFonts w:asciiTheme="majorHAnsi" w:hAnsiTheme="majorHAnsi" w:cstheme="majorHAnsi"/>
          <w:sz w:val="22"/>
          <w:szCs w:val="22"/>
          <w:lang w:val="es-PE"/>
        </w:rPr>
        <w:footnoteReference w:id="44"/>
      </w:r>
      <w:r w:rsidRPr="002A3E43">
        <w:rPr>
          <w:rFonts w:asciiTheme="majorHAnsi" w:hAnsiTheme="majorHAnsi" w:cstheme="majorHAnsi"/>
          <w:sz w:val="22"/>
          <w:szCs w:val="22"/>
          <w:lang w:val="es-PE"/>
        </w:rPr>
        <w:t xml:space="preserve"> </w:t>
      </w:r>
    </w:p>
    <w:p w:rsidR="002C4F04" w:rsidRPr="002A3E43" w:rsidRDefault="00EB60BB"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Por último, en diciembre de 2016</w:t>
      </w:r>
      <w:r w:rsidR="002C4F04" w:rsidRPr="002A3E43">
        <w:rPr>
          <w:rFonts w:asciiTheme="majorHAnsi" w:hAnsiTheme="majorHAnsi" w:cstheme="majorHAnsi"/>
          <w:sz w:val="22"/>
          <w:szCs w:val="22"/>
          <w:lang w:val="es-PE"/>
        </w:rPr>
        <w:t xml:space="preserve"> se aprobó el Decreto Legislativo Nº 1253</w:t>
      </w:r>
      <w:r w:rsidR="002C4F04" w:rsidRPr="002A3E43">
        <w:rPr>
          <w:rStyle w:val="FootnoteReference"/>
          <w:rFonts w:asciiTheme="majorHAnsi" w:hAnsiTheme="majorHAnsi" w:cstheme="majorHAnsi"/>
          <w:sz w:val="22"/>
          <w:szCs w:val="22"/>
          <w:lang w:val="es-PE"/>
        </w:rPr>
        <w:footnoteReference w:id="45"/>
      </w:r>
      <w:r w:rsidR="002C4F04" w:rsidRPr="002A3E43">
        <w:rPr>
          <w:rFonts w:asciiTheme="majorHAnsi" w:hAnsiTheme="majorHAnsi" w:cstheme="majorHAnsi"/>
          <w:sz w:val="22"/>
          <w:szCs w:val="22"/>
          <w:lang w:val="es-PE"/>
        </w:rPr>
        <w:t xml:space="preserve"> que dicta medidas para fortalecer la inversión en seguridad ciudadana en el país y contempla una alteración de la factura eléctrica. Si bien el decreto no permite el cobro directo en la factura eléctrica, las municipalidades pueden celebrar convenios interinstitucionales con las empresas de distribución de energía eléctrica que operen en sus jurisdicciones, sin aprobación del regulador, para que éstas actúen como recaudadores en el cobro de una fracción del monto del arbitrio por concepto de servicio de serenazgo que consiste en el </w:t>
      </w:r>
      <w:r w:rsidR="002C4F04" w:rsidRPr="002A3E43">
        <w:rPr>
          <w:rFonts w:asciiTheme="majorHAnsi" w:hAnsiTheme="majorHAnsi" w:cstheme="majorHAnsi"/>
          <w:sz w:val="22"/>
          <w:szCs w:val="22"/>
          <w:lang w:val="es-PE"/>
        </w:rPr>
        <w:lastRenderedPageBreak/>
        <w:t>servicio municipal de vigilancia y seguridad pública.</w:t>
      </w:r>
      <w:r w:rsidR="002C4F04" w:rsidRPr="002A3E43">
        <w:rPr>
          <w:rStyle w:val="FootnoteReference"/>
          <w:rFonts w:asciiTheme="majorHAnsi" w:hAnsiTheme="majorHAnsi" w:cstheme="majorHAnsi"/>
          <w:sz w:val="22"/>
          <w:szCs w:val="22"/>
          <w:lang w:val="es-PE"/>
        </w:rPr>
        <w:footnoteReference w:id="46"/>
      </w:r>
      <w:r w:rsidR="002C4F04" w:rsidRPr="002A3E43">
        <w:rPr>
          <w:rFonts w:asciiTheme="majorHAnsi" w:hAnsiTheme="majorHAnsi" w:cstheme="majorHAnsi"/>
          <w:sz w:val="22"/>
          <w:szCs w:val="22"/>
          <w:lang w:val="es-PE"/>
        </w:rPr>
        <w:t xml:space="preserve"> El monto mínimo mensual a cargar al contribuyente por la fracción del arbitrio del servicio de serenazgo no será menor de S/. 1.00 ($0.3) y el </w:t>
      </w:r>
      <w:r w:rsidR="00A74099" w:rsidRPr="002A3E43">
        <w:rPr>
          <w:rFonts w:asciiTheme="majorHAnsi" w:hAnsiTheme="majorHAnsi" w:cstheme="majorHAnsi"/>
          <w:sz w:val="22"/>
          <w:szCs w:val="22"/>
          <w:lang w:val="es-PE"/>
        </w:rPr>
        <w:t xml:space="preserve">monto máximo de S/. 3.50 ($1.1), siendo cada municipio el que </w:t>
      </w:r>
      <w:r w:rsidR="00185A44" w:rsidRPr="002A3E43">
        <w:rPr>
          <w:rFonts w:asciiTheme="majorHAnsi" w:hAnsiTheme="majorHAnsi" w:cstheme="majorHAnsi"/>
          <w:sz w:val="22"/>
          <w:szCs w:val="22"/>
          <w:lang w:val="es-PE"/>
        </w:rPr>
        <w:t>determine</w:t>
      </w:r>
      <w:r w:rsidR="00A74099" w:rsidRPr="002A3E43">
        <w:rPr>
          <w:rFonts w:asciiTheme="majorHAnsi" w:hAnsiTheme="majorHAnsi" w:cstheme="majorHAnsi"/>
          <w:sz w:val="22"/>
          <w:szCs w:val="22"/>
          <w:lang w:val="es-PE"/>
        </w:rPr>
        <w:t xml:space="preserve"> </w:t>
      </w:r>
      <w:r w:rsidR="002C4F04" w:rsidRPr="002A3E43">
        <w:rPr>
          <w:rFonts w:asciiTheme="majorHAnsi" w:hAnsiTheme="majorHAnsi" w:cstheme="majorHAnsi"/>
          <w:sz w:val="22"/>
          <w:szCs w:val="22"/>
          <w:lang w:val="es-PE"/>
        </w:rPr>
        <w:t>el monto aplicable a cada contribuyente conforme los mismos criterios usados para cobrar arbitrios.</w:t>
      </w:r>
    </w:p>
    <w:p w:rsidR="002C4F04" w:rsidRPr="002A3E43"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De efectivamente llegarse a un acuerdo con las distribuidoras para cobrar una parte del servicio de serenazgo, éste podría llegar a representar hasta 22</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 la factura de una familia de bajos ingresos.</w:t>
      </w:r>
      <w:r w:rsidRPr="002A3E43">
        <w:rPr>
          <w:rStyle w:val="FootnoteReference"/>
          <w:rFonts w:asciiTheme="majorHAnsi" w:hAnsiTheme="majorHAnsi" w:cstheme="majorHAnsi"/>
          <w:sz w:val="22"/>
          <w:szCs w:val="22"/>
          <w:lang w:val="es-PE"/>
        </w:rPr>
        <w:footnoteReference w:id="47"/>
      </w:r>
      <w:r w:rsidRPr="002A3E43">
        <w:rPr>
          <w:rFonts w:asciiTheme="majorHAnsi" w:hAnsiTheme="majorHAnsi" w:cstheme="majorHAnsi"/>
          <w:sz w:val="22"/>
          <w:szCs w:val="22"/>
          <w:lang w:val="es-PE"/>
        </w:rPr>
        <w:t xml:space="preserve"> Dado que se trata de un cargo fijo, afecta más a las familias con menor consumo. Así, para los hogares de ingreso bajo, la tasa por serenazgo representaría en promedio aproximadamente entre 7</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y 22</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 la factura para el escenario donde se cobra el mínimo y máximo, respectivamente. Por su parte, para los hogares de ingreso alto, la tasa por serenazgo representaría en promedio aproximadamente entre 1</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y 5</w:t>
      </w:r>
      <w:r w:rsidR="00937497" w:rsidRPr="002A3E43">
        <w:rPr>
          <w:rFonts w:asciiTheme="majorHAnsi" w:hAnsiTheme="majorHAnsi" w:cstheme="majorHAnsi"/>
          <w:sz w:val="22"/>
          <w:szCs w:val="22"/>
          <w:lang w:val="es-PE"/>
        </w:rPr>
        <w:t xml:space="preserve"> por ciento</w:t>
      </w:r>
      <w:r w:rsidRPr="002A3E43">
        <w:rPr>
          <w:rFonts w:asciiTheme="majorHAnsi" w:hAnsiTheme="majorHAnsi" w:cstheme="majorHAnsi"/>
          <w:sz w:val="22"/>
          <w:szCs w:val="22"/>
          <w:lang w:val="es-PE"/>
        </w:rPr>
        <w:t xml:space="preserve"> de la factura para el escenario donde se cobra el mínimo y máximo, respectivamente. </w:t>
      </w:r>
    </w:p>
    <w:p w:rsidR="0060615A" w:rsidRPr="002A3E43" w:rsidRDefault="002C4F04" w:rsidP="0060615A">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 xml:space="preserve">En el caso de la factura del agua, actualmente ninguna </w:t>
      </w:r>
      <w:r w:rsidRPr="002A3E43">
        <w:rPr>
          <w:rFonts w:asciiTheme="majorHAnsi" w:hAnsiTheme="majorHAnsi" w:cstheme="majorHAnsi"/>
          <w:color w:val="222222"/>
          <w:sz w:val="22"/>
          <w:szCs w:val="22"/>
          <w:shd w:val="clear" w:color="auto" w:fill="FFFFFF"/>
          <w:lang w:val="es-PE"/>
        </w:rPr>
        <w:t>Empresa Prestadora de Servicio de Saneamiento (</w:t>
      </w:r>
      <w:r w:rsidRPr="002A3E43">
        <w:rPr>
          <w:rFonts w:asciiTheme="majorHAnsi" w:hAnsiTheme="majorHAnsi" w:cstheme="majorHAnsi"/>
          <w:sz w:val="22"/>
          <w:szCs w:val="22"/>
          <w:lang w:val="es-PE"/>
        </w:rPr>
        <w:t xml:space="preserve">EPS) cobra en su facturación un concepto no relacionado al servicio en sí – a </w:t>
      </w:r>
      <w:r w:rsidR="00185A44" w:rsidRPr="002A3E43">
        <w:rPr>
          <w:rFonts w:asciiTheme="majorHAnsi" w:hAnsiTheme="majorHAnsi" w:cstheme="majorHAnsi"/>
          <w:sz w:val="22"/>
          <w:szCs w:val="22"/>
          <w:lang w:val="es-PE"/>
        </w:rPr>
        <w:t>excepción</w:t>
      </w:r>
      <w:r w:rsidRPr="002A3E43">
        <w:rPr>
          <w:rFonts w:asciiTheme="majorHAnsi" w:hAnsiTheme="majorHAnsi" w:cstheme="majorHAnsi"/>
          <w:sz w:val="22"/>
          <w:szCs w:val="22"/>
          <w:lang w:val="es-PE"/>
        </w:rPr>
        <w:t xml:space="preserve"> del I</w:t>
      </w:r>
      <w:r w:rsidR="00412EA4">
        <w:rPr>
          <w:rFonts w:asciiTheme="majorHAnsi" w:hAnsiTheme="majorHAnsi" w:cstheme="majorHAnsi"/>
          <w:sz w:val="22"/>
          <w:szCs w:val="22"/>
          <w:lang w:val="es-PE"/>
        </w:rPr>
        <w:t>VA.</w:t>
      </w:r>
      <w:r w:rsidRPr="002A3E43">
        <w:rPr>
          <w:rStyle w:val="FootnoteReference"/>
          <w:rFonts w:asciiTheme="majorHAnsi" w:hAnsiTheme="majorHAnsi" w:cstheme="majorHAnsi"/>
          <w:sz w:val="22"/>
          <w:szCs w:val="22"/>
          <w:lang w:val="es-PE"/>
        </w:rPr>
        <w:footnoteReference w:id="48"/>
      </w:r>
      <w:r w:rsidRPr="002A3E43">
        <w:rPr>
          <w:rFonts w:asciiTheme="majorHAnsi" w:hAnsiTheme="majorHAnsi" w:cstheme="majorHAnsi"/>
          <w:sz w:val="22"/>
          <w:szCs w:val="22"/>
          <w:lang w:val="es-PE"/>
        </w:rPr>
        <w:t xml:space="preserve"> Sin embargo, como ocurre en el caso de la electricidad, antes del 2000 existía un cobro por concepto del Fondo Nacional de Vivienda (FONAVI) respaldado por el Decreto de Urgencia Nº 074-2000</w:t>
      </w:r>
      <w:r w:rsidRPr="002A3E43">
        <w:rPr>
          <w:rStyle w:val="FootnoteReference"/>
          <w:rFonts w:asciiTheme="majorHAnsi" w:hAnsiTheme="majorHAnsi" w:cstheme="majorHAnsi"/>
          <w:sz w:val="22"/>
          <w:szCs w:val="22"/>
          <w:lang w:val="es-PE"/>
        </w:rPr>
        <w:footnoteReference w:id="49"/>
      </w:r>
      <w:r w:rsidRPr="002A3E43">
        <w:rPr>
          <w:rFonts w:asciiTheme="majorHAnsi" w:hAnsiTheme="majorHAnsi" w:cstheme="majorHAnsi"/>
          <w:sz w:val="22"/>
          <w:szCs w:val="22"/>
          <w:lang w:val="es-PE"/>
        </w:rPr>
        <w:t xml:space="preserve"> que establecía que se podía cargar en las facturas de agua un cobro por recuperación de deudas por conexión domiciliaria, realizadas con recursos del FONAVI. Sin embargo, a partir del 2010, la Ley Nº 29494</w:t>
      </w:r>
      <w:r w:rsidRPr="002A3E43">
        <w:rPr>
          <w:rStyle w:val="FootnoteReference"/>
          <w:rFonts w:asciiTheme="majorHAnsi" w:hAnsiTheme="majorHAnsi" w:cstheme="majorHAnsi"/>
          <w:sz w:val="22"/>
          <w:szCs w:val="22"/>
          <w:lang w:val="es-PE"/>
        </w:rPr>
        <w:footnoteReference w:id="50"/>
      </w:r>
      <w:r w:rsidRPr="002A3E43">
        <w:rPr>
          <w:rFonts w:asciiTheme="majorHAnsi" w:hAnsiTheme="majorHAnsi" w:cstheme="majorHAnsi"/>
          <w:sz w:val="22"/>
          <w:szCs w:val="22"/>
          <w:lang w:val="es-PE"/>
        </w:rPr>
        <w:t xml:space="preserve"> establece que estos cargos no pueden afectar el cobro de las facturas de los servicios de agua potable y saneamiento que realizan las EPS.</w:t>
      </w:r>
      <w:r w:rsidR="0060615A">
        <w:rPr>
          <w:rFonts w:asciiTheme="majorHAnsi" w:hAnsiTheme="majorHAnsi" w:cstheme="majorHAnsi"/>
          <w:sz w:val="22"/>
          <w:szCs w:val="22"/>
          <w:lang w:val="es-PE"/>
        </w:rPr>
        <w:t xml:space="preserve"> </w:t>
      </w:r>
      <w:r w:rsidR="0060615A">
        <w:rPr>
          <w:rFonts w:asciiTheme="majorHAnsi" w:hAnsiTheme="majorHAnsi" w:cstheme="majorHAnsi"/>
          <w:color w:val="222222"/>
          <w:sz w:val="22"/>
          <w:szCs w:val="22"/>
          <w:shd w:val="clear" w:color="auto" w:fill="FFFFFF"/>
          <w:lang w:val="es-PE"/>
        </w:rPr>
        <w:t>Siendo</w:t>
      </w:r>
      <w:r w:rsidR="0060615A" w:rsidRPr="002A3E43">
        <w:rPr>
          <w:rFonts w:asciiTheme="majorHAnsi" w:hAnsiTheme="majorHAnsi" w:cstheme="majorHAnsi"/>
          <w:color w:val="222222"/>
          <w:sz w:val="22"/>
          <w:szCs w:val="22"/>
          <w:shd w:val="clear" w:color="auto" w:fill="FFFFFF"/>
          <w:lang w:val="es-PE"/>
        </w:rPr>
        <w:t xml:space="preserve"> la única tasa adicional en la factura </w:t>
      </w:r>
      <w:r w:rsidR="0060615A">
        <w:rPr>
          <w:rFonts w:asciiTheme="majorHAnsi" w:hAnsiTheme="majorHAnsi" w:cstheme="majorHAnsi"/>
          <w:color w:val="222222"/>
          <w:sz w:val="22"/>
          <w:szCs w:val="22"/>
          <w:shd w:val="clear" w:color="auto" w:fill="FFFFFF"/>
          <w:lang w:val="es-PE"/>
        </w:rPr>
        <w:t>de agua</w:t>
      </w:r>
      <w:r w:rsidR="0060615A" w:rsidRPr="002A3E43">
        <w:rPr>
          <w:rFonts w:asciiTheme="majorHAnsi" w:hAnsiTheme="majorHAnsi" w:cstheme="majorHAnsi"/>
          <w:color w:val="222222"/>
          <w:sz w:val="22"/>
          <w:szCs w:val="22"/>
          <w:shd w:val="clear" w:color="auto" w:fill="FFFFFF"/>
          <w:lang w:val="es-PE"/>
        </w:rPr>
        <w:t xml:space="preserve"> el </w:t>
      </w:r>
      <w:r w:rsidR="0060615A">
        <w:rPr>
          <w:rFonts w:asciiTheme="majorHAnsi" w:hAnsiTheme="majorHAnsi" w:cstheme="majorHAnsi"/>
          <w:color w:val="222222"/>
          <w:sz w:val="22"/>
          <w:szCs w:val="22"/>
          <w:shd w:val="clear" w:color="auto" w:fill="FFFFFF"/>
          <w:lang w:val="es-PE"/>
        </w:rPr>
        <w:t>IVA</w:t>
      </w:r>
      <w:r w:rsidR="0060615A" w:rsidRPr="002A3E43">
        <w:rPr>
          <w:rFonts w:asciiTheme="majorHAnsi" w:hAnsiTheme="majorHAnsi" w:cstheme="majorHAnsi"/>
          <w:color w:val="222222"/>
          <w:sz w:val="22"/>
          <w:szCs w:val="22"/>
          <w:shd w:val="clear" w:color="auto" w:fill="FFFFFF"/>
          <w:lang w:val="es-PE"/>
        </w:rPr>
        <w:t xml:space="preserve">, </w:t>
      </w:r>
      <w:r w:rsidR="0060615A">
        <w:rPr>
          <w:rFonts w:asciiTheme="majorHAnsi" w:hAnsiTheme="majorHAnsi" w:cstheme="majorHAnsi"/>
          <w:color w:val="222222"/>
          <w:sz w:val="22"/>
          <w:szCs w:val="22"/>
          <w:shd w:val="clear" w:color="auto" w:fill="FFFFFF"/>
          <w:lang w:val="es-PE"/>
        </w:rPr>
        <w:t xml:space="preserve">éste </w:t>
      </w:r>
      <w:r w:rsidR="0060615A" w:rsidRPr="002A3E43">
        <w:rPr>
          <w:rFonts w:asciiTheme="majorHAnsi" w:hAnsiTheme="majorHAnsi" w:cstheme="majorHAnsi"/>
          <w:color w:val="222222"/>
          <w:sz w:val="22"/>
          <w:szCs w:val="22"/>
          <w:shd w:val="clear" w:color="auto" w:fill="FFFFFF"/>
          <w:lang w:val="es-PE"/>
        </w:rPr>
        <w:t xml:space="preserve">representa en promedio 15 por ciento de la factura total. </w:t>
      </w:r>
    </w:p>
    <w:p w:rsidR="000C57BD" w:rsidRDefault="002C4F04" w:rsidP="00A15206">
      <w:pPr>
        <w:spacing w:before="100" w:beforeAutospacing="1" w:after="100" w:afterAutospacing="1"/>
        <w:jc w:val="both"/>
        <w:rPr>
          <w:rFonts w:asciiTheme="majorHAnsi" w:hAnsiTheme="majorHAnsi" w:cstheme="majorHAnsi"/>
          <w:sz w:val="22"/>
          <w:szCs w:val="22"/>
          <w:lang w:val="es-PE"/>
        </w:rPr>
      </w:pPr>
      <w:r w:rsidRPr="002A3E43">
        <w:rPr>
          <w:rFonts w:asciiTheme="majorHAnsi" w:hAnsiTheme="majorHAnsi" w:cstheme="majorHAnsi"/>
          <w:sz w:val="22"/>
          <w:szCs w:val="22"/>
          <w:lang w:val="es-PE"/>
        </w:rPr>
        <w:t xml:space="preserve">Actualmente en Perú, muchos de los servicios adicionales que son cobrados en otros países en las facturas de electricidad o agua (véase el caso de </w:t>
      </w:r>
      <w:r w:rsidR="006D291E" w:rsidRPr="002A3E43">
        <w:rPr>
          <w:rFonts w:asciiTheme="majorHAnsi" w:hAnsiTheme="majorHAnsi" w:cstheme="majorHAnsi"/>
          <w:sz w:val="22"/>
          <w:szCs w:val="22"/>
          <w:lang w:val="es-PE"/>
        </w:rPr>
        <w:t xml:space="preserve">Argentina o </w:t>
      </w:r>
      <w:r w:rsidRPr="002A3E43">
        <w:rPr>
          <w:rFonts w:asciiTheme="majorHAnsi" w:hAnsiTheme="majorHAnsi" w:cstheme="majorHAnsi"/>
          <w:sz w:val="22"/>
          <w:szCs w:val="22"/>
          <w:lang w:val="es-PE"/>
        </w:rPr>
        <w:t xml:space="preserve">Ecuador) se cobran a través de los arbitrios municipales en base a que los municipios tienen potestad tributaria. Así, en los arbitrios municipales se cobra la recolección de basura, parques y jardines, serenazgo y barrido de calles. En el caso de los bomberos, se financian mediante asignaciones del presupuesto, donaciones, recursos directamente recaudados y el importe de </w:t>
      </w:r>
      <w:r w:rsidR="00DF5A57">
        <w:rPr>
          <w:rFonts w:asciiTheme="majorHAnsi" w:hAnsiTheme="majorHAnsi" w:cstheme="majorHAnsi"/>
          <w:sz w:val="22"/>
          <w:szCs w:val="22"/>
          <w:lang w:val="es-PE"/>
        </w:rPr>
        <w:t>determinadas</w:t>
      </w:r>
      <w:r w:rsidRPr="002A3E43">
        <w:rPr>
          <w:rFonts w:asciiTheme="majorHAnsi" w:hAnsiTheme="majorHAnsi" w:cstheme="majorHAnsi"/>
          <w:sz w:val="22"/>
          <w:szCs w:val="22"/>
          <w:lang w:val="es-PE"/>
        </w:rPr>
        <w:t xml:space="preserve"> multas.</w:t>
      </w:r>
      <w:r w:rsidRPr="002A3E43">
        <w:rPr>
          <w:rFonts w:asciiTheme="majorHAnsi" w:hAnsiTheme="majorHAnsi" w:cstheme="majorHAnsi"/>
          <w:sz w:val="22"/>
          <w:szCs w:val="22"/>
          <w:vertAlign w:val="superscript"/>
          <w:lang w:val="es-PE"/>
        </w:rPr>
        <w:footnoteReference w:id="51"/>
      </w:r>
      <w:r w:rsidRPr="002A3E43">
        <w:rPr>
          <w:rFonts w:asciiTheme="majorHAnsi" w:hAnsiTheme="majorHAnsi" w:cstheme="majorHAnsi"/>
          <w:sz w:val="22"/>
          <w:szCs w:val="22"/>
          <w:lang w:val="es-PE"/>
        </w:rPr>
        <w:t xml:space="preserve"> </w:t>
      </w:r>
    </w:p>
    <w:p w:rsidR="00D61386" w:rsidRDefault="00D61386" w:rsidP="00A15206">
      <w:pPr>
        <w:spacing w:before="100" w:beforeAutospacing="1" w:after="100" w:afterAutospacing="1"/>
        <w:jc w:val="both"/>
        <w:rPr>
          <w:rFonts w:asciiTheme="majorHAnsi" w:hAnsiTheme="majorHAnsi" w:cstheme="majorHAnsi"/>
          <w:sz w:val="22"/>
          <w:szCs w:val="22"/>
          <w:lang w:val="es-PE"/>
        </w:rPr>
      </w:pPr>
    </w:p>
    <w:p w:rsidR="00D61386" w:rsidRPr="002A3E43" w:rsidRDefault="00D61386" w:rsidP="00A15206">
      <w:pPr>
        <w:spacing w:before="100" w:beforeAutospacing="1" w:after="100" w:afterAutospacing="1"/>
        <w:jc w:val="both"/>
        <w:rPr>
          <w:rFonts w:asciiTheme="majorHAnsi" w:hAnsiTheme="majorHAnsi" w:cstheme="majorHAnsi"/>
          <w:sz w:val="22"/>
          <w:szCs w:val="22"/>
          <w:lang w:val="es-PE"/>
        </w:rPr>
      </w:pPr>
    </w:p>
    <w:p w:rsidR="00C80EA4" w:rsidRPr="00723850" w:rsidRDefault="008A6F91" w:rsidP="00A15206">
      <w:pPr>
        <w:pStyle w:val="ListParagraph"/>
        <w:numPr>
          <w:ilvl w:val="0"/>
          <w:numId w:val="7"/>
        </w:numPr>
        <w:spacing w:before="100" w:beforeAutospacing="1" w:after="100" w:afterAutospacing="1"/>
        <w:jc w:val="both"/>
        <w:rPr>
          <w:rFonts w:asciiTheme="majorHAnsi" w:hAnsiTheme="majorHAnsi" w:cstheme="majorHAnsi"/>
          <w:b/>
        </w:rPr>
      </w:pPr>
      <w:r w:rsidRPr="00723850">
        <w:rPr>
          <w:rFonts w:asciiTheme="majorHAnsi" w:hAnsiTheme="majorHAnsi" w:cstheme="majorHAnsi"/>
          <w:b/>
        </w:rPr>
        <w:lastRenderedPageBreak/>
        <w:t>S</w:t>
      </w:r>
      <w:r w:rsidR="00C80EA4" w:rsidRPr="00723850">
        <w:rPr>
          <w:rFonts w:asciiTheme="majorHAnsi" w:hAnsiTheme="majorHAnsi" w:cstheme="majorHAnsi"/>
          <w:b/>
        </w:rPr>
        <w:t>ervicios domiciliarios libres de tasas no relacionadas con el servicio</w:t>
      </w:r>
      <w:r w:rsidRPr="00723850">
        <w:rPr>
          <w:rFonts w:asciiTheme="majorHAnsi" w:hAnsiTheme="majorHAnsi" w:cstheme="majorHAnsi"/>
          <w:b/>
        </w:rPr>
        <w:t xml:space="preserve">: </w:t>
      </w:r>
      <w:r w:rsidR="009C65EA" w:rsidRPr="00723850">
        <w:rPr>
          <w:rFonts w:asciiTheme="majorHAnsi" w:hAnsiTheme="majorHAnsi" w:cstheme="majorHAnsi"/>
          <w:b/>
        </w:rPr>
        <w:t>los casos de Chile y Uruguay</w:t>
      </w:r>
    </w:p>
    <w:p w:rsidR="009E12A3" w:rsidRPr="00723850" w:rsidRDefault="00723850" w:rsidP="00A15206">
      <w:pPr>
        <w:spacing w:before="100" w:beforeAutospacing="1" w:after="100" w:afterAutospacing="1"/>
        <w:rPr>
          <w:rFonts w:asciiTheme="majorHAnsi" w:hAnsiTheme="majorHAnsi" w:cstheme="majorHAnsi"/>
          <w:b/>
        </w:rPr>
      </w:pPr>
      <w:r w:rsidRPr="00723850">
        <w:rPr>
          <w:rFonts w:asciiTheme="majorHAnsi" w:hAnsiTheme="majorHAnsi" w:cstheme="majorHAnsi"/>
          <w:b/>
        </w:rPr>
        <w:t>CHILE</w:t>
      </w:r>
    </w:p>
    <w:p w:rsidR="00C80EA4" w:rsidRPr="002A3E43" w:rsidRDefault="00C80EA4" w:rsidP="00A15206">
      <w:pPr>
        <w:pStyle w:val="Heading3"/>
        <w:jc w:val="both"/>
        <w:rPr>
          <w:rFonts w:asciiTheme="majorHAnsi" w:hAnsiTheme="majorHAnsi" w:cstheme="majorHAnsi"/>
          <w:b w:val="0"/>
          <w:sz w:val="22"/>
          <w:szCs w:val="22"/>
          <w:lang w:val="es-PE"/>
        </w:rPr>
      </w:pPr>
      <w:r w:rsidRPr="002A3E43">
        <w:rPr>
          <w:rFonts w:asciiTheme="majorHAnsi" w:hAnsiTheme="majorHAnsi" w:cstheme="majorHAnsi"/>
          <w:b w:val="0"/>
          <w:sz w:val="22"/>
          <w:szCs w:val="22"/>
          <w:lang w:val="es-PE"/>
        </w:rPr>
        <w:t>En Chile no existen impuestos, ni tasas, ni cargos no relacionados al servicio que graven el consumo residencial de los servicios eléctricos ni de agua y saneamiento. En promedio</w:t>
      </w:r>
      <w:r w:rsidR="0085331D" w:rsidRPr="002A3E43">
        <w:rPr>
          <w:rFonts w:asciiTheme="majorHAnsi" w:hAnsiTheme="majorHAnsi" w:cstheme="majorHAnsi"/>
          <w:b w:val="0"/>
          <w:sz w:val="22"/>
          <w:szCs w:val="22"/>
          <w:lang w:val="es-PE"/>
        </w:rPr>
        <w:t>,</w:t>
      </w:r>
      <w:r w:rsidRPr="002A3E43">
        <w:rPr>
          <w:rFonts w:asciiTheme="majorHAnsi" w:hAnsiTheme="majorHAnsi" w:cstheme="majorHAnsi"/>
          <w:b w:val="0"/>
          <w:sz w:val="22"/>
          <w:szCs w:val="22"/>
          <w:lang w:val="es-PE"/>
        </w:rPr>
        <w:t xml:space="preserve"> los hogares chilenos destinan un 3.4</w:t>
      </w:r>
      <w:r w:rsidR="00937497" w:rsidRPr="002A3E43">
        <w:rPr>
          <w:rFonts w:asciiTheme="majorHAnsi" w:hAnsiTheme="majorHAnsi" w:cstheme="majorHAnsi"/>
          <w:b w:val="0"/>
          <w:sz w:val="22"/>
          <w:szCs w:val="22"/>
          <w:lang w:val="es-PE"/>
        </w:rPr>
        <w:t xml:space="preserve"> por ciento</w:t>
      </w:r>
      <w:r w:rsidRPr="002A3E43">
        <w:rPr>
          <w:rFonts w:asciiTheme="majorHAnsi" w:hAnsiTheme="majorHAnsi" w:cstheme="majorHAnsi"/>
          <w:b w:val="0"/>
          <w:sz w:val="22"/>
          <w:szCs w:val="22"/>
          <w:lang w:val="es-PE"/>
        </w:rPr>
        <w:t xml:space="preserve"> y 2.2</w:t>
      </w:r>
      <w:r w:rsidR="00937497" w:rsidRPr="002A3E43">
        <w:rPr>
          <w:rFonts w:asciiTheme="majorHAnsi" w:hAnsiTheme="majorHAnsi" w:cstheme="majorHAnsi"/>
          <w:b w:val="0"/>
          <w:sz w:val="22"/>
          <w:szCs w:val="22"/>
          <w:lang w:val="es-PE"/>
        </w:rPr>
        <w:t xml:space="preserve"> por ciento</w:t>
      </w:r>
      <w:r w:rsidRPr="002A3E43">
        <w:rPr>
          <w:rFonts w:asciiTheme="majorHAnsi" w:hAnsiTheme="majorHAnsi" w:cstheme="majorHAnsi"/>
          <w:b w:val="0"/>
          <w:sz w:val="22"/>
          <w:szCs w:val="22"/>
          <w:lang w:val="es-PE"/>
        </w:rPr>
        <w:t xml:space="preserve"> de su ga</w:t>
      </w:r>
      <w:r w:rsidR="0085331D" w:rsidRPr="002A3E43">
        <w:rPr>
          <w:rFonts w:asciiTheme="majorHAnsi" w:hAnsiTheme="majorHAnsi" w:cstheme="majorHAnsi"/>
          <w:b w:val="0"/>
          <w:sz w:val="22"/>
          <w:szCs w:val="22"/>
          <w:lang w:val="es-PE"/>
        </w:rPr>
        <w:t>sto total a electricidad y</w:t>
      </w:r>
      <w:r w:rsidR="00CD5A08" w:rsidRPr="002A3E43">
        <w:rPr>
          <w:rFonts w:asciiTheme="majorHAnsi" w:hAnsiTheme="majorHAnsi" w:cstheme="majorHAnsi"/>
          <w:b w:val="0"/>
          <w:sz w:val="22"/>
          <w:szCs w:val="22"/>
          <w:lang w:val="es-PE"/>
        </w:rPr>
        <w:t xml:space="preserve"> agua, respectivamente</w:t>
      </w:r>
      <w:r w:rsidRPr="002A3E43">
        <w:rPr>
          <w:rFonts w:asciiTheme="majorHAnsi" w:hAnsiTheme="majorHAnsi" w:cstheme="majorHAnsi"/>
          <w:b w:val="0"/>
          <w:sz w:val="22"/>
          <w:szCs w:val="22"/>
          <w:lang w:val="es-PE"/>
        </w:rPr>
        <w:t xml:space="preserve"> (Encuesta Nacional de Presupuestos Familiares, 2012).</w:t>
      </w:r>
      <w:r w:rsidR="00456590">
        <w:rPr>
          <w:rFonts w:asciiTheme="majorHAnsi" w:hAnsiTheme="majorHAnsi" w:cstheme="majorHAnsi"/>
          <w:b w:val="0"/>
          <w:sz w:val="22"/>
          <w:szCs w:val="22"/>
          <w:lang w:val="es-PE"/>
        </w:rPr>
        <w:t xml:space="preserve"> </w:t>
      </w:r>
      <w:r w:rsidR="00AF71BD" w:rsidRPr="002A3E43">
        <w:rPr>
          <w:rFonts w:asciiTheme="majorHAnsi" w:hAnsiTheme="majorHAnsi" w:cstheme="majorHAnsi"/>
          <w:b w:val="0"/>
          <w:sz w:val="22"/>
          <w:szCs w:val="22"/>
          <w:lang w:val="es-PE"/>
        </w:rPr>
        <w:t xml:space="preserve">La figura </w:t>
      </w:r>
      <w:r w:rsidR="006A4CBE">
        <w:rPr>
          <w:rFonts w:asciiTheme="majorHAnsi" w:hAnsiTheme="majorHAnsi" w:cstheme="majorHAnsi"/>
          <w:b w:val="0"/>
          <w:sz w:val="22"/>
          <w:szCs w:val="22"/>
          <w:lang w:val="es-PE"/>
        </w:rPr>
        <w:t>9</w:t>
      </w:r>
      <w:r w:rsidR="00AF71BD" w:rsidRPr="002A3E43">
        <w:rPr>
          <w:rFonts w:asciiTheme="majorHAnsi" w:hAnsiTheme="majorHAnsi" w:cstheme="majorHAnsi"/>
          <w:b w:val="0"/>
          <w:sz w:val="22"/>
          <w:szCs w:val="22"/>
          <w:lang w:val="es-PE"/>
        </w:rPr>
        <w:t xml:space="preserve"> muestra cuá</w:t>
      </w:r>
      <w:r w:rsidRPr="002A3E43">
        <w:rPr>
          <w:rFonts w:asciiTheme="majorHAnsi" w:hAnsiTheme="majorHAnsi" w:cstheme="majorHAnsi"/>
          <w:b w:val="0"/>
          <w:sz w:val="22"/>
          <w:szCs w:val="22"/>
          <w:lang w:val="es-PE"/>
        </w:rPr>
        <w:t>nto representa el gasto en electricidad y el gasto en agua del gasto total de los hogares según nivel de ingresos</w:t>
      </w:r>
      <w:r w:rsidR="00AF71BD" w:rsidRPr="002A3E43">
        <w:rPr>
          <w:rFonts w:asciiTheme="majorHAnsi" w:hAnsiTheme="majorHAnsi" w:cstheme="majorHAnsi"/>
          <w:b w:val="0"/>
          <w:sz w:val="22"/>
          <w:szCs w:val="22"/>
          <w:lang w:val="es-P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261"/>
      </w:tblGrid>
      <w:tr w:rsidR="006A4CBE" w:rsidRPr="00F73F2B" w:rsidTr="0060615A">
        <w:tc>
          <w:tcPr>
            <w:tcW w:w="8498" w:type="dxa"/>
            <w:gridSpan w:val="2"/>
          </w:tcPr>
          <w:p w:rsidR="006A4CBE" w:rsidRPr="00F73F2B" w:rsidRDefault="006A4CBE" w:rsidP="00A15206">
            <w:pPr>
              <w:spacing w:before="100" w:beforeAutospacing="1" w:after="100" w:afterAutospacing="1"/>
              <w:jc w:val="center"/>
              <w:rPr>
                <w:rFonts w:asciiTheme="majorHAnsi" w:hAnsiTheme="majorHAnsi" w:cstheme="majorHAnsi"/>
                <w:b/>
                <w:lang w:val="es-PE"/>
              </w:rPr>
            </w:pPr>
            <w:r w:rsidRPr="00F73F2B">
              <w:rPr>
                <w:rFonts w:asciiTheme="majorHAnsi" w:hAnsiTheme="majorHAnsi" w:cstheme="majorHAnsi"/>
                <w:b/>
                <w:lang w:val="es-PE"/>
              </w:rPr>
              <w:t xml:space="preserve">Figura </w:t>
            </w:r>
            <w:r w:rsidRPr="00F73F2B">
              <w:rPr>
                <w:rFonts w:asciiTheme="majorHAnsi" w:hAnsiTheme="majorHAnsi" w:cstheme="majorHAnsi"/>
                <w:b/>
                <w:iCs/>
              </w:rPr>
              <w:fldChar w:fldCharType="begin"/>
            </w:r>
            <w:r w:rsidRPr="00F73F2B">
              <w:rPr>
                <w:rFonts w:asciiTheme="majorHAnsi" w:hAnsiTheme="majorHAnsi" w:cstheme="majorHAnsi"/>
                <w:b/>
                <w:iCs/>
                <w:lang w:val="es-ES_tradnl"/>
              </w:rPr>
              <w:instrText xml:space="preserve"> SEQ Figura \* ARABIC </w:instrText>
            </w:r>
            <w:r w:rsidRPr="00F73F2B">
              <w:rPr>
                <w:rFonts w:asciiTheme="majorHAnsi" w:hAnsiTheme="majorHAnsi" w:cstheme="majorHAnsi"/>
                <w:b/>
                <w:iCs/>
              </w:rPr>
              <w:fldChar w:fldCharType="separate"/>
            </w:r>
            <w:r w:rsidRPr="00F73F2B">
              <w:rPr>
                <w:rFonts w:asciiTheme="majorHAnsi" w:hAnsiTheme="majorHAnsi" w:cstheme="majorHAnsi"/>
                <w:b/>
                <w:iCs/>
                <w:noProof/>
                <w:lang w:val="es-ES_tradnl"/>
              </w:rPr>
              <w:t>9</w:t>
            </w:r>
            <w:r w:rsidRPr="00F73F2B">
              <w:rPr>
                <w:rFonts w:asciiTheme="majorHAnsi" w:hAnsiTheme="majorHAnsi" w:cstheme="majorHAnsi"/>
                <w:b/>
                <w:iCs/>
              </w:rPr>
              <w:fldChar w:fldCharType="end"/>
            </w:r>
            <w:r w:rsidRPr="00F73F2B">
              <w:rPr>
                <w:rFonts w:asciiTheme="majorHAnsi" w:hAnsiTheme="majorHAnsi" w:cstheme="majorHAnsi"/>
                <w:b/>
                <w:lang w:val="es-PE"/>
              </w:rPr>
              <w:t xml:space="preserve">. Gasto promedio de los hogares en electricidad y agua en Chile, según nivel de ingreso, </w:t>
            </w:r>
            <w:r w:rsidR="00F73F2B" w:rsidRPr="00F73F2B">
              <w:rPr>
                <w:rFonts w:asciiTheme="majorHAnsi" w:hAnsiTheme="majorHAnsi" w:cstheme="majorHAnsi"/>
                <w:b/>
                <w:lang w:val="es-PE"/>
              </w:rPr>
              <w:t>2011/</w:t>
            </w:r>
            <w:r w:rsidRPr="00F73F2B">
              <w:rPr>
                <w:rFonts w:asciiTheme="majorHAnsi" w:hAnsiTheme="majorHAnsi" w:cstheme="majorHAnsi"/>
                <w:b/>
                <w:lang w:val="es-PE"/>
              </w:rPr>
              <w:t>2012</w:t>
            </w:r>
          </w:p>
        </w:tc>
      </w:tr>
      <w:tr w:rsidR="00C80EA4" w:rsidRPr="00F73F2B" w:rsidTr="006A4CBE">
        <w:tc>
          <w:tcPr>
            <w:tcW w:w="4237" w:type="dxa"/>
          </w:tcPr>
          <w:p w:rsidR="00C80EA4" w:rsidRPr="00F73F2B" w:rsidRDefault="00115D2B" w:rsidP="00A15206">
            <w:pPr>
              <w:spacing w:before="100" w:beforeAutospacing="1" w:after="100" w:afterAutospacing="1"/>
              <w:jc w:val="center"/>
              <w:rPr>
                <w:rFonts w:asciiTheme="majorHAnsi" w:hAnsiTheme="majorHAnsi" w:cstheme="majorHAnsi"/>
                <w:b/>
                <w:lang w:val="es-PE"/>
              </w:rPr>
            </w:pPr>
            <w:r>
              <w:rPr>
                <w:rFonts w:asciiTheme="majorHAnsi" w:hAnsiTheme="majorHAnsi" w:cstheme="majorHAnsi"/>
                <w:b/>
                <w:lang w:val="es-PE"/>
              </w:rPr>
              <w:t>E</w:t>
            </w:r>
            <w:r w:rsidR="00C80EA4" w:rsidRPr="00F73F2B">
              <w:rPr>
                <w:rFonts w:asciiTheme="majorHAnsi" w:hAnsiTheme="majorHAnsi" w:cstheme="majorHAnsi"/>
                <w:b/>
                <w:lang w:val="es-PE"/>
              </w:rPr>
              <w:t>lectricidad</w:t>
            </w:r>
          </w:p>
        </w:tc>
        <w:tc>
          <w:tcPr>
            <w:tcW w:w="4261" w:type="dxa"/>
          </w:tcPr>
          <w:p w:rsidR="00C80EA4" w:rsidRPr="00F73F2B" w:rsidRDefault="00115D2B" w:rsidP="00A15206">
            <w:pPr>
              <w:spacing w:before="100" w:beforeAutospacing="1" w:after="100" w:afterAutospacing="1"/>
              <w:jc w:val="center"/>
              <w:rPr>
                <w:rFonts w:asciiTheme="majorHAnsi" w:hAnsiTheme="majorHAnsi" w:cstheme="majorHAnsi"/>
                <w:b/>
                <w:lang w:val="es-PE"/>
              </w:rPr>
            </w:pPr>
            <w:r>
              <w:rPr>
                <w:rFonts w:asciiTheme="majorHAnsi" w:hAnsiTheme="majorHAnsi" w:cstheme="majorHAnsi"/>
                <w:b/>
                <w:lang w:val="es-PE"/>
              </w:rPr>
              <w:t>A</w:t>
            </w:r>
            <w:r w:rsidR="00C80EA4" w:rsidRPr="00F73F2B">
              <w:rPr>
                <w:rFonts w:asciiTheme="majorHAnsi" w:hAnsiTheme="majorHAnsi" w:cstheme="majorHAnsi"/>
                <w:b/>
                <w:lang w:val="es-PE"/>
              </w:rPr>
              <w:t>gua y saneamiento</w:t>
            </w:r>
          </w:p>
        </w:tc>
      </w:tr>
      <w:tr w:rsidR="00C80EA4" w:rsidRPr="00F73F2B" w:rsidTr="006A4CBE">
        <w:tc>
          <w:tcPr>
            <w:tcW w:w="4237" w:type="dxa"/>
          </w:tcPr>
          <w:p w:rsidR="00C80EA4" w:rsidRPr="00F73F2B" w:rsidRDefault="0058439E" w:rsidP="00A15206">
            <w:pPr>
              <w:pStyle w:val="Heading3"/>
              <w:jc w:val="both"/>
              <w:outlineLvl w:val="2"/>
              <w:rPr>
                <w:rFonts w:asciiTheme="majorHAnsi" w:hAnsiTheme="majorHAnsi" w:cstheme="majorHAnsi"/>
                <w:b w:val="0"/>
                <w:sz w:val="22"/>
                <w:szCs w:val="22"/>
                <w:lang w:val="es-PE"/>
              </w:rPr>
            </w:pPr>
            <w:r w:rsidRPr="00F73F2B">
              <w:rPr>
                <w:rFonts w:asciiTheme="majorHAnsi" w:hAnsiTheme="majorHAnsi" w:cstheme="majorHAnsi"/>
                <w:b w:val="0"/>
                <w:noProof/>
                <w:sz w:val="22"/>
                <w:szCs w:val="22"/>
                <w:lang w:val="es-PE"/>
              </w:rPr>
              <w:drawing>
                <wp:inline distT="0" distB="0" distL="0" distR="0" wp14:anchorId="0C5BAE70" wp14:editId="44D2C8A4">
                  <wp:extent cx="2532888" cy="1508760"/>
                  <wp:effectExtent l="0" t="0" r="127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2888" cy="1508760"/>
                          </a:xfrm>
                          <a:prstGeom prst="rect">
                            <a:avLst/>
                          </a:prstGeom>
                          <a:noFill/>
                          <a:ln>
                            <a:noFill/>
                          </a:ln>
                        </pic:spPr>
                      </pic:pic>
                    </a:graphicData>
                  </a:graphic>
                </wp:inline>
              </w:drawing>
            </w:r>
          </w:p>
        </w:tc>
        <w:tc>
          <w:tcPr>
            <w:tcW w:w="4261" w:type="dxa"/>
          </w:tcPr>
          <w:p w:rsidR="00C80EA4" w:rsidRPr="00F73F2B" w:rsidRDefault="0058439E" w:rsidP="00A15206">
            <w:pPr>
              <w:pStyle w:val="Heading3"/>
              <w:jc w:val="both"/>
              <w:outlineLvl w:val="2"/>
              <w:rPr>
                <w:rFonts w:asciiTheme="majorHAnsi" w:hAnsiTheme="majorHAnsi" w:cstheme="majorHAnsi"/>
                <w:b w:val="0"/>
                <w:sz w:val="22"/>
                <w:szCs w:val="22"/>
                <w:lang w:val="es-PE"/>
              </w:rPr>
            </w:pPr>
            <w:r w:rsidRPr="00F73F2B">
              <w:rPr>
                <w:rFonts w:asciiTheme="majorHAnsi" w:hAnsiTheme="majorHAnsi" w:cstheme="majorHAnsi"/>
                <w:b w:val="0"/>
                <w:noProof/>
                <w:sz w:val="22"/>
                <w:szCs w:val="22"/>
                <w:lang w:val="es-PE"/>
              </w:rPr>
              <w:drawing>
                <wp:inline distT="0" distB="0" distL="0" distR="0" wp14:anchorId="75404E1D" wp14:editId="61376BF0">
                  <wp:extent cx="2551176" cy="1527048"/>
                  <wp:effectExtent l="0" t="0" r="190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51176" cy="1527048"/>
                          </a:xfrm>
                          <a:prstGeom prst="rect">
                            <a:avLst/>
                          </a:prstGeom>
                          <a:noFill/>
                          <a:ln>
                            <a:noFill/>
                          </a:ln>
                        </pic:spPr>
                      </pic:pic>
                    </a:graphicData>
                  </a:graphic>
                </wp:inline>
              </w:drawing>
            </w:r>
          </w:p>
        </w:tc>
      </w:tr>
      <w:tr w:rsidR="006A4CBE" w:rsidRPr="002A3E43" w:rsidTr="0060615A">
        <w:tc>
          <w:tcPr>
            <w:tcW w:w="8498" w:type="dxa"/>
            <w:gridSpan w:val="2"/>
          </w:tcPr>
          <w:p w:rsidR="006A4CBE" w:rsidRPr="006A4CBE" w:rsidRDefault="006A4CBE" w:rsidP="00A15206">
            <w:pPr>
              <w:pStyle w:val="Heading3"/>
              <w:jc w:val="both"/>
              <w:outlineLvl w:val="2"/>
              <w:rPr>
                <w:rFonts w:asciiTheme="majorHAnsi" w:hAnsiTheme="majorHAnsi" w:cstheme="majorHAnsi"/>
                <w:b w:val="0"/>
                <w:sz w:val="18"/>
                <w:szCs w:val="18"/>
                <w:lang w:val="es-PE"/>
              </w:rPr>
            </w:pPr>
            <w:r w:rsidRPr="00F73F2B">
              <w:rPr>
                <w:rFonts w:asciiTheme="majorHAnsi" w:hAnsiTheme="majorHAnsi" w:cstheme="majorHAnsi"/>
                <w:b w:val="0"/>
                <w:sz w:val="18"/>
                <w:szCs w:val="18"/>
                <w:lang w:val="es-PE"/>
              </w:rPr>
              <w:t>Fuente: Encuesta Nacional de Presupuestos Familiares de Chile (201</w:t>
            </w:r>
            <w:r w:rsidR="00F73F2B" w:rsidRPr="00F73F2B">
              <w:rPr>
                <w:rFonts w:asciiTheme="majorHAnsi" w:hAnsiTheme="majorHAnsi" w:cstheme="majorHAnsi"/>
                <w:b w:val="0"/>
                <w:sz w:val="18"/>
                <w:szCs w:val="18"/>
                <w:lang w:val="es-PE"/>
              </w:rPr>
              <w:t>1/201</w:t>
            </w:r>
            <w:r w:rsidRPr="00F73F2B">
              <w:rPr>
                <w:rFonts w:asciiTheme="majorHAnsi" w:hAnsiTheme="majorHAnsi" w:cstheme="majorHAnsi"/>
                <w:b w:val="0"/>
                <w:sz w:val="18"/>
                <w:szCs w:val="18"/>
                <w:lang w:val="es-PE"/>
              </w:rPr>
              <w:t>2).</w:t>
            </w:r>
            <w:r w:rsidR="00F73F2B">
              <w:rPr>
                <w:rFonts w:asciiTheme="majorHAnsi" w:hAnsiTheme="majorHAnsi" w:cstheme="majorHAnsi"/>
                <w:b w:val="0"/>
                <w:sz w:val="18"/>
                <w:szCs w:val="18"/>
                <w:lang w:val="es-PE"/>
              </w:rPr>
              <w:t xml:space="preserve"> Datos urbanos.</w:t>
            </w:r>
          </w:p>
        </w:tc>
      </w:tr>
    </w:tbl>
    <w:p w:rsidR="00C80EA4" w:rsidRPr="002A3E43" w:rsidRDefault="00C80EA4" w:rsidP="00A15206">
      <w:pPr>
        <w:pStyle w:val="Heading3"/>
        <w:jc w:val="both"/>
        <w:rPr>
          <w:rFonts w:asciiTheme="majorHAnsi" w:hAnsiTheme="majorHAnsi" w:cstheme="majorHAnsi"/>
          <w:b w:val="0"/>
          <w:sz w:val="22"/>
          <w:szCs w:val="22"/>
          <w:lang w:val="es-PE"/>
        </w:rPr>
      </w:pPr>
      <w:r w:rsidRPr="002A3E43">
        <w:rPr>
          <w:rFonts w:asciiTheme="majorHAnsi" w:hAnsiTheme="majorHAnsi" w:cstheme="majorHAnsi"/>
          <w:b w:val="0"/>
          <w:sz w:val="22"/>
          <w:szCs w:val="22"/>
          <w:lang w:val="es-PE"/>
        </w:rPr>
        <w:t xml:space="preserve">El único impuesto es el Impuesto al Valor Agregado (IVA), que desde el 1 de octubre del 2003 se mantiene en </w:t>
      </w:r>
      <w:r w:rsidR="007F60AE" w:rsidRPr="002A3E43">
        <w:rPr>
          <w:rFonts w:asciiTheme="majorHAnsi" w:hAnsiTheme="majorHAnsi" w:cstheme="majorHAnsi"/>
          <w:b w:val="0"/>
          <w:sz w:val="22"/>
          <w:szCs w:val="22"/>
          <w:lang w:val="es-PE"/>
        </w:rPr>
        <w:t xml:space="preserve">un </w:t>
      </w:r>
      <w:r w:rsidRPr="002A3E43">
        <w:rPr>
          <w:rFonts w:asciiTheme="majorHAnsi" w:hAnsiTheme="majorHAnsi" w:cstheme="majorHAnsi"/>
          <w:b w:val="0"/>
          <w:sz w:val="22"/>
          <w:szCs w:val="22"/>
          <w:lang w:val="es-PE"/>
        </w:rPr>
        <w:t>19</w:t>
      </w:r>
      <w:r w:rsidR="00937497" w:rsidRPr="002A3E43">
        <w:rPr>
          <w:rFonts w:asciiTheme="majorHAnsi" w:hAnsiTheme="majorHAnsi" w:cstheme="majorHAnsi"/>
          <w:b w:val="0"/>
          <w:sz w:val="22"/>
          <w:szCs w:val="22"/>
          <w:lang w:val="es-PE"/>
        </w:rPr>
        <w:t xml:space="preserve"> por ciento</w:t>
      </w:r>
      <w:r w:rsidRPr="002A3E43">
        <w:rPr>
          <w:rFonts w:asciiTheme="majorHAnsi" w:hAnsiTheme="majorHAnsi" w:cstheme="majorHAnsi"/>
          <w:b w:val="0"/>
          <w:sz w:val="22"/>
          <w:szCs w:val="22"/>
          <w:lang w:val="es-PE"/>
        </w:rPr>
        <w:t xml:space="preserve"> y grava todos los componentes de la factura. En el caso de electricidad, el IVA grava el:</w:t>
      </w:r>
      <w:r w:rsidR="00456590">
        <w:rPr>
          <w:rFonts w:asciiTheme="majorHAnsi" w:hAnsiTheme="majorHAnsi" w:cstheme="majorHAnsi"/>
          <w:b w:val="0"/>
          <w:sz w:val="22"/>
          <w:szCs w:val="22"/>
          <w:lang w:val="es-PE"/>
        </w:rPr>
        <w:t xml:space="preserve"> </w:t>
      </w:r>
      <w:r w:rsidRPr="002A3E43">
        <w:rPr>
          <w:rFonts w:asciiTheme="majorHAnsi" w:hAnsiTheme="majorHAnsi" w:cstheme="majorHAnsi"/>
          <w:b w:val="0"/>
          <w:sz w:val="22"/>
          <w:szCs w:val="22"/>
          <w:lang w:val="es-PE"/>
        </w:rPr>
        <w:t>a) Cargo fijo mensual; b) Cargo único por uso del sistema troncal; c) Cargo por energía base; y d) Cargo por energía adicional de invierno.</w:t>
      </w:r>
      <w:r w:rsidR="00456590">
        <w:rPr>
          <w:rFonts w:asciiTheme="majorHAnsi" w:hAnsiTheme="majorHAnsi" w:cstheme="majorHAnsi"/>
          <w:b w:val="0"/>
          <w:sz w:val="22"/>
          <w:szCs w:val="22"/>
          <w:lang w:val="es-PE"/>
        </w:rPr>
        <w:t xml:space="preserve"> </w:t>
      </w:r>
      <w:r w:rsidRPr="002A3E43">
        <w:rPr>
          <w:rFonts w:asciiTheme="majorHAnsi" w:hAnsiTheme="majorHAnsi" w:cstheme="majorHAnsi"/>
          <w:b w:val="0"/>
          <w:sz w:val="22"/>
          <w:szCs w:val="22"/>
          <w:lang w:val="es-PE"/>
        </w:rPr>
        <w:t>Así, el IVA se devenga sobre todos los componentes de la tarifa (incluso el costo fijo que la compone)</w:t>
      </w:r>
      <w:r w:rsidRPr="002A3E43">
        <w:rPr>
          <w:rStyle w:val="FootnoteReference"/>
          <w:rFonts w:asciiTheme="majorHAnsi" w:hAnsiTheme="majorHAnsi" w:cstheme="majorHAnsi"/>
          <w:b w:val="0"/>
          <w:sz w:val="22"/>
          <w:szCs w:val="22"/>
          <w:lang w:val="es-PE"/>
        </w:rPr>
        <w:footnoteReference w:id="52"/>
      </w:r>
      <w:r w:rsidR="008238A7" w:rsidRPr="002A3E43">
        <w:rPr>
          <w:rFonts w:asciiTheme="majorHAnsi" w:hAnsiTheme="majorHAnsi" w:cstheme="majorHAnsi"/>
          <w:b w:val="0"/>
          <w:sz w:val="22"/>
          <w:szCs w:val="22"/>
          <w:lang w:val="es-PE"/>
        </w:rPr>
        <w:t>, a</w:t>
      </w:r>
      <w:r w:rsidRPr="002A3E43">
        <w:rPr>
          <w:rFonts w:asciiTheme="majorHAnsi" w:hAnsiTheme="majorHAnsi" w:cstheme="majorHAnsi"/>
          <w:b w:val="0"/>
          <w:sz w:val="22"/>
          <w:szCs w:val="22"/>
          <w:lang w:val="es-PE"/>
        </w:rPr>
        <w:t>sí como también sobre los cobros por suspensión y reposición del suministro. En el caso de agua, se grava</w:t>
      </w:r>
      <w:r w:rsidR="0016530A">
        <w:rPr>
          <w:rFonts w:asciiTheme="majorHAnsi" w:hAnsiTheme="majorHAnsi" w:cstheme="majorHAnsi"/>
          <w:b w:val="0"/>
          <w:sz w:val="22"/>
          <w:szCs w:val="22"/>
          <w:lang w:val="es-PE"/>
        </w:rPr>
        <w:t>n</w:t>
      </w:r>
      <w:r w:rsidRPr="002A3E43">
        <w:rPr>
          <w:rFonts w:asciiTheme="majorHAnsi" w:hAnsiTheme="majorHAnsi" w:cstheme="majorHAnsi"/>
          <w:b w:val="0"/>
          <w:sz w:val="22"/>
          <w:szCs w:val="22"/>
          <w:lang w:val="es-PE"/>
        </w:rPr>
        <w:t xml:space="preserve"> también todos los cargos</w:t>
      </w:r>
      <w:r w:rsidR="008238A7" w:rsidRPr="002A3E43">
        <w:rPr>
          <w:rFonts w:asciiTheme="majorHAnsi" w:hAnsiTheme="majorHAnsi" w:cstheme="majorHAnsi"/>
          <w:b w:val="0"/>
          <w:sz w:val="22"/>
          <w:szCs w:val="22"/>
          <w:lang w:val="es-PE"/>
        </w:rPr>
        <w:t>, esto es</w:t>
      </w:r>
      <w:r w:rsidRPr="002A3E43">
        <w:rPr>
          <w:rFonts w:asciiTheme="majorHAnsi" w:hAnsiTheme="majorHAnsi" w:cstheme="majorHAnsi"/>
          <w:b w:val="0"/>
          <w:sz w:val="22"/>
          <w:szCs w:val="22"/>
          <w:lang w:val="es-PE"/>
        </w:rPr>
        <w:t>: i) cargo fijo, ii) consumo de agua potable y iii) recolección y tratamiento de aguas servidas.</w:t>
      </w:r>
      <w:r w:rsidR="0044439B">
        <w:rPr>
          <w:rFonts w:asciiTheme="majorHAnsi" w:hAnsiTheme="majorHAnsi" w:cstheme="majorHAnsi"/>
          <w:b w:val="0"/>
          <w:sz w:val="22"/>
          <w:szCs w:val="22"/>
          <w:lang w:val="es-PE"/>
        </w:rPr>
        <w:t xml:space="preserve"> De esta manera, la carga tributaria </w:t>
      </w:r>
      <w:r w:rsidR="0061442C">
        <w:rPr>
          <w:rFonts w:asciiTheme="majorHAnsi" w:hAnsiTheme="majorHAnsi" w:cstheme="majorHAnsi"/>
          <w:b w:val="0"/>
          <w:sz w:val="22"/>
          <w:szCs w:val="22"/>
          <w:lang w:val="es-PE"/>
        </w:rPr>
        <w:t>representa</w:t>
      </w:r>
      <w:r w:rsidR="0044439B">
        <w:rPr>
          <w:rFonts w:asciiTheme="majorHAnsi" w:hAnsiTheme="majorHAnsi" w:cstheme="majorHAnsi"/>
          <w:b w:val="0"/>
          <w:sz w:val="22"/>
          <w:szCs w:val="22"/>
          <w:lang w:val="es-PE"/>
        </w:rPr>
        <w:t xml:space="preserve"> en promedio </w:t>
      </w:r>
      <w:r w:rsidR="0061442C">
        <w:rPr>
          <w:rFonts w:asciiTheme="majorHAnsi" w:hAnsiTheme="majorHAnsi" w:cstheme="majorHAnsi"/>
          <w:b w:val="0"/>
          <w:sz w:val="22"/>
          <w:szCs w:val="22"/>
          <w:lang w:val="es-PE"/>
        </w:rPr>
        <w:t>el</w:t>
      </w:r>
      <w:r w:rsidR="0044439B">
        <w:rPr>
          <w:rFonts w:asciiTheme="majorHAnsi" w:hAnsiTheme="majorHAnsi" w:cstheme="majorHAnsi"/>
          <w:b w:val="0"/>
          <w:sz w:val="22"/>
          <w:szCs w:val="22"/>
          <w:lang w:val="es-PE"/>
        </w:rPr>
        <w:t xml:space="preserve"> 16</w:t>
      </w:r>
      <w:r w:rsidR="008F4A53">
        <w:rPr>
          <w:rFonts w:asciiTheme="majorHAnsi" w:hAnsiTheme="majorHAnsi" w:cstheme="majorHAnsi"/>
          <w:b w:val="0"/>
          <w:sz w:val="22"/>
          <w:szCs w:val="22"/>
          <w:lang w:val="es-PE"/>
        </w:rPr>
        <w:t xml:space="preserve"> por ciento</w:t>
      </w:r>
      <w:r w:rsidR="0044439B">
        <w:rPr>
          <w:rFonts w:asciiTheme="majorHAnsi" w:hAnsiTheme="majorHAnsi" w:cstheme="majorHAnsi"/>
          <w:b w:val="0"/>
          <w:sz w:val="22"/>
          <w:szCs w:val="22"/>
          <w:lang w:val="es-PE"/>
        </w:rPr>
        <w:t xml:space="preserve"> </w:t>
      </w:r>
      <w:r w:rsidR="008F4A53">
        <w:rPr>
          <w:rFonts w:asciiTheme="majorHAnsi" w:hAnsiTheme="majorHAnsi" w:cstheme="majorHAnsi"/>
          <w:b w:val="0"/>
          <w:sz w:val="22"/>
          <w:szCs w:val="22"/>
          <w:lang w:val="es-PE"/>
        </w:rPr>
        <w:t>de la factura eléctrica y de agua.</w:t>
      </w:r>
    </w:p>
    <w:p w:rsidR="00C80EA4" w:rsidRPr="002A3E43" w:rsidRDefault="001F170A" w:rsidP="00A15206">
      <w:pPr>
        <w:pStyle w:val="Heading3"/>
        <w:jc w:val="both"/>
        <w:rPr>
          <w:rFonts w:asciiTheme="majorHAnsi" w:hAnsiTheme="majorHAnsi" w:cstheme="majorHAnsi"/>
          <w:b w:val="0"/>
          <w:sz w:val="22"/>
          <w:szCs w:val="22"/>
          <w:lang w:val="es-ES_tradnl"/>
        </w:rPr>
      </w:pPr>
      <w:r>
        <w:rPr>
          <w:rFonts w:asciiTheme="majorHAnsi" w:hAnsiTheme="majorHAnsi" w:cstheme="majorHAnsi"/>
          <w:b w:val="0"/>
          <w:sz w:val="22"/>
          <w:szCs w:val="22"/>
          <w:lang w:val="es-ES_tradnl"/>
        </w:rPr>
        <w:t>O</w:t>
      </w:r>
      <w:r w:rsidR="00C80EA4" w:rsidRPr="002A3E43">
        <w:rPr>
          <w:rFonts w:asciiTheme="majorHAnsi" w:hAnsiTheme="majorHAnsi" w:cstheme="majorHAnsi"/>
          <w:b w:val="0"/>
          <w:sz w:val="22"/>
          <w:szCs w:val="22"/>
          <w:lang w:val="es-ES_tradnl"/>
        </w:rPr>
        <w:t xml:space="preserve">tros servicios </w:t>
      </w:r>
      <w:r w:rsidR="008869FF" w:rsidRPr="002A3E43">
        <w:rPr>
          <w:rFonts w:asciiTheme="majorHAnsi" w:hAnsiTheme="majorHAnsi" w:cstheme="majorHAnsi"/>
          <w:b w:val="0"/>
          <w:sz w:val="22"/>
          <w:szCs w:val="22"/>
          <w:lang w:val="es-ES_tradnl"/>
        </w:rPr>
        <w:t>comúnmente</w:t>
      </w:r>
      <w:r w:rsidR="00C80EA4" w:rsidRPr="002A3E43">
        <w:rPr>
          <w:rFonts w:asciiTheme="majorHAnsi" w:hAnsiTheme="majorHAnsi" w:cstheme="majorHAnsi"/>
          <w:b w:val="0"/>
          <w:sz w:val="22"/>
          <w:szCs w:val="22"/>
          <w:lang w:val="es-ES_tradnl"/>
        </w:rPr>
        <w:t xml:space="preserve"> </w:t>
      </w:r>
      <w:r w:rsidR="008869FF" w:rsidRPr="002A3E43">
        <w:rPr>
          <w:rFonts w:asciiTheme="majorHAnsi" w:hAnsiTheme="majorHAnsi" w:cstheme="majorHAnsi"/>
          <w:b w:val="0"/>
          <w:sz w:val="22"/>
          <w:szCs w:val="22"/>
          <w:lang w:val="es-ES_tradnl"/>
        </w:rPr>
        <w:t>cargados en las facturas relativas a</w:t>
      </w:r>
      <w:r w:rsidR="00C80EA4" w:rsidRPr="002A3E43">
        <w:rPr>
          <w:rFonts w:asciiTheme="majorHAnsi" w:hAnsiTheme="majorHAnsi" w:cstheme="majorHAnsi"/>
          <w:b w:val="0"/>
          <w:sz w:val="22"/>
          <w:szCs w:val="22"/>
          <w:lang w:val="es-ES_tradnl"/>
        </w:rPr>
        <w:t xml:space="preserve"> </w:t>
      </w:r>
      <w:r w:rsidR="008869FF" w:rsidRPr="002A3E43">
        <w:rPr>
          <w:rFonts w:asciiTheme="majorHAnsi" w:hAnsiTheme="majorHAnsi" w:cstheme="majorHAnsi"/>
          <w:b w:val="0"/>
          <w:sz w:val="22"/>
          <w:szCs w:val="22"/>
          <w:lang w:val="es-ES_tradnl"/>
        </w:rPr>
        <w:t>la provisió</w:t>
      </w:r>
      <w:r w:rsidR="00C80EA4" w:rsidRPr="002A3E43">
        <w:rPr>
          <w:rFonts w:asciiTheme="majorHAnsi" w:hAnsiTheme="majorHAnsi" w:cstheme="majorHAnsi"/>
          <w:b w:val="0"/>
          <w:sz w:val="22"/>
          <w:szCs w:val="22"/>
          <w:lang w:val="es-ES_tradnl"/>
        </w:rPr>
        <w:t xml:space="preserve">n de servicios de infraestructura en otros </w:t>
      </w:r>
      <w:r w:rsidR="008869FF" w:rsidRPr="002A3E43">
        <w:rPr>
          <w:rFonts w:asciiTheme="majorHAnsi" w:hAnsiTheme="majorHAnsi" w:cstheme="majorHAnsi"/>
          <w:b w:val="0"/>
          <w:sz w:val="22"/>
          <w:szCs w:val="22"/>
          <w:lang w:val="es-ES_tradnl"/>
        </w:rPr>
        <w:t>países</w:t>
      </w:r>
      <w:r w:rsidR="00C80EA4" w:rsidRPr="002A3E43">
        <w:rPr>
          <w:rFonts w:asciiTheme="majorHAnsi" w:hAnsiTheme="majorHAnsi" w:cstheme="majorHAnsi"/>
          <w:b w:val="0"/>
          <w:sz w:val="22"/>
          <w:szCs w:val="22"/>
          <w:lang w:val="es-ES_tradnl"/>
        </w:rPr>
        <w:t xml:space="preserve">, como el caso de los bomberos o la </w:t>
      </w:r>
      <w:r w:rsidR="008869FF" w:rsidRPr="002A3E43">
        <w:rPr>
          <w:rFonts w:asciiTheme="majorHAnsi" w:hAnsiTheme="majorHAnsi" w:cstheme="majorHAnsi"/>
          <w:b w:val="0"/>
          <w:sz w:val="22"/>
          <w:szCs w:val="22"/>
          <w:lang w:val="es-ES_tradnl"/>
        </w:rPr>
        <w:t>recolección</w:t>
      </w:r>
      <w:r w:rsidR="00C80EA4" w:rsidRPr="002A3E43">
        <w:rPr>
          <w:rFonts w:asciiTheme="majorHAnsi" w:hAnsiTheme="majorHAnsi" w:cstheme="majorHAnsi"/>
          <w:b w:val="0"/>
          <w:sz w:val="22"/>
          <w:szCs w:val="22"/>
          <w:lang w:val="es-ES_tradnl"/>
        </w:rPr>
        <w:t xml:space="preserve"> de basuras, no forman parte de las facturas del agua o electricidad en Chile. </w:t>
      </w:r>
    </w:p>
    <w:p w:rsidR="009E12A3" w:rsidRPr="00723850" w:rsidRDefault="00723850" w:rsidP="00A15206">
      <w:pPr>
        <w:spacing w:before="100" w:beforeAutospacing="1" w:after="100" w:afterAutospacing="1"/>
        <w:rPr>
          <w:rFonts w:asciiTheme="majorHAnsi" w:hAnsiTheme="majorHAnsi" w:cstheme="majorHAnsi"/>
          <w:b/>
        </w:rPr>
      </w:pPr>
      <w:r w:rsidRPr="00723850">
        <w:rPr>
          <w:rFonts w:asciiTheme="majorHAnsi" w:hAnsiTheme="majorHAnsi" w:cstheme="majorHAnsi"/>
          <w:b/>
        </w:rPr>
        <w:t>URUGUAY</w:t>
      </w:r>
    </w:p>
    <w:p w:rsidR="001F170A" w:rsidRDefault="009E12A3" w:rsidP="00B46012">
      <w:pPr>
        <w:pStyle w:val="Heading3"/>
        <w:jc w:val="both"/>
        <w:rPr>
          <w:rFonts w:asciiTheme="majorHAnsi" w:hAnsiTheme="majorHAnsi" w:cstheme="majorHAnsi"/>
          <w:b w:val="0"/>
          <w:sz w:val="22"/>
          <w:szCs w:val="22"/>
          <w:lang w:val="es-ES_tradnl"/>
        </w:rPr>
      </w:pPr>
      <w:r w:rsidRPr="002A3E43">
        <w:rPr>
          <w:rFonts w:asciiTheme="majorHAnsi" w:hAnsiTheme="majorHAnsi" w:cstheme="majorHAnsi"/>
          <w:b w:val="0"/>
          <w:sz w:val="22"/>
          <w:szCs w:val="22"/>
          <w:lang w:val="es-ES_tradnl"/>
        </w:rPr>
        <w:t>En el caso de Uruguay, en promedio los hogares gastan alrededor del 7.3 y 2.2 por ciento de su gasto total en</w:t>
      </w:r>
      <w:r w:rsidR="00F12175" w:rsidRPr="002A3E43">
        <w:rPr>
          <w:rFonts w:asciiTheme="majorHAnsi" w:hAnsiTheme="majorHAnsi" w:cstheme="majorHAnsi"/>
          <w:b w:val="0"/>
          <w:sz w:val="22"/>
          <w:szCs w:val="22"/>
          <w:lang w:val="es-ES_tradnl"/>
        </w:rPr>
        <w:t xml:space="preserve"> electricidad y agua, respectiv</w:t>
      </w:r>
      <w:r w:rsidRPr="002A3E43">
        <w:rPr>
          <w:rFonts w:asciiTheme="majorHAnsi" w:hAnsiTheme="majorHAnsi" w:cstheme="majorHAnsi"/>
          <w:b w:val="0"/>
          <w:sz w:val="22"/>
          <w:szCs w:val="22"/>
          <w:lang w:val="es-ES_tradnl"/>
        </w:rPr>
        <w:t xml:space="preserve">amente (Encuesta Nacional de Gastos e Ingresos de los Hogares, </w:t>
      </w:r>
      <w:r w:rsidR="00115D2B">
        <w:rPr>
          <w:rFonts w:asciiTheme="majorHAnsi" w:hAnsiTheme="majorHAnsi" w:cstheme="majorHAnsi"/>
          <w:b w:val="0"/>
          <w:sz w:val="22"/>
          <w:szCs w:val="22"/>
          <w:lang w:val="es-ES_tradnl"/>
        </w:rPr>
        <w:t>2005/</w:t>
      </w:r>
      <w:r w:rsidR="00047D1A" w:rsidRPr="002A3E43">
        <w:rPr>
          <w:rFonts w:asciiTheme="majorHAnsi" w:hAnsiTheme="majorHAnsi" w:cstheme="majorHAnsi"/>
          <w:b w:val="0"/>
          <w:sz w:val="22"/>
          <w:szCs w:val="22"/>
          <w:lang w:val="es-ES_tradnl"/>
        </w:rPr>
        <w:t>2006</w:t>
      </w:r>
      <w:r w:rsidRPr="002A3E43">
        <w:rPr>
          <w:rFonts w:asciiTheme="majorHAnsi" w:hAnsiTheme="majorHAnsi" w:cstheme="majorHAnsi"/>
          <w:b w:val="0"/>
          <w:sz w:val="22"/>
          <w:szCs w:val="22"/>
          <w:lang w:val="es-ES_tradnl"/>
        </w:rPr>
        <w:t>). No existen en el país impuestos, ni tasas, ni cargos no relacionados al servicio que graven el consumo residencial de los servicios eléctricos ni de agua y saneamiento salvo por el Impuesto al Valor Agregado (IVA).</w:t>
      </w:r>
    </w:p>
    <w:p w:rsidR="002811DA" w:rsidRDefault="002811DA">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B46012" w:rsidRPr="00F73F2B" w:rsidTr="00B46012">
        <w:tc>
          <w:tcPr>
            <w:tcW w:w="8488" w:type="dxa"/>
            <w:gridSpan w:val="2"/>
          </w:tcPr>
          <w:p w:rsidR="00B46012" w:rsidRPr="00F73F2B" w:rsidRDefault="00B46012" w:rsidP="00B46012">
            <w:pPr>
              <w:pStyle w:val="Heading3"/>
              <w:jc w:val="center"/>
              <w:outlineLvl w:val="2"/>
              <w:rPr>
                <w:rFonts w:asciiTheme="majorHAnsi" w:hAnsiTheme="majorHAnsi" w:cstheme="majorHAnsi"/>
                <w:b w:val="0"/>
                <w:sz w:val="22"/>
                <w:szCs w:val="22"/>
                <w:lang w:val="es-ES_tradnl"/>
              </w:rPr>
            </w:pPr>
            <w:r w:rsidRPr="00F73F2B">
              <w:rPr>
                <w:rFonts w:asciiTheme="majorHAnsi" w:hAnsiTheme="majorHAnsi" w:cstheme="majorHAnsi"/>
                <w:sz w:val="22"/>
                <w:szCs w:val="22"/>
                <w:lang w:val="es-PE"/>
              </w:rPr>
              <w:lastRenderedPageBreak/>
              <w:t xml:space="preserve">Figura </w:t>
            </w:r>
            <w:r w:rsidRPr="00F73F2B">
              <w:rPr>
                <w:rFonts w:asciiTheme="majorHAnsi" w:hAnsiTheme="majorHAnsi" w:cstheme="majorHAnsi"/>
                <w:iCs/>
                <w:sz w:val="22"/>
                <w:szCs w:val="22"/>
                <w:lang w:val="es-ES_tradnl"/>
              </w:rPr>
              <w:fldChar w:fldCharType="begin"/>
            </w:r>
            <w:r w:rsidRPr="00F73F2B">
              <w:rPr>
                <w:rFonts w:asciiTheme="majorHAnsi" w:hAnsiTheme="majorHAnsi" w:cstheme="majorHAnsi"/>
                <w:iCs/>
                <w:sz w:val="22"/>
                <w:szCs w:val="22"/>
                <w:lang w:val="es-ES_tradnl"/>
              </w:rPr>
              <w:instrText xml:space="preserve"> SEQ Figura \* ARABIC </w:instrText>
            </w:r>
            <w:r w:rsidRPr="00F73F2B">
              <w:rPr>
                <w:rFonts w:asciiTheme="majorHAnsi" w:hAnsiTheme="majorHAnsi" w:cstheme="majorHAnsi"/>
                <w:iCs/>
                <w:sz w:val="22"/>
                <w:szCs w:val="22"/>
                <w:lang w:val="es-ES_tradnl"/>
              </w:rPr>
              <w:fldChar w:fldCharType="separate"/>
            </w:r>
            <w:r w:rsidRPr="00F73F2B">
              <w:rPr>
                <w:rFonts w:asciiTheme="majorHAnsi" w:hAnsiTheme="majorHAnsi" w:cstheme="majorHAnsi"/>
                <w:iCs/>
                <w:noProof/>
                <w:sz w:val="22"/>
                <w:szCs w:val="22"/>
                <w:lang w:val="es-ES_tradnl"/>
              </w:rPr>
              <w:t>10</w:t>
            </w:r>
            <w:r w:rsidRPr="00F73F2B">
              <w:rPr>
                <w:rFonts w:asciiTheme="majorHAnsi" w:hAnsiTheme="majorHAnsi" w:cstheme="majorHAnsi"/>
                <w:iCs/>
                <w:sz w:val="22"/>
                <w:szCs w:val="22"/>
                <w:lang w:val="es-ES_tradnl"/>
              </w:rPr>
              <w:fldChar w:fldCharType="end"/>
            </w:r>
            <w:r w:rsidRPr="00F73F2B">
              <w:rPr>
                <w:rFonts w:asciiTheme="majorHAnsi" w:hAnsiTheme="majorHAnsi" w:cstheme="majorHAnsi"/>
                <w:sz w:val="22"/>
                <w:szCs w:val="22"/>
                <w:lang w:val="es-PE"/>
              </w:rPr>
              <w:t>. Gasto mensual del hogar en electricidad en Uruguay, según nivel de ingreso, 20</w:t>
            </w:r>
            <w:r w:rsidR="00F73F2B" w:rsidRPr="00F73F2B">
              <w:rPr>
                <w:rFonts w:asciiTheme="majorHAnsi" w:hAnsiTheme="majorHAnsi" w:cstheme="majorHAnsi"/>
                <w:sz w:val="22"/>
                <w:szCs w:val="22"/>
                <w:lang w:val="es-PE"/>
              </w:rPr>
              <w:t>0</w:t>
            </w:r>
            <w:r w:rsidRPr="00F73F2B">
              <w:rPr>
                <w:rFonts w:asciiTheme="majorHAnsi" w:hAnsiTheme="majorHAnsi" w:cstheme="majorHAnsi"/>
                <w:sz w:val="22"/>
                <w:szCs w:val="22"/>
                <w:lang w:val="es-PE"/>
              </w:rPr>
              <w:t>5</w:t>
            </w:r>
            <w:r w:rsidR="00F73F2B" w:rsidRPr="00F73F2B">
              <w:rPr>
                <w:rFonts w:asciiTheme="majorHAnsi" w:hAnsiTheme="majorHAnsi" w:cstheme="majorHAnsi"/>
                <w:sz w:val="22"/>
                <w:szCs w:val="22"/>
                <w:lang w:val="es-PE"/>
              </w:rPr>
              <w:t>/2006</w:t>
            </w:r>
          </w:p>
        </w:tc>
      </w:tr>
      <w:tr w:rsidR="00B46012" w:rsidRPr="00F73F2B" w:rsidTr="00B46012">
        <w:tc>
          <w:tcPr>
            <w:tcW w:w="4244" w:type="dxa"/>
          </w:tcPr>
          <w:p w:rsidR="00B46012" w:rsidRPr="00F73F2B" w:rsidRDefault="00B46012" w:rsidP="00B46012">
            <w:pPr>
              <w:pStyle w:val="Heading3"/>
              <w:jc w:val="center"/>
              <w:outlineLvl w:val="2"/>
              <w:rPr>
                <w:rFonts w:asciiTheme="majorHAnsi" w:hAnsiTheme="majorHAnsi" w:cstheme="majorHAnsi"/>
                <w:b w:val="0"/>
                <w:sz w:val="22"/>
                <w:szCs w:val="22"/>
                <w:lang w:val="es-ES_tradnl"/>
              </w:rPr>
            </w:pPr>
            <w:r w:rsidRPr="00F73F2B">
              <w:rPr>
                <w:rFonts w:asciiTheme="majorHAnsi" w:hAnsiTheme="majorHAnsi" w:cstheme="majorHAnsi"/>
                <w:sz w:val="22"/>
                <w:szCs w:val="22"/>
                <w:lang w:val="es-PE"/>
              </w:rPr>
              <w:t>Electricidad</w:t>
            </w:r>
          </w:p>
        </w:tc>
        <w:tc>
          <w:tcPr>
            <w:tcW w:w="4244" w:type="dxa"/>
          </w:tcPr>
          <w:p w:rsidR="00B46012" w:rsidRPr="00F73F2B" w:rsidRDefault="00B46012" w:rsidP="00B46012">
            <w:pPr>
              <w:pStyle w:val="Heading3"/>
              <w:jc w:val="center"/>
              <w:outlineLvl w:val="2"/>
              <w:rPr>
                <w:rFonts w:asciiTheme="majorHAnsi" w:hAnsiTheme="majorHAnsi" w:cstheme="majorHAnsi"/>
                <w:b w:val="0"/>
                <w:sz w:val="22"/>
                <w:szCs w:val="22"/>
                <w:lang w:val="es-ES_tradnl"/>
              </w:rPr>
            </w:pPr>
            <w:r w:rsidRPr="00F73F2B">
              <w:rPr>
                <w:rFonts w:asciiTheme="majorHAnsi" w:eastAsiaTheme="minorHAnsi" w:hAnsiTheme="majorHAnsi" w:cstheme="majorHAnsi"/>
                <w:bCs w:val="0"/>
                <w:sz w:val="22"/>
                <w:szCs w:val="22"/>
                <w:lang w:val="es-PE"/>
              </w:rPr>
              <w:t>Agua</w:t>
            </w:r>
            <w:r w:rsidR="00115D2B">
              <w:rPr>
                <w:rFonts w:asciiTheme="majorHAnsi" w:eastAsiaTheme="minorHAnsi" w:hAnsiTheme="majorHAnsi" w:cstheme="majorHAnsi"/>
                <w:bCs w:val="0"/>
                <w:sz w:val="22"/>
                <w:szCs w:val="22"/>
                <w:lang w:val="es-PE"/>
              </w:rPr>
              <w:t xml:space="preserve"> y saneamiento</w:t>
            </w:r>
          </w:p>
        </w:tc>
      </w:tr>
      <w:tr w:rsidR="00B46012" w:rsidRPr="00F73F2B" w:rsidTr="00B46012">
        <w:tc>
          <w:tcPr>
            <w:tcW w:w="4244" w:type="dxa"/>
          </w:tcPr>
          <w:p w:rsidR="00B46012" w:rsidRPr="00F73F2B" w:rsidRDefault="00B46012" w:rsidP="00B46012">
            <w:pPr>
              <w:pStyle w:val="Heading3"/>
              <w:jc w:val="center"/>
              <w:outlineLvl w:val="2"/>
              <w:rPr>
                <w:rFonts w:asciiTheme="majorHAnsi" w:hAnsiTheme="majorHAnsi" w:cstheme="majorHAnsi"/>
                <w:sz w:val="22"/>
                <w:szCs w:val="22"/>
                <w:lang w:val="es-PE"/>
              </w:rPr>
            </w:pPr>
            <w:r w:rsidRPr="00F73F2B">
              <w:rPr>
                <w:rFonts w:asciiTheme="majorHAnsi" w:hAnsiTheme="majorHAnsi" w:cstheme="majorHAnsi"/>
                <w:noProof/>
                <w:sz w:val="22"/>
                <w:szCs w:val="22"/>
                <w:lang w:val="es-PE"/>
              </w:rPr>
              <w:drawing>
                <wp:inline distT="0" distB="0" distL="0" distR="0" wp14:anchorId="00F036D7" wp14:editId="31C402F5">
                  <wp:extent cx="2532888" cy="1600200"/>
                  <wp:effectExtent l="0" t="0" r="127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2888" cy="1600200"/>
                          </a:xfrm>
                          <a:prstGeom prst="rect">
                            <a:avLst/>
                          </a:prstGeom>
                          <a:noFill/>
                          <a:ln>
                            <a:noFill/>
                          </a:ln>
                        </pic:spPr>
                      </pic:pic>
                    </a:graphicData>
                  </a:graphic>
                </wp:inline>
              </w:drawing>
            </w:r>
          </w:p>
        </w:tc>
        <w:tc>
          <w:tcPr>
            <w:tcW w:w="4244" w:type="dxa"/>
          </w:tcPr>
          <w:p w:rsidR="00B46012" w:rsidRPr="00F73F2B" w:rsidRDefault="00B46012" w:rsidP="00B46012">
            <w:pPr>
              <w:pStyle w:val="Heading3"/>
              <w:jc w:val="center"/>
              <w:outlineLvl w:val="2"/>
              <w:rPr>
                <w:rFonts w:asciiTheme="majorHAnsi" w:eastAsiaTheme="minorHAnsi" w:hAnsiTheme="majorHAnsi" w:cstheme="majorHAnsi"/>
                <w:bCs w:val="0"/>
                <w:sz w:val="22"/>
                <w:szCs w:val="22"/>
                <w:lang w:val="es-PE"/>
              </w:rPr>
            </w:pPr>
            <w:r w:rsidRPr="00F73F2B">
              <w:rPr>
                <w:rFonts w:asciiTheme="majorHAnsi" w:hAnsiTheme="majorHAnsi" w:cstheme="majorHAnsi"/>
                <w:noProof/>
                <w:sz w:val="22"/>
                <w:szCs w:val="22"/>
                <w:lang w:val="es-PE"/>
              </w:rPr>
              <w:drawing>
                <wp:inline distT="0" distB="0" distL="0" distR="0" wp14:anchorId="52E4B3FA" wp14:editId="47B22C7F">
                  <wp:extent cx="2496312" cy="1609344"/>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6312" cy="1609344"/>
                          </a:xfrm>
                          <a:prstGeom prst="rect">
                            <a:avLst/>
                          </a:prstGeom>
                          <a:noFill/>
                          <a:ln>
                            <a:noFill/>
                          </a:ln>
                        </pic:spPr>
                      </pic:pic>
                    </a:graphicData>
                  </a:graphic>
                </wp:inline>
              </w:drawing>
            </w:r>
          </w:p>
        </w:tc>
      </w:tr>
      <w:tr w:rsidR="00B46012" w:rsidRPr="00B46012" w:rsidTr="00B46012">
        <w:tc>
          <w:tcPr>
            <w:tcW w:w="8488" w:type="dxa"/>
            <w:gridSpan w:val="2"/>
          </w:tcPr>
          <w:p w:rsidR="00B46012" w:rsidRPr="00B46012" w:rsidRDefault="00B46012" w:rsidP="00B46012">
            <w:pPr>
              <w:pStyle w:val="Heading3"/>
              <w:jc w:val="both"/>
              <w:outlineLvl w:val="2"/>
              <w:rPr>
                <w:rFonts w:asciiTheme="majorHAnsi" w:hAnsiTheme="majorHAnsi" w:cstheme="majorHAnsi"/>
                <w:b w:val="0"/>
                <w:noProof/>
                <w:sz w:val="18"/>
                <w:szCs w:val="18"/>
                <w:lang w:val="es-PE"/>
              </w:rPr>
            </w:pPr>
            <w:r w:rsidRPr="00F73F2B">
              <w:rPr>
                <w:rFonts w:asciiTheme="majorHAnsi" w:hAnsiTheme="majorHAnsi" w:cstheme="majorHAnsi"/>
                <w:b w:val="0"/>
                <w:noProof/>
                <w:sz w:val="18"/>
                <w:szCs w:val="18"/>
                <w:lang w:val="es-PE"/>
              </w:rPr>
              <w:t>Fuente: Encuesta Nacional de Gastos e Ingresos de los Hogares</w:t>
            </w:r>
            <w:r w:rsidR="00F73F2B">
              <w:rPr>
                <w:rFonts w:asciiTheme="majorHAnsi" w:hAnsiTheme="majorHAnsi" w:cstheme="majorHAnsi"/>
                <w:b w:val="0"/>
                <w:noProof/>
                <w:sz w:val="18"/>
                <w:szCs w:val="18"/>
                <w:lang w:val="es-PE"/>
              </w:rPr>
              <w:t xml:space="preserve"> de Uruguay</w:t>
            </w:r>
            <w:r w:rsidRPr="00F73F2B">
              <w:rPr>
                <w:rFonts w:asciiTheme="majorHAnsi" w:hAnsiTheme="majorHAnsi" w:cstheme="majorHAnsi"/>
                <w:b w:val="0"/>
                <w:noProof/>
                <w:sz w:val="18"/>
                <w:szCs w:val="18"/>
                <w:lang w:val="es-PE"/>
              </w:rPr>
              <w:t xml:space="preserve"> </w:t>
            </w:r>
            <w:r w:rsidR="00F73F2B">
              <w:rPr>
                <w:rFonts w:asciiTheme="majorHAnsi" w:hAnsiTheme="majorHAnsi" w:cstheme="majorHAnsi"/>
                <w:b w:val="0"/>
                <w:noProof/>
                <w:sz w:val="18"/>
                <w:szCs w:val="18"/>
                <w:lang w:val="es-PE"/>
              </w:rPr>
              <w:t>(</w:t>
            </w:r>
            <w:r w:rsidRPr="00F73F2B">
              <w:rPr>
                <w:rFonts w:asciiTheme="majorHAnsi" w:hAnsiTheme="majorHAnsi" w:cstheme="majorHAnsi"/>
                <w:b w:val="0"/>
                <w:noProof/>
                <w:sz w:val="18"/>
                <w:szCs w:val="18"/>
                <w:lang w:val="es-PE"/>
              </w:rPr>
              <w:t>2005/2006</w:t>
            </w:r>
            <w:r w:rsidR="00F73F2B">
              <w:rPr>
                <w:rFonts w:asciiTheme="majorHAnsi" w:hAnsiTheme="majorHAnsi" w:cstheme="majorHAnsi"/>
                <w:b w:val="0"/>
                <w:noProof/>
                <w:sz w:val="18"/>
                <w:szCs w:val="18"/>
                <w:lang w:val="es-PE"/>
              </w:rPr>
              <w:t>)</w:t>
            </w:r>
            <w:r w:rsidRPr="00F73F2B">
              <w:rPr>
                <w:rFonts w:asciiTheme="majorHAnsi" w:hAnsiTheme="majorHAnsi" w:cstheme="majorHAnsi"/>
                <w:b w:val="0"/>
                <w:noProof/>
                <w:sz w:val="18"/>
                <w:szCs w:val="18"/>
                <w:lang w:val="es-PE"/>
              </w:rPr>
              <w:t>.</w:t>
            </w:r>
          </w:p>
        </w:tc>
      </w:tr>
    </w:tbl>
    <w:p w:rsidR="008F4A53" w:rsidRDefault="009E12A3" w:rsidP="008F4A53">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La carga impositiva más importante sobre la electricidad</w:t>
      </w:r>
      <w:r w:rsidRPr="002A3E43">
        <w:rPr>
          <w:rStyle w:val="FootnoteReference"/>
          <w:rFonts w:asciiTheme="majorHAnsi" w:hAnsiTheme="majorHAnsi" w:cstheme="majorHAnsi"/>
          <w:sz w:val="22"/>
          <w:szCs w:val="22"/>
        </w:rPr>
        <w:footnoteReference w:id="53"/>
      </w:r>
      <w:r w:rsidRPr="002A3E43">
        <w:rPr>
          <w:rFonts w:asciiTheme="majorHAnsi" w:hAnsiTheme="majorHAnsi" w:cstheme="majorHAnsi"/>
          <w:sz w:val="22"/>
          <w:szCs w:val="22"/>
        </w:rPr>
        <w:t xml:space="preserve"> está dada por el IVA (22</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54"/>
      </w:r>
      <w:r w:rsidRPr="002A3E43">
        <w:rPr>
          <w:rFonts w:asciiTheme="majorHAnsi" w:hAnsiTheme="majorHAnsi" w:cstheme="majorHAnsi"/>
          <w:sz w:val="22"/>
          <w:szCs w:val="22"/>
        </w:rPr>
        <w:t xml:space="preserve"> Inicialmente, el suministro de este servicio estaba exonerado del Impuesto al Valor Agregado siempre y cuando el Impuesto Específico Interno (IMESI) fuera mayor que cero.</w:t>
      </w:r>
      <w:r w:rsidRPr="002A3E43">
        <w:rPr>
          <w:rStyle w:val="FootnoteReference"/>
          <w:rFonts w:asciiTheme="majorHAnsi" w:hAnsiTheme="majorHAnsi" w:cstheme="majorHAnsi"/>
          <w:sz w:val="22"/>
          <w:szCs w:val="22"/>
        </w:rPr>
        <w:footnoteReference w:id="55"/>
      </w:r>
      <w:r w:rsidRPr="002A3E43">
        <w:rPr>
          <w:rFonts w:asciiTheme="majorHAnsi" w:hAnsiTheme="majorHAnsi" w:cstheme="majorHAnsi"/>
          <w:sz w:val="22"/>
          <w:szCs w:val="22"/>
        </w:rPr>
        <w:t xml:space="preserve"> El IMESI</w:t>
      </w:r>
      <w:r w:rsidRPr="002A3E43">
        <w:rPr>
          <w:rStyle w:val="FootnoteReference"/>
          <w:rFonts w:asciiTheme="majorHAnsi" w:hAnsiTheme="majorHAnsi" w:cstheme="majorHAnsi"/>
          <w:sz w:val="22"/>
          <w:szCs w:val="22"/>
        </w:rPr>
        <w:footnoteReference w:id="56"/>
      </w:r>
      <w:r w:rsidRPr="002A3E43">
        <w:rPr>
          <w:rFonts w:asciiTheme="majorHAnsi" w:hAnsiTheme="majorHAnsi" w:cstheme="majorHAnsi"/>
          <w:sz w:val="22"/>
          <w:szCs w:val="22"/>
        </w:rPr>
        <w:t xml:space="preserve"> gravaba por un máximo de 10</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la energía eléctrica hasta 1995 año a partir del cual se fijó en cero.</w:t>
      </w:r>
      <w:r w:rsidRPr="002A3E43">
        <w:rPr>
          <w:rStyle w:val="FootnoteReference"/>
          <w:rFonts w:asciiTheme="majorHAnsi" w:hAnsiTheme="majorHAnsi" w:cstheme="majorHAnsi"/>
          <w:sz w:val="22"/>
          <w:szCs w:val="22"/>
        </w:rPr>
        <w:footnoteReference w:id="57"/>
      </w:r>
      <w:r w:rsidRPr="002A3E43">
        <w:rPr>
          <w:rFonts w:asciiTheme="majorHAnsi" w:hAnsiTheme="majorHAnsi" w:cstheme="majorHAnsi"/>
          <w:sz w:val="22"/>
          <w:szCs w:val="22"/>
        </w:rPr>
        <w:t xml:space="preserve"> Así, hasta la fecha, la enajenación de la energía eléctrica pasó solo a ser gravada por el IVA. </w:t>
      </w:r>
      <w:r w:rsidR="001C2F2F">
        <w:rPr>
          <w:rFonts w:asciiTheme="majorHAnsi" w:hAnsiTheme="majorHAnsi" w:cstheme="majorHAnsi"/>
          <w:sz w:val="22"/>
          <w:szCs w:val="22"/>
        </w:rPr>
        <w:t xml:space="preserve">Dado </w:t>
      </w:r>
      <w:r w:rsidR="00987CA8">
        <w:rPr>
          <w:rFonts w:asciiTheme="majorHAnsi" w:hAnsiTheme="majorHAnsi" w:cstheme="majorHAnsi"/>
          <w:sz w:val="22"/>
          <w:szCs w:val="22"/>
        </w:rPr>
        <w:t>que e</w:t>
      </w:r>
      <w:r w:rsidRPr="002A3E43">
        <w:rPr>
          <w:rFonts w:asciiTheme="majorHAnsi" w:hAnsiTheme="majorHAnsi" w:cstheme="majorHAnsi"/>
          <w:sz w:val="22"/>
          <w:szCs w:val="22"/>
        </w:rPr>
        <w:t>l IVA grava todas las ventas menos el cargo fijo de las tarifas residenciales ni el cargo mensual de la tarifa de consumo básico residencial en la factura eléctrica</w:t>
      </w:r>
      <w:r w:rsidR="00987CA8">
        <w:rPr>
          <w:rFonts w:asciiTheme="majorHAnsi" w:hAnsiTheme="majorHAnsi" w:cstheme="majorHAnsi"/>
          <w:sz w:val="22"/>
          <w:szCs w:val="22"/>
        </w:rPr>
        <w:t xml:space="preserve">, </w:t>
      </w:r>
      <w:r w:rsidR="008F4A53">
        <w:rPr>
          <w:rFonts w:asciiTheme="majorHAnsi" w:hAnsiTheme="majorHAnsi" w:cstheme="majorHAnsi"/>
          <w:sz w:val="22"/>
          <w:szCs w:val="22"/>
        </w:rPr>
        <w:t>la carga tributaria es en promedio el 15 por ciento de la factura de eléctrica.</w:t>
      </w:r>
    </w:p>
    <w:p w:rsidR="005042F3" w:rsidRDefault="009E12A3" w:rsidP="005042F3">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Sobre el agua y saneamiento,</w:t>
      </w:r>
      <w:r w:rsidRPr="002A3E43">
        <w:rPr>
          <w:rStyle w:val="FootnoteReference"/>
          <w:rFonts w:asciiTheme="majorHAnsi" w:hAnsiTheme="majorHAnsi" w:cstheme="majorHAnsi"/>
          <w:sz w:val="22"/>
          <w:szCs w:val="22"/>
        </w:rPr>
        <w:footnoteReference w:id="58"/>
      </w:r>
      <w:r w:rsidRPr="002A3E43">
        <w:rPr>
          <w:rFonts w:asciiTheme="majorHAnsi" w:hAnsiTheme="majorHAnsi" w:cstheme="majorHAnsi"/>
          <w:sz w:val="22"/>
          <w:szCs w:val="22"/>
        </w:rPr>
        <w:t xml:space="preserve"> la carga impositiva más importante también está dada por el IVA (22</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w:t>
      </w:r>
      <w:r w:rsidR="00456590">
        <w:rPr>
          <w:rFonts w:asciiTheme="majorHAnsi" w:hAnsiTheme="majorHAnsi" w:cstheme="majorHAnsi"/>
          <w:sz w:val="22"/>
          <w:szCs w:val="22"/>
        </w:rPr>
        <w:t xml:space="preserve"> </w:t>
      </w:r>
      <w:r w:rsidRPr="002A3E43">
        <w:rPr>
          <w:rFonts w:asciiTheme="majorHAnsi" w:hAnsiTheme="majorHAnsi" w:cstheme="majorHAnsi"/>
          <w:sz w:val="22"/>
          <w:szCs w:val="22"/>
        </w:rPr>
        <w:t>Desde 1996</w:t>
      </w:r>
      <w:r w:rsidRPr="002A3E43">
        <w:rPr>
          <w:rStyle w:val="FootnoteReference"/>
          <w:rFonts w:asciiTheme="majorHAnsi" w:hAnsiTheme="majorHAnsi" w:cstheme="majorHAnsi"/>
          <w:sz w:val="22"/>
          <w:szCs w:val="22"/>
        </w:rPr>
        <w:footnoteReference w:id="59"/>
      </w:r>
      <w:r w:rsidRPr="002A3E43">
        <w:rPr>
          <w:rFonts w:asciiTheme="majorHAnsi" w:hAnsiTheme="majorHAnsi" w:cstheme="majorHAnsi"/>
          <w:sz w:val="22"/>
          <w:szCs w:val="22"/>
        </w:rPr>
        <w:t xml:space="preserve"> se exoneraba del IVA al suministro de agua para el consumo familiar básico, dentro de los límites que estableciera el Poder Ejecutivo. Desde el año 2007</w:t>
      </w:r>
      <w:r w:rsidRPr="002A3E43">
        <w:rPr>
          <w:rStyle w:val="FootnoteReference"/>
          <w:rFonts w:asciiTheme="majorHAnsi" w:hAnsiTheme="majorHAnsi" w:cstheme="majorHAnsi"/>
          <w:sz w:val="22"/>
          <w:szCs w:val="22"/>
        </w:rPr>
        <w:footnoteReference w:id="60"/>
      </w:r>
      <w:r w:rsidRPr="002A3E43">
        <w:rPr>
          <w:rFonts w:asciiTheme="majorHAnsi" w:hAnsiTheme="majorHAnsi" w:cstheme="majorHAnsi"/>
          <w:sz w:val="22"/>
          <w:szCs w:val="22"/>
        </w:rPr>
        <w:t xml:space="preserve"> </w:t>
      </w:r>
      <w:bookmarkStart w:id="4" w:name="_Hlk496024930"/>
      <w:r w:rsidRPr="002A3E43">
        <w:rPr>
          <w:rFonts w:asciiTheme="majorHAnsi" w:hAnsiTheme="majorHAnsi" w:cstheme="majorHAnsi"/>
          <w:sz w:val="22"/>
          <w:szCs w:val="22"/>
        </w:rPr>
        <w:t xml:space="preserve">se estableció la exoneración del </w:t>
      </w:r>
      <w:r w:rsidR="00412EA4">
        <w:rPr>
          <w:rFonts w:asciiTheme="majorHAnsi" w:hAnsiTheme="majorHAnsi" w:cstheme="majorHAnsi"/>
          <w:sz w:val="22"/>
          <w:szCs w:val="22"/>
        </w:rPr>
        <w:t>IVA</w:t>
      </w:r>
      <w:r w:rsidRPr="002A3E43">
        <w:rPr>
          <w:rFonts w:asciiTheme="majorHAnsi" w:hAnsiTheme="majorHAnsi" w:cstheme="majorHAnsi"/>
          <w:sz w:val="22"/>
          <w:szCs w:val="22"/>
        </w:rPr>
        <w:t xml:space="preserve"> para el cargo fijo más un cargo variable de hasta 15 metros cúbicos</w:t>
      </w:r>
      <w:bookmarkEnd w:id="4"/>
      <w:r w:rsidRPr="002A3E43">
        <w:rPr>
          <w:rFonts w:asciiTheme="majorHAnsi" w:hAnsiTheme="majorHAnsi" w:cstheme="majorHAnsi"/>
          <w:sz w:val="22"/>
          <w:szCs w:val="22"/>
        </w:rPr>
        <w:t>, siempre que el suministro de agua se destine exclusivamente al consumo familiar. Quedó incluido en el concepto de suministro de agua el saneamiento, el alcantarillado y todas las restantes prestaciones accesorias vinculadas a dicho suministro.</w:t>
      </w:r>
      <w:r w:rsidR="005042F3">
        <w:rPr>
          <w:rFonts w:asciiTheme="majorHAnsi" w:hAnsiTheme="majorHAnsi" w:cstheme="majorHAnsi"/>
          <w:sz w:val="22"/>
          <w:szCs w:val="22"/>
        </w:rPr>
        <w:t xml:space="preserve"> Así, la carga tributaria es en promedio </w:t>
      </w:r>
      <w:r w:rsidR="008F4A53">
        <w:rPr>
          <w:rFonts w:asciiTheme="majorHAnsi" w:hAnsiTheme="majorHAnsi" w:cstheme="majorHAnsi"/>
          <w:sz w:val="22"/>
          <w:szCs w:val="22"/>
        </w:rPr>
        <w:t xml:space="preserve">el </w:t>
      </w:r>
      <w:r w:rsidR="005042F3">
        <w:rPr>
          <w:rFonts w:asciiTheme="majorHAnsi" w:hAnsiTheme="majorHAnsi" w:cstheme="majorHAnsi"/>
          <w:sz w:val="22"/>
          <w:szCs w:val="22"/>
        </w:rPr>
        <w:t>13.3</w:t>
      </w:r>
      <w:r w:rsidR="008F4A53">
        <w:rPr>
          <w:rFonts w:asciiTheme="majorHAnsi" w:hAnsiTheme="majorHAnsi" w:cstheme="majorHAnsi"/>
          <w:sz w:val="22"/>
          <w:szCs w:val="22"/>
        </w:rPr>
        <w:t xml:space="preserve"> por ciento de la factura de agua</w:t>
      </w:r>
      <w:r w:rsidR="005042F3">
        <w:rPr>
          <w:rFonts w:asciiTheme="majorHAnsi" w:hAnsiTheme="majorHAnsi" w:cstheme="majorHAnsi"/>
          <w:sz w:val="22"/>
          <w:szCs w:val="22"/>
        </w:rPr>
        <w:t>.</w:t>
      </w:r>
    </w:p>
    <w:p w:rsidR="009E12A3" w:rsidRPr="002A3E43" w:rsidRDefault="009E12A3"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Adicionalmente, ambos servicios están sujeto</w:t>
      </w:r>
      <w:r w:rsidR="00A01FC1" w:rsidRPr="002A3E43">
        <w:rPr>
          <w:rFonts w:asciiTheme="majorHAnsi" w:hAnsiTheme="majorHAnsi" w:cstheme="majorHAnsi"/>
          <w:sz w:val="22"/>
          <w:szCs w:val="22"/>
        </w:rPr>
        <w:t>s</w:t>
      </w:r>
      <w:r w:rsidRPr="002A3E43">
        <w:rPr>
          <w:rFonts w:asciiTheme="majorHAnsi" w:hAnsiTheme="majorHAnsi" w:cstheme="majorHAnsi"/>
          <w:sz w:val="22"/>
          <w:szCs w:val="22"/>
        </w:rPr>
        <w:t xml:space="preserve"> a dos tasas relacionadas con el servicio: i) la tasa de Control del Marco Regulatorio de Energía y Agua</w:t>
      </w:r>
      <w:r w:rsidRPr="002A3E43">
        <w:rPr>
          <w:rStyle w:val="FootnoteReference"/>
          <w:rFonts w:asciiTheme="majorHAnsi" w:hAnsiTheme="majorHAnsi" w:cstheme="majorHAnsi"/>
          <w:sz w:val="22"/>
          <w:szCs w:val="22"/>
        </w:rPr>
        <w:footnoteReference w:id="61"/>
      </w:r>
      <w:r w:rsidRPr="002A3E43">
        <w:rPr>
          <w:rFonts w:asciiTheme="majorHAnsi" w:hAnsiTheme="majorHAnsi" w:cstheme="majorHAnsi"/>
          <w:sz w:val="22"/>
          <w:szCs w:val="22"/>
        </w:rPr>
        <w:t xml:space="preserve"> que grava el total de las ventas con 0.2</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y ii) la tasa para el Fideicomiso Uruguayo de Ahorro y Eficiencia Energética</w:t>
      </w:r>
      <w:r w:rsidRPr="002A3E43">
        <w:rPr>
          <w:rStyle w:val="FootnoteReference"/>
          <w:rFonts w:asciiTheme="majorHAnsi" w:hAnsiTheme="majorHAnsi" w:cstheme="majorHAnsi"/>
          <w:sz w:val="22"/>
          <w:szCs w:val="22"/>
        </w:rPr>
        <w:footnoteReference w:id="62"/>
      </w:r>
      <w:r w:rsidRPr="002A3E43">
        <w:rPr>
          <w:rFonts w:asciiTheme="majorHAnsi" w:hAnsiTheme="majorHAnsi" w:cstheme="majorHAnsi"/>
          <w:sz w:val="22"/>
          <w:szCs w:val="22"/>
        </w:rPr>
        <w:t xml:space="preserve"> </w:t>
      </w:r>
      <w:r w:rsidR="005A575F">
        <w:rPr>
          <w:rFonts w:asciiTheme="majorHAnsi" w:hAnsiTheme="majorHAnsi" w:cstheme="majorHAnsi"/>
          <w:sz w:val="22"/>
          <w:szCs w:val="22"/>
        </w:rPr>
        <w:t>que</w:t>
      </w:r>
      <w:r w:rsidRPr="002A3E43">
        <w:rPr>
          <w:rFonts w:asciiTheme="majorHAnsi" w:hAnsiTheme="majorHAnsi" w:cstheme="majorHAnsi"/>
          <w:sz w:val="22"/>
          <w:szCs w:val="22"/>
        </w:rPr>
        <w:t xml:space="preserve"> </w:t>
      </w:r>
      <w:r w:rsidRPr="002A3E43">
        <w:rPr>
          <w:rFonts w:asciiTheme="majorHAnsi" w:hAnsiTheme="majorHAnsi" w:cstheme="majorHAnsi"/>
          <w:sz w:val="22"/>
          <w:szCs w:val="22"/>
        </w:rPr>
        <w:lastRenderedPageBreak/>
        <w:t>corresponde a una aportación que grava el total de las ventas con 0.13</w:t>
      </w:r>
      <w:r w:rsidR="00937497" w:rsidRPr="002A3E43">
        <w:rPr>
          <w:rFonts w:asciiTheme="majorHAnsi" w:hAnsiTheme="majorHAnsi" w:cstheme="majorHAnsi"/>
          <w:sz w:val="22"/>
          <w:szCs w:val="22"/>
        </w:rPr>
        <w:t xml:space="preserve"> por ciento</w:t>
      </w:r>
      <w:r w:rsidRPr="002A3E43">
        <w:rPr>
          <w:rFonts w:asciiTheme="majorHAnsi" w:hAnsiTheme="majorHAnsi" w:cstheme="majorHAnsi"/>
          <w:sz w:val="22"/>
          <w:szCs w:val="22"/>
        </w:rPr>
        <w:t xml:space="preserve">. Tasas como la recolección de basura que en otros países son incluidas en la factura eléctrica o de agua </w:t>
      </w:r>
      <w:r w:rsidR="001D421F" w:rsidRPr="002A3E43">
        <w:rPr>
          <w:rFonts w:asciiTheme="majorHAnsi" w:hAnsiTheme="majorHAnsi" w:cstheme="majorHAnsi"/>
          <w:sz w:val="22"/>
          <w:szCs w:val="22"/>
        </w:rPr>
        <w:t>se</w:t>
      </w:r>
      <w:r w:rsidRPr="002A3E43">
        <w:rPr>
          <w:rFonts w:asciiTheme="majorHAnsi" w:hAnsiTheme="majorHAnsi" w:cstheme="majorHAnsi"/>
          <w:sz w:val="22"/>
          <w:szCs w:val="22"/>
        </w:rPr>
        <w:t xml:space="preserve"> </w:t>
      </w:r>
      <w:r w:rsidR="001D421F" w:rsidRPr="002A3E43">
        <w:rPr>
          <w:rFonts w:asciiTheme="majorHAnsi" w:hAnsiTheme="majorHAnsi" w:cstheme="majorHAnsi"/>
          <w:sz w:val="22"/>
          <w:szCs w:val="22"/>
        </w:rPr>
        <w:t>cobran</w:t>
      </w:r>
      <w:r w:rsidRPr="002A3E43">
        <w:rPr>
          <w:rFonts w:asciiTheme="majorHAnsi" w:hAnsiTheme="majorHAnsi" w:cstheme="majorHAnsi"/>
          <w:sz w:val="22"/>
          <w:szCs w:val="22"/>
        </w:rPr>
        <w:t xml:space="preserve"> a través de la municipalidad. La recolección de basura en Uruguay depende del segundo nivel de Gobierno, las Intendencias, que cobran los Tributos Domiciliarios y Contribución Inmobiliaria, con los que financian los servicios de recolección.</w:t>
      </w:r>
    </w:p>
    <w:p w:rsidR="00677D73" w:rsidRPr="00723850" w:rsidRDefault="00677D73" w:rsidP="00A15206">
      <w:pPr>
        <w:pStyle w:val="ListParagraph"/>
        <w:numPr>
          <w:ilvl w:val="0"/>
          <w:numId w:val="1"/>
        </w:numPr>
        <w:spacing w:before="100" w:beforeAutospacing="1" w:after="100" w:afterAutospacing="1"/>
        <w:rPr>
          <w:rFonts w:asciiTheme="majorHAnsi" w:hAnsiTheme="majorHAnsi" w:cstheme="majorHAnsi"/>
          <w:b/>
        </w:rPr>
      </w:pPr>
      <w:r w:rsidRPr="00723850">
        <w:rPr>
          <w:rFonts w:asciiTheme="majorHAnsi" w:hAnsiTheme="majorHAnsi" w:cstheme="majorHAnsi"/>
          <w:b/>
        </w:rPr>
        <w:t>Una comparativa internacional: la experiencia europea</w:t>
      </w:r>
    </w:p>
    <w:p w:rsidR="00657034"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Resulta relevante poner los números de América Latina y el Caribe en contexto, y comparar con la experiencia de otras regiones en</w:t>
      </w:r>
      <w:r w:rsidR="00C516E9" w:rsidRPr="002A3E43">
        <w:rPr>
          <w:rFonts w:asciiTheme="majorHAnsi" w:hAnsiTheme="majorHAnsi" w:cstheme="majorHAnsi"/>
          <w:sz w:val="22"/>
          <w:szCs w:val="22"/>
        </w:rPr>
        <w:t xml:space="preserve"> lo que a</w:t>
      </w:r>
      <w:r w:rsidRPr="002A3E43">
        <w:rPr>
          <w:rFonts w:asciiTheme="majorHAnsi" w:hAnsiTheme="majorHAnsi" w:cstheme="majorHAnsi"/>
          <w:sz w:val="22"/>
          <w:szCs w:val="22"/>
        </w:rPr>
        <w:t xml:space="preserve"> materia impositiva</w:t>
      </w:r>
      <w:r w:rsidR="00C516E9" w:rsidRPr="002A3E43">
        <w:rPr>
          <w:rFonts w:asciiTheme="majorHAnsi" w:hAnsiTheme="majorHAnsi" w:cstheme="majorHAnsi"/>
          <w:sz w:val="22"/>
          <w:szCs w:val="22"/>
        </w:rPr>
        <w:t xml:space="preserve"> </w:t>
      </w:r>
      <w:r w:rsidR="00B26308" w:rsidRPr="002A3E43">
        <w:rPr>
          <w:rFonts w:asciiTheme="majorHAnsi" w:hAnsiTheme="majorHAnsi" w:cstheme="majorHAnsi"/>
          <w:sz w:val="22"/>
          <w:szCs w:val="22"/>
        </w:rPr>
        <w:t xml:space="preserve">y servicios domiciliarios </w:t>
      </w:r>
      <w:r w:rsidR="00C516E9" w:rsidRPr="002A3E43">
        <w:rPr>
          <w:rFonts w:asciiTheme="majorHAnsi" w:hAnsiTheme="majorHAnsi" w:cstheme="majorHAnsi"/>
          <w:sz w:val="22"/>
          <w:szCs w:val="22"/>
        </w:rPr>
        <w:t>se refiere</w:t>
      </w:r>
      <w:r w:rsidRPr="002A3E43">
        <w:rPr>
          <w:rFonts w:asciiTheme="majorHAnsi" w:hAnsiTheme="majorHAnsi" w:cstheme="majorHAnsi"/>
          <w:sz w:val="22"/>
          <w:szCs w:val="22"/>
        </w:rPr>
        <w:t xml:space="preserve">. En este sentido, la experiencia europea puede resultar un buen marco de comparación dada la existencia de un marco regulatorio común para los países miembros de la Unión Europea que rige la filosofía de gran parte de sus políticas y programas, pero con una independencia en su política fiscal que permite encontrar heterogeneidad entre sus miembros. </w:t>
      </w:r>
    </w:p>
    <w:p w:rsidR="00657034"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En términos generales, los cargos de tasas no relacionadas con el servicio tienen una variabilidad bastante grande en Europa. De forma resumida, los diferentes cargos observados en el continente europeo son: </w:t>
      </w:r>
    </w:p>
    <w:p w:rsidR="00657034" w:rsidRPr="002A3E43" w:rsidRDefault="00657034" w:rsidP="00A15206">
      <w:pPr>
        <w:pStyle w:val="ListParagraph"/>
        <w:numPr>
          <w:ilvl w:val="0"/>
          <w:numId w:val="5"/>
        </w:num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b/>
          <w:i/>
          <w:sz w:val="22"/>
          <w:szCs w:val="22"/>
        </w:rPr>
        <w:t>Cargos fijos o variables relacionados con el servicio</w:t>
      </w:r>
      <w:r w:rsidRPr="002A3E43">
        <w:rPr>
          <w:rFonts w:asciiTheme="majorHAnsi" w:hAnsiTheme="majorHAnsi" w:cstheme="majorHAnsi"/>
          <w:sz w:val="22"/>
          <w:szCs w:val="22"/>
        </w:rPr>
        <w:t xml:space="preserve"> (costos fijos de la red o los costos variables de producción).</w:t>
      </w:r>
    </w:p>
    <w:p w:rsidR="00657034" w:rsidRPr="002A3E43" w:rsidRDefault="00657034" w:rsidP="00A15206">
      <w:pPr>
        <w:pStyle w:val="ListParagraph"/>
        <w:numPr>
          <w:ilvl w:val="0"/>
          <w:numId w:val="5"/>
        </w:num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b/>
          <w:i/>
          <w:sz w:val="22"/>
          <w:szCs w:val="22"/>
        </w:rPr>
        <w:t>Cargos relacionados con el financiamiento del sector</w:t>
      </w:r>
      <w:r w:rsidRPr="002A3E43">
        <w:rPr>
          <w:rFonts w:asciiTheme="majorHAnsi" w:hAnsiTheme="majorHAnsi" w:cstheme="majorHAnsi"/>
          <w:sz w:val="22"/>
          <w:szCs w:val="22"/>
        </w:rPr>
        <w:t>: contribuciones a un fondo global de infraestructura sectorial, financiamiento especial, actualizaciones de la red, entre otras.</w:t>
      </w:r>
    </w:p>
    <w:p w:rsidR="00657034" w:rsidRPr="002A3E43" w:rsidRDefault="00657034" w:rsidP="00A15206">
      <w:pPr>
        <w:pStyle w:val="ListParagraph"/>
        <w:numPr>
          <w:ilvl w:val="0"/>
          <w:numId w:val="5"/>
        </w:num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b/>
          <w:i/>
          <w:sz w:val="22"/>
          <w:szCs w:val="22"/>
        </w:rPr>
        <w:t>Recaudación de tasas de otras entidades</w:t>
      </w:r>
      <w:r w:rsidRPr="002A3E43">
        <w:rPr>
          <w:rFonts w:asciiTheme="majorHAnsi" w:hAnsiTheme="majorHAnsi" w:cstheme="majorHAnsi"/>
          <w:sz w:val="22"/>
          <w:szCs w:val="22"/>
        </w:rPr>
        <w:t xml:space="preserve">: por ejemplo, impuestos audiovisuales o tasas de recolección de basura. </w:t>
      </w:r>
    </w:p>
    <w:p w:rsidR="00232C6B" w:rsidRPr="002A3E43" w:rsidRDefault="00657034" w:rsidP="00A15206">
      <w:pPr>
        <w:pStyle w:val="ListParagraph"/>
        <w:numPr>
          <w:ilvl w:val="0"/>
          <w:numId w:val="5"/>
        </w:num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b/>
          <w:i/>
          <w:sz w:val="22"/>
          <w:szCs w:val="22"/>
        </w:rPr>
        <w:t>Impuesto al valor agregado</w:t>
      </w:r>
      <w:r w:rsidRPr="002A3E43">
        <w:rPr>
          <w:rFonts w:asciiTheme="majorHAnsi" w:hAnsiTheme="majorHAnsi" w:cstheme="majorHAnsi"/>
          <w:sz w:val="22"/>
          <w:szCs w:val="22"/>
        </w:rPr>
        <w:t xml:space="preserve"> y otros impuestos estatales y municipales no relacionados al sector y de carácter general.</w:t>
      </w:r>
      <w:r w:rsidR="00232C6B" w:rsidRPr="002A3E43">
        <w:rPr>
          <w:rFonts w:asciiTheme="majorHAnsi" w:hAnsiTheme="majorHAnsi" w:cstheme="majorHAnsi"/>
          <w:sz w:val="22"/>
          <w:szCs w:val="22"/>
        </w:rPr>
        <w:t xml:space="preserve"> </w:t>
      </w:r>
    </w:p>
    <w:p w:rsidR="00657034" w:rsidRPr="002A3E43" w:rsidRDefault="00232C6B" w:rsidP="00A15206">
      <w:pPr>
        <w:pStyle w:val="ListParagraph"/>
        <w:numPr>
          <w:ilvl w:val="0"/>
          <w:numId w:val="5"/>
        </w:num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b/>
          <w:i/>
          <w:sz w:val="22"/>
          <w:szCs w:val="22"/>
        </w:rPr>
        <w:t>Cargos relacionados con las externalidades negativas</w:t>
      </w:r>
      <w:r w:rsidRPr="002A3E43">
        <w:rPr>
          <w:rFonts w:asciiTheme="majorHAnsi" w:hAnsiTheme="majorHAnsi" w:cstheme="majorHAnsi"/>
          <w:sz w:val="22"/>
          <w:szCs w:val="22"/>
        </w:rPr>
        <w:t>.</w:t>
      </w:r>
    </w:p>
    <w:p w:rsidR="00657034"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Asimismo, dentro de cada categoría, el peso difiere significativamente entre países de la región, como muestra la figura </w:t>
      </w:r>
      <w:r w:rsidR="009976B3">
        <w:rPr>
          <w:rFonts w:asciiTheme="majorHAnsi" w:hAnsiTheme="majorHAnsi" w:cstheme="majorHAnsi"/>
          <w:sz w:val="22"/>
          <w:szCs w:val="22"/>
        </w:rPr>
        <w:t>11</w:t>
      </w:r>
      <w:r w:rsidRPr="002A3E43">
        <w:rPr>
          <w:rFonts w:asciiTheme="majorHAnsi" w:hAnsiTheme="majorHAnsi" w:cstheme="majorHAnsi"/>
          <w:sz w:val="22"/>
          <w:szCs w:val="22"/>
        </w:rPr>
        <w:t xml:space="preserve"> que detalla </w:t>
      </w:r>
      <w:r w:rsidR="00740DC6">
        <w:rPr>
          <w:rFonts w:asciiTheme="majorHAnsi" w:hAnsiTheme="majorHAnsi" w:cstheme="majorHAnsi"/>
          <w:sz w:val="22"/>
          <w:szCs w:val="22"/>
        </w:rPr>
        <w:t xml:space="preserve">el monto de </w:t>
      </w:r>
      <w:r w:rsidR="005433D0" w:rsidRPr="002A3E43">
        <w:rPr>
          <w:rFonts w:asciiTheme="majorHAnsi" w:hAnsiTheme="majorHAnsi" w:cstheme="majorHAnsi"/>
          <w:sz w:val="22"/>
          <w:szCs w:val="22"/>
        </w:rPr>
        <w:t>las</w:t>
      </w:r>
      <w:r w:rsidRPr="002A3E43">
        <w:rPr>
          <w:rFonts w:asciiTheme="majorHAnsi" w:hAnsiTheme="majorHAnsi" w:cstheme="majorHAnsi"/>
          <w:sz w:val="22"/>
          <w:szCs w:val="22"/>
        </w:rPr>
        <w:t xml:space="preserve"> tasas e impuestos en la factura de electricidad en </w:t>
      </w:r>
      <w:r w:rsidR="005433D0" w:rsidRPr="002A3E43">
        <w:rPr>
          <w:rFonts w:asciiTheme="majorHAnsi" w:hAnsiTheme="majorHAnsi" w:cstheme="majorHAnsi"/>
          <w:sz w:val="22"/>
          <w:szCs w:val="22"/>
        </w:rPr>
        <w:t>los</w:t>
      </w:r>
      <w:r w:rsidRPr="002A3E43">
        <w:rPr>
          <w:rFonts w:asciiTheme="majorHAnsi" w:hAnsiTheme="majorHAnsi" w:cstheme="majorHAnsi"/>
          <w:sz w:val="22"/>
          <w:szCs w:val="22"/>
        </w:rPr>
        <w:t xml:space="preserve"> países de la Unión Europea. </w:t>
      </w:r>
    </w:p>
    <w:p w:rsidR="002811DA" w:rsidRDefault="002811DA">
      <w:pPr>
        <w:rPr>
          <w:rFonts w:asciiTheme="majorHAnsi" w:hAnsiTheme="majorHAnsi" w:cstheme="majorHAnsi"/>
          <w:b/>
          <w:sz w:val="22"/>
          <w:szCs w:val="22"/>
        </w:rPr>
      </w:pPr>
      <w:r>
        <w:rPr>
          <w:rFonts w:asciiTheme="majorHAnsi" w:hAnsiTheme="majorHAnsi" w:cstheme="majorHAnsi"/>
          <w:b/>
          <w:sz w:val="22"/>
          <w:szCs w:val="22"/>
        </w:rPr>
        <w:br w:type="page"/>
      </w:r>
    </w:p>
    <w:p w:rsidR="00E56314" w:rsidRPr="002A3E43" w:rsidRDefault="00657034" w:rsidP="007E31D6">
      <w:pPr>
        <w:spacing w:before="100" w:beforeAutospacing="1" w:after="100" w:afterAutospacing="1"/>
        <w:jc w:val="center"/>
        <w:rPr>
          <w:rFonts w:asciiTheme="majorHAnsi" w:hAnsiTheme="majorHAnsi" w:cstheme="majorHAnsi"/>
          <w:b/>
          <w:sz w:val="22"/>
          <w:szCs w:val="22"/>
        </w:rPr>
      </w:pPr>
      <w:r w:rsidRPr="002A3E43">
        <w:rPr>
          <w:rFonts w:asciiTheme="majorHAnsi" w:hAnsiTheme="majorHAnsi" w:cstheme="majorHAnsi"/>
          <w:b/>
          <w:sz w:val="22"/>
          <w:szCs w:val="22"/>
        </w:rPr>
        <w:lastRenderedPageBreak/>
        <w:t xml:space="preserve">Figura </w:t>
      </w:r>
      <w:r w:rsidR="009976B3" w:rsidRPr="00B46012">
        <w:rPr>
          <w:rFonts w:asciiTheme="majorHAnsi" w:hAnsiTheme="majorHAnsi" w:cstheme="majorHAnsi"/>
          <w:b/>
          <w:iCs/>
          <w:sz w:val="22"/>
          <w:szCs w:val="22"/>
        </w:rPr>
        <w:fldChar w:fldCharType="begin"/>
      </w:r>
      <w:r w:rsidR="009976B3" w:rsidRPr="00B46012">
        <w:rPr>
          <w:rFonts w:asciiTheme="majorHAnsi" w:hAnsiTheme="majorHAnsi" w:cstheme="majorHAnsi"/>
          <w:b/>
          <w:iCs/>
          <w:sz w:val="22"/>
          <w:szCs w:val="22"/>
        </w:rPr>
        <w:instrText xml:space="preserve"> SEQ Figura \* ARABIC </w:instrText>
      </w:r>
      <w:r w:rsidR="009976B3" w:rsidRPr="00B46012">
        <w:rPr>
          <w:rFonts w:asciiTheme="majorHAnsi" w:hAnsiTheme="majorHAnsi" w:cstheme="majorHAnsi"/>
          <w:b/>
          <w:iCs/>
          <w:sz w:val="22"/>
          <w:szCs w:val="22"/>
        </w:rPr>
        <w:fldChar w:fldCharType="separate"/>
      </w:r>
      <w:r w:rsidR="009976B3">
        <w:rPr>
          <w:rFonts w:asciiTheme="majorHAnsi" w:hAnsiTheme="majorHAnsi" w:cstheme="majorHAnsi"/>
          <w:b/>
          <w:iCs/>
          <w:noProof/>
          <w:sz w:val="22"/>
          <w:szCs w:val="22"/>
        </w:rPr>
        <w:t>11</w:t>
      </w:r>
      <w:r w:rsidR="009976B3" w:rsidRPr="00B46012">
        <w:rPr>
          <w:rFonts w:asciiTheme="majorHAnsi" w:hAnsiTheme="majorHAnsi" w:cstheme="majorHAnsi"/>
          <w:b/>
          <w:iCs/>
          <w:sz w:val="22"/>
          <w:szCs w:val="22"/>
        </w:rPr>
        <w:fldChar w:fldCharType="end"/>
      </w:r>
      <w:r w:rsidR="009976B3">
        <w:rPr>
          <w:rFonts w:asciiTheme="majorHAnsi" w:hAnsiTheme="majorHAnsi" w:cstheme="majorHAnsi"/>
          <w:b/>
          <w:iCs/>
          <w:sz w:val="22"/>
          <w:szCs w:val="22"/>
        </w:rPr>
        <w:t>.</w:t>
      </w:r>
      <w:r w:rsidRPr="002A3E43">
        <w:rPr>
          <w:rFonts w:asciiTheme="majorHAnsi" w:hAnsiTheme="majorHAnsi" w:cstheme="majorHAnsi"/>
          <w:b/>
          <w:sz w:val="22"/>
          <w:szCs w:val="22"/>
        </w:rPr>
        <w:t xml:space="preserve"> </w:t>
      </w:r>
      <w:r w:rsidR="00BC4457" w:rsidRPr="002A3E43">
        <w:rPr>
          <w:rFonts w:asciiTheme="majorHAnsi" w:hAnsiTheme="majorHAnsi" w:cstheme="majorHAnsi"/>
          <w:b/>
          <w:sz w:val="22"/>
          <w:szCs w:val="22"/>
        </w:rPr>
        <w:t xml:space="preserve">Precio desagregado de la electricidad para los hogares </w:t>
      </w:r>
      <w:r w:rsidRPr="002A3E43">
        <w:rPr>
          <w:rFonts w:asciiTheme="majorHAnsi" w:hAnsiTheme="majorHAnsi" w:cstheme="majorHAnsi"/>
          <w:b/>
          <w:sz w:val="22"/>
          <w:szCs w:val="22"/>
        </w:rPr>
        <w:t xml:space="preserve">en </w:t>
      </w:r>
      <w:r w:rsidR="005433D0" w:rsidRPr="002A3E43">
        <w:rPr>
          <w:rFonts w:asciiTheme="majorHAnsi" w:hAnsiTheme="majorHAnsi" w:cstheme="majorHAnsi"/>
          <w:b/>
          <w:sz w:val="22"/>
          <w:szCs w:val="22"/>
        </w:rPr>
        <w:t xml:space="preserve">la </w:t>
      </w:r>
      <w:r w:rsidR="00335681" w:rsidRPr="002A3E43">
        <w:rPr>
          <w:rFonts w:asciiTheme="majorHAnsi" w:hAnsiTheme="majorHAnsi" w:cstheme="majorHAnsi"/>
          <w:b/>
          <w:sz w:val="22"/>
          <w:szCs w:val="22"/>
        </w:rPr>
        <w:t>U</w:t>
      </w:r>
      <w:r w:rsidR="005433D0" w:rsidRPr="002A3E43">
        <w:rPr>
          <w:rFonts w:asciiTheme="majorHAnsi" w:hAnsiTheme="majorHAnsi" w:cstheme="majorHAnsi"/>
          <w:b/>
          <w:sz w:val="22"/>
          <w:szCs w:val="22"/>
        </w:rPr>
        <w:t>nión Europea</w:t>
      </w:r>
      <w:r w:rsidRPr="002A3E43">
        <w:rPr>
          <w:rFonts w:asciiTheme="majorHAnsi" w:hAnsiTheme="majorHAnsi" w:cstheme="majorHAnsi"/>
          <w:b/>
          <w:sz w:val="22"/>
          <w:szCs w:val="22"/>
        </w:rPr>
        <w:t xml:space="preserve">, </w:t>
      </w:r>
      <w:r w:rsidR="004C6F6F" w:rsidRPr="002A3E43">
        <w:rPr>
          <w:rFonts w:asciiTheme="majorHAnsi" w:hAnsiTheme="majorHAnsi" w:cstheme="majorHAnsi"/>
          <w:b/>
          <w:sz w:val="22"/>
          <w:szCs w:val="22"/>
        </w:rPr>
        <w:t>201</w:t>
      </w:r>
      <w:r w:rsidR="00BC4457" w:rsidRPr="002A3E43">
        <w:rPr>
          <w:rFonts w:asciiTheme="majorHAnsi" w:hAnsiTheme="majorHAnsi" w:cstheme="majorHAnsi"/>
          <w:b/>
          <w:sz w:val="22"/>
          <w:szCs w:val="22"/>
        </w:rPr>
        <w:t>5</w:t>
      </w:r>
      <w:r w:rsidR="00BC4457" w:rsidRPr="002A3E43">
        <w:rPr>
          <w:rStyle w:val="FootnoteReference"/>
          <w:rFonts w:asciiTheme="majorHAnsi" w:hAnsiTheme="majorHAnsi" w:cstheme="majorHAnsi"/>
          <w:b/>
          <w:sz w:val="22"/>
          <w:szCs w:val="22"/>
        </w:rPr>
        <w:footnoteReference w:id="63"/>
      </w:r>
      <w:r w:rsidR="007E31D6">
        <w:rPr>
          <w:rFonts w:asciiTheme="majorHAnsi" w:hAnsiTheme="majorHAnsi" w:cstheme="majorHAnsi"/>
          <w:b/>
          <w:sz w:val="22"/>
          <w:szCs w:val="22"/>
        </w:rPr>
        <w:t xml:space="preserve"> </w:t>
      </w:r>
      <w:r w:rsidR="00F42AA0" w:rsidRPr="002A3E43">
        <w:rPr>
          <w:rFonts w:asciiTheme="majorHAnsi" w:hAnsiTheme="majorHAnsi" w:cstheme="majorHAnsi"/>
          <w:b/>
          <w:sz w:val="22"/>
          <w:szCs w:val="22"/>
        </w:rPr>
        <w:t>(</w:t>
      </w:r>
      <w:r w:rsidR="00E03B69">
        <w:rPr>
          <w:rFonts w:asciiTheme="majorHAnsi" w:hAnsiTheme="majorHAnsi" w:cstheme="majorHAnsi"/>
          <w:b/>
          <w:sz w:val="22"/>
          <w:szCs w:val="22"/>
        </w:rPr>
        <w:t>US$</w:t>
      </w:r>
      <w:r w:rsidR="00BC4457" w:rsidRPr="002A3E43">
        <w:rPr>
          <w:rFonts w:asciiTheme="majorHAnsi" w:hAnsiTheme="majorHAnsi" w:cstheme="majorHAnsi"/>
          <w:b/>
          <w:sz w:val="22"/>
          <w:szCs w:val="22"/>
        </w:rPr>
        <w:t>/kWh)</w:t>
      </w:r>
    </w:p>
    <w:p w:rsidR="00657034" w:rsidRPr="002A3E43" w:rsidRDefault="00E03B69" w:rsidP="00A15206">
      <w:pPr>
        <w:spacing w:before="100" w:beforeAutospacing="1" w:after="100" w:afterAutospacing="1"/>
        <w:jc w:val="both"/>
        <w:rPr>
          <w:rFonts w:asciiTheme="majorHAnsi" w:hAnsiTheme="majorHAnsi" w:cstheme="majorHAnsi"/>
          <w:sz w:val="22"/>
          <w:szCs w:val="22"/>
        </w:rPr>
      </w:pPr>
      <w:r w:rsidRPr="00E03B69">
        <w:rPr>
          <w:noProof/>
        </w:rPr>
        <w:drawing>
          <wp:inline distT="0" distB="0" distL="0" distR="0" wp14:anchorId="7F7E0229" wp14:editId="00C5F285">
            <wp:extent cx="5396230" cy="33998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6230" cy="3399815"/>
                    </a:xfrm>
                    <a:prstGeom prst="rect">
                      <a:avLst/>
                    </a:prstGeom>
                    <a:noFill/>
                    <a:ln>
                      <a:noFill/>
                    </a:ln>
                  </pic:spPr>
                </pic:pic>
              </a:graphicData>
            </a:graphic>
          </wp:inline>
        </w:drawing>
      </w:r>
    </w:p>
    <w:p w:rsidR="00657034" w:rsidRPr="00C10683" w:rsidRDefault="00657034" w:rsidP="00A15206">
      <w:pPr>
        <w:spacing w:before="100" w:beforeAutospacing="1" w:after="100" w:afterAutospacing="1"/>
        <w:jc w:val="both"/>
        <w:rPr>
          <w:rFonts w:asciiTheme="majorHAnsi" w:hAnsiTheme="majorHAnsi" w:cstheme="majorHAnsi"/>
          <w:sz w:val="18"/>
          <w:szCs w:val="18"/>
        </w:rPr>
      </w:pPr>
      <w:r w:rsidRPr="00C10683">
        <w:rPr>
          <w:rFonts w:asciiTheme="majorHAnsi" w:hAnsiTheme="majorHAnsi" w:cstheme="majorHAnsi"/>
          <w:sz w:val="18"/>
          <w:szCs w:val="18"/>
        </w:rPr>
        <w:t xml:space="preserve">Fuente: </w:t>
      </w:r>
      <w:r w:rsidR="002A2CAC" w:rsidRPr="00C10683">
        <w:rPr>
          <w:rFonts w:asciiTheme="majorHAnsi" w:hAnsiTheme="majorHAnsi" w:cstheme="majorHAnsi"/>
          <w:i/>
          <w:sz w:val="18"/>
          <w:szCs w:val="18"/>
        </w:rPr>
        <w:t xml:space="preserve">Energy, </w:t>
      </w:r>
      <w:proofErr w:type="spellStart"/>
      <w:r w:rsidR="002A2CAC" w:rsidRPr="00C10683">
        <w:rPr>
          <w:rFonts w:asciiTheme="majorHAnsi" w:hAnsiTheme="majorHAnsi" w:cstheme="majorHAnsi"/>
          <w:i/>
          <w:sz w:val="18"/>
          <w:szCs w:val="18"/>
        </w:rPr>
        <w:t>transport</w:t>
      </w:r>
      <w:proofErr w:type="spellEnd"/>
      <w:r w:rsidR="002A2CAC" w:rsidRPr="00C10683">
        <w:rPr>
          <w:rFonts w:asciiTheme="majorHAnsi" w:hAnsiTheme="majorHAnsi" w:cstheme="majorHAnsi"/>
          <w:i/>
          <w:sz w:val="18"/>
          <w:szCs w:val="18"/>
        </w:rPr>
        <w:t xml:space="preserve"> and </w:t>
      </w:r>
      <w:proofErr w:type="spellStart"/>
      <w:r w:rsidR="002A2CAC" w:rsidRPr="00C10683">
        <w:rPr>
          <w:rFonts w:asciiTheme="majorHAnsi" w:hAnsiTheme="majorHAnsi" w:cstheme="majorHAnsi"/>
          <w:i/>
          <w:sz w:val="18"/>
          <w:szCs w:val="18"/>
        </w:rPr>
        <w:t>environment</w:t>
      </w:r>
      <w:proofErr w:type="spellEnd"/>
      <w:r w:rsidR="002A2CAC" w:rsidRPr="00C10683">
        <w:rPr>
          <w:rFonts w:asciiTheme="majorHAnsi" w:hAnsiTheme="majorHAnsi" w:cstheme="majorHAnsi"/>
          <w:i/>
          <w:sz w:val="18"/>
          <w:szCs w:val="18"/>
        </w:rPr>
        <w:t xml:space="preserve"> </w:t>
      </w:r>
      <w:proofErr w:type="spellStart"/>
      <w:r w:rsidR="002A2CAC" w:rsidRPr="00C10683">
        <w:rPr>
          <w:rFonts w:asciiTheme="majorHAnsi" w:hAnsiTheme="majorHAnsi" w:cstheme="majorHAnsi"/>
          <w:i/>
          <w:sz w:val="18"/>
          <w:szCs w:val="18"/>
        </w:rPr>
        <w:t>indicators</w:t>
      </w:r>
      <w:proofErr w:type="spellEnd"/>
      <w:r w:rsidR="002A2CAC" w:rsidRPr="00C10683">
        <w:rPr>
          <w:rFonts w:asciiTheme="majorHAnsi" w:hAnsiTheme="majorHAnsi" w:cstheme="majorHAnsi"/>
          <w:sz w:val="18"/>
          <w:szCs w:val="18"/>
        </w:rPr>
        <w:t xml:space="preserve"> - </w:t>
      </w:r>
      <w:r w:rsidR="00D44822" w:rsidRPr="00C10683">
        <w:rPr>
          <w:rFonts w:asciiTheme="majorHAnsi" w:hAnsiTheme="majorHAnsi" w:cstheme="majorHAnsi"/>
          <w:sz w:val="18"/>
          <w:szCs w:val="18"/>
        </w:rPr>
        <w:t>Eurostat</w:t>
      </w:r>
      <w:r w:rsidRPr="00C10683">
        <w:rPr>
          <w:rFonts w:asciiTheme="majorHAnsi" w:hAnsiTheme="majorHAnsi" w:cstheme="majorHAnsi"/>
          <w:sz w:val="18"/>
          <w:szCs w:val="18"/>
        </w:rPr>
        <w:t xml:space="preserve"> (201</w:t>
      </w:r>
      <w:r w:rsidR="00335681" w:rsidRPr="00C10683">
        <w:rPr>
          <w:rFonts w:asciiTheme="majorHAnsi" w:hAnsiTheme="majorHAnsi" w:cstheme="majorHAnsi"/>
          <w:sz w:val="18"/>
          <w:szCs w:val="18"/>
        </w:rPr>
        <w:t>6</w:t>
      </w:r>
      <w:r w:rsidRPr="00C10683">
        <w:rPr>
          <w:rFonts w:asciiTheme="majorHAnsi" w:hAnsiTheme="majorHAnsi" w:cstheme="majorHAnsi"/>
          <w:sz w:val="18"/>
          <w:szCs w:val="18"/>
        </w:rPr>
        <w:t>).</w:t>
      </w:r>
    </w:p>
    <w:p w:rsidR="00657034"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En promedio, la carga de impuestos en la factura eléctrica representa el </w:t>
      </w:r>
      <w:r w:rsidR="005433D0" w:rsidRPr="002A3E43">
        <w:rPr>
          <w:rFonts w:asciiTheme="majorHAnsi" w:hAnsiTheme="majorHAnsi" w:cstheme="majorHAnsi"/>
          <w:sz w:val="22"/>
          <w:szCs w:val="22"/>
        </w:rPr>
        <w:t>29</w:t>
      </w:r>
      <w:r w:rsidRPr="002A3E43">
        <w:rPr>
          <w:rFonts w:asciiTheme="majorHAnsi" w:hAnsiTheme="majorHAnsi" w:cstheme="majorHAnsi"/>
          <w:sz w:val="22"/>
          <w:szCs w:val="22"/>
        </w:rPr>
        <w:t xml:space="preserve"> por ciento del total, con un elevado grado de dispersión – véase casos como Reino Unido</w:t>
      </w:r>
      <w:r w:rsidR="00740DC6">
        <w:rPr>
          <w:rFonts w:asciiTheme="majorHAnsi" w:hAnsiTheme="majorHAnsi" w:cstheme="majorHAnsi"/>
          <w:sz w:val="22"/>
          <w:szCs w:val="22"/>
        </w:rPr>
        <w:t xml:space="preserve"> o</w:t>
      </w:r>
      <w:r w:rsidRPr="002A3E43">
        <w:rPr>
          <w:rFonts w:asciiTheme="majorHAnsi" w:hAnsiTheme="majorHAnsi" w:cstheme="majorHAnsi"/>
          <w:sz w:val="22"/>
          <w:szCs w:val="22"/>
        </w:rPr>
        <w:t xml:space="preserve"> Malta, con</w:t>
      </w:r>
      <w:r w:rsidR="005433D0" w:rsidRPr="002A3E43">
        <w:rPr>
          <w:rFonts w:asciiTheme="majorHAnsi" w:hAnsiTheme="majorHAnsi" w:cstheme="majorHAnsi"/>
          <w:sz w:val="22"/>
          <w:szCs w:val="22"/>
        </w:rPr>
        <w:t xml:space="preserve"> impuestos que representan menos de</w:t>
      </w:r>
      <w:r w:rsidR="000D21F3">
        <w:rPr>
          <w:rFonts w:asciiTheme="majorHAnsi" w:hAnsiTheme="majorHAnsi" w:cstheme="majorHAnsi"/>
          <w:sz w:val="22"/>
          <w:szCs w:val="22"/>
        </w:rPr>
        <w:t>l</w:t>
      </w:r>
      <w:r w:rsidRPr="002A3E43">
        <w:rPr>
          <w:rFonts w:asciiTheme="majorHAnsi" w:hAnsiTheme="majorHAnsi" w:cstheme="majorHAnsi"/>
          <w:sz w:val="22"/>
          <w:szCs w:val="22"/>
        </w:rPr>
        <w:t xml:space="preserve"> 5 por ciento</w:t>
      </w:r>
      <w:r w:rsidR="005433D0" w:rsidRPr="002A3E43">
        <w:rPr>
          <w:rFonts w:asciiTheme="majorHAnsi" w:hAnsiTheme="majorHAnsi" w:cstheme="majorHAnsi"/>
          <w:sz w:val="22"/>
          <w:szCs w:val="22"/>
        </w:rPr>
        <w:t xml:space="preserve"> del precio</w:t>
      </w:r>
      <w:r w:rsidRPr="002A3E43">
        <w:rPr>
          <w:rFonts w:asciiTheme="majorHAnsi" w:hAnsiTheme="majorHAnsi" w:cstheme="majorHAnsi"/>
          <w:sz w:val="22"/>
          <w:szCs w:val="22"/>
        </w:rPr>
        <w:t>; u otros como Dinamarca (69.</w:t>
      </w:r>
      <w:r w:rsidR="005433D0" w:rsidRPr="002A3E43">
        <w:rPr>
          <w:rFonts w:asciiTheme="majorHAnsi" w:hAnsiTheme="majorHAnsi" w:cstheme="majorHAnsi"/>
          <w:sz w:val="22"/>
          <w:szCs w:val="22"/>
        </w:rPr>
        <w:t>1</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4"/>
      </w:r>
      <w:r w:rsidRPr="002A3E43">
        <w:rPr>
          <w:rFonts w:asciiTheme="majorHAnsi" w:hAnsiTheme="majorHAnsi" w:cstheme="majorHAnsi"/>
          <w:sz w:val="22"/>
          <w:szCs w:val="22"/>
        </w:rPr>
        <w:t>, Alemania (5</w:t>
      </w:r>
      <w:r w:rsidR="005433D0" w:rsidRPr="002A3E43">
        <w:rPr>
          <w:rFonts w:asciiTheme="majorHAnsi" w:hAnsiTheme="majorHAnsi" w:cstheme="majorHAnsi"/>
          <w:sz w:val="22"/>
          <w:szCs w:val="22"/>
        </w:rPr>
        <w:t>1.5</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5"/>
      </w:r>
      <w:r w:rsidRPr="002A3E43">
        <w:rPr>
          <w:rFonts w:asciiTheme="majorHAnsi" w:hAnsiTheme="majorHAnsi" w:cstheme="majorHAnsi"/>
          <w:sz w:val="22"/>
          <w:szCs w:val="22"/>
        </w:rPr>
        <w:t>, Portugal (4</w:t>
      </w:r>
      <w:r w:rsidR="005433D0" w:rsidRPr="002A3E43">
        <w:rPr>
          <w:rFonts w:asciiTheme="majorHAnsi" w:hAnsiTheme="majorHAnsi" w:cstheme="majorHAnsi"/>
          <w:sz w:val="22"/>
          <w:szCs w:val="22"/>
        </w:rPr>
        <w:t>9.8</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6"/>
      </w:r>
      <w:r w:rsidRPr="002A3E43">
        <w:rPr>
          <w:rFonts w:asciiTheme="majorHAnsi" w:hAnsiTheme="majorHAnsi" w:cstheme="majorHAnsi"/>
          <w:sz w:val="22"/>
          <w:szCs w:val="22"/>
        </w:rPr>
        <w:t xml:space="preserve"> o Italia (</w:t>
      </w:r>
      <w:r w:rsidR="005433D0" w:rsidRPr="002A3E43">
        <w:rPr>
          <w:rFonts w:asciiTheme="majorHAnsi" w:hAnsiTheme="majorHAnsi" w:cstheme="majorHAnsi"/>
          <w:sz w:val="22"/>
          <w:szCs w:val="22"/>
        </w:rPr>
        <w:t>39.1</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7"/>
      </w:r>
      <w:r w:rsidRPr="002A3E43">
        <w:rPr>
          <w:rFonts w:asciiTheme="majorHAnsi" w:hAnsiTheme="majorHAnsi" w:cstheme="majorHAnsi"/>
          <w:sz w:val="22"/>
          <w:szCs w:val="22"/>
        </w:rPr>
        <w:t>.</w:t>
      </w:r>
      <w:r w:rsidR="005433D0" w:rsidRPr="002A3E43">
        <w:rPr>
          <w:rFonts w:asciiTheme="majorHAnsi" w:hAnsiTheme="majorHAnsi" w:cstheme="majorHAnsi"/>
          <w:sz w:val="22"/>
          <w:szCs w:val="22"/>
        </w:rPr>
        <w:t xml:space="preserve"> E</w:t>
      </w:r>
      <w:r w:rsidRPr="002A3E43">
        <w:rPr>
          <w:rFonts w:asciiTheme="majorHAnsi" w:hAnsiTheme="majorHAnsi" w:cstheme="majorHAnsi"/>
          <w:sz w:val="22"/>
          <w:szCs w:val="22"/>
        </w:rPr>
        <w:t xml:space="preserve">n términos generales, las cargas </w:t>
      </w:r>
      <w:r w:rsidR="005433D0" w:rsidRPr="002A3E43">
        <w:rPr>
          <w:rFonts w:asciiTheme="majorHAnsi" w:hAnsiTheme="majorHAnsi" w:cstheme="majorHAnsi"/>
          <w:sz w:val="22"/>
          <w:szCs w:val="22"/>
        </w:rPr>
        <w:t xml:space="preserve">se han mantenido </w:t>
      </w:r>
      <w:r w:rsidR="006F4072">
        <w:rPr>
          <w:rFonts w:asciiTheme="majorHAnsi" w:hAnsiTheme="majorHAnsi" w:cstheme="majorHAnsi"/>
          <w:sz w:val="22"/>
          <w:szCs w:val="22"/>
        </w:rPr>
        <w:t>en</w:t>
      </w:r>
      <w:r w:rsidRPr="002A3E43">
        <w:rPr>
          <w:rFonts w:asciiTheme="majorHAnsi" w:hAnsiTheme="majorHAnsi" w:cstheme="majorHAnsi"/>
          <w:sz w:val="22"/>
          <w:szCs w:val="22"/>
        </w:rPr>
        <w:t xml:space="preserve"> un promedio del 28.9 por ciento en 2011, </w:t>
      </w:r>
      <w:r w:rsidR="006F4072">
        <w:rPr>
          <w:rFonts w:asciiTheme="majorHAnsi" w:hAnsiTheme="majorHAnsi" w:cstheme="majorHAnsi"/>
          <w:sz w:val="22"/>
          <w:szCs w:val="22"/>
        </w:rPr>
        <w:t>y</w:t>
      </w:r>
      <w:r w:rsidR="005433D0" w:rsidRPr="002A3E43">
        <w:rPr>
          <w:rFonts w:asciiTheme="majorHAnsi" w:hAnsiTheme="majorHAnsi" w:cstheme="majorHAnsi"/>
          <w:sz w:val="22"/>
          <w:szCs w:val="22"/>
        </w:rPr>
        <w:t xml:space="preserve"> 29</w:t>
      </w:r>
      <w:r w:rsidRPr="002A3E43">
        <w:rPr>
          <w:rFonts w:asciiTheme="majorHAnsi" w:hAnsiTheme="majorHAnsi" w:cstheme="majorHAnsi"/>
          <w:sz w:val="22"/>
          <w:szCs w:val="22"/>
        </w:rPr>
        <w:t xml:space="preserve"> por ciento</w:t>
      </w:r>
      <w:r w:rsidR="005433D0" w:rsidRPr="002A3E43">
        <w:rPr>
          <w:rFonts w:asciiTheme="majorHAnsi" w:hAnsiTheme="majorHAnsi" w:cstheme="majorHAnsi"/>
          <w:sz w:val="22"/>
          <w:szCs w:val="22"/>
        </w:rPr>
        <w:t xml:space="preserve"> en 2015</w:t>
      </w:r>
      <w:r w:rsidRPr="002A3E43">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8"/>
      </w:r>
      <w:r w:rsidRPr="002A3E43">
        <w:rPr>
          <w:rFonts w:asciiTheme="majorHAnsi" w:hAnsiTheme="majorHAnsi" w:cstheme="majorHAnsi"/>
          <w:sz w:val="22"/>
          <w:szCs w:val="22"/>
        </w:rPr>
        <w:t xml:space="preserve"> </w:t>
      </w:r>
    </w:p>
    <w:p w:rsidR="00657034"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En cuanto a los servicios de agua y saneamiento, la figura </w:t>
      </w:r>
      <w:r w:rsidR="00AA2C2A" w:rsidRPr="002A3E43">
        <w:rPr>
          <w:rFonts w:asciiTheme="majorHAnsi" w:hAnsiTheme="majorHAnsi" w:cstheme="majorHAnsi"/>
          <w:sz w:val="22"/>
          <w:szCs w:val="22"/>
        </w:rPr>
        <w:t>1</w:t>
      </w:r>
      <w:r w:rsidR="009976B3">
        <w:rPr>
          <w:rFonts w:asciiTheme="majorHAnsi" w:hAnsiTheme="majorHAnsi" w:cstheme="majorHAnsi"/>
          <w:sz w:val="22"/>
          <w:szCs w:val="22"/>
        </w:rPr>
        <w:t>2</w:t>
      </w:r>
      <w:r w:rsidRPr="002A3E43">
        <w:rPr>
          <w:rFonts w:asciiTheme="majorHAnsi" w:hAnsiTheme="majorHAnsi" w:cstheme="majorHAnsi"/>
          <w:sz w:val="22"/>
          <w:szCs w:val="22"/>
        </w:rPr>
        <w:t xml:space="preserve"> muestra la proporción de cargos no relacionados al servicio de agua sobre la factura total para </w:t>
      </w:r>
      <w:r w:rsidR="00F159AC" w:rsidRPr="002A3E43">
        <w:rPr>
          <w:rFonts w:asciiTheme="majorHAnsi" w:hAnsiTheme="majorHAnsi" w:cstheme="majorHAnsi"/>
          <w:sz w:val="22"/>
          <w:szCs w:val="22"/>
        </w:rPr>
        <w:t xml:space="preserve">22 </w:t>
      </w:r>
      <w:r w:rsidR="008A0A7F">
        <w:rPr>
          <w:rFonts w:asciiTheme="majorHAnsi" w:hAnsiTheme="majorHAnsi" w:cstheme="majorHAnsi"/>
          <w:sz w:val="22"/>
          <w:szCs w:val="22"/>
        </w:rPr>
        <w:t>ciudades</w:t>
      </w:r>
      <w:r w:rsidR="00B41C88">
        <w:rPr>
          <w:rFonts w:asciiTheme="majorHAnsi" w:hAnsiTheme="majorHAnsi" w:cstheme="majorHAnsi"/>
          <w:sz w:val="22"/>
          <w:szCs w:val="22"/>
        </w:rPr>
        <w:t xml:space="preserve"> del mundo (</w:t>
      </w:r>
      <w:r w:rsidR="00F159AC" w:rsidRPr="002A3E43">
        <w:rPr>
          <w:rFonts w:asciiTheme="majorHAnsi" w:hAnsiTheme="majorHAnsi" w:cstheme="majorHAnsi"/>
          <w:sz w:val="22"/>
          <w:szCs w:val="22"/>
        </w:rPr>
        <w:t xml:space="preserve">de las cuales 11 </w:t>
      </w:r>
      <w:r w:rsidR="00B41C88">
        <w:rPr>
          <w:rFonts w:asciiTheme="majorHAnsi" w:hAnsiTheme="majorHAnsi" w:cstheme="majorHAnsi"/>
          <w:sz w:val="22"/>
          <w:szCs w:val="22"/>
        </w:rPr>
        <w:t>pertenecen a</w:t>
      </w:r>
      <w:r w:rsidR="00F159AC" w:rsidRPr="002A3E43">
        <w:rPr>
          <w:rFonts w:asciiTheme="majorHAnsi" w:hAnsiTheme="majorHAnsi" w:cstheme="majorHAnsi"/>
          <w:sz w:val="22"/>
          <w:szCs w:val="22"/>
        </w:rPr>
        <w:t xml:space="preserve"> la </w:t>
      </w:r>
      <w:r w:rsidR="00F544CC" w:rsidRPr="002A3E43">
        <w:rPr>
          <w:rFonts w:asciiTheme="majorHAnsi" w:hAnsiTheme="majorHAnsi" w:cstheme="majorHAnsi"/>
          <w:sz w:val="22"/>
          <w:szCs w:val="22"/>
        </w:rPr>
        <w:t>Unión</w:t>
      </w:r>
      <w:r w:rsidR="00F159AC" w:rsidRPr="002A3E43">
        <w:rPr>
          <w:rFonts w:asciiTheme="majorHAnsi" w:hAnsiTheme="majorHAnsi" w:cstheme="majorHAnsi"/>
          <w:sz w:val="22"/>
          <w:szCs w:val="22"/>
        </w:rPr>
        <w:t xml:space="preserve"> Europea</w:t>
      </w:r>
      <w:r w:rsidR="00B41C88">
        <w:rPr>
          <w:rFonts w:asciiTheme="majorHAnsi" w:hAnsiTheme="majorHAnsi" w:cstheme="majorHAnsi"/>
          <w:sz w:val="22"/>
          <w:szCs w:val="22"/>
        </w:rPr>
        <w:t>)</w:t>
      </w:r>
      <w:r w:rsidR="00F159AC" w:rsidRPr="002A3E43">
        <w:rPr>
          <w:rFonts w:asciiTheme="majorHAnsi" w:hAnsiTheme="majorHAnsi" w:cstheme="majorHAnsi"/>
          <w:sz w:val="22"/>
          <w:szCs w:val="22"/>
        </w:rPr>
        <w:t xml:space="preserve"> </w:t>
      </w:r>
      <w:r w:rsidRPr="002A3E43">
        <w:rPr>
          <w:rFonts w:asciiTheme="majorHAnsi" w:hAnsiTheme="majorHAnsi" w:cstheme="majorHAnsi"/>
          <w:sz w:val="22"/>
          <w:szCs w:val="22"/>
        </w:rPr>
        <w:t>para el 201</w:t>
      </w:r>
      <w:r w:rsidR="005815A6" w:rsidRPr="002A3E43">
        <w:rPr>
          <w:rFonts w:asciiTheme="majorHAnsi" w:hAnsiTheme="majorHAnsi" w:cstheme="majorHAnsi"/>
          <w:sz w:val="22"/>
          <w:szCs w:val="22"/>
        </w:rPr>
        <w:t>5</w:t>
      </w:r>
      <w:r w:rsidRPr="002A3E43">
        <w:rPr>
          <w:rFonts w:asciiTheme="majorHAnsi" w:hAnsiTheme="majorHAnsi" w:cstheme="majorHAnsi"/>
          <w:sz w:val="22"/>
          <w:szCs w:val="22"/>
        </w:rPr>
        <w:t xml:space="preserve"> según el </w:t>
      </w:r>
      <w:r w:rsidRPr="002A3E43">
        <w:rPr>
          <w:rFonts w:asciiTheme="majorHAnsi" w:hAnsiTheme="majorHAnsi" w:cstheme="majorHAnsi"/>
          <w:i/>
          <w:sz w:val="22"/>
          <w:szCs w:val="22"/>
        </w:rPr>
        <w:t>International Water Association</w:t>
      </w:r>
      <w:r w:rsidRPr="002A3E43">
        <w:rPr>
          <w:rFonts w:asciiTheme="majorHAnsi" w:hAnsiTheme="majorHAnsi" w:cstheme="majorHAnsi"/>
          <w:sz w:val="22"/>
          <w:szCs w:val="22"/>
        </w:rPr>
        <w:t xml:space="preserve"> (IWA)</w:t>
      </w:r>
      <w:r w:rsidR="00B41C88">
        <w:rPr>
          <w:rFonts w:asciiTheme="majorHAnsi" w:hAnsiTheme="majorHAnsi" w:cstheme="majorHAnsi"/>
          <w:sz w:val="22"/>
          <w:szCs w:val="22"/>
        </w:rPr>
        <w:t>.</w:t>
      </w:r>
      <w:r w:rsidRPr="002A3E43">
        <w:rPr>
          <w:rStyle w:val="FootnoteReference"/>
          <w:rFonts w:asciiTheme="majorHAnsi" w:hAnsiTheme="majorHAnsi" w:cstheme="majorHAnsi"/>
          <w:sz w:val="22"/>
          <w:szCs w:val="22"/>
        </w:rPr>
        <w:footnoteReference w:id="69"/>
      </w:r>
    </w:p>
    <w:p w:rsidR="00657034" w:rsidRDefault="00657034" w:rsidP="00A15206">
      <w:pPr>
        <w:spacing w:before="100" w:beforeAutospacing="1" w:after="100" w:afterAutospacing="1"/>
        <w:jc w:val="center"/>
        <w:rPr>
          <w:rFonts w:asciiTheme="majorHAnsi" w:hAnsiTheme="majorHAnsi" w:cstheme="majorHAnsi"/>
          <w:b/>
          <w:sz w:val="22"/>
          <w:szCs w:val="22"/>
        </w:rPr>
      </w:pPr>
      <w:r w:rsidRPr="002A3E43">
        <w:rPr>
          <w:rFonts w:asciiTheme="majorHAnsi" w:hAnsiTheme="majorHAnsi" w:cstheme="majorHAnsi"/>
          <w:b/>
          <w:sz w:val="22"/>
          <w:szCs w:val="22"/>
        </w:rPr>
        <w:lastRenderedPageBreak/>
        <w:t xml:space="preserve">Figura </w:t>
      </w:r>
      <w:r w:rsidR="009976B3" w:rsidRPr="00B46012">
        <w:rPr>
          <w:rFonts w:asciiTheme="majorHAnsi" w:hAnsiTheme="majorHAnsi" w:cstheme="majorHAnsi"/>
          <w:b/>
          <w:iCs/>
          <w:sz w:val="22"/>
          <w:szCs w:val="22"/>
        </w:rPr>
        <w:fldChar w:fldCharType="begin"/>
      </w:r>
      <w:r w:rsidR="009976B3" w:rsidRPr="00B46012">
        <w:rPr>
          <w:rFonts w:asciiTheme="majorHAnsi" w:hAnsiTheme="majorHAnsi" w:cstheme="majorHAnsi"/>
          <w:b/>
          <w:iCs/>
          <w:sz w:val="22"/>
          <w:szCs w:val="22"/>
        </w:rPr>
        <w:instrText xml:space="preserve"> SEQ Figura \* ARABIC </w:instrText>
      </w:r>
      <w:r w:rsidR="009976B3" w:rsidRPr="00B46012">
        <w:rPr>
          <w:rFonts w:asciiTheme="majorHAnsi" w:hAnsiTheme="majorHAnsi" w:cstheme="majorHAnsi"/>
          <w:b/>
          <w:iCs/>
          <w:sz w:val="22"/>
          <w:szCs w:val="22"/>
        </w:rPr>
        <w:fldChar w:fldCharType="separate"/>
      </w:r>
      <w:r w:rsidR="009976B3">
        <w:rPr>
          <w:rFonts w:asciiTheme="majorHAnsi" w:hAnsiTheme="majorHAnsi" w:cstheme="majorHAnsi"/>
          <w:b/>
          <w:iCs/>
          <w:noProof/>
          <w:sz w:val="22"/>
          <w:szCs w:val="22"/>
        </w:rPr>
        <w:t>12</w:t>
      </w:r>
      <w:r w:rsidR="009976B3" w:rsidRPr="00B46012">
        <w:rPr>
          <w:rFonts w:asciiTheme="majorHAnsi" w:hAnsiTheme="majorHAnsi" w:cstheme="majorHAnsi"/>
          <w:b/>
          <w:iCs/>
          <w:sz w:val="22"/>
          <w:szCs w:val="22"/>
        </w:rPr>
        <w:fldChar w:fldCharType="end"/>
      </w:r>
      <w:r w:rsidR="009976B3">
        <w:rPr>
          <w:rFonts w:asciiTheme="majorHAnsi" w:hAnsiTheme="majorHAnsi" w:cstheme="majorHAnsi"/>
          <w:b/>
          <w:iCs/>
          <w:sz w:val="22"/>
          <w:szCs w:val="22"/>
        </w:rPr>
        <w:t>.</w:t>
      </w:r>
      <w:r w:rsidRPr="002A3E43">
        <w:rPr>
          <w:rFonts w:asciiTheme="majorHAnsi" w:hAnsiTheme="majorHAnsi" w:cstheme="majorHAnsi"/>
          <w:b/>
          <w:sz w:val="22"/>
          <w:szCs w:val="22"/>
        </w:rPr>
        <w:t xml:space="preserve"> </w:t>
      </w:r>
      <w:r w:rsidR="00335681" w:rsidRPr="002A3E43">
        <w:rPr>
          <w:rFonts w:asciiTheme="majorHAnsi" w:hAnsiTheme="majorHAnsi" w:cstheme="majorHAnsi"/>
          <w:b/>
          <w:sz w:val="22"/>
          <w:szCs w:val="22"/>
        </w:rPr>
        <w:t xml:space="preserve">Precio </w:t>
      </w:r>
      <w:r w:rsidR="00BF1E79" w:rsidRPr="002A3E43">
        <w:rPr>
          <w:rFonts w:asciiTheme="majorHAnsi" w:hAnsiTheme="majorHAnsi" w:cstheme="majorHAnsi"/>
          <w:b/>
          <w:sz w:val="22"/>
          <w:szCs w:val="22"/>
        </w:rPr>
        <w:t xml:space="preserve">anual </w:t>
      </w:r>
      <w:r w:rsidR="00335681" w:rsidRPr="002A3E43">
        <w:rPr>
          <w:rFonts w:asciiTheme="majorHAnsi" w:hAnsiTheme="majorHAnsi" w:cstheme="majorHAnsi"/>
          <w:b/>
          <w:sz w:val="22"/>
          <w:szCs w:val="22"/>
        </w:rPr>
        <w:t xml:space="preserve">desagregado del agua en </w:t>
      </w:r>
      <w:r w:rsidR="003B6325">
        <w:rPr>
          <w:rFonts w:asciiTheme="majorHAnsi" w:hAnsiTheme="majorHAnsi" w:cstheme="majorHAnsi"/>
          <w:b/>
          <w:sz w:val="22"/>
          <w:szCs w:val="22"/>
        </w:rPr>
        <w:t>una muestra de ciudades del Mundo</w:t>
      </w:r>
      <w:r w:rsidR="00335681" w:rsidRPr="002A3E43">
        <w:rPr>
          <w:rFonts w:asciiTheme="majorHAnsi" w:hAnsiTheme="majorHAnsi" w:cstheme="majorHAnsi"/>
          <w:b/>
          <w:sz w:val="22"/>
          <w:szCs w:val="22"/>
        </w:rPr>
        <w:t>, 2015 (US$</w:t>
      </w:r>
      <w:r w:rsidR="00B41C88">
        <w:rPr>
          <w:rFonts w:asciiTheme="majorHAnsi" w:hAnsiTheme="majorHAnsi" w:cstheme="majorHAnsi"/>
          <w:b/>
          <w:sz w:val="22"/>
          <w:szCs w:val="22"/>
        </w:rPr>
        <w:t xml:space="preserve"> por m</w:t>
      </w:r>
      <w:r w:rsidR="00B41C88" w:rsidRPr="00B41C88">
        <w:rPr>
          <w:rFonts w:asciiTheme="majorHAnsi" w:hAnsiTheme="majorHAnsi" w:cstheme="majorHAnsi"/>
          <w:b/>
          <w:sz w:val="22"/>
          <w:szCs w:val="22"/>
          <w:vertAlign w:val="superscript"/>
        </w:rPr>
        <w:t>3</w:t>
      </w:r>
      <w:r w:rsidR="00335681" w:rsidRPr="002A3E43">
        <w:rPr>
          <w:rFonts w:asciiTheme="majorHAnsi" w:hAnsiTheme="majorHAnsi" w:cstheme="majorHAnsi"/>
          <w:b/>
          <w:sz w:val="22"/>
          <w:szCs w:val="22"/>
        </w:rPr>
        <w:t>)</w:t>
      </w:r>
      <w:r w:rsidR="00E03B69">
        <w:rPr>
          <w:rStyle w:val="FootnoteReference"/>
          <w:rFonts w:asciiTheme="majorHAnsi" w:hAnsiTheme="majorHAnsi" w:cstheme="majorHAnsi"/>
          <w:b/>
          <w:sz w:val="22"/>
          <w:szCs w:val="22"/>
        </w:rPr>
        <w:footnoteReference w:id="70"/>
      </w:r>
    </w:p>
    <w:p w:rsidR="00B41C88" w:rsidRPr="002A3E43" w:rsidRDefault="00E03B69" w:rsidP="00A15206">
      <w:pPr>
        <w:spacing w:before="100" w:beforeAutospacing="1" w:after="100" w:afterAutospacing="1"/>
        <w:jc w:val="center"/>
        <w:rPr>
          <w:rFonts w:asciiTheme="majorHAnsi" w:hAnsiTheme="majorHAnsi" w:cstheme="majorHAnsi"/>
          <w:b/>
          <w:sz w:val="22"/>
          <w:szCs w:val="22"/>
        </w:rPr>
      </w:pPr>
      <w:r w:rsidRPr="00E03B69">
        <w:rPr>
          <w:noProof/>
        </w:rPr>
        <w:drawing>
          <wp:inline distT="0" distB="0" distL="0" distR="0" wp14:anchorId="0A634FBB" wp14:editId="369F96A4">
            <wp:extent cx="5396230" cy="386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6230" cy="3868140"/>
                    </a:xfrm>
                    <a:prstGeom prst="rect">
                      <a:avLst/>
                    </a:prstGeom>
                    <a:noFill/>
                    <a:ln>
                      <a:noFill/>
                    </a:ln>
                  </pic:spPr>
                </pic:pic>
              </a:graphicData>
            </a:graphic>
          </wp:inline>
        </w:drawing>
      </w:r>
    </w:p>
    <w:p w:rsidR="00657034" w:rsidRPr="007E31D6" w:rsidRDefault="00657034" w:rsidP="00A15206">
      <w:pPr>
        <w:spacing w:before="100" w:beforeAutospacing="1" w:after="100" w:afterAutospacing="1"/>
        <w:jc w:val="both"/>
        <w:rPr>
          <w:rFonts w:asciiTheme="majorHAnsi" w:hAnsiTheme="majorHAnsi" w:cstheme="majorHAnsi"/>
          <w:sz w:val="18"/>
          <w:szCs w:val="18"/>
        </w:rPr>
      </w:pPr>
      <w:r w:rsidRPr="007E31D6">
        <w:rPr>
          <w:rFonts w:asciiTheme="majorHAnsi" w:hAnsiTheme="majorHAnsi" w:cstheme="majorHAnsi"/>
          <w:sz w:val="18"/>
          <w:szCs w:val="18"/>
          <w:lang w:val="en-US"/>
        </w:rPr>
        <w:t xml:space="preserve"> </w:t>
      </w:r>
      <w:r w:rsidRPr="007E31D6">
        <w:rPr>
          <w:rFonts w:asciiTheme="majorHAnsi" w:hAnsiTheme="majorHAnsi" w:cstheme="majorHAnsi"/>
          <w:bCs/>
          <w:color w:val="000000" w:themeColor="text1"/>
          <w:sz w:val="18"/>
          <w:szCs w:val="18"/>
          <w:lang w:val="en-US"/>
        </w:rPr>
        <w:t xml:space="preserve">Fuente: </w:t>
      </w:r>
      <w:r w:rsidRPr="007E31D6">
        <w:rPr>
          <w:rFonts w:asciiTheme="majorHAnsi" w:hAnsiTheme="majorHAnsi" w:cstheme="majorHAnsi"/>
          <w:bCs/>
          <w:i/>
          <w:color w:val="000000" w:themeColor="text1"/>
          <w:sz w:val="18"/>
          <w:szCs w:val="18"/>
          <w:lang w:val="en-US"/>
        </w:rPr>
        <w:t xml:space="preserve">International Statistics for Water Services. </w:t>
      </w:r>
      <w:r w:rsidRPr="007E31D6">
        <w:rPr>
          <w:rFonts w:asciiTheme="majorHAnsi" w:hAnsiTheme="majorHAnsi" w:cstheme="majorHAnsi"/>
          <w:bCs/>
          <w:i/>
          <w:color w:val="000000" w:themeColor="text1"/>
          <w:sz w:val="18"/>
          <w:szCs w:val="18"/>
        </w:rPr>
        <w:t>IWA</w:t>
      </w:r>
      <w:r w:rsidR="002A2CAC" w:rsidRPr="007E31D6">
        <w:rPr>
          <w:rFonts w:asciiTheme="majorHAnsi" w:hAnsiTheme="majorHAnsi" w:cstheme="majorHAnsi"/>
          <w:bCs/>
          <w:i/>
          <w:color w:val="000000" w:themeColor="text1"/>
          <w:sz w:val="18"/>
          <w:szCs w:val="18"/>
        </w:rPr>
        <w:t xml:space="preserve"> </w:t>
      </w:r>
      <w:r w:rsidRPr="007E31D6">
        <w:rPr>
          <w:rFonts w:asciiTheme="majorHAnsi" w:hAnsiTheme="majorHAnsi" w:cstheme="majorHAnsi"/>
          <w:bCs/>
          <w:color w:val="000000" w:themeColor="text1"/>
          <w:sz w:val="18"/>
          <w:szCs w:val="18"/>
        </w:rPr>
        <w:t>201</w:t>
      </w:r>
      <w:r w:rsidR="00D56A71" w:rsidRPr="007E31D6">
        <w:rPr>
          <w:rFonts w:asciiTheme="majorHAnsi" w:hAnsiTheme="majorHAnsi" w:cstheme="majorHAnsi"/>
          <w:bCs/>
          <w:color w:val="000000" w:themeColor="text1"/>
          <w:sz w:val="18"/>
          <w:szCs w:val="18"/>
        </w:rPr>
        <w:t>5</w:t>
      </w:r>
      <w:r w:rsidRPr="007E31D6">
        <w:rPr>
          <w:rFonts w:asciiTheme="majorHAnsi" w:hAnsiTheme="majorHAnsi" w:cstheme="majorHAnsi"/>
          <w:bCs/>
          <w:color w:val="000000" w:themeColor="text1"/>
          <w:sz w:val="18"/>
          <w:szCs w:val="18"/>
        </w:rPr>
        <w:t>.</w:t>
      </w:r>
    </w:p>
    <w:p w:rsidR="00F159AC" w:rsidRPr="002A3E43"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 xml:space="preserve">Se puede apreciar que los cargos no relacionados al servicio son relativamente bajos. </w:t>
      </w:r>
      <w:r w:rsidR="00F159AC" w:rsidRPr="002A3E43">
        <w:rPr>
          <w:rFonts w:asciiTheme="majorHAnsi" w:hAnsiTheme="majorHAnsi" w:cstheme="majorHAnsi"/>
          <w:sz w:val="22"/>
          <w:szCs w:val="22"/>
        </w:rPr>
        <w:t>En promedio, la carga de impuestos en la factura de agua representa el 9 por ciento para las capitales de l</w:t>
      </w:r>
      <w:r w:rsidR="00EE373E" w:rsidRPr="002A3E43">
        <w:rPr>
          <w:rFonts w:asciiTheme="majorHAnsi" w:hAnsiTheme="majorHAnsi" w:cstheme="majorHAnsi"/>
          <w:sz w:val="22"/>
          <w:szCs w:val="22"/>
        </w:rPr>
        <w:t>a Unión Europea</w:t>
      </w:r>
      <w:r w:rsidR="00F159AC" w:rsidRPr="002A3E43">
        <w:rPr>
          <w:rFonts w:asciiTheme="majorHAnsi" w:hAnsiTheme="majorHAnsi" w:cstheme="majorHAnsi"/>
          <w:sz w:val="22"/>
          <w:szCs w:val="22"/>
        </w:rPr>
        <w:t xml:space="preserve">, con un elevado grado de dispersión – véase casos como </w:t>
      </w:r>
      <w:r w:rsidR="00EE373E" w:rsidRPr="002A3E43">
        <w:rPr>
          <w:rFonts w:asciiTheme="majorHAnsi" w:hAnsiTheme="majorHAnsi" w:cstheme="majorHAnsi"/>
          <w:sz w:val="22"/>
          <w:szCs w:val="22"/>
        </w:rPr>
        <w:t xml:space="preserve">Ámsterdam </w:t>
      </w:r>
      <w:r w:rsidR="00F159AC" w:rsidRPr="002A3E43">
        <w:rPr>
          <w:rFonts w:asciiTheme="majorHAnsi" w:hAnsiTheme="majorHAnsi" w:cstheme="majorHAnsi"/>
          <w:sz w:val="22"/>
          <w:szCs w:val="22"/>
        </w:rPr>
        <w:t xml:space="preserve">con impuestos que representan </w:t>
      </w:r>
      <w:r w:rsidR="00EE373E" w:rsidRPr="002A3E43">
        <w:rPr>
          <w:rFonts w:asciiTheme="majorHAnsi" w:hAnsiTheme="majorHAnsi" w:cstheme="majorHAnsi"/>
          <w:sz w:val="22"/>
          <w:szCs w:val="22"/>
        </w:rPr>
        <w:t>2</w:t>
      </w:r>
      <w:r w:rsidR="00F159AC" w:rsidRPr="002A3E43">
        <w:rPr>
          <w:rFonts w:asciiTheme="majorHAnsi" w:hAnsiTheme="majorHAnsi" w:cstheme="majorHAnsi"/>
          <w:sz w:val="22"/>
          <w:szCs w:val="22"/>
        </w:rPr>
        <w:t xml:space="preserve"> por ciento del precio; u otros como </w:t>
      </w:r>
      <w:r w:rsidR="00EE373E" w:rsidRPr="002A3E43">
        <w:rPr>
          <w:rFonts w:asciiTheme="majorHAnsi" w:hAnsiTheme="majorHAnsi" w:cstheme="majorHAnsi"/>
          <w:sz w:val="22"/>
          <w:szCs w:val="22"/>
        </w:rPr>
        <w:t xml:space="preserve">Budapest </w:t>
      </w:r>
      <w:r w:rsidR="00F159AC" w:rsidRPr="002A3E43">
        <w:rPr>
          <w:rFonts w:asciiTheme="majorHAnsi" w:hAnsiTheme="majorHAnsi" w:cstheme="majorHAnsi"/>
          <w:sz w:val="22"/>
          <w:szCs w:val="22"/>
        </w:rPr>
        <w:t>(</w:t>
      </w:r>
      <w:r w:rsidR="00EE373E" w:rsidRPr="002A3E43">
        <w:rPr>
          <w:rFonts w:asciiTheme="majorHAnsi" w:hAnsiTheme="majorHAnsi" w:cstheme="majorHAnsi"/>
          <w:sz w:val="22"/>
          <w:szCs w:val="22"/>
        </w:rPr>
        <w:t>21.3</w:t>
      </w:r>
      <w:r w:rsidR="00F159AC" w:rsidRPr="002A3E43">
        <w:rPr>
          <w:rFonts w:asciiTheme="majorHAnsi" w:hAnsiTheme="majorHAnsi" w:cstheme="majorHAnsi"/>
          <w:sz w:val="22"/>
          <w:szCs w:val="22"/>
        </w:rPr>
        <w:t>)</w:t>
      </w:r>
      <w:r w:rsidR="00F159AC" w:rsidRPr="002A3E43">
        <w:rPr>
          <w:rStyle w:val="FootnoteReference"/>
          <w:rFonts w:asciiTheme="majorHAnsi" w:hAnsiTheme="majorHAnsi" w:cstheme="majorHAnsi"/>
          <w:sz w:val="22"/>
          <w:szCs w:val="22"/>
        </w:rPr>
        <w:footnoteReference w:id="71"/>
      </w:r>
      <w:r w:rsidR="00F159AC" w:rsidRPr="002A3E43">
        <w:rPr>
          <w:rFonts w:asciiTheme="majorHAnsi" w:hAnsiTheme="majorHAnsi" w:cstheme="majorHAnsi"/>
          <w:sz w:val="22"/>
          <w:szCs w:val="22"/>
        </w:rPr>
        <w:t>,</w:t>
      </w:r>
      <w:r w:rsidR="00EE373E" w:rsidRPr="002A3E43">
        <w:rPr>
          <w:rFonts w:asciiTheme="majorHAnsi" w:hAnsiTheme="majorHAnsi" w:cstheme="majorHAnsi"/>
          <w:sz w:val="22"/>
          <w:szCs w:val="22"/>
        </w:rPr>
        <w:t xml:space="preserve"> Copenhague (20.0) y Bucarest (19.4)</w:t>
      </w:r>
      <w:r w:rsidR="00F159AC" w:rsidRPr="002A3E43">
        <w:rPr>
          <w:rFonts w:asciiTheme="majorHAnsi" w:hAnsiTheme="majorHAnsi" w:cstheme="majorHAnsi"/>
          <w:sz w:val="22"/>
          <w:szCs w:val="22"/>
        </w:rPr>
        <w:t xml:space="preserve">. </w:t>
      </w:r>
    </w:p>
    <w:p w:rsidR="00657034" w:rsidRDefault="00657034"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Cabe destacar</w:t>
      </w:r>
      <w:r w:rsidR="001768F9">
        <w:rPr>
          <w:rFonts w:asciiTheme="majorHAnsi" w:hAnsiTheme="majorHAnsi" w:cstheme="majorHAnsi"/>
          <w:sz w:val="22"/>
          <w:szCs w:val="22"/>
        </w:rPr>
        <w:t xml:space="preserve"> los casos </w:t>
      </w:r>
      <w:r w:rsidRPr="002A3E43">
        <w:rPr>
          <w:rFonts w:asciiTheme="majorHAnsi" w:hAnsiTheme="majorHAnsi" w:cstheme="majorHAnsi"/>
          <w:sz w:val="22"/>
          <w:szCs w:val="22"/>
        </w:rPr>
        <w:t xml:space="preserve">de Copenhague, donde el IVA es considerablemente </w:t>
      </w:r>
      <w:r w:rsidR="00335681" w:rsidRPr="002A3E43">
        <w:rPr>
          <w:rFonts w:asciiTheme="majorHAnsi" w:hAnsiTheme="majorHAnsi" w:cstheme="majorHAnsi"/>
          <w:sz w:val="22"/>
          <w:szCs w:val="22"/>
        </w:rPr>
        <w:t>más</w:t>
      </w:r>
      <w:r w:rsidRPr="002A3E43">
        <w:rPr>
          <w:rFonts w:asciiTheme="majorHAnsi" w:hAnsiTheme="majorHAnsi" w:cstheme="majorHAnsi"/>
          <w:sz w:val="22"/>
          <w:szCs w:val="22"/>
        </w:rPr>
        <w:t xml:space="preserve"> </w:t>
      </w:r>
      <w:r w:rsidR="00A87508" w:rsidRPr="002A3E43">
        <w:rPr>
          <w:rFonts w:asciiTheme="majorHAnsi" w:hAnsiTheme="majorHAnsi" w:cstheme="majorHAnsi"/>
          <w:sz w:val="22"/>
          <w:szCs w:val="22"/>
        </w:rPr>
        <w:t>alto; y de Parí</w:t>
      </w:r>
      <w:r w:rsidRPr="002A3E43">
        <w:rPr>
          <w:rFonts w:asciiTheme="majorHAnsi" w:hAnsiTheme="majorHAnsi" w:cstheme="majorHAnsi"/>
          <w:sz w:val="22"/>
          <w:szCs w:val="22"/>
        </w:rPr>
        <w:t xml:space="preserve">s, donde los cargos adicionales para entidades públicas se relacionan con externalidades sectoriales e inversiones. </w:t>
      </w:r>
      <w:r w:rsidR="00A2105E">
        <w:rPr>
          <w:rFonts w:asciiTheme="majorHAnsi" w:hAnsiTheme="majorHAnsi" w:cstheme="majorHAnsi"/>
          <w:sz w:val="22"/>
          <w:szCs w:val="22"/>
        </w:rPr>
        <w:t>Asimismo, e</w:t>
      </w:r>
      <w:r w:rsidR="00A2105E" w:rsidRPr="00A2105E">
        <w:rPr>
          <w:rFonts w:asciiTheme="majorHAnsi" w:hAnsiTheme="majorHAnsi" w:cstheme="majorHAnsi"/>
          <w:sz w:val="22"/>
          <w:szCs w:val="22"/>
        </w:rPr>
        <w:t xml:space="preserve">l estudio </w:t>
      </w:r>
      <w:r w:rsidR="00A2105E">
        <w:rPr>
          <w:rFonts w:asciiTheme="majorHAnsi" w:hAnsiTheme="majorHAnsi" w:cstheme="majorHAnsi"/>
          <w:sz w:val="22"/>
          <w:szCs w:val="22"/>
        </w:rPr>
        <w:t xml:space="preserve">de IWA (2015) </w:t>
      </w:r>
      <w:r w:rsidR="00A2105E" w:rsidRPr="00A2105E">
        <w:rPr>
          <w:rFonts w:asciiTheme="majorHAnsi" w:hAnsiTheme="majorHAnsi" w:cstheme="majorHAnsi"/>
          <w:sz w:val="22"/>
          <w:szCs w:val="22"/>
        </w:rPr>
        <w:t>menciona que hay una nueva tendencia del IVA de gravar el servicio de agua con muy poca carga o nula, mientras que saneamiento con un IVA más alto dado que es percibido como menos “vital”.</w:t>
      </w:r>
    </w:p>
    <w:p w:rsidR="001768F9" w:rsidRPr="002A3E43" w:rsidRDefault="001768F9" w:rsidP="001768F9">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Si bien se han presentado</w:t>
      </w:r>
      <w:r w:rsidRPr="001768F9">
        <w:rPr>
          <w:rFonts w:asciiTheme="majorHAnsi" w:hAnsiTheme="majorHAnsi" w:cstheme="majorHAnsi"/>
          <w:sz w:val="22"/>
          <w:szCs w:val="22"/>
        </w:rPr>
        <w:t xml:space="preserve"> </w:t>
      </w:r>
      <w:r>
        <w:rPr>
          <w:rFonts w:asciiTheme="majorHAnsi" w:hAnsiTheme="majorHAnsi" w:cstheme="majorHAnsi"/>
          <w:sz w:val="22"/>
          <w:szCs w:val="22"/>
        </w:rPr>
        <w:t xml:space="preserve">el peso agregado de los </w:t>
      </w:r>
      <w:r w:rsidRPr="002A3E43">
        <w:rPr>
          <w:rFonts w:asciiTheme="majorHAnsi" w:hAnsiTheme="majorHAnsi" w:cstheme="majorHAnsi"/>
          <w:sz w:val="22"/>
          <w:szCs w:val="22"/>
        </w:rPr>
        <w:t>diferentes cargos observados en el continente europeo</w:t>
      </w:r>
      <w:r w:rsidR="00E93176">
        <w:rPr>
          <w:rFonts w:asciiTheme="majorHAnsi" w:hAnsiTheme="majorHAnsi" w:cstheme="majorHAnsi"/>
          <w:sz w:val="22"/>
          <w:szCs w:val="22"/>
        </w:rPr>
        <w:t>, a</w:t>
      </w:r>
      <w:r>
        <w:rPr>
          <w:rFonts w:asciiTheme="majorHAnsi" w:hAnsiTheme="majorHAnsi" w:cstheme="majorHAnsi"/>
          <w:sz w:val="22"/>
          <w:szCs w:val="22"/>
        </w:rPr>
        <w:t xml:space="preserve"> continuación, se presentan estos cargos de manera desagregada para una </w:t>
      </w:r>
      <w:r w:rsidRPr="002A3E43">
        <w:rPr>
          <w:rFonts w:asciiTheme="majorHAnsi" w:hAnsiTheme="majorHAnsi" w:cstheme="majorHAnsi"/>
          <w:sz w:val="22"/>
          <w:szCs w:val="22"/>
        </w:rPr>
        <w:t xml:space="preserve">muestra de economías europeas con un alto porcentaje de impuestos sobre las facturas relativas a la provisión de servicios públicos domiciliarios: Bélgica, España, y Francia. </w:t>
      </w:r>
    </w:p>
    <w:p w:rsidR="001768F9" w:rsidRDefault="001768F9" w:rsidP="001768F9">
      <w:pPr>
        <w:pStyle w:val="ListParagraph"/>
        <w:numPr>
          <w:ilvl w:val="0"/>
          <w:numId w:val="6"/>
        </w:numPr>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b/>
          <w:sz w:val="22"/>
          <w:szCs w:val="22"/>
        </w:rPr>
        <w:lastRenderedPageBreak/>
        <w:t>Bélgica</w:t>
      </w:r>
      <w:r w:rsidRPr="002A3E43">
        <w:rPr>
          <w:rFonts w:asciiTheme="majorHAnsi" w:hAnsiTheme="majorHAnsi" w:cstheme="majorHAnsi"/>
          <w:sz w:val="22"/>
          <w:szCs w:val="22"/>
        </w:rPr>
        <w:t xml:space="preserve">: En Bélgica, la factura eléctrica presenta cinco tasas adicionales al cobro de la energía </w:t>
      </w:r>
      <w:r w:rsidRPr="002A3E43">
        <w:rPr>
          <w:rFonts w:asciiTheme="majorHAnsi" w:hAnsiTheme="majorHAnsi" w:cstheme="majorHAnsi"/>
          <w:i/>
          <w:sz w:val="22"/>
          <w:szCs w:val="22"/>
        </w:rPr>
        <w:t>per se</w:t>
      </w:r>
      <w:r w:rsidRPr="002A3E43">
        <w:rPr>
          <w:rFonts w:asciiTheme="majorHAnsi" w:hAnsiTheme="majorHAnsi" w:cstheme="majorHAnsi"/>
          <w:sz w:val="22"/>
          <w:szCs w:val="22"/>
        </w:rPr>
        <w:t xml:space="preserve">, algunas relacionadas al servicio eléctrico y otras no. Cabe resaltar que algunas de estas tasas son específicas de la región </w:t>
      </w:r>
      <w:r>
        <w:rPr>
          <w:rFonts w:asciiTheme="majorHAnsi" w:hAnsiTheme="majorHAnsi" w:cstheme="majorHAnsi"/>
          <w:sz w:val="22"/>
          <w:szCs w:val="22"/>
        </w:rPr>
        <w:t xml:space="preserve">y </w:t>
      </w:r>
      <w:r w:rsidR="00D63A52">
        <w:rPr>
          <w:rFonts w:asciiTheme="majorHAnsi" w:hAnsiTheme="majorHAnsi" w:cstheme="majorHAnsi"/>
          <w:sz w:val="22"/>
          <w:szCs w:val="22"/>
        </w:rPr>
        <w:t>del caso analizado.</w:t>
      </w:r>
      <w:r w:rsidR="00D63A52">
        <w:rPr>
          <w:rStyle w:val="FootnoteReference"/>
          <w:rFonts w:asciiTheme="majorHAnsi" w:hAnsiTheme="majorHAnsi" w:cstheme="majorHAnsi"/>
          <w:sz w:val="22"/>
          <w:szCs w:val="22"/>
        </w:rPr>
        <w:footnoteReference w:id="72"/>
      </w:r>
      <w:r w:rsidRPr="002A3E43">
        <w:rPr>
          <w:rFonts w:asciiTheme="majorHAnsi" w:hAnsiTheme="majorHAnsi" w:cstheme="majorHAnsi"/>
          <w:sz w:val="22"/>
          <w:szCs w:val="22"/>
        </w:rPr>
        <w:t xml:space="preserve"> En primer lugar, en Bélgica se cobra la </w:t>
      </w:r>
      <w:r w:rsidRPr="002A3E43">
        <w:rPr>
          <w:rFonts w:asciiTheme="majorHAnsi" w:hAnsiTheme="majorHAnsi" w:cstheme="majorHAnsi"/>
          <w:color w:val="212121"/>
          <w:sz w:val="22"/>
          <w:szCs w:val="22"/>
        </w:rPr>
        <w:t>tasa obligatoria de Servicio Público</w:t>
      </w:r>
      <w:r w:rsidRPr="002A3E43">
        <w:rPr>
          <w:rFonts w:asciiTheme="majorHAnsi" w:hAnsiTheme="majorHAnsi" w:cstheme="majorHAnsi"/>
          <w:sz w:val="22"/>
          <w:szCs w:val="22"/>
          <w:vertAlign w:val="superscript"/>
        </w:rPr>
        <w:t xml:space="preserve"> </w:t>
      </w:r>
      <w:r w:rsidRPr="002A3E43">
        <w:rPr>
          <w:rFonts w:asciiTheme="majorHAnsi" w:hAnsiTheme="majorHAnsi" w:cstheme="majorHAnsi"/>
          <w:sz w:val="22"/>
          <w:szCs w:val="22"/>
          <w:vertAlign w:val="superscript"/>
        </w:rPr>
        <w:footnoteReference w:id="73"/>
      </w:r>
      <w:r w:rsidRPr="002A3E43">
        <w:rPr>
          <w:rFonts w:asciiTheme="majorHAnsi" w:hAnsiTheme="majorHAnsi" w:cstheme="majorHAnsi"/>
          <w:sz w:val="22"/>
          <w:szCs w:val="22"/>
        </w:rPr>
        <w:t xml:space="preserve"> (PSO por sus siglas en francés)</w:t>
      </w:r>
      <w:r>
        <w:rPr>
          <w:rFonts w:asciiTheme="majorHAnsi" w:hAnsiTheme="majorHAnsi" w:cstheme="majorHAnsi"/>
          <w:sz w:val="22"/>
          <w:szCs w:val="22"/>
        </w:rPr>
        <w:t xml:space="preserve"> y </w:t>
      </w:r>
      <w:r w:rsidRPr="002A3E43">
        <w:rPr>
          <w:rFonts w:asciiTheme="majorHAnsi" w:hAnsiTheme="majorHAnsi" w:cstheme="majorHAnsi"/>
          <w:sz w:val="22"/>
          <w:szCs w:val="22"/>
        </w:rPr>
        <w:t>también hay un impuesto federal</w:t>
      </w:r>
      <w:r w:rsidRPr="002A3E43">
        <w:rPr>
          <w:rFonts w:asciiTheme="majorHAnsi" w:hAnsiTheme="majorHAnsi" w:cstheme="majorHAnsi"/>
          <w:sz w:val="22"/>
          <w:szCs w:val="22"/>
          <w:vertAlign w:val="superscript"/>
        </w:rPr>
        <w:footnoteReference w:id="74"/>
      </w:r>
      <w:r w:rsidRPr="002A3E43">
        <w:rPr>
          <w:rFonts w:asciiTheme="majorHAnsi" w:hAnsiTheme="majorHAnsi" w:cstheme="majorHAnsi"/>
          <w:sz w:val="22"/>
          <w:szCs w:val="22"/>
        </w:rPr>
        <w:t xml:space="preserve"> que se destina a cubrir tasas regulatorias, tarifas sociales, desactivación nuclear, etc. Además, hay dos impuestos específicamente relacionados con energías renovables (cuyos costos de desarrollo deberían estar incluidos en la PSO): la contribución para energías verdes</w:t>
      </w:r>
      <w:r w:rsidRPr="002A3E43">
        <w:rPr>
          <w:rFonts w:asciiTheme="majorHAnsi" w:hAnsiTheme="majorHAnsi" w:cstheme="majorHAnsi"/>
          <w:sz w:val="22"/>
          <w:szCs w:val="22"/>
          <w:vertAlign w:val="superscript"/>
        </w:rPr>
        <w:footnoteReference w:id="75"/>
      </w:r>
      <w:r w:rsidRPr="002A3E43">
        <w:rPr>
          <w:rFonts w:asciiTheme="majorHAnsi" w:hAnsiTheme="majorHAnsi" w:cstheme="majorHAnsi"/>
          <w:sz w:val="22"/>
          <w:szCs w:val="22"/>
        </w:rPr>
        <w:t xml:space="preserve"> y un impuesto especial para financiar parques eólicos</w:t>
      </w:r>
      <w:r w:rsidRPr="002A3E43">
        <w:rPr>
          <w:rFonts w:asciiTheme="majorHAnsi" w:hAnsiTheme="majorHAnsi" w:cstheme="majorHAnsi"/>
          <w:sz w:val="22"/>
          <w:szCs w:val="22"/>
          <w:vertAlign w:val="superscript"/>
        </w:rPr>
        <w:footnoteReference w:id="76"/>
      </w:r>
      <w:r w:rsidRPr="002A3E43">
        <w:rPr>
          <w:rFonts w:asciiTheme="majorHAnsi" w:hAnsiTheme="majorHAnsi" w:cstheme="majorHAnsi"/>
          <w:sz w:val="22"/>
          <w:szCs w:val="22"/>
        </w:rPr>
        <w:t>. Por último, se ha identificado solo una tasa no relacionada al servicio eléctrico: el impuesto a la energía,</w:t>
      </w:r>
      <w:r w:rsidRPr="002A3E43">
        <w:rPr>
          <w:rFonts w:asciiTheme="majorHAnsi" w:hAnsiTheme="majorHAnsi" w:cstheme="majorHAnsi"/>
          <w:sz w:val="22"/>
          <w:szCs w:val="22"/>
          <w:vertAlign w:val="superscript"/>
        </w:rPr>
        <w:footnoteReference w:id="77"/>
      </w:r>
      <w:r w:rsidRPr="002A3E43">
        <w:rPr>
          <w:rFonts w:asciiTheme="majorHAnsi" w:hAnsiTheme="majorHAnsi" w:cstheme="majorHAnsi"/>
          <w:sz w:val="22"/>
          <w:szCs w:val="22"/>
        </w:rPr>
        <w:t xml:space="preserve"> que sirve para financiar el déficit de la seguridad social. </w:t>
      </w:r>
    </w:p>
    <w:p w:rsidR="007E191F" w:rsidRPr="002A3E43" w:rsidRDefault="007E191F" w:rsidP="007E191F">
      <w:pPr>
        <w:pStyle w:val="ListParagraph"/>
        <w:spacing w:before="100" w:beforeAutospacing="1" w:after="100" w:afterAutospacing="1"/>
        <w:ind w:left="360"/>
        <w:jc w:val="both"/>
        <w:rPr>
          <w:rFonts w:asciiTheme="majorHAnsi" w:hAnsiTheme="majorHAnsi" w:cstheme="majorHAnsi"/>
          <w:sz w:val="22"/>
          <w:szCs w:val="22"/>
        </w:rPr>
      </w:pPr>
    </w:p>
    <w:p w:rsidR="007E191F" w:rsidRDefault="001768F9" w:rsidP="007E191F">
      <w:pPr>
        <w:pStyle w:val="ListParagraph"/>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sz w:val="22"/>
          <w:szCs w:val="22"/>
        </w:rPr>
        <w:t>Dado que el impuesto a la energía se trata de un cargo fijo sobre los kWh consumidos, el impuesto aumenta conforme el consumo eléctrico aumenta y representa mayor porcentaje de la factura para los hogares de ingreso alto (1 por ciento de la factura total) en comparación con los hogares de ingreso bajo (0.4 por ciento de la factura total).</w:t>
      </w:r>
      <w:r w:rsidR="00D63A52">
        <w:rPr>
          <w:rStyle w:val="FootnoteReference"/>
          <w:rFonts w:asciiTheme="majorHAnsi" w:hAnsiTheme="majorHAnsi" w:cstheme="majorHAnsi"/>
          <w:sz w:val="22"/>
          <w:szCs w:val="22"/>
        </w:rPr>
        <w:footnoteReference w:id="78"/>
      </w:r>
      <w:r>
        <w:rPr>
          <w:rFonts w:asciiTheme="majorHAnsi" w:hAnsiTheme="majorHAnsi" w:cstheme="majorHAnsi"/>
          <w:sz w:val="22"/>
          <w:szCs w:val="22"/>
        </w:rPr>
        <w:t xml:space="preserve"> </w:t>
      </w:r>
      <w:r w:rsidRPr="002A3E43">
        <w:rPr>
          <w:rFonts w:asciiTheme="majorHAnsi" w:hAnsiTheme="majorHAnsi" w:cstheme="majorHAnsi"/>
          <w:sz w:val="22"/>
          <w:szCs w:val="22"/>
        </w:rPr>
        <w:t>El IVA por su parte representa en promedio 17 por ciento de la factura total de electricidad para todos los hogares. De manera conjunta, el impuesto a la energía, junto con el IVA, representan 18 por ciento de la factura eléctrica total.</w:t>
      </w:r>
    </w:p>
    <w:p w:rsidR="007E191F" w:rsidRPr="007E191F" w:rsidRDefault="007E191F" w:rsidP="007E191F">
      <w:pPr>
        <w:pStyle w:val="ListParagraph"/>
        <w:spacing w:before="100" w:beforeAutospacing="1" w:after="100" w:afterAutospacing="1"/>
        <w:ind w:left="360"/>
        <w:jc w:val="both"/>
        <w:rPr>
          <w:rFonts w:asciiTheme="majorHAnsi" w:hAnsiTheme="majorHAnsi" w:cstheme="majorHAnsi"/>
          <w:sz w:val="22"/>
          <w:szCs w:val="22"/>
        </w:rPr>
      </w:pPr>
    </w:p>
    <w:p w:rsidR="001768F9" w:rsidRPr="002A3E43" w:rsidRDefault="001768F9" w:rsidP="001768F9">
      <w:pPr>
        <w:pStyle w:val="ListParagraph"/>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sz w:val="22"/>
          <w:szCs w:val="22"/>
        </w:rPr>
        <w:t>Para el caso del agua,</w:t>
      </w:r>
      <w:r w:rsidR="00A2105E">
        <w:rPr>
          <w:rStyle w:val="FootnoteReference"/>
          <w:rFonts w:asciiTheme="majorHAnsi" w:hAnsiTheme="majorHAnsi" w:cstheme="majorHAnsi"/>
          <w:sz w:val="22"/>
          <w:szCs w:val="22"/>
        </w:rPr>
        <w:footnoteReference w:id="79"/>
      </w:r>
      <w:r w:rsidRPr="002A3E43">
        <w:rPr>
          <w:rFonts w:asciiTheme="majorHAnsi" w:hAnsiTheme="majorHAnsi" w:cstheme="majorHAnsi"/>
          <w:sz w:val="22"/>
          <w:szCs w:val="22"/>
        </w:rPr>
        <w:t xml:space="preserve"> la factura tiene cargos relacionados al servicio, divididos entre la comuna y la región. El IVA es el único impuesto no relacionado específicamente al servicio y representa en promedio 6 por ciento de la factura total de agua para todos los hogares de Bruselas.</w:t>
      </w:r>
    </w:p>
    <w:p w:rsidR="001768F9" w:rsidRPr="002A3E43" w:rsidRDefault="001768F9" w:rsidP="001768F9">
      <w:pPr>
        <w:pStyle w:val="ListParagraph"/>
        <w:spacing w:before="100" w:beforeAutospacing="1" w:after="100" w:afterAutospacing="1"/>
        <w:ind w:left="360"/>
        <w:jc w:val="both"/>
        <w:rPr>
          <w:rFonts w:asciiTheme="majorHAnsi" w:hAnsiTheme="majorHAnsi" w:cstheme="majorHAnsi"/>
          <w:iCs/>
          <w:sz w:val="22"/>
          <w:szCs w:val="22"/>
        </w:rPr>
      </w:pPr>
    </w:p>
    <w:p w:rsidR="001768F9" w:rsidRDefault="001768F9" w:rsidP="001768F9">
      <w:pPr>
        <w:pStyle w:val="ListParagraph"/>
        <w:numPr>
          <w:ilvl w:val="0"/>
          <w:numId w:val="6"/>
        </w:numPr>
        <w:spacing w:before="100" w:beforeAutospacing="1" w:after="100" w:afterAutospacing="1"/>
        <w:ind w:left="360"/>
        <w:jc w:val="both"/>
        <w:rPr>
          <w:rFonts w:asciiTheme="majorHAnsi" w:hAnsiTheme="majorHAnsi" w:cstheme="majorHAnsi"/>
          <w:iCs/>
          <w:sz w:val="22"/>
          <w:szCs w:val="22"/>
        </w:rPr>
      </w:pPr>
      <w:r w:rsidRPr="002A3E43">
        <w:rPr>
          <w:rFonts w:asciiTheme="majorHAnsi" w:hAnsiTheme="majorHAnsi" w:cstheme="majorHAnsi"/>
          <w:b/>
          <w:sz w:val="22"/>
          <w:szCs w:val="22"/>
        </w:rPr>
        <w:t>España</w:t>
      </w:r>
      <w:r w:rsidRPr="002A3E43">
        <w:rPr>
          <w:rFonts w:asciiTheme="majorHAnsi" w:hAnsiTheme="majorHAnsi" w:cstheme="majorHAnsi"/>
          <w:sz w:val="22"/>
          <w:szCs w:val="22"/>
        </w:rPr>
        <w:t>: En el caso de España</w:t>
      </w:r>
      <w:r w:rsidR="00E93176">
        <w:rPr>
          <w:rStyle w:val="FootnoteReference"/>
          <w:rFonts w:asciiTheme="majorHAnsi" w:hAnsiTheme="majorHAnsi" w:cstheme="majorHAnsi"/>
          <w:sz w:val="22"/>
          <w:szCs w:val="22"/>
        </w:rPr>
        <w:footnoteReference w:id="80"/>
      </w:r>
      <w:r w:rsidRPr="002A3E43">
        <w:rPr>
          <w:rFonts w:asciiTheme="majorHAnsi" w:hAnsiTheme="majorHAnsi" w:cstheme="majorHAnsi"/>
          <w:sz w:val="22"/>
          <w:szCs w:val="22"/>
        </w:rPr>
        <w:t xml:space="preserve"> ha identificado el cobro del IVA (21 por ciento), así como también, </w:t>
      </w:r>
      <w:r>
        <w:rPr>
          <w:rFonts w:asciiTheme="majorHAnsi" w:hAnsiTheme="majorHAnsi" w:cstheme="majorHAnsi"/>
          <w:sz w:val="22"/>
          <w:szCs w:val="22"/>
        </w:rPr>
        <w:t xml:space="preserve">de </w:t>
      </w:r>
      <w:r w:rsidRPr="002A3E43">
        <w:rPr>
          <w:rFonts w:asciiTheme="majorHAnsi" w:hAnsiTheme="majorHAnsi" w:cstheme="majorHAnsi"/>
          <w:sz w:val="22"/>
          <w:szCs w:val="22"/>
        </w:rPr>
        <w:t xml:space="preserve">un “impuesto a la energía” no relacionado al servicio eléctrico, que </w:t>
      </w:r>
      <w:r w:rsidRPr="002A3E43">
        <w:rPr>
          <w:rFonts w:asciiTheme="majorHAnsi" w:hAnsiTheme="majorHAnsi" w:cstheme="majorHAnsi"/>
          <w:iCs/>
          <w:sz w:val="22"/>
          <w:szCs w:val="22"/>
        </w:rPr>
        <w:t>tiene como objetivo básico la obtención de los ingresos necesarios para compensar la supresión del recargo en concepto de coste específico asignado a la minería del carbón, y que alcanza</w:t>
      </w:r>
      <w:r w:rsidR="00D63A52">
        <w:rPr>
          <w:rFonts w:asciiTheme="majorHAnsi" w:hAnsiTheme="majorHAnsi" w:cstheme="majorHAnsi"/>
          <w:iCs/>
          <w:sz w:val="22"/>
          <w:szCs w:val="22"/>
        </w:rPr>
        <w:t xml:space="preserve"> hasta</w:t>
      </w:r>
      <w:r w:rsidRPr="002A3E43">
        <w:rPr>
          <w:rFonts w:asciiTheme="majorHAnsi" w:hAnsiTheme="majorHAnsi" w:cstheme="majorHAnsi"/>
          <w:iCs/>
          <w:sz w:val="22"/>
          <w:szCs w:val="22"/>
        </w:rPr>
        <w:t xml:space="preserve"> el 4 por ciento de la factura eléctrica.</w:t>
      </w:r>
      <w:r w:rsidR="00D63A52">
        <w:rPr>
          <w:rStyle w:val="FootnoteReference"/>
          <w:rFonts w:asciiTheme="majorHAnsi" w:hAnsiTheme="majorHAnsi" w:cstheme="majorHAnsi"/>
          <w:iCs/>
          <w:sz w:val="22"/>
          <w:szCs w:val="22"/>
        </w:rPr>
        <w:footnoteReference w:id="81"/>
      </w:r>
      <w:r w:rsidRPr="002A3E43">
        <w:rPr>
          <w:rFonts w:asciiTheme="majorHAnsi" w:hAnsiTheme="majorHAnsi" w:cstheme="majorHAnsi"/>
          <w:iCs/>
          <w:sz w:val="22"/>
          <w:szCs w:val="22"/>
        </w:rPr>
        <w:t xml:space="preserve"> </w:t>
      </w:r>
    </w:p>
    <w:p w:rsidR="001768F9" w:rsidRPr="00A2105E" w:rsidRDefault="001768F9" w:rsidP="001768F9">
      <w:pPr>
        <w:pStyle w:val="ListParagraph"/>
        <w:spacing w:before="100" w:beforeAutospacing="1" w:after="100" w:afterAutospacing="1"/>
        <w:ind w:left="360"/>
        <w:jc w:val="both"/>
        <w:rPr>
          <w:rFonts w:asciiTheme="majorHAnsi" w:hAnsiTheme="majorHAnsi" w:cstheme="majorHAnsi"/>
          <w:iCs/>
          <w:sz w:val="22"/>
          <w:szCs w:val="22"/>
          <w:lang w:val="es-PE"/>
        </w:rPr>
      </w:pPr>
      <w:r w:rsidRPr="002A3E43">
        <w:rPr>
          <w:rFonts w:asciiTheme="majorHAnsi" w:hAnsiTheme="majorHAnsi" w:cstheme="majorHAnsi"/>
          <w:sz w:val="22"/>
          <w:szCs w:val="22"/>
        </w:rPr>
        <w:t>En la factura del agua,</w:t>
      </w:r>
      <w:r w:rsidR="00A2105E">
        <w:rPr>
          <w:rStyle w:val="FootnoteReference"/>
          <w:rFonts w:asciiTheme="majorHAnsi" w:hAnsiTheme="majorHAnsi" w:cstheme="majorHAnsi"/>
          <w:sz w:val="22"/>
          <w:szCs w:val="22"/>
        </w:rPr>
        <w:footnoteReference w:id="82"/>
      </w:r>
      <w:r w:rsidRPr="002A3E43">
        <w:rPr>
          <w:rFonts w:asciiTheme="majorHAnsi" w:hAnsiTheme="majorHAnsi" w:cstheme="majorHAnsi"/>
          <w:sz w:val="22"/>
          <w:szCs w:val="22"/>
        </w:rPr>
        <w:t xml:space="preserve"> además de agua potable y saneamiento, se cobra generalmente el tratamiento de aguas servidas, </w:t>
      </w:r>
      <w:r>
        <w:rPr>
          <w:rFonts w:asciiTheme="majorHAnsi" w:hAnsiTheme="majorHAnsi" w:cstheme="majorHAnsi"/>
          <w:sz w:val="22"/>
          <w:szCs w:val="22"/>
        </w:rPr>
        <w:t>e</w:t>
      </w:r>
      <w:r w:rsidRPr="002A3E43">
        <w:rPr>
          <w:rFonts w:asciiTheme="majorHAnsi" w:hAnsiTheme="majorHAnsi" w:cstheme="majorHAnsi"/>
          <w:sz w:val="22"/>
          <w:szCs w:val="22"/>
        </w:rPr>
        <w:t xml:space="preserve">l IVA (10 por ciento), un concepto de canon provincial y autonómico para financiar inversiones en el sector; así como también una tasa fija de </w:t>
      </w:r>
      <w:r w:rsidRPr="002A3E43">
        <w:rPr>
          <w:rFonts w:asciiTheme="majorHAnsi" w:hAnsiTheme="majorHAnsi" w:cstheme="majorHAnsi"/>
          <w:sz w:val="22"/>
          <w:szCs w:val="22"/>
        </w:rPr>
        <w:lastRenderedPageBreak/>
        <w:t>residuos sólidos urbanos (recolección de basura).</w:t>
      </w:r>
      <w:r w:rsidRPr="002A3E43">
        <w:rPr>
          <w:rStyle w:val="FootnoteReference"/>
          <w:rFonts w:asciiTheme="majorHAnsi" w:hAnsiTheme="majorHAnsi" w:cstheme="majorHAnsi"/>
          <w:sz w:val="22"/>
          <w:szCs w:val="22"/>
        </w:rPr>
        <w:footnoteReference w:id="83"/>
      </w:r>
      <w:r>
        <w:rPr>
          <w:rFonts w:asciiTheme="majorHAnsi" w:hAnsiTheme="majorHAnsi" w:cstheme="majorHAnsi"/>
          <w:sz w:val="22"/>
          <w:szCs w:val="22"/>
        </w:rPr>
        <w:t xml:space="preserve"> </w:t>
      </w:r>
      <w:r w:rsidR="00A2105E">
        <w:rPr>
          <w:rFonts w:asciiTheme="majorHAnsi" w:hAnsiTheme="majorHAnsi" w:cstheme="majorHAnsi"/>
          <w:sz w:val="22"/>
          <w:szCs w:val="22"/>
        </w:rPr>
        <w:t>P</w:t>
      </w:r>
      <w:r w:rsidR="00A2105E" w:rsidRPr="00A2105E">
        <w:rPr>
          <w:rFonts w:asciiTheme="majorHAnsi" w:hAnsiTheme="majorHAnsi" w:cstheme="majorHAnsi"/>
          <w:sz w:val="22"/>
          <w:szCs w:val="22"/>
        </w:rPr>
        <w:t>ara los hogares de ingresos bajos la tasa por recolección de basura representa una mayor proporción de su factura total de agua (35</w:t>
      </w:r>
      <w:r w:rsidR="00833215">
        <w:rPr>
          <w:rFonts w:asciiTheme="majorHAnsi" w:hAnsiTheme="majorHAnsi" w:cstheme="majorHAnsi"/>
          <w:sz w:val="22"/>
          <w:szCs w:val="22"/>
        </w:rPr>
        <w:t xml:space="preserve"> por ciento</w:t>
      </w:r>
      <w:r w:rsidR="00A2105E" w:rsidRPr="00A2105E">
        <w:rPr>
          <w:rFonts w:asciiTheme="majorHAnsi" w:hAnsiTheme="majorHAnsi" w:cstheme="majorHAnsi"/>
          <w:sz w:val="22"/>
          <w:szCs w:val="22"/>
        </w:rPr>
        <w:t>) en comparación con las familias de ingreso alto (13</w:t>
      </w:r>
      <w:r w:rsidR="00833215">
        <w:rPr>
          <w:rFonts w:asciiTheme="majorHAnsi" w:hAnsiTheme="majorHAnsi" w:cstheme="majorHAnsi"/>
          <w:sz w:val="22"/>
          <w:szCs w:val="22"/>
        </w:rPr>
        <w:t xml:space="preserve"> por ciento</w:t>
      </w:r>
      <w:r w:rsidR="00A2105E" w:rsidRPr="00A2105E">
        <w:rPr>
          <w:rFonts w:asciiTheme="majorHAnsi" w:hAnsiTheme="majorHAnsi" w:cstheme="majorHAnsi"/>
          <w:sz w:val="22"/>
          <w:szCs w:val="22"/>
        </w:rPr>
        <w:t>), pues se trata de un cargo fijo sobre los m</w:t>
      </w:r>
      <w:r w:rsidR="00A2105E" w:rsidRPr="00A2105E">
        <w:rPr>
          <w:rFonts w:asciiTheme="majorHAnsi" w:hAnsiTheme="majorHAnsi" w:cstheme="majorHAnsi"/>
          <w:sz w:val="22"/>
          <w:szCs w:val="22"/>
          <w:vertAlign w:val="superscript"/>
        </w:rPr>
        <w:t>3</w:t>
      </w:r>
      <w:r w:rsidR="00A2105E" w:rsidRPr="00A2105E">
        <w:rPr>
          <w:rFonts w:asciiTheme="majorHAnsi" w:hAnsiTheme="majorHAnsi" w:cstheme="majorHAnsi"/>
          <w:sz w:val="22"/>
          <w:szCs w:val="22"/>
        </w:rPr>
        <w:t xml:space="preserve"> consumidos. El IVA por su parte representa entre 6</w:t>
      </w:r>
      <w:r w:rsidR="00833215">
        <w:rPr>
          <w:rFonts w:asciiTheme="majorHAnsi" w:hAnsiTheme="majorHAnsi" w:cstheme="majorHAnsi"/>
          <w:sz w:val="22"/>
          <w:szCs w:val="22"/>
        </w:rPr>
        <w:t xml:space="preserve"> por ciento</w:t>
      </w:r>
      <w:r w:rsidR="00A2105E" w:rsidRPr="00A2105E">
        <w:rPr>
          <w:rFonts w:asciiTheme="majorHAnsi" w:hAnsiTheme="majorHAnsi" w:cstheme="majorHAnsi"/>
          <w:sz w:val="22"/>
          <w:szCs w:val="22"/>
        </w:rPr>
        <w:t xml:space="preserve"> y 8</w:t>
      </w:r>
      <w:r w:rsidR="00833215">
        <w:rPr>
          <w:rFonts w:asciiTheme="majorHAnsi" w:hAnsiTheme="majorHAnsi" w:cstheme="majorHAnsi"/>
          <w:sz w:val="22"/>
          <w:szCs w:val="22"/>
        </w:rPr>
        <w:t xml:space="preserve"> por ciento</w:t>
      </w:r>
      <w:r w:rsidR="00A2105E" w:rsidRPr="00A2105E">
        <w:rPr>
          <w:rFonts w:asciiTheme="majorHAnsi" w:hAnsiTheme="majorHAnsi" w:cstheme="majorHAnsi"/>
          <w:sz w:val="22"/>
          <w:szCs w:val="22"/>
        </w:rPr>
        <w:t xml:space="preserve"> de la factura total de agua para los hogares de ingreso bajo y alto, respectivamente.</w:t>
      </w:r>
      <w:r w:rsidR="00A2105E">
        <w:rPr>
          <w:rFonts w:asciiTheme="majorHAnsi" w:hAnsiTheme="majorHAnsi" w:cstheme="majorHAnsi"/>
          <w:sz w:val="22"/>
          <w:szCs w:val="22"/>
        </w:rPr>
        <w:t xml:space="preserve"> </w:t>
      </w:r>
      <w:r w:rsidR="00A2105E" w:rsidRPr="002A3E43">
        <w:rPr>
          <w:rFonts w:asciiTheme="majorHAnsi" w:hAnsiTheme="majorHAnsi" w:cstheme="majorHAnsi"/>
          <w:sz w:val="22"/>
          <w:szCs w:val="22"/>
        </w:rPr>
        <w:t>Considerando el IVA y la tasa de residuos sólidos urbanos, estos cargos pueden llegar a representar juntos hasta 41 por ciento de la factura total de agua de una familia de bajos ingresos.</w:t>
      </w:r>
      <w:r w:rsidR="00A2105E" w:rsidRPr="002A3E43">
        <w:rPr>
          <w:rStyle w:val="FootnoteReference"/>
          <w:rFonts w:asciiTheme="majorHAnsi" w:hAnsiTheme="majorHAnsi" w:cstheme="majorHAnsi"/>
          <w:sz w:val="22"/>
          <w:szCs w:val="22"/>
        </w:rPr>
        <w:footnoteReference w:id="84"/>
      </w:r>
    </w:p>
    <w:p w:rsidR="001768F9" w:rsidRPr="002A3E43" w:rsidRDefault="001768F9" w:rsidP="001768F9">
      <w:pPr>
        <w:pStyle w:val="ListParagraph"/>
        <w:spacing w:before="100" w:beforeAutospacing="1" w:after="100" w:afterAutospacing="1"/>
        <w:ind w:left="360"/>
        <w:jc w:val="both"/>
        <w:rPr>
          <w:rFonts w:asciiTheme="majorHAnsi" w:hAnsiTheme="majorHAnsi" w:cstheme="majorHAnsi"/>
          <w:iCs/>
          <w:sz w:val="22"/>
          <w:szCs w:val="22"/>
        </w:rPr>
      </w:pPr>
    </w:p>
    <w:p w:rsidR="001768F9" w:rsidRDefault="001768F9" w:rsidP="001768F9">
      <w:pPr>
        <w:pStyle w:val="ListParagraph"/>
        <w:numPr>
          <w:ilvl w:val="0"/>
          <w:numId w:val="6"/>
        </w:numPr>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b/>
          <w:sz w:val="22"/>
          <w:szCs w:val="22"/>
        </w:rPr>
        <w:t>Francia</w:t>
      </w:r>
      <w:r w:rsidRPr="002A3E43">
        <w:rPr>
          <w:rFonts w:asciiTheme="majorHAnsi" w:hAnsiTheme="majorHAnsi" w:cstheme="majorHAnsi"/>
          <w:sz w:val="22"/>
          <w:szCs w:val="22"/>
        </w:rPr>
        <w:t xml:space="preserve">: </w:t>
      </w:r>
      <w:r w:rsidR="00C10683">
        <w:rPr>
          <w:rFonts w:asciiTheme="majorHAnsi" w:hAnsiTheme="majorHAnsi" w:cstheme="majorHAnsi"/>
          <w:sz w:val="22"/>
          <w:szCs w:val="22"/>
        </w:rPr>
        <w:t>En Francia s</w:t>
      </w:r>
      <w:r w:rsidRPr="002A3E43">
        <w:rPr>
          <w:rFonts w:asciiTheme="majorHAnsi" w:hAnsiTheme="majorHAnsi" w:cstheme="majorHAnsi"/>
          <w:sz w:val="22"/>
          <w:szCs w:val="22"/>
        </w:rPr>
        <w:t>e observan tres cargos adicionales además del IVA (que asciende al 20 por ciento).</w:t>
      </w:r>
      <w:r w:rsidR="00794158">
        <w:rPr>
          <w:rStyle w:val="FootnoteReference"/>
          <w:rFonts w:asciiTheme="majorHAnsi" w:hAnsiTheme="majorHAnsi" w:cstheme="majorHAnsi"/>
          <w:sz w:val="22"/>
          <w:szCs w:val="22"/>
        </w:rPr>
        <w:footnoteReference w:id="85"/>
      </w:r>
      <w:r w:rsidR="00794158" w:rsidRPr="002A3E43">
        <w:rPr>
          <w:rFonts w:asciiTheme="majorHAnsi" w:hAnsiTheme="majorHAnsi" w:cstheme="majorHAnsi"/>
          <w:sz w:val="22"/>
          <w:szCs w:val="22"/>
        </w:rPr>
        <w:t xml:space="preserve"> </w:t>
      </w:r>
      <w:r w:rsidRPr="002A3E43">
        <w:rPr>
          <w:rFonts w:asciiTheme="majorHAnsi" w:hAnsiTheme="majorHAnsi" w:cstheme="majorHAnsi"/>
          <w:sz w:val="22"/>
          <w:szCs w:val="22"/>
        </w:rPr>
        <w:t xml:space="preserve"> El primero es una contribución al servicio público de electricidad</w:t>
      </w:r>
      <w:r w:rsidRPr="002A3E43">
        <w:rPr>
          <w:rStyle w:val="FootnoteReference"/>
          <w:rFonts w:asciiTheme="majorHAnsi" w:hAnsiTheme="majorHAnsi" w:cstheme="majorHAnsi"/>
          <w:sz w:val="22"/>
          <w:szCs w:val="22"/>
        </w:rPr>
        <w:footnoteReference w:id="86"/>
      </w:r>
      <w:r w:rsidRPr="002A3E43">
        <w:rPr>
          <w:rFonts w:asciiTheme="majorHAnsi" w:hAnsiTheme="majorHAnsi" w:cstheme="majorHAnsi"/>
          <w:sz w:val="22"/>
          <w:szCs w:val="22"/>
        </w:rPr>
        <w:t xml:space="preserve"> (</w:t>
      </w:r>
      <w:r w:rsidRPr="002A3E43">
        <w:rPr>
          <w:rFonts w:asciiTheme="majorHAnsi" w:hAnsiTheme="majorHAnsi" w:cstheme="majorHAnsi"/>
          <w:i/>
          <w:sz w:val="22"/>
          <w:szCs w:val="22"/>
        </w:rPr>
        <w:t>CSPE</w:t>
      </w:r>
      <w:r w:rsidRPr="002A3E43">
        <w:rPr>
          <w:rFonts w:asciiTheme="majorHAnsi" w:hAnsiTheme="majorHAnsi" w:cstheme="majorHAnsi"/>
          <w:sz w:val="22"/>
          <w:szCs w:val="22"/>
        </w:rPr>
        <w:t xml:space="preserve"> por sus siglas en francés) con la finalidad de financiar energías renovables. Además, se cargan dos impuestos adicionales: el impuesto al consumo final de electricidad</w:t>
      </w:r>
      <w:r w:rsidRPr="002A3E43">
        <w:rPr>
          <w:rStyle w:val="FootnoteReference"/>
          <w:rFonts w:asciiTheme="majorHAnsi" w:hAnsiTheme="majorHAnsi" w:cstheme="majorHAnsi"/>
          <w:sz w:val="22"/>
          <w:szCs w:val="22"/>
        </w:rPr>
        <w:footnoteReference w:id="87"/>
      </w:r>
      <w:r w:rsidRPr="002A3E43">
        <w:rPr>
          <w:rFonts w:asciiTheme="majorHAnsi" w:hAnsiTheme="majorHAnsi" w:cstheme="majorHAnsi"/>
          <w:sz w:val="22"/>
          <w:szCs w:val="22"/>
        </w:rPr>
        <w:t xml:space="preserve"> (</w:t>
      </w:r>
      <w:r w:rsidRPr="002A3E43">
        <w:rPr>
          <w:rFonts w:asciiTheme="majorHAnsi" w:hAnsiTheme="majorHAnsi" w:cstheme="majorHAnsi"/>
          <w:i/>
          <w:sz w:val="22"/>
          <w:szCs w:val="22"/>
        </w:rPr>
        <w:t>TCFE</w:t>
      </w:r>
      <w:r w:rsidRPr="002A3E43">
        <w:rPr>
          <w:rFonts w:asciiTheme="majorHAnsi" w:hAnsiTheme="majorHAnsi" w:cstheme="majorHAnsi"/>
          <w:sz w:val="22"/>
          <w:szCs w:val="22"/>
        </w:rPr>
        <w:t xml:space="preserve"> por sus siglas en francés) que es usado para financiar a las comunas, estados y al estado francés; y la contribución tarifaria de transporte</w:t>
      </w:r>
      <w:r w:rsidRPr="002A3E43">
        <w:rPr>
          <w:rStyle w:val="FootnoteReference"/>
          <w:rFonts w:asciiTheme="majorHAnsi" w:hAnsiTheme="majorHAnsi" w:cstheme="majorHAnsi"/>
          <w:sz w:val="22"/>
          <w:szCs w:val="22"/>
        </w:rPr>
        <w:footnoteReference w:id="88"/>
      </w:r>
      <w:r w:rsidRPr="002A3E43">
        <w:rPr>
          <w:rFonts w:asciiTheme="majorHAnsi" w:hAnsiTheme="majorHAnsi" w:cstheme="majorHAnsi"/>
          <w:sz w:val="22"/>
          <w:szCs w:val="22"/>
        </w:rPr>
        <w:t xml:space="preserve"> (</w:t>
      </w:r>
      <w:r w:rsidRPr="002A3E43">
        <w:rPr>
          <w:rFonts w:asciiTheme="majorHAnsi" w:hAnsiTheme="majorHAnsi" w:cstheme="majorHAnsi"/>
          <w:i/>
          <w:sz w:val="22"/>
          <w:szCs w:val="22"/>
        </w:rPr>
        <w:t>CTA</w:t>
      </w:r>
      <w:r w:rsidRPr="002A3E43">
        <w:rPr>
          <w:rFonts w:asciiTheme="majorHAnsi" w:hAnsiTheme="majorHAnsi" w:cstheme="majorHAnsi"/>
          <w:sz w:val="22"/>
          <w:szCs w:val="22"/>
        </w:rPr>
        <w:t xml:space="preserve"> por sus siglas en francés), que consiste en una contribución al fondo de pensiones para empleados del sector.</w:t>
      </w:r>
      <w:r w:rsidRPr="002A3E43">
        <w:rPr>
          <w:rStyle w:val="FootnoteReference"/>
          <w:rFonts w:asciiTheme="majorHAnsi" w:hAnsiTheme="majorHAnsi" w:cstheme="majorHAnsi"/>
          <w:sz w:val="22"/>
          <w:szCs w:val="22"/>
        </w:rPr>
        <w:footnoteReference w:id="89"/>
      </w:r>
      <w:r w:rsidRPr="002A3E43">
        <w:rPr>
          <w:rFonts w:asciiTheme="majorHAnsi" w:hAnsiTheme="majorHAnsi" w:cstheme="majorHAnsi"/>
          <w:sz w:val="22"/>
          <w:szCs w:val="22"/>
        </w:rPr>
        <w:t xml:space="preserve"> Considerando estos 3 impuestos no relacionados al servicio (el IVA, el impuesto al consumo final de electricidad y la contribución tarifaria de transporte) estos pueden llegar a representar juntos hasta 27 por ciento de la factura total de electricidad de una familia de bajos ingresos.</w:t>
      </w:r>
      <w:r w:rsidRPr="002A3E43">
        <w:rPr>
          <w:rStyle w:val="FootnoteReference"/>
          <w:rFonts w:asciiTheme="majorHAnsi" w:hAnsiTheme="majorHAnsi" w:cstheme="majorHAnsi"/>
          <w:sz w:val="22"/>
          <w:szCs w:val="22"/>
        </w:rPr>
        <w:footnoteReference w:id="90"/>
      </w:r>
      <w:r w:rsidRPr="002A3E43">
        <w:rPr>
          <w:rFonts w:asciiTheme="majorHAnsi" w:hAnsiTheme="majorHAnsi" w:cstheme="majorHAnsi"/>
          <w:sz w:val="22"/>
          <w:szCs w:val="22"/>
        </w:rPr>
        <w:t xml:space="preserve"> </w:t>
      </w:r>
    </w:p>
    <w:p w:rsidR="00D85B87" w:rsidRPr="002A3E43" w:rsidRDefault="00D85B87" w:rsidP="00D85B87">
      <w:pPr>
        <w:pStyle w:val="ListParagraph"/>
        <w:spacing w:before="100" w:beforeAutospacing="1" w:after="100" w:afterAutospacing="1"/>
        <w:ind w:left="360"/>
        <w:jc w:val="both"/>
        <w:rPr>
          <w:rFonts w:asciiTheme="majorHAnsi" w:hAnsiTheme="majorHAnsi" w:cstheme="majorHAnsi"/>
          <w:sz w:val="22"/>
          <w:szCs w:val="22"/>
        </w:rPr>
      </w:pPr>
    </w:p>
    <w:p w:rsidR="001768F9" w:rsidRDefault="001768F9" w:rsidP="001768F9">
      <w:pPr>
        <w:pStyle w:val="ListParagraph"/>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sz w:val="22"/>
          <w:szCs w:val="22"/>
        </w:rPr>
        <w:t>El impuesto al consumo final de electricidad representa en promedio aproximadamente 4 por ciento de la factura de electricidad. Dado que se trata de un cargo fijo sobre los kWh consumidos, el impuesto aumenta conforme el consumo eléctrico aumenta. De este modo, representa mayor porcentaje de la factura para los hogares de ingreso alto (5 por ciento de la factura total) en comparación con los hogares de ingreso bajo (2 por ciento de la factura total). Por el contrario, la contribución tarifaria de transporte es un cargo fijo y</w:t>
      </w:r>
      <w:r>
        <w:rPr>
          <w:rFonts w:asciiTheme="majorHAnsi" w:hAnsiTheme="majorHAnsi" w:cstheme="majorHAnsi"/>
          <w:sz w:val="22"/>
          <w:szCs w:val="22"/>
        </w:rPr>
        <w:t>,</w:t>
      </w:r>
      <w:r w:rsidRPr="002A3E43">
        <w:rPr>
          <w:rFonts w:asciiTheme="majorHAnsi" w:hAnsiTheme="majorHAnsi" w:cstheme="majorHAnsi"/>
          <w:sz w:val="22"/>
          <w:szCs w:val="22"/>
        </w:rPr>
        <w:t xml:space="preserve"> por ende</w:t>
      </w:r>
      <w:r>
        <w:rPr>
          <w:rFonts w:asciiTheme="majorHAnsi" w:hAnsiTheme="majorHAnsi" w:cstheme="majorHAnsi"/>
          <w:sz w:val="22"/>
          <w:szCs w:val="22"/>
        </w:rPr>
        <w:t>,</w:t>
      </w:r>
      <w:r w:rsidRPr="002A3E43">
        <w:rPr>
          <w:rFonts w:asciiTheme="majorHAnsi" w:hAnsiTheme="majorHAnsi" w:cstheme="majorHAnsi"/>
          <w:sz w:val="22"/>
          <w:szCs w:val="22"/>
        </w:rPr>
        <w:t xml:space="preserve"> representa mayor porcentaje de la factura para los hogares de ingreso bajo (9 por ciento de la factura total) en comparación con los hogares de ingreso alto (2 por ciento de la factura total). El IVA por su parte representa en promedio 16 por ciento de la factura total de electricidad para todos los hogares.</w:t>
      </w:r>
    </w:p>
    <w:p w:rsidR="007D7DE4" w:rsidRPr="002A3E43" w:rsidRDefault="007D7DE4" w:rsidP="001768F9">
      <w:pPr>
        <w:pStyle w:val="ListParagraph"/>
        <w:spacing w:before="100" w:beforeAutospacing="1" w:after="100" w:afterAutospacing="1"/>
        <w:ind w:left="360"/>
        <w:jc w:val="both"/>
        <w:rPr>
          <w:rFonts w:asciiTheme="majorHAnsi" w:hAnsiTheme="majorHAnsi" w:cstheme="majorHAnsi"/>
          <w:sz w:val="22"/>
          <w:szCs w:val="22"/>
        </w:rPr>
      </w:pPr>
    </w:p>
    <w:p w:rsidR="001768F9" w:rsidRPr="002A3E43" w:rsidRDefault="001768F9" w:rsidP="001768F9">
      <w:pPr>
        <w:pStyle w:val="ListParagraph"/>
        <w:spacing w:before="100" w:beforeAutospacing="1" w:after="100" w:afterAutospacing="1"/>
        <w:ind w:left="360"/>
        <w:jc w:val="both"/>
        <w:rPr>
          <w:rFonts w:asciiTheme="majorHAnsi" w:hAnsiTheme="majorHAnsi" w:cstheme="majorHAnsi"/>
          <w:sz w:val="22"/>
          <w:szCs w:val="22"/>
        </w:rPr>
      </w:pPr>
      <w:r w:rsidRPr="002A3E43">
        <w:rPr>
          <w:rFonts w:asciiTheme="majorHAnsi" w:hAnsiTheme="majorHAnsi" w:cstheme="majorHAnsi"/>
          <w:sz w:val="22"/>
          <w:szCs w:val="22"/>
        </w:rPr>
        <w:t>En cuanto a la factura del agua,</w:t>
      </w:r>
      <w:r w:rsidR="00A2105E">
        <w:rPr>
          <w:rStyle w:val="FootnoteReference"/>
          <w:rFonts w:asciiTheme="majorHAnsi" w:hAnsiTheme="majorHAnsi" w:cstheme="majorHAnsi"/>
          <w:sz w:val="22"/>
          <w:szCs w:val="22"/>
        </w:rPr>
        <w:footnoteReference w:id="91"/>
      </w:r>
      <w:r w:rsidRPr="002A3E43">
        <w:rPr>
          <w:rFonts w:asciiTheme="majorHAnsi" w:hAnsiTheme="majorHAnsi" w:cstheme="majorHAnsi"/>
          <w:sz w:val="22"/>
          <w:szCs w:val="22"/>
        </w:rPr>
        <w:t xml:space="preserve"> no se identifican cargos no relacionados con el servicio. El servicio está comúnmente sujeto a un IVA diferenciado de 5.5 por ciento sobre los cargos </w:t>
      </w:r>
      <w:r w:rsidRPr="002A3E43">
        <w:rPr>
          <w:rFonts w:asciiTheme="majorHAnsi" w:hAnsiTheme="majorHAnsi" w:cstheme="majorHAnsi"/>
          <w:sz w:val="22"/>
          <w:szCs w:val="22"/>
        </w:rPr>
        <w:lastRenderedPageBreak/>
        <w:t>relacionados a agua potable y 10 por ciento para los cargos relacionados con saneamiento y tratamiento de aguas. Así, el IVA total representa en promedio 7 por ciento de la factura total de agua para todos los hogares.</w:t>
      </w:r>
    </w:p>
    <w:p w:rsidR="001768F9" w:rsidRDefault="001768F9" w:rsidP="001768F9">
      <w:pPr>
        <w:pStyle w:val="ListParagraph"/>
        <w:spacing w:before="100" w:beforeAutospacing="1" w:after="100" w:afterAutospacing="1"/>
        <w:ind w:left="360"/>
        <w:rPr>
          <w:rFonts w:asciiTheme="majorHAnsi" w:hAnsiTheme="majorHAnsi" w:cstheme="majorHAnsi"/>
          <w:b/>
          <w:sz w:val="22"/>
          <w:szCs w:val="22"/>
        </w:rPr>
      </w:pPr>
    </w:p>
    <w:p w:rsidR="002811DA" w:rsidRDefault="002811DA">
      <w:pPr>
        <w:rPr>
          <w:rFonts w:asciiTheme="majorHAnsi" w:hAnsiTheme="majorHAnsi" w:cstheme="majorHAnsi"/>
          <w:b/>
        </w:rPr>
      </w:pPr>
      <w:r>
        <w:rPr>
          <w:rFonts w:asciiTheme="majorHAnsi" w:hAnsiTheme="majorHAnsi" w:cstheme="majorHAnsi"/>
          <w:b/>
        </w:rPr>
        <w:br w:type="page"/>
      </w:r>
    </w:p>
    <w:p w:rsidR="004167AC" w:rsidRPr="00723850" w:rsidRDefault="00F76B4A" w:rsidP="001768F9">
      <w:pPr>
        <w:pStyle w:val="ListParagraph"/>
        <w:numPr>
          <w:ilvl w:val="0"/>
          <w:numId w:val="1"/>
        </w:numPr>
        <w:spacing w:before="100" w:beforeAutospacing="1" w:after="100" w:afterAutospacing="1"/>
        <w:rPr>
          <w:rFonts w:asciiTheme="majorHAnsi" w:hAnsiTheme="majorHAnsi" w:cstheme="majorHAnsi"/>
          <w:b/>
        </w:rPr>
      </w:pPr>
      <w:r w:rsidRPr="00723850">
        <w:rPr>
          <w:rFonts w:asciiTheme="majorHAnsi" w:hAnsiTheme="majorHAnsi" w:cstheme="majorHAnsi"/>
          <w:b/>
        </w:rPr>
        <w:lastRenderedPageBreak/>
        <w:t>Comparando las experiencias latinoamericana</w:t>
      </w:r>
      <w:r w:rsidR="004F5BAF" w:rsidRPr="00723850">
        <w:rPr>
          <w:rFonts w:asciiTheme="majorHAnsi" w:hAnsiTheme="majorHAnsi" w:cstheme="majorHAnsi"/>
          <w:b/>
        </w:rPr>
        <w:t>s</w:t>
      </w:r>
      <w:r w:rsidRPr="00723850">
        <w:rPr>
          <w:rFonts w:asciiTheme="majorHAnsi" w:hAnsiTheme="majorHAnsi" w:cstheme="majorHAnsi"/>
          <w:b/>
        </w:rPr>
        <w:t xml:space="preserve"> y europea</w:t>
      </w:r>
      <w:r w:rsidR="004F5BAF" w:rsidRPr="00723850">
        <w:rPr>
          <w:rFonts w:asciiTheme="majorHAnsi" w:hAnsiTheme="majorHAnsi" w:cstheme="majorHAnsi"/>
          <w:b/>
        </w:rPr>
        <w:t>s</w:t>
      </w:r>
    </w:p>
    <w:p w:rsidR="0041519C" w:rsidRDefault="000C4B1D" w:rsidP="00A15206">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 xml:space="preserve">Luego de contar con información desagregada para una muestra de países de la </w:t>
      </w:r>
      <w:r w:rsidR="006A2A29">
        <w:rPr>
          <w:rFonts w:asciiTheme="majorHAnsi" w:hAnsiTheme="majorHAnsi" w:cstheme="majorHAnsi"/>
          <w:sz w:val="22"/>
          <w:szCs w:val="22"/>
        </w:rPr>
        <w:t>Unión</w:t>
      </w:r>
      <w:r>
        <w:rPr>
          <w:rFonts w:asciiTheme="majorHAnsi" w:hAnsiTheme="majorHAnsi" w:cstheme="majorHAnsi"/>
          <w:sz w:val="22"/>
          <w:szCs w:val="22"/>
        </w:rPr>
        <w:t xml:space="preserve"> Europea y de América Latina</w:t>
      </w:r>
      <w:r w:rsidR="006A2A29">
        <w:rPr>
          <w:rFonts w:asciiTheme="majorHAnsi" w:hAnsiTheme="majorHAnsi" w:cstheme="majorHAnsi"/>
          <w:sz w:val="22"/>
          <w:szCs w:val="22"/>
        </w:rPr>
        <w:t xml:space="preserve"> y el Caribe (ALC)</w:t>
      </w:r>
      <w:r>
        <w:rPr>
          <w:rFonts w:asciiTheme="majorHAnsi" w:hAnsiTheme="majorHAnsi" w:cstheme="majorHAnsi"/>
          <w:sz w:val="22"/>
          <w:szCs w:val="22"/>
        </w:rPr>
        <w:t xml:space="preserve">, se puede </w:t>
      </w:r>
      <w:r w:rsidR="004167AC" w:rsidRPr="002A3E43">
        <w:rPr>
          <w:rFonts w:asciiTheme="majorHAnsi" w:hAnsiTheme="majorHAnsi" w:cstheme="majorHAnsi"/>
          <w:sz w:val="22"/>
          <w:szCs w:val="22"/>
        </w:rPr>
        <w:t>realizar una comparativa entre</w:t>
      </w:r>
      <w:r w:rsidR="000A0AA3" w:rsidRPr="002A3E43">
        <w:rPr>
          <w:rFonts w:asciiTheme="majorHAnsi" w:hAnsiTheme="majorHAnsi" w:cstheme="majorHAnsi"/>
          <w:sz w:val="22"/>
          <w:szCs w:val="22"/>
        </w:rPr>
        <w:t xml:space="preserve"> una muestra de</w:t>
      </w:r>
      <w:r w:rsidR="004167AC" w:rsidRPr="002A3E43">
        <w:rPr>
          <w:rFonts w:asciiTheme="majorHAnsi" w:hAnsiTheme="majorHAnsi" w:cstheme="majorHAnsi"/>
          <w:sz w:val="22"/>
          <w:szCs w:val="22"/>
        </w:rPr>
        <w:t xml:space="preserve"> economías latinoamericanas y europeas</w:t>
      </w:r>
      <w:r>
        <w:rPr>
          <w:rFonts w:asciiTheme="majorHAnsi" w:hAnsiTheme="majorHAnsi" w:cstheme="majorHAnsi"/>
          <w:sz w:val="22"/>
          <w:szCs w:val="22"/>
        </w:rPr>
        <w:t xml:space="preserve"> (figura 11)</w:t>
      </w:r>
      <w:r w:rsidR="004167AC" w:rsidRPr="002A3E43">
        <w:rPr>
          <w:rFonts w:asciiTheme="majorHAnsi" w:hAnsiTheme="majorHAnsi" w:cstheme="majorHAnsi"/>
          <w:sz w:val="22"/>
          <w:szCs w:val="22"/>
        </w:rPr>
        <w:t xml:space="preserve">. </w:t>
      </w:r>
    </w:p>
    <w:p w:rsidR="004167AC" w:rsidRDefault="0041519C" w:rsidP="00A15206">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E</w:t>
      </w:r>
      <w:r w:rsidR="004167AC" w:rsidRPr="002A3E43">
        <w:rPr>
          <w:rFonts w:asciiTheme="majorHAnsi" w:hAnsiTheme="majorHAnsi" w:cstheme="majorHAnsi"/>
          <w:sz w:val="22"/>
          <w:szCs w:val="22"/>
        </w:rPr>
        <w:t xml:space="preserve">s posible observar cómo las tasas no relacionadas al servicio eléctrico en </w:t>
      </w:r>
      <w:r w:rsidR="00AC5E41">
        <w:rPr>
          <w:rFonts w:asciiTheme="majorHAnsi" w:hAnsiTheme="majorHAnsi" w:cstheme="majorHAnsi"/>
          <w:sz w:val="22"/>
          <w:szCs w:val="22"/>
        </w:rPr>
        <w:t>Ecuador</w:t>
      </w:r>
      <w:r w:rsidR="00F3153A">
        <w:rPr>
          <w:rFonts w:asciiTheme="majorHAnsi" w:hAnsiTheme="majorHAnsi" w:cstheme="majorHAnsi"/>
          <w:sz w:val="22"/>
          <w:szCs w:val="22"/>
        </w:rPr>
        <w:t xml:space="preserve"> y Argentina</w:t>
      </w:r>
      <w:r w:rsidR="00997B2A">
        <w:rPr>
          <w:rFonts w:asciiTheme="majorHAnsi" w:hAnsiTheme="majorHAnsi" w:cstheme="majorHAnsi"/>
          <w:sz w:val="22"/>
          <w:szCs w:val="22"/>
        </w:rPr>
        <w:t xml:space="preserve"> son bastante altas</w:t>
      </w:r>
      <w:r w:rsidR="00AC5E41">
        <w:rPr>
          <w:rFonts w:asciiTheme="majorHAnsi" w:hAnsiTheme="majorHAnsi" w:cstheme="majorHAnsi"/>
          <w:sz w:val="22"/>
          <w:szCs w:val="22"/>
        </w:rPr>
        <w:t xml:space="preserve"> </w:t>
      </w:r>
      <w:r w:rsidR="004167AC" w:rsidRPr="002A3E43">
        <w:rPr>
          <w:rFonts w:asciiTheme="majorHAnsi" w:hAnsiTheme="majorHAnsi" w:cstheme="majorHAnsi"/>
          <w:sz w:val="22"/>
          <w:szCs w:val="22"/>
        </w:rPr>
        <w:t>para todos los quintiles de ingreso llegando a suponer más del 35 por ciento para el quintil más pobre</w:t>
      </w:r>
      <w:r w:rsidR="00F3153A">
        <w:rPr>
          <w:rFonts w:asciiTheme="majorHAnsi" w:hAnsiTheme="majorHAnsi" w:cstheme="majorHAnsi"/>
          <w:sz w:val="22"/>
          <w:szCs w:val="22"/>
        </w:rPr>
        <w:t xml:space="preserve"> en Ecuador</w:t>
      </w:r>
      <w:r w:rsidR="004167AC" w:rsidRPr="002A3E43">
        <w:rPr>
          <w:rFonts w:asciiTheme="majorHAnsi" w:hAnsiTheme="majorHAnsi" w:cstheme="majorHAnsi"/>
          <w:sz w:val="22"/>
          <w:szCs w:val="22"/>
        </w:rPr>
        <w:t>. No obstante, en Europa también se dan tasas no relacionadas al servicio cuyo peso relativo en la factura se encuentra por encima de los países de ALC analizados para todos los quintiles.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2811DA" w:rsidTr="002811DA">
        <w:tc>
          <w:tcPr>
            <w:tcW w:w="8488" w:type="dxa"/>
          </w:tcPr>
          <w:p w:rsidR="002811DA" w:rsidRPr="001C2F2F" w:rsidRDefault="002811DA" w:rsidP="002811DA">
            <w:pPr>
              <w:spacing w:before="100" w:beforeAutospacing="1" w:after="100" w:afterAutospacing="1"/>
              <w:jc w:val="center"/>
              <w:rPr>
                <w:rFonts w:asciiTheme="majorHAnsi" w:hAnsiTheme="majorHAnsi" w:cstheme="majorHAnsi"/>
                <w:b/>
                <w:lang w:val="es-ES_tradnl"/>
              </w:rPr>
            </w:pPr>
            <w:r w:rsidRPr="001C2F2F">
              <w:rPr>
                <w:rFonts w:asciiTheme="majorHAnsi" w:hAnsiTheme="majorHAnsi" w:cstheme="majorHAnsi"/>
                <w:b/>
                <w:lang w:val="es-ES_tradnl"/>
              </w:rPr>
              <w:t>Figura 11. Tasas no relacionadas al servicio eléctrico como porcentaje de la factura eléctrica ALC vs. Europa</w:t>
            </w:r>
          </w:p>
        </w:tc>
      </w:tr>
      <w:tr w:rsidR="002811DA" w:rsidTr="002811DA">
        <w:tc>
          <w:tcPr>
            <w:tcW w:w="8488" w:type="dxa"/>
          </w:tcPr>
          <w:p w:rsidR="002811DA" w:rsidRDefault="00F3153A" w:rsidP="00A15206">
            <w:pPr>
              <w:spacing w:before="100" w:beforeAutospacing="1" w:after="100" w:afterAutospacing="1"/>
              <w:jc w:val="both"/>
              <w:rPr>
                <w:rFonts w:asciiTheme="majorHAnsi" w:hAnsiTheme="majorHAnsi" w:cstheme="majorHAnsi"/>
              </w:rPr>
            </w:pPr>
            <w:r w:rsidRPr="00F3153A">
              <w:rPr>
                <w:rFonts w:asciiTheme="majorHAnsi" w:hAnsiTheme="majorHAnsi" w:cstheme="majorHAnsi"/>
                <w:noProof/>
              </w:rPr>
              <w:drawing>
                <wp:inline distT="0" distB="0" distL="0" distR="0" wp14:anchorId="6442C2F1" wp14:editId="440761D9">
                  <wp:extent cx="5389245" cy="26320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2632075"/>
                          </a:xfrm>
                          <a:prstGeom prst="rect">
                            <a:avLst/>
                          </a:prstGeom>
                          <a:noFill/>
                          <a:ln>
                            <a:noFill/>
                          </a:ln>
                        </pic:spPr>
                      </pic:pic>
                    </a:graphicData>
                  </a:graphic>
                </wp:inline>
              </w:drawing>
            </w:r>
          </w:p>
        </w:tc>
      </w:tr>
      <w:tr w:rsidR="002811DA" w:rsidTr="002811DA">
        <w:tc>
          <w:tcPr>
            <w:tcW w:w="8488" w:type="dxa"/>
          </w:tcPr>
          <w:p w:rsidR="003C1B37" w:rsidRPr="00E503E0" w:rsidRDefault="003C1B37" w:rsidP="003C1B37">
            <w:pPr>
              <w:jc w:val="both"/>
              <w:rPr>
                <w:rFonts w:asciiTheme="majorHAnsi" w:hAnsiTheme="majorHAnsi" w:cstheme="majorHAnsi"/>
                <w:sz w:val="18"/>
                <w:szCs w:val="18"/>
                <w:lang w:val="es-ES_tradnl"/>
              </w:rPr>
            </w:pPr>
            <w:r w:rsidRPr="003C1B37">
              <w:rPr>
                <w:rFonts w:asciiTheme="majorHAnsi" w:hAnsiTheme="majorHAnsi" w:cstheme="majorHAnsi"/>
                <w:sz w:val="18"/>
                <w:szCs w:val="18"/>
                <w:lang w:val="es-ES_tradnl"/>
              </w:rPr>
              <w:t>*Para Argentina, se simularon los quintiles cruzando los gastos según la encuesta de hogares y un 37% de carga tributaria encontrado por IARAF (201</w:t>
            </w:r>
            <w:r>
              <w:rPr>
                <w:rFonts w:asciiTheme="majorHAnsi" w:hAnsiTheme="majorHAnsi" w:cstheme="majorHAnsi"/>
                <w:sz w:val="18"/>
                <w:szCs w:val="18"/>
                <w:lang w:val="es-ES_tradnl"/>
              </w:rPr>
              <w:t>8</w:t>
            </w:r>
            <w:r w:rsidRPr="003C1B37">
              <w:rPr>
                <w:rFonts w:asciiTheme="majorHAnsi" w:hAnsiTheme="majorHAnsi" w:cstheme="majorHAnsi"/>
                <w:sz w:val="18"/>
                <w:szCs w:val="18"/>
                <w:lang w:val="es-ES_tradnl"/>
              </w:rPr>
              <w:t>) sobre el servicio antes de impuestos. Para agua se consideró la carga del IVA para la Gran Provincia de Buenos Aires.</w:t>
            </w:r>
          </w:p>
          <w:p w:rsidR="002811DA" w:rsidRPr="002811DA" w:rsidRDefault="002811DA" w:rsidP="002811DA">
            <w:pPr>
              <w:jc w:val="both"/>
              <w:rPr>
                <w:rFonts w:asciiTheme="majorHAnsi" w:hAnsiTheme="majorHAnsi" w:cstheme="majorHAnsi"/>
                <w:sz w:val="18"/>
                <w:szCs w:val="18"/>
              </w:rPr>
            </w:pPr>
            <w:r w:rsidRPr="000C4B1D">
              <w:rPr>
                <w:rFonts w:asciiTheme="majorHAnsi" w:hAnsiTheme="majorHAnsi" w:cstheme="majorHAnsi"/>
                <w:sz w:val="18"/>
                <w:szCs w:val="18"/>
              </w:rPr>
              <w:t>Fuente: autores.</w:t>
            </w:r>
          </w:p>
        </w:tc>
      </w:tr>
    </w:tbl>
    <w:p w:rsidR="004167AC" w:rsidRDefault="004167AC" w:rsidP="00A15206">
      <w:pPr>
        <w:spacing w:before="100" w:beforeAutospacing="1" w:after="100" w:afterAutospacing="1"/>
        <w:jc w:val="both"/>
        <w:rPr>
          <w:rFonts w:asciiTheme="majorHAnsi" w:hAnsiTheme="majorHAnsi" w:cstheme="majorHAnsi"/>
          <w:sz w:val="22"/>
          <w:szCs w:val="22"/>
        </w:rPr>
      </w:pPr>
      <w:r w:rsidRPr="002A3E43">
        <w:rPr>
          <w:rFonts w:asciiTheme="majorHAnsi" w:hAnsiTheme="majorHAnsi" w:cstheme="majorHAnsi"/>
          <w:sz w:val="22"/>
          <w:szCs w:val="22"/>
        </w:rPr>
        <w:t>En el caso de la factura del agua, la situación es la contraria</w:t>
      </w:r>
      <w:r w:rsidR="00EF026B" w:rsidRPr="002A3E43">
        <w:rPr>
          <w:rFonts w:asciiTheme="majorHAnsi" w:hAnsiTheme="majorHAnsi" w:cstheme="majorHAnsi"/>
          <w:sz w:val="22"/>
          <w:szCs w:val="22"/>
        </w:rPr>
        <w:t xml:space="preserve"> (figura 12)</w:t>
      </w:r>
      <w:r w:rsidRPr="002A3E43">
        <w:rPr>
          <w:rFonts w:asciiTheme="majorHAnsi" w:hAnsiTheme="majorHAnsi" w:cstheme="majorHAnsi"/>
          <w:sz w:val="22"/>
          <w:szCs w:val="22"/>
        </w:rPr>
        <w:t xml:space="preserve">. España representa el país de la muestra con una mayor carga – por encima de 40 por ciento para el quintil </w:t>
      </w:r>
      <w:r w:rsidR="00D11EF6" w:rsidRPr="002A3E43">
        <w:rPr>
          <w:rFonts w:asciiTheme="majorHAnsi" w:hAnsiTheme="majorHAnsi" w:cstheme="majorHAnsi"/>
          <w:sz w:val="22"/>
          <w:szCs w:val="22"/>
        </w:rPr>
        <w:t>más</w:t>
      </w:r>
      <w:r w:rsidRPr="002A3E43">
        <w:rPr>
          <w:rFonts w:asciiTheme="majorHAnsi" w:hAnsiTheme="majorHAnsi" w:cstheme="majorHAnsi"/>
          <w:sz w:val="22"/>
          <w:szCs w:val="22"/>
        </w:rPr>
        <w:t xml:space="preserve"> pobre. Ecuador, por su parte, presenta la menor carga relativa de las tasas no relacionadas al servicio. </w:t>
      </w:r>
    </w:p>
    <w:p w:rsidR="00D96756" w:rsidRDefault="00D967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D96756" w:rsidTr="00D96756">
        <w:tc>
          <w:tcPr>
            <w:tcW w:w="8488" w:type="dxa"/>
          </w:tcPr>
          <w:p w:rsidR="00D96756" w:rsidRPr="001C2F2F" w:rsidRDefault="00D96756" w:rsidP="00D96756">
            <w:pPr>
              <w:spacing w:before="100" w:beforeAutospacing="1" w:after="100" w:afterAutospacing="1"/>
              <w:jc w:val="center"/>
              <w:rPr>
                <w:rFonts w:asciiTheme="majorHAnsi" w:hAnsiTheme="majorHAnsi" w:cstheme="majorHAnsi"/>
                <w:lang w:val="es-ES_tradnl"/>
              </w:rPr>
            </w:pPr>
            <w:r w:rsidRPr="00AC6CBE">
              <w:rPr>
                <w:rFonts w:asciiTheme="majorHAnsi" w:hAnsiTheme="majorHAnsi" w:cstheme="majorHAnsi"/>
                <w:b/>
                <w:lang w:val="es-ES_tradnl"/>
              </w:rPr>
              <w:lastRenderedPageBreak/>
              <w:t>Figura 12. Tasas no relacionadas al servicio de agua como porcentaje de la factura del agua ALC vs. Europa</w:t>
            </w:r>
          </w:p>
        </w:tc>
      </w:tr>
      <w:tr w:rsidR="00D96756" w:rsidTr="00D96756">
        <w:tc>
          <w:tcPr>
            <w:tcW w:w="8488" w:type="dxa"/>
          </w:tcPr>
          <w:p w:rsidR="00D96756" w:rsidRDefault="00F3153A" w:rsidP="00A15206">
            <w:pPr>
              <w:spacing w:before="100" w:beforeAutospacing="1" w:after="100" w:afterAutospacing="1"/>
              <w:jc w:val="both"/>
              <w:rPr>
                <w:rFonts w:asciiTheme="majorHAnsi" w:hAnsiTheme="majorHAnsi" w:cstheme="majorHAnsi"/>
              </w:rPr>
            </w:pPr>
            <w:r w:rsidRPr="00F3153A">
              <w:rPr>
                <w:rFonts w:asciiTheme="majorHAnsi" w:hAnsiTheme="majorHAnsi" w:cstheme="majorHAnsi"/>
                <w:noProof/>
              </w:rPr>
              <w:drawing>
                <wp:inline distT="0" distB="0" distL="0" distR="0" wp14:anchorId="12BCC293" wp14:editId="21AB73B4">
                  <wp:extent cx="5396230" cy="23069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96230" cy="2306955"/>
                          </a:xfrm>
                          <a:prstGeom prst="rect">
                            <a:avLst/>
                          </a:prstGeom>
                          <a:noFill/>
                          <a:ln>
                            <a:noFill/>
                          </a:ln>
                        </pic:spPr>
                      </pic:pic>
                    </a:graphicData>
                  </a:graphic>
                </wp:inline>
              </w:drawing>
            </w:r>
          </w:p>
        </w:tc>
      </w:tr>
      <w:tr w:rsidR="00D96756" w:rsidTr="00D96756">
        <w:tc>
          <w:tcPr>
            <w:tcW w:w="8488" w:type="dxa"/>
          </w:tcPr>
          <w:p w:rsidR="003C1B37" w:rsidRPr="00E503E0" w:rsidRDefault="003C1B37" w:rsidP="003C1B37">
            <w:pPr>
              <w:jc w:val="both"/>
              <w:rPr>
                <w:rFonts w:asciiTheme="majorHAnsi" w:hAnsiTheme="majorHAnsi" w:cstheme="majorHAnsi"/>
                <w:sz w:val="18"/>
                <w:szCs w:val="18"/>
                <w:lang w:val="es-ES_tradnl"/>
              </w:rPr>
            </w:pPr>
            <w:r w:rsidRPr="003C1B37">
              <w:rPr>
                <w:rFonts w:asciiTheme="majorHAnsi" w:hAnsiTheme="majorHAnsi" w:cstheme="majorHAnsi"/>
                <w:sz w:val="18"/>
                <w:szCs w:val="18"/>
                <w:lang w:val="es-ES_tradnl"/>
              </w:rPr>
              <w:t>*Para Argentina, se simularon los quintiles cruzando los gastos según la encuesta de hogares y un 37% de carga tributaria encontrado por IARAF (201</w:t>
            </w:r>
            <w:r>
              <w:rPr>
                <w:rFonts w:asciiTheme="majorHAnsi" w:hAnsiTheme="majorHAnsi" w:cstheme="majorHAnsi"/>
                <w:sz w:val="18"/>
                <w:szCs w:val="18"/>
                <w:lang w:val="es-ES_tradnl"/>
              </w:rPr>
              <w:t>8</w:t>
            </w:r>
            <w:r w:rsidRPr="003C1B37">
              <w:rPr>
                <w:rFonts w:asciiTheme="majorHAnsi" w:hAnsiTheme="majorHAnsi" w:cstheme="majorHAnsi"/>
                <w:sz w:val="18"/>
                <w:szCs w:val="18"/>
                <w:lang w:val="es-ES_tradnl"/>
              </w:rPr>
              <w:t>) sobre el servicio antes de impuestos. Para agua se consideró la carga del IVA para la Gran Provincia de Buenos Aires.</w:t>
            </w:r>
          </w:p>
          <w:p w:rsidR="00D96756" w:rsidRDefault="00D96756" w:rsidP="00D96756">
            <w:pPr>
              <w:jc w:val="both"/>
              <w:rPr>
                <w:rFonts w:asciiTheme="majorHAnsi" w:hAnsiTheme="majorHAnsi" w:cstheme="majorHAnsi"/>
              </w:rPr>
            </w:pPr>
            <w:r w:rsidRPr="00D96756">
              <w:rPr>
                <w:rFonts w:asciiTheme="majorHAnsi" w:hAnsiTheme="majorHAnsi" w:cstheme="majorHAnsi"/>
                <w:sz w:val="18"/>
                <w:szCs w:val="18"/>
              </w:rPr>
              <w:t>Fuente: autores.</w:t>
            </w:r>
          </w:p>
        </w:tc>
      </w:tr>
    </w:tbl>
    <w:p w:rsidR="004167AC" w:rsidRPr="002A3E43" w:rsidRDefault="00FB19A6" w:rsidP="00A15206">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Finalmente, la</w:t>
      </w:r>
      <w:r w:rsidR="004167AC" w:rsidRPr="002A3E43">
        <w:rPr>
          <w:rFonts w:asciiTheme="majorHAnsi" w:hAnsiTheme="majorHAnsi" w:cstheme="majorHAnsi"/>
          <w:sz w:val="22"/>
          <w:szCs w:val="22"/>
        </w:rPr>
        <w:t xml:space="preserve"> tabla </w:t>
      </w:r>
      <w:r w:rsidR="000503BE" w:rsidRPr="002A3E43">
        <w:rPr>
          <w:rFonts w:asciiTheme="majorHAnsi" w:hAnsiTheme="majorHAnsi" w:cstheme="majorHAnsi"/>
          <w:sz w:val="22"/>
          <w:szCs w:val="22"/>
        </w:rPr>
        <w:t>2</w:t>
      </w:r>
      <w:r w:rsidR="004167AC" w:rsidRPr="002A3E43">
        <w:rPr>
          <w:rFonts w:asciiTheme="majorHAnsi" w:hAnsiTheme="majorHAnsi" w:cstheme="majorHAnsi"/>
          <w:sz w:val="22"/>
          <w:szCs w:val="22"/>
        </w:rPr>
        <w:t xml:space="preserve"> muestra </w:t>
      </w:r>
      <w:r>
        <w:rPr>
          <w:rFonts w:asciiTheme="majorHAnsi" w:hAnsiTheme="majorHAnsi" w:cstheme="majorHAnsi"/>
          <w:sz w:val="22"/>
          <w:szCs w:val="22"/>
        </w:rPr>
        <w:t xml:space="preserve">un resumen de las tasas no relacionadas a los servicios de agua y electricidad, pero incluidas en sus facturas, para el conjunto de economías latinoamericanas y europeas analizadas, por nivel de ingresos.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8"/>
      </w:tblGrid>
      <w:tr w:rsidR="00E503E0" w:rsidTr="00E503E0">
        <w:tc>
          <w:tcPr>
            <w:tcW w:w="8488" w:type="dxa"/>
          </w:tcPr>
          <w:p w:rsidR="00E503E0" w:rsidRPr="00AC6CBE" w:rsidRDefault="004167AC" w:rsidP="00E503E0">
            <w:pPr>
              <w:spacing w:before="100" w:beforeAutospacing="1" w:after="100" w:afterAutospacing="1"/>
              <w:jc w:val="center"/>
              <w:rPr>
                <w:rFonts w:asciiTheme="majorHAnsi" w:hAnsiTheme="majorHAnsi" w:cstheme="majorHAnsi"/>
                <w:lang w:val="es-ES_tradnl"/>
              </w:rPr>
            </w:pPr>
            <w:r w:rsidRPr="000C4B1D">
              <w:rPr>
                <w:rFonts w:asciiTheme="majorHAnsi" w:hAnsiTheme="majorHAnsi" w:cstheme="majorHAnsi"/>
                <w:lang w:val="es-ES_tradnl"/>
              </w:rPr>
              <w:t xml:space="preserve"> </w:t>
            </w:r>
            <w:r w:rsidR="00E503E0" w:rsidRPr="002A3E43">
              <w:rPr>
                <w:rFonts w:asciiTheme="majorHAnsi" w:hAnsiTheme="majorHAnsi" w:cstheme="majorHAnsi"/>
                <w:b/>
                <w:lang w:val="es-PE"/>
              </w:rPr>
              <w:t>Tabla 2</w:t>
            </w:r>
            <w:r w:rsidR="00E503E0">
              <w:rPr>
                <w:rFonts w:asciiTheme="majorHAnsi" w:hAnsiTheme="majorHAnsi" w:cstheme="majorHAnsi"/>
                <w:b/>
                <w:lang w:val="es-PE"/>
              </w:rPr>
              <w:t>.</w:t>
            </w:r>
            <w:r w:rsidR="00E503E0" w:rsidRPr="002A3E43">
              <w:rPr>
                <w:rFonts w:asciiTheme="majorHAnsi" w:hAnsiTheme="majorHAnsi" w:cstheme="majorHAnsi"/>
                <w:b/>
                <w:lang w:val="es-PE"/>
              </w:rPr>
              <w:t xml:space="preserve"> Resumen tasas no relacionadas al servicio en América Latina</w:t>
            </w:r>
          </w:p>
        </w:tc>
      </w:tr>
      <w:tr w:rsidR="00E503E0" w:rsidTr="00E503E0">
        <w:tc>
          <w:tcPr>
            <w:tcW w:w="8488" w:type="dxa"/>
          </w:tcPr>
          <w:p w:rsidR="00E503E0" w:rsidRDefault="00E52D98" w:rsidP="00E503E0">
            <w:pPr>
              <w:spacing w:before="100" w:beforeAutospacing="1" w:after="100" w:afterAutospacing="1"/>
              <w:jc w:val="center"/>
              <w:rPr>
                <w:rFonts w:asciiTheme="majorHAnsi" w:hAnsiTheme="majorHAnsi" w:cstheme="majorHAnsi"/>
              </w:rPr>
            </w:pPr>
            <w:r w:rsidRPr="00E52D98">
              <w:rPr>
                <w:rFonts w:asciiTheme="majorHAnsi" w:hAnsiTheme="majorHAnsi" w:cstheme="majorHAnsi"/>
                <w:noProof/>
              </w:rPr>
              <w:drawing>
                <wp:inline distT="0" distB="0" distL="0" distR="0" wp14:anchorId="0FE8351D" wp14:editId="59D46538">
                  <wp:extent cx="5396230" cy="2729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96230" cy="2729230"/>
                          </a:xfrm>
                          <a:prstGeom prst="rect">
                            <a:avLst/>
                          </a:prstGeom>
                          <a:noFill/>
                          <a:ln>
                            <a:noFill/>
                          </a:ln>
                        </pic:spPr>
                      </pic:pic>
                    </a:graphicData>
                  </a:graphic>
                </wp:inline>
              </w:drawing>
            </w:r>
          </w:p>
        </w:tc>
      </w:tr>
      <w:tr w:rsidR="00E503E0" w:rsidTr="00E503E0">
        <w:tc>
          <w:tcPr>
            <w:tcW w:w="8488" w:type="dxa"/>
          </w:tcPr>
          <w:p w:rsidR="00E503E0" w:rsidRPr="00E503E0" w:rsidRDefault="00E503E0" w:rsidP="006A2A29">
            <w:pPr>
              <w:jc w:val="both"/>
              <w:rPr>
                <w:rFonts w:asciiTheme="majorHAnsi" w:hAnsiTheme="majorHAnsi" w:cstheme="majorHAnsi"/>
                <w:sz w:val="18"/>
                <w:szCs w:val="18"/>
                <w:lang w:val="es-ES_tradnl"/>
              </w:rPr>
            </w:pPr>
            <w:r w:rsidRPr="003C1B37">
              <w:rPr>
                <w:rFonts w:asciiTheme="majorHAnsi" w:hAnsiTheme="majorHAnsi" w:cstheme="majorHAnsi"/>
                <w:sz w:val="18"/>
                <w:szCs w:val="18"/>
                <w:lang w:val="es-ES_tradnl"/>
              </w:rPr>
              <w:t>*</w:t>
            </w:r>
            <w:r w:rsidR="00E52D98" w:rsidRPr="003C1B37">
              <w:rPr>
                <w:rFonts w:asciiTheme="majorHAnsi" w:hAnsiTheme="majorHAnsi" w:cstheme="majorHAnsi"/>
                <w:sz w:val="18"/>
                <w:szCs w:val="18"/>
                <w:lang w:val="es-ES_tradnl"/>
              </w:rPr>
              <w:t xml:space="preserve">Para Argentina, se simularon los quintiles cruzando los gastos según la encuesta de hogares y un 37% de carga tributaria </w:t>
            </w:r>
            <w:r w:rsidR="003C1B37" w:rsidRPr="003C1B37">
              <w:rPr>
                <w:rFonts w:asciiTheme="majorHAnsi" w:hAnsiTheme="majorHAnsi" w:cstheme="majorHAnsi"/>
                <w:sz w:val="18"/>
                <w:szCs w:val="18"/>
                <w:lang w:val="es-ES_tradnl"/>
              </w:rPr>
              <w:t>encontrado por IARAF (201</w:t>
            </w:r>
            <w:r w:rsidR="003C1B37">
              <w:rPr>
                <w:rFonts w:asciiTheme="majorHAnsi" w:hAnsiTheme="majorHAnsi" w:cstheme="majorHAnsi"/>
                <w:sz w:val="18"/>
                <w:szCs w:val="18"/>
                <w:lang w:val="es-ES_tradnl"/>
              </w:rPr>
              <w:t>8</w:t>
            </w:r>
            <w:r w:rsidR="003C1B37" w:rsidRPr="003C1B37">
              <w:rPr>
                <w:rFonts w:asciiTheme="majorHAnsi" w:hAnsiTheme="majorHAnsi" w:cstheme="majorHAnsi"/>
                <w:sz w:val="18"/>
                <w:szCs w:val="18"/>
                <w:lang w:val="es-ES_tradnl"/>
              </w:rPr>
              <w:t xml:space="preserve">) </w:t>
            </w:r>
            <w:r w:rsidR="00E52D98" w:rsidRPr="003C1B37">
              <w:rPr>
                <w:rFonts w:asciiTheme="majorHAnsi" w:hAnsiTheme="majorHAnsi" w:cstheme="majorHAnsi"/>
                <w:sz w:val="18"/>
                <w:szCs w:val="18"/>
                <w:lang w:val="es-ES_tradnl"/>
              </w:rPr>
              <w:t>sobre el servicio antes de impuestos. P</w:t>
            </w:r>
            <w:r w:rsidRPr="003C1B37">
              <w:rPr>
                <w:rFonts w:asciiTheme="majorHAnsi" w:hAnsiTheme="majorHAnsi" w:cstheme="majorHAnsi"/>
                <w:sz w:val="18"/>
                <w:szCs w:val="18"/>
                <w:lang w:val="es-ES_tradnl"/>
              </w:rPr>
              <w:t>ara agua se consideró la carga del IVA para la Gran Provincia de Buenos Aires.</w:t>
            </w:r>
          </w:p>
          <w:p w:rsidR="00E503E0" w:rsidRDefault="00E503E0" w:rsidP="006A2A29">
            <w:pPr>
              <w:jc w:val="both"/>
              <w:rPr>
                <w:rFonts w:asciiTheme="majorHAnsi" w:hAnsiTheme="majorHAnsi" w:cstheme="majorHAnsi"/>
              </w:rPr>
            </w:pPr>
            <w:r w:rsidRPr="00E503E0">
              <w:rPr>
                <w:rFonts w:asciiTheme="majorHAnsi" w:hAnsiTheme="majorHAnsi" w:cstheme="majorHAnsi"/>
                <w:sz w:val="18"/>
                <w:szCs w:val="18"/>
              </w:rPr>
              <w:t>Fuente: autores.</w:t>
            </w:r>
          </w:p>
        </w:tc>
      </w:tr>
    </w:tbl>
    <w:p w:rsidR="00677D73" w:rsidRPr="009976B3" w:rsidRDefault="00677D73" w:rsidP="00A15206">
      <w:pPr>
        <w:pStyle w:val="ListParagraph"/>
        <w:numPr>
          <w:ilvl w:val="0"/>
          <w:numId w:val="1"/>
        </w:numPr>
        <w:spacing w:before="100" w:beforeAutospacing="1" w:after="100" w:afterAutospacing="1"/>
        <w:rPr>
          <w:rFonts w:asciiTheme="majorHAnsi" w:hAnsiTheme="majorHAnsi" w:cstheme="majorHAnsi"/>
          <w:b/>
          <w:sz w:val="22"/>
          <w:szCs w:val="22"/>
        </w:rPr>
      </w:pPr>
      <w:r w:rsidRPr="009976B3">
        <w:rPr>
          <w:rFonts w:asciiTheme="majorHAnsi" w:hAnsiTheme="majorHAnsi" w:cstheme="majorHAnsi"/>
          <w:b/>
          <w:sz w:val="22"/>
          <w:szCs w:val="22"/>
        </w:rPr>
        <w:t>Conclusiones</w:t>
      </w:r>
    </w:p>
    <w:p w:rsidR="000B2A8C" w:rsidRPr="002A3E43" w:rsidRDefault="000B2A8C"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lang w:val="es-ES"/>
        </w:rPr>
        <w:t xml:space="preserve">Muchos paises de América Latina y el Caribe subsidian la provisión de servicios públicos domiciliarios. Estos subsidios se suelen justificar en la necesidad de garantizar el acceso y un nivel adecuado de consumo a la población, especialmente a </w:t>
      </w:r>
      <w:r w:rsidR="003075DD">
        <w:rPr>
          <w:rFonts w:asciiTheme="majorHAnsi" w:eastAsia="Times New Roman" w:hAnsiTheme="majorHAnsi" w:cstheme="majorHAnsi"/>
          <w:noProof/>
          <w:sz w:val="22"/>
          <w:szCs w:val="22"/>
          <w:lang w:val="es-ES"/>
        </w:rPr>
        <w:t>los sectores</w:t>
      </w:r>
      <w:r w:rsidRPr="002A3E43">
        <w:rPr>
          <w:rFonts w:asciiTheme="majorHAnsi" w:eastAsia="Times New Roman" w:hAnsiTheme="majorHAnsi" w:cstheme="majorHAnsi"/>
          <w:noProof/>
          <w:sz w:val="22"/>
          <w:szCs w:val="22"/>
          <w:lang w:val="es-ES"/>
        </w:rPr>
        <w:t xml:space="preserve"> más vulnerable</w:t>
      </w:r>
      <w:r w:rsidR="003075DD">
        <w:rPr>
          <w:rFonts w:asciiTheme="majorHAnsi" w:eastAsia="Times New Roman" w:hAnsiTheme="majorHAnsi" w:cstheme="majorHAnsi"/>
          <w:noProof/>
          <w:sz w:val="22"/>
          <w:szCs w:val="22"/>
          <w:lang w:val="es-ES"/>
        </w:rPr>
        <w:t>s</w:t>
      </w:r>
      <w:r w:rsidRPr="002A3E43">
        <w:rPr>
          <w:rFonts w:asciiTheme="majorHAnsi" w:eastAsia="Times New Roman" w:hAnsiTheme="majorHAnsi" w:cstheme="majorHAnsi"/>
          <w:noProof/>
          <w:sz w:val="22"/>
          <w:szCs w:val="22"/>
          <w:lang w:val="es-ES"/>
        </w:rPr>
        <w:t xml:space="preserve">. Sin embargo, en los análisis de niveles y eficiencia de los subsidios no suele mencionarse el rol de </w:t>
      </w:r>
      <w:r w:rsidRPr="002A3E43">
        <w:rPr>
          <w:rFonts w:asciiTheme="majorHAnsi" w:eastAsia="Times New Roman" w:hAnsiTheme="majorHAnsi" w:cstheme="majorHAnsi"/>
          <w:noProof/>
          <w:sz w:val="22"/>
          <w:szCs w:val="22"/>
          <w:lang w:val="es-ES"/>
        </w:rPr>
        <w:lastRenderedPageBreak/>
        <w:t xml:space="preserve">las </w:t>
      </w:r>
      <w:r w:rsidR="00EA53B0">
        <w:rPr>
          <w:rFonts w:asciiTheme="majorHAnsi" w:eastAsia="Times New Roman" w:hAnsiTheme="majorHAnsi" w:cstheme="majorHAnsi"/>
          <w:noProof/>
          <w:sz w:val="22"/>
          <w:szCs w:val="22"/>
          <w:lang w:val="es-ES"/>
        </w:rPr>
        <w:t xml:space="preserve">diversas </w:t>
      </w:r>
      <w:r w:rsidRPr="002A3E43">
        <w:rPr>
          <w:rFonts w:asciiTheme="majorHAnsi" w:eastAsia="Times New Roman" w:hAnsiTheme="majorHAnsi" w:cstheme="majorHAnsi"/>
          <w:noProof/>
          <w:sz w:val="22"/>
          <w:szCs w:val="22"/>
          <w:lang w:val="es-ES"/>
        </w:rPr>
        <w:t xml:space="preserve">tasas que pagan los hogares </w:t>
      </w:r>
      <w:r w:rsidR="00EA53B0">
        <w:rPr>
          <w:rFonts w:asciiTheme="majorHAnsi" w:eastAsia="Times New Roman" w:hAnsiTheme="majorHAnsi" w:cstheme="majorHAnsi"/>
          <w:noProof/>
          <w:sz w:val="22"/>
          <w:szCs w:val="22"/>
          <w:lang w:val="es-ES"/>
        </w:rPr>
        <w:t>como parte de</w:t>
      </w:r>
      <w:r w:rsidRPr="002A3E43">
        <w:rPr>
          <w:rFonts w:asciiTheme="majorHAnsi" w:eastAsia="Times New Roman" w:hAnsiTheme="majorHAnsi" w:cstheme="majorHAnsi"/>
          <w:noProof/>
          <w:sz w:val="22"/>
          <w:szCs w:val="22"/>
          <w:lang w:val="es-ES"/>
        </w:rPr>
        <w:t xml:space="preserve"> la factura o cuenta de los servicios. Tampoco se analiza el componente impositivo en los informes que analizan la sostenibilidad financiera de los proveedores de servicio. Los reguladores económicos tampoco suelen evaluar el rol de los impuestos porque al no ser parte del conjunto de instrumentos regulatorios bajo su control lo toman como una variable “exógena” a su proceso decisorio. La falta de identificación, análisis y recomendaciones de política sobre la tipología, estructura y niveles de tasas que se cargan a los servicios públicos en América Latina </w:t>
      </w:r>
      <w:r w:rsidR="006A2A29" w:rsidRPr="002A3E43">
        <w:rPr>
          <w:rFonts w:asciiTheme="majorHAnsi" w:eastAsia="Times New Roman" w:hAnsiTheme="majorHAnsi" w:cstheme="majorHAnsi"/>
          <w:noProof/>
          <w:sz w:val="22"/>
          <w:szCs w:val="22"/>
          <w:lang w:val="es-ES"/>
        </w:rPr>
        <w:t xml:space="preserve">y el Caribe </w:t>
      </w:r>
      <w:r w:rsidRPr="002A3E43">
        <w:rPr>
          <w:rFonts w:asciiTheme="majorHAnsi" w:eastAsia="Times New Roman" w:hAnsiTheme="majorHAnsi" w:cstheme="majorHAnsi"/>
          <w:noProof/>
          <w:sz w:val="22"/>
          <w:szCs w:val="22"/>
          <w:lang w:val="es-ES"/>
        </w:rPr>
        <w:t>resulta llamativ</w:t>
      </w:r>
      <w:r w:rsidR="00A40F93" w:rsidRPr="002A3E43">
        <w:rPr>
          <w:rFonts w:asciiTheme="majorHAnsi" w:eastAsia="Times New Roman" w:hAnsiTheme="majorHAnsi" w:cstheme="majorHAnsi"/>
          <w:noProof/>
          <w:sz w:val="22"/>
          <w:szCs w:val="22"/>
          <w:lang w:val="es-ES"/>
        </w:rPr>
        <w:t>a</w:t>
      </w:r>
      <w:r w:rsidRPr="002A3E43">
        <w:rPr>
          <w:rFonts w:asciiTheme="majorHAnsi" w:eastAsia="Times New Roman" w:hAnsiTheme="majorHAnsi" w:cstheme="majorHAnsi"/>
          <w:noProof/>
          <w:sz w:val="22"/>
          <w:szCs w:val="22"/>
          <w:lang w:val="es-ES"/>
        </w:rPr>
        <w:t xml:space="preserve">. </w:t>
      </w:r>
    </w:p>
    <w:p w:rsidR="002B3883" w:rsidRPr="002A3E43" w:rsidRDefault="00FF61B9"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lang w:val="es-ES"/>
        </w:rPr>
        <w:t xml:space="preserve">La motivación de este documento es </w:t>
      </w:r>
      <w:r w:rsidR="00AD7550">
        <w:rPr>
          <w:rFonts w:asciiTheme="majorHAnsi" w:eastAsia="Times New Roman" w:hAnsiTheme="majorHAnsi" w:cstheme="majorHAnsi"/>
          <w:noProof/>
          <w:sz w:val="22"/>
          <w:szCs w:val="22"/>
          <w:lang w:val="es-ES"/>
        </w:rPr>
        <w:t>detallar</w:t>
      </w:r>
      <w:r w:rsidRPr="002A3E43">
        <w:rPr>
          <w:rFonts w:asciiTheme="majorHAnsi" w:eastAsia="Times New Roman" w:hAnsiTheme="majorHAnsi" w:cstheme="majorHAnsi"/>
          <w:noProof/>
          <w:sz w:val="22"/>
          <w:szCs w:val="22"/>
          <w:lang w:val="es-ES"/>
        </w:rPr>
        <w:t xml:space="preserve"> y analizar </w:t>
      </w:r>
      <w:r w:rsidR="00427144">
        <w:rPr>
          <w:rFonts w:asciiTheme="majorHAnsi" w:eastAsia="Times New Roman" w:hAnsiTheme="majorHAnsi" w:cstheme="majorHAnsi"/>
          <w:noProof/>
          <w:sz w:val="22"/>
          <w:szCs w:val="22"/>
          <w:lang w:val="es-ES"/>
        </w:rPr>
        <w:t xml:space="preserve">los </w:t>
      </w:r>
      <w:r w:rsidR="002B3883" w:rsidRPr="002A3E43">
        <w:rPr>
          <w:rFonts w:asciiTheme="majorHAnsi" w:eastAsia="Times New Roman" w:hAnsiTheme="majorHAnsi" w:cstheme="majorHAnsi"/>
          <w:noProof/>
          <w:sz w:val="22"/>
          <w:szCs w:val="22"/>
          <w:lang w:val="es-ES"/>
        </w:rPr>
        <w:t xml:space="preserve">diferentes tipos de tasas sobre los servicios públicos domiciliarios en América Latina y el Caribe, </w:t>
      </w:r>
      <w:r w:rsidRPr="002A3E43">
        <w:rPr>
          <w:rFonts w:asciiTheme="majorHAnsi" w:eastAsia="Times New Roman" w:hAnsiTheme="majorHAnsi" w:cstheme="majorHAnsi"/>
          <w:noProof/>
          <w:sz w:val="22"/>
          <w:szCs w:val="22"/>
          <w:lang w:val="es-ES"/>
        </w:rPr>
        <w:t>brindando</w:t>
      </w:r>
      <w:r w:rsidR="00456590">
        <w:rPr>
          <w:rFonts w:asciiTheme="majorHAnsi" w:eastAsia="Times New Roman" w:hAnsiTheme="majorHAnsi" w:cstheme="majorHAnsi"/>
          <w:noProof/>
          <w:sz w:val="22"/>
          <w:szCs w:val="22"/>
          <w:lang w:val="es-ES"/>
        </w:rPr>
        <w:t xml:space="preserve"> </w:t>
      </w:r>
      <w:r w:rsidR="002B3883" w:rsidRPr="002A3E43">
        <w:rPr>
          <w:rFonts w:asciiTheme="majorHAnsi" w:eastAsia="Times New Roman" w:hAnsiTheme="majorHAnsi" w:cstheme="majorHAnsi"/>
          <w:noProof/>
          <w:sz w:val="22"/>
          <w:szCs w:val="22"/>
          <w:lang w:val="es-ES"/>
        </w:rPr>
        <w:t xml:space="preserve">especial atención a </w:t>
      </w:r>
      <w:r w:rsidRPr="002A3E43">
        <w:rPr>
          <w:rFonts w:asciiTheme="majorHAnsi" w:eastAsia="Times New Roman" w:hAnsiTheme="majorHAnsi" w:cstheme="majorHAnsi"/>
          <w:noProof/>
          <w:sz w:val="22"/>
          <w:szCs w:val="22"/>
          <w:lang w:val="es-ES"/>
        </w:rPr>
        <w:t xml:space="preserve">cómo </w:t>
      </w:r>
      <w:r w:rsidR="002B3883" w:rsidRPr="002A3E43">
        <w:rPr>
          <w:rFonts w:asciiTheme="majorHAnsi" w:eastAsia="Times New Roman" w:hAnsiTheme="majorHAnsi" w:cstheme="majorHAnsi"/>
          <w:noProof/>
          <w:sz w:val="22"/>
          <w:szCs w:val="22"/>
          <w:lang w:val="es-ES"/>
        </w:rPr>
        <w:t>afectan a</w:t>
      </w:r>
      <w:r w:rsidRPr="002A3E43">
        <w:rPr>
          <w:rFonts w:asciiTheme="majorHAnsi" w:eastAsia="Times New Roman" w:hAnsiTheme="majorHAnsi" w:cstheme="majorHAnsi"/>
          <w:noProof/>
          <w:sz w:val="22"/>
          <w:szCs w:val="22"/>
          <w:lang w:val="es-ES"/>
        </w:rPr>
        <w:t xml:space="preserve"> la estructura de precios</w:t>
      </w:r>
      <w:r w:rsidR="00456590">
        <w:rPr>
          <w:rFonts w:asciiTheme="majorHAnsi" w:eastAsia="Times New Roman" w:hAnsiTheme="majorHAnsi" w:cstheme="majorHAnsi"/>
          <w:noProof/>
          <w:sz w:val="22"/>
          <w:szCs w:val="22"/>
          <w:lang w:val="es-ES"/>
        </w:rPr>
        <w:t xml:space="preserve"> </w:t>
      </w:r>
      <w:r w:rsidR="002B3883" w:rsidRPr="002A3E43">
        <w:rPr>
          <w:rFonts w:asciiTheme="majorHAnsi" w:eastAsia="Times New Roman" w:hAnsiTheme="majorHAnsi" w:cstheme="majorHAnsi"/>
          <w:noProof/>
          <w:sz w:val="22"/>
          <w:szCs w:val="22"/>
          <w:lang w:val="es-ES"/>
        </w:rPr>
        <w:t xml:space="preserve">de estos servicios y, por tanto, al gasto de los hogares en las partidas correspondientes a agua y electricidad. </w:t>
      </w:r>
      <w:r w:rsidRPr="002A3E43">
        <w:rPr>
          <w:rFonts w:asciiTheme="majorHAnsi" w:eastAsia="Times New Roman" w:hAnsiTheme="majorHAnsi" w:cstheme="majorHAnsi"/>
          <w:noProof/>
          <w:sz w:val="22"/>
          <w:szCs w:val="22"/>
          <w:lang w:val="es-ES"/>
        </w:rPr>
        <w:t xml:space="preserve">La muestra de paises es limitada y su elección se debió </w:t>
      </w:r>
      <w:r w:rsidR="0016301C">
        <w:rPr>
          <w:rFonts w:asciiTheme="majorHAnsi" w:eastAsia="Times New Roman" w:hAnsiTheme="majorHAnsi" w:cstheme="majorHAnsi"/>
          <w:noProof/>
          <w:sz w:val="22"/>
          <w:szCs w:val="22"/>
          <w:lang w:val="es-ES"/>
        </w:rPr>
        <w:t xml:space="preserve">principalmente a la disponibilidad de </w:t>
      </w:r>
      <w:r w:rsidRPr="002A3E43">
        <w:rPr>
          <w:rFonts w:asciiTheme="majorHAnsi" w:eastAsia="Times New Roman" w:hAnsiTheme="majorHAnsi" w:cstheme="majorHAnsi"/>
          <w:noProof/>
          <w:sz w:val="22"/>
          <w:szCs w:val="22"/>
          <w:lang w:val="es-ES"/>
        </w:rPr>
        <w:t>datos. La intención del trabajo es gener</w:t>
      </w:r>
      <w:r w:rsidR="00BB0E8E">
        <w:rPr>
          <w:rFonts w:asciiTheme="majorHAnsi" w:eastAsia="Times New Roman" w:hAnsiTheme="majorHAnsi" w:cstheme="majorHAnsi"/>
          <w:noProof/>
          <w:sz w:val="22"/>
          <w:szCs w:val="22"/>
          <w:lang w:val="es-ES"/>
        </w:rPr>
        <w:t>ar</w:t>
      </w:r>
      <w:r w:rsidRPr="002A3E43">
        <w:rPr>
          <w:rFonts w:asciiTheme="majorHAnsi" w:eastAsia="Times New Roman" w:hAnsiTheme="majorHAnsi" w:cstheme="majorHAnsi"/>
          <w:noProof/>
          <w:sz w:val="22"/>
          <w:szCs w:val="22"/>
          <w:lang w:val="es-ES"/>
        </w:rPr>
        <w:t xml:space="preserve"> interés para la realización de trabajos con mayor cobertura geográfica y profundidad en el análisis.</w:t>
      </w:r>
    </w:p>
    <w:p w:rsidR="00750226" w:rsidRPr="002A3E43" w:rsidRDefault="00750226"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lang w:val="es-ES"/>
        </w:rPr>
        <w:t>Los servicios públicos domiciliarios suelen ser objeto de instrumento recaudatorio por diversos motivos: (i) facilidad en su recaudación (al identificarse el sujeto impositivo -el hogar- y no ser posible su evasión física que permite cancelar el servicio a bajo coste en caso de falta de pago); (ii) son impuestos eficientes (al ser servicios con muy baja elasticidad precio, la teoría económica indica que los impuestos deben ser elevados porque no generan distorsiones entre la oferta y la demanda) y (iii) pueden corregir externalidades negativas (desalentando el consumo de servicios que generan externalidades negativas como puede ser la generación de electricidad con una matriz energética intensiva en carbón)</w:t>
      </w:r>
      <w:r w:rsidR="00A5740B" w:rsidRPr="002A3E43">
        <w:rPr>
          <w:rFonts w:asciiTheme="majorHAnsi" w:eastAsia="Times New Roman" w:hAnsiTheme="majorHAnsi" w:cstheme="majorHAnsi"/>
          <w:noProof/>
          <w:sz w:val="22"/>
          <w:szCs w:val="22"/>
          <w:lang w:val="es-ES"/>
        </w:rPr>
        <w:t>. También pueden constituir un detrimento al consumo de servicios con externalidades positivas (agua potable en el hogar) y generar fuertes desigualdades cuando su implementación implique que las tasas que paguen los hogares de menores ingresos sean proporcionalmente más altas en el total de la cuenta que la de los hogares de mayores ingresos.</w:t>
      </w:r>
    </w:p>
    <w:p w:rsidR="00A5740B" w:rsidRPr="002A3E43" w:rsidRDefault="00A5740B"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lang w:val="es-ES"/>
        </w:rPr>
        <w:t>La evidencia que se presenta en este documento muestra una gran heterogeneidad de tasas. El tipo de instrumento varía y también su nivel. La experiencia europea muestra que el porcentaje total que representan los impuestos sobre los servicios domiciliarios no son significativamente menores en esta región que en América Latina</w:t>
      </w:r>
      <w:r w:rsidR="006A2A29">
        <w:rPr>
          <w:rFonts w:asciiTheme="majorHAnsi" w:eastAsia="Times New Roman" w:hAnsiTheme="majorHAnsi" w:cstheme="majorHAnsi"/>
          <w:noProof/>
          <w:sz w:val="22"/>
          <w:szCs w:val="22"/>
          <w:lang w:val="es-ES"/>
        </w:rPr>
        <w:t xml:space="preserve"> y el Caribe</w:t>
      </w:r>
      <w:r w:rsidRPr="002A3E43">
        <w:rPr>
          <w:rFonts w:asciiTheme="majorHAnsi" w:eastAsia="Times New Roman" w:hAnsiTheme="majorHAnsi" w:cstheme="majorHAnsi"/>
          <w:noProof/>
          <w:sz w:val="22"/>
          <w:szCs w:val="22"/>
          <w:lang w:val="es-ES"/>
        </w:rPr>
        <w:t>.</w:t>
      </w:r>
    </w:p>
    <w:p w:rsidR="002B3883" w:rsidRPr="002A3E43" w:rsidRDefault="00A5740B"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lang w:val="es-ES"/>
        </w:rPr>
        <w:t xml:space="preserve">El trabajo ha identificado la presencia de tasas a los servicios domiciliarios que no se relacionan con la prestación de estos servicios. Ejemplos son </w:t>
      </w:r>
      <w:r w:rsidR="002D759B" w:rsidRPr="002A3E43">
        <w:rPr>
          <w:rFonts w:asciiTheme="majorHAnsi" w:eastAsia="Times New Roman" w:hAnsiTheme="majorHAnsi" w:cstheme="majorHAnsi"/>
          <w:noProof/>
          <w:sz w:val="22"/>
          <w:szCs w:val="22"/>
          <w:lang w:val="es-ES"/>
        </w:rPr>
        <w:t xml:space="preserve">las tasas para financiar </w:t>
      </w:r>
      <w:r w:rsidR="002B3883" w:rsidRPr="002A3E43">
        <w:rPr>
          <w:rFonts w:asciiTheme="majorHAnsi" w:eastAsia="Times New Roman" w:hAnsiTheme="majorHAnsi" w:cstheme="majorHAnsi"/>
          <w:noProof/>
          <w:sz w:val="22"/>
          <w:szCs w:val="22"/>
          <w:lang w:val="es-ES"/>
        </w:rPr>
        <w:t xml:space="preserve">servicios de bomberos o recolección de residuos. </w:t>
      </w:r>
      <w:r w:rsidR="00E62EF2" w:rsidRPr="002A3E43">
        <w:rPr>
          <w:rFonts w:asciiTheme="majorHAnsi" w:eastAsia="Times New Roman" w:hAnsiTheme="majorHAnsi" w:cstheme="majorHAnsi"/>
          <w:noProof/>
          <w:sz w:val="22"/>
          <w:szCs w:val="22"/>
          <w:lang w:val="es-ES"/>
        </w:rPr>
        <w:t xml:space="preserve">Estas tasas se imponen por su facilidad de cobro pero pueden generar importantes distorsiones y dificultar la economía política de la sostenibilidad financiera de las empresas proveedoras de los servicios. </w:t>
      </w:r>
      <w:r w:rsidR="002B3883" w:rsidRPr="002A3E43">
        <w:rPr>
          <w:rFonts w:asciiTheme="majorHAnsi" w:eastAsia="Times New Roman" w:hAnsiTheme="majorHAnsi" w:cstheme="majorHAnsi"/>
          <w:noProof/>
          <w:sz w:val="22"/>
          <w:szCs w:val="22"/>
          <w:lang w:val="es-ES"/>
        </w:rPr>
        <w:t xml:space="preserve">Especialmente relevante es el modo en que dichas tasas alteran aspectos distributivos o de control de externalidades que son consideradas en políticas tarifarias y que pueden ver alterada su efectividad. </w:t>
      </w:r>
      <w:r w:rsidR="00E62EF2" w:rsidRPr="002A3E43">
        <w:rPr>
          <w:rFonts w:asciiTheme="majorHAnsi" w:eastAsia="Times New Roman" w:hAnsiTheme="majorHAnsi" w:cstheme="majorHAnsi"/>
          <w:noProof/>
          <w:sz w:val="22"/>
          <w:szCs w:val="22"/>
          <w:lang w:val="es-ES"/>
        </w:rPr>
        <w:t>P</w:t>
      </w:r>
      <w:r w:rsidR="002B3883" w:rsidRPr="002A3E43">
        <w:rPr>
          <w:rFonts w:asciiTheme="majorHAnsi" w:eastAsia="Times New Roman" w:hAnsiTheme="majorHAnsi" w:cstheme="majorHAnsi"/>
          <w:noProof/>
          <w:sz w:val="22"/>
          <w:szCs w:val="22"/>
          <w:lang w:val="es-ES"/>
        </w:rPr>
        <w:t xml:space="preserve">or ejemplo ante una estructura de tarifas progresiva, una tasa fija puede acabar con el principio de progresividad y provocar una mayor incidencia en usuarios con menos recursos. Los datos analizados muestran cómo las </w:t>
      </w:r>
      <w:r w:rsidR="002B3883" w:rsidRPr="002A3E43">
        <w:rPr>
          <w:rFonts w:asciiTheme="majorHAnsi" w:hAnsiTheme="majorHAnsi" w:cstheme="majorHAnsi"/>
          <w:sz w:val="22"/>
          <w:szCs w:val="22"/>
        </w:rPr>
        <w:t xml:space="preserve">tasas no relacionadas al </w:t>
      </w:r>
      <w:r w:rsidR="00E62EF2" w:rsidRPr="002A3E43">
        <w:rPr>
          <w:rFonts w:asciiTheme="majorHAnsi" w:hAnsiTheme="majorHAnsi" w:cstheme="majorHAnsi"/>
          <w:sz w:val="22"/>
          <w:szCs w:val="22"/>
        </w:rPr>
        <w:t>servicio,</w:t>
      </w:r>
      <w:r w:rsidR="002B3883" w:rsidRPr="002A3E43">
        <w:rPr>
          <w:rFonts w:asciiTheme="majorHAnsi" w:hAnsiTheme="majorHAnsi" w:cstheme="majorHAnsi"/>
          <w:sz w:val="22"/>
          <w:szCs w:val="22"/>
        </w:rPr>
        <w:t xml:space="preserve"> pero incluidas en las facturas de electricidad y agua</w:t>
      </w:r>
      <w:r w:rsidR="00E62EF2" w:rsidRPr="002A3E43">
        <w:rPr>
          <w:rFonts w:asciiTheme="majorHAnsi" w:hAnsiTheme="majorHAnsi" w:cstheme="majorHAnsi"/>
          <w:sz w:val="22"/>
          <w:szCs w:val="22"/>
        </w:rPr>
        <w:t>,</w:t>
      </w:r>
      <w:r w:rsidR="002B3883" w:rsidRPr="002A3E43">
        <w:rPr>
          <w:rFonts w:asciiTheme="majorHAnsi" w:hAnsiTheme="majorHAnsi" w:cstheme="majorHAnsi"/>
          <w:sz w:val="22"/>
          <w:szCs w:val="22"/>
        </w:rPr>
        <w:t xml:space="preserve"> </w:t>
      </w:r>
      <w:r w:rsidR="00F334CC">
        <w:rPr>
          <w:rFonts w:asciiTheme="majorHAnsi" w:hAnsiTheme="majorHAnsi" w:cstheme="majorHAnsi"/>
          <w:sz w:val="22"/>
          <w:szCs w:val="22"/>
        </w:rPr>
        <w:t>pueden tener</w:t>
      </w:r>
      <w:r w:rsidR="002B3883" w:rsidRPr="002A3E43">
        <w:rPr>
          <w:rFonts w:asciiTheme="majorHAnsi" w:hAnsiTheme="majorHAnsi" w:cstheme="majorHAnsi"/>
          <w:sz w:val="22"/>
          <w:szCs w:val="22"/>
        </w:rPr>
        <w:t xml:space="preserve"> un impacto regresivo en </w:t>
      </w:r>
      <w:r w:rsidR="00E44766" w:rsidRPr="002A3E43">
        <w:rPr>
          <w:rFonts w:asciiTheme="majorHAnsi" w:hAnsiTheme="majorHAnsi" w:cstheme="majorHAnsi"/>
          <w:sz w:val="22"/>
          <w:szCs w:val="22"/>
        </w:rPr>
        <w:t>economías latinoamericanas como Ecuador o Argentina</w:t>
      </w:r>
      <w:r w:rsidR="002B3883" w:rsidRPr="002A3E43">
        <w:rPr>
          <w:rFonts w:asciiTheme="majorHAnsi" w:hAnsiTheme="majorHAnsi" w:cstheme="majorHAnsi"/>
          <w:sz w:val="22"/>
          <w:szCs w:val="22"/>
        </w:rPr>
        <w:t>.</w:t>
      </w:r>
    </w:p>
    <w:p w:rsidR="00AA3C65" w:rsidRPr="00EF3015" w:rsidRDefault="00E62EF2" w:rsidP="00A15206">
      <w:pPr>
        <w:spacing w:before="100" w:beforeAutospacing="1" w:after="100" w:afterAutospacing="1"/>
        <w:jc w:val="both"/>
        <w:rPr>
          <w:rFonts w:asciiTheme="majorHAnsi" w:eastAsia="Times New Roman" w:hAnsiTheme="majorHAnsi" w:cstheme="majorHAnsi"/>
          <w:noProof/>
          <w:sz w:val="22"/>
          <w:szCs w:val="22"/>
          <w:lang w:val="es-ES"/>
        </w:rPr>
      </w:pPr>
      <w:r w:rsidRPr="002A3E43">
        <w:rPr>
          <w:rFonts w:asciiTheme="majorHAnsi" w:eastAsia="Times New Roman" w:hAnsiTheme="majorHAnsi" w:cstheme="majorHAnsi"/>
          <w:noProof/>
          <w:sz w:val="22"/>
          <w:szCs w:val="22"/>
        </w:rPr>
        <w:t>U</w:t>
      </w:r>
      <w:r w:rsidR="002B3883" w:rsidRPr="002A3E43">
        <w:rPr>
          <w:rFonts w:asciiTheme="majorHAnsi" w:eastAsia="Times New Roman" w:hAnsiTheme="majorHAnsi" w:cstheme="majorHAnsi"/>
          <w:noProof/>
          <w:sz w:val="22"/>
          <w:szCs w:val="22"/>
        </w:rPr>
        <w:t xml:space="preserve">na diferencia crucial entre las economías latinoamericanas y europeas analizadas </w:t>
      </w:r>
      <w:r w:rsidRPr="002A3E43">
        <w:rPr>
          <w:rFonts w:asciiTheme="majorHAnsi" w:eastAsia="Times New Roman" w:hAnsiTheme="majorHAnsi" w:cstheme="majorHAnsi"/>
          <w:noProof/>
          <w:sz w:val="22"/>
          <w:szCs w:val="22"/>
        </w:rPr>
        <w:t xml:space="preserve">es </w:t>
      </w:r>
      <w:r w:rsidR="002B3883" w:rsidRPr="002A3E43">
        <w:rPr>
          <w:rFonts w:asciiTheme="majorHAnsi" w:eastAsia="Times New Roman" w:hAnsiTheme="majorHAnsi" w:cstheme="majorHAnsi"/>
          <w:noProof/>
          <w:sz w:val="22"/>
          <w:szCs w:val="22"/>
        </w:rPr>
        <w:t>la manera en que los diferentes países motivan, justifican, explicitan, y transparentan estas tasas. Por ejemplo, en los casos analizados de Argentina y Ecuador, el elevado grado de heterogenidad y discrecionalidad, junto</w:t>
      </w:r>
      <w:r w:rsidR="00423A13" w:rsidRPr="002A3E43">
        <w:rPr>
          <w:rFonts w:asciiTheme="majorHAnsi" w:eastAsia="Times New Roman" w:hAnsiTheme="majorHAnsi" w:cstheme="majorHAnsi"/>
          <w:noProof/>
          <w:sz w:val="22"/>
          <w:szCs w:val="22"/>
        </w:rPr>
        <w:t xml:space="preserve"> a</w:t>
      </w:r>
      <w:r w:rsidR="002B3883" w:rsidRPr="002A3E43">
        <w:rPr>
          <w:rFonts w:asciiTheme="majorHAnsi" w:eastAsia="Times New Roman" w:hAnsiTheme="majorHAnsi" w:cstheme="majorHAnsi"/>
          <w:noProof/>
          <w:sz w:val="22"/>
          <w:szCs w:val="22"/>
        </w:rPr>
        <w:t xml:space="preserve"> la explicitación y transparencia </w:t>
      </w:r>
      <w:r w:rsidR="00423A13" w:rsidRPr="002A3E43">
        <w:rPr>
          <w:rFonts w:asciiTheme="majorHAnsi" w:eastAsia="Times New Roman" w:hAnsiTheme="majorHAnsi" w:cstheme="majorHAnsi"/>
          <w:noProof/>
          <w:sz w:val="22"/>
          <w:szCs w:val="22"/>
        </w:rPr>
        <w:t>in</w:t>
      </w:r>
      <w:r w:rsidR="002B3883" w:rsidRPr="002A3E43">
        <w:rPr>
          <w:rFonts w:asciiTheme="majorHAnsi" w:eastAsia="Times New Roman" w:hAnsiTheme="majorHAnsi" w:cstheme="majorHAnsi"/>
          <w:noProof/>
          <w:sz w:val="22"/>
          <w:szCs w:val="22"/>
        </w:rPr>
        <w:t>suficiente</w:t>
      </w:r>
      <w:r w:rsidR="00423A13" w:rsidRPr="002A3E43">
        <w:rPr>
          <w:rFonts w:asciiTheme="majorHAnsi" w:eastAsia="Times New Roman" w:hAnsiTheme="majorHAnsi" w:cstheme="majorHAnsi"/>
          <w:noProof/>
          <w:sz w:val="22"/>
          <w:szCs w:val="22"/>
        </w:rPr>
        <w:t>s</w:t>
      </w:r>
      <w:r w:rsidR="002B3883" w:rsidRPr="002A3E43">
        <w:rPr>
          <w:rFonts w:asciiTheme="majorHAnsi" w:eastAsia="Times New Roman" w:hAnsiTheme="majorHAnsi" w:cstheme="majorHAnsi"/>
          <w:noProof/>
          <w:sz w:val="22"/>
          <w:szCs w:val="22"/>
        </w:rPr>
        <w:t xml:space="preserve">, han </w:t>
      </w:r>
      <w:r w:rsidR="00A447F0" w:rsidRPr="002A3E43">
        <w:rPr>
          <w:rFonts w:asciiTheme="majorHAnsi" w:eastAsia="Times New Roman" w:hAnsiTheme="majorHAnsi" w:cstheme="majorHAnsi"/>
          <w:noProof/>
          <w:sz w:val="22"/>
          <w:szCs w:val="22"/>
        </w:rPr>
        <w:t>originado profundos debates</w:t>
      </w:r>
      <w:r w:rsidR="002B3883" w:rsidRPr="002A3E43">
        <w:rPr>
          <w:rFonts w:asciiTheme="majorHAnsi" w:eastAsia="Times New Roman" w:hAnsiTheme="majorHAnsi" w:cstheme="majorHAnsi"/>
          <w:noProof/>
          <w:sz w:val="22"/>
          <w:szCs w:val="22"/>
        </w:rPr>
        <w:t xml:space="preserve"> en dichos países en tiempos recientes. La falta de con</w:t>
      </w:r>
      <w:r w:rsidR="00DB6287" w:rsidRPr="002A3E43">
        <w:rPr>
          <w:rFonts w:asciiTheme="majorHAnsi" w:eastAsia="Times New Roman" w:hAnsiTheme="majorHAnsi" w:cstheme="majorHAnsi"/>
          <w:noProof/>
          <w:sz w:val="22"/>
          <w:szCs w:val="22"/>
        </w:rPr>
        <w:t>s</w:t>
      </w:r>
      <w:r w:rsidR="002B3883" w:rsidRPr="002A3E43">
        <w:rPr>
          <w:rFonts w:asciiTheme="majorHAnsi" w:eastAsia="Times New Roman" w:hAnsiTheme="majorHAnsi" w:cstheme="majorHAnsi"/>
          <w:noProof/>
          <w:sz w:val="22"/>
          <w:szCs w:val="22"/>
        </w:rPr>
        <w:t>enso – tanto teóric</w:t>
      </w:r>
      <w:r w:rsidR="004E2261">
        <w:rPr>
          <w:rFonts w:asciiTheme="majorHAnsi" w:eastAsia="Times New Roman" w:hAnsiTheme="majorHAnsi" w:cstheme="majorHAnsi"/>
          <w:noProof/>
          <w:sz w:val="22"/>
          <w:szCs w:val="22"/>
        </w:rPr>
        <w:t>o</w:t>
      </w:r>
      <w:r w:rsidR="002B3883" w:rsidRPr="002A3E43">
        <w:rPr>
          <w:rFonts w:asciiTheme="majorHAnsi" w:eastAsia="Times New Roman" w:hAnsiTheme="majorHAnsi" w:cstheme="majorHAnsi"/>
          <w:noProof/>
          <w:sz w:val="22"/>
          <w:szCs w:val="22"/>
        </w:rPr>
        <w:t xml:space="preserve">, atendiendo </w:t>
      </w:r>
      <w:r w:rsidR="002B3883" w:rsidRPr="002A3E43">
        <w:rPr>
          <w:rFonts w:asciiTheme="majorHAnsi" w:eastAsia="Times New Roman" w:hAnsiTheme="majorHAnsi" w:cstheme="majorHAnsi"/>
          <w:noProof/>
          <w:sz w:val="22"/>
          <w:szCs w:val="22"/>
        </w:rPr>
        <w:lastRenderedPageBreak/>
        <w:t>a la literatura especializada, como práctic</w:t>
      </w:r>
      <w:r w:rsidR="004E2261">
        <w:rPr>
          <w:rFonts w:asciiTheme="majorHAnsi" w:eastAsia="Times New Roman" w:hAnsiTheme="majorHAnsi" w:cstheme="majorHAnsi"/>
          <w:noProof/>
          <w:sz w:val="22"/>
          <w:szCs w:val="22"/>
        </w:rPr>
        <w:t>o</w:t>
      </w:r>
      <w:r w:rsidR="002B3883" w:rsidRPr="002A3E43">
        <w:rPr>
          <w:rFonts w:asciiTheme="majorHAnsi" w:eastAsia="Times New Roman" w:hAnsiTheme="majorHAnsi" w:cstheme="majorHAnsi"/>
          <w:noProof/>
          <w:sz w:val="22"/>
          <w:szCs w:val="22"/>
        </w:rPr>
        <w:t>, atendiendo a las experiencias tan diferentes entre economías avanzadas – en cuanto a la existencia, niveles y estructura de estos arbitrios, genera la necesidad de aportar la mayor transparencia y claridad</w:t>
      </w:r>
      <w:r w:rsidR="00423A13" w:rsidRPr="002A3E43">
        <w:rPr>
          <w:rFonts w:asciiTheme="majorHAnsi" w:eastAsia="Times New Roman" w:hAnsiTheme="majorHAnsi" w:cstheme="majorHAnsi"/>
          <w:noProof/>
          <w:sz w:val="22"/>
          <w:szCs w:val="22"/>
        </w:rPr>
        <w:t xml:space="preserve"> posible</w:t>
      </w:r>
      <w:r w:rsidR="002B3883" w:rsidRPr="002A3E43">
        <w:rPr>
          <w:rFonts w:asciiTheme="majorHAnsi" w:eastAsia="Times New Roman" w:hAnsiTheme="majorHAnsi" w:cstheme="majorHAnsi"/>
          <w:noProof/>
          <w:sz w:val="22"/>
          <w:szCs w:val="22"/>
        </w:rPr>
        <w:t xml:space="preserve"> sobre </w:t>
      </w:r>
      <w:r w:rsidR="00DB6287" w:rsidRPr="002A3E43">
        <w:rPr>
          <w:rFonts w:asciiTheme="majorHAnsi" w:eastAsia="Times New Roman" w:hAnsiTheme="majorHAnsi" w:cstheme="majorHAnsi"/>
          <w:noProof/>
          <w:sz w:val="22"/>
          <w:szCs w:val="22"/>
        </w:rPr>
        <w:t>las tasas a los servicios públicos domiciliarios. Es necesario resaltar que</w:t>
      </w:r>
      <w:r w:rsidR="00456590">
        <w:rPr>
          <w:rFonts w:asciiTheme="majorHAnsi" w:eastAsia="Times New Roman" w:hAnsiTheme="majorHAnsi" w:cstheme="majorHAnsi"/>
          <w:noProof/>
          <w:sz w:val="22"/>
          <w:szCs w:val="22"/>
        </w:rPr>
        <w:t xml:space="preserve"> </w:t>
      </w:r>
      <w:r w:rsidRPr="002A3E43">
        <w:rPr>
          <w:rFonts w:asciiTheme="majorHAnsi" w:eastAsia="Times New Roman" w:hAnsiTheme="majorHAnsi" w:cstheme="majorHAnsi"/>
          <w:noProof/>
          <w:sz w:val="22"/>
          <w:szCs w:val="22"/>
          <w:lang w:val="es-ES"/>
        </w:rPr>
        <w:t>no existe una fórmula cuantitativa</w:t>
      </w:r>
      <w:r w:rsidR="00DB6287" w:rsidRPr="002A3E43">
        <w:rPr>
          <w:rFonts w:asciiTheme="majorHAnsi" w:eastAsia="Times New Roman" w:hAnsiTheme="majorHAnsi" w:cstheme="majorHAnsi"/>
          <w:noProof/>
          <w:sz w:val="22"/>
          <w:szCs w:val="22"/>
          <w:lang w:val="es-ES"/>
        </w:rPr>
        <w:t xml:space="preserve"> que implique una estructura óptima impositiva</w:t>
      </w:r>
      <w:r w:rsidRPr="002A3E43">
        <w:rPr>
          <w:rFonts w:asciiTheme="majorHAnsi" w:eastAsia="Times New Roman" w:hAnsiTheme="majorHAnsi" w:cstheme="majorHAnsi"/>
          <w:noProof/>
          <w:sz w:val="22"/>
          <w:szCs w:val="22"/>
          <w:lang w:val="es-ES"/>
        </w:rPr>
        <w:t xml:space="preserve"> única para todos los países </w:t>
      </w:r>
      <w:r w:rsidR="00DB6287" w:rsidRPr="002A3E43">
        <w:rPr>
          <w:rFonts w:asciiTheme="majorHAnsi" w:eastAsia="Times New Roman" w:hAnsiTheme="majorHAnsi" w:cstheme="majorHAnsi"/>
          <w:noProof/>
          <w:sz w:val="22"/>
          <w:szCs w:val="22"/>
          <w:lang w:val="es-ES"/>
        </w:rPr>
        <w:t xml:space="preserve">y servicios </w:t>
      </w:r>
      <w:r w:rsidRPr="002A3E43">
        <w:rPr>
          <w:rFonts w:asciiTheme="majorHAnsi" w:eastAsia="Times New Roman" w:hAnsiTheme="majorHAnsi" w:cstheme="majorHAnsi"/>
          <w:noProof/>
          <w:sz w:val="22"/>
          <w:szCs w:val="22"/>
          <w:lang w:val="es-ES"/>
        </w:rPr>
        <w:t>porque la naturaleza de las restricciones y de los parámetros exige una análisis caso por caso, es decir que cuán alejados están los impuestos observados de los óptimos no se resuelve sin referencia a estas especificidades, y la simple observación o benchmarking de impuestos puede resultar no ser un estadístico suficiente para determinar qué países están mejor que otros</w:t>
      </w:r>
      <w:r w:rsidR="00DB6287" w:rsidRPr="002A3E43">
        <w:rPr>
          <w:rFonts w:asciiTheme="majorHAnsi" w:eastAsia="Times New Roman" w:hAnsiTheme="majorHAnsi" w:cstheme="majorHAnsi"/>
          <w:noProof/>
          <w:sz w:val="22"/>
          <w:szCs w:val="22"/>
          <w:lang w:val="es-ES"/>
        </w:rPr>
        <w:t>. Tal vez el mensaje más simple de esta nota sea</w:t>
      </w:r>
      <w:r w:rsidR="00EF3015">
        <w:rPr>
          <w:rFonts w:asciiTheme="majorHAnsi" w:eastAsia="Times New Roman" w:hAnsiTheme="majorHAnsi" w:cstheme="majorHAnsi"/>
          <w:noProof/>
          <w:sz w:val="22"/>
          <w:szCs w:val="22"/>
          <w:lang w:val="es-ES"/>
        </w:rPr>
        <w:t xml:space="preserve"> se</w:t>
      </w:r>
      <w:r w:rsidR="00EF3015" w:rsidRPr="002A3E43">
        <w:rPr>
          <w:rFonts w:asciiTheme="majorHAnsi" w:hAnsiTheme="majorHAnsi" w:cstheme="majorHAnsi"/>
          <w:sz w:val="22"/>
          <w:szCs w:val="22"/>
        </w:rPr>
        <w:t>ñ</w:t>
      </w:r>
      <w:r w:rsidR="00EF3015">
        <w:rPr>
          <w:rFonts w:asciiTheme="majorHAnsi" w:eastAsia="Times New Roman" w:hAnsiTheme="majorHAnsi" w:cstheme="majorHAnsi"/>
          <w:noProof/>
          <w:sz w:val="22"/>
          <w:szCs w:val="22"/>
          <w:lang w:val="es-ES"/>
        </w:rPr>
        <w:t>alar</w:t>
      </w:r>
      <w:r w:rsidR="00DB6287" w:rsidRPr="002A3E43">
        <w:rPr>
          <w:rFonts w:asciiTheme="majorHAnsi" w:eastAsia="Times New Roman" w:hAnsiTheme="majorHAnsi" w:cstheme="majorHAnsi"/>
          <w:noProof/>
          <w:sz w:val="22"/>
          <w:szCs w:val="22"/>
          <w:lang w:val="es-ES"/>
        </w:rPr>
        <w:t xml:space="preserve"> </w:t>
      </w:r>
      <w:r w:rsidR="00EF3015">
        <w:rPr>
          <w:rFonts w:asciiTheme="majorHAnsi" w:eastAsia="Times New Roman" w:hAnsiTheme="majorHAnsi" w:cstheme="majorHAnsi"/>
          <w:noProof/>
          <w:sz w:val="22"/>
          <w:szCs w:val="22"/>
          <w:lang w:val="es-ES"/>
        </w:rPr>
        <w:t>la</w:t>
      </w:r>
      <w:r w:rsidR="00DB6287" w:rsidRPr="002A3E43">
        <w:rPr>
          <w:rFonts w:asciiTheme="majorHAnsi" w:eastAsia="Times New Roman" w:hAnsiTheme="majorHAnsi" w:cstheme="majorHAnsi"/>
          <w:noProof/>
          <w:sz w:val="22"/>
          <w:szCs w:val="22"/>
          <w:lang w:val="es-ES"/>
        </w:rPr>
        <w:t xml:space="preserve"> alarmante falta de información sobre las tasas de los servicios domiciliarios en América Latina</w:t>
      </w:r>
      <w:r w:rsidR="004E2261">
        <w:rPr>
          <w:rFonts w:asciiTheme="majorHAnsi" w:eastAsia="Times New Roman" w:hAnsiTheme="majorHAnsi" w:cstheme="majorHAnsi"/>
          <w:noProof/>
          <w:sz w:val="22"/>
          <w:szCs w:val="22"/>
          <w:lang w:val="es-ES"/>
        </w:rPr>
        <w:t xml:space="preserve"> y el Caribe</w:t>
      </w:r>
      <w:r w:rsidR="00DB6287" w:rsidRPr="002A3E43">
        <w:rPr>
          <w:rFonts w:asciiTheme="majorHAnsi" w:eastAsia="Times New Roman" w:hAnsiTheme="majorHAnsi" w:cstheme="majorHAnsi"/>
          <w:noProof/>
          <w:sz w:val="22"/>
          <w:szCs w:val="22"/>
          <w:lang w:val="es-ES"/>
        </w:rPr>
        <w:t xml:space="preserve">. </w:t>
      </w:r>
      <w:r w:rsidR="00EF3015">
        <w:rPr>
          <w:rFonts w:asciiTheme="majorHAnsi" w:eastAsia="Times New Roman" w:hAnsiTheme="majorHAnsi" w:cstheme="majorHAnsi"/>
          <w:noProof/>
          <w:sz w:val="22"/>
          <w:szCs w:val="22"/>
          <w:lang w:val="es-ES"/>
        </w:rPr>
        <w:t xml:space="preserve">Como en multitud de </w:t>
      </w:r>
      <w:r w:rsidR="00EF3015" w:rsidRPr="002A3E43">
        <w:rPr>
          <w:rFonts w:asciiTheme="majorHAnsi" w:eastAsia="Times New Roman" w:hAnsiTheme="majorHAnsi" w:cstheme="majorHAnsi"/>
          <w:noProof/>
          <w:sz w:val="22"/>
          <w:szCs w:val="22"/>
        </w:rPr>
        <w:t>á</w:t>
      </w:r>
      <w:r w:rsidR="00EF3015">
        <w:rPr>
          <w:rFonts w:asciiTheme="majorHAnsi" w:eastAsia="Times New Roman" w:hAnsiTheme="majorHAnsi" w:cstheme="majorHAnsi"/>
          <w:noProof/>
          <w:sz w:val="22"/>
          <w:szCs w:val="22"/>
          <w:lang w:val="es-ES"/>
        </w:rPr>
        <w:t>mbitos que afectan a a las sociedades y sus econom</w:t>
      </w:r>
      <w:r w:rsidR="00EF3015" w:rsidRPr="002A3E43">
        <w:rPr>
          <w:rFonts w:asciiTheme="majorHAnsi" w:eastAsia="Times New Roman" w:hAnsiTheme="majorHAnsi" w:cstheme="majorHAnsi"/>
          <w:noProof/>
          <w:sz w:val="22"/>
          <w:szCs w:val="22"/>
          <w:lang w:val="es-ES"/>
        </w:rPr>
        <w:t>í</w:t>
      </w:r>
      <w:r w:rsidR="00EF3015">
        <w:rPr>
          <w:rFonts w:asciiTheme="majorHAnsi" w:eastAsia="Times New Roman" w:hAnsiTheme="majorHAnsi" w:cstheme="majorHAnsi"/>
          <w:noProof/>
          <w:sz w:val="22"/>
          <w:szCs w:val="22"/>
          <w:lang w:val="es-ES"/>
        </w:rPr>
        <w:t>as, s</w:t>
      </w:r>
      <w:r w:rsidR="00DB6287" w:rsidRPr="002A3E43">
        <w:rPr>
          <w:rFonts w:asciiTheme="majorHAnsi" w:eastAsia="Times New Roman" w:hAnsiTheme="majorHAnsi" w:cstheme="majorHAnsi"/>
          <w:noProof/>
          <w:sz w:val="22"/>
          <w:szCs w:val="22"/>
          <w:lang w:val="es-ES"/>
        </w:rPr>
        <w:t>in dat</w:t>
      </w:r>
      <w:r w:rsidR="00F300C3">
        <w:rPr>
          <w:rFonts w:asciiTheme="majorHAnsi" w:eastAsia="Times New Roman" w:hAnsiTheme="majorHAnsi" w:cstheme="majorHAnsi"/>
          <w:noProof/>
          <w:sz w:val="22"/>
          <w:szCs w:val="22"/>
          <w:lang w:val="es-ES"/>
        </w:rPr>
        <w:t>os</w:t>
      </w:r>
      <w:r w:rsidR="00DB6287" w:rsidRPr="002A3E43">
        <w:rPr>
          <w:rFonts w:asciiTheme="majorHAnsi" w:eastAsia="Times New Roman" w:hAnsiTheme="majorHAnsi" w:cstheme="majorHAnsi"/>
          <w:noProof/>
          <w:sz w:val="22"/>
          <w:szCs w:val="22"/>
          <w:lang w:val="es-ES"/>
        </w:rPr>
        <w:t xml:space="preserve"> no hay análisis posible</w:t>
      </w:r>
      <w:r w:rsidR="00EF3015">
        <w:rPr>
          <w:rFonts w:asciiTheme="majorHAnsi" w:eastAsia="Times New Roman" w:hAnsiTheme="majorHAnsi" w:cstheme="majorHAnsi"/>
          <w:noProof/>
          <w:sz w:val="22"/>
          <w:szCs w:val="22"/>
          <w:lang w:val="es-ES"/>
        </w:rPr>
        <w:t xml:space="preserve">, y sin un analisis adecuado resulta imposible aprender de los errores, repetir los aciertos, y en definitiva mejorar las </w:t>
      </w:r>
      <w:r w:rsidR="00DB6287" w:rsidRPr="002A3E43">
        <w:rPr>
          <w:rFonts w:asciiTheme="majorHAnsi" w:eastAsia="Times New Roman" w:hAnsiTheme="majorHAnsi" w:cstheme="majorHAnsi"/>
          <w:noProof/>
          <w:sz w:val="22"/>
          <w:szCs w:val="22"/>
          <w:lang w:val="es-ES"/>
        </w:rPr>
        <w:t>políticas públicas</w:t>
      </w:r>
      <w:r w:rsidR="00AA3C65">
        <w:rPr>
          <w:rFonts w:asciiTheme="majorHAnsi" w:eastAsia="Times New Roman" w:hAnsiTheme="majorHAnsi" w:cstheme="majorHAnsi"/>
          <w:noProof/>
          <w:sz w:val="22"/>
          <w:szCs w:val="22"/>
          <w:lang w:val="es-ES"/>
        </w:rPr>
        <w:t xml:space="preserve"> en nuestros pa</w:t>
      </w:r>
      <w:r w:rsidR="00AA3C65" w:rsidRPr="002A3E43">
        <w:rPr>
          <w:rFonts w:asciiTheme="majorHAnsi" w:eastAsia="Times New Roman" w:hAnsiTheme="majorHAnsi" w:cstheme="majorHAnsi"/>
          <w:noProof/>
          <w:sz w:val="22"/>
          <w:szCs w:val="22"/>
          <w:lang w:val="es-ES"/>
        </w:rPr>
        <w:t>í</w:t>
      </w:r>
      <w:r w:rsidR="00AA3C65">
        <w:rPr>
          <w:rFonts w:asciiTheme="majorHAnsi" w:eastAsia="Times New Roman" w:hAnsiTheme="majorHAnsi" w:cstheme="majorHAnsi"/>
          <w:noProof/>
          <w:sz w:val="22"/>
          <w:szCs w:val="22"/>
          <w:lang w:val="es-ES"/>
        </w:rPr>
        <w:t>ses</w:t>
      </w:r>
      <w:r w:rsidR="00DB6287" w:rsidRPr="002A3E43">
        <w:rPr>
          <w:rFonts w:asciiTheme="majorHAnsi" w:eastAsia="Times New Roman" w:hAnsiTheme="majorHAnsi" w:cstheme="majorHAnsi"/>
          <w:noProof/>
          <w:sz w:val="22"/>
          <w:szCs w:val="22"/>
          <w:lang w:val="es-ES"/>
        </w:rPr>
        <w:t xml:space="preserve">. </w:t>
      </w:r>
    </w:p>
    <w:p w:rsidR="005F5392" w:rsidRPr="00FD0749" w:rsidRDefault="00027545" w:rsidP="00A15206">
      <w:pPr>
        <w:spacing w:before="100" w:beforeAutospacing="1" w:after="100" w:afterAutospacing="1"/>
        <w:rPr>
          <w:rFonts w:asciiTheme="majorHAnsi" w:hAnsiTheme="majorHAnsi" w:cstheme="majorHAnsi"/>
          <w:b/>
          <w:sz w:val="22"/>
          <w:szCs w:val="22"/>
        </w:rPr>
      </w:pPr>
      <w:bookmarkStart w:id="5" w:name="_Hlk519757511"/>
      <w:r w:rsidRPr="00FD0749">
        <w:rPr>
          <w:rFonts w:asciiTheme="majorHAnsi" w:hAnsiTheme="majorHAnsi" w:cstheme="majorHAnsi"/>
          <w:b/>
          <w:sz w:val="22"/>
          <w:szCs w:val="22"/>
        </w:rPr>
        <w:t>Referencias</w:t>
      </w:r>
    </w:p>
    <w:bookmarkEnd w:id="5"/>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 xml:space="preserve">Banco </w:t>
      </w:r>
      <w:proofErr w:type="gramStart"/>
      <w:r w:rsidRPr="00FD0749">
        <w:rPr>
          <w:rFonts w:asciiTheme="majorHAnsi" w:hAnsiTheme="majorHAnsi" w:cstheme="majorHAnsi"/>
          <w:color w:val="000000" w:themeColor="text1"/>
          <w:sz w:val="22"/>
          <w:szCs w:val="22"/>
          <w:shd w:val="clear" w:color="auto" w:fill="FFFFFF"/>
        </w:rPr>
        <w:t>Inter-Americano</w:t>
      </w:r>
      <w:proofErr w:type="gramEnd"/>
      <w:r w:rsidRPr="00FD0749">
        <w:rPr>
          <w:rFonts w:asciiTheme="majorHAnsi" w:hAnsiTheme="majorHAnsi" w:cstheme="majorHAnsi"/>
          <w:color w:val="000000" w:themeColor="text1"/>
          <w:sz w:val="22"/>
          <w:szCs w:val="22"/>
          <w:shd w:val="clear" w:color="auto" w:fill="FFFFFF"/>
        </w:rPr>
        <w:t xml:space="preserve"> de Desarrollo (</w:t>
      </w:r>
      <w:r w:rsidR="003E397F">
        <w:rPr>
          <w:rFonts w:asciiTheme="majorHAnsi" w:hAnsiTheme="majorHAnsi" w:cstheme="majorHAnsi"/>
          <w:color w:val="000000" w:themeColor="text1"/>
          <w:sz w:val="22"/>
          <w:szCs w:val="22"/>
          <w:shd w:val="clear" w:color="auto" w:fill="FFFFFF"/>
        </w:rPr>
        <w:t xml:space="preserve">BID, </w:t>
      </w:r>
      <w:r w:rsidRPr="00FD0749">
        <w:rPr>
          <w:rFonts w:asciiTheme="majorHAnsi" w:hAnsiTheme="majorHAnsi" w:cstheme="majorHAnsi"/>
          <w:color w:val="000000" w:themeColor="text1"/>
          <w:sz w:val="22"/>
          <w:szCs w:val="22"/>
          <w:shd w:val="clear" w:color="auto" w:fill="FFFFFF"/>
        </w:rPr>
        <w:t>2013)</w:t>
      </w:r>
      <w:r>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r>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Política de servicios públicos domiciliarios.</w:t>
      </w:r>
      <w:r>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Banco Inter-Americano de Desarrollo.</w:t>
      </w:r>
    </w:p>
    <w:p w:rsidR="00FD0749" w:rsidRPr="0073376E"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rPr>
        <w:t>Baumol W. and D. Bradford (1970)</w:t>
      </w:r>
      <w:r>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r w:rsidRPr="0057694A">
        <w:rPr>
          <w:rFonts w:asciiTheme="majorHAnsi" w:hAnsiTheme="majorHAnsi" w:cstheme="majorHAnsi"/>
          <w:color w:val="000000" w:themeColor="text1"/>
          <w:sz w:val="22"/>
          <w:szCs w:val="22"/>
          <w:shd w:val="clear" w:color="auto" w:fill="FFFFFF"/>
        </w:rPr>
        <w:t>“</w:t>
      </w:r>
      <w:proofErr w:type="spellStart"/>
      <w:r w:rsidRPr="0057694A">
        <w:rPr>
          <w:rFonts w:asciiTheme="majorHAnsi" w:hAnsiTheme="majorHAnsi" w:cstheme="majorHAnsi"/>
          <w:color w:val="000000" w:themeColor="text1"/>
          <w:sz w:val="22"/>
          <w:szCs w:val="22"/>
          <w:shd w:val="clear" w:color="auto" w:fill="FFFFFF"/>
        </w:rPr>
        <w:t>Optimal</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departures</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from</w:t>
      </w:r>
      <w:proofErr w:type="spellEnd"/>
      <w:r w:rsidRPr="0057694A">
        <w:rPr>
          <w:rFonts w:asciiTheme="majorHAnsi" w:hAnsiTheme="majorHAnsi" w:cstheme="majorHAnsi"/>
          <w:color w:val="000000" w:themeColor="text1"/>
          <w:sz w:val="22"/>
          <w:szCs w:val="22"/>
          <w:shd w:val="clear" w:color="auto" w:fill="FFFFFF"/>
        </w:rPr>
        <w:t xml:space="preserve"> marginal </w:t>
      </w:r>
      <w:proofErr w:type="spellStart"/>
      <w:r w:rsidRPr="0057694A">
        <w:rPr>
          <w:rFonts w:asciiTheme="majorHAnsi" w:hAnsiTheme="majorHAnsi" w:cstheme="majorHAnsi"/>
          <w:color w:val="000000" w:themeColor="text1"/>
          <w:sz w:val="22"/>
          <w:szCs w:val="22"/>
          <w:shd w:val="clear" w:color="auto" w:fill="FFFFFF"/>
        </w:rPr>
        <w:t>cost</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pricing</w:t>
      </w:r>
      <w:proofErr w:type="spellEnd"/>
      <w:r w:rsidRPr="0057694A">
        <w:rPr>
          <w:rFonts w:asciiTheme="majorHAnsi" w:hAnsiTheme="majorHAnsi" w:cstheme="majorHAnsi"/>
          <w:color w:val="000000" w:themeColor="text1"/>
          <w:sz w:val="22"/>
          <w:szCs w:val="22"/>
          <w:shd w:val="clear" w:color="auto" w:fill="FFFFFF"/>
        </w:rPr>
        <w:t xml:space="preserve">”. </w:t>
      </w:r>
      <w:r w:rsidRPr="0073376E">
        <w:rPr>
          <w:rFonts w:asciiTheme="majorHAnsi" w:hAnsiTheme="majorHAnsi" w:cstheme="majorHAnsi"/>
          <w:color w:val="000000" w:themeColor="text1"/>
          <w:sz w:val="22"/>
          <w:szCs w:val="22"/>
          <w:shd w:val="clear" w:color="auto" w:fill="FFFFFF"/>
          <w:lang w:val="en-US"/>
        </w:rPr>
        <w:t xml:space="preserve">American Economic Review 60, pp.265-83 </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proofErr w:type="spellStart"/>
      <w:r w:rsidRPr="00FD0749">
        <w:rPr>
          <w:rFonts w:asciiTheme="majorHAnsi" w:hAnsiTheme="majorHAnsi" w:cstheme="majorHAnsi"/>
          <w:color w:val="000000" w:themeColor="text1"/>
          <w:sz w:val="22"/>
          <w:szCs w:val="22"/>
          <w:shd w:val="clear" w:color="auto" w:fill="FFFFFF"/>
          <w:lang w:val="fr-FR"/>
        </w:rPr>
        <w:t>Boiteaux</w:t>
      </w:r>
      <w:proofErr w:type="spellEnd"/>
      <w:r w:rsidRPr="00FD0749">
        <w:rPr>
          <w:rFonts w:asciiTheme="majorHAnsi" w:hAnsiTheme="majorHAnsi" w:cstheme="majorHAnsi"/>
          <w:color w:val="000000" w:themeColor="text1"/>
          <w:sz w:val="22"/>
          <w:szCs w:val="22"/>
          <w:shd w:val="clear" w:color="auto" w:fill="FFFFFF"/>
          <w:lang w:val="fr-FR"/>
        </w:rPr>
        <w:t xml:space="preserve"> M. (1956). “Sur </w:t>
      </w:r>
      <w:proofErr w:type="gramStart"/>
      <w:r w:rsidRPr="00FD0749">
        <w:rPr>
          <w:rFonts w:asciiTheme="majorHAnsi" w:hAnsiTheme="majorHAnsi" w:cstheme="majorHAnsi"/>
          <w:color w:val="000000" w:themeColor="text1"/>
          <w:sz w:val="22"/>
          <w:szCs w:val="22"/>
          <w:shd w:val="clear" w:color="auto" w:fill="FFFFFF"/>
          <w:lang w:val="fr-FR"/>
        </w:rPr>
        <w:t>le gestion</w:t>
      </w:r>
      <w:proofErr w:type="gramEnd"/>
      <w:r w:rsidRPr="00FD0749">
        <w:rPr>
          <w:rFonts w:asciiTheme="majorHAnsi" w:hAnsiTheme="majorHAnsi" w:cstheme="majorHAnsi"/>
          <w:color w:val="000000" w:themeColor="text1"/>
          <w:sz w:val="22"/>
          <w:szCs w:val="22"/>
          <w:shd w:val="clear" w:color="auto" w:fill="FFFFFF"/>
          <w:lang w:val="fr-FR"/>
        </w:rPr>
        <w:t xml:space="preserve"> des Monopoles Publiqus astreints a l’equlibre budgetaire”</w:t>
      </w:r>
      <w:r>
        <w:rPr>
          <w:rFonts w:asciiTheme="majorHAnsi" w:hAnsiTheme="majorHAnsi" w:cstheme="majorHAnsi"/>
          <w:color w:val="000000" w:themeColor="text1"/>
          <w:sz w:val="22"/>
          <w:szCs w:val="22"/>
          <w:shd w:val="clear" w:color="auto" w:fill="FFFFFF"/>
          <w:lang w:val="fr-FR"/>
        </w:rPr>
        <w:t>.</w:t>
      </w:r>
      <w:r w:rsidRPr="00FD0749">
        <w:rPr>
          <w:rFonts w:asciiTheme="majorHAnsi" w:hAnsiTheme="majorHAnsi" w:cstheme="majorHAnsi"/>
          <w:color w:val="000000" w:themeColor="text1"/>
          <w:sz w:val="22"/>
          <w:szCs w:val="22"/>
          <w:shd w:val="clear" w:color="auto" w:fill="FFFFFF"/>
          <w:lang w:val="fr-FR"/>
        </w:rPr>
        <w:t xml:space="preserve"> </w:t>
      </w:r>
      <w:proofErr w:type="spellStart"/>
      <w:r w:rsidRPr="0057694A">
        <w:rPr>
          <w:rFonts w:asciiTheme="majorHAnsi" w:hAnsiTheme="majorHAnsi" w:cstheme="majorHAnsi"/>
          <w:color w:val="000000" w:themeColor="text1"/>
          <w:sz w:val="22"/>
          <w:szCs w:val="22"/>
          <w:shd w:val="clear" w:color="auto" w:fill="FFFFFF"/>
          <w:lang w:val="en-US"/>
        </w:rPr>
        <w:t>Econometrica</w:t>
      </w:r>
      <w:proofErr w:type="spellEnd"/>
      <w:r w:rsidRPr="0057694A">
        <w:rPr>
          <w:rFonts w:asciiTheme="majorHAnsi" w:hAnsiTheme="majorHAnsi" w:cstheme="majorHAnsi"/>
          <w:color w:val="000000" w:themeColor="text1"/>
          <w:sz w:val="22"/>
          <w:szCs w:val="22"/>
          <w:shd w:val="clear" w:color="auto" w:fill="FFFFFF"/>
          <w:lang w:val="en-US"/>
        </w:rPr>
        <w:t xml:space="preserve"> 24 pp. 22-40. </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lang w:val="en-US"/>
        </w:rPr>
        <w:t xml:space="preserve">Brown S. and D. Sibley (1986). </w:t>
      </w:r>
      <w:r>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The Theory of Public Utility Pricing</w:t>
      </w:r>
      <w:r>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 xml:space="preserve"> Cambridge: Cambridge University Press.</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lang w:val="en-US"/>
        </w:rPr>
        <w:t>Deaton A. and N. Stern (1979). “Optimally Uniform Commodity Taxes, Taste Differences and Lump-Sum Grants”</w:t>
      </w:r>
      <w:r w:rsidR="00721DE7">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 xml:space="preserve"> Economic Letters 20 (3) pp. 263-266.</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lang w:val="en-US"/>
        </w:rPr>
        <w:t xml:space="preserve">Diamond P. and J. </w:t>
      </w:r>
      <w:proofErr w:type="spellStart"/>
      <w:r w:rsidRPr="00FD0749">
        <w:rPr>
          <w:rFonts w:asciiTheme="majorHAnsi" w:hAnsiTheme="majorHAnsi" w:cstheme="majorHAnsi"/>
          <w:color w:val="000000" w:themeColor="text1"/>
          <w:sz w:val="22"/>
          <w:szCs w:val="22"/>
          <w:shd w:val="clear" w:color="auto" w:fill="FFFFFF"/>
          <w:lang w:val="en-US"/>
        </w:rPr>
        <w:t>Mirrless</w:t>
      </w:r>
      <w:proofErr w:type="spellEnd"/>
      <w:r w:rsidRPr="00FD0749">
        <w:rPr>
          <w:rFonts w:asciiTheme="majorHAnsi" w:hAnsiTheme="majorHAnsi" w:cstheme="majorHAnsi"/>
          <w:color w:val="000000" w:themeColor="text1"/>
          <w:sz w:val="22"/>
          <w:szCs w:val="22"/>
          <w:shd w:val="clear" w:color="auto" w:fill="FFFFFF"/>
          <w:lang w:val="en-US"/>
        </w:rPr>
        <w:t xml:space="preserve"> (1971). “Optimal taxation and public production II: Tax Rules”</w:t>
      </w:r>
      <w:r w:rsidR="00721DE7">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 xml:space="preserve"> American Economic Review 61, pp.261-78.</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proofErr w:type="spellStart"/>
      <w:r w:rsidRPr="0057694A">
        <w:rPr>
          <w:rFonts w:asciiTheme="majorHAnsi" w:hAnsiTheme="majorHAnsi" w:cstheme="majorHAnsi"/>
          <w:color w:val="000000" w:themeColor="text1"/>
          <w:sz w:val="22"/>
          <w:szCs w:val="22"/>
          <w:shd w:val="clear" w:color="auto" w:fill="FFFFFF"/>
          <w:lang w:val="en-US"/>
        </w:rPr>
        <w:t>Estache</w:t>
      </w:r>
      <w:proofErr w:type="spellEnd"/>
      <w:r w:rsidRPr="0057694A">
        <w:rPr>
          <w:rFonts w:asciiTheme="majorHAnsi" w:hAnsiTheme="majorHAnsi" w:cstheme="majorHAnsi"/>
          <w:color w:val="000000" w:themeColor="text1"/>
          <w:sz w:val="22"/>
          <w:szCs w:val="22"/>
          <w:shd w:val="clear" w:color="auto" w:fill="FFFFFF"/>
          <w:lang w:val="en-US"/>
        </w:rPr>
        <w:t xml:space="preserve">, A., Foster, V. and </w:t>
      </w:r>
      <w:proofErr w:type="spellStart"/>
      <w:r w:rsidRPr="0057694A">
        <w:rPr>
          <w:rFonts w:asciiTheme="majorHAnsi" w:hAnsiTheme="majorHAnsi" w:cstheme="majorHAnsi"/>
          <w:color w:val="000000" w:themeColor="text1"/>
          <w:sz w:val="22"/>
          <w:szCs w:val="22"/>
          <w:shd w:val="clear" w:color="auto" w:fill="FFFFFF"/>
          <w:lang w:val="en-US"/>
        </w:rPr>
        <w:t>Wodon</w:t>
      </w:r>
      <w:proofErr w:type="spellEnd"/>
      <w:r w:rsidRPr="0057694A">
        <w:rPr>
          <w:rFonts w:asciiTheme="majorHAnsi" w:hAnsiTheme="majorHAnsi" w:cstheme="majorHAnsi"/>
          <w:color w:val="000000" w:themeColor="text1"/>
          <w:sz w:val="22"/>
          <w:szCs w:val="22"/>
          <w:shd w:val="clear" w:color="auto" w:fill="FFFFFF"/>
          <w:lang w:val="en-US"/>
        </w:rPr>
        <w:t>, Q., (2002). </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Accounting for poverty in infrastructure reform: Learning from Latin America's experience</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Pr="0057694A">
        <w:rPr>
          <w:rFonts w:asciiTheme="majorHAnsi" w:hAnsiTheme="majorHAnsi" w:cstheme="majorHAnsi"/>
          <w:color w:val="000000" w:themeColor="text1"/>
          <w:sz w:val="22"/>
          <w:szCs w:val="22"/>
          <w:shd w:val="clear" w:color="auto" w:fill="FFFFFF"/>
          <w:lang w:val="en-US"/>
        </w:rPr>
        <w:t>World Bank Publications.</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57694A">
        <w:rPr>
          <w:rFonts w:asciiTheme="majorHAnsi" w:hAnsiTheme="majorHAnsi" w:cstheme="majorHAnsi"/>
          <w:color w:val="000000" w:themeColor="text1"/>
          <w:sz w:val="22"/>
          <w:szCs w:val="22"/>
          <w:shd w:val="clear" w:color="auto" w:fill="FFFFFF"/>
          <w:lang w:val="en-US"/>
        </w:rPr>
        <w:t xml:space="preserve">Eurostat (2016). </w:t>
      </w:r>
      <w:r w:rsidR="00721DE7" w:rsidRPr="0057694A">
        <w:rPr>
          <w:rFonts w:asciiTheme="majorHAnsi" w:hAnsiTheme="majorHAnsi" w:cstheme="majorHAnsi"/>
          <w:color w:val="000000" w:themeColor="text1"/>
          <w:sz w:val="22"/>
          <w:szCs w:val="22"/>
          <w:shd w:val="clear" w:color="auto" w:fill="FFFFFF"/>
          <w:lang w:val="en-US"/>
        </w:rPr>
        <w:t>“</w:t>
      </w:r>
      <w:r w:rsidRPr="0057694A">
        <w:rPr>
          <w:rFonts w:asciiTheme="majorHAnsi" w:hAnsiTheme="majorHAnsi" w:cstheme="majorHAnsi"/>
          <w:color w:val="000000" w:themeColor="text1"/>
          <w:sz w:val="22"/>
          <w:szCs w:val="22"/>
          <w:shd w:val="clear" w:color="auto" w:fill="FFFFFF"/>
          <w:lang w:val="en-US"/>
        </w:rPr>
        <w:t>Energy, transport and environment indicators</w:t>
      </w:r>
      <w:r w:rsidR="00721DE7" w:rsidRPr="0057694A">
        <w:rPr>
          <w:rFonts w:asciiTheme="majorHAnsi" w:hAnsiTheme="majorHAnsi" w:cstheme="majorHAnsi"/>
          <w:color w:val="000000" w:themeColor="text1"/>
          <w:sz w:val="22"/>
          <w:szCs w:val="22"/>
          <w:shd w:val="clear" w:color="auto" w:fill="FFFFFF"/>
          <w:lang w:val="en-US"/>
        </w:rPr>
        <w:t>”</w:t>
      </w:r>
      <w:r w:rsidRPr="0057694A">
        <w:rPr>
          <w:rFonts w:asciiTheme="majorHAnsi" w:hAnsiTheme="majorHAnsi" w:cstheme="majorHAnsi"/>
          <w:color w:val="000000" w:themeColor="text1"/>
          <w:sz w:val="22"/>
          <w:szCs w:val="22"/>
          <w:shd w:val="clear" w:color="auto" w:fill="FFFFFF"/>
          <w:lang w:val="en-US"/>
        </w:rPr>
        <w:t>. OCDE</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proofErr w:type="spellStart"/>
      <w:r w:rsidRPr="0057694A">
        <w:rPr>
          <w:rFonts w:asciiTheme="majorHAnsi" w:hAnsiTheme="majorHAnsi" w:cstheme="majorHAnsi"/>
          <w:color w:val="000000" w:themeColor="text1"/>
          <w:sz w:val="22"/>
          <w:szCs w:val="22"/>
          <w:shd w:val="clear" w:color="auto" w:fill="FFFFFF"/>
          <w:lang w:val="en-US"/>
        </w:rPr>
        <w:t>Galiani</w:t>
      </w:r>
      <w:proofErr w:type="spellEnd"/>
      <w:r w:rsidRPr="0057694A">
        <w:rPr>
          <w:rFonts w:asciiTheme="majorHAnsi" w:hAnsiTheme="majorHAnsi" w:cstheme="majorHAnsi"/>
          <w:color w:val="000000" w:themeColor="text1"/>
          <w:sz w:val="22"/>
          <w:szCs w:val="22"/>
          <w:shd w:val="clear" w:color="auto" w:fill="FFFFFF"/>
          <w:lang w:val="en-US"/>
        </w:rPr>
        <w:t xml:space="preserve">, S., Gertler, P. and </w:t>
      </w:r>
      <w:proofErr w:type="spellStart"/>
      <w:r w:rsidRPr="0057694A">
        <w:rPr>
          <w:rFonts w:asciiTheme="majorHAnsi" w:hAnsiTheme="majorHAnsi" w:cstheme="majorHAnsi"/>
          <w:color w:val="000000" w:themeColor="text1"/>
          <w:sz w:val="22"/>
          <w:szCs w:val="22"/>
          <w:shd w:val="clear" w:color="auto" w:fill="FFFFFF"/>
          <w:lang w:val="en-US"/>
        </w:rPr>
        <w:t>Schargrodsky</w:t>
      </w:r>
      <w:proofErr w:type="spellEnd"/>
      <w:r w:rsidRPr="0057694A">
        <w:rPr>
          <w:rFonts w:asciiTheme="majorHAnsi" w:hAnsiTheme="majorHAnsi" w:cstheme="majorHAnsi"/>
          <w:color w:val="000000" w:themeColor="text1"/>
          <w:sz w:val="22"/>
          <w:szCs w:val="22"/>
          <w:shd w:val="clear" w:color="auto" w:fill="FFFFFF"/>
          <w:lang w:val="en-US"/>
        </w:rPr>
        <w:t xml:space="preserve">, E., (2005). </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Water for life: The impact of the privatization of water services on child mortality</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w:t>
      </w:r>
      <w:r w:rsidRPr="0057694A">
        <w:rPr>
          <w:rFonts w:asciiTheme="majorHAnsi" w:hAnsiTheme="majorHAnsi" w:cstheme="majorHAnsi"/>
          <w:color w:val="000000" w:themeColor="text1"/>
          <w:sz w:val="22"/>
          <w:szCs w:val="22"/>
          <w:shd w:val="clear" w:color="auto" w:fill="FFFFFF"/>
          <w:lang w:val="en-US"/>
        </w:rPr>
        <w:t>Journal of political economy, 113(1), pp.83-120.</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lang w:val="en-US"/>
        </w:rPr>
        <w:t xml:space="preserve">Henry C. (1989). </w:t>
      </w:r>
      <w:r w:rsidR="00721DE7">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Microeconomics for Public Policy</w:t>
      </w:r>
      <w:r w:rsidR="00721DE7">
        <w:rPr>
          <w:rFonts w:asciiTheme="majorHAnsi" w:hAnsiTheme="majorHAnsi" w:cstheme="majorHAnsi"/>
          <w:color w:val="000000" w:themeColor="text1"/>
          <w:sz w:val="22"/>
          <w:szCs w:val="22"/>
          <w:shd w:val="clear" w:color="auto" w:fill="FFFFFF"/>
          <w:lang w:val="en-US"/>
        </w:rPr>
        <w:t>”.</w:t>
      </w:r>
      <w:r w:rsidRPr="00FD0749">
        <w:rPr>
          <w:rFonts w:asciiTheme="majorHAnsi" w:hAnsiTheme="majorHAnsi" w:cstheme="majorHAnsi"/>
          <w:color w:val="000000" w:themeColor="text1"/>
          <w:sz w:val="22"/>
          <w:szCs w:val="22"/>
          <w:shd w:val="clear" w:color="auto" w:fill="FFFFFF"/>
          <w:lang w:val="en-US"/>
        </w:rPr>
        <w:t xml:space="preserve"> Oxford: Oxford University Press</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57694A">
        <w:rPr>
          <w:rFonts w:asciiTheme="majorHAnsi" w:hAnsiTheme="majorHAnsi" w:cstheme="majorHAnsi"/>
          <w:color w:val="000000" w:themeColor="text1"/>
          <w:sz w:val="22"/>
          <w:szCs w:val="22"/>
          <w:shd w:val="clear" w:color="auto" w:fill="FFFFFF"/>
          <w:lang w:val="en-US"/>
        </w:rPr>
        <w:t xml:space="preserve">IARAF (2018).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Carga tributaria indirecta sobre las tarifas de energía eléctrica y gas</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 xml:space="preserve">Instituto Nacional de Estadística de Uruguay (2005/2006).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Nacional de Gastos e Ingresos de los Hogares</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lastRenderedPageBreak/>
        <w:t xml:space="preserve">Instituto Nacional de Estadística e Informática de Perú (2014).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Nacional de Hogares sobre Condiciones de Vida y Pobreza</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 xml:space="preserve">Instituto Nacional de Estadística y Censos de Ecuador (2011/2012).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Nacional de Ingresos y Gastos de los Hogares Urbanos y Rurales</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 xml:space="preserve">Instituto Nacional de Estadística y Censos de Ecuador (2014).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de Condiciones de Vida</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Instituto Nacional de Estadística y Censos de la República Argentina (2012/2013)</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Nacional de Gastos de los Hogares</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 xml:space="preserve">Instituto Nacional de Estadísticas de Chile (2011/2012).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Encuesta Nacional de Presupuestos Familiares</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57694A">
        <w:rPr>
          <w:rFonts w:asciiTheme="majorHAnsi" w:hAnsiTheme="majorHAnsi" w:cstheme="majorHAnsi"/>
          <w:color w:val="000000" w:themeColor="text1"/>
          <w:sz w:val="22"/>
          <w:szCs w:val="22"/>
          <w:shd w:val="clear" w:color="auto" w:fill="FFFFFF"/>
        </w:rPr>
        <w:t xml:space="preserve">Jimenez, R. and Yépez-García, A., </w:t>
      </w:r>
      <w:r w:rsidR="00721DE7" w:rsidRPr="0057694A">
        <w:rPr>
          <w:rFonts w:asciiTheme="majorHAnsi" w:hAnsiTheme="majorHAnsi" w:cstheme="majorHAnsi"/>
          <w:color w:val="000000" w:themeColor="text1"/>
          <w:sz w:val="22"/>
          <w:szCs w:val="22"/>
          <w:shd w:val="clear" w:color="auto" w:fill="FFFFFF"/>
        </w:rPr>
        <w:t>(</w:t>
      </w:r>
      <w:r w:rsidRPr="0057694A">
        <w:rPr>
          <w:rFonts w:asciiTheme="majorHAnsi" w:hAnsiTheme="majorHAnsi" w:cstheme="majorHAnsi"/>
          <w:color w:val="000000" w:themeColor="text1"/>
          <w:sz w:val="22"/>
          <w:szCs w:val="22"/>
          <w:shd w:val="clear" w:color="auto" w:fill="FFFFFF"/>
        </w:rPr>
        <w:t>2017</w:t>
      </w:r>
      <w:r w:rsidR="00721DE7" w:rsidRPr="0057694A">
        <w:rPr>
          <w:rFonts w:asciiTheme="majorHAnsi" w:hAnsiTheme="majorHAnsi" w:cstheme="majorHAnsi"/>
          <w:color w:val="000000" w:themeColor="text1"/>
          <w:sz w:val="22"/>
          <w:szCs w:val="22"/>
          <w:shd w:val="clear" w:color="auto" w:fill="FFFFFF"/>
        </w:rPr>
        <w:t>)</w:t>
      </w:r>
      <w:r w:rsidRPr="0057694A">
        <w:rPr>
          <w:rFonts w:asciiTheme="majorHAnsi" w:hAnsiTheme="majorHAnsi" w:cstheme="majorHAnsi"/>
          <w:color w:val="000000" w:themeColor="text1"/>
          <w:sz w:val="22"/>
          <w:szCs w:val="22"/>
          <w:shd w:val="clear" w:color="auto" w:fill="FFFFFF"/>
        </w:rPr>
        <w:t>. </w:t>
      </w:r>
      <w:r w:rsidR="00721DE7" w:rsidRPr="0057694A">
        <w:rPr>
          <w:rFonts w:asciiTheme="majorHAnsi" w:hAnsiTheme="majorHAnsi" w:cstheme="majorHAnsi"/>
          <w:color w:val="000000" w:themeColor="text1"/>
          <w:sz w:val="22"/>
          <w:szCs w:val="22"/>
          <w:shd w:val="clear" w:color="auto" w:fill="FFFFFF"/>
        </w:rPr>
        <w:t>“</w:t>
      </w:r>
      <w:proofErr w:type="spellStart"/>
      <w:r w:rsidRPr="0057694A">
        <w:rPr>
          <w:rFonts w:asciiTheme="majorHAnsi" w:hAnsiTheme="majorHAnsi" w:cstheme="majorHAnsi"/>
          <w:color w:val="000000" w:themeColor="text1"/>
          <w:sz w:val="22"/>
          <w:szCs w:val="22"/>
          <w:shd w:val="clear" w:color="auto" w:fill="FFFFFF"/>
        </w:rPr>
        <w:t>Understanding</w:t>
      </w:r>
      <w:proofErr w:type="spellEnd"/>
      <w:r w:rsidRPr="0057694A">
        <w:rPr>
          <w:rFonts w:asciiTheme="majorHAnsi" w:hAnsiTheme="majorHAnsi" w:cstheme="majorHAnsi"/>
          <w:color w:val="000000" w:themeColor="text1"/>
          <w:sz w:val="22"/>
          <w:szCs w:val="22"/>
          <w:shd w:val="clear" w:color="auto" w:fill="FFFFFF"/>
        </w:rPr>
        <w:t xml:space="preserve"> the Drivers of </w:t>
      </w:r>
      <w:proofErr w:type="spellStart"/>
      <w:r w:rsidRPr="0057694A">
        <w:rPr>
          <w:rFonts w:asciiTheme="majorHAnsi" w:hAnsiTheme="majorHAnsi" w:cstheme="majorHAnsi"/>
          <w:color w:val="000000" w:themeColor="text1"/>
          <w:sz w:val="22"/>
          <w:szCs w:val="22"/>
          <w:shd w:val="clear" w:color="auto" w:fill="FFFFFF"/>
        </w:rPr>
        <w:t>Household</w:t>
      </w:r>
      <w:proofErr w:type="spellEnd"/>
      <w:r w:rsidRPr="0057694A">
        <w:rPr>
          <w:rFonts w:asciiTheme="majorHAnsi" w:hAnsiTheme="majorHAnsi" w:cstheme="majorHAnsi"/>
          <w:color w:val="000000" w:themeColor="text1"/>
          <w:sz w:val="22"/>
          <w:szCs w:val="22"/>
          <w:shd w:val="clear" w:color="auto" w:fill="FFFFFF"/>
        </w:rPr>
        <w:t xml:space="preserve"> Energy </w:t>
      </w:r>
      <w:proofErr w:type="spellStart"/>
      <w:r w:rsidRPr="0057694A">
        <w:rPr>
          <w:rFonts w:asciiTheme="majorHAnsi" w:hAnsiTheme="majorHAnsi" w:cstheme="majorHAnsi"/>
          <w:color w:val="000000" w:themeColor="text1"/>
          <w:sz w:val="22"/>
          <w:szCs w:val="22"/>
          <w:shd w:val="clear" w:color="auto" w:fill="FFFFFF"/>
        </w:rPr>
        <w:t>Spending</w:t>
      </w:r>
      <w:proofErr w:type="spellEnd"/>
      <w:r w:rsidRPr="0057694A">
        <w:rPr>
          <w:rFonts w:asciiTheme="majorHAnsi" w:hAnsiTheme="majorHAnsi" w:cstheme="majorHAnsi"/>
          <w:color w:val="000000" w:themeColor="text1"/>
          <w:sz w:val="22"/>
          <w:szCs w:val="22"/>
          <w:shd w:val="clear" w:color="auto" w:fill="FFFFFF"/>
        </w:rPr>
        <w:t xml:space="preserve">: Micro </w:t>
      </w:r>
      <w:proofErr w:type="spellStart"/>
      <w:r w:rsidRPr="0057694A">
        <w:rPr>
          <w:rFonts w:asciiTheme="majorHAnsi" w:hAnsiTheme="majorHAnsi" w:cstheme="majorHAnsi"/>
          <w:color w:val="000000" w:themeColor="text1"/>
          <w:sz w:val="22"/>
          <w:szCs w:val="22"/>
          <w:shd w:val="clear" w:color="auto" w:fill="FFFFFF"/>
        </w:rPr>
        <w:t>Evidence</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for</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Latin</w:t>
      </w:r>
      <w:proofErr w:type="spellEnd"/>
      <w:r w:rsidRPr="0057694A">
        <w:rPr>
          <w:rFonts w:asciiTheme="majorHAnsi" w:hAnsiTheme="majorHAnsi" w:cstheme="majorHAnsi"/>
          <w:color w:val="000000" w:themeColor="text1"/>
          <w:sz w:val="22"/>
          <w:szCs w:val="22"/>
          <w:shd w:val="clear" w:color="auto" w:fill="FFFFFF"/>
        </w:rPr>
        <w:t xml:space="preserve"> </w:t>
      </w:r>
      <w:proofErr w:type="spellStart"/>
      <w:r w:rsidRPr="0057694A">
        <w:rPr>
          <w:rFonts w:asciiTheme="majorHAnsi" w:hAnsiTheme="majorHAnsi" w:cstheme="majorHAnsi"/>
          <w:color w:val="000000" w:themeColor="text1"/>
          <w:sz w:val="22"/>
          <w:szCs w:val="22"/>
          <w:shd w:val="clear" w:color="auto" w:fill="FFFFFF"/>
        </w:rPr>
        <w:t>America</w:t>
      </w:r>
      <w:proofErr w:type="spellEnd"/>
      <w:r w:rsidR="00721DE7" w:rsidRPr="0057694A">
        <w:rPr>
          <w:rFonts w:asciiTheme="majorHAnsi" w:hAnsiTheme="majorHAnsi" w:cstheme="majorHAnsi"/>
          <w:color w:val="000000" w:themeColor="text1"/>
          <w:sz w:val="22"/>
          <w:szCs w:val="22"/>
          <w:shd w:val="clear" w:color="auto" w:fill="FFFFFF"/>
        </w:rPr>
        <w:t>”</w:t>
      </w:r>
      <w:r w:rsidRPr="0057694A">
        <w:rPr>
          <w:rFonts w:asciiTheme="majorHAnsi" w:hAnsiTheme="majorHAnsi" w:cstheme="majorHAnsi"/>
          <w:color w:val="000000" w:themeColor="text1"/>
          <w:sz w:val="22"/>
          <w:szCs w:val="22"/>
          <w:shd w:val="clear" w:color="auto" w:fill="FFFFFF"/>
        </w:rPr>
        <w:t xml:space="preserve">. </w:t>
      </w:r>
      <w:r w:rsidRPr="00FD0749">
        <w:rPr>
          <w:rFonts w:asciiTheme="majorHAnsi" w:hAnsiTheme="majorHAnsi" w:cstheme="majorHAnsi"/>
          <w:color w:val="000000" w:themeColor="text1"/>
          <w:sz w:val="22"/>
          <w:szCs w:val="22"/>
          <w:shd w:val="clear" w:color="auto" w:fill="FFFFFF"/>
        </w:rPr>
        <w:t xml:space="preserve">Banco Inter-Americano de Desarrollo (BID). </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proofErr w:type="spellStart"/>
      <w:r w:rsidRPr="0057694A">
        <w:rPr>
          <w:rFonts w:asciiTheme="majorHAnsi" w:hAnsiTheme="majorHAnsi" w:cstheme="majorHAnsi"/>
          <w:color w:val="000000" w:themeColor="text1"/>
          <w:sz w:val="22"/>
          <w:szCs w:val="22"/>
          <w:shd w:val="clear" w:color="auto" w:fill="FFFFFF"/>
        </w:rPr>
        <w:t>Laffont</w:t>
      </w:r>
      <w:proofErr w:type="spellEnd"/>
      <w:r w:rsidRPr="0057694A">
        <w:rPr>
          <w:rFonts w:asciiTheme="majorHAnsi" w:hAnsiTheme="majorHAnsi" w:cstheme="majorHAnsi"/>
          <w:color w:val="000000" w:themeColor="text1"/>
          <w:sz w:val="22"/>
          <w:szCs w:val="22"/>
          <w:shd w:val="clear" w:color="auto" w:fill="FFFFFF"/>
        </w:rPr>
        <w:t xml:space="preserve"> J.J. and J. </w:t>
      </w:r>
      <w:proofErr w:type="spellStart"/>
      <w:r w:rsidRPr="0057694A">
        <w:rPr>
          <w:rFonts w:asciiTheme="majorHAnsi" w:hAnsiTheme="majorHAnsi" w:cstheme="majorHAnsi"/>
          <w:color w:val="000000" w:themeColor="text1"/>
          <w:sz w:val="22"/>
          <w:szCs w:val="22"/>
          <w:shd w:val="clear" w:color="auto" w:fill="FFFFFF"/>
        </w:rPr>
        <w:t>Tirole</w:t>
      </w:r>
      <w:proofErr w:type="spellEnd"/>
      <w:r w:rsidRPr="0057694A">
        <w:rPr>
          <w:rFonts w:asciiTheme="majorHAnsi" w:hAnsiTheme="majorHAnsi" w:cstheme="majorHAnsi"/>
          <w:color w:val="000000" w:themeColor="text1"/>
          <w:sz w:val="22"/>
          <w:szCs w:val="22"/>
          <w:shd w:val="clear" w:color="auto" w:fill="FFFFFF"/>
        </w:rPr>
        <w:t xml:space="preserve"> (1993)</w:t>
      </w:r>
      <w:r w:rsidR="00721DE7" w:rsidRPr="0057694A">
        <w:rPr>
          <w:rFonts w:asciiTheme="majorHAnsi" w:hAnsiTheme="majorHAnsi" w:cstheme="majorHAnsi"/>
          <w:color w:val="000000" w:themeColor="text1"/>
          <w:sz w:val="22"/>
          <w:szCs w:val="22"/>
          <w:shd w:val="clear" w:color="auto" w:fill="FFFFFF"/>
        </w:rPr>
        <w:t>.</w:t>
      </w:r>
      <w:r w:rsidRPr="0057694A">
        <w:rPr>
          <w:rFonts w:asciiTheme="majorHAnsi" w:hAnsiTheme="majorHAnsi" w:cstheme="majorHAnsi"/>
          <w:color w:val="000000" w:themeColor="text1"/>
          <w:sz w:val="22"/>
          <w:szCs w:val="22"/>
          <w:shd w:val="clear" w:color="auto" w:fill="FFFFFF"/>
        </w:rPr>
        <w:t xml:space="preserve"> </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A Theory of Incentives in Procurement and Regulation</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Pr="0057694A">
        <w:rPr>
          <w:rFonts w:asciiTheme="majorHAnsi" w:hAnsiTheme="majorHAnsi" w:cstheme="majorHAnsi"/>
          <w:color w:val="000000" w:themeColor="text1"/>
          <w:sz w:val="22"/>
          <w:szCs w:val="22"/>
          <w:shd w:val="clear" w:color="auto" w:fill="FFFFFF"/>
        </w:rPr>
        <w:t xml:space="preserve">Cambridge, </w:t>
      </w:r>
      <w:proofErr w:type="spellStart"/>
      <w:r w:rsidRPr="0057694A">
        <w:rPr>
          <w:rFonts w:asciiTheme="majorHAnsi" w:hAnsiTheme="majorHAnsi" w:cstheme="majorHAnsi"/>
          <w:color w:val="000000" w:themeColor="text1"/>
          <w:sz w:val="22"/>
          <w:szCs w:val="22"/>
          <w:shd w:val="clear" w:color="auto" w:fill="FFFFFF"/>
        </w:rPr>
        <w:t>Mass</w:t>
      </w:r>
      <w:proofErr w:type="spellEnd"/>
      <w:r w:rsidRPr="0057694A">
        <w:rPr>
          <w:rFonts w:asciiTheme="majorHAnsi" w:hAnsiTheme="majorHAnsi" w:cstheme="majorHAnsi"/>
          <w:color w:val="000000" w:themeColor="text1"/>
          <w:sz w:val="22"/>
          <w:szCs w:val="22"/>
          <w:shd w:val="clear" w:color="auto" w:fill="FFFFFF"/>
        </w:rPr>
        <w:t xml:space="preserve">.: MIT </w:t>
      </w:r>
      <w:proofErr w:type="spellStart"/>
      <w:r w:rsidRPr="0057694A">
        <w:rPr>
          <w:rFonts w:asciiTheme="majorHAnsi" w:hAnsiTheme="majorHAnsi" w:cstheme="majorHAnsi"/>
          <w:color w:val="000000" w:themeColor="text1"/>
          <w:sz w:val="22"/>
          <w:szCs w:val="22"/>
          <w:shd w:val="clear" w:color="auto" w:fill="FFFFFF"/>
        </w:rPr>
        <w:t>Press</w:t>
      </w:r>
      <w:proofErr w:type="spellEnd"/>
      <w:r w:rsidRPr="0057694A">
        <w:rPr>
          <w:rFonts w:asciiTheme="majorHAnsi" w:hAnsiTheme="majorHAnsi" w:cstheme="majorHAnsi"/>
          <w:color w:val="000000" w:themeColor="text1"/>
          <w:sz w:val="22"/>
          <w:szCs w:val="22"/>
          <w:shd w:val="clear" w:color="auto" w:fill="FFFFFF"/>
        </w:rPr>
        <w:t>.</w:t>
      </w:r>
    </w:p>
    <w:p w:rsidR="00FD0749" w:rsidRPr="00FD0749" w:rsidRDefault="00721DE7"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FD0749">
        <w:rPr>
          <w:rFonts w:asciiTheme="majorHAnsi" w:hAnsiTheme="majorHAnsi" w:cstheme="majorHAnsi"/>
          <w:color w:val="000000" w:themeColor="text1"/>
          <w:sz w:val="22"/>
          <w:szCs w:val="22"/>
          <w:shd w:val="clear" w:color="auto" w:fill="FFFFFF"/>
        </w:rPr>
        <w:t>ME</w:t>
      </w:r>
      <w:r>
        <w:rPr>
          <w:rFonts w:asciiTheme="majorHAnsi" w:hAnsiTheme="majorHAnsi" w:cstheme="majorHAnsi"/>
          <w:color w:val="000000" w:themeColor="text1"/>
          <w:sz w:val="22"/>
          <w:szCs w:val="22"/>
          <w:shd w:val="clear" w:color="auto" w:fill="FFFFFF"/>
        </w:rPr>
        <w:t xml:space="preserve">ER: </w:t>
      </w:r>
      <w:r w:rsidR="00FD0749" w:rsidRPr="00FD0749">
        <w:rPr>
          <w:rFonts w:asciiTheme="majorHAnsi" w:hAnsiTheme="majorHAnsi" w:cstheme="majorHAnsi"/>
          <w:color w:val="000000" w:themeColor="text1"/>
          <w:sz w:val="22"/>
          <w:szCs w:val="22"/>
          <w:shd w:val="clear" w:color="auto" w:fill="FFFFFF"/>
        </w:rPr>
        <w:t>Ministerio de Electricidad y Energía Renovable de Ecuador</w:t>
      </w:r>
      <w:r>
        <w:rPr>
          <w:rFonts w:asciiTheme="majorHAnsi" w:hAnsiTheme="majorHAnsi" w:cstheme="majorHAnsi"/>
          <w:color w:val="000000" w:themeColor="text1"/>
          <w:sz w:val="22"/>
          <w:szCs w:val="22"/>
          <w:shd w:val="clear" w:color="auto" w:fill="FFFFFF"/>
        </w:rPr>
        <w:t xml:space="preserve"> - (</w:t>
      </w:r>
      <w:r w:rsidR="00FD0749" w:rsidRPr="00FD0749">
        <w:rPr>
          <w:rFonts w:asciiTheme="majorHAnsi" w:hAnsiTheme="majorHAnsi" w:cstheme="majorHAnsi"/>
          <w:color w:val="000000" w:themeColor="text1"/>
          <w:sz w:val="22"/>
          <w:szCs w:val="22"/>
          <w:shd w:val="clear" w:color="auto" w:fill="FFFFFF"/>
        </w:rPr>
        <w:t>2016)</w:t>
      </w:r>
      <w:r>
        <w:rPr>
          <w:rFonts w:asciiTheme="majorHAnsi" w:hAnsiTheme="majorHAnsi" w:cstheme="majorHAnsi"/>
          <w:color w:val="000000" w:themeColor="text1"/>
          <w:sz w:val="22"/>
          <w:szCs w:val="22"/>
          <w:shd w:val="clear" w:color="auto" w:fill="FFFFFF"/>
        </w:rPr>
        <w:t>.</w:t>
      </w:r>
      <w:r w:rsidR="00FD0749" w:rsidRPr="00FD0749">
        <w:rPr>
          <w:rFonts w:asciiTheme="majorHAnsi" w:hAnsiTheme="majorHAnsi" w:cstheme="majorHAnsi"/>
          <w:color w:val="000000" w:themeColor="text1"/>
          <w:sz w:val="22"/>
          <w:szCs w:val="22"/>
          <w:shd w:val="clear" w:color="auto" w:fill="FFFFFF"/>
        </w:rPr>
        <w:t xml:space="preserve"> https://www.energia.gob.ec/ </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t>Myles G. (1995)</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Public Economics</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Cambridge: Cambridge University Press.</w:t>
      </w:r>
    </w:p>
    <w:p w:rsidR="00FD0749" w:rsidRPr="00FD0749"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rPr>
      </w:pPr>
      <w:r w:rsidRPr="0072749E">
        <w:rPr>
          <w:rFonts w:asciiTheme="majorHAnsi" w:hAnsiTheme="majorHAnsi" w:cstheme="majorHAnsi"/>
          <w:color w:val="000000" w:themeColor="text1"/>
          <w:sz w:val="22"/>
          <w:szCs w:val="22"/>
          <w:shd w:val="clear" w:color="auto" w:fill="FFFFFF"/>
        </w:rPr>
        <w:t xml:space="preserve">Navajas F. (2018). </w:t>
      </w:r>
      <w:r w:rsidR="00721DE7" w:rsidRPr="0072749E">
        <w:rPr>
          <w:rFonts w:asciiTheme="majorHAnsi" w:hAnsiTheme="majorHAnsi" w:cstheme="majorHAnsi"/>
          <w:color w:val="000000" w:themeColor="text1"/>
          <w:sz w:val="22"/>
          <w:szCs w:val="22"/>
          <w:shd w:val="clear" w:color="auto" w:fill="FFFFFF"/>
        </w:rPr>
        <w:t>“</w:t>
      </w:r>
      <w:r w:rsidRPr="0072749E">
        <w:rPr>
          <w:rFonts w:asciiTheme="majorHAnsi" w:hAnsiTheme="majorHAnsi" w:cstheme="majorHAnsi"/>
          <w:color w:val="000000" w:themeColor="text1"/>
          <w:sz w:val="22"/>
          <w:szCs w:val="22"/>
          <w:shd w:val="clear" w:color="auto" w:fill="FFFFFF"/>
        </w:rPr>
        <w:t>Impuestos y cargos en la provisión de servicios públicos domiciliarios</w:t>
      </w:r>
      <w:r w:rsidR="00721DE7" w:rsidRPr="0072749E">
        <w:rPr>
          <w:rFonts w:asciiTheme="majorHAnsi" w:hAnsiTheme="majorHAnsi" w:cstheme="majorHAnsi"/>
          <w:color w:val="000000" w:themeColor="text1"/>
          <w:sz w:val="22"/>
          <w:szCs w:val="22"/>
          <w:shd w:val="clear" w:color="auto" w:fill="FFFFFF"/>
        </w:rPr>
        <w:t>”</w:t>
      </w:r>
      <w:r w:rsidRPr="0072749E">
        <w:rPr>
          <w:rFonts w:asciiTheme="majorHAnsi" w:hAnsiTheme="majorHAnsi" w:cstheme="majorHAnsi"/>
          <w:color w:val="000000" w:themeColor="text1"/>
          <w:sz w:val="22"/>
          <w:szCs w:val="22"/>
          <w:shd w:val="clear" w:color="auto" w:fill="FFFFFF"/>
        </w:rPr>
        <w:t>. Banco Inter-Americano de Desarrollo (BID).</w:t>
      </w:r>
      <w:r w:rsidRPr="00FD0749">
        <w:rPr>
          <w:rFonts w:asciiTheme="majorHAnsi" w:hAnsiTheme="majorHAnsi" w:cstheme="majorHAnsi"/>
          <w:color w:val="000000" w:themeColor="text1"/>
          <w:sz w:val="22"/>
          <w:szCs w:val="22"/>
          <w:shd w:val="clear" w:color="auto" w:fill="FFFFFF"/>
        </w:rPr>
        <w:t xml:space="preserve"> </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57694A">
        <w:rPr>
          <w:rFonts w:asciiTheme="majorHAnsi" w:hAnsiTheme="majorHAnsi" w:cstheme="majorHAnsi"/>
          <w:color w:val="000000" w:themeColor="text1"/>
          <w:sz w:val="22"/>
          <w:szCs w:val="22"/>
          <w:shd w:val="clear" w:color="auto" w:fill="FFFFFF"/>
        </w:rPr>
        <w:t>Pérez-Arriaga I., J.D. Jenkins and C. Batlle (2017)</w:t>
      </w:r>
      <w:r w:rsidR="00721DE7" w:rsidRPr="0057694A">
        <w:rPr>
          <w:rFonts w:asciiTheme="majorHAnsi" w:hAnsiTheme="majorHAnsi" w:cstheme="majorHAnsi"/>
          <w:color w:val="000000" w:themeColor="text1"/>
          <w:sz w:val="22"/>
          <w:szCs w:val="22"/>
          <w:shd w:val="clear" w:color="auto" w:fill="FFFFFF"/>
        </w:rPr>
        <w:t>.</w:t>
      </w:r>
      <w:r w:rsidRPr="0057694A">
        <w:rPr>
          <w:rFonts w:asciiTheme="majorHAnsi" w:hAnsiTheme="majorHAnsi" w:cstheme="majorHAnsi"/>
          <w:color w:val="000000" w:themeColor="text1"/>
          <w:sz w:val="22"/>
          <w:szCs w:val="22"/>
          <w:shd w:val="clear" w:color="auto" w:fill="FFFFFF"/>
        </w:rPr>
        <w:t xml:space="preserve"> </w:t>
      </w:r>
      <w:r w:rsidRPr="00721DE7">
        <w:rPr>
          <w:rFonts w:asciiTheme="majorHAnsi" w:hAnsiTheme="majorHAnsi" w:cstheme="majorHAnsi"/>
          <w:color w:val="000000" w:themeColor="text1"/>
          <w:sz w:val="22"/>
          <w:szCs w:val="22"/>
          <w:shd w:val="clear" w:color="auto" w:fill="FFFFFF"/>
          <w:lang w:val="en-US"/>
        </w:rPr>
        <w:t>“A regulatory framework for an evolving electricity sector: Highlights of the MIT utility of the future study”</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Economics of Energy and Environmental Policy, 6, pp.71-92.</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t>Ramsey F. (1927)</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“A contribution to the theory of taxation.” </w:t>
      </w:r>
      <w:r w:rsidRPr="0057694A">
        <w:rPr>
          <w:rFonts w:asciiTheme="majorHAnsi" w:hAnsiTheme="majorHAnsi" w:cstheme="majorHAnsi"/>
          <w:color w:val="000000" w:themeColor="text1"/>
          <w:sz w:val="22"/>
          <w:szCs w:val="22"/>
          <w:shd w:val="clear" w:color="auto" w:fill="FFFFFF"/>
          <w:lang w:val="en-US"/>
        </w:rPr>
        <w:t xml:space="preserve">Economic Journal 37 pp.47-61. </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proofErr w:type="spellStart"/>
      <w:r w:rsidRPr="00721DE7">
        <w:rPr>
          <w:rFonts w:asciiTheme="majorHAnsi" w:hAnsiTheme="majorHAnsi" w:cstheme="majorHAnsi"/>
          <w:color w:val="000000" w:themeColor="text1"/>
          <w:sz w:val="22"/>
          <w:szCs w:val="22"/>
          <w:shd w:val="clear" w:color="auto" w:fill="FFFFFF"/>
          <w:lang w:val="en-US"/>
        </w:rPr>
        <w:t>Sandmo</w:t>
      </w:r>
      <w:proofErr w:type="spellEnd"/>
      <w:r w:rsidRPr="00721DE7">
        <w:rPr>
          <w:rFonts w:asciiTheme="majorHAnsi" w:hAnsiTheme="majorHAnsi" w:cstheme="majorHAnsi"/>
          <w:color w:val="000000" w:themeColor="text1"/>
          <w:sz w:val="22"/>
          <w:szCs w:val="22"/>
          <w:shd w:val="clear" w:color="auto" w:fill="FFFFFF"/>
          <w:lang w:val="en-US"/>
        </w:rPr>
        <w:t xml:space="preserve"> A. (2000)</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The Public Economics of the Environment</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Pr="0057694A">
        <w:rPr>
          <w:rFonts w:asciiTheme="majorHAnsi" w:hAnsiTheme="majorHAnsi" w:cstheme="majorHAnsi"/>
          <w:color w:val="000000" w:themeColor="text1"/>
          <w:sz w:val="22"/>
          <w:szCs w:val="22"/>
          <w:shd w:val="clear" w:color="auto" w:fill="FFFFFF"/>
          <w:lang w:val="en-US"/>
        </w:rPr>
        <w:t>Oxford: Oxford University Press.</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57694A">
        <w:rPr>
          <w:rFonts w:asciiTheme="majorHAnsi" w:hAnsiTheme="majorHAnsi" w:cstheme="majorHAnsi"/>
          <w:color w:val="000000" w:themeColor="text1"/>
          <w:sz w:val="22"/>
          <w:szCs w:val="22"/>
          <w:shd w:val="clear" w:color="auto" w:fill="FFFFFF"/>
          <w:lang w:val="en-US"/>
        </w:rPr>
        <w:t>Schlirf R. (2017)</w:t>
      </w:r>
      <w:r w:rsidR="00721DE7" w:rsidRPr="0057694A">
        <w:rPr>
          <w:rFonts w:asciiTheme="majorHAnsi" w:hAnsiTheme="majorHAnsi" w:cstheme="majorHAnsi"/>
          <w:color w:val="000000" w:themeColor="text1"/>
          <w:sz w:val="22"/>
          <w:szCs w:val="22"/>
          <w:shd w:val="clear" w:color="auto" w:fill="FFFFFF"/>
          <w:lang w:val="en-US"/>
        </w:rPr>
        <w:t>.</w:t>
      </w:r>
      <w:r w:rsidRPr="0057694A">
        <w:rPr>
          <w:rFonts w:asciiTheme="majorHAnsi" w:hAnsiTheme="majorHAnsi" w:cstheme="majorHAnsi"/>
          <w:color w:val="000000" w:themeColor="text1"/>
          <w:sz w:val="22"/>
          <w:szCs w:val="22"/>
          <w:shd w:val="clear" w:color="auto" w:fill="FFFFFF"/>
          <w:lang w:val="en-US"/>
        </w:rPr>
        <w:t xml:space="preserve"> “Taxes and Levies in residential billing of Public Services: an introduction to practices in Europe”. Unpublished note prepared for the Inter-American Development Bank. For access to the note, please contact the authors.</w:t>
      </w:r>
    </w:p>
    <w:p w:rsidR="00FD0749" w:rsidRPr="0057694A"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FD0749">
        <w:rPr>
          <w:rFonts w:asciiTheme="majorHAnsi" w:hAnsiTheme="majorHAnsi" w:cstheme="majorHAnsi"/>
          <w:color w:val="000000" w:themeColor="text1"/>
          <w:sz w:val="22"/>
          <w:szCs w:val="22"/>
          <w:shd w:val="clear" w:color="auto" w:fill="FFFFFF"/>
        </w:rPr>
        <w:t xml:space="preserve">Secretaría de Energía (2002). </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Impuestos y Subsidios sobre las Tarifas Eléctricas a Usuario Final</w:t>
      </w:r>
      <w:r w:rsidR="00721DE7">
        <w:rPr>
          <w:rFonts w:asciiTheme="majorHAnsi" w:hAnsiTheme="majorHAnsi" w:cstheme="majorHAnsi"/>
          <w:color w:val="000000" w:themeColor="text1"/>
          <w:sz w:val="22"/>
          <w:szCs w:val="22"/>
          <w:shd w:val="clear" w:color="auto" w:fill="FFFFFF"/>
        </w:rPr>
        <w:t>”</w:t>
      </w:r>
      <w:r w:rsidRPr="00FD0749">
        <w:rPr>
          <w:rFonts w:asciiTheme="majorHAnsi" w:hAnsiTheme="majorHAnsi" w:cstheme="majorHAnsi"/>
          <w:color w:val="000000" w:themeColor="text1"/>
          <w:sz w:val="22"/>
          <w:szCs w:val="22"/>
          <w:shd w:val="clear" w:color="auto" w:fill="FFFFFF"/>
        </w:rPr>
        <w:t xml:space="preserve">. </w:t>
      </w:r>
      <w:r w:rsidRPr="0057694A">
        <w:rPr>
          <w:rFonts w:asciiTheme="majorHAnsi" w:hAnsiTheme="majorHAnsi" w:cstheme="majorHAnsi"/>
          <w:color w:val="000000" w:themeColor="text1"/>
          <w:sz w:val="22"/>
          <w:szCs w:val="22"/>
          <w:shd w:val="clear" w:color="auto" w:fill="FFFFFF"/>
          <w:lang w:val="en-US"/>
        </w:rPr>
        <w:t>República Argentina</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t>Starrett D. (1988)</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Foundations of Public Economics</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Cambridge: Cambridge University Press.</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57694A">
        <w:rPr>
          <w:rFonts w:asciiTheme="majorHAnsi" w:hAnsiTheme="majorHAnsi" w:cstheme="majorHAnsi"/>
          <w:color w:val="000000" w:themeColor="text1"/>
          <w:sz w:val="22"/>
          <w:szCs w:val="22"/>
          <w:shd w:val="clear" w:color="auto" w:fill="FFFFFF"/>
          <w:lang w:val="en-US"/>
        </w:rPr>
        <w:t xml:space="preserve">Straub, S., 2008. </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Infrastructure and growth in developing countries: recent advances and research challenges</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t>Wilson R. (1993)</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Nonlinear Pricing</w:t>
      </w:r>
      <w:r w:rsid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Oxford: Oxford University Press.</w:t>
      </w:r>
    </w:p>
    <w:p w:rsidR="00FD0749" w:rsidRPr="00721DE7" w:rsidRDefault="00FD0749"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lastRenderedPageBreak/>
        <w:t>Wolak F. (2008)</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“Public utility pricing and finance”</w:t>
      </w:r>
      <w:r w:rsidR="00721DE7" w:rsidRPr="00721DE7">
        <w:rPr>
          <w:rFonts w:asciiTheme="majorHAnsi" w:hAnsiTheme="majorHAnsi" w:cstheme="majorHAnsi"/>
          <w:color w:val="000000" w:themeColor="text1"/>
          <w:sz w:val="22"/>
          <w:szCs w:val="22"/>
          <w:shd w:val="clear" w:color="auto" w:fill="FFFFFF"/>
          <w:lang w:val="en-US"/>
        </w:rPr>
        <w:t>.</w:t>
      </w:r>
      <w:r w:rsidRPr="00721DE7">
        <w:rPr>
          <w:rFonts w:asciiTheme="majorHAnsi" w:hAnsiTheme="majorHAnsi" w:cstheme="majorHAnsi"/>
          <w:color w:val="000000" w:themeColor="text1"/>
          <w:sz w:val="22"/>
          <w:szCs w:val="22"/>
          <w:shd w:val="clear" w:color="auto" w:fill="FFFFFF"/>
          <w:lang w:val="en-US"/>
        </w:rPr>
        <w:t xml:space="preserve"> The New Palgrave Dictionary of Economics, London: Macmillan.</w:t>
      </w:r>
    </w:p>
    <w:p w:rsidR="004D5F54" w:rsidRPr="00721DE7" w:rsidRDefault="004D5F54" w:rsidP="00FD0749">
      <w:pPr>
        <w:spacing w:before="100" w:beforeAutospacing="1" w:after="100" w:afterAutospacing="1"/>
        <w:ind w:left="567" w:hanging="567"/>
        <w:jc w:val="both"/>
        <w:rPr>
          <w:rFonts w:asciiTheme="majorHAnsi" w:hAnsiTheme="majorHAnsi" w:cstheme="majorHAnsi"/>
          <w:color w:val="000000" w:themeColor="text1"/>
          <w:sz w:val="22"/>
          <w:szCs w:val="22"/>
          <w:shd w:val="clear" w:color="auto" w:fill="FFFFFF"/>
          <w:lang w:val="en-US"/>
        </w:rPr>
      </w:pPr>
      <w:r w:rsidRPr="00721DE7">
        <w:rPr>
          <w:rFonts w:asciiTheme="majorHAnsi" w:hAnsiTheme="majorHAnsi" w:cstheme="majorHAnsi"/>
          <w:color w:val="000000" w:themeColor="text1"/>
          <w:sz w:val="22"/>
          <w:szCs w:val="22"/>
          <w:shd w:val="clear" w:color="auto" w:fill="FFFFFF"/>
          <w:lang w:val="en-US"/>
        </w:rPr>
        <w:br w:type="page"/>
      </w:r>
    </w:p>
    <w:p w:rsidR="00493AF2" w:rsidRPr="004D5F54" w:rsidRDefault="00493AF2" w:rsidP="007C369E">
      <w:pPr>
        <w:rPr>
          <w:rFonts w:asciiTheme="majorHAnsi" w:hAnsiTheme="majorHAnsi" w:cstheme="majorHAnsi"/>
          <w:b/>
          <w:sz w:val="22"/>
          <w:szCs w:val="22"/>
        </w:rPr>
      </w:pPr>
      <w:r w:rsidRPr="004D5F54">
        <w:rPr>
          <w:rFonts w:asciiTheme="majorHAnsi" w:hAnsiTheme="majorHAnsi" w:cstheme="majorHAnsi"/>
          <w:b/>
          <w:sz w:val="22"/>
          <w:szCs w:val="22"/>
        </w:rPr>
        <w:lastRenderedPageBreak/>
        <w:t>Anexo</w:t>
      </w:r>
    </w:p>
    <w:p w:rsidR="00966001" w:rsidRPr="002A3E43" w:rsidRDefault="00966001" w:rsidP="007C369E">
      <w:pPr>
        <w:jc w:val="center"/>
        <w:rPr>
          <w:rFonts w:asciiTheme="majorHAnsi" w:hAnsiTheme="majorHAnsi" w:cstheme="majorHAnsi"/>
          <w:b/>
          <w:sz w:val="22"/>
          <w:szCs w:val="22"/>
          <w:lang w:val="es-PE"/>
        </w:rPr>
      </w:pPr>
      <w:r w:rsidRPr="002A3E43">
        <w:rPr>
          <w:rFonts w:asciiTheme="majorHAnsi" w:hAnsiTheme="majorHAnsi" w:cstheme="majorHAnsi"/>
          <w:b/>
          <w:sz w:val="22"/>
          <w:szCs w:val="22"/>
          <w:lang w:val="es-PE"/>
        </w:rPr>
        <w:t>Tabla A1. Muestra de facturas para Cuenca, Guayaquil, y Machala (Ecuador,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3"/>
        <w:gridCol w:w="4375"/>
      </w:tblGrid>
      <w:tr w:rsidR="00966001" w:rsidRPr="002A3E43" w:rsidTr="00B11FF8">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ES" w:eastAsia="es-ES"/>
              </w:rPr>
              <w:t>Cuenca</w:t>
            </w:r>
          </w:p>
        </w:tc>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PE"/>
              </w:rPr>
              <w:t>Guayaquil</w:t>
            </w:r>
          </w:p>
        </w:tc>
      </w:tr>
      <w:tr w:rsidR="00966001" w:rsidRPr="002A3E43" w:rsidTr="00B11FF8">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ES"/>
              </w:rPr>
              <w:drawing>
                <wp:inline distT="0" distB="0" distL="0" distR="0" wp14:anchorId="4EE8CE85" wp14:editId="5447A293">
                  <wp:extent cx="2505456" cy="2276856"/>
                  <wp:effectExtent l="0" t="0" r="0" b="952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05456" cy="2276856"/>
                          </a:xfrm>
                          <a:prstGeom prst="rect">
                            <a:avLst/>
                          </a:prstGeom>
                          <a:noFill/>
                          <a:ln>
                            <a:noFill/>
                          </a:ln>
                        </pic:spPr>
                      </pic:pic>
                    </a:graphicData>
                  </a:graphic>
                </wp:inline>
              </w:drawing>
            </w:r>
          </w:p>
        </w:tc>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ES"/>
              </w:rPr>
              <w:drawing>
                <wp:inline distT="0" distB="0" distL="0" distR="0" wp14:anchorId="5B34CE92" wp14:editId="13E5A9D5">
                  <wp:extent cx="2667116" cy="3961832"/>
                  <wp:effectExtent l="0" t="0" r="0" b="635"/>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67476" cy="3962366"/>
                          </a:xfrm>
                          <a:prstGeom prst="rect">
                            <a:avLst/>
                          </a:prstGeom>
                          <a:noFill/>
                          <a:ln>
                            <a:noFill/>
                          </a:ln>
                        </pic:spPr>
                      </pic:pic>
                    </a:graphicData>
                  </a:graphic>
                </wp:inline>
              </w:drawing>
            </w:r>
          </w:p>
        </w:tc>
      </w:tr>
      <w:tr w:rsidR="00966001" w:rsidRPr="002A3E43" w:rsidTr="00B11FF8">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PE"/>
              </w:rPr>
              <w:t>Machala</w:t>
            </w:r>
          </w:p>
          <w:p w:rsidR="00966001" w:rsidRPr="002A3E43" w:rsidRDefault="00966001" w:rsidP="00A15206">
            <w:pPr>
              <w:spacing w:before="100" w:beforeAutospacing="1" w:after="100" w:afterAutospacing="1"/>
              <w:jc w:val="center"/>
              <w:rPr>
                <w:rFonts w:asciiTheme="majorHAnsi" w:hAnsiTheme="majorHAnsi" w:cstheme="majorHAnsi"/>
                <w:b/>
                <w:noProof/>
                <w:lang w:val="es-PE"/>
              </w:rPr>
            </w:pPr>
            <w:r w:rsidRPr="002A3E43">
              <w:rPr>
                <w:rFonts w:asciiTheme="majorHAnsi" w:hAnsiTheme="majorHAnsi" w:cstheme="majorHAnsi"/>
                <w:b/>
                <w:noProof/>
                <w:lang w:val="es-ES"/>
              </w:rPr>
              <w:drawing>
                <wp:inline distT="0" distB="0" distL="0" distR="0" wp14:anchorId="6CB10E58" wp14:editId="5F802820">
                  <wp:extent cx="2342954" cy="3488590"/>
                  <wp:effectExtent l="0" t="0" r="0" b="0"/>
                  <wp:docPr id="1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43433" cy="3489303"/>
                          </a:xfrm>
                          <a:prstGeom prst="rect">
                            <a:avLst/>
                          </a:prstGeom>
                          <a:noFill/>
                          <a:ln>
                            <a:noFill/>
                          </a:ln>
                        </pic:spPr>
                      </pic:pic>
                    </a:graphicData>
                  </a:graphic>
                </wp:inline>
              </w:drawing>
            </w:r>
          </w:p>
        </w:tc>
        <w:tc>
          <w:tcPr>
            <w:tcW w:w="4357" w:type="dxa"/>
          </w:tcPr>
          <w:p w:rsidR="00966001" w:rsidRPr="002A3E43" w:rsidRDefault="00966001" w:rsidP="00A15206">
            <w:pPr>
              <w:spacing w:before="100" w:beforeAutospacing="1" w:after="100" w:afterAutospacing="1"/>
              <w:jc w:val="center"/>
              <w:rPr>
                <w:rFonts w:asciiTheme="majorHAnsi" w:hAnsiTheme="majorHAnsi" w:cstheme="majorHAnsi"/>
                <w:b/>
                <w:noProof/>
                <w:lang w:val="es-PE"/>
              </w:rPr>
            </w:pPr>
          </w:p>
        </w:tc>
      </w:tr>
    </w:tbl>
    <w:p w:rsidR="00493AF2" w:rsidRPr="00D96756" w:rsidRDefault="00966001" w:rsidP="00D96756">
      <w:pPr>
        <w:spacing w:before="100" w:beforeAutospacing="1" w:after="100" w:afterAutospacing="1"/>
        <w:rPr>
          <w:rFonts w:asciiTheme="majorHAnsi" w:hAnsiTheme="majorHAnsi" w:cstheme="majorHAnsi"/>
          <w:sz w:val="22"/>
          <w:szCs w:val="22"/>
          <w:lang w:val="es-PE"/>
        </w:rPr>
      </w:pPr>
      <w:r w:rsidRPr="002A3E43">
        <w:rPr>
          <w:rFonts w:asciiTheme="majorHAnsi" w:hAnsiTheme="majorHAnsi" w:cstheme="majorHAnsi"/>
          <w:sz w:val="22"/>
          <w:szCs w:val="22"/>
          <w:lang w:val="es-PE"/>
        </w:rPr>
        <w:t>Fuente: Distribuidoras de agua de Cuenca, Guayaquil y Machala (Ecuador, 2017).</w:t>
      </w:r>
    </w:p>
    <w:sectPr w:rsidR="00493AF2" w:rsidRPr="00D96756" w:rsidSect="006F7019">
      <w:footerReference w:type="even" r:id="rId33"/>
      <w:footerReference w:type="default" r:id="rId34"/>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63B" w:rsidRDefault="00F0763B" w:rsidP="00C80EA4">
      <w:r>
        <w:separator/>
      </w:r>
    </w:p>
  </w:endnote>
  <w:endnote w:type="continuationSeparator" w:id="0">
    <w:p w:rsidR="00F0763B" w:rsidRDefault="00F0763B" w:rsidP="00C8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4" w:rsidRDefault="007D7DE4" w:rsidP="00FD00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7DE4" w:rsidRDefault="007D7DE4" w:rsidP="00085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DE4" w:rsidRPr="00085424" w:rsidRDefault="007D7DE4" w:rsidP="00FD0054">
    <w:pPr>
      <w:pStyle w:val="Footer"/>
      <w:framePr w:wrap="around" w:vAnchor="text" w:hAnchor="margin" w:xAlign="right" w:y="1"/>
      <w:rPr>
        <w:rStyle w:val="PageNumber"/>
        <w:rFonts w:ascii="Calibri" w:hAnsi="Calibri"/>
      </w:rPr>
    </w:pPr>
    <w:r w:rsidRPr="00085424">
      <w:rPr>
        <w:rStyle w:val="PageNumber"/>
        <w:rFonts w:ascii="Calibri" w:hAnsi="Calibri"/>
      </w:rPr>
      <w:fldChar w:fldCharType="begin"/>
    </w:r>
    <w:r w:rsidRPr="00085424">
      <w:rPr>
        <w:rStyle w:val="PageNumber"/>
        <w:rFonts w:ascii="Calibri" w:hAnsi="Calibri"/>
      </w:rPr>
      <w:instrText xml:space="preserve">PAGE  </w:instrText>
    </w:r>
    <w:r w:rsidRPr="00085424">
      <w:rPr>
        <w:rStyle w:val="PageNumber"/>
        <w:rFonts w:ascii="Calibri" w:hAnsi="Calibri"/>
      </w:rPr>
      <w:fldChar w:fldCharType="separate"/>
    </w:r>
    <w:r>
      <w:rPr>
        <w:rStyle w:val="PageNumber"/>
        <w:rFonts w:ascii="Calibri" w:hAnsi="Calibri"/>
        <w:noProof/>
      </w:rPr>
      <w:t>1</w:t>
    </w:r>
    <w:r w:rsidRPr="00085424">
      <w:rPr>
        <w:rStyle w:val="PageNumber"/>
        <w:rFonts w:ascii="Calibri" w:hAnsi="Calibri"/>
      </w:rPr>
      <w:fldChar w:fldCharType="end"/>
    </w:r>
  </w:p>
  <w:p w:rsidR="007D7DE4" w:rsidRDefault="007D7DE4" w:rsidP="000854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63B" w:rsidRDefault="00F0763B" w:rsidP="00C80EA4">
      <w:r>
        <w:separator/>
      </w:r>
    </w:p>
  </w:footnote>
  <w:footnote w:type="continuationSeparator" w:id="0">
    <w:p w:rsidR="00F0763B" w:rsidRDefault="00F0763B" w:rsidP="00C80EA4">
      <w:r>
        <w:continuationSeparator/>
      </w:r>
    </w:p>
  </w:footnote>
  <w:footnote w:id="1">
    <w:p w:rsidR="007D7DE4" w:rsidRPr="00B41C88" w:rsidRDefault="007D7DE4" w:rsidP="0057694A">
      <w:pPr>
        <w:jc w:val="both"/>
        <w:rPr>
          <w:rFonts w:asciiTheme="majorHAnsi" w:eastAsia="Times New Roman"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w:t>
      </w:r>
      <w:r w:rsidRPr="00B41C88">
        <w:rPr>
          <w:rFonts w:asciiTheme="majorHAnsi" w:eastAsia="Times New Roman" w:hAnsiTheme="majorHAnsi" w:cstheme="majorHAnsi"/>
          <w:sz w:val="18"/>
          <w:szCs w:val="18"/>
          <w:shd w:val="clear" w:color="auto" w:fill="FFFFFF"/>
        </w:rPr>
        <w:t>https://data.worldbank.org</w:t>
      </w:r>
    </w:p>
  </w:footnote>
  <w:footnote w:id="2">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La teoría estándar de imposición óptima argumenta que el diseño y ejecución de esquemas impositivos deben ser establecidos en proporción inversa a la elasticidad-precio de la demanda de los bienes y servicios (Ramsey, 1927). </w:t>
      </w:r>
    </w:p>
  </w:footnote>
  <w:footnote w:id="3">
    <w:p w:rsidR="007D7DE4" w:rsidRPr="00115D2B" w:rsidRDefault="007D7DE4" w:rsidP="0057694A">
      <w:pPr>
        <w:pStyle w:val="FootnoteText"/>
        <w:jc w:val="both"/>
        <w:rPr>
          <w:rFonts w:asciiTheme="majorHAnsi" w:hAnsiTheme="majorHAnsi" w:cstheme="majorHAnsi"/>
          <w:sz w:val="18"/>
          <w:szCs w:val="18"/>
          <w:lang w:val="es-ES_tradnl"/>
        </w:rPr>
      </w:pPr>
      <w:r w:rsidRPr="00115D2B">
        <w:rPr>
          <w:rStyle w:val="FootnoteReference"/>
          <w:rFonts w:asciiTheme="majorHAnsi" w:hAnsiTheme="majorHAnsi" w:cstheme="majorHAnsi"/>
          <w:sz w:val="18"/>
          <w:szCs w:val="18"/>
        </w:rPr>
        <w:footnoteRef/>
      </w:r>
      <w:r w:rsidRPr="00115D2B">
        <w:rPr>
          <w:rFonts w:asciiTheme="majorHAnsi" w:hAnsiTheme="majorHAnsi" w:cstheme="majorHAnsi"/>
          <w:sz w:val="18"/>
          <w:szCs w:val="18"/>
          <w:lang w:val="es-ES_tradnl"/>
        </w:rPr>
        <w:t xml:space="preserve"> En adelante se referirá al término agua de manera general, pero esto también </w:t>
      </w:r>
      <w:r>
        <w:rPr>
          <w:rFonts w:asciiTheme="majorHAnsi" w:hAnsiTheme="majorHAnsi" w:cstheme="majorHAnsi"/>
          <w:sz w:val="18"/>
          <w:szCs w:val="18"/>
          <w:lang w:val="es-ES_tradnl"/>
        </w:rPr>
        <w:t>considera</w:t>
      </w:r>
      <w:r w:rsidRPr="00115D2B">
        <w:rPr>
          <w:rFonts w:asciiTheme="majorHAnsi" w:hAnsiTheme="majorHAnsi" w:cstheme="majorHAnsi"/>
          <w:sz w:val="18"/>
          <w:szCs w:val="18"/>
          <w:lang w:val="es-ES_tradnl"/>
        </w:rPr>
        <w:t xml:space="preserve"> gasto en saneamiento.</w:t>
      </w:r>
    </w:p>
  </w:footnote>
  <w:footnote w:id="4">
    <w:p w:rsidR="007D7DE4" w:rsidRPr="00B41C88" w:rsidRDefault="007D7DE4" w:rsidP="0057694A">
      <w:pPr>
        <w:pStyle w:val="FootnoteText"/>
        <w:jc w:val="both"/>
        <w:rPr>
          <w:rFonts w:asciiTheme="majorHAnsi" w:hAnsiTheme="majorHAnsi" w:cstheme="majorHAnsi"/>
          <w:sz w:val="18"/>
          <w:szCs w:val="18"/>
          <w:lang w:val="es-ES_tradnl"/>
        </w:rPr>
      </w:pPr>
      <w:r w:rsidRPr="0057694A">
        <w:rPr>
          <w:rStyle w:val="FootnoteReference"/>
          <w:rFonts w:asciiTheme="majorHAnsi" w:hAnsiTheme="majorHAnsi" w:cstheme="majorHAnsi"/>
          <w:sz w:val="18"/>
          <w:szCs w:val="18"/>
          <w:lang w:val="es-ES_tradnl"/>
        </w:rPr>
        <w:footnoteRef/>
      </w:r>
      <w:r w:rsidRPr="0057694A">
        <w:rPr>
          <w:rFonts w:asciiTheme="majorHAnsi" w:hAnsiTheme="majorHAnsi" w:cstheme="majorHAnsi"/>
          <w:sz w:val="18"/>
          <w:szCs w:val="18"/>
          <w:lang w:val="es-ES_tradnl"/>
        </w:rPr>
        <w:t xml:space="preserve"> Esta sección es un resumen del documento técnico Navajas</w:t>
      </w:r>
      <w:r>
        <w:rPr>
          <w:rFonts w:asciiTheme="majorHAnsi" w:hAnsiTheme="majorHAnsi" w:cstheme="majorHAnsi"/>
          <w:sz w:val="18"/>
          <w:szCs w:val="18"/>
          <w:lang w:val="es-ES_tradnl"/>
        </w:rPr>
        <w:t>, F.</w:t>
      </w:r>
      <w:r w:rsidRPr="0057694A">
        <w:rPr>
          <w:rFonts w:asciiTheme="majorHAnsi" w:hAnsiTheme="majorHAnsi" w:cstheme="majorHAnsi"/>
          <w:sz w:val="18"/>
          <w:szCs w:val="18"/>
          <w:lang w:val="es-ES_tradnl"/>
        </w:rPr>
        <w:t xml:space="preserve"> (2018) </w:t>
      </w:r>
      <w:r w:rsidRPr="0057694A">
        <w:rPr>
          <w:rFonts w:asciiTheme="majorHAnsi" w:hAnsiTheme="majorHAnsi" w:cstheme="majorHAnsi"/>
          <w:i/>
          <w:sz w:val="18"/>
          <w:szCs w:val="18"/>
          <w:lang w:val="es-ES_tradnl"/>
        </w:rPr>
        <w:t>Impuestos y cargos en la provisión de servicios públicos domiciliarios. Banco Interamericano de Desarrollo (BID)</w:t>
      </w:r>
      <w:r w:rsidRPr="0057694A">
        <w:rPr>
          <w:rFonts w:asciiTheme="majorHAnsi" w:hAnsiTheme="majorHAnsi" w:cstheme="majorHAnsi"/>
          <w:sz w:val="18"/>
          <w:szCs w:val="18"/>
          <w:lang w:val="es-ES_tradnl"/>
        </w:rPr>
        <w:t>.</w:t>
      </w:r>
    </w:p>
  </w:footnote>
  <w:footnote w:id="5">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lang w:val="es-ES_tradnl"/>
        </w:rPr>
        <w:footnoteRef/>
      </w:r>
      <w:r w:rsidRPr="00B41C88">
        <w:rPr>
          <w:rFonts w:asciiTheme="majorHAnsi" w:hAnsiTheme="majorHAnsi" w:cstheme="majorHAnsi"/>
          <w:sz w:val="18"/>
          <w:szCs w:val="18"/>
          <w:lang w:val="es-ES_tradnl"/>
        </w:rPr>
        <w:t xml:space="preserve"> Los datos expresados como actuales en esta sección tienen vigencia a junio de 2018.</w:t>
      </w:r>
    </w:p>
  </w:footnote>
  <w:footnote w:id="6">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w:t>
      </w:r>
      <w:r w:rsidRPr="00B41C88">
        <w:rPr>
          <w:rFonts w:asciiTheme="majorHAnsi" w:hAnsiTheme="majorHAnsi" w:cstheme="majorHAnsi"/>
          <w:sz w:val="18"/>
          <w:szCs w:val="18"/>
          <w:lang w:val="es-PE"/>
        </w:rPr>
        <w:t>De acuerdo a Jimenez y Yépez-García (2017), el presupuesto de los hogares destinado a energía puede llegar hasta un 17.5 por ciento para los quintiles más pobres. Sin embargo, esto considera todo el gasto en energía y no solo electricidad.</w:t>
      </w:r>
    </w:p>
  </w:footnote>
  <w:footnote w:id="7">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La cobertura eléctrica a nivel nacional era de 97.2 por ciento al 2016, de acuerdo a datos del Ministerio de Electricidad y Energía Renovable (MEER, 2016).</w:t>
      </w:r>
    </w:p>
  </w:footnote>
  <w:footnote w:id="8">
    <w:p w:rsidR="007D7DE4" w:rsidRPr="004C2FB0" w:rsidRDefault="007D7DE4" w:rsidP="0057694A">
      <w:pPr>
        <w:pStyle w:val="FootnoteText"/>
        <w:jc w:val="both"/>
        <w:rPr>
          <w:rFonts w:asciiTheme="majorHAnsi" w:hAnsiTheme="majorHAnsi" w:cstheme="majorHAnsi"/>
          <w:sz w:val="18"/>
          <w:szCs w:val="18"/>
          <w:lang w:val="es-ES_tradnl"/>
        </w:rPr>
      </w:pPr>
      <w:r w:rsidRPr="004C2FB0">
        <w:rPr>
          <w:rStyle w:val="FootnoteReference"/>
          <w:rFonts w:asciiTheme="majorHAnsi" w:hAnsiTheme="majorHAnsi" w:cstheme="majorHAnsi"/>
          <w:sz w:val="18"/>
          <w:szCs w:val="18"/>
        </w:rPr>
        <w:footnoteRef/>
      </w:r>
      <w:r w:rsidRPr="004C2FB0">
        <w:rPr>
          <w:rFonts w:asciiTheme="majorHAnsi" w:hAnsiTheme="majorHAnsi" w:cstheme="majorHAnsi"/>
          <w:sz w:val="18"/>
          <w:szCs w:val="18"/>
          <w:lang w:val="es-ES_tradnl"/>
        </w:rPr>
        <w:t xml:space="preserve"> Los servicios públicos de energía eléctrica, agua potable, alcantarillado y los de recolección de basura se encuentran gravados con tarifa 0% según el artículo 56 de la Ley Orgánica de Régimen Tributario Interno.</w:t>
      </w:r>
    </w:p>
  </w:footnote>
  <w:footnote w:id="9">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bookmarkStart w:id="1" w:name="_Hlk519778010"/>
      <w:r w:rsidRPr="00B41C88">
        <w:rPr>
          <w:rFonts w:asciiTheme="majorHAnsi" w:hAnsiTheme="majorHAnsi" w:cstheme="majorHAnsi"/>
          <w:sz w:val="18"/>
          <w:szCs w:val="18"/>
          <w:lang w:val="es-PE"/>
        </w:rPr>
        <w:t>Ministerio de Electricidad y Energía Renovable (MEER, 2016).</w:t>
      </w:r>
    </w:p>
    <w:bookmarkEnd w:id="1"/>
  </w:footnote>
  <w:footnote w:id="10">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MEER (2016)</w:t>
      </w:r>
    </w:p>
  </w:footnote>
  <w:footnote w:id="11">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5E66F9">
        <w:rPr>
          <w:rFonts w:asciiTheme="majorHAnsi" w:hAnsiTheme="majorHAnsi" w:cstheme="majorHAnsi"/>
          <w:w w:val="97"/>
          <w:sz w:val="18"/>
          <w:szCs w:val="18"/>
          <w:lang w:val="es-PE"/>
        </w:rPr>
        <w:t>http://www.asambleanacional.gob.ec/sites/default/files/private/asambleanacional/filesasambleanacionalnameuid-29/Leyes por ciento202013-2017/117-energia/ap-ref-32-def-cont-inc-18-07-2017.pdf</w:t>
      </w:r>
    </w:p>
  </w:footnote>
  <w:footnote w:id="12">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A ese momento solo 20 por ciento de los GADs</w:t>
      </w:r>
      <w:r w:rsidRPr="00B41C88">
        <w:rPr>
          <w:rFonts w:asciiTheme="majorHAnsi" w:eastAsia="Times New Roman" w:hAnsiTheme="majorHAnsi" w:cstheme="majorHAnsi"/>
          <w:color w:val="000000"/>
          <w:sz w:val="18"/>
          <w:szCs w:val="18"/>
          <w:lang w:val="es-PE"/>
        </w:rPr>
        <w:t xml:space="preserve"> gestionaba 20 por ciento de su basura, mientras que 80 por ciento la botaba a cielo abierto. http://www.ambiente.gob.ec/programa-pngids-ecuador/</w:t>
      </w:r>
    </w:p>
  </w:footnote>
  <w:footnote w:id="13">
    <w:p w:rsidR="007D7DE4" w:rsidRPr="00B41C88" w:rsidRDefault="007D7DE4" w:rsidP="0057694A">
      <w:pPr>
        <w:pStyle w:val="FootnoteText"/>
        <w:jc w:val="both"/>
        <w:outlineLvl w:val="0"/>
        <w:rPr>
          <w:rFonts w:asciiTheme="majorHAnsi" w:hAnsiTheme="majorHAnsi" w:cstheme="majorHAnsi"/>
          <w:spacing w:val="-2"/>
          <w:sz w:val="18"/>
          <w:szCs w:val="18"/>
          <w:lang w:val="es-PE"/>
        </w:rPr>
      </w:pPr>
      <w:r w:rsidRPr="00B41C88">
        <w:rPr>
          <w:rStyle w:val="FootnoteReference"/>
          <w:rFonts w:asciiTheme="majorHAnsi" w:hAnsiTheme="majorHAnsi" w:cstheme="majorHAnsi"/>
          <w:spacing w:val="-2"/>
          <w:sz w:val="18"/>
          <w:szCs w:val="18"/>
          <w:lang w:val="es-PE"/>
        </w:rPr>
        <w:footnoteRef/>
      </w:r>
      <w:r w:rsidRPr="00B41C88">
        <w:rPr>
          <w:rFonts w:asciiTheme="majorHAnsi" w:hAnsiTheme="majorHAnsi" w:cstheme="majorHAnsi"/>
          <w:spacing w:val="-2"/>
          <w:sz w:val="18"/>
          <w:szCs w:val="18"/>
          <w:lang w:val="es-PE"/>
        </w:rPr>
        <w:t xml:space="preserve"> http://www7.quito.gob.ec/mdmq_ordenanzas/Proyectos por ciento20Ordenanzas/211/Ordenanza por ciento20Metropolitana por ciento20No. por ciento20175.pdf</w:t>
      </w:r>
    </w:p>
  </w:footnote>
  <w:footnote w:id="14">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hyperlink r:id="rId1" w:history="1">
        <w:r w:rsidRPr="00C706A5">
          <w:rPr>
            <w:rStyle w:val="Hyperlink"/>
            <w:rFonts w:asciiTheme="majorHAnsi" w:hAnsiTheme="majorHAnsi" w:cstheme="majorHAnsi"/>
            <w:sz w:val="18"/>
            <w:szCs w:val="18"/>
            <w:lang w:val="es-PE"/>
          </w:rPr>
          <w:t>http://campaadelectura.com/</w:t>
        </w:r>
      </w:hyperlink>
      <w:r>
        <w:rPr>
          <w:rFonts w:asciiTheme="majorHAnsi" w:hAnsiTheme="majorHAnsi" w:cstheme="majorHAnsi"/>
          <w:sz w:val="18"/>
          <w:szCs w:val="18"/>
          <w:lang w:val="es-PE"/>
        </w:rPr>
        <w:t>. C</w:t>
      </w:r>
      <w:r w:rsidRPr="00FC764A">
        <w:rPr>
          <w:rFonts w:asciiTheme="majorHAnsi" w:hAnsiTheme="majorHAnsi" w:cstheme="majorHAnsi"/>
          <w:sz w:val="18"/>
          <w:szCs w:val="18"/>
          <w:lang w:val="es-PE"/>
        </w:rPr>
        <w:t>onsiste en un programa de lectura al que el individuo tiene acceso mediante el pago de $1.5 al mes. Este monto es incluido adicionalmente en la factura eléctrica y a cambio el cliente recibe un libro y una revista al mes.</w:t>
      </w:r>
    </w:p>
  </w:footnote>
  <w:footnote w:id="15">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http://www.energia.gob.ec/programa-de-eficiencia-energetica-para-coccion-por-induccion-y-calentamiento-de-agua-con-electricidad-en-sustitucion-del-gas-licuado-de-petroleo-glp-en-el-sector-reside/</w:t>
      </w:r>
    </w:p>
  </w:footnote>
  <w:footnote w:id="16">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http://www.industrias.gob.ec/renova-refrigeradora/</w:t>
      </w:r>
    </w:p>
  </w:footnote>
  <w:footnote w:id="17">
    <w:p w:rsidR="007D7DE4" w:rsidRPr="00982792" w:rsidRDefault="007D7DE4" w:rsidP="0057694A">
      <w:pPr>
        <w:pStyle w:val="FootnoteText"/>
        <w:jc w:val="both"/>
        <w:rPr>
          <w:lang w:val="es-ES_tradnl"/>
        </w:rPr>
      </w:pPr>
      <w:r w:rsidRPr="000B67D0">
        <w:rPr>
          <w:rFonts w:asciiTheme="majorHAnsi" w:hAnsiTheme="majorHAnsi" w:cstheme="majorHAnsi"/>
          <w:sz w:val="18"/>
          <w:szCs w:val="18"/>
          <w:vertAlign w:val="superscript"/>
          <w:lang w:val="es-PE"/>
        </w:rPr>
        <w:footnoteRef/>
      </w:r>
      <w:r w:rsidRPr="00885CB8">
        <w:rPr>
          <w:rFonts w:asciiTheme="majorHAnsi" w:hAnsiTheme="majorHAnsi" w:cstheme="majorHAnsi"/>
          <w:sz w:val="18"/>
          <w:szCs w:val="18"/>
          <w:lang w:val="es-PE"/>
        </w:rPr>
        <w:t xml:space="preserve"> El distribuidor con mayor participación en Ecuador es </w:t>
      </w:r>
      <w:r>
        <w:rPr>
          <w:rFonts w:asciiTheme="majorHAnsi" w:hAnsiTheme="majorHAnsi" w:cstheme="majorHAnsi"/>
          <w:sz w:val="18"/>
          <w:szCs w:val="18"/>
          <w:lang w:val="es-PE"/>
        </w:rPr>
        <w:t>l</w:t>
      </w:r>
      <w:r w:rsidRPr="00885CB8">
        <w:rPr>
          <w:rFonts w:asciiTheme="majorHAnsi" w:hAnsiTheme="majorHAnsi" w:cstheme="majorHAnsi"/>
          <w:sz w:val="18"/>
          <w:szCs w:val="18"/>
          <w:lang w:val="es-PE"/>
        </w:rPr>
        <w:t>a Corporación Nacional de Electricidad (CNEL), lamentablemente no se cuenta con información para esta empresa.</w:t>
      </w:r>
    </w:p>
  </w:footnote>
  <w:footnote w:id="18">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B41C88">
        <w:rPr>
          <w:rFonts w:asciiTheme="majorHAnsi" w:hAnsiTheme="majorHAnsi" w:cstheme="majorHAnsi"/>
          <w:color w:val="222222"/>
          <w:sz w:val="18"/>
          <w:szCs w:val="18"/>
          <w:shd w:val="clear" w:color="auto" w:fill="FFFFFF"/>
          <w:lang w:val="es-PE"/>
        </w:rPr>
        <w:t>El </w:t>
      </w:r>
      <w:r w:rsidRPr="00B41C88">
        <w:rPr>
          <w:rFonts w:asciiTheme="majorHAnsi" w:hAnsiTheme="majorHAnsi" w:cstheme="majorHAnsi"/>
          <w:bCs/>
          <w:color w:val="222222"/>
          <w:sz w:val="18"/>
          <w:szCs w:val="18"/>
          <w:shd w:val="clear" w:color="auto" w:fill="FFFFFF"/>
          <w:lang w:val="es-PE"/>
        </w:rPr>
        <w:t>quintil de ingreso</w:t>
      </w:r>
      <w:r w:rsidRPr="00B41C88">
        <w:rPr>
          <w:rFonts w:asciiTheme="majorHAnsi" w:hAnsiTheme="majorHAnsi" w:cstheme="majorHAnsi"/>
          <w:color w:val="222222"/>
          <w:sz w:val="18"/>
          <w:szCs w:val="18"/>
          <w:shd w:val="clear" w:color="auto" w:fill="FFFFFF"/>
          <w:lang w:val="es-PE"/>
        </w:rPr>
        <w:t> </w:t>
      </w:r>
      <w:r w:rsidRPr="00B41C88">
        <w:rPr>
          <w:rFonts w:asciiTheme="majorHAnsi" w:hAnsiTheme="majorHAnsi" w:cstheme="majorHAnsi"/>
          <w:bCs/>
          <w:color w:val="222222"/>
          <w:sz w:val="18"/>
          <w:szCs w:val="18"/>
          <w:shd w:val="clear" w:color="auto" w:fill="FFFFFF"/>
          <w:lang w:val="es-PE"/>
        </w:rPr>
        <w:t>se calcula en función de la distribución del gasto familiar per cápita dentro de cada país ordenando la població</w:t>
      </w:r>
      <w:r w:rsidRPr="00B41C88">
        <w:rPr>
          <w:rFonts w:asciiTheme="majorHAnsi" w:hAnsiTheme="majorHAnsi" w:cstheme="majorHAnsi"/>
          <w:color w:val="222222"/>
          <w:sz w:val="18"/>
          <w:szCs w:val="18"/>
          <w:shd w:val="clear" w:color="auto" w:fill="FFFFFF"/>
          <w:lang w:val="es-PE"/>
        </w:rPr>
        <w:t xml:space="preserve">n desde el más pobre al más rico, para luego dividirla en 5 partes de igual número de individuos. Así, el primer quintil representa la porción de la población más pobre; a la que hemos denominado “Ingreso Bajo” y el quinto quintil representa la población más rica, a la que hemos denominado “Ingreso Alto”. </w:t>
      </w:r>
    </w:p>
  </w:footnote>
  <w:footnote w:id="19">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http://www.iner.gob.ec/wp-content/uploads/downloads/2015/05/LOSPEE.pdf</w:t>
      </w:r>
    </w:p>
  </w:footnote>
  <w:footnote w:id="20">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2D31E8">
        <w:rPr>
          <w:rFonts w:asciiTheme="majorHAnsi" w:hAnsiTheme="majorHAnsi" w:cstheme="majorHAnsi"/>
          <w:w w:val="98"/>
          <w:sz w:val="18"/>
          <w:szCs w:val="18"/>
          <w:lang w:val="es-PE"/>
        </w:rPr>
        <w:t>http://www.asambleanacional.gob.ec/sites/default/files/private/asambleanacional/filesasambleanacionalnameuid-29/Leyes por ciento202013-2017/117-energia/ap-ref-32-def-cont-inc-18-07-2017.pdf</w:t>
      </w:r>
    </w:p>
  </w:footnote>
  <w:footnote w:id="21">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La Agencia de Regulación y Control de Electricidad (ARCONEL) fue creada en enero del 2015 con el objetivo de regular y controlar las actividades relacionadas con el servicio público de energía eléctrica y el servicio de alumbrado público general, como la elaboración de pliegos tarifarios y emisión de regulaciones.</w:t>
      </w:r>
    </w:p>
  </w:footnote>
  <w:footnote w:id="22">
    <w:p w:rsidR="007D7DE4" w:rsidRPr="00B41C88" w:rsidRDefault="007D7DE4" w:rsidP="0057694A">
      <w:pPr>
        <w:pStyle w:val="Comment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http://www.telesurtv.net/news/Lenin-Moreno-propone-entregar-325-mil-casas-durante-su-Gobierno-20170215-0009.html</w:t>
      </w:r>
    </w:p>
  </w:footnote>
  <w:footnote w:id="23">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Recae sobre el municipio la responsabilidad de la provisión del servicio, siendo éste quien decide si proveerlo directamente o delegar hacia una junta de agua o empresa pública. </w:t>
      </w:r>
      <w:r>
        <w:rPr>
          <w:rFonts w:asciiTheme="majorHAnsi" w:hAnsiTheme="majorHAnsi" w:cstheme="majorHAnsi"/>
          <w:sz w:val="18"/>
          <w:szCs w:val="18"/>
          <w:lang w:val="es-PE"/>
        </w:rPr>
        <w:t>E</w:t>
      </w:r>
      <w:r w:rsidRPr="00B41C88">
        <w:rPr>
          <w:rFonts w:asciiTheme="majorHAnsi" w:hAnsiTheme="majorHAnsi" w:cstheme="majorHAnsi"/>
          <w:sz w:val="18"/>
          <w:szCs w:val="18"/>
          <w:lang w:val="es-PE"/>
        </w:rPr>
        <w:t>n la Ley Orgánica de Empresas Públicas de 2009 donde se recoge expresamente la posibilidad de imponer cargas, tasas o gravámenes sobre el servicio de agua a nivel local.</w:t>
      </w:r>
    </w:p>
  </w:footnote>
  <w:footnote w:id="24">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Instituto Nacional de Estadística y Censos de Ecuador </w:t>
      </w:r>
      <w:r w:rsidRPr="00B41C88">
        <w:rPr>
          <w:rFonts w:asciiTheme="majorHAnsi" w:hAnsiTheme="majorHAnsi" w:cstheme="majorHAnsi"/>
          <w:color w:val="222222"/>
          <w:sz w:val="18"/>
          <w:szCs w:val="18"/>
          <w:lang w:val="es-ES_tradnl"/>
        </w:rPr>
        <w:t>- Encuesta de Condiciones de Vida 2014</w:t>
      </w:r>
      <w:r>
        <w:rPr>
          <w:rFonts w:asciiTheme="majorHAnsi" w:hAnsiTheme="majorHAnsi" w:cstheme="majorHAnsi"/>
          <w:color w:val="222222"/>
          <w:sz w:val="18"/>
          <w:szCs w:val="18"/>
          <w:lang w:val="es-ES_tradnl"/>
        </w:rPr>
        <w:t>.</w:t>
      </w:r>
    </w:p>
  </w:footnote>
  <w:footnote w:id="25">
    <w:p w:rsidR="007D7DE4" w:rsidRPr="00B41C88" w:rsidRDefault="007D7DE4" w:rsidP="0057694A">
      <w:pPr>
        <w:jc w:val="both"/>
        <w:rPr>
          <w:rFonts w:asciiTheme="majorHAnsi" w:hAnsiTheme="majorHAnsi" w:cstheme="majorHAnsi"/>
          <w:b/>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La provisión del servicio de agua en Ecuador está cargo de las 221 municipalidades que proveen el agua a través de empresas municipales autónomas, de otras empresas públicas o de juntas de agua. Existe solo un concesionario privado, Interagua, que provee el servicio de agua y saneamiento en Guayaquil desde el 2001. En la mayor parte del área rural, la provisión de agua se da a través de juntas de agua. Algunas de estas juntas facturan solo el servicio de agua y a tarifas muy bajas y, de requerirlo, pueden pedir aportes extra para rehabilitación, por ejemplo; cuando en el ámbito urbano este concepto se incluye en la tarifa. Otras juntas de agua no facturan (alrededor de 7,000 prestadores rurales no facturan) y solo venden al agua a cambio de una tasa que se paga al momento. </w:t>
      </w:r>
    </w:p>
  </w:footnote>
  <w:footnote w:id="26">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el 2014, ARCA realizó una encuesta entre las empresas proveedoras con la intención de determinar si las tarifas existentes eran sostenibles. La encuesta reveló cómo la gran mayoría de empresas no cubría costes de operación y mantenimiento.</w:t>
      </w:r>
      <w:r>
        <w:rPr>
          <w:rFonts w:asciiTheme="majorHAnsi" w:hAnsiTheme="majorHAnsi" w:cstheme="majorHAnsi"/>
          <w:sz w:val="18"/>
          <w:szCs w:val="18"/>
        </w:rPr>
        <w:t xml:space="preserve"> </w:t>
      </w:r>
      <w:r w:rsidRPr="00B41C88">
        <w:rPr>
          <w:rFonts w:asciiTheme="majorHAnsi" w:hAnsiTheme="majorHAnsi" w:cstheme="majorHAnsi"/>
          <w:sz w:val="18"/>
          <w:szCs w:val="18"/>
        </w:rPr>
        <w:t>La crisis de 2014-15 en el país provocó, entre otras reacciones, un espacio de radio y televisión gubernamental (</w:t>
      </w:r>
      <w:r w:rsidRPr="00B41C88">
        <w:rPr>
          <w:rFonts w:asciiTheme="majorHAnsi" w:hAnsiTheme="majorHAnsi" w:cstheme="majorHAnsi"/>
          <w:i/>
          <w:sz w:val="18"/>
          <w:szCs w:val="18"/>
        </w:rPr>
        <w:t>Enlace Ciudadano</w:t>
      </w:r>
      <w:r w:rsidRPr="00B41C88">
        <w:rPr>
          <w:rFonts w:asciiTheme="majorHAnsi" w:hAnsiTheme="majorHAnsi" w:cstheme="majorHAnsi"/>
          <w:sz w:val="18"/>
          <w:szCs w:val="18"/>
        </w:rPr>
        <w:t>) donde el presidente de Ecuador declaró insostenible la situación del sector y determinó que a partir de entonces ningún municipio podría recibir subsidios para el sector de agua y saneamiento. El objetivo era promover una gestión eficiente del servicio y recuperar costos a través de tarifas.</w:t>
      </w:r>
      <w:r>
        <w:rPr>
          <w:rFonts w:asciiTheme="majorHAnsi" w:hAnsiTheme="majorHAnsi" w:cstheme="majorHAnsi"/>
          <w:sz w:val="18"/>
          <w:szCs w:val="18"/>
        </w:rPr>
        <w:t xml:space="preserve"> </w:t>
      </w:r>
      <w:r w:rsidRPr="00B41C88">
        <w:rPr>
          <w:rFonts w:asciiTheme="majorHAnsi" w:hAnsiTheme="majorHAnsi" w:cstheme="majorHAnsi"/>
          <w:sz w:val="18"/>
          <w:szCs w:val="18"/>
        </w:rPr>
        <w:t xml:space="preserve">Al mismo tiempo, en la actualidad se está tratando de añadir el servicio del tratamiento de aguas residuales dentro de la tarifa de agua. </w:t>
      </w:r>
    </w:p>
  </w:footnote>
  <w:footnote w:id="27">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La Empresa de Agua de Quito es una de las principales empresas de agua en Ecuador. Según representantes de la empresa, en el 2017 ésta tenía un nivel de cobertura del 99 por ciento, un nivel de pérdidas del 20 por ciento y una recuperación de la tarifa del 97 por ciento.</w:t>
      </w:r>
    </w:p>
  </w:footnote>
  <w:footnote w:id="28">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Único proveedor privado en el país.</w:t>
      </w:r>
    </w:p>
  </w:footnote>
  <w:footnote w:id="29">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http://www7.quito.gob.ec/mdmq_ordenanzas/Ordenanzas/ORDENANZAS por ciento20A por cientoC3 por ciento91OS por ciento20ANTERIORES/ORDM-160 por ciento20- por ciento20NOMENCLATURA por ciento20Y por ciento20NUMERACION por ciento20- por ciento20TASAS.pdf</w:t>
      </w:r>
    </w:p>
  </w:footnote>
  <w:footnote w:id="30">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B41C88">
        <w:rPr>
          <w:rFonts w:asciiTheme="majorHAnsi" w:hAnsiTheme="majorHAnsi" w:cstheme="majorHAnsi"/>
          <w:color w:val="222222"/>
          <w:sz w:val="18"/>
          <w:szCs w:val="18"/>
          <w:shd w:val="clear" w:color="auto" w:fill="FFFFFF"/>
          <w:lang w:val="es-PE"/>
        </w:rPr>
        <w:t>El </w:t>
      </w:r>
      <w:r w:rsidRPr="00B41C88">
        <w:rPr>
          <w:rFonts w:asciiTheme="majorHAnsi" w:hAnsiTheme="majorHAnsi" w:cstheme="majorHAnsi"/>
          <w:bCs/>
          <w:color w:val="222222"/>
          <w:sz w:val="18"/>
          <w:szCs w:val="18"/>
          <w:shd w:val="clear" w:color="auto" w:fill="FFFFFF"/>
          <w:lang w:val="es-PE"/>
        </w:rPr>
        <w:t>quintil de ingreso</w:t>
      </w:r>
      <w:r w:rsidRPr="00B41C88">
        <w:rPr>
          <w:rFonts w:asciiTheme="majorHAnsi" w:hAnsiTheme="majorHAnsi" w:cstheme="majorHAnsi"/>
          <w:color w:val="222222"/>
          <w:sz w:val="18"/>
          <w:szCs w:val="18"/>
          <w:shd w:val="clear" w:color="auto" w:fill="FFFFFF"/>
          <w:lang w:val="es-PE"/>
        </w:rPr>
        <w:t xml:space="preserve"> se calcula ordenando la población desde el más pobre al más rico, para luego dividirla en 5 partes de igual número de individuos. Así, el primer quintil representa la porción de la población más pobre; a la que hemos denominado “Ingreso Bajo y el quinto quintil representa la población más rica, a la que hemos denominado “Ingreso Alto. </w:t>
      </w:r>
    </w:p>
  </w:footnote>
  <w:footnote w:id="31">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Este cálculo se realizó sobre una factura de familia de ingreso alto.</w:t>
      </w:r>
    </w:p>
  </w:footnote>
  <w:footnote w:id="32">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PE"/>
        </w:rPr>
        <w:t xml:space="preserve"> https://www.lanacion.com.ar/2127837-los-servicios-publicos-representan-el-8-de-los-gastos-de-un-hogar</w:t>
      </w:r>
    </w:p>
  </w:footnote>
  <w:footnote w:id="33">
    <w:p w:rsidR="007D7DE4" w:rsidRPr="00921B2C" w:rsidRDefault="007D7DE4" w:rsidP="0057694A">
      <w:pPr>
        <w:pStyle w:val="FootnoteText"/>
        <w:jc w:val="both"/>
        <w:rPr>
          <w:rFonts w:asciiTheme="majorHAnsi" w:hAnsiTheme="majorHAnsi" w:cstheme="majorHAnsi"/>
          <w:sz w:val="18"/>
          <w:szCs w:val="18"/>
          <w:lang w:val="es-ES_tradnl"/>
        </w:rPr>
      </w:pPr>
      <w:r w:rsidRPr="00921B2C">
        <w:rPr>
          <w:rStyle w:val="FootnoteReference"/>
          <w:rFonts w:asciiTheme="majorHAnsi" w:hAnsiTheme="majorHAnsi" w:cstheme="majorHAnsi"/>
          <w:sz w:val="18"/>
          <w:szCs w:val="18"/>
        </w:rPr>
        <w:footnoteRef/>
      </w:r>
      <w:r w:rsidRPr="00921B2C">
        <w:rPr>
          <w:rFonts w:asciiTheme="majorHAnsi" w:hAnsiTheme="majorHAnsi" w:cstheme="majorHAnsi"/>
          <w:sz w:val="18"/>
          <w:szCs w:val="18"/>
          <w:lang w:val="es-ES_tradnl"/>
        </w:rPr>
        <w:t xml:space="preserve"> 10% en el caso de la ciudad de Córdoba, por ejemplo.</w:t>
      </w:r>
    </w:p>
  </w:footnote>
  <w:footnote w:id="34">
    <w:p w:rsidR="007D7DE4" w:rsidRPr="00A2289A" w:rsidRDefault="007D7DE4" w:rsidP="0057694A">
      <w:pPr>
        <w:pStyle w:val="FootnoteText"/>
        <w:jc w:val="both"/>
        <w:rPr>
          <w:rFonts w:asciiTheme="majorHAnsi" w:hAnsiTheme="majorHAnsi" w:cstheme="majorHAnsi"/>
          <w:sz w:val="18"/>
          <w:szCs w:val="18"/>
          <w:lang w:val="es-ES_tradnl"/>
        </w:rPr>
      </w:pPr>
      <w:r w:rsidRPr="00A2289A">
        <w:rPr>
          <w:rStyle w:val="FootnoteReference"/>
          <w:rFonts w:asciiTheme="majorHAnsi" w:hAnsiTheme="majorHAnsi" w:cstheme="majorHAnsi"/>
          <w:sz w:val="18"/>
          <w:szCs w:val="18"/>
          <w:lang w:val="es-ES_tradnl"/>
        </w:rPr>
        <w:footnoteRef/>
      </w:r>
      <w:r w:rsidRPr="00A2289A">
        <w:rPr>
          <w:rFonts w:asciiTheme="majorHAnsi" w:hAnsiTheme="majorHAnsi" w:cstheme="majorHAnsi"/>
          <w:sz w:val="18"/>
          <w:szCs w:val="18"/>
          <w:lang w:val="es-ES_tradnl"/>
        </w:rPr>
        <w:t xml:space="preserve"> Contribución al</w:t>
      </w:r>
      <w:r w:rsidRPr="00A2289A">
        <w:rPr>
          <w:rFonts w:asciiTheme="majorHAnsi" w:hAnsiTheme="majorHAnsi" w:cstheme="majorHAnsi"/>
          <w:color w:val="000000"/>
          <w:sz w:val="18"/>
          <w:szCs w:val="18"/>
          <w:lang w:val="es-ES_tradnl"/>
        </w:rPr>
        <w:t xml:space="preserve"> Fondo Provincial de Compensaciones Tarifarias</w:t>
      </w:r>
      <w:r w:rsidRPr="00A2289A">
        <w:rPr>
          <w:rFonts w:asciiTheme="majorHAnsi" w:hAnsiTheme="majorHAnsi" w:cstheme="majorHAnsi"/>
          <w:sz w:val="18"/>
          <w:szCs w:val="18"/>
          <w:lang w:val="es-ES_tradnl"/>
        </w:rPr>
        <w:t xml:space="preserve"> de máximo el 8 por ciento </w:t>
      </w:r>
      <w:r w:rsidRPr="00A2289A">
        <w:rPr>
          <w:rFonts w:asciiTheme="majorHAnsi" w:hAnsiTheme="majorHAnsi" w:cstheme="majorHAnsi"/>
          <w:color w:val="000000"/>
          <w:sz w:val="18"/>
          <w:szCs w:val="18"/>
          <w:lang w:val="es-ES_tradnl"/>
        </w:rPr>
        <w:t xml:space="preserve">del importe total a facturar a cada usuario, antes de impuestos </w:t>
      </w:r>
      <w:r w:rsidRPr="00A2289A">
        <w:rPr>
          <w:rFonts w:asciiTheme="majorHAnsi" w:hAnsiTheme="majorHAnsi" w:cstheme="majorHAnsi"/>
          <w:sz w:val="18"/>
          <w:szCs w:val="18"/>
          <w:lang w:val="es-ES_tradnl"/>
        </w:rPr>
        <w:t>creado por la Ley 11769, Capítulo X.</w:t>
      </w:r>
    </w:p>
  </w:footnote>
  <w:footnote w:id="35">
    <w:p w:rsidR="007D7DE4" w:rsidRPr="0049713C" w:rsidRDefault="007D7DE4" w:rsidP="0057694A">
      <w:pPr>
        <w:pStyle w:val="FootnoteText"/>
        <w:jc w:val="both"/>
        <w:rPr>
          <w:lang w:val="es-ES_tradnl"/>
        </w:rPr>
      </w:pPr>
      <w:r w:rsidRPr="0049713C">
        <w:rPr>
          <w:rStyle w:val="FootnoteReference"/>
          <w:rFonts w:asciiTheme="majorHAnsi" w:hAnsiTheme="majorHAnsi" w:cstheme="majorHAnsi"/>
          <w:sz w:val="18"/>
          <w:szCs w:val="18"/>
        </w:rPr>
        <w:footnoteRef/>
      </w:r>
      <w:r w:rsidRPr="0049713C">
        <w:rPr>
          <w:rFonts w:asciiTheme="majorHAnsi" w:hAnsiTheme="majorHAnsi" w:cstheme="majorHAnsi"/>
          <w:sz w:val="18"/>
          <w:szCs w:val="18"/>
          <w:lang w:val="es-ES_tradnl"/>
        </w:rPr>
        <w:t xml:space="preserve"> </w:t>
      </w:r>
      <w:proofErr w:type="spellStart"/>
      <w:r w:rsidRPr="0049713C">
        <w:rPr>
          <w:rFonts w:asciiTheme="majorHAnsi" w:hAnsiTheme="majorHAnsi" w:cstheme="majorHAnsi"/>
          <w:sz w:val="18"/>
          <w:szCs w:val="18"/>
          <w:lang w:val="es-ES_tradnl"/>
        </w:rPr>
        <w:t>Aysa</w:t>
      </w:r>
      <w:proofErr w:type="spellEnd"/>
      <w:r w:rsidRPr="0049713C">
        <w:rPr>
          <w:rFonts w:asciiTheme="majorHAnsi" w:hAnsiTheme="majorHAnsi" w:cstheme="majorHAnsi"/>
          <w:sz w:val="18"/>
          <w:szCs w:val="18"/>
          <w:lang w:val="es-ES_tradnl"/>
        </w:rPr>
        <w:t xml:space="preserve"> cobra un 1.12% para el regulador ERAS y 1.12% para la Agencia de Planificación de Agua (APLA) pero no se consideran en el análisis como cargas no relacionadas al servicio ya que lo son. De la misma manera, ABSA cobra un 4% de la Tasa de Fiscalización y Control del Organismo de Control del Agua de Buenos Aires (OCABA).</w:t>
      </w:r>
    </w:p>
  </w:footnote>
  <w:footnote w:id="36">
    <w:p w:rsidR="007D7DE4" w:rsidRPr="00456590" w:rsidRDefault="007D7DE4" w:rsidP="0057694A">
      <w:pPr>
        <w:pStyle w:val="FootnoteText"/>
        <w:jc w:val="both"/>
        <w:rPr>
          <w:rFonts w:asciiTheme="majorHAnsi" w:hAnsiTheme="majorHAnsi" w:cstheme="majorHAnsi"/>
          <w:sz w:val="18"/>
          <w:szCs w:val="18"/>
          <w:lang w:val="pt-BR"/>
        </w:rPr>
      </w:pPr>
      <w:r w:rsidRPr="00B41C88">
        <w:rPr>
          <w:rStyle w:val="FootnoteReference"/>
          <w:rFonts w:asciiTheme="majorHAnsi" w:hAnsiTheme="majorHAnsi" w:cstheme="majorHAnsi"/>
          <w:sz w:val="18"/>
          <w:szCs w:val="18"/>
        </w:rPr>
        <w:footnoteRef/>
      </w:r>
      <w:r w:rsidRPr="00456590">
        <w:rPr>
          <w:rFonts w:asciiTheme="majorHAnsi" w:hAnsiTheme="majorHAnsi" w:cstheme="majorHAnsi"/>
          <w:sz w:val="18"/>
          <w:szCs w:val="18"/>
          <w:lang w:val="pt-BR"/>
        </w:rPr>
        <w:t xml:space="preserve"> Estadísticas – </w:t>
      </w:r>
      <w:proofErr w:type="spellStart"/>
      <w:r w:rsidRPr="00456590">
        <w:rPr>
          <w:rFonts w:asciiTheme="majorHAnsi" w:hAnsiTheme="majorHAnsi" w:cstheme="majorHAnsi"/>
          <w:sz w:val="18"/>
          <w:szCs w:val="18"/>
          <w:lang w:val="pt-BR"/>
        </w:rPr>
        <w:t>Osinergmin</w:t>
      </w:r>
      <w:proofErr w:type="spellEnd"/>
      <w:r w:rsidRPr="00456590">
        <w:rPr>
          <w:rFonts w:asciiTheme="majorHAnsi" w:hAnsiTheme="majorHAnsi" w:cstheme="majorHAnsi"/>
          <w:sz w:val="18"/>
          <w:szCs w:val="18"/>
          <w:lang w:val="pt-BR"/>
        </w:rPr>
        <w:t xml:space="preserve"> 2017 </w:t>
      </w:r>
    </w:p>
  </w:footnote>
  <w:footnote w:id="37">
    <w:p w:rsidR="007D7DE4" w:rsidRPr="00B41C88" w:rsidRDefault="007D7DE4" w:rsidP="0057694A">
      <w:pPr>
        <w:pStyle w:val="FootnoteText"/>
        <w:jc w:val="both"/>
        <w:rPr>
          <w:rFonts w:asciiTheme="majorHAnsi" w:hAnsiTheme="majorHAnsi" w:cstheme="majorHAnsi"/>
          <w:sz w:val="18"/>
          <w:szCs w:val="18"/>
          <w:lang w:val="pt-BR"/>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pt-BR"/>
        </w:rPr>
        <w:t xml:space="preserve"> http://www.leyes.congreso.gob.pe/Documentos/DecretosLegislativos/00057.pdf</w:t>
      </w:r>
    </w:p>
  </w:footnote>
  <w:footnote w:id="38">
    <w:p w:rsidR="007D7DE4" w:rsidRPr="00B41C88" w:rsidRDefault="007D7DE4" w:rsidP="0057694A">
      <w:pPr>
        <w:pStyle w:val="FootnoteText"/>
        <w:jc w:val="both"/>
        <w:rPr>
          <w:rFonts w:asciiTheme="majorHAnsi" w:hAnsiTheme="majorHAnsi" w:cstheme="majorHAnsi"/>
          <w:sz w:val="18"/>
          <w:szCs w:val="18"/>
          <w:lang w:val="pt-BR"/>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pt-BR"/>
        </w:rPr>
        <w:t xml:space="preserve"> http://www.leyes.congreso.gob.pe/Documentos/DecretosLegislativos/00499.pdf</w:t>
      </w:r>
    </w:p>
  </w:footnote>
  <w:footnote w:id="39">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El MINEM está encargado de formular y evaluar las políticas de alcance nacional en materia del desarrollo sostenible de las actividades minero – energéticas.</w:t>
      </w:r>
    </w:p>
  </w:footnote>
  <w:footnote w:id="40">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El OSINERGMIN es desde 1996 la entidad encargada de regular y supervisar que las empresas del sector eléctrico, hidrocarburos y minero cumplan las disposiciones legales de las actividades que desarrollan. </w:t>
      </w:r>
      <w:r w:rsidRPr="00B41C88">
        <w:rPr>
          <w:rFonts w:asciiTheme="majorHAnsi" w:hAnsiTheme="majorHAnsi" w:cstheme="majorHAnsi"/>
          <w:sz w:val="18"/>
          <w:szCs w:val="18"/>
          <w:lang w:val="es-PE"/>
        </w:rPr>
        <w:tab/>
      </w:r>
    </w:p>
  </w:footnote>
  <w:footnote w:id="41">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 xml:space="preserve">Por sus siglas se le conoce como IGV, pero </w:t>
      </w:r>
      <w:r w:rsidRPr="00B41C88">
        <w:rPr>
          <w:rFonts w:asciiTheme="majorHAnsi" w:hAnsiTheme="majorHAnsi" w:cstheme="majorHAnsi"/>
          <w:sz w:val="18"/>
          <w:szCs w:val="18"/>
          <w:lang w:val="es-ES_tradnl"/>
        </w:rPr>
        <w:t xml:space="preserve">se trata del IVA. Para evitar confusiones se le denominará IVA. </w:t>
      </w:r>
    </w:p>
  </w:footnote>
  <w:footnote w:id="42">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Aporte de los usuarios de electricidad para la electrificación de zonas rurales, localidades aisladas y de frontera del país. Creado mediante la ley Nº 28749.</w:t>
      </w:r>
    </w:p>
  </w:footnote>
  <w:footnote w:id="43">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w:t>
      </w:r>
      <w:r w:rsidRPr="00B41C88">
        <w:rPr>
          <w:rFonts w:asciiTheme="majorHAnsi" w:hAnsiTheme="majorHAnsi" w:cstheme="majorHAnsi"/>
          <w:sz w:val="18"/>
          <w:szCs w:val="18"/>
          <w:lang w:val="es-PE"/>
        </w:rPr>
        <w:t>Cabe mencionar que los usuarios en determinadas regiones de la Amazonía del Perú no pagan el IVA para el servicio eléctrico debido a que la Ley Nº 27037 exonera del IVA a ciertas actividades, incluidos los servicios que se presten en la zona de la Amazonía, con el objetivo de fomentar el crecimiento de dicha región</w:t>
      </w:r>
    </w:p>
  </w:footnote>
  <w:footnote w:id="44">
    <w:p w:rsidR="007D7DE4" w:rsidRPr="00B41C88" w:rsidRDefault="007D7DE4" w:rsidP="0057694A">
      <w:pPr>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w:t>
      </w:r>
      <w:r w:rsidRPr="00B41C88">
        <w:rPr>
          <w:rFonts w:asciiTheme="majorHAnsi" w:hAnsiTheme="majorHAnsi" w:cstheme="majorHAnsi"/>
          <w:sz w:val="18"/>
          <w:szCs w:val="18"/>
          <w:lang w:val="es-PE"/>
        </w:rPr>
        <w:t xml:space="preserve">Por ejemplo, existe un cobro por concepto de repago al Fondo Nacional de Vivienda (FONAVI), fondo que se creó en 1979, mediante el Decreto Ley 22591, para financiar préstamos para que la gente pueda construir o adquirir viviendas. El Decreto de Urgencia 074-2000 establece que se puede cargar en las facturas de electricidad un cobro por recuperación de deudas por conexión domiciliaria, realizadas con recursos del FONAVI y que figura en la factura como “encargos de cobranza”. Igualmente, una de las distribuidoras de electricidad en Lima, Edelnor, cobraba electrodomésticos que habían sido adquiridos por el usuario en su factura eléctrica. Actualmente, la ley prohíbe la inclusión de estos conceptos en la factura, por lo que adjuntan una factura independiente a la factura eléctrica. </w:t>
      </w:r>
    </w:p>
  </w:footnote>
  <w:footnote w:id="45">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http://www.leyes.congreso.gob.pe/Documentos/DecretosLegislativos/01253.pdf</w:t>
      </w:r>
    </w:p>
  </w:footnote>
  <w:footnote w:id="46">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El arbitrio de serenazgo comprende el manteamiento y mejora del servicio de vigilancia pública y protección civil en busca de la seguridad ciudadana.</w:t>
      </w:r>
    </w:p>
  </w:footnote>
  <w:footnote w:id="47">
    <w:p w:rsidR="007D7DE4" w:rsidRPr="00B41C88" w:rsidRDefault="007D7DE4" w:rsidP="0057694A">
      <w:pPr>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w:t>
      </w:r>
      <w:r w:rsidRPr="00B41C88">
        <w:rPr>
          <w:rFonts w:asciiTheme="majorHAnsi" w:hAnsiTheme="majorHAnsi" w:cstheme="majorHAnsi"/>
          <w:sz w:val="18"/>
          <w:szCs w:val="18"/>
          <w:lang w:val="es-PE"/>
        </w:rPr>
        <w:t xml:space="preserve">Este resultado se obtiene de un ejercicio de simulación realizado para ilustrar cuánto representaría la tasa de serenazgo, de incluirse, en la factura de electricidad de hogares de diferentes niveles de ingreso. Para obtener este cálculo, se han analizado facturas de electricidad del distribuidor principal en Lima (Luz del Sur) para hogares según nivel de ingreso. Se ha considerado el gasto en electricidad promedio de los hogares por quintil de ingreso obtenido de la Encuesta Nacional de Hogares. El cálculo evalúa 2 escenarios considerando si se decide cobrar: i) el mínimo de $0.3 o ii) el máximo de $1.1, sin ser gravados por el IVA. </w:t>
      </w:r>
    </w:p>
  </w:footnote>
  <w:footnote w:id="48">
    <w:p w:rsidR="007D7DE4" w:rsidRPr="00B41C88" w:rsidRDefault="007D7DE4" w:rsidP="0057694A">
      <w:pPr>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w:t>
      </w:r>
      <w:r w:rsidRPr="00B41C88">
        <w:rPr>
          <w:rFonts w:asciiTheme="majorHAnsi" w:hAnsiTheme="majorHAnsi" w:cstheme="majorHAnsi"/>
          <w:sz w:val="18"/>
          <w:szCs w:val="18"/>
          <w:lang w:val="es-PE"/>
        </w:rPr>
        <w:t>Como en el caso de electricidad, determinadas poblaciones en la Amazonía del Perú no pagan el IVA para el servicio de agua debido a que la Ley Nº 27037</w:t>
      </w: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exonera del IVA a ciertas actividades, incluidos a los servicios que se presten en la zona de la Amazonía, con el objetivo de fomentar el crecimiento de dicha región. En esta zona también aplica la Ley de tributación municipal y a través de los arbitrios municipales se cobran servicios varios. </w:t>
      </w:r>
    </w:p>
  </w:footnote>
  <w:footnote w:id="49">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http://www.leyes.congreso.gob.pe/Documentos/DecretosDeUrgencia/2000074.pdf</w:t>
      </w:r>
    </w:p>
  </w:footnote>
  <w:footnote w:id="50">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http://www.leyes.congreso.gob.pe/Documentos/Leyes/29494.pdf</w:t>
      </w:r>
    </w:p>
  </w:footnote>
  <w:footnote w:id="51">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B41C88">
        <w:rPr>
          <w:rFonts w:asciiTheme="majorHAnsi" w:hAnsiTheme="majorHAnsi" w:cstheme="majorHAnsi"/>
          <w:color w:val="000000"/>
          <w:sz w:val="18"/>
          <w:szCs w:val="18"/>
          <w:lang w:val="es-PE"/>
        </w:rPr>
        <w:t>Multas por la aplicación de la Ley Nº 29924, Ley que sanciona la realización de llamadas malintencionadas a las centrales telefónicas de emergencia y urgencias.</w:t>
      </w:r>
    </w:p>
  </w:footnote>
  <w:footnote w:id="52">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lang w:val="es-ES_tradnl"/>
        </w:rPr>
        <w:footnoteRef/>
      </w:r>
      <w:r w:rsidRPr="00B41C88">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I</w:t>
      </w:r>
      <w:r w:rsidRPr="00B41C88">
        <w:rPr>
          <w:rFonts w:asciiTheme="majorHAnsi" w:hAnsiTheme="majorHAnsi" w:cstheme="majorHAnsi"/>
          <w:sz w:val="18"/>
          <w:szCs w:val="18"/>
          <w:lang w:val="es-ES_tradnl"/>
        </w:rPr>
        <w:t xml:space="preserve">ncluso cuando el suministro se encuentre suspendido por impago. </w:t>
      </w:r>
    </w:p>
  </w:footnote>
  <w:footnote w:id="53">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Las actividades de trasmisión, transformación y distribución en Uruguay son prestadas en todo el país por el ente estatal Administración Nacional de Usinas y Trasmisiones Eléctricas (UTE) y son reguladas por la Unidad Reguladora de Servicios de Energía y Agua (URSEA).</w:t>
      </w:r>
      <w:r>
        <w:rPr>
          <w:rFonts w:asciiTheme="majorHAnsi" w:hAnsiTheme="majorHAnsi" w:cstheme="majorHAnsi"/>
          <w:sz w:val="18"/>
          <w:szCs w:val="18"/>
          <w:lang w:val="es-ES_tradnl"/>
        </w:rPr>
        <w:t xml:space="preserve"> </w:t>
      </w:r>
      <w:r w:rsidRPr="00B41C88">
        <w:rPr>
          <w:rFonts w:asciiTheme="majorHAnsi" w:hAnsiTheme="majorHAnsi" w:cstheme="majorHAnsi"/>
          <w:sz w:val="18"/>
          <w:szCs w:val="18"/>
          <w:lang w:val="es-ES_tradnl"/>
        </w:rPr>
        <w:t>La cobertura eléctrica nacional es de 99.7 por ciento, siendo 99.8 por ciento la cobertura urbana y 97.9 por ciento la rural.</w:t>
      </w:r>
    </w:p>
  </w:footnote>
  <w:footnote w:id="54">
    <w:p w:rsidR="007D7DE4" w:rsidRPr="00B41C88" w:rsidRDefault="007D7DE4" w:rsidP="0057694A">
      <w:pPr>
        <w:jc w:val="both"/>
        <w:rPr>
          <w:rFonts w:asciiTheme="majorHAnsi" w:hAnsiTheme="majorHAnsi" w:cstheme="majorHAnsi"/>
          <w:sz w:val="18"/>
          <w:szCs w:val="18"/>
          <w:lang w:val="es-UY"/>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Artículo 53 Bis del Decreto citado de reglamentación del IVA (D. 220/998) que fue agregado por Decreto 70/014 del 24/03/2014</w:t>
      </w:r>
    </w:p>
  </w:footnote>
  <w:footnote w:id="55">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Decreto 220/998</w:t>
      </w:r>
    </w:p>
  </w:footnote>
  <w:footnote w:id="56">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Decreto No. 96/990 del 21/02/1990</w:t>
      </w:r>
    </w:p>
  </w:footnote>
  <w:footnote w:id="57">
    <w:p w:rsidR="007D7DE4" w:rsidRPr="00B41C88" w:rsidRDefault="007D7DE4" w:rsidP="0057694A">
      <w:pPr>
        <w:pStyle w:val="FootnoteText"/>
        <w:jc w:val="both"/>
        <w:rPr>
          <w:rFonts w:asciiTheme="majorHAnsi" w:hAnsiTheme="majorHAnsi" w:cstheme="majorHAnsi"/>
          <w:sz w:val="18"/>
          <w:szCs w:val="18"/>
          <w:lang w:val="es-UY"/>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Artículo No 7 del Decreto No. 158/995 de 28/04/1995</w:t>
      </w:r>
    </w:p>
  </w:footnote>
  <w:footnote w:id="58">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El servicio de agua es prestado por la OSE en todo el territorio uruguayo, salvo en una parte de la zona balnearia de Maldonado, que lo presta la empresa Aguas de la Costa que tiene como socio mayoritario a la OSE, y algunas áreas menores atendidas por instituciones civiles y cooperativas, sin fines de lucro. La cobertura de agua potable es de 98 por ciento a nivel nacional.</w:t>
      </w:r>
    </w:p>
  </w:footnote>
  <w:footnote w:id="59">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El Título No. 10 del Texto Ordenado 1996 – Artículo 19°</w:t>
      </w:r>
    </w:p>
  </w:footnote>
  <w:footnote w:id="60">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Decreto </w:t>
      </w:r>
      <w:proofErr w:type="spellStart"/>
      <w:r w:rsidRPr="00B41C88">
        <w:rPr>
          <w:rFonts w:asciiTheme="majorHAnsi" w:hAnsiTheme="majorHAnsi" w:cstheme="majorHAnsi"/>
          <w:sz w:val="18"/>
          <w:szCs w:val="18"/>
          <w:lang w:val="es-ES_tradnl"/>
        </w:rPr>
        <w:t>N°</w:t>
      </w:r>
      <w:proofErr w:type="spellEnd"/>
      <w:r w:rsidRPr="00B41C88">
        <w:rPr>
          <w:rFonts w:asciiTheme="majorHAnsi" w:hAnsiTheme="majorHAnsi" w:cstheme="majorHAnsi"/>
          <w:sz w:val="18"/>
          <w:szCs w:val="18"/>
          <w:lang w:val="es-ES_tradnl"/>
        </w:rPr>
        <w:t xml:space="preserve"> 207/007 de. 18/06/007, en su artículo 9°, con vigencia 01/07/2007</w:t>
      </w:r>
    </w:p>
  </w:footnote>
  <w:footnote w:id="61">
    <w:p w:rsidR="007D7DE4" w:rsidRPr="00B41C88" w:rsidRDefault="007D7DE4" w:rsidP="0057694A">
      <w:pPr>
        <w:jc w:val="both"/>
        <w:rPr>
          <w:rFonts w:asciiTheme="majorHAnsi" w:hAnsiTheme="majorHAnsi" w:cstheme="majorHAnsi"/>
          <w:sz w:val="18"/>
          <w:szCs w:val="18"/>
          <w:highlight w:val="yellow"/>
          <w:lang w:val="es-UY"/>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Tasa creada en el artículo 192 de la Ley </w:t>
      </w:r>
      <w:proofErr w:type="spellStart"/>
      <w:r w:rsidRPr="00B41C88">
        <w:rPr>
          <w:rFonts w:asciiTheme="majorHAnsi" w:hAnsiTheme="majorHAnsi" w:cstheme="majorHAnsi"/>
          <w:sz w:val="18"/>
          <w:szCs w:val="18"/>
        </w:rPr>
        <w:t>Nº</w:t>
      </w:r>
      <w:proofErr w:type="spellEnd"/>
      <w:r w:rsidRPr="00B41C88">
        <w:rPr>
          <w:rFonts w:asciiTheme="majorHAnsi" w:hAnsiTheme="majorHAnsi" w:cstheme="majorHAnsi"/>
          <w:sz w:val="18"/>
          <w:szCs w:val="18"/>
        </w:rPr>
        <w:t xml:space="preserve"> 17.930 de 19 de diciembre de 2005. Esta tasa se destina exclusivamente a la financiación del presupuesto aprobado de la Unidad Reguladora de Servicios de Energía y Agua. </w:t>
      </w:r>
    </w:p>
  </w:footnote>
  <w:footnote w:id="62">
    <w:p w:rsidR="007D7DE4" w:rsidRPr="00B41C88" w:rsidRDefault="007D7DE4" w:rsidP="0057694A">
      <w:pPr>
        <w:pStyle w:val="FootnoteText"/>
        <w:jc w:val="both"/>
        <w:rPr>
          <w:rFonts w:asciiTheme="majorHAnsi" w:hAnsiTheme="majorHAnsi" w:cstheme="majorHAnsi"/>
          <w:sz w:val="18"/>
          <w:szCs w:val="18"/>
          <w:lang w:val="es-UY"/>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Creado por la Ley 18.597 de diciembre de 2009. Esta tasa financia actividades, costos, campañas, aportes y otros en temas de eficiencia energética y energías renovables.</w:t>
      </w:r>
    </w:p>
  </w:footnote>
  <w:footnote w:id="63">
    <w:p w:rsidR="007D7DE4" w:rsidRPr="00B41C88" w:rsidRDefault="007D7DE4" w:rsidP="0057694A">
      <w:pPr>
        <w:pStyle w:val="FootnoteText"/>
        <w:jc w:val="both"/>
        <w:rPr>
          <w:rFonts w:asciiTheme="majorHAnsi" w:hAnsiTheme="majorHAnsi" w:cstheme="majorHAnsi"/>
          <w:sz w:val="18"/>
          <w:szCs w:val="18"/>
          <w:lang w:val="es-ES_tradnl"/>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lang w:val="es-ES_tradnl"/>
        </w:rPr>
        <w:t xml:space="preserve"> Segunda mitad del 2015.</w:t>
      </w:r>
    </w:p>
  </w:footnote>
  <w:footnote w:id="64">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Dinamarca los impuestos ascienden al 69.</w:t>
      </w:r>
      <w:r>
        <w:rPr>
          <w:rFonts w:asciiTheme="majorHAnsi" w:hAnsiTheme="majorHAnsi" w:cstheme="majorHAnsi"/>
          <w:sz w:val="18"/>
          <w:szCs w:val="18"/>
        </w:rPr>
        <w:t>1</w:t>
      </w:r>
      <w:r w:rsidRPr="00B41C88">
        <w:rPr>
          <w:rFonts w:asciiTheme="majorHAnsi" w:hAnsiTheme="majorHAnsi" w:cstheme="majorHAnsi"/>
          <w:sz w:val="18"/>
          <w:szCs w:val="18"/>
        </w:rPr>
        <w:t xml:space="preserve"> por ciento. de la factura eléctrica, principalmente por el impuesto al desarrollo de energías renovables, llamado “PSO-</w:t>
      </w:r>
      <w:proofErr w:type="spellStart"/>
      <w:r w:rsidRPr="00B41C88">
        <w:rPr>
          <w:rFonts w:asciiTheme="majorHAnsi" w:hAnsiTheme="majorHAnsi" w:cstheme="majorHAnsi"/>
          <w:sz w:val="18"/>
          <w:szCs w:val="18"/>
        </w:rPr>
        <w:t>tarif</w:t>
      </w:r>
      <w:proofErr w:type="spellEnd"/>
      <w:r w:rsidRPr="00B41C88">
        <w:rPr>
          <w:rFonts w:asciiTheme="majorHAnsi" w:hAnsiTheme="majorHAnsi" w:cstheme="majorHAnsi"/>
          <w:sz w:val="18"/>
          <w:szCs w:val="18"/>
        </w:rPr>
        <w:t>” y a otros impuestos no relacionados a energías renovables como el “</w:t>
      </w:r>
      <w:proofErr w:type="spellStart"/>
      <w:r w:rsidRPr="00B41C88">
        <w:rPr>
          <w:rFonts w:asciiTheme="majorHAnsi" w:hAnsiTheme="majorHAnsi" w:cstheme="majorHAnsi"/>
          <w:sz w:val="18"/>
          <w:szCs w:val="18"/>
        </w:rPr>
        <w:t>Elafgift</w:t>
      </w:r>
      <w:proofErr w:type="spellEnd"/>
      <w:r w:rsidRPr="00B41C88">
        <w:rPr>
          <w:rFonts w:asciiTheme="majorHAnsi" w:hAnsiTheme="majorHAnsi" w:cstheme="majorHAnsi"/>
          <w:sz w:val="18"/>
          <w:szCs w:val="18"/>
        </w:rPr>
        <w:t xml:space="preserve">” que es un impuesto a la Electricidad y el IVA que es 25 por ciento (que también grava el PSO and </w:t>
      </w:r>
      <w:proofErr w:type="spellStart"/>
      <w:r w:rsidRPr="00B41C88">
        <w:rPr>
          <w:rFonts w:asciiTheme="majorHAnsi" w:hAnsiTheme="majorHAnsi" w:cstheme="majorHAnsi"/>
          <w:sz w:val="18"/>
          <w:szCs w:val="18"/>
        </w:rPr>
        <w:t>Elafgift</w:t>
      </w:r>
      <w:proofErr w:type="spellEnd"/>
      <w:r w:rsidRPr="00B41C88">
        <w:rPr>
          <w:rFonts w:asciiTheme="majorHAnsi" w:hAnsiTheme="majorHAnsi" w:cstheme="majorHAnsi"/>
          <w:sz w:val="18"/>
          <w:szCs w:val="18"/>
        </w:rPr>
        <w:t>).</w:t>
      </w:r>
    </w:p>
  </w:footnote>
  <w:footnote w:id="65">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Alemania los impuestos representan 5</w:t>
      </w:r>
      <w:r>
        <w:rPr>
          <w:rFonts w:asciiTheme="majorHAnsi" w:hAnsiTheme="majorHAnsi" w:cstheme="majorHAnsi"/>
          <w:sz w:val="18"/>
          <w:szCs w:val="18"/>
        </w:rPr>
        <w:t>1.5</w:t>
      </w:r>
      <w:r w:rsidRPr="00B41C88">
        <w:rPr>
          <w:rFonts w:asciiTheme="majorHAnsi" w:hAnsiTheme="majorHAnsi" w:cstheme="majorHAnsi"/>
          <w:sz w:val="18"/>
          <w:szCs w:val="18"/>
        </w:rPr>
        <w:t xml:space="preserve"> por ciento de la factura eléctrica, principalmente es la existencia del EEG (</w:t>
      </w:r>
      <w:proofErr w:type="spellStart"/>
      <w:r w:rsidRPr="00B41C88">
        <w:rPr>
          <w:rFonts w:asciiTheme="majorHAnsi" w:hAnsiTheme="majorHAnsi" w:cstheme="majorHAnsi"/>
          <w:sz w:val="18"/>
          <w:szCs w:val="18"/>
        </w:rPr>
        <w:t>Erneuerbare</w:t>
      </w:r>
      <w:proofErr w:type="spellEnd"/>
      <w:r w:rsidRPr="00B41C88">
        <w:rPr>
          <w:rFonts w:asciiTheme="majorHAnsi" w:hAnsiTheme="majorHAnsi" w:cstheme="majorHAnsi"/>
          <w:sz w:val="18"/>
          <w:szCs w:val="18"/>
        </w:rPr>
        <w:t xml:space="preserve"> </w:t>
      </w:r>
      <w:proofErr w:type="spellStart"/>
      <w:r w:rsidRPr="00B41C88">
        <w:rPr>
          <w:rFonts w:asciiTheme="majorHAnsi" w:hAnsiTheme="majorHAnsi" w:cstheme="majorHAnsi"/>
          <w:sz w:val="18"/>
          <w:szCs w:val="18"/>
        </w:rPr>
        <w:t>Energien</w:t>
      </w:r>
      <w:proofErr w:type="spellEnd"/>
      <w:r w:rsidRPr="00B41C88">
        <w:rPr>
          <w:rFonts w:asciiTheme="majorHAnsi" w:hAnsiTheme="majorHAnsi" w:cstheme="majorHAnsi"/>
          <w:sz w:val="18"/>
          <w:szCs w:val="18"/>
        </w:rPr>
        <w:t xml:space="preserve"> </w:t>
      </w:r>
      <w:proofErr w:type="spellStart"/>
      <w:r w:rsidRPr="00B41C88">
        <w:rPr>
          <w:rFonts w:asciiTheme="majorHAnsi" w:hAnsiTheme="majorHAnsi" w:cstheme="majorHAnsi"/>
          <w:sz w:val="18"/>
          <w:szCs w:val="18"/>
        </w:rPr>
        <w:t>Gesetz</w:t>
      </w:r>
      <w:proofErr w:type="spellEnd"/>
      <w:r w:rsidRPr="00B41C88">
        <w:rPr>
          <w:rFonts w:asciiTheme="majorHAnsi" w:hAnsiTheme="majorHAnsi" w:cstheme="majorHAnsi"/>
          <w:sz w:val="18"/>
          <w:szCs w:val="18"/>
        </w:rPr>
        <w:t>) un cargo para promover el desarrollo de energías renovables.</w:t>
      </w:r>
    </w:p>
  </w:footnote>
  <w:footnote w:id="66">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Portugal los impuestos representan </w:t>
      </w:r>
      <w:r>
        <w:rPr>
          <w:rFonts w:asciiTheme="majorHAnsi" w:hAnsiTheme="majorHAnsi" w:cstheme="majorHAnsi"/>
          <w:sz w:val="18"/>
          <w:szCs w:val="18"/>
        </w:rPr>
        <w:t>49.8</w:t>
      </w:r>
      <w:r w:rsidRPr="00B41C88">
        <w:rPr>
          <w:rFonts w:asciiTheme="majorHAnsi" w:hAnsiTheme="majorHAnsi" w:cstheme="majorHAnsi"/>
          <w:sz w:val="18"/>
          <w:szCs w:val="18"/>
        </w:rPr>
        <w:t xml:space="preserve"> por ciento, correspondiendo tres cuartas partes de este porcentaje a la tasa “General </w:t>
      </w:r>
      <w:proofErr w:type="spellStart"/>
      <w:r w:rsidRPr="00B41C88">
        <w:rPr>
          <w:rFonts w:asciiTheme="majorHAnsi" w:hAnsiTheme="majorHAnsi" w:cstheme="majorHAnsi"/>
          <w:sz w:val="18"/>
          <w:szCs w:val="18"/>
        </w:rPr>
        <w:t>Economic</w:t>
      </w:r>
      <w:proofErr w:type="spellEnd"/>
      <w:r w:rsidRPr="00B41C88">
        <w:rPr>
          <w:rFonts w:asciiTheme="majorHAnsi" w:hAnsiTheme="majorHAnsi" w:cstheme="majorHAnsi"/>
          <w:sz w:val="18"/>
          <w:szCs w:val="18"/>
        </w:rPr>
        <w:t xml:space="preserve"> </w:t>
      </w:r>
      <w:proofErr w:type="spellStart"/>
      <w:r w:rsidRPr="00B41C88">
        <w:rPr>
          <w:rFonts w:asciiTheme="majorHAnsi" w:hAnsiTheme="majorHAnsi" w:cstheme="majorHAnsi"/>
          <w:sz w:val="18"/>
          <w:szCs w:val="18"/>
        </w:rPr>
        <w:t>Interest</w:t>
      </w:r>
      <w:proofErr w:type="spellEnd"/>
      <w:r w:rsidRPr="00B41C88">
        <w:rPr>
          <w:rFonts w:asciiTheme="majorHAnsi" w:hAnsiTheme="majorHAnsi" w:cstheme="majorHAnsi"/>
          <w:sz w:val="18"/>
          <w:szCs w:val="18"/>
        </w:rPr>
        <w:t xml:space="preserve"> </w:t>
      </w:r>
      <w:proofErr w:type="spellStart"/>
      <w:r w:rsidRPr="00B41C88">
        <w:rPr>
          <w:rFonts w:asciiTheme="majorHAnsi" w:hAnsiTheme="majorHAnsi" w:cstheme="majorHAnsi"/>
          <w:sz w:val="18"/>
          <w:szCs w:val="18"/>
        </w:rPr>
        <w:t>Costs</w:t>
      </w:r>
      <w:proofErr w:type="spellEnd"/>
      <w:r w:rsidRPr="00B41C88">
        <w:rPr>
          <w:rFonts w:asciiTheme="majorHAnsi" w:hAnsiTheme="majorHAnsi" w:cstheme="majorHAnsi"/>
          <w:sz w:val="18"/>
          <w:szCs w:val="18"/>
        </w:rPr>
        <w:t>” (CIEG por sus siglas en portugués), la cual es una tasa para cubrir costos relacionados con la culminación de contratos de generación de largo plazo frente a la liberalización de mercado. Hay otros impuestos como el impuesto a las instalaciones eléctricas, el impuesto audiovisual</w:t>
      </w:r>
      <w:r w:rsidRPr="00B41C88">
        <w:rPr>
          <w:rFonts w:asciiTheme="majorHAnsi" w:hAnsiTheme="majorHAnsi" w:cstheme="majorHAnsi"/>
          <w:sz w:val="18"/>
          <w:szCs w:val="18"/>
          <w:vertAlign w:val="superscript"/>
        </w:rPr>
        <w:footnoteRef/>
      </w:r>
      <w:r w:rsidRPr="00B41C88">
        <w:rPr>
          <w:rFonts w:asciiTheme="majorHAnsi" w:hAnsiTheme="majorHAnsi" w:cstheme="majorHAnsi"/>
          <w:sz w:val="18"/>
          <w:szCs w:val="18"/>
          <w:vertAlign w:val="superscript"/>
        </w:rPr>
        <w:t xml:space="preserve"> </w:t>
      </w:r>
      <w:r w:rsidRPr="00B41C88">
        <w:rPr>
          <w:rFonts w:asciiTheme="majorHAnsi" w:hAnsiTheme="majorHAnsi" w:cstheme="majorHAnsi"/>
          <w:sz w:val="18"/>
          <w:szCs w:val="18"/>
        </w:rPr>
        <w:t>y el IVA de 23 por ciento.</w:t>
      </w:r>
    </w:p>
  </w:footnote>
  <w:footnote w:id="67">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Italia los impuestos representan 39.1 por ciento. El 74 por ciento del anterior corresponde a deuda de energía nuclear, promoción de renovables y eficiencia energética pero también incentivos al sector de ferrocarriles y al IVA.</w:t>
      </w:r>
    </w:p>
  </w:footnote>
  <w:footnote w:id="68">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Debe mencionarse a nivel regional la creciente importancia del factor medioambiental y los avances tecnológicos generaron el desarrollo de impuestos especiales para la </w:t>
      </w:r>
      <w:r w:rsidRPr="00B41C88">
        <w:rPr>
          <w:rFonts w:asciiTheme="majorHAnsi" w:hAnsiTheme="majorHAnsi" w:cstheme="majorHAnsi"/>
          <w:color w:val="333333"/>
          <w:sz w:val="18"/>
          <w:szCs w:val="18"/>
          <w:shd w:val="clear" w:color="auto" w:fill="FFFFFF"/>
        </w:rPr>
        <w:t>generación de electricidad de fuentes sostenibles, renovables y en algunos casos los cierres de plantas nucleares (</w:t>
      </w:r>
      <w:proofErr w:type="spellStart"/>
      <w:r w:rsidRPr="00B41C88">
        <w:rPr>
          <w:rFonts w:asciiTheme="majorHAnsi" w:hAnsiTheme="majorHAnsi" w:cstheme="majorHAnsi"/>
          <w:color w:val="333333"/>
          <w:sz w:val="18"/>
          <w:szCs w:val="18"/>
          <w:shd w:val="clear" w:color="auto" w:fill="FFFFFF"/>
        </w:rPr>
        <w:t>Schlirf</w:t>
      </w:r>
      <w:proofErr w:type="spellEnd"/>
      <w:r w:rsidRPr="00B41C88">
        <w:rPr>
          <w:rFonts w:asciiTheme="majorHAnsi" w:hAnsiTheme="majorHAnsi" w:cstheme="majorHAnsi"/>
          <w:color w:val="333333"/>
          <w:sz w:val="18"/>
          <w:szCs w:val="18"/>
          <w:shd w:val="clear" w:color="auto" w:fill="FFFFFF"/>
        </w:rPr>
        <w:t>, 2017).</w:t>
      </w:r>
    </w:p>
  </w:footnote>
  <w:footnote w:id="69">
    <w:p w:rsidR="007D7DE4" w:rsidRPr="00B41C88" w:rsidRDefault="007D7DE4" w:rsidP="0057694A">
      <w:pPr>
        <w:pStyle w:val="FootnoteText"/>
        <w:jc w:val="both"/>
        <w:rPr>
          <w:rFonts w:asciiTheme="majorHAnsi" w:hAnsiTheme="majorHAnsi" w:cstheme="majorHAnsi"/>
          <w:color w:val="000000" w:themeColor="text1"/>
          <w:sz w:val="18"/>
          <w:szCs w:val="18"/>
          <w:lang w:val="es-PE"/>
        </w:rPr>
      </w:pPr>
      <w:r w:rsidRPr="00B41C88">
        <w:rPr>
          <w:rStyle w:val="FootnoteReference"/>
          <w:rFonts w:asciiTheme="majorHAnsi" w:hAnsiTheme="majorHAnsi" w:cstheme="majorHAnsi"/>
          <w:color w:val="000000" w:themeColor="text1"/>
          <w:sz w:val="18"/>
          <w:szCs w:val="18"/>
          <w:lang w:val="es-PE"/>
        </w:rPr>
        <w:footnoteRef/>
      </w:r>
      <w:r w:rsidRPr="00B41C88">
        <w:rPr>
          <w:rFonts w:asciiTheme="majorHAnsi" w:hAnsiTheme="majorHAnsi" w:cstheme="majorHAnsi"/>
          <w:color w:val="000000" w:themeColor="text1"/>
          <w:sz w:val="18"/>
          <w:szCs w:val="18"/>
          <w:lang w:val="es-ES_tradnl"/>
        </w:rPr>
        <w:t xml:space="preserve"> </w:t>
      </w:r>
      <w:r w:rsidRPr="001768F9">
        <w:rPr>
          <w:rFonts w:asciiTheme="majorHAnsi" w:hAnsiTheme="majorHAnsi" w:cstheme="majorHAnsi"/>
          <w:i/>
          <w:sz w:val="18"/>
          <w:szCs w:val="18"/>
          <w:lang w:val="es-ES_tradnl"/>
        </w:rPr>
        <w:t xml:space="preserve">International Water Association </w:t>
      </w:r>
      <w:r w:rsidRPr="00B41C88">
        <w:rPr>
          <w:rFonts w:asciiTheme="majorHAnsi" w:hAnsiTheme="majorHAnsi" w:cstheme="majorHAnsi"/>
          <w:sz w:val="18"/>
          <w:szCs w:val="18"/>
          <w:lang w:val="es-ES_tradnl"/>
        </w:rPr>
        <w:t>(</w:t>
      </w:r>
      <w:r w:rsidRPr="00B41C88">
        <w:rPr>
          <w:rFonts w:asciiTheme="majorHAnsi" w:hAnsiTheme="majorHAnsi" w:cstheme="majorHAnsi"/>
          <w:bCs/>
          <w:color w:val="000000" w:themeColor="text1"/>
          <w:sz w:val="18"/>
          <w:szCs w:val="18"/>
          <w:lang w:val="es-PE"/>
        </w:rPr>
        <w:t>201</w:t>
      </w:r>
      <w:r>
        <w:rPr>
          <w:rFonts w:asciiTheme="majorHAnsi" w:hAnsiTheme="majorHAnsi" w:cstheme="majorHAnsi"/>
          <w:bCs/>
          <w:color w:val="000000" w:themeColor="text1"/>
          <w:sz w:val="18"/>
          <w:szCs w:val="18"/>
          <w:lang w:val="es-PE"/>
        </w:rPr>
        <w:t>5</w:t>
      </w:r>
      <w:r w:rsidRPr="00B41C88">
        <w:rPr>
          <w:rFonts w:asciiTheme="majorHAnsi" w:hAnsiTheme="majorHAnsi" w:cstheme="majorHAnsi"/>
          <w:bCs/>
          <w:color w:val="000000" w:themeColor="text1"/>
          <w:sz w:val="18"/>
          <w:szCs w:val="18"/>
          <w:lang w:val="es-PE"/>
        </w:rPr>
        <w:t>).</w:t>
      </w:r>
    </w:p>
  </w:footnote>
  <w:footnote w:id="70">
    <w:p w:rsidR="007D7DE4" w:rsidRPr="00E03B69" w:rsidRDefault="007D7DE4" w:rsidP="0057694A">
      <w:pPr>
        <w:pStyle w:val="FootnoteText"/>
        <w:jc w:val="both"/>
        <w:rPr>
          <w:rFonts w:asciiTheme="majorHAnsi" w:hAnsiTheme="majorHAnsi" w:cstheme="majorHAnsi"/>
          <w:sz w:val="18"/>
          <w:szCs w:val="18"/>
          <w:lang w:val="es-ES_tradnl"/>
        </w:rPr>
      </w:pPr>
      <w:r w:rsidRPr="00E03B69">
        <w:rPr>
          <w:rStyle w:val="FootnoteReference"/>
          <w:rFonts w:asciiTheme="majorHAnsi" w:hAnsiTheme="majorHAnsi" w:cstheme="majorHAnsi"/>
          <w:sz w:val="18"/>
          <w:szCs w:val="18"/>
        </w:rPr>
        <w:footnoteRef/>
      </w:r>
      <w:r w:rsidRPr="00E03B69">
        <w:rPr>
          <w:rFonts w:asciiTheme="majorHAnsi" w:hAnsiTheme="majorHAnsi" w:cstheme="majorHAnsi"/>
          <w:sz w:val="18"/>
          <w:szCs w:val="18"/>
          <w:lang w:val="es-ES_tradnl"/>
        </w:rPr>
        <w:t xml:space="preserve"> Considera tarifas </w:t>
      </w:r>
      <w:r>
        <w:rPr>
          <w:rFonts w:asciiTheme="majorHAnsi" w:hAnsiTheme="majorHAnsi" w:cstheme="majorHAnsi"/>
          <w:sz w:val="18"/>
          <w:szCs w:val="18"/>
          <w:lang w:val="es-ES_tradnl"/>
        </w:rPr>
        <w:t>de</w:t>
      </w:r>
      <w:r w:rsidRPr="00E03B69">
        <w:rPr>
          <w:rFonts w:asciiTheme="majorHAnsi" w:hAnsiTheme="majorHAnsi" w:cstheme="majorHAnsi"/>
          <w:sz w:val="18"/>
          <w:szCs w:val="18"/>
          <w:lang w:val="es-ES_tradnl"/>
        </w:rPr>
        <w:t xml:space="preserve"> hogares con consumo de 100m</w:t>
      </w:r>
      <w:r w:rsidRPr="00E03B69">
        <w:rPr>
          <w:rFonts w:asciiTheme="majorHAnsi" w:hAnsiTheme="majorHAnsi" w:cstheme="majorHAnsi"/>
          <w:sz w:val="18"/>
          <w:szCs w:val="18"/>
          <w:vertAlign w:val="superscript"/>
          <w:lang w:val="es-ES_tradnl"/>
        </w:rPr>
        <w:t>3</w:t>
      </w:r>
      <w:r w:rsidRPr="00E03B69">
        <w:rPr>
          <w:rFonts w:asciiTheme="majorHAnsi" w:hAnsiTheme="majorHAnsi" w:cstheme="majorHAnsi"/>
          <w:sz w:val="18"/>
          <w:szCs w:val="18"/>
          <w:lang w:val="es-ES_tradnl"/>
        </w:rPr>
        <w:t>.</w:t>
      </w:r>
    </w:p>
  </w:footnote>
  <w:footnote w:id="71">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En Dinamarca los impuestos ascienden al 69.5 por ciento. de la factura eléctrica, principalmente por el impuesto al desarrollo de energías renovables, llamado “PSO-</w:t>
      </w:r>
      <w:proofErr w:type="spellStart"/>
      <w:r w:rsidRPr="00B41C88">
        <w:rPr>
          <w:rFonts w:asciiTheme="majorHAnsi" w:hAnsiTheme="majorHAnsi" w:cstheme="majorHAnsi"/>
          <w:sz w:val="18"/>
          <w:szCs w:val="18"/>
        </w:rPr>
        <w:t>tarif</w:t>
      </w:r>
      <w:proofErr w:type="spellEnd"/>
      <w:r w:rsidRPr="00B41C88">
        <w:rPr>
          <w:rFonts w:asciiTheme="majorHAnsi" w:hAnsiTheme="majorHAnsi" w:cstheme="majorHAnsi"/>
          <w:sz w:val="18"/>
          <w:szCs w:val="18"/>
        </w:rPr>
        <w:t>” y a otros impuestos no relacionados a energías renovables como el “</w:t>
      </w:r>
      <w:proofErr w:type="spellStart"/>
      <w:r w:rsidRPr="00B41C88">
        <w:rPr>
          <w:rFonts w:asciiTheme="majorHAnsi" w:hAnsiTheme="majorHAnsi" w:cstheme="majorHAnsi"/>
          <w:sz w:val="18"/>
          <w:szCs w:val="18"/>
        </w:rPr>
        <w:t>Elafgift</w:t>
      </w:r>
      <w:proofErr w:type="spellEnd"/>
      <w:r w:rsidRPr="00B41C88">
        <w:rPr>
          <w:rFonts w:asciiTheme="majorHAnsi" w:hAnsiTheme="majorHAnsi" w:cstheme="majorHAnsi"/>
          <w:sz w:val="18"/>
          <w:szCs w:val="18"/>
        </w:rPr>
        <w:t xml:space="preserve">” que es un impuesto a la Electricidad y el IVA que es 25 por ciento (que también grava el PSO and </w:t>
      </w:r>
      <w:proofErr w:type="spellStart"/>
      <w:r w:rsidRPr="00B41C88">
        <w:rPr>
          <w:rFonts w:asciiTheme="majorHAnsi" w:hAnsiTheme="majorHAnsi" w:cstheme="majorHAnsi"/>
          <w:sz w:val="18"/>
          <w:szCs w:val="18"/>
        </w:rPr>
        <w:t>Elafgift</w:t>
      </w:r>
      <w:proofErr w:type="spellEnd"/>
      <w:r w:rsidRPr="00B41C88">
        <w:rPr>
          <w:rFonts w:asciiTheme="majorHAnsi" w:hAnsiTheme="majorHAnsi" w:cstheme="majorHAnsi"/>
          <w:sz w:val="18"/>
          <w:szCs w:val="18"/>
        </w:rPr>
        <w:t>).</w:t>
      </w:r>
    </w:p>
  </w:footnote>
  <w:footnote w:id="72">
    <w:p w:rsidR="007D7DE4" w:rsidRPr="00D63A52" w:rsidRDefault="007D7DE4" w:rsidP="0057694A">
      <w:pPr>
        <w:pStyle w:val="FootnoteText"/>
        <w:jc w:val="both"/>
        <w:rPr>
          <w:lang w:val="es-ES_tradnl"/>
        </w:rPr>
      </w:pPr>
      <w:r>
        <w:rPr>
          <w:rStyle w:val="FootnoteReference"/>
        </w:rPr>
        <w:footnoteRef/>
      </w:r>
      <w:r w:rsidRPr="00D63A52">
        <w:rPr>
          <w:lang w:val="es-ES_tradnl"/>
        </w:rPr>
        <w:t xml:space="preserve"> </w:t>
      </w:r>
      <w:r w:rsidRPr="00D63A52">
        <w:rPr>
          <w:rFonts w:asciiTheme="majorHAnsi" w:hAnsiTheme="majorHAnsi" w:cstheme="majorHAnsi"/>
          <w:sz w:val="18"/>
          <w:szCs w:val="18"/>
          <w:lang w:val="es-ES_tradnl"/>
        </w:rPr>
        <w:t xml:space="preserve">Para el caso </w:t>
      </w:r>
      <w:r>
        <w:rPr>
          <w:rFonts w:asciiTheme="majorHAnsi" w:hAnsiTheme="majorHAnsi" w:cstheme="majorHAnsi"/>
          <w:sz w:val="18"/>
          <w:szCs w:val="18"/>
          <w:lang w:val="es-ES_tradnl"/>
        </w:rPr>
        <w:t xml:space="preserve">de electricidad </w:t>
      </w:r>
      <w:r w:rsidRPr="00D63A52">
        <w:rPr>
          <w:rFonts w:asciiTheme="majorHAnsi" w:hAnsiTheme="majorHAnsi" w:cstheme="majorHAnsi"/>
          <w:sz w:val="18"/>
          <w:szCs w:val="18"/>
          <w:lang w:val="es-ES_tradnl"/>
        </w:rPr>
        <w:t>de Bélgica se ha analizado</w:t>
      </w:r>
      <w:r w:rsidRPr="00A2105E">
        <w:rPr>
          <w:rFonts w:asciiTheme="majorHAnsi" w:hAnsiTheme="majorHAnsi" w:cstheme="majorHAnsi"/>
          <w:sz w:val="18"/>
          <w:szCs w:val="18"/>
          <w:lang w:val="es-ES_tradnl"/>
        </w:rPr>
        <w:t xml:space="preserve"> la estructura de la factura de </w:t>
      </w:r>
      <w:proofErr w:type="spellStart"/>
      <w:r w:rsidRPr="00D63A52">
        <w:rPr>
          <w:rFonts w:asciiTheme="majorHAnsi" w:hAnsiTheme="majorHAnsi" w:cstheme="majorHAnsi"/>
          <w:sz w:val="18"/>
          <w:szCs w:val="18"/>
          <w:lang w:val="es-ES_tradnl"/>
        </w:rPr>
        <w:t>Lampiris</w:t>
      </w:r>
      <w:proofErr w:type="spellEnd"/>
      <w:r w:rsidRPr="00D63A52">
        <w:rPr>
          <w:rFonts w:asciiTheme="majorHAnsi" w:hAnsiTheme="majorHAnsi" w:cstheme="majorHAnsi"/>
          <w:sz w:val="18"/>
          <w:szCs w:val="18"/>
          <w:lang w:val="es-ES_tradnl"/>
        </w:rPr>
        <w:t>, una distribuidora eléctrica de energía renovable en Bruselas.</w:t>
      </w:r>
    </w:p>
  </w:footnote>
  <w:footnote w:id="73">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Consiste en un cargo fijo de </w:t>
      </w:r>
      <w:r w:rsidRPr="00B41C88">
        <w:rPr>
          <w:rFonts w:asciiTheme="majorHAnsi" w:eastAsia="Times New Roman" w:hAnsiTheme="majorHAnsi" w:cstheme="majorHAnsi"/>
          <w:color w:val="333333"/>
          <w:sz w:val="18"/>
          <w:szCs w:val="18"/>
          <w:lang w:val="es-PE"/>
        </w:rPr>
        <w:t xml:space="preserve">€2.34 al mes. </w:t>
      </w:r>
      <w:proofErr w:type="spellStart"/>
      <w:r w:rsidRPr="00B41C88">
        <w:rPr>
          <w:rFonts w:asciiTheme="majorHAnsi" w:hAnsiTheme="majorHAnsi" w:cstheme="majorHAnsi"/>
          <w:color w:val="333333"/>
          <w:sz w:val="18"/>
          <w:szCs w:val="18"/>
          <w:shd w:val="clear" w:color="auto" w:fill="FFFFFF"/>
          <w:lang w:val="es-ES_tradnl"/>
        </w:rPr>
        <w:t>Schlirf</w:t>
      </w:r>
      <w:proofErr w:type="spellEnd"/>
      <w:r w:rsidRPr="00B41C88">
        <w:rPr>
          <w:rFonts w:asciiTheme="majorHAnsi" w:hAnsiTheme="majorHAnsi" w:cstheme="majorHAnsi"/>
          <w:color w:val="333333"/>
          <w:sz w:val="18"/>
          <w:szCs w:val="18"/>
          <w:shd w:val="clear" w:color="auto" w:fill="FFFFFF"/>
          <w:lang w:val="es-ES_tradnl"/>
        </w:rPr>
        <w:t xml:space="preserve"> (2017).</w:t>
      </w:r>
    </w:p>
  </w:footnote>
  <w:footnote w:id="74">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Consiste en un cargo fijo de </w:t>
      </w:r>
      <w:r w:rsidRPr="00B41C88">
        <w:rPr>
          <w:rFonts w:asciiTheme="majorHAnsi" w:eastAsia="Times New Roman" w:hAnsiTheme="majorHAnsi" w:cstheme="majorHAnsi"/>
          <w:color w:val="333333"/>
          <w:sz w:val="18"/>
          <w:szCs w:val="18"/>
          <w:lang w:val="es-PE"/>
        </w:rPr>
        <w:t xml:space="preserve">€0.31 ¢/kWh. </w:t>
      </w:r>
      <w:proofErr w:type="spellStart"/>
      <w:r w:rsidRPr="00B41C88">
        <w:rPr>
          <w:rFonts w:asciiTheme="majorHAnsi" w:hAnsiTheme="majorHAnsi" w:cstheme="majorHAnsi"/>
          <w:color w:val="333333"/>
          <w:sz w:val="18"/>
          <w:szCs w:val="18"/>
          <w:shd w:val="clear" w:color="auto" w:fill="FFFFFF"/>
          <w:lang w:val="es-ES_tradnl"/>
        </w:rPr>
        <w:t>Schlirf</w:t>
      </w:r>
      <w:proofErr w:type="spellEnd"/>
      <w:r w:rsidRPr="00B41C88">
        <w:rPr>
          <w:rFonts w:asciiTheme="majorHAnsi" w:hAnsiTheme="majorHAnsi" w:cstheme="majorHAnsi"/>
          <w:color w:val="333333"/>
          <w:sz w:val="18"/>
          <w:szCs w:val="18"/>
          <w:shd w:val="clear" w:color="auto" w:fill="FFFFFF"/>
          <w:lang w:val="es-ES_tradnl"/>
        </w:rPr>
        <w:t xml:space="preserve"> (2017).</w:t>
      </w:r>
    </w:p>
  </w:footnote>
  <w:footnote w:id="75">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rPr>
        <w:t xml:space="preserve"> La contribución para energías verdes se incrementó de 0.35 </w:t>
      </w:r>
      <w:r w:rsidRPr="00B41C88">
        <w:rPr>
          <w:rFonts w:asciiTheme="majorHAnsi" w:hAnsiTheme="majorHAnsi" w:cstheme="majorHAnsi"/>
          <w:color w:val="000000"/>
          <w:sz w:val="18"/>
          <w:szCs w:val="18"/>
        </w:rPr>
        <w:t>€¢/kWh</w:t>
      </w:r>
      <w:r w:rsidRPr="00B41C88">
        <w:rPr>
          <w:rFonts w:asciiTheme="majorHAnsi" w:hAnsiTheme="majorHAnsi" w:cstheme="majorHAnsi"/>
          <w:sz w:val="18"/>
          <w:szCs w:val="18"/>
        </w:rPr>
        <w:t xml:space="preserve"> en el 2013 a 0.74 </w:t>
      </w:r>
      <w:r w:rsidRPr="00B41C88">
        <w:rPr>
          <w:rFonts w:asciiTheme="majorHAnsi" w:hAnsiTheme="majorHAnsi" w:cstheme="majorHAnsi"/>
          <w:color w:val="000000"/>
          <w:sz w:val="18"/>
          <w:szCs w:val="18"/>
        </w:rPr>
        <w:t>€¢/kWh</w:t>
      </w:r>
      <w:r w:rsidRPr="00B41C88">
        <w:rPr>
          <w:rFonts w:asciiTheme="majorHAnsi" w:hAnsiTheme="majorHAnsi" w:cstheme="majorHAnsi"/>
          <w:sz w:val="18"/>
          <w:szCs w:val="18"/>
        </w:rPr>
        <w:t xml:space="preserve"> en el 2016.</w:t>
      </w:r>
    </w:p>
  </w:footnote>
  <w:footnote w:id="76">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Consiste en</w:t>
      </w:r>
      <w:r w:rsidRPr="00B41C88">
        <w:rPr>
          <w:rFonts w:asciiTheme="majorHAnsi" w:eastAsia="Times New Roman" w:hAnsiTheme="majorHAnsi" w:cstheme="majorHAnsi"/>
          <w:color w:val="333333"/>
          <w:sz w:val="18"/>
          <w:szCs w:val="18"/>
          <w:lang w:val="es-PE"/>
        </w:rPr>
        <w:t xml:space="preserve"> un cargo fijo de €0.50 ¢/kWh. </w:t>
      </w:r>
      <w:proofErr w:type="spellStart"/>
      <w:r w:rsidRPr="00B41C88">
        <w:rPr>
          <w:rFonts w:asciiTheme="majorHAnsi" w:hAnsiTheme="majorHAnsi" w:cstheme="majorHAnsi"/>
          <w:color w:val="333333"/>
          <w:sz w:val="18"/>
          <w:szCs w:val="18"/>
          <w:shd w:val="clear" w:color="auto" w:fill="FFFFFF"/>
          <w:lang w:val="es-ES_tradnl"/>
        </w:rPr>
        <w:t>Schlirf</w:t>
      </w:r>
      <w:proofErr w:type="spellEnd"/>
      <w:r w:rsidRPr="00B41C88">
        <w:rPr>
          <w:rFonts w:asciiTheme="majorHAnsi" w:hAnsiTheme="majorHAnsi" w:cstheme="majorHAnsi"/>
          <w:color w:val="333333"/>
          <w:sz w:val="18"/>
          <w:szCs w:val="18"/>
          <w:shd w:val="clear" w:color="auto" w:fill="FFFFFF"/>
          <w:lang w:val="es-ES_tradnl"/>
        </w:rPr>
        <w:t xml:space="preserve"> (2017).</w:t>
      </w:r>
    </w:p>
  </w:footnote>
  <w:footnote w:id="77">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Consiste en</w:t>
      </w:r>
      <w:r w:rsidRPr="00B41C88">
        <w:rPr>
          <w:rFonts w:asciiTheme="majorHAnsi" w:eastAsia="Times New Roman" w:hAnsiTheme="majorHAnsi" w:cstheme="majorHAnsi"/>
          <w:color w:val="333333"/>
          <w:sz w:val="18"/>
          <w:szCs w:val="18"/>
          <w:lang w:val="es-PE"/>
        </w:rPr>
        <w:t xml:space="preserve"> un cargo fijo de €0.19 ¢/kWh. </w:t>
      </w:r>
      <w:proofErr w:type="spellStart"/>
      <w:r w:rsidRPr="00B41C88">
        <w:rPr>
          <w:rFonts w:asciiTheme="majorHAnsi" w:hAnsiTheme="majorHAnsi" w:cstheme="majorHAnsi"/>
          <w:color w:val="333333"/>
          <w:sz w:val="18"/>
          <w:szCs w:val="18"/>
          <w:shd w:val="clear" w:color="auto" w:fill="FFFFFF"/>
          <w:lang w:val="es-ES_tradnl"/>
        </w:rPr>
        <w:t>Schlirf</w:t>
      </w:r>
      <w:proofErr w:type="spellEnd"/>
      <w:r w:rsidRPr="00B41C88">
        <w:rPr>
          <w:rFonts w:asciiTheme="majorHAnsi" w:hAnsiTheme="majorHAnsi" w:cstheme="majorHAnsi"/>
          <w:color w:val="333333"/>
          <w:sz w:val="18"/>
          <w:szCs w:val="18"/>
          <w:shd w:val="clear" w:color="auto" w:fill="FFFFFF"/>
          <w:lang w:val="es-ES_tradnl"/>
        </w:rPr>
        <w:t xml:space="preserve"> (2017).</w:t>
      </w:r>
    </w:p>
  </w:footnote>
  <w:footnote w:id="78">
    <w:p w:rsidR="007D7DE4" w:rsidRPr="00D63A52" w:rsidRDefault="007D7DE4" w:rsidP="0057694A">
      <w:pPr>
        <w:pStyle w:val="FootnoteText"/>
        <w:jc w:val="both"/>
        <w:rPr>
          <w:rFonts w:asciiTheme="majorHAnsi" w:hAnsiTheme="majorHAnsi" w:cstheme="majorHAnsi"/>
          <w:sz w:val="18"/>
          <w:szCs w:val="18"/>
          <w:lang w:val="es-ES_tradnl"/>
        </w:rPr>
      </w:pPr>
      <w:r w:rsidRPr="00D63A52">
        <w:rPr>
          <w:rStyle w:val="FootnoteReference"/>
          <w:rFonts w:asciiTheme="majorHAnsi" w:hAnsiTheme="majorHAnsi" w:cstheme="majorHAnsi"/>
          <w:sz w:val="18"/>
          <w:szCs w:val="18"/>
        </w:rPr>
        <w:footnoteRef/>
      </w:r>
      <w:r w:rsidRPr="00D63A52">
        <w:rPr>
          <w:rFonts w:asciiTheme="majorHAnsi" w:hAnsiTheme="majorHAnsi" w:cstheme="majorHAnsi"/>
          <w:sz w:val="18"/>
          <w:szCs w:val="18"/>
          <w:lang w:val="es-ES_tradnl"/>
        </w:rPr>
        <w:t xml:space="preserve">  Para obtener este cálculo, se han analizado facturas de electricidad para hogares de diferente nivel de ingreso. Como proxy de la factura promedio por nivel de ingreso se ha considerado un consumo eléctrico promedio por nivel de ingreso. Así se han simulado 5 escenarios con consumos de 30, 100, 150 250 y 300 kWh para hogares de ingreso bajo, medio bajo, medio, medio alto y alto; respectivamente.</w:t>
      </w:r>
    </w:p>
  </w:footnote>
  <w:footnote w:id="79">
    <w:p w:rsidR="007D7DE4" w:rsidRPr="00A2105E" w:rsidRDefault="007D7DE4" w:rsidP="0057694A">
      <w:pPr>
        <w:pStyle w:val="FootnoteText"/>
        <w:jc w:val="both"/>
        <w:rPr>
          <w:rFonts w:asciiTheme="majorHAnsi" w:hAnsiTheme="majorHAnsi" w:cstheme="majorHAnsi"/>
          <w:sz w:val="18"/>
          <w:szCs w:val="18"/>
          <w:lang w:val="es-ES_tradnl"/>
        </w:rPr>
      </w:pPr>
      <w:r w:rsidRPr="00A2105E">
        <w:rPr>
          <w:rStyle w:val="FootnoteReference"/>
          <w:rFonts w:asciiTheme="majorHAnsi" w:hAnsiTheme="majorHAnsi" w:cstheme="majorHAnsi"/>
          <w:sz w:val="18"/>
          <w:szCs w:val="18"/>
        </w:rPr>
        <w:footnoteRef/>
      </w:r>
      <w:r w:rsidRPr="00A2105E">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Para el caso de agua de</w:t>
      </w:r>
      <w:r w:rsidRPr="00A2105E">
        <w:rPr>
          <w:rFonts w:asciiTheme="majorHAnsi" w:hAnsiTheme="majorHAnsi" w:cstheme="majorHAnsi"/>
          <w:sz w:val="18"/>
          <w:szCs w:val="18"/>
          <w:lang w:val="es-ES_tradnl"/>
        </w:rPr>
        <w:t xml:space="preserve"> Bélgica se ha analizado la estructura de la factura de </w:t>
      </w:r>
      <w:proofErr w:type="spellStart"/>
      <w:r w:rsidRPr="00A2105E">
        <w:rPr>
          <w:rFonts w:asciiTheme="majorHAnsi" w:hAnsiTheme="majorHAnsi" w:cstheme="majorHAnsi"/>
          <w:sz w:val="18"/>
          <w:szCs w:val="18"/>
          <w:lang w:val="es-ES_tradnl"/>
        </w:rPr>
        <w:t>HydroBru</w:t>
      </w:r>
      <w:proofErr w:type="spellEnd"/>
      <w:r w:rsidRPr="00A2105E">
        <w:rPr>
          <w:rFonts w:asciiTheme="majorHAnsi" w:hAnsiTheme="majorHAnsi" w:cstheme="majorHAnsi"/>
          <w:sz w:val="18"/>
          <w:szCs w:val="18"/>
          <w:lang w:val="es-ES_tradnl"/>
        </w:rPr>
        <w:t>, la empresa proveedora de agua en Bruselas.</w:t>
      </w:r>
    </w:p>
  </w:footnote>
  <w:footnote w:id="80">
    <w:p w:rsidR="007D7DE4" w:rsidRPr="00E93176" w:rsidRDefault="007D7DE4" w:rsidP="0057694A">
      <w:pPr>
        <w:pStyle w:val="FootnoteText"/>
        <w:jc w:val="both"/>
        <w:rPr>
          <w:rFonts w:asciiTheme="majorHAnsi" w:hAnsiTheme="majorHAnsi" w:cstheme="majorHAnsi"/>
          <w:sz w:val="18"/>
          <w:szCs w:val="18"/>
          <w:lang w:val="es-ES_tradnl"/>
        </w:rPr>
      </w:pPr>
      <w:r w:rsidRPr="00E93176">
        <w:rPr>
          <w:rStyle w:val="FootnoteReference"/>
          <w:rFonts w:asciiTheme="majorHAnsi" w:hAnsiTheme="majorHAnsi" w:cstheme="majorHAnsi"/>
          <w:sz w:val="18"/>
          <w:szCs w:val="18"/>
        </w:rPr>
        <w:footnoteRef/>
      </w:r>
      <w:r w:rsidRPr="00E93176">
        <w:rPr>
          <w:rFonts w:asciiTheme="majorHAnsi" w:hAnsiTheme="majorHAnsi" w:cstheme="majorHAnsi"/>
          <w:sz w:val="18"/>
          <w:szCs w:val="18"/>
          <w:lang w:val="es-ES_tradnl"/>
        </w:rPr>
        <w:t xml:space="preserve"> </w:t>
      </w:r>
      <w:r w:rsidRPr="00E93176">
        <w:rPr>
          <w:rFonts w:asciiTheme="majorHAnsi" w:hAnsiTheme="majorHAnsi" w:cstheme="majorHAnsi"/>
          <w:sz w:val="18"/>
          <w:szCs w:val="18"/>
          <w:lang w:val="es-PE"/>
        </w:rPr>
        <w:t>Para el caso de</w:t>
      </w:r>
      <w:r>
        <w:rPr>
          <w:rFonts w:asciiTheme="majorHAnsi" w:hAnsiTheme="majorHAnsi" w:cstheme="majorHAnsi"/>
          <w:sz w:val="18"/>
          <w:szCs w:val="18"/>
          <w:lang w:val="es-PE"/>
        </w:rPr>
        <w:t xml:space="preserve"> electricidad de</w:t>
      </w:r>
      <w:r w:rsidRPr="00E93176">
        <w:rPr>
          <w:rFonts w:asciiTheme="majorHAnsi" w:hAnsiTheme="majorHAnsi" w:cstheme="majorHAnsi"/>
          <w:sz w:val="18"/>
          <w:szCs w:val="18"/>
          <w:lang w:val="es-PE"/>
        </w:rPr>
        <w:t xml:space="preserve"> España se han analizado facturas de electricidad de </w:t>
      </w:r>
      <w:proofErr w:type="spellStart"/>
      <w:r w:rsidRPr="00E93176">
        <w:rPr>
          <w:rFonts w:asciiTheme="majorHAnsi" w:hAnsiTheme="majorHAnsi" w:cstheme="majorHAnsi"/>
          <w:sz w:val="18"/>
          <w:szCs w:val="18"/>
          <w:lang w:val="es-PE"/>
        </w:rPr>
        <w:t>Audax</w:t>
      </w:r>
      <w:proofErr w:type="spellEnd"/>
      <w:r w:rsidRPr="00E93176">
        <w:rPr>
          <w:rFonts w:asciiTheme="majorHAnsi" w:hAnsiTheme="majorHAnsi" w:cstheme="majorHAnsi"/>
          <w:sz w:val="18"/>
          <w:szCs w:val="18"/>
          <w:lang w:val="es-PE"/>
        </w:rPr>
        <w:t xml:space="preserve"> Energía, una distribuidora eléctrica de Cádiz</w:t>
      </w:r>
      <w:r>
        <w:rPr>
          <w:rFonts w:asciiTheme="majorHAnsi" w:hAnsiTheme="majorHAnsi" w:cstheme="majorHAnsi"/>
          <w:sz w:val="18"/>
          <w:szCs w:val="18"/>
          <w:lang w:val="es-PE"/>
        </w:rPr>
        <w:t xml:space="preserve">. </w:t>
      </w:r>
      <w:proofErr w:type="spellStart"/>
      <w:r w:rsidRPr="00E93176">
        <w:rPr>
          <w:rFonts w:asciiTheme="majorHAnsi" w:hAnsiTheme="majorHAnsi" w:cstheme="majorHAnsi"/>
          <w:sz w:val="18"/>
          <w:szCs w:val="18"/>
          <w:lang w:val="es-PE"/>
        </w:rPr>
        <w:t>Audax</w:t>
      </w:r>
      <w:proofErr w:type="spellEnd"/>
      <w:r w:rsidRPr="00E93176">
        <w:rPr>
          <w:rFonts w:asciiTheme="majorHAnsi" w:hAnsiTheme="majorHAnsi" w:cstheme="majorHAnsi"/>
          <w:sz w:val="18"/>
          <w:szCs w:val="18"/>
          <w:lang w:val="es-PE"/>
        </w:rPr>
        <w:t xml:space="preserve"> es la novena comercializadora de España, la quinta entre las independientes, con una cuota del 0,96%, que ha crecido un 25% en apenas dos años.</w:t>
      </w:r>
    </w:p>
  </w:footnote>
  <w:footnote w:id="81">
    <w:p w:rsidR="007D7DE4" w:rsidRPr="00A2105E" w:rsidRDefault="007D7DE4" w:rsidP="0057694A">
      <w:pPr>
        <w:pStyle w:val="FootnoteText"/>
        <w:jc w:val="both"/>
        <w:rPr>
          <w:rFonts w:asciiTheme="majorHAnsi" w:hAnsiTheme="majorHAnsi" w:cstheme="majorHAnsi"/>
          <w:sz w:val="18"/>
          <w:szCs w:val="18"/>
          <w:lang w:val="es-ES_tradnl"/>
        </w:rPr>
      </w:pPr>
      <w:r w:rsidRPr="00D63A52">
        <w:rPr>
          <w:rStyle w:val="FootnoteReference"/>
          <w:rFonts w:asciiTheme="majorHAnsi" w:hAnsiTheme="majorHAnsi" w:cstheme="majorHAnsi"/>
          <w:sz w:val="18"/>
          <w:szCs w:val="18"/>
        </w:rPr>
        <w:footnoteRef/>
      </w:r>
      <w:r w:rsidRPr="00D63A52">
        <w:rPr>
          <w:rFonts w:asciiTheme="majorHAnsi" w:hAnsiTheme="majorHAnsi" w:cstheme="majorHAnsi"/>
          <w:sz w:val="18"/>
          <w:szCs w:val="18"/>
          <w:lang w:val="es-ES_tradnl"/>
        </w:rPr>
        <w:t xml:space="preserve"> Para obtener este cálculo, se han analizado facturas de electricidad para hogares de diferente nivel de ingreso. Como proxy de la factura promedio por nivel de ingreso se ha considerado un consumo eléctrico promedio por nivel de ingreso. Así se han simulado 5 escenarios con consumos de 30, 100, 150 250 y 300 kWh para hogares de ingreso </w:t>
      </w:r>
      <w:r w:rsidRPr="00A2105E">
        <w:rPr>
          <w:rFonts w:asciiTheme="majorHAnsi" w:hAnsiTheme="majorHAnsi" w:cstheme="majorHAnsi"/>
          <w:sz w:val="18"/>
          <w:szCs w:val="18"/>
          <w:lang w:val="es-ES_tradnl"/>
        </w:rPr>
        <w:t>bajo, medio bajo, medio, medio alto y alto; respectivamente.</w:t>
      </w:r>
    </w:p>
  </w:footnote>
  <w:footnote w:id="82">
    <w:p w:rsidR="007D7DE4" w:rsidRPr="00A2105E" w:rsidRDefault="007D7DE4" w:rsidP="0057694A">
      <w:pPr>
        <w:pStyle w:val="FootnoteText"/>
        <w:jc w:val="both"/>
        <w:rPr>
          <w:lang w:val="es-ES_tradnl"/>
        </w:rPr>
      </w:pPr>
      <w:r w:rsidRPr="00A2105E">
        <w:rPr>
          <w:rStyle w:val="FootnoteReference"/>
          <w:rFonts w:asciiTheme="majorHAnsi" w:hAnsiTheme="majorHAnsi" w:cstheme="majorHAnsi"/>
          <w:sz w:val="18"/>
          <w:szCs w:val="18"/>
        </w:rPr>
        <w:footnoteRef/>
      </w:r>
      <w:r w:rsidRPr="00A2105E">
        <w:rPr>
          <w:rFonts w:asciiTheme="majorHAnsi" w:hAnsiTheme="majorHAnsi" w:cstheme="majorHAnsi"/>
          <w:sz w:val="18"/>
          <w:szCs w:val="18"/>
          <w:lang w:val="es-ES_tradnl"/>
        </w:rPr>
        <w:t xml:space="preserve"> Para el caso de </w:t>
      </w:r>
      <w:r>
        <w:rPr>
          <w:rFonts w:asciiTheme="majorHAnsi" w:hAnsiTheme="majorHAnsi" w:cstheme="majorHAnsi"/>
          <w:sz w:val="18"/>
          <w:szCs w:val="18"/>
          <w:lang w:val="es-ES_tradnl"/>
        </w:rPr>
        <w:t xml:space="preserve">agua de </w:t>
      </w:r>
      <w:r w:rsidRPr="00A2105E">
        <w:rPr>
          <w:rFonts w:asciiTheme="majorHAnsi" w:hAnsiTheme="majorHAnsi" w:cstheme="majorHAnsi"/>
          <w:sz w:val="18"/>
          <w:szCs w:val="18"/>
          <w:lang w:val="es-ES_tradnl"/>
        </w:rPr>
        <w:t>España se han analizado facturas de agua de la principal proveedora de agua en Sevilla: EMASESA.</w:t>
      </w:r>
    </w:p>
  </w:footnote>
  <w:footnote w:id="83">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Consiste en un cargo fijo de €12.6 al mes y está exenta de IVA (2018).</w:t>
      </w:r>
    </w:p>
  </w:footnote>
  <w:footnote w:id="84">
    <w:p w:rsidR="007D7DE4" w:rsidRPr="00D63A52"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Para obtener este cálculo, se han analizado facturas de agua para hogares de diferente nivel de ingreso. Como proxy de la factura promedio por nivel de ingreso se ha considerado un consumo de agua promedio por nivel de </w:t>
      </w:r>
      <w:r w:rsidRPr="00D63A52">
        <w:rPr>
          <w:rFonts w:asciiTheme="majorHAnsi" w:hAnsiTheme="majorHAnsi" w:cstheme="majorHAnsi"/>
          <w:sz w:val="18"/>
          <w:szCs w:val="18"/>
        </w:rPr>
        <w:t>ingreso. Así se han simulado 5 escenarios con consumos de 10, 20, 30, 40 y 50 m</w:t>
      </w:r>
      <w:r w:rsidRPr="00D63A52">
        <w:rPr>
          <w:rFonts w:asciiTheme="majorHAnsi" w:hAnsiTheme="majorHAnsi" w:cstheme="majorHAnsi"/>
          <w:sz w:val="18"/>
          <w:szCs w:val="18"/>
          <w:vertAlign w:val="superscript"/>
        </w:rPr>
        <w:t>3</w:t>
      </w:r>
      <w:r w:rsidRPr="00D63A52">
        <w:rPr>
          <w:rFonts w:asciiTheme="majorHAnsi" w:hAnsiTheme="majorHAnsi" w:cstheme="majorHAnsi"/>
          <w:sz w:val="18"/>
          <w:szCs w:val="18"/>
        </w:rPr>
        <w:t xml:space="preserve"> para hogares de ingreso bajo, medio bajo, medio, medio alto y alto; respectivamente. </w:t>
      </w:r>
    </w:p>
  </w:footnote>
  <w:footnote w:id="85">
    <w:p w:rsidR="007D7DE4" w:rsidRPr="00D63A52" w:rsidRDefault="007D7DE4" w:rsidP="00794158">
      <w:pPr>
        <w:pStyle w:val="FootnoteText"/>
        <w:jc w:val="both"/>
        <w:rPr>
          <w:lang w:val="es-ES_tradnl"/>
        </w:rPr>
      </w:pPr>
      <w:r w:rsidRPr="00D63A52">
        <w:rPr>
          <w:rStyle w:val="FootnoteReference"/>
          <w:rFonts w:asciiTheme="majorHAnsi" w:hAnsiTheme="majorHAnsi" w:cstheme="majorHAnsi"/>
          <w:sz w:val="18"/>
          <w:szCs w:val="18"/>
        </w:rPr>
        <w:footnoteRef/>
      </w:r>
      <w:r w:rsidRPr="00D63A52">
        <w:rPr>
          <w:rFonts w:asciiTheme="majorHAnsi" w:hAnsiTheme="majorHAnsi" w:cstheme="majorHAnsi"/>
          <w:sz w:val="18"/>
          <w:szCs w:val="18"/>
          <w:lang w:val="es-ES_tradnl"/>
        </w:rPr>
        <w:t xml:space="preserve"> Para el caso de</w:t>
      </w:r>
      <w:r>
        <w:rPr>
          <w:rFonts w:asciiTheme="majorHAnsi" w:hAnsiTheme="majorHAnsi" w:cstheme="majorHAnsi"/>
          <w:sz w:val="18"/>
          <w:szCs w:val="18"/>
          <w:lang w:val="es-ES_tradnl"/>
        </w:rPr>
        <w:t xml:space="preserve"> electricidad de</w:t>
      </w:r>
      <w:r w:rsidRPr="00D63A52">
        <w:rPr>
          <w:rFonts w:asciiTheme="majorHAnsi" w:hAnsiTheme="majorHAnsi" w:cstheme="majorHAnsi"/>
          <w:sz w:val="18"/>
          <w:szCs w:val="18"/>
          <w:lang w:val="es-ES_tradnl"/>
        </w:rPr>
        <w:t xml:space="preserve"> Francia se ha analizado </w:t>
      </w:r>
      <w:r w:rsidRPr="00A2105E">
        <w:rPr>
          <w:rFonts w:asciiTheme="majorHAnsi" w:hAnsiTheme="majorHAnsi" w:cstheme="majorHAnsi"/>
          <w:sz w:val="18"/>
          <w:szCs w:val="18"/>
          <w:lang w:val="es-ES_tradnl"/>
        </w:rPr>
        <w:t xml:space="preserve">la estructura de la factura de </w:t>
      </w:r>
      <w:r w:rsidRPr="00D63A52">
        <w:rPr>
          <w:rFonts w:asciiTheme="majorHAnsi" w:hAnsiTheme="majorHAnsi" w:cstheme="majorHAnsi"/>
          <w:sz w:val="18"/>
          <w:szCs w:val="18"/>
          <w:lang w:val="es-ES_tradnl"/>
        </w:rPr>
        <w:t>EDF, la principal distribuidora publica de electricidad.</w:t>
      </w:r>
    </w:p>
  </w:footnote>
  <w:footnote w:id="86">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B41C88">
        <w:rPr>
          <w:rFonts w:asciiTheme="majorHAnsi" w:eastAsia="Times New Roman" w:hAnsiTheme="majorHAnsi" w:cstheme="majorHAnsi"/>
          <w:color w:val="333333"/>
          <w:sz w:val="18"/>
          <w:szCs w:val="18"/>
          <w:lang w:val="es-PE"/>
        </w:rPr>
        <w:t>Consiste en un cargo fijo de €2.02 ¢/kWh (2018).</w:t>
      </w:r>
    </w:p>
  </w:footnote>
  <w:footnote w:id="87">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w:t>
      </w:r>
      <w:r w:rsidRPr="00B41C88">
        <w:rPr>
          <w:rFonts w:asciiTheme="majorHAnsi" w:eastAsia="Times New Roman" w:hAnsiTheme="majorHAnsi" w:cstheme="majorHAnsi"/>
          <w:color w:val="333333"/>
          <w:sz w:val="18"/>
          <w:szCs w:val="18"/>
          <w:lang w:val="es-PE"/>
        </w:rPr>
        <w:t>Consiste en un cargo fijo de €0.94 ¢/kWh (2018).</w:t>
      </w:r>
    </w:p>
  </w:footnote>
  <w:footnote w:id="88">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El </w:t>
      </w:r>
      <w:r w:rsidRPr="00B41C88">
        <w:rPr>
          <w:rFonts w:asciiTheme="majorHAnsi" w:eastAsia="Times New Roman" w:hAnsiTheme="majorHAnsi" w:cstheme="majorHAnsi"/>
          <w:color w:val="333333"/>
          <w:sz w:val="18"/>
          <w:szCs w:val="18"/>
          <w:lang w:val="es-PE"/>
        </w:rPr>
        <w:t>CTA consiste en una tasa de 27 por ciento sobre los costos de transporte del cargo fijo (2018).</w:t>
      </w:r>
    </w:p>
  </w:footnote>
  <w:footnote w:id="89">
    <w:p w:rsidR="007D7DE4" w:rsidRPr="00B41C88" w:rsidRDefault="007D7DE4" w:rsidP="0057694A">
      <w:pPr>
        <w:pStyle w:val="FootnoteText"/>
        <w:jc w:val="both"/>
        <w:rPr>
          <w:rFonts w:asciiTheme="majorHAnsi" w:hAnsiTheme="majorHAnsi" w:cstheme="majorHAnsi"/>
          <w:sz w:val="18"/>
          <w:szCs w:val="18"/>
          <w:lang w:val="es-PE"/>
        </w:rPr>
      </w:pPr>
      <w:r w:rsidRPr="00B41C88">
        <w:rPr>
          <w:rStyle w:val="FootnoteReference"/>
          <w:rFonts w:asciiTheme="majorHAnsi" w:hAnsiTheme="majorHAnsi" w:cstheme="majorHAnsi"/>
          <w:sz w:val="18"/>
          <w:szCs w:val="18"/>
          <w:lang w:val="es-PE"/>
        </w:rPr>
        <w:footnoteRef/>
      </w:r>
      <w:r w:rsidRPr="00B41C88">
        <w:rPr>
          <w:rFonts w:asciiTheme="majorHAnsi" w:hAnsiTheme="majorHAnsi" w:cstheme="majorHAnsi"/>
          <w:sz w:val="18"/>
          <w:szCs w:val="18"/>
          <w:lang w:val="es-PE"/>
        </w:rPr>
        <w:t xml:space="preserve"> En específico para los trabajadores de la Caja Nacional de Industrias Eléctricas y del Fondo Nacional de las Industrias de Gas y Electricidad.</w:t>
      </w:r>
    </w:p>
  </w:footnote>
  <w:footnote w:id="90">
    <w:p w:rsidR="007D7DE4" w:rsidRPr="00B41C88" w:rsidRDefault="007D7DE4" w:rsidP="0057694A">
      <w:pPr>
        <w:jc w:val="both"/>
        <w:rPr>
          <w:rFonts w:asciiTheme="majorHAnsi" w:hAnsiTheme="majorHAnsi" w:cstheme="majorHAnsi"/>
          <w:sz w:val="18"/>
          <w:szCs w:val="18"/>
        </w:rPr>
      </w:pPr>
      <w:r w:rsidRPr="00B41C88">
        <w:rPr>
          <w:rStyle w:val="FootnoteReference"/>
          <w:rFonts w:asciiTheme="majorHAnsi" w:hAnsiTheme="majorHAnsi" w:cstheme="majorHAnsi"/>
          <w:sz w:val="18"/>
          <w:szCs w:val="18"/>
        </w:rPr>
        <w:footnoteRef/>
      </w:r>
      <w:r w:rsidRPr="00B41C88">
        <w:rPr>
          <w:rFonts w:asciiTheme="majorHAnsi" w:hAnsiTheme="majorHAnsi" w:cstheme="majorHAnsi"/>
          <w:sz w:val="18"/>
          <w:szCs w:val="18"/>
        </w:rPr>
        <w:t xml:space="preserve"> Para obtener este cálculo, se han analizado facturas de electricidad para hogares de diferente nivel de ingreso. Como proxy de la factura promedio por nivel de ingreso se ha considerado un consumo eléctrico promedio por nivel de ingreso. Así se han simulado 5 escenarios con consumos de 30, 100, 150 250 y 300 kWh para hogares de ingreso bajo, medio bajo, medio, medio alto y alto; respectivamente. </w:t>
      </w:r>
    </w:p>
  </w:footnote>
  <w:footnote w:id="91">
    <w:p w:rsidR="007D7DE4" w:rsidRPr="00A2105E" w:rsidRDefault="007D7DE4" w:rsidP="0057694A">
      <w:pPr>
        <w:pStyle w:val="FootnoteText"/>
        <w:jc w:val="both"/>
        <w:rPr>
          <w:rFonts w:asciiTheme="majorHAnsi" w:hAnsiTheme="majorHAnsi" w:cstheme="majorHAnsi"/>
          <w:sz w:val="18"/>
          <w:szCs w:val="18"/>
          <w:lang w:val="es-ES_tradnl"/>
        </w:rPr>
      </w:pPr>
      <w:r w:rsidRPr="00A2105E">
        <w:rPr>
          <w:rStyle w:val="FootnoteReference"/>
          <w:rFonts w:asciiTheme="majorHAnsi" w:hAnsiTheme="majorHAnsi" w:cstheme="majorHAnsi"/>
          <w:sz w:val="18"/>
          <w:szCs w:val="18"/>
        </w:rPr>
        <w:footnoteRef/>
      </w:r>
      <w:r w:rsidRPr="00A2105E">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 xml:space="preserve">Para </w:t>
      </w:r>
      <w:r w:rsidRPr="00A2105E">
        <w:rPr>
          <w:rFonts w:asciiTheme="majorHAnsi" w:hAnsiTheme="majorHAnsi" w:cstheme="majorHAnsi"/>
          <w:sz w:val="18"/>
          <w:szCs w:val="18"/>
          <w:lang w:val="es-ES_tradnl"/>
        </w:rPr>
        <w:t xml:space="preserve">el caso de agua </w:t>
      </w:r>
      <w:r>
        <w:rPr>
          <w:rFonts w:asciiTheme="majorHAnsi" w:hAnsiTheme="majorHAnsi" w:cstheme="majorHAnsi"/>
          <w:sz w:val="18"/>
          <w:szCs w:val="18"/>
          <w:lang w:val="es-ES_tradnl"/>
        </w:rPr>
        <w:t>de</w:t>
      </w:r>
      <w:r w:rsidRPr="00A2105E">
        <w:rPr>
          <w:rFonts w:asciiTheme="majorHAnsi" w:hAnsiTheme="majorHAnsi" w:cstheme="majorHAnsi"/>
          <w:sz w:val="18"/>
          <w:szCs w:val="18"/>
          <w:lang w:val="es-ES_tradnl"/>
        </w:rPr>
        <w:t xml:space="preserve"> Francia, se ha analizado la factura de </w:t>
      </w:r>
      <w:r>
        <w:rPr>
          <w:rFonts w:asciiTheme="majorHAnsi" w:hAnsiTheme="majorHAnsi" w:cstheme="majorHAnsi"/>
          <w:sz w:val="18"/>
          <w:szCs w:val="18"/>
          <w:lang w:val="es-ES_tradnl"/>
        </w:rPr>
        <w:t>l</w:t>
      </w:r>
      <w:r w:rsidRPr="00A2105E">
        <w:rPr>
          <w:rFonts w:asciiTheme="majorHAnsi" w:hAnsiTheme="majorHAnsi" w:cstheme="majorHAnsi"/>
          <w:sz w:val="18"/>
          <w:szCs w:val="18"/>
          <w:lang w:val="es-ES_tradnl"/>
        </w:rPr>
        <w:t>a empresa Aguas de Paris</w:t>
      </w:r>
      <w:r>
        <w:rPr>
          <w:rFonts w:asciiTheme="majorHAnsi" w:hAnsiTheme="majorHAnsi" w:cstheme="majorHAnsi"/>
          <w:sz w:val="18"/>
          <w:szCs w:val="18"/>
          <w:lang w:val="es-ES_tradnl"/>
        </w:rPr>
        <w:t xml:space="preserve">. </w:t>
      </w:r>
      <w:r w:rsidRPr="00A2105E">
        <w:rPr>
          <w:rFonts w:asciiTheme="majorHAnsi" w:hAnsiTheme="majorHAnsi" w:cstheme="majorHAnsi"/>
          <w:sz w:val="18"/>
          <w:szCs w:val="18"/>
          <w:lang w:val="es-ES_tradnl"/>
        </w:rPr>
        <w:t xml:space="preserve">Aguas de París tiene un contrato </w:t>
      </w:r>
      <w:r w:rsidRPr="00A2105E">
        <w:rPr>
          <w:rFonts w:asciiTheme="majorHAnsi" w:hAnsiTheme="majorHAnsi" w:cstheme="majorHAnsi"/>
          <w:i/>
          <w:sz w:val="18"/>
          <w:szCs w:val="18"/>
          <w:lang w:val="es-ES_tradnl"/>
        </w:rPr>
        <w:t>"</w:t>
      </w:r>
      <w:proofErr w:type="spellStart"/>
      <w:r w:rsidRPr="00A2105E">
        <w:rPr>
          <w:rFonts w:asciiTheme="majorHAnsi" w:hAnsiTheme="majorHAnsi" w:cstheme="majorHAnsi"/>
          <w:i/>
          <w:sz w:val="18"/>
          <w:szCs w:val="18"/>
          <w:lang w:val="es-ES_tradnl"/>
        </w:rPr>
        <w:t>affermage</w:t>
      </w:r>
      <w:proofErr w:type="spellEnd"/>
      <w:r w:rsidRPr="00A2105E">
        <w:rPr>
          <w:rFonts w:asciiTheme="majorHAnsi" w:hAnsiTheme="majorHAnsi" w:cstheme="majorHAnsi"/>
          <w:i/>
          <w:sz w:val="18"/>
          <w:szCs w:val="18"/>
          <w:lang w:val="es-ES_tradnl"/>
        </w:rPr>
        <w:t>"</w:t>
      </w:r>
      <w:r w:rsidRPr="00A2105E">
        <w:rPr>
          <w:rFonts w:asciiTheme="majorHAnsi" w:hAnsiTheme="majorHAnsi" w:cstheme="majorHAnsi"/>
          <w:sz w:val="18"/>
          <w:szCs w:val="18"/>
          <w:lang w:val="es-ES_tradnl"/>
        </w:rPr>
        <w:t>,</w:t>
      </w:r>
      <w:r w:rsidRPr="00A2105E">
        <w:rPr>
          <w:rFonts w:asciiTheme="majorHAnsi" w:hAnsiTheme="majorHAnsi" w:cstheme="majorHAnsi"/>
          <w:i/>
          <w:sz w:val="18"/>
          <w:szCs w:val="18"/>
          <w:lang w:val="es-ES_tradnl"/>
        </w:rPr>
        <w:t xml:space="preserve"> </w:t>
      </w:r>
      <w:r w:rsidRPr="00A2105E">
        <w:rPr>
          <w:rFonts w:asciiTheme="majorHAnsi" w:hAnsiTheme="majorHAnsi" w:cstheme="majorHAnsi"/>
          <w:sz w:val="18"/>
          <w:szCs w:val="18"/>
          <w:lang w:val="es-ES_tradnl"/>
        </w:rPr>
        <w:t>en donde los cargos se dividen explícitamente entre operaciones y mantenimiento (bajo la responsabilidad del operador) e inversiones importantes (bajo la responsabilidad del municipio). Así, los cargos de la factura se dividen en una parte que va al operador y una "parte comunal" que va al municipio para financiar parte de las necesidades de inversión en servicios.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119E8"/>
    <w:multiLevelType w:val="hybridMultilevel"/>
    <w:tmpl w:val="0A7CA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834E41"/>
    <w:multiLevelType w:val="hybridMultilevel"/>
    <w:tmpl w:val="67F0E2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731376"/>
    <w:multiLevelType w:val="hybridMultilevel"/>
    <w:tmpl w:val="77E64E5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38571F35"/>
    <w:multiLevelType w:val="hybridMultilevel"/>
    <w:tmpl w:val="C5387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1AC5E4F"/>
    <w:multiLevelType w:val="hybridMultilevel"/>
    <w:tmpl w:val="E56CF1D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941204C"/>
    <w:multiLevelType w:val="hybridMultilevel"/>
    <w:tmpl w:val="81E6BC2E"/>
    <w:lvl w:ilvl="0" w:tplc="B44AFB22">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E8D55FD"/>
    <w:multiLevelType w:val="hybridMultilevel"/>
    <w:tmpl w:val="BE2C2A8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AA30C00"/>
    <w:multiLevelType w:val="hybridMultilevel"/>
    <w:tmpl w:val="3C7E2EDA"/>
    <w:lvl w:ilvl="0" w:tplc="0409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C8"/>
    <w:rsid w:val="000036E1"/>
    <w:rsid w:val="000058CF"/>
    <w:rsid w:val="00015C86"/>
    <w:rsid w:val="00025AF6"/>
    <w:rsid w:val="00026DE8"/>
    <w:rsid w:val="00027545"/>
    <w:rsid w:val="00033D62"/>
    <w:rsid w:val="0003768B"/>
    <w:rsid w:val="00037861"/>
    <w:rsid w:val="00037F15"/>
    <w:rsid w:val="00047D1A"/>
    <w:rsid w:val="000503BE"/>
    <w:rsid w:val="000508AE"/>
    <w:rsid w:val="00050F0E"/>
    <w:rsid w:val="00053A7E"/>
    <w:rsid w:val="000553E8"/>
    <w:rsid w:val="00056FA4"/>
    <w:rsid w:val="000605B5"/>
    <w:rsid w:val="00064178"/>
    <w:rsid w:val="000657B7"/>
    <w:rsid w:val="00085424"/>
    <w:rsid w:val="00086D43"/>
    <w:rsid w:val="00086E21"/>
    <w:rsid w:val="000912F4"/>
    <w:rsid w:val="0009560E"/>
    <w:rsid w:val="00096D25"/>
    <w:rsid w:val="000A0AA3"/>
    <w:rsid w:val="000A2448"/>
    <w:rsid w:val="000A3BB6"/>
    <w:rsid w:val="000A579A"/>
    <w:rsid w:val="000A5FA8"/>
    <w:rsid w:val="000B2A8C"/>
    <w:rsid w:val="000B67D0"/>
    <w:rsid w:val="000C4B1D"/>
    <w:rsid w:val="000C57BD"/>
    <w:rsid w:val="000D1CFB"/>
    <w:rsid w:val="000D21F3"/>
    <w:rsid w:val="000D50F6"/>
    <w:rsid w:val="000F05CE"/>
    <w:rsid w:val="000F472B"/>
    <w:rsid w:val="000F4E59"/>
    <w:rsid w:val="000F6284"/>
    <w:rsid w:val="0010455E"/>
    <w:rsid w:val="00105A42"/>
    <w:rsid w:val="00114043"/>
    <w:rsid w:val="001152D1"/>
    <w:rsid w:val="00115D2B"/>
    <w:rsid w:val="001212B0"/>
    <w:rsid w:val="00132135"/>
    <w:rsid w:val="00132DCA"/>
    <w:rsid w:val="0015543E"/>
    <w:rsid w:val="00161B6B"/>
    <w:rsid w:val="0016301C"/>
    <w:rsid w:val="0016382D"/>
    <w:rsid w:val="00164F6C"/>
    <w:rsid w:val="0016530A"/>
    <w:rsid w:val="00170133"/>
    <w:rsid w:val="00172DD9"/>
    <w:rsid w:val="001768F9"/>
    <w:rsid w:val="001803BB"/>
    <w:rsid w:val="00185A44"/>
    <w:rsid w:val="00187EF1"/>
    <w:rsid w:val="001936CB"/>
    <w:rsid w:val="001A3437"/>
    <w:rsid w:val="001B1EC1"/>
    <w:rsid w:val="001C2F2F"/>
    <w:rsid w:val="001C3CAB"/>
    <w:rsid w:val="001C46EC"/>
    <w:rsid w:val="001D13DE"/>
    <w:rsid w:val="001D421F"/>
    <w:rsid w:val="001D58E4"/>
    <w:rsid w:val="001D5E7B"/>
    <w:rsid w:val="001F0D6B"/>
    <w:rsid w:val="001F170A"/>
    <w:rsid w:val="001F2582"/>
    <w:rsid w:val="00202AA8"/>
    <w:rsid w:val="002032CF"/>
    <w:rsid w:val="00206745"/>
    <w:rsid w:val="00207C13"/>
    <w:rsid w:val="00212FD0"/>
    <w:rsid w:val="00226261"/>
    <w:rsid w:val="00226CF6"/>
    <w:rsid w:val="00232C6B"/>
    <w:rsid w:val="00243F43"/>
    <w:rsid w:val="00247AB7"/>
    <w:rsid w:val="002631B6"/>
    <w:rsid w:val="00267FE9"/>
    <w:rsid w:val="00274DFE"/>
    <w:rsid w:val="002811DA"/>
    <w:rsid w:val="002856BB"/>
    <w:rsid w:val="0029042B"/>
    <w:rsid w:val="00296698"/>
    <w:rsid w:val="002A2CAC"/>
    <w:rsid w:val="002A3E43"/>
    <w:rsid w:val="002A5276"/>
    <w:rsid w:val="002A5DC9"/>
    <w:rsid w:val="002B3883"/>
    <w:rsid w:val="002B7AAB"/>
    <w:rsid w:val="002C4F04"/>
    <w:rsid w:val="002C5F9A"/>
    <w:rsid w:val="002D1DD1"/>
    <w:rsid w:val="002D31E8"/>
    <w:rsid w:val="002D759B"/>
    <w:rsid w:val="002E0162"/>
    <w:rsid w:val="002E3EE1"/>
    <w:rsid w:val="002E7A7E"/>
    <w:rsid w:val="002F278D"/>
    <w:rsid w:val="002F75A9"/>
    <w:rsid w:val="002F7CDC"/>
    <w:rsid w:val="0030422E"/>
    <w:rsid w:val="003075DD"/>
    <w:rsid w:val="0033286E"/>
    <w:rsid w:val="00333F8C"/>
    <w:rsid w:val="00335681"/>
    <w:rsid w:val="0034175D"/>
    <w:rsid w:val="00346C46"/>
    <w:rsid w:val="00353EAF"/>
    <w:rsid w:val="003558D3"/>
    <w:rsid w:val="00367FE9"/>
    <w:rsid w:val="0037166C"/>
    <w:rsid w:val="0037170B"/>
    <w:rsid w:val="00374CA0"/>
    <w:rsid w:val="00380AD4"/>
    <w:rsid w:val="00381800"/>
    <w:rsid w:val="0038310B"/>
    <w:rsid w:val="0038549D"/>
    <w:rsid w:val="0039139C"/>
    <w:rsid w:val="0039366A"/>
    <w:rsid w:val="003A3415"/>
    <w:rsid w:val="003A3B25"/>
    <w:rsid w:val="003A54AD"/>
    <w:rsid w:val="003B6325"/>
    <w:rsid w:val="003C1B37"/>
    <w:rsid w:val="003D53B4"/>
    <w:rsid w:val="003D57B4"/>
    <w:rsid w:val="003E1F1D"/>
    <w:rsid w:val="003E397F"/>
    <w:rsid w:val="003E5F59"/>
    <w:rsid w:val="003F07D6"/>
    <w:rsid w:val="003F2853"/>
    <w:rsid w:val="003F61BB"/>
    <w:rsid w:val="00404AF6"/>
    <w:rsid w:val="004079B3"/>
    <w:rsid w:val="00412EA4"/>
    <w:rsid w:val="0041519C"/>
    <w:rsid w:val="004167AC"/>
    <w:rsid w:val="00416F03"/>
    <w:rsid w:val="00423A13"/>
    <w:rsid w:val="00424745"/>
    <w:rsid w:val="00427144"/>
    <w:rsid w:val="004313C4"/>
    <w:rsid w:val="0043178E"/>
    <w:rsid w:val="00432D5F"/>
    <w:rsid w:val="00437016"/>
    <w:rsid w:val="004372D9"/>
    <w:rsid w:val="004406C1"/>
    <w:rsid w:val="0044439B"/>
    <w:rsid w:val="00444943"/>
    <w:rsid w:val="004476A4"/>
    <w:rsid w:val="00451264"/>
    <w:rsid w:val="00453E21"/>
    <w:rsid w:val="00456590"/>
    <w:rsid w:val="00476291"/>
    <w:rsid w:val="004921F1"/>
    <w:rsid w:val="004927FA"/>
    <w:rsid w:val="00493AF2"/>
    <w:rsid w:val="0049713C"/>
    <w:rsid w:val="00497B38"/>
    <w:rsid w:val="004A0DC5"/>
    <w:rsid w:val="004A303A"/>
    <w:rsid w:val="004A448F"/>
    <w:rsid w:val="004B5CC0"/>
    <w:rsid w:val="004B5F00"/>
    <w:rsid w:val="004B6502"/>
    <w:rsid w:val="004C2FB0"/>
    <w:rsid w:val="004C38F1"/>
    <w:rsid w:val="004C459F"/>
    <w:rsid w:val="004C4A04"/>
    <w:rsid w:val="004C6F6F"/>
    <w:rsid w:val="004D3B98"/>
    <w:rsid w:val="004D5F54"/>
    <w:rsid w:val="004E2261"/>
    <w:rsid w:val="004E33CD"/>
    <w:rsid w:val="004E58CD"/>
    <w:rsid w:val="004F5BAF"/>
    <w:rsid w:val="00500EA9"/>
    <w:rsid w:val="005042F3"/>
    <w:rsid w:val="00505806"/>
    <w:rsid w:val="00505C27"/>
    <w:rsid w:val="00505DC9"/>
    <w:rsid w:val="005064BC"/>
    <w:rsid w:val="00507AFC"/>
    <w:rsid w:val="00533533"/>
    <w:rsid w:val="005353FA"/>
    <w:rsid w:val="00536113"/>
    <w:rsid w:val="005433D0"/>
    <w:rsid w:val="00546FD6"/>
    <w:rsid w:val="005616BB"/>
    <w:rsid w:val="00564F7C"/>
    <w:rsid w:val="0056704B"/>
    <w:rsid w:val="005702A0"/>
    <w:rsid w:val="0057694A"/>
    <w:rsid w:val="00580286"/>
    <w:rsid w:val="005815A6"/>
    <w:rsid w:val="00581B9E"/>
    <w:rsid w:val="0058439E"/>
    <w:rsid w:val="00586E07"/>
    <w:rsid w:val="00593CEC"/>
    <w:rsid w:val="00595B3E"/>
    <w:rsid w:val="005A2045"/>
    <w:rsid w:val="005A575F"/>
    <w:rsid w:val="005C5202"/>
    <w:rsid w:val="005E28A1"/>
    <w:rsid w:val="005E429F"/>
    <w:rsid w:val="005E6486"/>
    <w:rsid w:val="005E66F9"/>
    <w:rsid w:val="005F5392"/>
    <w:rsid w:val="00601AF5"/>
    <w:rsid w:val="00602E48"/>
    <w:rsid w:val="0060615A"/>
    <w:rsid w:val="00612F88"/>
    <w:rsid w:val="0061442C"/>
    <w:rsid w:val="00614801"/>
    <w:rsid w:val="0061516E"/>
    <w:rsid w:val="00623D6E"/>
    <w:rsid w:val="006267CE"/>
    <w:rsid w:val="00627604"/>
    <w:rsid w:val="00636F3E"/>
    <w:rsid w:val="00647663"/>
    <w:rsid w:val="00652579"/>
    <w:rsid w:val="00657034"/>
    <w:rsid w:val="00657BCD"/>
    <w:rsid w:val="0066668D"/>
    <w:rsid w:val="00667ED4"/>
    <w:rsid w:val="006759D8"/>
    <w:rsid w:val="00677D73"/>
    <w:rsid w:val="006818BE"/>
    <w:rsid w:val="006905D0"/>
    <w:rsid w:val="006A2A29"/>
    <w:rsid w:val="006A4CBE"/>
    <w:rsid w:val="006A71AF"/>
    <w:rsid w:val="006B3029"/>
    <w:rsid w:val="006C17AB"/>
    <w:rsid w:val="006C400F"/>
    <w:rsid w:val="006C5994"/>
    <w:rsid w:val="006D10D2"/>
    <w:rsid w:val="006D291E"/>
    <w:rsid w:val="006D2A3F"/>
    <w:rsid w:val="006D59FC"/>
    <w:rsid w:val="006D68B4"/>
    <w:rsid w:val="006F4072"/>
    <w:rsid w:val="006F4ED3"/>
    <w:rsid w:val="006F7019"/>
    <w:rsid w:val="00705353"/>
    <w:rsid w:val="007123AF"/>
    <w:rsid w:val="00712CCD"/>
    <w:rsid w:val="00716EFA"/>
    <w:rsid w:val="00721DE7"/>
    <w:rsid w:val="00723850"/>
    <w:rsid w:val="0072749E"/>
    <w:rsid w:val="00730470"/>
    <w:rsid w:val="00731607"/>
    <w:rsid w:val="0073376E"/>
    <w:rsid w:val="00740DC6"/>
    <w:rsid w:val="00747D87"/>
    <w:rsid w:val="00750226"/>
    <w:rsid w:val="0076131B"/>
    <w:rsid w:val="00766471"/>
    <w:rsid w:val="00770215"/>
    <w:rsid w:val="007711CE"/>
    <w:rsid w:val="007723EA"/>
    <w:rsid w:val="0077490A"/>
    <w:rsid w:val="00776B12"/>
    <w:rsid w:val="007800A6"/>
    <w:rsid w:val="00780CDB"/>
    <w:rsid w:val="007817D5"/>
    <w:rsid w:val="00782D1C"/>
    <w:rsid w:val="00791DDE"/>
    <w:rsid w:val="00793003"/>
    <w:rsid w:val="00794158"/>
    <w:rsid w:val="007A2414"/>
    <w:rsid w:val="007A35E4"/>
    <w:rsid w:val="007A59AE"/>
    <w:rsid w:val="007B0711"/>
    <w:rsid w:val="007C369E"/>
    <w:rsid w:val="007C6576"/>
    <w:rsid w:val="007D2646"/>
    <w:rsid w:val="007D7DE4"/>
    <w:rsid w:val="007E191F"/>
    <w:rsid w:val="007E31D6"/>
    <w:rsid w:val="007E36E0"/>
    <w:rsid w:val="007E3E2B"/>
    <w:rsid w:val="007E5927"/>
    <w:rsid w:val="007E7F4F"/>
    <w:rsid w:val="007F60AE"/>
    <w:rsid w:val="007F6421"/>
    <w:rsid w:val="00810799"/>
    <w:rsid w:val="0081573F"/>
    <w:rsid w:val="00821EFA"/>
    <w:rsid w:val="00823338"/>
    <w:rsid w:val="008238A7"/>
    <w:rsid w:val="00833215"/>
    <w:rsid w:val="0085331D"/>
    <w:rsid w:val="0085536E"/>
    <w:rsid w:val="00864721"/>
    <w:rsid w:val="008652B4"/>
    <w:rsid w:val="00885CB8"/>
    <w:rsid w:val="008869FF"/>
    <w:rsid w:val="00887C7D"/>
    <w:rsid w:val="008901B8"/>
    <w:rsid w:val="00891BA4"/>
    <w:rsid w:val="008A0A7F"/>
    <w:rsid w:val="008A6F91"/>
    <w:rsid w:val="008C6EF5"/>
    <w:rsid w:val="008F090C"/>
    <w:rsid w:val="008F205F"/>
    <w:rsid w:val="008F4A53"/>
    <w:rsid w:val="009004A2"/>
    <w:rsid w:val="009074E2"/>
    <w:rsid w:val="009079C6"/>
    <w:rsid w:val="00910DBA"/>
    <w:rsid w:val="00913B42"/>
    <w:rsid w:val="00916112"/>
    <w:rsid w:val="00921958"/>
    <w:rsid w:val="00921B2C"/>
    <w:rsid w:val="00937497"/>
    <w:rsid w:val="00940671"/>
    <w:rsid w:val="00954FD9"/>
    <w:rsid w:val="00964AC8"/>
    <w:rsid w:val="00966001"/>
    <w:rsid w:val="00973486"/>
    <w:rsid w:val="00976B56"/>
    <w:rsid w:val="00976BE3"/>
    <w:rsid w:val="00982792"/>
    <w:rsid w:val="00987CA8"/>
    <w:rsid w:val="00987DD5"/>
    <w:rsid w:val="00990F2C"/>
    <w:rsid w:val="00991334"/>
    <w:rsid w:val="009972FF"/>
    <w:rsid w:val="009976B3"/>
    <w:rsid w:val="00997B2A"/>
    <w:rsid w:val="009A40DE"/>
    <w:rsid w:val="009B322D"/>
    <w:rsid w:val="009C054E"/>
    <w:rsid w:val="009C0FCF"/>
    <w:rsid w:val="009C360C"/>
    <w:rsid w:val="009C65EA"/>
    <w:rsid w:val="009D1185"/>
    <w:rsid w:val="009D3A57"/>
    <w:rsid w:val="009E12A3"/>
    <w:rsid w:val="009E3CAB"/>
    <w:rsid w:val="009F0E31"/>
    <w:rsid w:val="009F7657"/>
    <w:rsid w:val="00A018F4"/>
    <w:rsid w:val="00A01FC1"/>
    <w:rsid w:val="00A15206"/>
    <w:rsid w:val="00A15317"/>
    <w:rsid w:val="00A1689A"/>
    <w:rsid w:val="00A2105E"/>
    <w:rsid w:val="00A22294"/>
    <w:rsid w:val="00A2245F"/>
    <w:rsid w:val="00A2289A"/>
    <w:rsid w:val="00A23819"/>
    <w:rsid w:val="00A34382"/>
    <w:rsid w:val="00A40F93"/>
    <w:rsid w:val="00A41B75"/>
    <w:rsid w:val="00A42D7E"/>
    <w:rsid w:val="00A42DE1"/>
    <w:rsid w:val="00A447F0"/>
    <w:rsid w:val="00A56BFF"/>
    <w:rsid w:val="00A5740B"/>
    <w:rsid w:val="00A61AAB"/>
    <w:rsid w:val="00A6551A"/>
    <w:rsid w:val="00A74099"/>
    <w:rsid w:val="00A839C5"/>
    <w:rsid w:val="00A84F0C"/>
    <w:rsid w:val="00A87508"/>
    <w:rsid w:val="00AA2C2A"/>
    <w:rsid w:val="00AA3C65"/>
    <w:rsid w:val="00AA4F3A"/>
    <w:rsid w:val="00AB07F0"/>
    <w:rsid w:val="00AB55C3"/>
    <w:rsid w:val="00AC3DF9"/>
    <w:rsid w:val="00AC49AF"/>
    <w:rsid w:val="00AC4A4B"/>
    <w:rsid w:val="00AC5E41"/>
    <w:rsid w:val="00AC6CBE"/>
    <w:rsid w:val="00AD670D"/>
    <w:rsid w:val="00AD7550"/>
    <w:rsid w:val="00AE13E1"/>
    <w:rsid w:val="00AE1AAA"/>
    <w:rsid w:val="00AE4792"/>
    <w:rsid w:val="00AE7C2C"/>
    <w:rsid w:val="00AF5791"/>
    <w:rsid w:val="00AF71BD"/>
    <w:rsid w:val="00B06749"/>
    <w:rsid w:val="00B068AB"/>
    <w:rsid w:val="00B11FF8"/>
    <w:rsid w:val="00B17A5E"/>
    <w:rsid w:val="00B17B36"/>
    <w:rsid w:val="00B23D8B"/>
    <w:rsid w:val="00B26308"/>
    <w:rsid w:val="00B41C88"/>
    <w:rsid w:val="00B46012"/>
    <w:rsid w:val="00B51CE9"/>
    <w:rsid w:val="00B56413"/>
    <w:rsid w:val="00B63BFA"/>
    <w:rsid w:val="00B65FB4"/>
    <w:rsid w:val="00B73049"/>
    <w:rsid w:val="00B77EBD"/>
    <w:rsid w:val="00B91C67"/>
    <w:rsid w:val="00BA60E7"/>
    <w:rsid w:val="00BB0E8E"/>
    <w:rsid w:val="00BB12CA"/>
    <w:rsid w:val="00BB2849"/>
    <w:rsid w:val="00BB3649"/>
    <w:rsid w:val="00BB6C11"/>
    <w:rsid w:val="00BC3D7D"/>
    <w:rsid w:val="00BC4457"/>
    <w:rsid w:val="00BD3F50"/>
    <w:rsid w:val="00BD49BF"/>
    <w:rsid w:val="00BE5583"/>
    <w:rsid w:val="00BF092B"/>
    <w:rsid w:val="00BF1E79"/>
    <w:rsid w:val="00C01E0A"/>
    <w:rsid w:val="00C031E6"/>
    <w:rsid w:val="00C10683"/>
    <w:rsid w:val="00C148FE"/>
    <w:rsid w:val="00C21E70"/>
    <w:rsid w:val="00C22041"/>
    <w:rsid w:val="00C31B3B"/>
    <w:rsid w:val="00C3428D"/>
    <w:rsid w:val="00C352B5"/>
    <w:rsid w:val="00C44EB0"/>
    <w:rsid w:val="00C457FD"/>
    <w:rsid w:val="00C516E9"/>
    <w:rsid w:val="00C57EF7"/>
    <w:rsid w:val="00C734C3"/>
    <w:rsid w:val="00C738B1"/>
    <w:rsid w:val="00C7443F"/>
    <w:rsid w:val="00C76C1D"/>
    <w:rsid w:val="00C76E5E"/>
    <w:rsid w:val="00C80EA4"/>
    <w:rsid w:val="00C83B81"/>
    <w:rsid w:val="00C8466A"/>
    <w:rsid w:val="00C8546F"/>
    <w:rsid w:val="00C94D30"/>
    <w:rsid w:val="00CB4EE0"/>
    <w:rsid w:val="00CC5348"/>
    <w:rsid w:val="00CC7A22"/>
    <w:rsid w:val="00CD2F03"/>
    <w:rsid w:val="00CD5A08"/>
    <w:rsid w:val="00CE6E07"/>
    <w:rsid w:val="00D11EF6"/>
    <w:rsid w:val="00D16A21"/>
    <w:rsid w:val="00D26DE4"/>
    <w:rsid w:val="00D427FC"/>
    <w:rsid w:val="00D44822"/>
    <w:rsid w:val="00D56A71"/>
    <w:rsid w:val="00D61386"/>
    <w:rsid w:val="00D616FF"/>
    <w:rsid w:val="00D63A52"/>
    <w:rsid w:val="00D65947"/>
    <w:rsid w:val="00D776EA"/>
    <w:rsid w:val="00D83897"/>
    <w:rsid w:val="00D85949"/>
    <w:rsid w:val="00D85B87"/>
    <w:rsid w:val="00D90F3E"/>
    <w:rsid w:val="00D90F4B"/>
    <w:rsid w:val="00D96756"/>
    <w:rsid w:val="00DB0A3F"/>
    <w:rsid w:val="00DB6287"/>
    <w:rsid w:val="00DD5655"/>
    <w:rsid w:val="00DD746C"/>
    <w:rsid w:val="00DE30AE"/>
    <w:rsid w:val="00DE655E"/>
    <w:rsid w:val="00DF000C"/>
    <w:rsid w:val="00DF06F3"/>
    <w:rsid w:val="00DF5A57"/>
    <w:rsid w:val="00E02CF6"/>
    <w:rsid w:val="00E03B69"/>
    <w:rsid w:val="00E04D89"/>
    <w:rsid w:val="00E07430"/>
    <w:rsid w:val="00E14E2A"/>
    <w:rsid w:val="00E30945"/>
    <w:rsid w:val="00E30B05"/>
    <w:rsid w:val="00E36CD9"/>
    <w:rsid w:val="00E44766"/>
    <w:rsid w:val="00E503E0"/>
    <w:rsid w:val="00E52D98"/>
    <w:rsid w:val="00E56314"/>
    <w:rsid w:val="00E56EFE"/>
    <w:rsid w:val="00E624CF"/>
    <w:rsid w:val="00E62EF2"/>
    <w:rsid w:val="00E8679A"/>
    <w:rsid w:val="00E93176"/>
    <w:rsid w:val="00E93618"/>
    <w:rsid w:val="00EA53B0"/>
    <w:rsid w:val="00EB0CAC"/>
    <w:rsid w:val="00EB446E"/>
    <w:rsid w:val="00EB60BB"/>
    <w:rsid w:val="00EC0773"/>
    <w:rsid w:val="00EC45CF"/>
    <w:rsid w:val="00ED6EC8"/>
    <w:rsid w:val="00EE287D"/>
    <w:rsid w:val="00EE373E"/>
    <w:rsid w:val="00EE591A"/>
    <w:rsid w:val="00EF026B"/>
    <w:rsid w:val="00EF2B7A"/>
    <w:rsid w:val="00EF3015"/>
    <w:rsid w:val="00F07549"/>
    <w:rsid w:val="00F0763B"/>
    <w:rsid w:val="00F11B2E"/>
    <w:rsid w:val="00F12175"/>
    <w:rsid w:val="00F159AC"/>
    <w:rsid w:val="00F2231C"/>
    <w:rsid w:val="00F240DF"/>
    <w:rsid w:val="00F300C3"/>
    <w:rsid w:val="00F3153A"/>
    <w:rsid w:val="00F334CC"/>
    <w:rsid w:val="00F34CD9"/>
    <w:rsid w:val="00F419A2"/>
    <w:rsid w:val="00F42090"/>
    <w:rsid w:val="00F42723"/>
    <w:rsid w:val="00F42AA0"/>
    <w:rsid w:val="00F52CFD"/>
    <w:rsid w:val="00F53F98"/>
    <w:rsid w:val="00F544CC"/>
    <w:rsid w:val="00F64C86"/>
    <w:rsid w:val="00F67E08"/>
    <w:rsid w:val="00F73F2B"/>
    <w:rsid w:val="00F76B4A"/>
    <w:rsid w:val="00F772B9"/>
    <w:rsid w:val="00F80F0C"/>
    <w:rsid w:val="00F8568C"/>
    <w:rsid w:val="00F971A8"/>
    <w:rsid w:val="00FA54B1"/>
    <w:rsid w:val="00FB19A6"/>
    <w:rsid w:val="00FB7E72"/>
    <w:rsid w:val="00FC2842"/>
    <w:rsid w:val="00FC764A"/>
    <w:rsid w:val="00FC7D08"/>
    <w:rsid w:val="00FD0054"/>
    <w:rsid w:val="00FD0749"/>
    <w:rsid w:val="00FD0768"/>
    <w:rsid w:val="00FD4286"/>
    <w:rsid w:val="00FE4B76"/>
    <w:rsid w:val="00FE5C77"/>
    <w:rsid w:val="00FF15BA"/>
    <w:rsid w:val="00FF61B9"/>
    <w:rsid w:val="00FF7B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E97889"/>
  <w14:defaultImageDpi w14:val="300"/>
  <w15:docId w15:val="{3E35D8F3-B49E-437B-AC9B-78CB0568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5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C80EA4"/>
    <w:pPr>
      <w:spacing w:before="100" w:beforeAutospacing="1" w:after="100" w:afterAutospacing="1"/>
      <w:outlineLvl w:val="2"/>
    </w:pPr>
    <w:rPr>
      <w:rFonts w:ascii="Times New Roman" w:eastAsia="Times New Roman"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 2 IND,Titulo parrafo"/>
    <w:basedOn w:val="Normal"/>
    <w:link w:val="ListParagraphChar"/>
    <w:uiPriority w:val="34"/>
    <w:qFormat/>
    <w:rsid w:val="00A018F4"/>
    <w:pPr>
      <w:ind w:left="720"/>
      <w:contextualSpacing/>
    </w:pPr>
  </w:style>
  <w:style w:type="character" w:customStyle="1" w:styleId="Heading3Char">
    <w:name w:val="Heading 3 Char"/>
    <w:basedOn w:val="DefaultParagraphFont"/>
    <w:link w:val="Heading3"/>
    <w:uiPriority w:val="9"/>
    <w:rsid w:val="00C80EA4"/>
    <w:rPr>
      <w:rFonts w:ascii="Times New Roman" w:eastAsia="Times New Roman" w:hAnsi="Times New Roman" w:cs="Times New Roman"/>
      <w:b/>
      <w:bCs/>
      <w:sz w:val="27"/>
      <w:szCs w:val="27"/>
      <w:lang w:val="en-US" w:eastAsia="en-US"/>
    </w:rPr>
  </w:style>
  <w:style w:type="paragraph" w:styleId="FootnoteText">
    <w:name w:val="footnote text"/>
    <w:basedOn w:val="Normal"/>
    <w:link w:val="FootnoteTextChar"/>
    <w:uiPriority w:val="99"/>
    <w:unhideWhenUsed/>
    <w:rsid w:val="00C80EA4"/>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C80EA4"/>
    <w:rPr>
      <w:rFonts w:eastAsiaTheme="minorHAnsi"/>
      <w:sz w:val="20"/>
      <w:szCs w:val="20"/>
      <w:lang w:val="en-US" w:eastAsia="en-US"/>
    </w:rPr>
  </w:style>
  <w:style w:type="character" w:styleId="FootnoteReference">
    <w:name w:val="footnote reference"/>
    <w:basedOn w:val="DefaultParagraphFont"/>
    <w:uiPriority w:val="99"/>
    <w:unhideWhenUsed/>
    <w:rsid w:val="00C80EA4"/>
    <w:rPr>
      <w:vertAlign w:val="superscript"/>
    </w:rPr>
  </w:style>
  <w:style w:type="table" w:styleId="TableGrid">
    <w:name w:val="Table Grid"/>
    <w:basedOn w:val="TableNormal"/>
    <w:uiPriority w:val="39"/>
    <w:rsid w:val="00C80EA4"/>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EA4"/>
    <w:rPr>
      <w:rFonts w:ascii="Lucida Grande" w:hAnsi="Lucida Grande" w:cs="Lucida Grande"/>
      <w:sz w:val="18"/>
      <w:szCs w:val="18"/>
    </w:rPr>
  </w:style>
  <w:style w:type="character" w:styleId="Strong">
    <w:name w:val="Strong"/>
    <w:basedOn w:val="DefaultParagraphFont"/>
    <w:uiPriority w:val="22"/>
    <w:qFormat/>
    <w:rsid w:val="000C57BD"/>
    <w:rPr>
      <w:b/>
      <w:bCs/>
    </w:rPr>
  </w:style>
  <w:style w:type="character" w:customStyle="1" w:styleId="ListParagraphChar">
    <w:name w:val="List Paragraph Char"/>
    <w:aliases w:val="TIT 2 IND Char,Titulo parrafo Char"/>
    <w:link w:val="ListParagraph"/>
    <w:uiPriority w:val="34"/>
    <w:locked/>
    <w:rsid w:val="000C57BD"/>
  </w:style>
  <w:style w:type="character" w:customStyle="1" w:styleId="Heading1Char">
    <w:name w:val="Heading 1 Char"/>
    <w:basedOn w:val="DefaultParagraphFont"/>
    <w:link w:val="Heading1"/>
    <w:uiPriority w:val="9"/>
    <w:rsid w:val="0002754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027545"/>
    <w:rPr>
      <w:color w:val="0000FF"/>
      <w:u w:val="single"/>
    </w:rPr>
  </w:style>
  <w:style w:type="character" w:customStyle="1" w:styleId="apple-converted-space">
    <w:name w:val="apple-converted-space"/>
    <w:basedOn w:val="DefaultParagraphFont"/>
    <w:rsid w:val="00027545"/>
  </w:style>
  <w:style w:type="paragraph" w:styleId="BodyText">
    <w:name w:val="Body Text"/>
    <w:basedOn w:val="Normal"/>
    <w:link w:val="BodyTextChar"/>
    <w:semiHidden/>
    <w:rsid w:val="00027545"/>
    <w:rPr>
      <w:rFonts w:ascii="Times New Roman" w:eastAsia="Times New Roman" w:hAnsi="Times New Roman" w:cs="Times New Roman"/>
      <w:szCs w:val="20"/>
      <w:lang w:val="es-AR"/>
    </w:rPr>
  </w:style>
  <w:style w:type="character" w:customStyle="1" w:styleId="BodyTextChar">
    <w:name w:val="Body Text Char"/>
    <w:basedOn w:val="DefaultParagraphFont"/>
    <w:link w:val="BodyText"/>
    <w:semiHidden/>
    <w:rsid w:val="00027545"/>
    <w:rPr>
      <w:rFonts w:ascii="Times New Roman" w:eastAsia="Times New Roman" w:hAnsi="Times New Roman" w:cs="Times New Roman"/>
      <w:szCs w:val="20"/>
      <w:lang w:val="es-AR"/>
    </w:rPr>
  </w:style>
  <w:style w:type="character" w:customStyle="1" w:styleId="st1">
    <w:name w:val="st1"/>
    <w:basedOn w:val="DefaultParagraphFont"/>
    <w:rsid w:val="00027545"/>
  </w:style>
  <w:style w:type="paragraph" w:customStyle="1" w:styleId="Default">
    <w:name w:val="Default"/>
    <w:rsid w:val="00027545"/>
    <w:pPr>
      <w:autoSpaceDE w:val="0"/>
      <w:autoSpaceDN w:val="0"/>
      <w:adjustRightInd w:val="0"/>
    </w:pPr>
    <w:rPr>
      <w:rFonts w:ascii="Cambria" w:eastAsiaTheme="minorHAnsi" w:hAnsi="Cambria" w:cs="Cambria"/>
      <w:color w:val="000000"/>
      <w:lang w:val="es-AR" w:eastAsia="en-US"/>
    </w:rPr>
  </w:style>
  <w:style w:type="paragraph" w:styleId="Footer">
    <w:name w:val="footer"/>
    <w:basedOn w:val="Normal"/>
    <w:link w:val="FooterChar"/>
    <w:uiPriority w:val="99"/>
    <w:unhideWhenUsed/>
    <w:rsid w:val="00085424"/>
    <w:pPr>
      <w:tabs>
        <w:tab w:val="center" w:pos="4252"/>
        <w:tab w:val="right" w:pos="8504"/>
      </w:tabs>
    </w:pPr>
  </w:style>
  <w:style w:type="character" w:customStyle="1" w:styleId="FooterChar">
    <w:name w:val="Footer Char"/>
    <w:basedOn w:val="DefaultParagraphFont"/>
    <w:link w:val="Footer"/>
    <w:uiPriority w:val="99"/>
    <w:rsid w:val="00085424"/>
  </w:style>
  <w:style w:type="character" w:styleId="PageNumber">
    <w:name w:val="page number"/>
    <w:basedOn w:val="DefaultParagraphFont"/>
    <w:uiPriority w:val="99"/>
    <w:semiHidden/>
    <w:unhideWhenUsed/>
    <w:rsid w:val="00085424"/>
  </w:style>
  <w:style w:type="paragraph" w:styleId="Header">
    <w:name w:val="header"/>
    <w:basedOn w:val="Normal"/>
    <w:link w:val="HeaderChar"/>
    <w:uiPriority w:val="99"/>
    <w:unhideWhenUsed/>
    <w:rsid w:val="00085424"/>
    <w:pPr>
      <w:tabs>
        <w:tab w:val="center" w:pos="4252"/>
        <w:tab w:val="right" w:pos="8504"/>
      </w:tabs>
    </w:pPr>
  </w:style>
  <w:style w:type="character" w:customStyle="1" w:styleId="HeaderChar">
    <w:name w:val="Header Char"/>
    <w:basedOn w:val="DefaultParagraphFont"/>
    <w:link w:val="Header"/>
    <w:uiPriority w:val="99"/>
    <w:rsid w:val="00085424"/>
  </w:style>
  <w:style w:type="character" w:styleId="Emphasis">
    <w:name w:val="Emphasis"/>
    <w:basedOn w:val="DefaultParagraphFont"/>
    <w:uiPriority w:val="20"/>
    <w:qFormat/>
    <w:rsid w:val="00274DFE"/>
    <w:rPr>
      <w:i/>
      <w:iCs/>
    </w:rPr>
  </w:style>
  <w:style w:type="character" w:styleId="CommentReference">
    <w:name w:val="annotation reference"/>
    <w:basedOn w:val="DefaultParagraphFont"/>
    <w:uiPriority w:val="99"/>
    <w:semiHidden/>
    <w:unhideWhenUsed/>
    <w:rsid w:val="00716EFA"/>
    <w:rPr>
      <w:sz w:val="16"/>
      <w:szCs w:val="16"/>
    </w:rPr>
  </w:style>
  <w:style w:type="paragraph" w:styleId="CommentText">
    <w:name w:val="annotation text"/>
    <w:basedOn w:val="Normal"/>
    <w:link w:val="CommentTextChar"/>
    <w:uiPriority w:val="99"/>
    <w:semiHidden/>
    <w:unhideWhenUsed/>
    <w:rsid w:val="00716EFA"/>
    <w:rPr>
      <w:sz w:val="20"/>
      <w:szCs w:val="20"/>
    </w:rPr>
  </w:style>
  <w:style w:type="character" w:customStyle="1" w:styleId="CommentTextChar">
    <w:name w:val="Comment Text Char"/>
    <w:basedOn w:val="DefaultParagraphFont"/>
    <w:link w:val="CommentText"/>
    <w:uiPriority w:val="99"/>
    <w:semiHidden/>
    <w:rsid w:val="00716EFA"/>
    <w:rPr>
      <w:sz w:val="20"/>
      <w:szCs w:val="20"/>
    </w:rPr>
  </w:style>
  <w:style w:type="paragraph" w:styleId="CommentSubject">
    <w:name w:val="annotation subject"/>
    <w:basedOn w:val="CommentText"/>
    <w:next w:val="CommentText"/>
    <w:link w:val="CommentSubjectChar"/>
    <w:uiPriority w:val="99"/>
    <w:semiHidden/>
    <w:unhideWhenUsed/>
    <w:rsid w:val="00716EFA"/>
    <w:rPr>
      <w:b/>
      <w:bCs/>
    </w:rPr>
  </w:style>
  <w:style w:type="character" w:customStyle="1" w:styleId="CommentSubjectChar">
    <w:name w:val="Comment Subject Char"/>
    <w:basedOn w:val="CommentTextChar"/>
    <w:link w:val="CommentSubject"/>
    <w:uiPriority w:val="99"/>
    <w:semiHidden/>
    <w:rsid w:val="00716EFA"/>
    <w:rPr>
      <w:b/>
      <w:bCs/>
      <w:sz w:val="20"/>
      <w:szCs w:val="20"/>
    </w:rPr>
  </w:style>
  <w:style w:type="paragraph" w:styleId="Caption">
    <w:name w:val="caption"/>
    <w:basedOn w:val="Normal"/>
    <w:next w:val="Normal"/>
    <w:uiPriority w:val="35"/>
    <w:unhideWhenUsed/>
    <w:qFormat/>
    <w:rsid w:val="00C738B1"/>
    <w:pPr>
      <w:spacing w:after="200"/>
    </w:pPr>
    <w:rPr>
      <w:i/>
      <w:iCs/>
      <w:color w:val="1F497D" w:themeColor="text2"/>
      <w:sz w:val="18"/>
      <w:szCs w:val="18"/>
    </w:rPr>
  </w:style>
  <w:style w:type="paragraph" w:styleId="Revision">
    <w:name w:val="Revision"/>
    <w:hidden/>
    <w:uiPriority w:val="99"/>
    <w:semiHidden/>
    <w:rsid w:val="00AC6CBE"/>
  </w:style>
  <w:style w:type="character" w:styleId="UnresolvedMention">
    <w:name w:val="Unresolved Mention"/>
    <w:basedOn w:val="DefaultParagraphFont"/>
    <w:uiPriority w:val="99"/>
    <w:semiHidden/>
    <w:unhideWhenUsed/>
    <w:rsid w:val="00FC7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1030">
      <w:bodyDiv w:val="1"/>
      <w:marLeft w:val="0"/>
      <w:marRight w:val="0"/>
      <w:marTop w:val="0"/>
      <w:marBottom w:val="0"/>
      <w:divBdr>
        <w:top w:val="none" w:sz="0" w:space="0" w:color="auto"/>
        <w:left w:val="none" w:sz="0" w:space="0" w:color="auto"/>
        <w:bottom w:val="none" w:sz="0" w:space="0" w:color="auto"/>
        <w:right w:val="none" w:sz="0" w:space="0" w:color="auto"/>
      </w:divBdr>
    </w:div>
    <w:div w:id="183248502">
      <w:bodyDiv w:val="1"/>
      <w:marLeft w:val="0"/>
      <w:marRight w:val="0"/>
      <w:marTop w:val="0"/>
      <w:marBottom w:val="0"/>
      <w:divBdr>
        <w:top w:val="none" w:sz="0" w:space="0" w:color="auto"/>
        <w:left w:val="none" w:sz="0" w:space="0" w:color="auto"/>
        <w:bottom w:val="none" w:sz="0" w:space="0" w:color="auto"/>
        <w:right w:val="none" w:sz="0" w:space="0" w:color="auto"/>
      </w:divBdr>
    </w:div>
    <w:div w:id="588778730">
      <w:bodyDiv w:val="1"/>
      <w:marLeft w:val="0"/>
      <w:marRight w:val="0"/>
      <w:marTop w:val="0"/>
      <w:marBottom w:val="0"/>
      <w:divBdr>
        <w:top w:val="none" w:sz="0" w:space="0" w:color="auto"/>
        <w:left w:val="none" w:sz="0" w:space="0" w:color="auto"/>
        <w:bottom w:val="none" w:sz="0" w:space="0" w:color="auto"/>
        <w:right w:val="none" w:sz="0" w:space="0" w:color="auto"/>
      </w:divBdr>
    </w:div>
    <w:div w:id="905922451">
      <w:bodyDiv w:val="1"/>
      <w:marLeft w:val="0"/>
      <w:marRight w:val="0"/>
      <w:marTop w:val="0"/>
      <w:marBottom w:val="0"/>
      <w:divBdr>
        <w:top w:val="none" w:sz="0" w:space="0" w:color="auto"/>
        <w:left w:val="none" w:sz="0" w:space="0" w:color="auto"/>
        <w:bottom w:val="none" w:sz="0" w:space="0" w:color="auto"/>
        <w:right w:val="none" w:sz="0" w:space="0" w:color="auto"/>
      </w:divBdr>
    </w:div>
    <w:div w:id="946426650">
      <w:bodyDiv w:val="1"/>
      <w:marLeft w:val="0"/>
      <w:marRight w:val="0"/>
      <w:marTop w:val="0"/>
      <w:marBottom w:val="0"/>
      <w:divBdr>
        <w:top w:val="none" w:sz="0" w:space="0" w:color="auto"/>
        <w:left w:val="none" w:sz="0" w:space="0" w:color="auto"/>
        <w:bottom w:val="none" w:sz="0" w:space="0" w:color="auto"/>
        <w:right w:val="none" w:sz="0" w:space="0" w:color="auto"/>
      </w:divBdr>
    </w:div>
    <w:div w:id="984316281">
      <w:bodyDiv w:val="1"/>
      <w:marLeft w:val="0"/>
      <w:marRight w:val="0"/>
      <w:marTop w:val="0"/>
      <w:marBottom w:val="0"/>
      <w:divBdr>
        <w:top w:val="none" w:sz="0" w:space="0" w:color="auto"/>
        <w:left w:val="none" w:sz="0" w:space="0" w:color="auto"/>
        <w:bottom w:val="none" w:sz="0" w:space="0" w:color="auto"/>
        <w:right w:val="none" w:sz="0" w:space="0" w:color="auto"/>
      </w:divBdr>
    </w:div>
    <w:div w:id="1267617733">
      <w:bodyDiv w:val="1"/>
      <w:marLeft w:val="0"/>
      <w:marRight w:val="0"/>
      <w:marTop w:val="0"/>
      <w:marBottom w:val="0"/>
      <w:divBdr>
        <w:top w:val="none" w:sz="0" w:space="0" w:color="auto"/>
        <w:left w:val="none" w:sz="0" w:space="0" w:color="auto"/>
        <w:bottom w:val="none" w:sz="0" w:space="0" w:color="auto"/>
        <w:right w:val="none" w:sz="0" w:space="0" w:color="auto"/>
      </w:divBdr>
    </w:div>
    <w:div w:id="1528978874">
      <w:bodyDiv w:val="1"/>
      <w:marLeft w:val="0"/>
      <w:marRight w:val="0"/>
      <w:marTop w:val="0"/>
      <w:marBottom w:val="0"/>
      <w:divBdr>
        <w:top w:val="none" w:sz="0" w:space="0" w:color="auto"/>
        <w:left w:val="none" w:sz="0" w:space="0" w:color="auto"/>
        <w:bottom w:val="none" w:sz="0" w:space="0" w:color="auto"/>
        <w:right w:val="none" w:sz="0" w:space="0" w:color="auto"/>
      </w:divBdr>
    </w:div>
    <w:div w:id="1577282521">
      <w:bodyDiv w:val="1"/>
      <w:marLeft w:val="0"/>
      <w:marRight w:val="0"/>
      <w:marTop w:val="0"/>
      <w:marBottom w:val="0"/>
      <w:divBdr>
        <w:top w:val="none" w:sz="0" w:space="0" w:color="auto"/>
        <w:left w:val="none" w:sz="0" w:space="0" w:color="auto"/>
        <w:bottom w:val="none" w:sz="0" w:space="0" w:color="auto"/>
        <w:right w:val="none" w:sz="0" w:space="0" w:color="auto"/>
      </w:divBdr>
    </w:div>
    <w:div w:id="1799299412">
      <w:bodyDiv w:val="1"/>
      <w:marLeft w:val="0"/>
      <w:marRight w:val="0"/>
      <w:marTop w:val="0"/>
      <w:marBottom w:val="0"/>
      <w:divBdr>
        <w:top w:val="none" w:sz="0" w:space="0" w:color="auto"/>
        <w:left w:val="none" w:sz="0" w:space="0" w:color="auto"/>
        <w:bottom w:val="none" w:sz="0" w:space="0" w:color="auto"/>
        <w:right w:val="none" w:sz="0" w:space="0" w:color="auto"/>
      </w:divBdr>
    </w:div>
    <w:div w:id="1950895382">
      <w:bodyDiv w:val="1"/>
      <w:marLeft w:val="0"/>
      <w:marRight w:val="0"/>
      <w:marTop w:val="0"/>
      <w:marBottom w:val="0"/>
      <w:divBdr>
        <w:top w:val="none" w:sz="0" w:space="0" w:color="auto"/>
        <w:left w:val="none" w:sz="0" w:space="0" w:color="auto"/>
        <w:bottom w:val="none" w:sz="0" w:space="0" w:color="auto"/>
        <w:right w:val="none" w:sz="0" w:space="0" w:color="auto"/>
      </w:divBdr>
    </w:div>
    <w:div w:id="2072804727">
      <w:bodyDiv w:val="1"/>
      <w:marLeft w:val="0"/>
      <w:marRight w:val="0"/>
      <w:marTop w:val="0"/>
      <w:marBottom w:val="0"/>
      <w:divBdr>
        <w:top w:val="none" w:sz="0" w:space="0" w:color="auto"/>
        <w:left w:val="none" w:sz="0" w:space="0" w:color="auto"/>
        <w:bottom w:val="none" w:sz="0" w:space="0" w:color="auto"/>
        <w:right w:val="none" w:sz="0" w:space="0" w:color="auto"/>
      </w:divBdr>
    </w:div>
    <w:div w:id="2079086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customXml" Target="../customXml/item4.xml"/><Relationship Id="rId21" Type="http://schemas.openxmlformats.org/officeDocument/2006/relationships/image" Target="media/image14.emf"/><Relationship Id="rId34" Type="http://schemas.openxmlformats.org/officeDocument/2006/relationships/footer" Target="footer2.xml"/><Relationship Id="rId42"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customXml" Target="../customXml/item2.xml"/><Relationship Id="rId40"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campaadelectu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haredContentType xmlns="Microsoft.SharePoint.Taxonomy.ContentTypeSync" SourceId="ae61f9b1-e23d-4f49-b3d7-56b991556c4b" ContentTypeId="0x010100ACF722E9F6B0B149B0CD8BE2560A66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59A18294CD49674A9193AC6B41223E04" ma:contentTypeVersion="939" ma:contentTypeDescription="A content type to manage public (operations) IDB documents" ma:contentTypeScope="" ma:versionID="e7a91398b0148dca7d0ddfda40b30df6">
  <xsd:schema xmlns:xsd="http://www.w3.org/2001/XMLSchema" xmlns:xs="http://www.w3.org/2001/XMLSchema" xmlns:p="http://schemas.microsoft.com/office/2006/metadata/properties" xmlns:ns2="cdc7663a-08f0-4737-9e8c-148ce897a09c" targetNamespace="http://schemas.microsoft.com/office/2006/metadata/properties" ma:root="true" ma:fieldsID="f81bd2dabf741aacecd98ffa6a24f62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175"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INE/INE</Division_x0020_or_x0020_Unit>
    <Fiscal_x0020_Year_x0020_IDB xmlns="cdc7663a-08f0-4737-9e8c-148ce897a09c">2018</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ATN/OC-16646-RG;</Approval_x0020_Number>
    <Phase xmlns="cdc7663a-08f0-4737-9e8c-148ce897a09c" xsi:nil="true"/>
    <Document_x0020_Author xmlns="cdc7663a-08f0-4737-9e8c-148ce897a09c">Pastor Vargas, Cinthya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58dede58-0f72-4d2f-8205-0b2af4d108e7</TermId>
        </TermInfo>
      </Terms>
    </b2ec7cfb18674cb8803df6b262e8b107>
    <Business_x0020_Area xmlns="cdc7663a-08f0-4737-9e8c-148ce897a09c" xsi:nil="true"/>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TBD</TermName>
          <TermId xmlns="http://schemas.microsoft.com/office/infopath/2007/PartnerControls">d62f6e05-3e80-4abd-9bb4-5f10b4906ff6</TermId>
        </TermInfo>
      </Terms>
    </g511464f9e53401d84b16fa9b379a574>
    <Related_x0020_SisCor_x0020_Number xmlns="cdc7663a-08f0-4737-9e8c-148ce897a09c" xsi:nil="true"/>
    <TaxCatchAll xmlns="cdc7663a-08f0-4737-9e8c-148ce897a09c">
      <Value>237</Value>
      <Value>713</Value>
      <Value>107</Value>
      <Value>1</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RG-T3175</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WATER AND SANITATION</TermName>
          <TermId xmlns="http://schemas.microsoft.com/office/infopath/2007/PartnerControls">ba6b63cd-e402-47cb-9357-08149f7ce046</TermId>
        </TermInfo>
      </Terms>
    </nddeef1749674d76abdbe4b239a70bc6>
    <Record_x0020_Number xmlns="cdc7663a-08f0-4737-9e8c-148ce897a09c">R0002858709</Record_x0020_Number>
    <_dlc_DocId xmlns="cdc7663a-08f0-4737-9e8c-148ce897a09c">EZSHARE-34216406-25</_dlc_DocId>
    <_dlc_DocIdUrl xmlns="cdc7663a-08f0-4737-9e8c-148ce897a09c">
      <Url>https://idbg.sharepoint.com/teams/EZ-RG-TCP/RG-T3175/_layouts/15/DocIdRedir.aspx?ID=EZSHARE-34216406-25</Url>
      <Description>EZSHARE-34216406-25</Description>
    </_dlc_DocIdUrl>
    <Disclosure_x0020_Activity xmlns="cdc7663a-08f0-4737-9e8c-148ce897a09c">Technical Note</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D738A1DB-7C16-4399-A2BA-4FAD80AD8BF0}">
  <ds:schemaRefs>
    <ds:schemaRef ds:uri="http://schemas.openxmlformats.org/officeDocument/2006/bibliography"/>
  </ds:schemaRefs>
</ds:datastoreItem>
</file>

<file path=customXml/itemProps2.xml><?xml version="1.0" encoding="utf-8"?>
<ds:datastoreItem xmlns:ds="http://schemas.openxmlformats.org/officeDocument/2006/customXml" ds:itemID="{0E543A73-DE64-49D4-B9FA-C639362B50CD}"/>
</file>

<file path=customXml/itemProps3.xml><?xml version="1.0" encoding="utf-8"?>
<ds:datastoreItem xmlns:ds="http://schemas.openxmlformats.org/officeDocument/2006/customXml" ds:itemID="{FB65044F-03CD-4DB6-8222-1FDF1CC31893}"/>
</file>

<file path=customXml/itemProps4.xml><?xml version="1.0" encoding="utf-8"?>
<ds:datastoreItem xmlns:ds="http://schemas.openxmlformats.org/officeDocument/2006/customXml" ds:itemID="{01B6B090-F12F-4BBA-BA29-CD8E84FB6206}"/>
</file>

<file path=customXml/itemProps5.xml><?xml version="1.0" encoding="utf-8"?>
<ds:datastoreItem xmlns:ds="http://schemas.openxmlformats.org/officeDocument/2006/customXml" ds:itemID="{56273E28-E6DE-4CF6-BC99-7E753ACBE977}"/>
</file>

<file path=customXml/itemProps6.xml><?xml version="1.0" encoding="utf-8"?>
<ds:datastoreItem xmlns:ds="http://schemas.openxmlformats.org/officeDocument/2006/customXml" ds:itemID="{57541252-591D-43BB-B2AA-62C2474FEC79}"/>
</file>

<file path=customXml/itemProps7.xml><?xml version="1.0" encoding="utf-8"?>
<ds:datastoreItem xmlns:ds="http://schemas.openxmlformats.org/officeDocument/2006/customXml" ds:itemID="{7E325608-47FE-4FE2-8D8C-E71ED95F2AE2}"/>
</file>

<file path=docProps/app.xml><?xml version="1.0" encoding="utf-8"?>
<Properties xmlns="http://schemas.openxmlformats.org/officeDocument/2006/extended-properties" xmlns:vt="http://schemas.openxmlformats.org/officeDocument/2006/docPropsVTypes">
  <Template>Normal.dotm</Template>
  <TotalTime>4</TotalTime>
  <Pages>30</Pages>
  <Words>9791</Words>
  <Characters>55811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65472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dc:creator>
  <cp:keywords/>
  <dc:description/>
  <cp:lastModifiedBy>Pastor Vargas, Cinthya</cp:lastModifiedBy>
  <cp:revision>3</cp:revision>
  <dcterms:created xsi:type="dcterms:W3CDTF">2018-09-17T16:19:00Z</dcterms:created>
  <dcterms:modified xsi:type="dcterms:W3CDTF">2018-09-25T19:31:00Z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713;#WATER AND SANITATION|58dede58-0f72-4d2f-8205-0b2af4d108e7</vt:lpwstr>
  </property>
  <property fmtid="{D5CDD505-2E9C-101B-9397-08002B2CF9AE}" pid="7" name="Fund IDB">
    <vt:lpwstr>107;#TBD|d62f6e05-3e80-4abd-9bb4-5f10b4906ff6</vt:lpwstr>
  </property>
  <property fmtid="{D5CDD505-2E9C-101B-9397-08002B2CF9AE}" pid="8" name="Country">
    <vt:lpwstr>44;#Regional|2537a5b7-6d8e-482c-94dc-32c3cc44ff65</vt:lpwstr>
  </property>
  <property fmtid="{D5CDD505-2E9C-101B-9397-08002B2CF9AE}" pid="9" name="Sector IDB">
    <vt:lpwstr>237;#WATER AND SANITATION|ba6b63cd-e402-47cb-9357-08149f7ce046</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c4261cd7-0665-45e0-9280-b6bef8737dd1</vt:lpwstr>
  </property>
  <property fmtid="{D5CDD505-2E9C-101B-9397-08002B2CF9AE}" pid="12" name="ContentTypeId">
    <vt:lpwstr>0x0101001A458A224826124E8B45B1D613300CFC0059A18294CD49674A9193AC6B41223E04</vt:lpwstr>
  </property>
</Properties>
</file>